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AD2317">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drawing>
          <wp:inline distT="0" distB="0" distL="114300" distR="114300">
            <wp:extent cx="6112510" cy="8640445"/>
            <wp:effectExtent l="0" t="0" r="2540" b="8255"/>
            <wp:docPr id="9" name="图片 9" descr="扫描件_房屋建筑和市政基础设施工程招标文件备案要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扫描件_房屋建筑和市政基础设施工程招标文件备案要_01"/>
                    <pic:cNvPicPr>
                      <a:picLocks noChangeAspect="1"/>
                    </pic:cNvPicPr>
                  </pic:nvPicPr>
                  <pic:blipFill>
                    <a:blip r:embed="rId6"/>
                    <a:stretch>
                      <a:fillRect/>
                    </a:stretch>
                  </pic:blipFill>
                  <pic:spPr>
                    <a:xfrm>
                      <a:off x="0" y="0"/>
                      <a:ext cx="6112510" cy="8640445"/>
                    </a:xfrm>
                    <a:prstGeom prst="rect">
                      <a:avLst/>
                    </a:prstGeom>
                  </pic:spPr>
                </pic:pic>
              </a:graphicData>
            </a:graphic>
          </wp:inline>
        </w:drawing>
      </w:r>
    </w:p>
    <w:p w14:paraId="533083C2">
      <w:pPr>
        <w:pStyle w:val="33"/>
        <w:wordWrap w:val="0"/>
        <w:adjustRightInd w:val="0"/>
        <w:snapToGrid w:val="0"/>
        <w:spacing w:line="240" w:lineRule="auto"/>
        <w:jc w:val="center"/>
        <w:rPr>
          <w:rFonts w:hint="eastAsia" w:eastAsia="宋体"/>
          <w:b/>
          <w:snapToGrid w:val="0"/>
          <w:color w:val="auto"/>
          <w:kern w:val="0"/>
          <w:sz w:val="48"/>
          <w:szCs w:val="48"/>
          <w:highlight w:val="none"/>
          <w:lang w:eastAsia="zh-CN"/>
        </w:rPr>
        <w:sectPr>
          <w:headerReference r:id="rId3" w:type="default"/>
          <w:pgSz w:w="11906" w:h="16839"/>
          <w:pgMar w:top="1134" w:right="1134" w:bottom="1134" w:left="1134" w:header="850" w:footer="850" w:gutter="0"/>
          <w:pgBorders>
            <w:top w:val="none" w:sz="0" w:space="0"/>
            <w:left w:val="none" w:sz="0" w:space="0"/>
            <w:bottom w:val="none" w:sz="0" w:space="0"/>
            <w:right w:val="none" w:sz="0" w:space="0"/>
          </w:pgBorders>
          <w:pgNumType w:fmt="decimal"/>
          <w:cols w:space="0" w:num="1"/>
          <w:rtlGutter w:val="0"/>
          <w:docGrid w:linePitch="0" w:charSpace="0"/>
        </w:sectPr>
      </w:pPr>
    </w:p>
    <w:p w14:paraId="0E71ED0B">
      <w:pPr>
        <w:spacing w:before="0" w:beforeLines="0" w:after="0" w:afterLines="0" w:line="360" w:lineRule="auto"/>
        <w:ind w:left="0" w:leftChars="0" w:right="0" w:rightChars="0" w:firstLine="0" w:firstLineChars="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目</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录</w:t>
      </w:r>
    </w:p>
    <w:p w14:paraId="4DCB67CE">
      <w:pPr>
        <w:pStyle w:val="18"/>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_Toc5047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第一章</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bCs/>
          <w:color w:val="auto"/>
          <w:spacing w:val="-3"/>
          <w:sz w:val="24"/>
          <w:szCs w:val="24"/>
          <w:highlight w:val="none"/>
        </w:rPr>
        <w:t>投标人须知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_Toc5047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D94058C">
      <w:pPr>
        <w:pStyle w:val="19"/>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_Toc1665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第一节</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bCs/>
          <w:color w:val="auto"/>
          <w:spacing w:val="-3"/>
          <w:sz w:val="24"/>
          <w:szCs w:val="24"/>
          <w:highlight w:val="none"/>
        </w:rPr>
        <w:t>投标人须知前附表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_Toc1665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510E1C5">
      <w:pPr>
        <w:pStyle w:val="19"/>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_Toc32119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第二节</w:t>
      </w:r>
      <w:r>
        <w:rPr>
          <w:rFonts w:hint="eastAsia" w:ascii="宋体" w:hAnsi="宋体" w:eastAsia="宋体" w:cs="宋体"/>
          <w:bCs/>
          <w:color w:val="auto"/>
          <w:spacing w:val="-3"/>
          <w:sz w:val="24"/>
          <w:szCs w:val="24"/>
          <w:highlight w:val="none"/>
          <w:lang w:val="en-US" w:eastAsia="zh-CN"/>
        </w:rPr>
        <w:t xml:space="preserve">   </w:t>
      </w:r>
      <w:r>
        <w:rPr>
          <w:rFonts w:hint="eastAsia" w:ascii="宋体" w:hAnsi="宋体" w:eastAsia="宋体" w:cs="宋体"/>
          <w:bCs/>
          <w:color w:val="auto"/>
          <w:spacing w:val="-3"/>
          <w:sz w:val="24"/>
          <w:szCs w:val="24"/>
          <w:highlight w:val="none"/>
        </w:rPr>
        <w:t>重要事项时间地点一览表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_Toc32119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35E9705">
      <w:pPr>
        <w:pStyle w:val="19"/>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_Toc14665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第三节</w:t>
      </w:r>
      <w:r>
        <w:rPr>
          <w:rFonts w:hint="eastAsia" w:ascii="宋体" w:hAnsi="宋体" w:eastAsia="宋体" w:cs="宋体"/>
          <w:bCs/>
          <w:color w:val="auto"/>
          <w:spacing w:val="-3"/>
          <w:sz w:val="24"/>
          <w:szCs w:val="24"/>
          <w:highlight w:val="none"/>
          <w:lang w:val="en-US" w:eastAsia="zh-CN"/>
        </w:rPr>
        <w:t xml:space="preserve">   </w:t>
      </w:r>
      <w:r>
        <w:rPr>
          <w:rFonts w:hint="eastAsia" w:ascii="宋体" w:hAnsi="宋体" w:eastAsia="宋体" w:cs="宋体"/>
          <w:bCs/>
          <w:color w:val="auto"/>
          <w:spacing w:val="-3"/>
          <w:sz w:val="24"/>
          <w:szCs w:val="24"/>
          <w:highlight w:val="none"/>
        </w:rPr>
        <w:t>投标人须知正文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_Toc14665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9EAF2FA">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_Toc14244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1</w:t>
      </w:r>
      <w:r>
        <w:rPr>
          <w:rFonts w:hint="eastAsia" w:ascii="宋体" w:hAnsi="宋体" w:eastAsia="宋体" w:cs="宋体"/>
          <w:bCs/>
          <w:color w:val="auto"/>
          <w:spacing w:val="-23"/>
          <w:sz w:val="24"/>
          <w:szCs w:val="24"/>
          <w:highlight w:val="none"/>
          <w:lang w:eastAsia="zh-CN"/>
        </w:rPr>
        <w:t>.</w:t>
      </w:r>
      <w:r>
        <w:rPr>
          <w:rFonts w:hint="eastAsia" w:ascii="宋体" w:hAnsi="宋体" w:eastAsia="宋体" w:cs="宋体"/>
          <w:bCs/>
          <w:color w:val="auto"/>
          <w:spacing w:val="-4"/>
          <w:sz w:val="24"/>
          <w:szCs w:val="24"/>
          <w:highlight w:val="none"/>
        </w:rPr>
        <w:t>项目概况、招标范围和标段划分、投标费用等</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_Toc14244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AD417E0">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_Toc11082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资质要求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_Toc11082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535F23A">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_Toc14245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3</w:t>
      </w:r>
      <w:r>
        <w:rPr>
          <w:rFonts w:hint="eastAsia" w:ascii="宋体" w:hAnsi="宋体" w:eastAsia="宋体" w:cs="宋体"/>
          <w:bCs/>
          <w:color w:val="auto"/>
          <w:spacing w:val="-4"/>
          <w:sz w:val="24"/>
          <w:szCs w:val="24"/>
          <w:highlight w:val="none"/>
          <w:lang w:val="en-US" w:eastAsia="zh-CN"/>
        </w:rPr>
        <w:t>.</w:t>
      </w:r>
      <w:r>
        <w:rPr>
          <w:rFonts w:hint="eastAsia" w:ascii="宋体" w:hAnsi="宋体" w:eastAsia="宋体" w:cs="宋体"/>
          <w:bCs/>
          <w:color w:val="auto"/>
          <w:spacing w:val="-4"/>
          <w:sz w:val="24"/>
          <w:szCs w:val="24"/>
          <w:highlight w:val="none"/>
        </w:rPr>
        <w:t>招标文件的获取</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_Toc14245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49F3C46">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_Toc603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4</w:t>
      </w:r>
      <w:r>
        <w:rPr>
          <w:rFonts w:hint="eastAsia" w:ascii="宋体" w:hAnsi="宋体" w:eastAsia="宋体" w:cs="宋体"/>
          <w:bCs/>
          <w:color w:val="auto"/>
          <w:spacing w:val="-27"/>
          <w:sz w:val="24"/>
          <w:szCs w:val="24"/>
          <w:highlight w:val="none"/>
          <w:lang w:eastAsia="zh-CN"/>
        </w:rPr>
        <w:t>.</w:t>
      </w:r>
      <w:r>
        <w:rPr>
          <w:rFonts w:hint="eastAsia" w:ascii="宋体" w:hAnsi="宋体" w:eastAsia="宋体" w:cs="宋体"/>
          <w:bCs/>
          <w:color w:val="auto"/>
          <w:spacing w:val="-8"/>
          <w:sz w:val="24"/>
          <w:szCs w:val="24"/>
          <w:highlight w:val="none"/>
        </w:rPr>
        <w:t>工期要求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_Toc603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17CE6BF">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_Toc8660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5</w:t>
      </w:r>
      <w:r>
        <w:rPr>
          <w:rFonts w:hint="eastAsia" w:ascii="宋体" w:hAnsi="宋体" w:eastAsia="宋体" w:cs="宋体"/>
          <w:bCs/>
          <w:color w:val="auto"/>
          <w:spacing w:val="-20"/>
          <w:sz w:val="24"/>
          <w:szCs w:val="24"/>
          <w:highlight w:val="none"/>
          <w:lang w:eastAsia="zh-CN"/>
        </w:rPr>
        <w:t>.</w:t>
      </w:r>
      <w:r>
        <w:rPr>
          <w:rFonts w:hint="eastAsia" w:ascii="宋体" w:hAnsi="宋体" w:eastAsia="宋体" w:cs="宋体"/>
          <w:bCs/>
          <w:color w:val="auto"/>
          <w:spacing w:val="-5"/>
          <w:sz w:val="24"/>
          <w:szCs w:val="24"/>
          <w:highlight w:val="none"/>
        </w:rPr>
        <w:t>质量标准和材料、机械要求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_Toc8660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D76AE31">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_Toc6089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6</w:t>
      </w:r>
      <w:r>
        <w:rPr>
          <w:rFonts w:hint="eastAsia" w:ascii="宋体" w:hAnsi="宋体" w:eastAsia="宋体" w:cs="宋体"/>
          <w:bCs/>
          <w:color w:val="auto"/>
          <w:spacing w:val="-20"/>
          <w:sz w:val="24"/>
          <w:szCs w:val="24"/>
          <w:highlight w:val="none"/>
          <w:lang w:eastAsia="zh-CN"/>
        </w:rPr>
        <w:t>.</w:t>
      </w:r>
      <w:r>
        <w:rPr>
          <w:rFonts w:hint="eastAsia" w:ascii="宋体" w:hAnsi="宋体" w:eastAsia="宋体" w:cs="宋体"/>
          <w:bCs/>
          <w:color w:val="auto"/>
          <w:spacing w:val="-6"/>
          <w:sz w:val="24"/>
          <w:szCs w:val="24"/>
          <w:highlight w:val="none"/>
        </w:rPr>
        <w:t>施工条件及现场踏勘</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_Toc6089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DA53FC6">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_Toc32572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8</w:t>
      </w:r>
      <w:r>
        <w:rPr>
          <w:rFonts w:hint="eastAsia" w:ascii="宋体" w:hAnsi="宋体" w:eastAsia="宋体" w:cs="宋体"/>
          <w:bCs/>
          <w:color w:val="auto"/>
          <w:spacing w:val="-23"/>
          <w:sz w:val="24"/>
          <w:szCs w:val="24"/>
          <w:highlight w:val="none"/>
          <w:lang w:eastAsia="zh-CN"/>
        </w:rPr>
        <w:t>.</w:t>
      </w:r>
      <w:r>
        <w:rPr>
          <w:rFonts w:hint="eastAsia" w:ascii="宋体" w:hAnsi="宋体" w:eastAsia="宋体" w:cs="宋体"/>
          <w:bCs/>
          <w:color w:val="auto"/>
          <w:spacing w:val="-1"/>
          <w:sz w:val="24"/>
          <w:szCs w:val="24"/>
          <w:highlight w:val="none"/>
        </w:rPr>
        <w:t>最高投标限价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_Toc32572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82BDDA3">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_Toc22937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9</w:t>
      </w:r>
      <w:r>
        <w:rPr>
          <w:rFonts w:hint="eastAsia" w:ascii="宋体" w:hAnsi="宋体" w:eastAsia="宋体" w:cs="宋体"/>
          <w:bCs/>
          <w:color w:val="auto"/>
          <w:spacing w:val="-29"/>
          <w:sz w:val="24"/>
          <w:szCs w:val="24"/>
          <w:highlight w:val="none"/>
          <w:lang w:eastAsia="zh-CN"/>
        </w:rPr>
        <w:t>.</w:t>
      </w:r>
      <w:r>
        <w:rPr>
          <w:rFonts w:hint="eastAsia" w:ascii="宋体" w:hAnsi="宋体" w:eastAsia="宋体" w:cs="宋体"/>
          <w:bCs/>
          <w:color w:val="auto"/>
          <w:spacing w:val="-8"/>
          <w:sz w:val="24"/>
          <w:szCs w:val="24"/>
          <w:highlight w:val="none"/>
        </w:rPr>
        <w:t>投标报价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_Toc22937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FA32DA7">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_Toc4689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10</w:t>
      </w:r>
      <w:r>
        <w:rPr>
          <w:rFonts w:hint="eastAsia" w:ascii="宋体" w:hAnsi="宋体" w:eastAsia="宋体" w:cs="宋体"/>
          <w:bCs/>
          <w:color w:val="auto"/>
          <w:spacing w:val="-21"/>
          <w:sz w:val="24"/>
          <w:szCs w:val="24"/>
          <w:highlight w:val="none"/>
          <w:lang w:eastAsia="zh-CN"/>
        </w:rPr>
        <w:t>.</w:t>
      </w:r>
      <w:r>
        <w:rPr>
          <w:rFonts w:hint="eastAsia" w:ascii="宋体" w:hAnsi="宋体" w:eastAsia="宋体" w:cs="宋体"/>
          <w:bCs/>
          <w:color w:val="auto"/>
          <w:spacing w:val="-6"/>
          <w:sz w:val="24"/>
          <w:szCs w:val="24"/>
          <w:highlight w:val="none"/>
        </w:rPr>
        <w:t>投标文件的编制要求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_Toc4689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70D12FF">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_Toc19002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rPr>
        <w:t>11.电子投标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_Toc19002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E95FE02">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_Toc4526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lang w:val="en-US" w:eastAsia="zh-CN"/>
        </w:rPr>
        <w:t>12.</w:t>
      </w:r>
      <w:r>
        <w:rPr>
          <w:rFonts w:hint="eastAsia" w:ascii="宋体" w:hAnsi="宋体" w:eastAsia="宋体" w:cs="宋体"/>
          <w:bCs/>
          <w:color w:val="auto"/>
          <w:spacing w:val="-9"/>
          <w:sz w:val="24"/>
          <w:szCs w:val="24"/>
          <w:highlight w:val="none"/>
        </w:rPr>
        <w:t>电子投标及投标解密失败及突发情况的补救方案</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_Toc4526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FECB227">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_Toc23921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13</w:t>
      </w:r>
      <w:r>
        <w:rPr>
          <w:rFonts w:hint="eastAsia" w:ascii="宋体" w:hAnsi="宋体" w:eastAsia="宋体" w:cs="宋体"/>
          <w:bCs/>
          <w:color w:val="auto"/>
          <w:spacing w:val="-23"/>
          <w:sz w:val="24"/>
          <w:szCs w:val="24"/>
          <w:highlight w:val="none"/>
          <w:lang w:eastAsia="zh-CN"/>
        </w:rPr>
        <w:t>.</w:t>
      </w:r>
      <w:r>
        <w:rPr>
          <w:rFonts w:hint="eastAsia" w:ascii="宋体" w:hAnsi="宋体" w:eastAsia="宋体" w:cs="宋体"/>
          <w:bCs/>
          <w:color w:val="auto"/>
          <w:spacing w:val="-23"/>
          <w:sz w:val="24"/>
          <w:szCs w:val="24"/>
          <w:highlight w:val="none"/>
          <w:lang w:val="en-US" w:eastAsia="zh-CN"/>
        </w:rPr>
        <w:t xml:space="preserve"> </w:t>
      </w:r>
      <w:r>
        <w:rPr>
          <w:rFonts w:hint="eastAsia" w:ascii="宋体" w:hAnsi="宋体" w:eastAsia="宋体" w:cs="宋体"/>
          <w:bCs/>
          <w:color w:val="auto"/>
          <w:spacing w:val="-7"/>
          <w:sz w:val="24"/>
          <w:szCs w:val="24"/>
          <w:highlight w:val="none"/>
        </w:rPr>
        <w:t>投标文件的提交</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_Toc23921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2E62091">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_Toc22896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14</w:t>
      </w:r>
      <w:r>
        <w:rPr>
          <w:rFonts w:hint="eastAsia" w:ascii="宋体" w:hAnsi="宋体" w:eastAsia="宋体" w:cs="宋体"/>
          <w:bCs/>
          <w:color w:val="auto"/>
          <w:spacing w:val="-28"/>
          <w:sz w:val="24"/>
          <w:szCs w:val="24"/>
          <w:highlight w:val="none"/>
          <w:lang w:eastAsia="zh-CN"/>
        </w:rPr>
        <w:t>.</w:t>
      </w:r>
      <w:r>
        <w:rPr>
          <w:rFonts w:hint="eastAsia" w:ascii="宋体" w:hAnsi="宋体" w:eastAsia="宋体" w:cs="宋体"/>
          <w:bCs/>
          <w:color w:val="auto"/>
          <w:spacing w:val="-11"/>
          <w:sz w:val="24"/>
          <w:szCs w:val="24"/>
          <w:highlight w:val="none"/>
        </w:rPr>
        <w:t>开标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_Toc22896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7D08319">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_Toc16366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15</w:t>
      </w:r>
      <w:r>
        <w:rPr>
          <w:rFonts w:hint="eastAsia" w:ascii="宋体" w:hAnsi="宋体" w:eastAsia="宋体" w:cs="宋体"/>
          <w:bCs/>
          <w:color w:val="auto"/>
          <w:spacing w:val="-11"/>
          <w:sz w:val="24"/>
          <w:szCs w:val="24"/>
          <w:highlight w:val="none"/>
          <w:lang w:val="en-US" w:eastAsia="zh-CN"/>
        </w:rPr>
        <w:t>.</w:t>
      </w:r>
      <w:r>
        <w:rPr>
          <w:rFonts w:hint="eastAsia" w:ascii="宋体" w:hAnsi="宋体" w:eastAsia="宋体" w:cs="宋体"/>
          <w:bCs/>
          <w:color w:val="auto"/>
          <w:spacing w:val="-11"/>
          <w:sz w:val="24"/>
          <w:szCs w:val="24"/>
          <w:highlight w:val="none"/>
        </w:rPr>
        <w:t>评标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_Toc16366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2DE24FD">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_Toc23862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16</w:t>
      </w:r>
      <w:r>
        <w:rPr>
          <w:rFonts w:hint="eastAsia" w:ascii="宋体" w:hAnsi="宋体" w:eastAsia="宋体" w:cs="宋体"/>
          <w:bCs/>
          <w:color w:val="auto"/>
          <w:spacing w:val="-20"/>
          <w:sz w:val="24"/>
          <w:szCs w:val="24"/>
          <w:highlight w:val="none"/>
          <w:lang w:eastAsia="zh-CN"/>
        </w:rPr>
        <w:t>.</w:t>
      </w:r>
      <w:r>
        <w:rPr>
          <w:rFonts w:hint="eastAsia" w:ascii="宋体" w:hAnsi="宋体" w:eastAsia="宋体" w:cs="宋体"/>
          <w:bCs/>
          <w:color w:val="auto"/>
          <w:spacing w:val="-7"/>
          <w:sz w:val="24"/>
          <w:szCs w:val="24"/>
          <w:highlight w:val="none"/>
        </w:rPr>
        <w:t>中标候选人公示</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_Toc23862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F09FE5B">
      <w:pPr>
        <w:pStyle w:val="19"/>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_Toc12938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第四节</w:t>
      </w:r>
      <w:r>
        <w:rPr>
          <w:rFonts w:hint="eastAsia" w:ascii="宋体" w:hAnsi="宋体" w:eastAsia="宋体" w:cs="宋体"/>
          <w:bCs/>
          <w:color w:val="auto"/>
          <w:spacing w:val="-3"/>
          <w:sz w:val="24"/>
          <w:szCs w:val="24"/>
          <w:highlight w:val="none"/>
          <w:lang w:val="en-US" w:eastAsia="zh-CN"/>
        </w:rPr>
        <w:t xml:space="preserve">   </w:t>
      </w:r>
      <w:r>
        <w:rPr>
          <w:rFonts w:hint="eastAsia" w:ascii="宋体" w:hAnsi="宋体" w:eastAsia="宋体" w:cs="宋体"/>
          <w:bCs/>
          <w:color w:val="auto"/>
          <w:spacing w:val="-3"/>
          <w:sz w:val="24"/>
          <w:szCs w:val="24"/>
          <w:highlight w:val="none"/>
        </w:rPr>
        <w:t>否决投标条件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_Toc12938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43C7893">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_Toc3255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26"/>
          <w:sz w:val="24"/>
          <w:szCs w:val="24"/>
          <w:highlight w:val="none"/>
          <w:lang w:eastAsia="zh-CN"/>
        </w:rPr>
        <w:t>.</w:t>
      </w:r>
      <w:r>
        <w:rPr>
          <w:rFonts w:hint="eastAsia" w:ascii="宋体" w:hAnsi="宋体" w:eastAsia="宋体" w:cs="宋体"/>
          <w:bCs/>
          <w:color w:val="auto"/>
          <w:spacing w:val="-8"/>
          <w:sz w:val="24"/>
          <w:szCs w:val="24"/>
          <w:highlight w:val="none"/>
        </w:rPr>
        <w:t>资格评审环节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_Toc3255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1306BAB">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_Toc2721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lang w:eastAsia="zh-CN"/>
        </w:rPr>
        <w:t>.</w:t>
      </w:r>
      <w:r>
        <w:rPr>
          <w:rFonts w:hint="eastAsia" w:ascii="宋体" w:hAnsi="宋体" w:eastAsia="宋体" w:cs="宋体"/>
          <w:bCs/>
          <w:color w:val="auto"/>
          <w:spacing w:val="-7"/>
          <w:sz w:val="24"/>
          <w:szCs w:val="24"/>
          <w:highlight w:val="none"/>
        </w:rPr>
        <w:t>形式评审环节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_Toc2721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BD0E752">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_Toc23230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3</w:t>
      </w:r>
      <w:r>
        <w:rPr>
          <w:rFonts w:hint="eastAsia" w:ascii="宋体" w:hAnsi="宋体" w:eastAsia="宋体" w:cs="宋体"/>
          <w:bCs/>
          <w:color w:val="auto"/>
          <w:spacing w:val="-24"/>
          <w:sz w:val="24"/>
          <w:szCs w:val="24"/>
          <w:highlight w:val="none"/>
          <w:lang w:eastAsia="zh-CN"/>
        </w:rPr>
        <w:t>.</w:t>
      </w:r>
      <w:r>
        <w:rPr>
          <w:rFonts w:hint="eastAsia" w:ascii="宋体" w:hAnsi="宋体" w:eastAsia="宋体" w:cs="宋体"/>
          <w:bCs/>
          <w:color w:val="auto"/>
          <w:spacing w:val="-6"/>
          <w:sz w:val="24"/>
          <w:szCs w:val="24"/>
          <w:highlight w:val="none"/>
        </w:rPr>
        <w:t>响应性评审环节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_Toc23230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C479C6">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_Toc32585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4</w:t>
      </w:r>
      <w:r>
        <w:rPr>
          <w:rFonts w:hint="eastAsia" w:ascii="宋体" w:hAnsi="宋体" w:eastAsia="宋体" w:cs="宋体"/>
          <w:bCs/>
          <w:color w:val="auto"/>
          <w:spacing w:val="-29"/>
          <w:sz w:val="24"/>
          <w:szCs w:val="24"/>
          <w:highlight w:val="none"/>
          <w:lang w:eastAsia="zh-CN"/>
        </w:rPr>
        <w:t>.</w:t>
      </w:r>
      <w:r>
        <w:rPr>
          <w:rFonts w:hint="eastAsia" w:ascii="宋体" w:hAnsi="宋体" w:eastAsia="宋体" w:cs="宋体"/>
          <w:bCs/>
          <w:color w:val="auto"/>
          <w:spacing w:val="-11"/>
          <w:sz w:val="24"/>
          <w:szCs w:val="24"/>
          <w:highlight w:val="none"/>
        </w:rPr>
        <w:t>其他</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_Toc32585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A0D9170">
      <w:pPr>
        <w:pStyle w:val="18"/>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_Toc15281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第二章</w:t>
      </w:r>
      <w:r>
        <w:rPr>
          <w:rFonts w:hint="eastAsia" w:ascii="宋体" w:hAnsi="宋体" w:eastAsia="宋体" w:cs="宋体"/>
          <w:bCs/>
          <w:color w:val="auto"/>
          <w:spacing w:val="-3"/>
          <w:sz w:val="24"/>
          <w:szCs w:val="24"/>
          <w:highlight w:val="none"/>
          <w:lang w:val="en-US" w:eastAsia="zh-CN"/>
        </w:rPr>
        <w:t xml:space="preserve">   </w:t>
      </w:r>
      <w:r>
        <w:rPr>
          <w:rFonts w:hint="eastAsia" w:ascii="宋体" w:hAnsi="宋体" w:eastAsia="宋体" w:cs="宋体"/>
          <w:bCs/>
          <w:color w:val="auto"/>
          <w:spacing w:val="-3"/>
          <w:sz w:val="24"/>
          <w:szCs w:val="24"/>
          <w:highlight w:val="none"/>
        </w:rPr>
        <w:t>中标人须知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_Toc15281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05F9236">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_Toc3664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w:t>
      </w:r>
      <w:r>
        <w:rPr>
          <w:rFonts w:hint="eastAsia" w:ascii="宋体" w:hAnsi="宋体" w:eastAsia="宋体" w:cs="宋体"/>
          <w:bCs/>
          <w:color w:val="auto"/>
          <w:spacing w:val="-11"/>
          <w:sz w:val="24"/>
          <w:szCs w:val="24"/>
          <w:highlight w:val="none"/>
          <w:lang w:eastAsia="zh-CN"/>
        </w:rPr>
        <w:t>.</w:t>
      </w:r>
      <w:r>
        <w:rPr>
          <w:rFonts w:hint="eastAsia" w:ascii="宋体" w:hAnsi="宋体" w:eastAsia="宋体" w:cs="宋体"/>
          <w:bCs/>
          <w:color w:val="auto"/>
          <w:spacing w:val="-11"/>
          <w:sz w:val="24"/>
          <w:szCs w:val="24"/>
          <w:highlight w:val="none"/>
        </w:rPr>
        <w:t>中标通知书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_Toc3664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5621DF9">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_Toc11553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2</w:t>
      </w:r>
      <w:r>
        <w:rPr>
          <w:rFonts w:hint="eastAsia" w:ascii="宋体" w:hAnsi="宋体" w:eastAsia="宋体" w:cs="宋体"/>
          <w:bCs/>
          <w:color w:val="auto"/>
          <w:spacing w:val="-11"/>
          <w:sz w:val="24"/>
          <w:szCs w:val="24"/>
          <w:highlight w:val="none"/>
          <w:lang w:eastAsia="zh-CN"/>
        </w:rPr>
        <w:t>.</w:t>
      </w:r>
      <w:r>
        <w:rPr>
          <w:rFonts w:hint="eastAsia" w:ascii="宋体" w:hAnsi="宋体" w:eastAsia="宋体" w:cs="宋体"/>
          <w:bCs/>
          <w:color w:val="auto"/>
          <w:spacing w:val="-11"/>
          <w:sz w:val="24"/>
          <w:szCs w:val="24"/>
          <w:highlight w:val="none"/>
        </w:rPr>
        <w:t>中标结果公示</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_Toc11553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68CF999">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_Toc16915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3</w:t>
      </w:r>
      <w:r>
        <w:rPr>
          <w:rFonts w:hint="eastAsia" w:ascii="宋体" w:hAnsi="宋体" w:eastAsia="宋体" w:cs="宋体"/>
          <w:bCs/>
          <w:color w:val="auto"/>
          <w:spacing w:val="-11"/>
          <w:sz w:val="24"/>
          <w:szCs w:val="24"/>
          <w:highlight w:val="none"/>
          <w:lang w:eastAsia="zh-CN"/>
        </w:rPr>
        <w:t>.</w:t>
      </w:r>
      <w:r>
        <w:rPr>
          <w:rFonts w:hint="eastAsia" w:ascii="宋体" w:hAnsi="宋体" w:eastAsia="宋体" w:cs="宋体"/>
          <w:bCs/>
          <w:color w:val="auto"/>
          <w:spacing w:val="-11"/>
          <w:sz w:val="24"/>
          <w:szCs w:val="24"/>
          <w:highlight w:val="none"/>
        </w:rPr>
        <w:t>履约保证</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_Toc16915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BED64D2">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_Toc20161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4</w:t>
      </w:r>
      <w:r>
        <w:rPr>
          <w:rFonts w:hint="eastAsia" w:ascii="宋体" w:hAnsi="宋体" w:eastAsia="宋体" w:cs="宋体"/>
          <w:bCs/>
          <w:color w:val="auto"/>
          <w:spacing w:val="-11"/>
          <w:sz w:val="24"/>
          <w:szCs w:val="24"/>
          <w:highlight w:val="none"/>
          <w:lang w:eastAsia="zh-CN"/>
        </w:rPr>
        <w:t>.</w:t>
      </w:r>
      <w:r>
        <w:rPr>
          <w:rFonts w:hint="eastAsia" w:ascii="宋体" w:hAnsi="宋体" w:eastAsia="宋体" w:cs="宋体"/>
          <w:bCs/>
          <w:color w:val="auto"/>
          <w:spacing w:val="-11"/>
          <w:sz w:val="24"/>
          <w:szCs w:val="24"/>
          <w:highlight w:val="none"/>
        </w:rPr>
        <w:t>合同订立</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_Toc20161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A2DECDD">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_Toc10011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5</w:t>
      </w:r>
      <w:r>
        <w:rPr>
          <w:rFonts w:hint="eastAsia" w:ascii="宋体" w:hAnsi="宋体" w:eastAsia="宋体" w:cs="宋体"/>
          <w:bCs/>
          <w:color w:val="auto"/>
          <w:spacing w:val="-11"/>
          <w:sz w:val="24"/>
          <w:szCs w:val="24"/>
          <w:highlight w:val="none"/>
          <w:lang w:eastAsia="zh-CN"/>
        </w:rPr>
        <w:t>.</w:t>
      </w:r>
      <w:r>
        <w:rPr>
          <w:rFonts w:hint="eastAsia" w:ascii="宋体" w:hAnsi="宋体" w:eastAsia="宋体" w:cs="宋体"/>
          <w:bCs/>
          <w:color w:val="auto"/>
          <w:spacing w:val="-11"/>
          <w:sz w:val="24"/>
          <w:szCs w:val="24"/>
          <w:highlight w:val="none"/>
        </w:rPr>
        <w:t>放弃中标的处理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_Toc10011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F2EC697">
      <w:pPr>
        <w:pStyle w:val="18"/>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第三章</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bCs/>
          <w:color w:val="auto"/>
          <w:spacing w:val="-3"/>
          <w:sz w:val="24"/>
          <w:szCs w:val="24"/>
          <w:highlight w:val="none"/>
        </w:rPr>
        <w:t>拟签订合同的主要条款</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9A292A7">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_Toc20515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w:t>
      </w:r>
      <w:r>
        <w:rPr>
          <w:rFonts w:hint="eastAsia" w:ascii="宋体" w:hAnsi="宋体" w:eastAsia="宋体" w:cs="宋体"/>
          <w:bCs/>
          <w:color w:val="auto"/>
          <w:spacing w:val="-11"/>
          <w:sz w:val="24"/>
          <w:szCs w:val="24"/>
          <w:highlight w:val="none"/>
          <w:lang w:eastAsia="zh-CN"/>
        </w:rPr>
        <w:t>.</w:t>
      </w:r>
      <w:r>
        <w:rPr>
          <w:rFonts w:hint="eastAsia" w:ascii="宋体" w:hAnsi="宋体" w:eastAsia="宋体" w:cs="宋体"/>
          <w:bCs/>
          <w:color w:val="auto"/>
          <w:spacing w:val="-11"/>
          <w:sz w:val="24"/>
          <w:szCs w:val="24"/>
          <w:highlight w:val="none"/>
        </w:rPr>
        <w:t>工程承包方式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_Toc20515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425A49F">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_Toc29857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2</w:t>
      </w:r>
      <w:r>
        <w:rPr>
          <w:rFonts w:hint="eastAsia" w:ascii="宋体" w:hAnsi="宋体" w:eastAsia="宋体" w:cs="宋体"/>
          <w:bCs/>
          <w:color w:val="auto"/>
          <w:spacing w:val="-11"/>
          <w:sz w:val="24"/>
          <w:szCs w:val="24"/>
          <w:highlight w:val="none"/>
          <w:lang w:eastAsia="zh-CN"/>
        </w:rPr>
        <w:t>.</w:t>
      </w:r>
      <w:r>
        <w:rPr>
          <w:rFonts w:hint="eastAsia" w:ascii="宋体" w:hAnsi="宋体" w:eastAsia="宋体" w:cs="宋体"/>
          <w:bCs/>
          <w:color w:val="auto"/>
          <w:spacing w:val="-11"/>
          <w:sz w:val="24"/>
          <w:szCs w:val="24"/>
          <w:highlight w:val="none"/>
        </w:rPr>
        <w:t>工程结算原则</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_Toc29857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E8B61FC">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_Toc14772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3. 工程付款办法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_Toc14772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3CD0814">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_Toc24134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4</w:t>
      </w:r>
      <w:r>
        <w:rPr>
          <w:rFonts w:hint="eastAsia" w:ascii="宋体" w:hAnsi="宋体" w:eastAsia="宋体" w:cs="宋体"/>
          <w:bCs/>
          <w:color w:val="auto"/>
          <w:spacing w:val="-11"/>
          <w:sz w:val="24"/>
          <w:szCs w:val="24"/>
          <w:highlight w:val="none"/>
          <w:lang w:eastAsia="zh-CN"/>
        </w:rPr>
        <w:t>.</w:t>
      </w:r>
      <w:r>
        <w:rPr>
          <w:rFonts w:hint="eastAsia" w:ascii="宋体" w:hAnsi="宋体" w:eastAsia="宋体" w:cs="宋体"/>
          <w:bCs/>
          <w:color w:val="auto"/>
          <w:spacing w:val="-11"/>
          <w:sz w:val="24"/>
          <w:szCs w:val="24"/>
          <w:highlight w:val="none"/>
        </w:rPr>
        <w:t>其他专用合同条款</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_Toc24134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AEE515F">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_Toc13021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5.</w:t>
      </w:r>
      <w:r>
        <w:rPr>
          <w:rFonts w:hint="eastAsia" w:ascii="宋体" w:hAnsi="宋体" w:eastAsia="宋体" w:cs="宋体"/>
          <w:bCs/>
          <w:color w:val="auto"/>
          <w:spacing w:val="-11"/>
          <w:sz w:val="24"/>
          <w:szCs w:val="24"/>
          <w:highlight w:val="none"/>
        </w:rPr>
        <w:t>工期进度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_Toc13021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62CB638">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_Toc21792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6.项目管理机构</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_Toc21792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A497883">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_Toc6509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7.现场管理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_Toc6509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B49B036">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_Toc27064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8.监督实施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_Toc27064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F5BD4FC">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9.主材的采购和使用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CEDF548">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_Toc7133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10.竣工资料移交</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_Toc7133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FA626F">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_Toc9337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11.质量保证</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_Toc9337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2153318">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_Toc19723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12.不良行为处理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_Toc19723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07838C4">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_Toc26587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13.信用评价条款内容</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_Toc26587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7E01F56">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_Toc1735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14.其他事项</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_Toc1735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1159AE4">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_Toc5405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15.违约及质量保证条款</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_Toc5405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CF4A63B">
      <w:pPr>
        <w:pStyle w:val="18"/>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_Toc15674 </w:instrText>
      </w:r>
      <w:r>
        <w:rPr>
          <w:rFonts w:hint="eastAsia" w:ascii="宋体" w:hAnsi="宋体" w:eastAsia="宋体" w:cs="宋体"/>
          <w:color w:val="auto"/>
          <w:sz w:val="24"/>
          <w:szCs w:val="24"/>
          <w:highlight w:val="none"/>
        </w:rPr>
        <w:fldChar w:fldCharType="separate"/>
      </w:r>
      <w:r>
        <w:rPr>
          <w:rFonts w:hint="eastAsia" w:ascii="宋体" w:hAnsi="宋体" w:eastAsia="宋体" w:cs="宋体"/>
          <w:snapToGrid w:val="0"/>
          <w:color w:val="auto"/>
          <w:sz w:val="24"/>
          <w:szCs w:val="24"/>
          <w:highlight w:val="none"/>
        </w:rPr>
        <w:t>第四章</w:t>
      </w:r>
      <w:r>
        <w:rPr>
          <w:rFonts w:hint="eastAsia" w:ascii="宋体" w:hAnsi="宋体" w:eastAsia="宋体" w:cs="宋体"/>
          <w:snapToGrid w:val="0"/>
          <w:color w:val="auto"/>
          <w:sz w:val="24"/>
          <w:szCs w:val="24"/>
          <w:highlight w:val="none"/>
          <w:lang w:val="en-US" w:eastAsia="zh-CN"/>
        </w:rPr>
        <w:t xml:space="preserve">   </w:t>
      </w:r>
      <w:r>
        <w:rPr>
          <w:rFonts w:hint="eastAsia" w:ascii="宋体" w:hAnsi="宋体" w:eastAsia="宋体" w:cs="宋体"/>
          <w:snapToGrid w:val="0"/>
          <w:color w:val="auto"/>
          <w:sz w:val="24"/>
          <w:szCs w:val="24"/>
          <w:highlight w:val="none"/>
        </w:rPr>
        <w:t>技术要求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_Toc15674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03802F8">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_Toc20016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1.房屋建筑工程建设项目</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_Toc20016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7C0F801">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_Toc14167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2.市政基础设施工程建设项目</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_Toc14167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E276850">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_Toc16378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3.备查要求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_Toc16378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1569468">
      <w:pPr>
        <w:pStyle w:val="18"/>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_Toc20794 </w:instrText>
      </w:r>
      <w:r>
        <w:rPr>
          <w:rFonts w:hint="eastAsia" w:ascii="宋体" w:hAnsi="宋体" w:eastAsia="宋体" w:cs="宋体"/>
          <w:color w:val="auto"/>
          <w:sz w:val="24"/>
          <w:szCs w:val="24"/>
          <w:highlight w:val="none"/>
        </w:rPr>
        <w:fldChar w:fldCharType="separate"/>
      </w:r>
      <w:r>
        <w:rPr>
          <w:rFonts w:hint="eastAsia" w:ascii="宋体" w:hAnsi="宋体" w:eastAsia="宋体" w:cs="宋体"/>
          <w:snapToGrid w:val="0"/>
          <w:color w:val="auto"/>
          <w:sz w:val="24"/>
          <w:szCs w:val="24"/>
          <w:highlight w:val="none"/>
        </w:rPr>
        <w:t>第五章</w:t>
      </w:r>
      <w:r>
        <w:rPr>
          <w:rFonts w:hint="eastAsia" w:ascii="宋体" w:hAnsi="宋体" w:eastAsia="宋体" w:cs="宋体"/>
          <w:snapToGrid w:val="0"/>
          <w:color w:val="auto"/>
          <w:sz w:val="24"/>
          <w:szCs w:val="24"/>
          <w:highlight w:val="none"/>
          <w:lang w:val="en-US" w:eastAsia="zh-CN"/>
        </w:rPr>
        <w:t xml:space="preserve">   </w:t>
      </w:r>
      <w:r>
        <w:rPr>
          <w:rFonts w:hint="eastAsia" w:ascii="宋体" w:hAnsi="宋体" w:eastAsia="宋体" w:cs="宋体"/>
          <w:snapToGrid w:val="0"/>
          <w:color w:val="auto"/>
          <w:sz w:val="24"/>
          <w:szCs w:val="24"/>
          <w:highlight w:val="none"/>
        </w:rPr>
        <w:t>图纸和招标工程量清单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_Toc20794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E11F276">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_Toc30123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1.图纸</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_Toc30123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1A5F183">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_Toc12986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2.招标工程量清单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_Toc12986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816B66C">
      <w:pPr>
        <w:pStyle w:val="18"/>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_Toc9115 </w:instrText>
      </w:r>
      <w:r>
        <w:rPr>
          <w:rFonts w:hint="eastAsia" w:ascii="宋体" w:hAnsi="宋体" w:eastAsia="宋体" w:cs="宋体"/>
          <w:color w:val="auto"/>
          <w:sz w:val="24"/>
          <w:szCs w:val="24"/>
          <w:highlight w:val="none"/>
        </w:rPr>
        <w:fldChar w:fldCharType="separate"/>
      </w:r>
      <w:r>
        <w:rPr>
          <w:rFonts w:hint="eastAsia" w:ascii="宋体" w:hAnsi="宋体" w:eastAsia="宋体" w:cs="宋体"/>
          <w:snapToGrid w:val="0"/>
          <w:color w:val="auto"/>
          <w:sz w:val="24"/>
          <w:szCs w:val="24"/>
          <w:highlight w:val="none"/>
        </w:rPr>
        <w:t>第六章</w:t>
      </w:r>
      <w:r>
        <w:rPr>
          <w:rFonts w:hint="eastAsia" w:ascii="宋体" w:hAnsi="宋体" w:eastAsia="宋体" w:cs="宋体"/>
          <w:snapToGrid w:val="0"/>
          <w:color w:val="auto"/>
          <w:sz w:val="24"/>
          <w:szCs w:val="24"/>
          <w:highlight w:val="none"/>
          <w:lang w:val="en-US" w:eastAsia="zh-CN"/>
        </w:rPr>
        <w:t xml:space="preserve">   </w:t>
      </w:r>
      <w:r>
        <w:rPr>
          <w:rFonts w:hint="eastAsia" w:ascii="宋体" w:hAnsi="宋体" w:eastAsia="宋体" w:cs="宋体"/>
          <w:snapToGrid w:val="0"/>
          <w:color w:val="auto"/>
          <w:sz w:val="24"/>
          <w:szCs w:val="24"/>
          <w:highlight w:val="none"/>
        </w:rPr>
        <w:t>投标文件格式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_Toc9115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EE05EC8">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_Toc9017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格式一   封面</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_Toc9017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1E4696">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_Toc3662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格式二   投标函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_Toc3662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143FFC3">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_Toc11570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格式三   各项承诺一览表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_Toc11570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279CC06">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_Toc5707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格式四   授权委托书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_Toc5707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AA2A2D5">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_Toc5924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格式五   法定代表人身份证明</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_Toc5924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B509EF5">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_Toc30690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格式六    投标人基本情况表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_Toc30690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91141F4">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_Toc9402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格式七   项目经理简历表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_Toc9402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4AB15B6">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_Toc1577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格式八   项目经理任职声明</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_Toc1577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A0E4ECD">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_Toc27243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格式九   项目技术负责人简历表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_Toc27243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3AA32A6">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_Toc8868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格式十   项目管理机构组成表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_Toc8868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E70B47B">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_Toc3817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格式十一  建造师查询页（有效期+建造师签字）</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_Toc3817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26C940">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_Toc32638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格式十二  危险性较大的分部分项工程清单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_Toc32638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6E449D4">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_Toc27981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格式十三  企业参与“百千万工程”结对帮扶相关情况说明</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_Toc27981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2BACDDC">
      <w:pPr>
        <w:pStyle w:val="12"/>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_Toc27981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lang w:val="en-US" w:eastAsia="zh-CN"/>
        </w:rPr>
        <w:t>格式十四  原件一览表（如有）</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_Toc27981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F2CD8A0">
      <w:pPr>
        <w:pStyle w:val="18"/>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_Toc9150 </w:instrText>
      </w:r>
      <w:r>
        <w:rPr>
          <w:rFonts w:hint="eastAsia" w:ascii="宋体" w:hAnsi="宋体" w:eastAsia="宋体" w:cs="宋体"/>
          <w:color w:val="auto"/>
          <w:sz w:val="24"/>
          <w:szCs w:val="24"/>
          <w:highlight w:val="none"/>
        </w:rPr>
        <w:fldChar w:fldCharType="separate"/>
      </w:r>
      <w:r>
        <w:rPr>
          <w:rFonts w:hint="eastAsia" w:ascii="宋体" w:hAnsi="宋体" w:eastAsia="宋体" w:cs="宋体"/>
          <w:snapToGrid w:val="0"/>
          <w:color w:val="auto"/>
          <w:sz w:val="24"/>
          <w:szCs w:val="24"/>
          <w:highlight w:val="none"/>
        </w:rPr>
        <w:t>第七章</w:t>
      </w:r>
      <w:r>
        <w:rPr>
          <w:rFonts w:hint="eastAsia" w:ascii="宋体" w:hAnsi="宋体" w:eastAsia="宋体" w:cs="宋体"/>
          <w:snapToGrid w:val="0"/>
          <w:color w:val="auto"/>
          <w:sz w:val="24"/>
          <w:szCs w:val="24"/>
          <w:highlight w:val="none"/>
          <w:lang w:val="en-US" w:eastAsia="zh-CN"/>
        </w:rPr>
        <w:t xml:space="preserve">   </w:t>
      </w:r>
      <w:r>
        <w:rPr>
          <w:rFonts w:hint="eastAsia" w:ascii="宋体" w:hAnsi="宋体" w:eastAsia="宋体" w:cs="宋体"/>
          <w:snapToGrid w:val="0"/>
          <w:color w:val="auto"/>
          <w:sz w:val="24"/>
          <w:szCs w:val="24"/>
          <w:highlight w:val="none"/>
        </w:rPr>
        <w:t>建设工程施工合同</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_Toc9150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3D428A8">
      <w:pPr>
        <w:spacing w:line="360" w:lineRule="auto"/>
        <w:rPr>
          <w:rFonts w:hint="eastAsia" w:ascii="宋体" w:hAnsi="宋体" w:eastAsia="宋体" w:cs="宋体"/>
          <w:color w:val="auto"/>
          <w:highlight w:val="none"/>
        </w:rPr>
      </w:pPr>
      <w:r>
        <w:rPr>
          <w:rFonts w:hint="eastAsia" w:ascii="宋体" w:hAnsi="宋体" w:eastAsia="宋体" w:cs="宋体"/>
          <w:color w:val="auto"/>
          <w:sz w:val="24"/>
          <w:szCs w:val="24"/>
          <w:highlight w:val="none"/>
        </w:rPr>
        <w:fldChar w:fldCharType="end"/>
      </w:r>
    </w:p>
    <w:p w14:paraId="7564E88E">
      <w:pPr>
        <w:rPr>
          <w:rFonts w:hint="eastAsia" w:ascii="宋体" w:hAnsi="宋体" w:eastAsia="宋体" w:cs="宋体"/>
          <w:color w:val="auto"/>
          <w:highlight w:val="none"/>
        </w:rPr>
      </w:pPr>
    </w:p>
    <w:p w14:paraId="7C1F4BF7">
      <w:pPr>
        <w:rPr>
          <w:rFonts w:hint="eastAsia" w:ascii="宋体" w:hAnsi="宋体" w:eastAsia="宋体" w:cs="宋体"/>
          <w:color w:val="auto"/>
          <w:highlight w:val="none"/>
        </w:rPr>
      </w:pPr>
    </w:p>
    <w:p w14:paraId="420029F4">
      <w:pPr>
        <w:rPr>
          <w:rFonts w:hint="eastAsia" w:ascii="宋体" w:hAnsi="宋体" w:eastAsia="宋体" w:cs="宋体"/>
          <w:color w:val="auto"/>
          <w:highlight w:val="none"/>
        </w:rPr>
      </w:pPr>
    </w:p>
    <w:p w14:paraId="68ECA4E8">
      <w:pPr>
        <w:rPr>
          <w:rFonts w:hint="eastAsia" w:ascii="宋体" w:hAnsi="宋体" w:eastAsia="宋体" w:cs="宋体"/>
          <w:color w:val="auto"/>
          <w:highlight w:val="none"/>
        </w:rPr>
      </w:pPr>
    </w:p>
    <w:p w14:paraId="79182F93">
      <w:pPr>
        <w:rPr>
          <w:rFonts w:hint="eastAsia" w:ascii="宋体" w:hAnsi="宋体" w:eastAsia="宋体" w:cs="宋体"/>
          <w:color w:val="auto"/>
          <w:highlight w:val="none"/>
        </w:rPr>
      </w:pPr>
    </w:p>
    <w:p w14:paraId="62373BAB">
      <w:pPr>
        <w:rPr>
          <w:rFonts w:hint="eastAsia" w:ascii="宋体" w:hAnsi="宋体" w:eastAsia="宋体" w:cs="宋体"/>
          <w:color w:val="auto"/>
          <w:highlight w:val="none"/>
        </w:rPr>
      </w:pPr>
    </w:p>
    <w:p w14:paraId="19CB5DA6">
      <w:pPr>
        <w:rPr>
          <w:rFonts w:hint="eastAsia" w:ascii="宋体" w:hAnsi="宋体" w:eastAsia="宋体" w:cs="宋体"/>
          <w:color w:val="auto"/>
          <w:highlight w:val="none"/>
        </w:rPr>
      </w:pPr>
    </w:p>
    <w:p w14:paraId="3867D067">
      <w:pPr>
        <w:rPr>
          <w:rFonts w:hint="eastAsia" w:ascii="宋体" w:hAnsi="宋体" w:eastAsia="宋体" w:cs="宋体"/>
          <w:color w:val="auto"/>
          <w:highlight w:val="none"/>
        </w:rPr>
      </w:pPr>
    </w:p>
    <w:p w14:paraId="4875EE50">
      <w:pPr>
        <w:rPr>
          <w:rFonts w:hint="eastAsia" w:ascii="宋体" w:hAnsi="宋体" w:eastAsia="宋体" w:cs="宋体"/>
          <w:color w:val="auto"/>
          <w:highlight w:val="none"/>
        </w:rPr>
      </w:pPr>
    </w:p>
    <w:p w14:paraId="2123AD50">
      <w:pPr>
        <w:rPr>
          <w:rFonts w:hint="eastAsia" w:ascii="宋体" w:hAnsi="宋体" w:eastAsia="宋体" w:cs="宋体"/>
          <w:color w:val="auto"/>
          <w:highlight w:val="none"/>
        </w:rPr>
      </w:pPr>
    </w:p>
    <w:p w14:paraId="7466D9C8">
      <w:pPr>
        <w:rPr>
          <w:rFonts w:hint="eastAsia" w:ascii="宋体" w:hAnsi="宋体" w:eastAsia="宋体" w:cs="宋体"/>
          <w:color w:val="auto"/>
          <w:highlight w:val="none"/>
        </w:rPr>
      </w:pPr>
    </w:p>
    <w:p w14:paraId="6D2BFC2A">
      <w:pPr>
        <w:rPr>
          <w:rFonts w:hint="eastAsia" w:ascii="宋体" w:hAnsi="宋体" w:eastAsia="宋体" w:cs="宋体"/>
          <w:color w:val="auto"/>
          <w:highlight w:val="none"/>
        </w:rPr>
      </w:pPr>
    </w:p>
    <w:p w14:paraId="0DFC8067">
      <w:pPr>
        <w:rPr>
          <w:rFonts w:hint="eastAsia" w:ascii="宋体" w:hAnsi="宋体" w:eastAsia="宋体" w:cs="宋体"/>
          <w:color w:val="auto"/>
          <w:highlight w:val="none"/>
        </w:rPr>
      </w:pPr>
    </w:p>
    <w:p w14:paraId="71DF745A">
      <w:pPr>
        <w:rPr>
          <w:rFonts w:hint="eastAsia" w:ascii="宋体" w:hAnsi="宋体" w:eastAsia="宋体" w:cs="宋体"/>
          <w:color w:val="auto"/>
          <w:highlight w:val="none"/>
        </w:rPr>
      </w:pPr>
    </w:p>
    <w:p w14:paraId="5C085656">
      <w:pPr>
        <w:rPr>
          <w:rFonts w:hint="eastAsia" w:ascii="宋体" w:hAnsi="宋体" w:eastAsia="宋体" w:cs="宋体"/>
          <w:color w:val="auto"/>
          <w:highlight w:val="none"/>
        </w:rPr>
      </w:pPr>
    </w:p>
    <w:p w14:paraId="4D1E29BB">
      <w:pPr>
        <w:rPr>
          <w:rFonts w:hint="eastAsia" w:ascii="宋体" w:hAnsi="宋体" w:eastAsia="宋体" w:cs="宋体"/>
          <w:color w:val="auto"/>
          <w:highlight w:val="none"/>
        </w:rPr>
      </w:pPr>
    </w:p>
    <w:p w14:paraId="4180232D">
      <w:pPr>
        <w:rPr>
          <w:rFonts w:hint="eastAsia" w:ascii="宋体" w:hAnsi="宋体" w:eastAsia="宋体" w:cs="宋体"/>
          <w:color w:val="auto"/>
          <w:highlight w:val="none"/>
        </w:rPr>
      </w:pPr>
    </w:p>
    <w:p w14:paraId="7085D8F3">
      <w:pPr>
        <w:rPr>
          <w:rFonts w:hint="eastAsia" w:ascii="宋体" w:hAnsi="宋体" w:eastAsia="宋体" w:cs="宋体"/>
          <w:color w:val="auto"/>
          <w:highlight w:val="none"/>
        </w:rPr>
      </w:pPr>
    </w:p>
    <w:p w14:paraId="74152661">
      <w:pPr>
        <w:rPr>
          <w:rFonts w:hint="eastAsia" w:ascii="宋体" w:hAnsi="宋体" w:eastAsia="宋体" w:cs="宋体"/>
          <w:color w:val="auto"/>
          <w:highlight w:val="none"/>
        </w:rPr>
      </w:pPr>
    </w:p>
    <w:p w14:paraId="26D49929">
      <w:pPr>
        <w:rPr>
          <w:rFonts w:hint="eastAsia" w:ascii="宋体" w:hAnsi="宋体" w:eastAsia="宋体" w:cs="宋体"/>
          <w:b/>
          <w:bCs/>
          <w:color w:val="auto"/>
          <w:spacing w:val="-3"/>
          <w:sz w:val="32"/>
          <w:szCs w:val="32"/>
          <w:highlight w:val="none"/>
        </w:rPr>
      </w:pPr>
      <w:bookmarkStart w:id="0" w:name="bookmark1"/>
      <w:bookmarkEnd w:id="0"/>
      <w:bookmarkStart w:id="1" w:name="_Toc19872"/>
      <w:bookmarkStart w:id="2" w:name="_Toc5047"/>
      <w:r>
        <w:rPr>
          <w:rFonts w:hint="eastAsia" w:ascii="宋体" w:hAnsi="宋体" w:eastAsia="宋体" w:cs="宋体"/>
          <w:b/>
          <w:bCs/>
          <w:color w:val="auto"/>
          <w:spacing w:val="-3"/>
          <w:sz w:val="32"/>
          <w:szCs w:val="32"/>
          <w:highlight w:val="none"/>
        </w:rPr>
        <w:br w:type="page"/>
      </w:r>
    </w:p>
    <w:p w14:paraId="4AC2D249">
      <w:pPr>
        <w:spacing w:before="78" w:line="360" w:lineRule="auto"/>
        <w:jc w:val="center"/>
        <w:outlineLvl w:val="0"/>
        <w:rPr>
          <w:rFonts w:hint="eastAsia" w:ascii="宋体" w:hAnsi="宋体" w:eastAsia="宋体" w:cs="宋体"/>
          <w:color w:val="auto"/>
          <w:sz w:val="32"/>
          <w:szCs w:val="32"/>
          <w:highlight w:val="none"/>
        </w:rPr>
      </w:pPr>
      <w:r>
        <w:rPr>
          <w:rFonts w:hint="eastAsia" w:ascii="宋体" w:hAnsi="宋体" w:eastAsia="宋体" w:cs="宋体"/>
          <w:b/>
          <w:bCs/>
          <w:color w:val="auto"/>
          <w:spacing w:val="-3"/>
          <w:sz w:val="32"/>
          <w:szCs w:val="32"/>
          <w:highlight w:val="none"/>
        </w:rPr>
        <w:t>第一章</w:t>
      </w:r>
      <w:r>
        <w:rPr>
          <w:rFonts w:hint="eastAsia" w:ascii="宋体" w:hAnsi="宋体" w:eastAsia="宋体" w:cs="宋体"/>
          <w:color w:val="auto"/>
          <w:spacing w:val="-3"/>
          <w:sz w:val="32"/>
          <w:szCs w:val="32"/>
          <w:highlight w:val="none"/>
          <w:lang w:val="en-US" w:eastAsia="zh-CN"/>
        </w:rPr>
        <w:t xml:space="preserve">   </w:t>
      </w:r>
      <w:r>
        <w:rPr>
          <w:rFonts w:hint="eastAsia" w:ascii="宋体" w:hAnsi="宋体" w:eastAsia="宋体" w:cs="宋体"/>
          <w:b/>
          <w:bCs/>
          <w:color w:val="auto"/>
          <w:spacing w:val="-3"/>
          <w:sz w:val="32"/>
          <w:szCs w:val="32"/>
          <w:highlight w:val="none"/>
        </w:rPr>
        <w:t>投标人须知</w:t>
      </w:r>
      <w:bookmarkEnd w:id="1"/>
      <w:bookmarkEnd w:id="2"/>
    </w:p>
    <w:p w14:paraId="13D06031">
      <w:pPr>
        <w:spacing w:before="156" w:line="360" w:lineRule="auto"/>
        <w:ind w:left="17"/>
        <w:jc w:val="center"/>
        <w:outlineLvl w:val="1"/>
        <w:rPr>
          <w:rFonts w:hint="eastAsia" w:ascii="宋体" w:hAnsi="宋体" w:eastAsia="宋体" w:cs="宋体"/>
          <w:b/>
          <w:bCs/>
          <w:color w:val="auto"/>
          <w:spacing w:val="-3"/>
          <w:sz w:val="24"/>
          <w:szCs w:val="24"/>
          <w:highlight w:val="none"/>
        </w:rPr>
      </w:pPr>
      <w:bookmarkStart w:id="3" w:name="bookmark3"/>
      <w:bookmarkEnd w:id="3"/>
      <w:bookmarkStart w:id="4" w:name="_Toc23115"/>
      <w:bookmarkStart w:id="5" w:name="_Toc1665"/>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b/>
          <w:bCs/>
          <w:color w:val="auto"/>
          <w:spacing w:val="-3"/>
          <w:sz w:val="24"/>
          <w:szCs w:val="24"/>
          <w:highlight w:val="none"/>
        </w:rPr>
        <w:t>投标人须知前附表</w:t>
      </w:r>
      <w:bookmarkEnd w:id="4"/>
      <w:bookmarkEnd w:id="5"/>
    </w:p>
    <w:tbl>
      <w:tblPr>
        <w:tblStyle w:val="24"/>
        <w:tblW w:w="9607"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915"/>
        <w:gridCol w:w="6996"/>
      </w:tblGrid>
      <w:tr w14:paraId="63ED7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696" w:type="dxa"/>
            <w:shd w:val="clear" w:color="auto" w:fill="auto"/>
            <w:vAlign w:val="center"/>
          </w:tcPr>
          <w:p w14:paraId="12D8BDD1">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序号</w:t>
            </w:r>
          </w:p>
        </w:tc>
        <w:tc>
          <w:tcPr>
            <w:tcW w:w="1915" w:type="dxa"/>
            <w:shd w:val="clear" w:color="auto" w:fill="auto"/>
            <w:vAlign w:val="center"/>
          </w:tcPr>
          <w:p w14:paraId="22FEF7B0">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内容</w:t>
            </w:r>
          </w:p>
        </w:tc>
        <w:tc>
          <w:tcPr>
            <w:tcW w:w="6996" w:type="dxa"/>
            <w:shd w:val="clear" w:color="auto" w:fill="auto"/>
            <w:vAlign w:val="center"/>
          </w:tcPr>
          <w:p w14:paraId="74498EEA">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说明与要求</w:t>
            </w:r>
          </w:p>
        </w:tc>
      </w:tr>
      <w:tr w14:paraId="3CD6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shd w:val="clear" w:color="auto" w:fill="auto"/>
            <w:vAlign w:val="center"/>
          </w:tcPr>
          <w:p w14:paraId="2B1A436D">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1</w:t>
            </w:r>
          </w:p>
        </w:tc>
        <w:tc>
          <w:tcPr>
            <w:tcW w:w="1915" w:type="dxa"/>
            <w:shd w:val="clear" w:color="auto" w:fill="auto"/>
            <w:vAlign w:val="center"/>
          </w:tcPr>
          <w:p w14:paraId="4C8CBA03">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项目名称</w:t>
            </w:r>
          </w:p>
        </w:tc>
        <w:tc>
          <w:tcPr>
            <w:tcW w:w="6996" w:type="dxa"/>
            <w:shd w:val="clear" w:color="auto" w:fill="auto"/>
            <w:vAlign w:val="center"/>
          </w:tcPr>
          <w:p w14:paraId="47E182F2">
            <w:pPr>
              <w:pStyle w:val="58"/>
              <w:keepNext w:val="0"/>
              <w:keepLines w:val="0"/>
              <w:pageBreakBefore w:val="0"/>
              <w:widowControl w:val="0"/>
              <w:tabs>
                <w:tab w:val="left" w:pos="1890"/>
              </w:tabs>
              <w:kinsoku/>
              <w:wordWrap/>
              <w:overflowPunct/>
              <w:topLinePunct w:val="0"/>
              <w:autoSpaceDE/>
              <w:autoSpaceDN/>
              <w:bidi w:val="0"/>
              <w:spacing w:line="288" w:lineRule="auto"/>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翁源县“百千万工程”之全域推进农村人居环境整治建设项目（官渡镇五四村）施工</w:t>
            </w:r>
          </w:p>
        </w:tc>
      </w:tr>
      <w:tr w14:paraId="0CAF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696" w:type="dxa"/>
            <w:shd w:val="clear" w:color="auto" w:fill="auto"/>
            <w:vAlign w:val="center"/>
          </w:tcPr>
          <w:p w14:paraId="7DD79EB0">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2</w:t>
            </w:r>
          </w:p>
        </w:tc>
        <w:tc>
          <w:tcPr>
            <w:tcW w:w="1915" w:type="dxa"/>
            <w:shd w:val="clear" w:color="auto" w:fill="auto"/>
            <w:vAlign w:val="center"/>
          </w:tcPr>
          <w:p w14:paraId="0BB16C07">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项目业主</w:t>
            </w:r>
          </w:p>
        </w:tc>
        <w:tc>
          <w:tcPr>
            <w:tcW w:w="6996" w:type="dxa"/>
            <w:shd w:val="clear" w:color="auto" w:fill="auto"/>
            <w:vAlign w:val="center"/>
          </w:tcPr>
          <w:p w14:paraId="4A9E22FB">
            <w:pPr>
              <w:pStyle w:val="58"/>
              <w:keepNext w:val="0"/>
              <w:keepLines w:val="0"/>
              <w:pageBreakBefore w:val="0"/>
              <w:widowControl w:val="0"/>
              <w:tabs>
                <w:tab w:val="left" w:pos="1890"/>
              </w:tabs>
              <w:kinsoku/>
              <w:wordWrap/>
              <w:overflowPunct/>
              <w:topLinePunct w:val="0"/>
              <w:autoSpaceDE/>
              <w:autoSpaceDN/>
              <w:bidi w:val="0"/>
              <w:spacing w:line="288" w:lineRule="auto"/>
              <w:jc w:val="both"/>
              <w:textAlignment w:val="auto"/>
              <w:rPr>
                <w:rFonts w:hint="eastAsia" w:ascii="宋体" w:hAnsi="宋体" w:eastAsia="宋体" w:cs="宋体"/>
                <w:color w:val="auto"/>
                <w:highlight w:val="none"/>
                <w:lang w:val="en-US" w:eastAsia="zh-CN"/>
              </w:rPr>
            </w:pPr>
            <w:r>
              <w:rPr>
                <w:rFonts w:hint="default" w:ascii="宋体" w:hAnsi="宋体" w:eastAsia="宋体" w:cs="宋体"/>
                <w:color w:val="auto"/>
                <w:szCs w:val="22"/>
                <w:highlight w:val="none"/>
                <w:lang w:val="en-US" w:eastAsia="zh-CN"/>
              </w:rPr>
              <w:t>翁源县农业农村局</w:t>
            </w:r>
          </w:p>
        </w:tc>
      </w:tr>
      <w:tr w14:paraId="531AF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shd w:val="clear" w:color="auto" w:fill="auto"/>
            <w:vAlign w:val="center"/>
          </w:tcPr>
          <w:p w14:paraId="30E7F68C">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3</w:t>
            </w:r>
          </w:p>
        </w:tc>
        <w:tc>
          <w:tcPr>
            <w:tcW w:w="1915" w:type="dxa"/>
            <w:shd w:val="clear" w:color="auto" w:fill="auto"/>
            <w:vAlign w:val="center"/>
          </w:tcPr>
          <w:p w14:paraId="29404D93">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项目批准部门及项目批准文号</w:t>
            </w:r>
          </w:p>
        </w:tc>
        <w:tc>
          <w:tcPr>
            <w:tcW w:w="6996" w:type="dxa"/>
            <w:shd w:val="clear" w:color="auto" w:fill="auto"/>
            <w:vAlign w:val="center"/>
          </w:tcPr>
          <w:p w14:paraId="1E2A46EE">
            <w:pPr>
              <w:keepNext w:val="0"/>
              <w:keepLines w:val="0"/>
              <w:pageBreakBefore w:val="0"/>
              <w:widowControl w:val="0"/>
              <w:wordWrap/>
              <w:overflowPunct/>
              <w:topLinePunct w:val="0"/>
              <w:bidi w:val="0"/>
              <w:spacing w:line="288" w:lineRule="auto"/>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翁源县发展和改革局/翁发改投审〔2025〕25号</w:t>
            </w:r>
          </w:p>
        </w:tc>
      </w:tr>
      <w:tr w14:paraId="5CFE8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96" w:type="dxa"/>
            <w:shd w:val="clear" w:color="auto" w:fill="auto"/>
            <w:vAlign w:val="center"/>
          </w:tcPr>
          <w:p w14:paraId="27DABC12">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4</w:t>
            </w:r>
          </w:p>
        </w:tc>
        <w:tc>
          <w:tcPr>
            <w:tcW w:w="1915" w:type="dxa"/>
            <w:shd w:val="clear" w:color="auto" w:fill="auto"/>
            <w:vAlign w:val="center"/>
          </w:tcPr>
          <w:p w14:paraId="3A0A9D27">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建设地点</w:t>
            </w:r>
          </w:p>
        </w:tc>
        <w:tc>
          <w:tcPr>
            <w:tcW w:w="6996" w:type="dxa"/>
            <w:shd w:val="clear" w:color="auto" w:fill="auto"/>
            <w:vAlign w:val="center"/>
          </w:tcPr>
          <w:p w14:paraId="38C16A43">
            <w:pPr>
              <w:pStyle w:val="58"/>
              <w:keepNext w:val="0"/>
              <w:keepLines w:val="0"/>
              <w:pageBreakBefore w:val="0"/>
              <w:widowControl w:val="0"/>
              <w:tabs>
                <w:tab w:val="left" w:pos="1890"/>
              </w:tabs>
              <w:kinsoku/>
              <w:wordWrap/>
              <w:overflowPunct/>
              <w:topLinePunct w:val="0"/>
              <w:autoSpaceDE/>
              <w:autoSpaceDN/>
              <w:bidi w:val="0"/>
              <w:spacing w:line="288" w:lineRule="auto"/>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韶关市翁源县官渡镇五四村</w:t>
            </w:r>
          </w:p>
        </w:tc>
      </w:tr>
      <w:tr w14:paraId="61BF2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696" w:type="dxa"/>
            <w:shd w:val="clear" w:color="auto" w:fill="auto"/>
            <w:vAlign w:val="center"/>
          </w:tcPr>
          <w:p w14:paraId="12BEDC11">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5</w:t>
            </w:r>
          </w:p>
        </w:tc>
        <w:tc>
          <w:tcPr>
            <w:tcW w:w="1915" w:type="dxa"/>
            <w:shd w:val="clear" w:color="auto" w:fill="auto"/>
            <w:vAlign w:val="center"/>
          </w:tcPr>
          <w:p w14:paraId="584632BE">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项目代码</w:t>
            </w:r>
          </w:p>
        </w:tc>
        <w:tc>
          <w:tcPr>
            <w:tcW w:w="6996" w:type="dxa"/>
            <w:shd w:val="clear" w:color="auto" w:fill="auto"/>
            <w:vAlign w:val="center"/>
          </w:tcPr>
          <w:p w14:paraId="64CCED7B">
            <w:pPr>
              <w:pStyle w:val="58"/>
              <w:keepNext w:val="0"/>
              <w:keepLines w:val="0"/>
              <w:pageBreakBefore w:val="0"/>
              <w:widowControl w:val="0"/>
              <w:tabs>
                <w:tab w:val="left" w:pos="1890"/>
              </w:tabs>
              <w:kinsoku/>
              <w:wordWrap/>
              <w:overflowPunct/>
              <w:topLinePunct w:val="0"/>
              <w:autoSpaceDE/>
              <w:autoSpaceDN/>
              <w:bidi w:val="0"/>
              <w:spacing w:line="288" w:lineRule="auto"/>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szCs w:val="24"/>
                <w:highlight w:val="none"/>
                <w:lang w:val="en-US" w:eastAsia="zh-CN"/>
              </w:rPr>
              <w:t>2412-440229-04-01-525170</w:t>
            </w:r>
          </w:p>
        </w:tc>
      </w:tr>
      <w:tr w14:paraId="457CA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696" w:type="dxa"/>
            <w:shd w:val="clear" w:color="auto" w:fill="auto"/>
            <w:vAlign w:val="center"/>
          </w:tcPr>
          <w:p w14:paraId="7A294FA5">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6</w:t>
            </w:r>
          </w:p>
        </w:tc>
        <w:tc>
          <w:tcPr>
            <w:tcW w:w="1915" w:type="dxa"/>
            <w:shd w:val="clear" w:color="auto" w:fill="auto"/>
            <w:vAlign w:val="center"/>
          </w:tcPr>
          <w:p w14:paraId="080B0AF2">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资金来源及落实情况</w:t>
            </w:r>
          </w:p>
        </w:tc>
        <w:tc>
          <w:tcPr>
            <w:tcW w:w="6996" w:type="dxa"/>
            <w:shd w:val="clear" w:color="auto" w:fill="auto"/>
            <w:vAlign w:val="center"/>
          </w:tcPr>
          <w:p w14:paraId="27678567">
            <w:pPr>
              <w:pStyle w:val="58"/>
              <w:keepNext w:val="0"/>
              <w:keepLines w:val="0"/>
              <w:pageBreakBefore w:val="0"/>
              <w:widowControl w:val="0"/>
              <w:tabs>
                <w:tab w:val="left" w:pos="1890"/>
              </w:tabs>
              <w:kinsoku/>
              <w:wordWrap/>
              <w:overflowPunct/>
              <w:topLinePunct w:val="0"/>
              <w:autoSpaceDE/>
              <w:autoSpaceDN/>
              <w:bidi w:val="0"/>
              <w:spacing w:line="288" w:lineRule="auto"/>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争取地方政府专项债券资金及上级专项资金解决，不足部分由县级财政统筹解决</w:t>
            </w:r>
            <w:r>
              <w:rPr>
                <w:rFonts w:hint="eastAsia" w:ascii="宋体" w:hAnsi="宋体" w:eastAsia="宋体" w:cs="宋体"/>
                <w:bCs/>
                <w:snapToGrid w:val="0"/>
                <w:color w:val="auto"/>
                <w:kern w:val="0"/>
                <w:sz w:val="24"/>
                <w:szCs w:val="24"/>
                <w:highlight w:val="none"/>
                <w:lang w:val="en-US" w:eastAsia="zh-CN"/>
              </w:rPr>
              <w:t>，100%</w:t>
            </w:r>
            <w:r>
              <w:rPr>
                <w:rFonts w:hint="eastAsia" w:hAnsi="宋体" w:cs="宋体"/>
                <w:color w:val="auto"/>
                <w:highlight w:val="none"/>
                <w:lang w:val="en-US" w:eastAsia="zh-CN"/>
              </w:rPr>
              <w:t>。</w:t>
            </w:r>
          </w:p>
        </w:tc>
      </w:tr>
      <w:tr w14:paraId="3ABB4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96" w:type="dxa"/>
            <w:shd w:val="clear" w:color="auto" w:fill="auto"/>
            <w:vAlign w:val="center"/>
          </w:tcPr>
          <w:p w14:paraId="6CE6D1A2">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7</w:t>
            </w:r>
          </w:p>
        </w:tc>
        <w:tc>
          <w:tcPr>
            <w:tcW w:w="1915" w:type="dxa"/>
            <w:shd w:val="clear" w:color="auto" w:fill="auto"/>
            <w:vAlign w:val="center"/>
          </w:tcPr>
          <w:p w14:paraId="1CFFA4AE">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招标人</w:t>
            </w:r>
          </w:p>
        </w:tc>
        <w:tc>
          <w:tcPr>
            <w:tcW w:w="6996" w:type="dxa"/>
            <w:shd w:val="clear" w:color="auto" w:fill="auto"/>
            <w:vAlign w:val="center"/>
          </w:tcPr>
          <w:p w14:paraId="6EA0E60E">
            <w:pPr>
              <w:pStyle w:val="58"/>
              <w:keepNext w:val="0"/>
              <w:keepLines w:val="0"/>
              <w:pageBreakBefore w:val="0"/>
              <w:widowControl w:val="0"/>
              <w:tabs>
                <w:tab w:val="left" w:pos="1890"/>
              </w:tabs>
              <w:kinsoku/>
              <w:wordWrap/>
              <w:overflowPunct/>
              <w:topLinePunct w:val="0"/>
              <w:autoSpaceDE/>
              <w:autoSpaceDN/>
              <w:bidi w:val="0"/>
              <w:spacing w:line="288" w:lineRule="auto"/>
              <w:jc w:val="both"/>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翁源县官渡镇人民政府</w:t>
            </w:r>
          </w:p>
        </w:tc>
      </w:tr>
      <w:tr w14:paraId="51D1C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696" w:type="dxa"/>
            <w:shd w:val="clear" w:color="auto" w:fill="auto"/>
            <w:vAlign w:val="center"/>
          </w:tcPr>
          <w:p w14:paraId="6D592455">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8</w:t>
            </w:r>
          </w:p>
        </w:tc>
        <w:tc>
          <w:tcPr>
            <w:tcW w:w="1915" w:type="dxa"/>
            <w:shd w:val="clear" w:color="auto" w:fill="auto"/>
            <w:vAlign w:val="center"/>
          </w:tcPr>
          <w:p w14:paraId="7DBBF3FF">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招标代理机构</w:t>
            </w:r>
          </w:p>
        </w:tc>
        <w:tc>
          <w:tcPr>
            <w:tcW w:w="6996" w:type="dxa"/>
            <w:shd w:val="clear" w:color="auto" w:fill="auto"/>
            <w:vAlign w:val="center"/>
          </w:tcPr>
          <w:p w14:paraId="7E01111A">
            <w:pPr>
              <w:pStyle w:val="58"/>
              <w:keepNext w:val="0"/>
              <w:keepLines w:val="0"/>
              <w:pageBreakBefore w:val="0"/>
              <w:widowControl w:val="0"/>
              <w:tabs>
                <w:tab w:val="left" w:pos="1890"/>
              </w:tabs>
              <w:kinsoku/>
              <w:wordWrap/>
              <w:overflowPunct/>
              <w:topLinePunct w:val="0"/>
              <w:autoSpaceDE/>
              <w:autoSpaceDN/>
              <w:bidi w:val="0"/>
              <w:spacing w:line="288" w:lineRule="auto"/>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深圳市祺骏建设工程顾问有限公司</w:t>
            </w:r>
          </w:p>
        </w:tc>
      </w:tr>
      <w:tr w14:paraId="6396C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96" w:type="dxa"/>
            <w:shd w:val="clear" w:color="auto" w:fill="auto"/>
            <w:vAlign w:val="center"/>
          </w:tcPr>
          <w:p w14:paraId="05FBA004">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9</w:t>
            </w:r>
          </w:p>
        </w:tc>
        <w:tc>
          <w:tcPr>
            <w:tcW w:w="1915" w:type="dxa"/>
            <w:shd w:val="clear" w:color="auto" w:fill="auto"/>
            <w:vAlign w:val="center"/>
          </w:tcPr>
          <w:p w14:paraId="4934D242">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设计单位</w:t>
            </w:r>
          </w:p>
        </w:tc>
        <w:tc>
          <w:tcPr>
            <w:tcW w:w="6996" w:type="dxa"/>
            <w:shd w:val="clear" w:color="auto" w:fill="auto"/>
            <w:vAlign w:val="center"/>
          </w:tcPr>
          <w:p w14:paraId="1B58AEF7">
            <w:pPr>
              <w:pStyle w:val="58"/>
              <w:keepNext w:val="0"/>
              <w:keepLines w:val="0"/>
              <w:pageBreakBefore w:val="0"/>
              <w:widowControl w:val="0"/>
              <w:tabs>
                <w:tab w:val="left" w:pos="1890"/>
              </w:tabs>
              <w:kinsoku/>
              <w:wordWrap/>
              <w:overflowPunct/>
              <w:topLinePunct w:val="0"/>
              <w:autoSpaceDE/>
              <w:autoSpaceDN/>
              <w:bidi w:val="0"/>
              <w:spacing w:line="288" w:lineRule="auto"/>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永建设计集团有限公司</w:t>
            </w:r>
          </w:p>
        </w:tc>
      </w:tr>
      <w:tr w14:paraId="6669D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696" w:type="dxa"/>
            <w:shd w:val="clear" w:color="auto" w:fill="auto"/>
            <w:vAlign w:val="center"/>
          </w:tcPr>
          <w:p w14:paraId="7507ABE7">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10</w:t>
            </w:r>
          </w:p>
        </w:tc>
        <w:tc>
          <w:tcPr>
            <w:tcW w:w="1915" w:type="dxa"/>
            <w:shd w:val="clear" w:color="auto" w:fill="auto"/>
            <w:vAlign w:val="center"/>
          </w:tcPr>
          <w:p w14:paraId="31845A3F">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造价咨询单位</w:t>
            </w:r>
          </w:p>
        </w:tc>
        <w:tc>
          <w:tcPr>
            <w:tcW w:w="6996" w:type="dxa"/>
            <w:shd w:val="clear" w:color="auto" w:fill="auto"/>
            <w:vAlign w:val="center"/>
          </w:tcPr>
          <w:p w14:paraId="05FF68AB">
            <w:pPr>
              <w:pStyle w:val="58"/>
              <w:keepNext w:val="0"/>
              <w:keepLines w:val="0"/>
              <w:pageBreakBefore w:val="0"/>
              <w:widowControl w:val="0"/>
              <w:tabs>
                <w:tab w:val="left" w:pos="1890"/>
              </w:tabs>
              <w:kinsoku/>
              <w:wordWrap/>
              <w:overflowPunct/>
              <w:topLinePunct w:val="0"/>
              <w:autoSpaceDE/>
              <w:autoSpaceDN/>
              <w:bidi w:val="0"/>
              <w:spacing w:line="288" w:lineRule="auto"/>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□全过程造价咨询  ☑非全过程造价咨询</w:t>
            </w:r>
          </w:p>
        </w:tc>
      </w:tr>
      <w:tr w14:paraId="7409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96" w:type="dxa"/>
            <w:shd w:val="clear" w:color="auto" w:fill="auto"/>
            <w:vAlign w:val="center"/>
          </w:tcPr>
          <w:p w14:paraId="253FD43B">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11</w:t>
            </w:r>
          </w:p>
        </w:tc>
        <w:tc>
          <w:tcPr>
            <w:tcW w:w="1915" w:type="dxa"/>
            <w:shd w:val="clear" w:color="auto" w:fill="auto"/>
            <w:vAlign w:val="center"/>
          </w:tcPr>
          <w:p w14:paraId="7581BD5A">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监理单位</w:t>
            </w:r>
          </w:p>
        </w:tc>
        <w:tc>
          <w:tcPr>
            <w:tcW w:w="6996" w:type="dxa"/>
            <w:shd w:val="clear" w:color="auto" w:fill="auto"/>
            <w:vAlign w:val="center"/>
          </w:tcPr>
          <w:p w14:paraId="46524E60">
            <w:pPr>
              <w:pStyle w:val="58"/>
              <w:keepNext w:val="0"/>
              <w:keepLines w:val="0"/>
              <w:pageBreakBefore w:val="0"/>
              <w:widowControl w:val="0"/>
              <w:tabs>
                <w:tab w:val="left" w:pos="1890"/>
              </w:tabs>
              <w:kinsoku/>
              <w:wordWrap/>
              <w:overflowPunct/>
              <w:topLinePunct w:val="0"/>
              <w:autoSpaceDE/>
              <w:autoSpaceDN/>
              <w:bidi w:val="0"/>
              <w:spacing w:line="288"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□已确定监理单位  ☑未确定监理单位</w:t>
            </w:r>
          </w:p>
        </w:tc>
      </w:tr>
      <w:tr w14:paraId="101C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shd w:val="clear" w:color="auto" w:fill="auto"/>
            <w:vAlign w:val="center"/>
          </w:tcPr>
          <w:p w14:paraId="70A36CB1">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rPr>
              <w:t>2</w:t>
            </w:r>
          </w:p>
        </w:tc>
        <w:tc>
          <w:tcPr>
            <w:tcW w:w="1915" w:type="dxa"/>
            <w:shd w:val="clear" w:color="auto" w:fill="auto"/>
            <w:vAlign w:val="center"/>
          </w:tcPr>
          <w:p w14:paraId="619A359F">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建设内容和规模</w:t>
            </w:r>
          </w:p>
        </w:tc>
        <w:tc>
          <w:tcPr>
            <w:tcW w:w="6996" w:type="dxa"/>
            <w:shd w:val="clear" w:color="auto" w:fill="auto"/>
            <w:vAlign w:val="center"/>
          </w:tcPr>
          <w:p w14:paraId="4FB332E5">
            <w:pPr>
              <w:pStyle w:val="58"/>
              <w:keepNext w:val="0"/>
              <w:keepLines w:val="0"/>
              <w:pageBreakBefore w:val="0"/>
              <w:widowControl w:val="0"/>
              <w:tabs>
                <w:tab w:val="left" w:pos="1890"/>
              </w:tabs>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☑建设内容及建设规模：</w:t>
            </w:r>
            <w:r>
              <w:rPr>
                <w:rFonts w:hint="eastAsia" w:ascii="宋体" w:hAnsi="宋体" w:eastAsia="宋体" w:cs="宋体"/>
                <w:color w:val="auto"/>
                <w:szCs w:val="24"/>
                <w:highlight w:val="none"/>
                <w:lang w:eastAsia="zh-CN"/>
              </w:rPr>
              <w:t>建设内容主要包含人居环境整治提升、农房风貌管控、农村污水治理、道路升级改造、村标建设及周边环境提升、生态停车场建设、村民健身广场建设、四小园建设、“三线”整治等基础设施工程及其他配套设施工程。</w:t>
            </w:r>
          </w:p>
        </w:tc>
      </w:tr>
      <w:tr w14:paraId="04C5A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696" w:type="dxa"/>
            <w:shd w:val="clear" w:color="auto" w:fill="auto"/>
            <w:vAlign w:val="center"/>
          </w:tcPr>
          <w:p w14:paraId="0506480B">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13</w:t>
            </w:r>
          </w:p>
        </w:tc>
        <w:tc>
          <w:tcPr>
            <w:tcW w:w="1915" w:type="dxa"/>
            <w:shd w:val="clear" w:color="auto" w:fill="auto"/>
            <w:vAlign w:val="center"/>
          </w:tcPr>
          <w:p w14:paraId="4D0E768B">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项目总投资</w:t>
            </w:r>
          </w:p>
        </w:tc>
        <w:tc>
          <w:tcPr>
            <w:tcW w:w="6996" w:type="dxa"/>
            <w:shd w:val="clear" w:color="auto" w:fill="auto"/>
            <w:vAlign w:val="center"/>
          </w:tcPr>
          <w:p w14:paraId="1B6007F4">
            <w:pPr>
              <w:pStyle w:val="58"/>
              <w:keepNext w:val="0"/>
              <w:keepLines w:val="0"/>
              <w:pageBreakBefore w:val="0"/>
              <w:widowControl w:val="0"/>
              <w:tabs>
                <w:tab w:val="left" w:pos="1890"/>
              </w:tabs>
              <w:kinsoku/>
              <w:wordWrap/>
              <w:overflowPunct/>
              <w:topLinePunct w:val="0"/>
              <w:autoSpaceDE/>
              <w:autoSpaceDN/>
              <w:bidi w:val="0"/>
              <w:spacing w:line="288"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0"/>
                <w:sz w:val="24"/>
                <w:szCs w:val="24"/>
                <w:highlight w:val="none"/>
                <w:lang w:val="en-US" w:eastAsia="zh-CN" w:bidi="ar-SA"/>
              </w:rPr>
              <w:t>本项目估算总投资</w:t>
            </w:r>
            <w:r>
              <w:rPr>
                <w:rFonts w:hint="eastAsia" w:hAnsi="宋体" w:cs="宋体"/>
                <w:color w:val="auto"/>
                <w:kern w:val="0"/>
                <w:sz w:val="24"/>
                <w:szCs w:val="24"/>
                <w:highlight w:val="none"/>
                <w:lang w:val="en-US" w:eastAsia="zh-CN" w:bidi="ar-SA"/>
              </w:rPr>
              <w:t>约50</w:t>
            </w:r>
            <w:r>
              <w:rPr>
                <w:rFonts w:hint="eastAsia" w:ascii="宋体" w:hAnsi="宋体" w:eastAsia="宋体" w:cs="宋体"/>
                <w:color w:val="auto"/>
                <w:kern w:val="0"/>
                <w:sz w:val="24"/>
                <w:szCs w:val="24"/>
                <w:highlight w:val="none"/>
                <w:lang w:val="en-US" w:eastAsia="zh-CN" w:bidi="ar-SA"/>
              </w:rPr>
              <w:t>0.00万元</w:t>
            </w:r>
            <w:r>
              <w:rPr>
                <w:rFonts w:hint="eastAsia" w:ascii="宋体" w:hAnsi="宋体" w:eastAsia="宋体" w:cs="宋体"/>
                <w:color w:val="auto"/>
                <w:highlight w:val="none"/>
                <w:lang w:val="en-US" w:eastAsia="zh-CN"/>
              </w:rPr>
              <w:t>。</w:t>
            </w:r>
          </w:p>
        </w:tc>
      </w:tr>
      <w:tr w14:paraId="6C5F9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696" w:type="dxa"/>
            <w:shd w:val="clear" w:color="auto" w:fill="auto"/>
            <w:vAlign w:val="center"/>
          </w:tcPr>
          <w:p w14:paraId="32FBFB03">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14</w:t>
            </w:r>
          </w:p>
        </w:tc>
        <w:tc>
          <w:tcPr>
            <w:tcW w:w="1915" w:type="dxa"/>
            <w:shd w:val="clear" w:color="auto" w:fill="auto"/>
            <w:vAlign w:val="center"/>
          </w:tcPr>
          <w:p w14:paraId="441A0E48">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招标范围</w:t>
            </w:r>
          </w:p>
        </w:tc>
        <w:tc>
          <w:tcPr>
            <w:tcW w:w="6996" w:type="dxa"/>
            <w:shd w:val="clear" w:color="auto" w:fill="auto"/>
            <w:vAlign w:val="center"/>
          </w:tcPr>
          <w:p w14:paraId="1369A391">
            <w:pPr>
              <w:pStyle w:val="58"/>
              <w:keepNext w:val="0"/>
              <w:keepLines w:val="0"/>
              <w:pageBreakBefore w:val="0"/>
              <w:widowControl w:val="0"/>
              <w:tabs>
                <w:tab w:val="left" w:pos="1890"/>
              </w:tabs>
              <w:kinsoku/>
              <w:wordWrap/>
              <w:overflowPunct/>
              <w:topLinePunct w:val="0"/>
              <w:autoSpaceDE/>
              <w:autoSpaceDN/>
              <w:bidi w:val="0"/>
              <w:spacing w:line="288" w:lineRule="auto"/>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按审查合格的施工图纸及工程量清单内容施工。</w:t>
            </w:r>
          </w:p>
        </w:tc>
      </w:tr>
      <w:tr w14:paraId="502D5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696" w:type="dxa"/>
            <w:shd w:val="clear" w:color="auto" w:fill="auto"/>
            <w:vAlign w:val="center"/>
          </w:tcPr>
          <w:p w14:paraId="5B3B0AF4">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15</w:t>
            </w:r>
          </w:p>
        </w:tc>
        <w:tc>
          <w:tcPr>
            <w:tcW w:w="1915" w:type="dxa"/>
            <w:shd w:val="clear" w:color="auto" w:fill="auto"/>
            <w:vAlign w:val="center"/>
          </w:tcPr>
          <w:p w14:paraId="2164270E">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标段划分</w:t>
            </w:r>
          </w:p>
        </w:tc>
        <w:tc>
          <w:tcPr>
            <w:tcW w:w="6996" w:type="dxa"/>
            <w:shd w:val="clear" w:color="auto" w:fill="auto"/>
            <w:vAlign w:val="center"/>
          </w:tcPr>
          <w:p w14:paraId="7EF68FD4">
            <w:pPr>
              <w:pStyle w:val="58"/>
              <w:keepNext w:val="0"/>
              <w:keepLines w:val="0"/>
              <w:pageBreakBefore w:val="0"/>
              <w:widowControl w:val="0"/>
              <w:tabs>
                <w:tab w:val="left" w:pos="1890"/>
              </w:tabs>
              <w:kinsoku/>
              <w:wordWrap/>
              <w:overflowPunct/>
              <w:topLinePunct w:val="0"/>
              <w:autoSpaceDE/>
              <w:autoSpaceDN/>
              <w:bidi w:val="0"/>
              <w:spacing w:line="288" w:lineRule="auto"/>
              <w:jc w:val="left"/>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本招标项目不划分标段。</w:t>
            </w:r>
          </w:p>
        </w:tc>
      </w:tr>
      <w:tr w14:paraId="403A7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2" w:hRule="atLeast"/>
        </w:trPr>
        <w:tc>
          <w:tcPr>
            <w:tcW w:w="696" w:type="dxa"/>
            <w:shd w:val="clear" w:color="auto" w:fill="auto"/>
            <w:vAlign w:val="center"/>
          </w:tcPr>
          <w:p w14:paraId="433A2C1F">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16</w:t>
            </w:r>
          </w:p>
        </w:tc>
        <w:tc>
          <w:tcPr>
            <w:tcW w:w="1915" w:type="dxa"/>
            <w:shd w:val="clear" w:color="auto" w:fill="auto"/>
            <w:vAlign w:val="center"/>
          </w:tcPr>
          <w:p w14:paraId="4E1C4941">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工期</w:t>
            </w:r>
          </w:p>
        </w:tc>
        <w:tc>
          <w:tcPr>
            <w:tcW w:w="6996" w:type="dxa"/>
            <w:shd w:val="clear" w:color="auto" w:fill="auto"/>
            <w:vAlign w:val="top"/>
          </w:tcPr>
          <w:p w14:paraId="0B91C58C">
            <w:pPr>
              <w:pStyle w:val="58"/>
              <w:keepNext w:val="0"/>
              <w:keepLines w:val="0"/>
              <w:pageBreakBefore w:val="0"/>
              <w:widowControl w:val="0"/>
              <w:tabs>
                <w:tab w:val="left" w:pos="1890"/>
              </w:tabs>
              <w:kinsoku/>
              <w:wordWrap/>
              <w:overflowPunct/>
              <w:topLinePunct w:val="0"/>
              <w:autoSpaceDE/>
              <w:autoSpaceDN/>
              <w:bidi w:val="0"/>
              <w:spacing w:line="288"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本招标项目招标工期为个日历天。具体如下：</w:t>
            </w:r>
          </w:p>
          <w:p w14:paraId="65237CFA">
            <w:pPr>
              <w:pStyle w:val="58"/>
              <w:keepNext w:val="0"/>
              <w:keepLines w:val="0"/>
              <w:pageBreakBefore w:val="0"/>
              <w:widowControl w:val="0"/>
              <w:tabs>
                <w:tab w:val="left" w:pos="1890"/>
              </w:tabs>
              <w:kinsoku/>
              <w:wordWrap/>
              <w:overflowPunct/>
              <w:topLinePunct w:val="0"/>
              <w:autoSpaceDE/>
              <w:autoSpaceDN/>
              <w:bidi w:val="0"/>
              <w:spacing w:line="288"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☑总工期：</w:t>
            </w:r>
            <w:r>
              <w:rPr>
                <w:rFonts w:hint="eastAsia" w:hAnsi="宋体" w:cs="宋体"/>
                <w:color w:val="auto"/>
                <w:highlight w:val="none"/>
                <w:lang w:val="en-US" w:eastAsia="zh-CN"/>
              </w:rPr>
              <w:t>60</w:t>
            </w:r>
            <w:r>
              <w:rPr>
                <w:rFonts w:hint="eastAsia" w:ascii="宋体" w:hAnsi="宋体" w:eastAsia="宋体" w:cs="宋体"/>
                <w:color w:val="auto"/>
                <w:highlight w:val="none"/>
                <w:lang w:val="en-US" w:eastAsia="zh-CN"/>
              </w:rPr>
              <w:t>天（日历天）。</w:t>
            </w:r>
          </w:p>
          <w:p w14:paraId="2FDB4337">
            <w:pPr>
              <w:pStyle w:val="58"/>
              <w:keepNext w:val="0"/>
              <w:keepLines w:val="0"/>
              <w:pageBreakBefore w:val="0"/>
              <w:widowControl w:val="0"/>
              <w:tabs>
                <w:tab w:val="left" w:pos="1890"/>
              </w:tabs>
              <w:kinsoku/>
              <w:wordWrap/>
              <w:overflowPunct/>
              <w:topLinePunct w:val="0"/>
              <w:autoSpaceDE/>
              <w:autoSpaceDN/>
              <w:bidi w:val="0"/>
              <w:spacing w:line="288"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□计划开工日期：</w:t>
            </w:r>
            <w:r>
              <w:rPr>
                <w:rFonts w:hint="eastAsia" w:ascii="宋体" w:hAnsi="宋体" w:eastAsia="宋体" w:cs="宋体"/>
                <w:color w:val="auto"/>
                <w:highlight w:val="none"/>
                <w:u w:val="single"/>
                <w:lang w:val="en-US" w:eastAsia="zh-CN"/>
              </w:rPr>
              <w:t xml:space="preserve"> </w:t>
            </w:r>
            <w:r>
              <w:rPr>
                <w:rFonts w:hint="eastAsia" w:hAnsi="宋体" w:cs="宋体"/>
                <w:color w:val="auto"/>
                <w:highlight w:val="none"/>
                <w:u w:val="single"/>
                <w:lang w:val="en-US" w:eastAsia="zh-CN"/>
              </w:rPr>
              <w:t>/</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年</w:t>
            </w:r>
            <w:r>
              <w:rPr>
                <w:rFonts w:hint="eastAsia" w:ascii="宋体" w:hAnsi="宋体" w:eastAsia="宋体" w:cs="宋体"/>
                <w:color w:val="auto"/>
                <w:highlight w:val="none"/>
                <w:u w:val="single"/>
                <w:lang w:val="en-US" w:eastAsia="zh-CN"/>
              </w:rPr>
              <w:t xml:space="preserve"> </w:t>
            </w:r>
            <w:r>
              <w:rPr>
                <w:rFonts w:hint="eastAsia" w:hAnsi="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月</w:t>
            </w:r>
            <w:r>
              <w:rPr>
                <w:rFonts w:hint="eastAsia" w:ascii="宋体" w:hAnsi="宋体" w:eastAsia="宋体" w:cs="宋体"/>
                <w:color w:val="auto"/>
                <w:highlight w:val="none"/>
                <w:u w:val="single"/>
                <w:lang w:val="en-US" w:eastAsia="zh-CN"/>
              </w:rPr>
              <w:t xml:space="preserve"> </w:t>
            </w:r>
            <w:r>
              <w:rPr>
                <w:rFonts w:hint="eastAsia" w:hAnsi="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日（具体开工日期以合同为准）</w:t>
            </w:r>
          </w:p>
          <w:p w14:paraId="61EDC53B">
            <w:pPr>
              <w:pStyle w:val="58"/>
              <w:keepNext w:val="0"/>
              <w:keepLines w:val="0"/>
              <w:pageBreakBefore w:val="0"/>
              <w:widowControl w:val="0"/>
              <w:tabs>
                <w:tab w:val="left" w:pos="1890"/>
              </w:tabs>
              <w:kinsoku/>
              <w:wordWrap/>
              <w:overflowPunct/>
              <w:topLinePunct w:val="0"/>
              <w:autoSpaceDE/>
              <w:autoSpaceDN/>
              <w:bidi w:val="0"/>
              <w:spacing w:line="288"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□计划竣工日期：</w:t>
            </w:r>
            <w:r>
              <w:rPr>
                <w:rFonts w:hint="eastAsia" w:ascii="宋体" w:hAnsi="宋体" w:eastAsia="宋体" w:cs="宋体"/>
                <w:color w:val="auto"/>
                <w:highlight w:val="none"/>
                <w:u w:val="single"/>
                <w:lang w:val="en-US" w:eastAsia="zh-CN"/>
              </w:rPr>
              <w:t xml:space="preserve"> </w:t>
            </w:r>
            <w:r>
              <w:rPr>
                <w:rFonts w:hint="eastAsia" w:hAnsi="宋体" w:cs="宋体"/>
                <w:color w:val="auto"/>
                <w:highlight w:val="none"/>
                <w:u w:val="single"/>
                <w:lang w:val="en-US" w:eastAsia="zh-CN"/>
              </w:rPr>
              <w:t>/</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年</w:t>
            </w:r>
            <w:r>
              <w:rPr>
                <w:rFonts w:hint="eastAsia" w:ascii="宋体" w:hAnsi="宋体" w:eastAsia="宋体" w:cs="宋体"/>
                <w:color w:val="auto"/>
                <w:highlight w:val="none"/>
                <w:u w:val="single"/>
                <w:lang w:val="en-US" w:eastAsia="zh-CN"/>
              </w:rPr>
              <w:t xml:space="preserve"> </w:t>
            </w:r>
            <w:r>
              <w:rPr>
                <w:rFonts w:hint="eastAsia" w:hAnsi="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月</w:t>
            </w:r>
            <w:r>
              <w:rPr>
                <w:rFonts w:hint="eastAsia" w:ascii="宋体" w:hAnsi="宋体" w:eastAsia="宋体" w:cs="宋体"/>
                <w:color w:val="auto"/>
                <w:highlight w:val="none"/>
                <w:u w:val="single"/>
                <w:lang w:val="en-US" w:eastAsia="zh-CN"/>
              </w:rPr>
              <w:t xml:space="preserve"> </w:t>
            </w:r>
            <w:r>
              <w:rPr>
                <w:rFonts w:hint="eastAsia" w:hAnsi="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日</w:t>
            </w:r>
          </w:p>
          <w:p w14:paraId="2F864571">
            <w:pPr>
              <w:pStyle w:val="58"/>
              <w:keepNext w:val="0"/>
              <w:keepLines w:val="0"/>
              <w:pageBreakBefore w:val="0"/>
              <w:widowControl w:val="0"/>
              <w:tabs>
                <w:tab w:val="left" w:pos="1890"/>
              </w:tabs>
              <w:kinsoku/>
              <w:wordWrap/>
              <w:overflowPunct/>
              <w:topLinePunct w:val="0"/>
              <w:autoSpaceDE/>
              <w:autoSpaceDN/>
              <w:bidi w:val="0"/>
              <w:spacing w:line="288" w:lineRule="auto"/>
              <w:jc w:val="left"/>
              <w:textAlignment w:val="auto"/>
              <w:rPr>
                <w:rFonts w:hint="default"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□除上述总工期外，发包人还要求以下阶段工期：</w:t>
            </w:r>
            <w:r>
              <w:rPr>
                <w:rFonts w:hint="eastAsia" w:ascii="宋体" w:hAnsi="宋体" w:eastAsia="宋体" w:cs="宋体"/>
                <w:color w:val="auto"/>
                <w:highlight w:val="none"/>
                <w:u w:val="single"/>
                <w:lang w:val="en-US" w:eastAsia="zh-CN"/>
              </w:rPr>
              <w:t xml:space="preserve">  </w:t>
            </w:r>
            <w:r>
              <w:rPr>
                <w:rFonts w:hint="eastAsia" w:hAnsi="宋体" w:cs="宋体"/>
                <w:color w:val="auto"/>
                <w:highlight w:val="none"/>
                <w:u w:val="single"/>
                <w:lang w:val="en-US" w:eastAsia="zh-CN"/>
              </w:rPr>
              <w:t>/</w:t>
            </w:r>
            <w:r>
              <w:rPr>
                <w:rFonts w:hint="eastAsia" w:ascii="宋体" w:hAnsi="宋体" w:eastAsia="宋体" w:cs="宋体"/>
                <w:color w:val="auto"/>
                <w:highlight w:val="none"/>
                <w:u w:val="single"/>
                <w:lang w:val="en-US" w:eastAsia="zh-CN"/>
              </w:rPr>
              <w:t xml:space="preserve">  </w:t>
            </w:r>
          </w:p>
        </w:tc>
      </w:tr>
      <w:tr w14:paraId="2F95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shd w:val="clear" w:color="auto" w:fill="auto"/>
            <w:vAlign w:val="center"/>
          </w:tcPr>
          <w:p w14:paraId="07EEC801">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17</w:t>
            </w:r>
          </w:p>
        </w:tc>
        <w:tc>
          <w:tcPr>
            <w:tcW w:w="1915" w:type="dxa"/>
            <w:shd w:val="clear" w:color="auto" w:fill="auto"/>
            <w:vAlign w:val="center"/>
          </w:tcPr>
          <w:p w14:paraId="13EE8FEC">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质量标准</w:t>
            </w:r>
          </w:p>
        </w:tc>
        <w:tc>
          <w:tcPr>
            <w:tcW w:w="6996" w:type="dxa"/>
            <w:shd w:val="clear" w:color="auto" w:fill="auto"/>
            <w:vAlign w:val="top"/>
          </w:tcPr>
          <w:p w14:paraId="43C416BE">
            <w:pPr>
              <w:pStyle w:val="58"/>
              <w:keepNext w:val="0"/>
              <w:keepLines w:val="0"/>
              <w:pageBreakBefore w:val="0"/>
              <w:widowControl w:val="0"/>
              <w:tabs>
                <w:tab w:val="left" w:pos="1890"/>
              </w:tabs>
              <w:kinsoku/>
              <w:wordWrap/>
              <w:overflowPunct/>
              <w:topLinePunct w:val="0"/>
              <w:autoSpaceDE/>
              <w:autoSpaceDN/>
              <w:bidi w:val="0"/>
              <w:spacing w:line="288"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☑质量目标：合格</w:t>
            </w:r>
          </w:p>
          <w:p w14:paraId="6F8410FA">
            <w:pPr>
              <w:pStyle w:val="58"/>
              <w:keepNext w:val="0"/>
              <w:keepLines w:val="0"/>
              <w:pageBreakBefore w:val="0"/>
              <w:widowControl w:val="0"/>
              <w:tabs>
                <w:tab w:val="left" w:pos="1890"/>
              </w:tabs>
              <w:kinsoku/>
              <w:wordWrap/>
              <w:overflowPunct/>
              <w:topLinePunct w:val="0"/>
              <w:autoSpaceDE/>
              <w:autoSpaceDN/>
              <w:bidi w:val="0"/>
              <w:spacing w:line="288"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☑质量标准：符合现行国家有关工程施工质量验收规范和标准的要求。</w:t>
            </w:r>
          </w:p>
          <w:p w14:paraId="2766725A">
            <w:pPr>
              <w:pStyle w:val="58"/>
              <w:keepNext w:val="0"/>
              <w:keepLines w:val="0"/>
              <w:pageBreakBefore w:val="0"/>
              <w:widowControl w:val="0"/>
              <w:tabs>
                <w:tab w:val="left" w:pos="1890"/>
              </w:tabs>
              <w:kinsoku/>
              <w:wordWrap/>
              <w:overflowPunct/>
              <w:topLinePunct w:val="0"/>
              <w:autoSpaceDE/>
              <w:autoSpaceDN/>
              <w:bidi w:val="0"/>
              <w:spacing w:line="288"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□优质工程要求：无/市优/省优/.....</w:t>
            </w:r>
          </w:p>
          <w:p w14:paraId="6995807D">
            <w:pPr>
              <w:pStyle w:val="58"/>
              <w:keepNext w:val="0"/>
              <w:keepLines w:val="0"/>
              <w:pageBreakBefore w:val="0"/>
              <w:widowControl w:val="0"/>
              <w:tabs>
                <w:tab w:val="left" w:pos="1890"/>
              </w:tabs>
              <w:kinsoku/>
              <w:wordWrap/>
              <w:overflowPunct/>
              <w:topLinePunct w:val="0"/>
              <w:autoSpaceDE/>
              <w:autoSpaceDN/>
              <w:bidi w:val="0"/>
              <w:spacing w:line="288" w:lineRule="auto"/>
              <w:jc w:val="left"/>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工程优质费：☑无     □有：</w:t>
            </w:r>
          </w:p>
        </w:tc>
      </w:tr>
      <w:tr w14:paraId="60DBE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9" w:hRule="atLeast"/>
        </w:trPr>
        <w:tc>
          <w:tcPr>
            <w:tcW w:w="696" w:type="dxa"/>
            <w:vMerge w:val="restart"/>
            <w:shd w:val="clear" w:color="auto" w:fill="auto"/>
            <w:vAlign w:val="center"/>
          </w:tcPr>
          <w:p w14:paraId="3A92DF98">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18</w:t>
            </w:r>
          </w:p>
        </w:tc>
        <w:tc>
          <w:tcPr>
            <w:tcW w:w="1915" w:type="dxa"/>
            <w:vMerge w:val="restart"/>
            <w:shd w:val="clear" w:color="auto" w:fill="auto"/>
            <w:vAlign w:val="center"/>
          </w:tcPr>
          <w:p w14:paraId="141C7415">
            <w:pPr>
              <w:pStyle w:val="58"/>
              <w:keepNext w:val="0"/>
              <w:keepLines w:val="0"/>
              <w:pageBreakBefore w:val="0"/>
              <w:widowControl w:val="0"/>
              <w:tabs>
                <w:tab w:val="left" w:pos="1890"/>
              </w:tabs>
              <w:kinsoku/>
              <w:wordWrap/>
              <w:overflowPunct/>
              <w:topLinePunct w:val="0"/>
              <w:autoSpaceDE/>
              <w:autoSpaceDN/>
              <w:bidi w:val="0"/>
              <w:adjustRightInd/>
              <w:snapToGrid/>
              <w:spacing w:line="300" w:lineRule="auto"/>
              <w:jc w:val="center"/>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合同类型</w:t>
            </w:r>
          </w:p>
        </w:tc>
        <w:tc>
          <w:tcPr>
            <w:tcW w:w="6996" w:type="dxa"/>
            <w:shd w:val="clear" w:color="auto" w:fill="auto"/>
            <w:vAlign w:val="top"/>
          </w:tcPr>
          <w:p w14:paraId="407E1956">
            <w:pPr>
              <w:pStyle w:val="58"/>
              <w:keepNext w:val="0"/>
              <w:keepLines w:val="0"/>
              <w:pageBreakBefore w:val="0"/>
              <w:widowControl w:val="0"/>
              <w:tabs>
                <w:tab w:val="left" w:pos="1890"/>
              </w:tabs>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☑单价合同：发承包双方约定以工程量清单及其综合单价进行合同价款计算、调整和确认的建设工程施工合同。</w:t>
            </w:r>
          </w:p>
          <w:p w14:paraId="1BA938DD">
            <w:pPr>
              <w:pStyle w:val="58"/>
              <w:keepNext w:val="0"/>
              <w:keepLines w:val="0"/>
              <w:pageBreakBefore w:val="0"/>
              <w:widowControl w:val="0"/>
              <w:tabs>
                <w:tab w:val="left" w:pos="1890"/>
              </w:tabs>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0BAAD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0" w:hRule="atLeast"/>
        </w:trPr>
        <w:tc>
          <w:tcPr>
            <w:tcW w:w="696" w:type="dxa"/>
            <w:vMerge w:val="continue"/>
            <w:shd w:val="clear" w:color="auto" w:fill="auto"/>
            <w:vAlign w:val="center"/>
          </w:tcPr>
          <w:p w14:paraId="1679A3E2">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rPr>
            </w:pPr>
          </w:p>
        </w:tc>
        <w:tc>
          <w:tcPr>
            <w:tcW w:w="1915" w:type="dxa"/>
            <w:vMerge w:val="continue"/>
            <w:shd w:val="clear" w:color="auto" w:fill="auto"/>
            <w:vAlign w:val="center"/>
          </w:tcPr>
          <w:p w14:paraId="1BAFE877">
            <w:pPr>
              <w:pStyle w:val="58"/>
              <w:keepNext w:val="0"/>
              <w:keepLines w:val="0"/>
              <w:pageBreakBefore w:val="0"/>
              <w:widowControl w:val="0"/>
              <w:tabs>
                <w:tab w:val="left" w:pos="1890"/>
              </w:tabs>
              <w:kinsoku/>
              <w:wordWrap/>
              <w:overflowPunct/>
              <w:topLinePunct w:val="0"/>
              <w:autoSpaceDE/>
              <w:autoSpaceDN/>
              <w:bidi w:val="0"/>
              <w:adjustRightInd/>
              <w:snapToGrid/>
              <w:spacing w:line="300" w:lineRule="auto"/>
              <w:jc w:val="center"/>
              <w:textAlignment w:val="auto"/>
              <w:rPr>
                <w:rFonts w:hint="eastAsia" w:ascii="宋体" w:hAnsi="宋体" w:eastAsia="宋体" w:cs="宋体"/>
                <w:color w:val="auto"/>
                <w:highlight w:val="none"/>
                <w:lang w:val="en-US" w:eastAsia="zh-CN"/>
              </w:rPr>
            </w:pPr>
          </w:p>
        </w:tc>
        <w:tc>
          <w:tcPr>
            <w:tcW w:w="6996" w:type="dxa"/>
            <w:shd w:val="clear" w:color="auto" w:fill="auto"/>
            <w:vAlign w:val="top"/>
          </w:tcPr>
          <w:p w14:paraId="4D900036">
            <w:pPr>
              <w:pStyle w:val="58"/>
              <w:keepNext w:val="0"/>
              <w:keepLines w:val="0"/>
              <w:pageBreakBefore w:val="0"/>
              <w:widowControl w:val="0"/>
              <w:tabs>
                <w:tab w:val="left" w:pos="1890"/>
              </w:tabs>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□总价合同：发承包双方约定以施工图及其预算和有关条件进行合同价款计算、调整和确认的建设工程施工合同。</w:t>
            </w:r>
          </w:p>
          <w:p w14:paraId="5882861B">
            <w:pPr>
              <w:pStyle w:val="58"/>
              <w:keepNext w:val="0"/>
              <w:keepLines w:val="0"/>
              <w:pageBreakBefore w:val="0"/>
              <w:widowControl w:val="0"/>
              <w:tabs>
                <w:tab w:val="left" w:pos="1890"/>
              </w:tabs>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72A95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6" w:type="dxa"/>
            <w:shd w:val="clear" w:color="auto" w:fill="auto"/>
            <w:vAlign w:val="center"/>
          </w:tcPr>
          <w:p w14:paraId="7B54D6FD">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19</w:t>
            </w:r>
          </w:p>
        </w:tc>
        <w:tc>
          <w:tcPr>
            <w:tcW w:w="1915" w:type="dxa"/>
            <w:shd w:val="clear" w:color="auto" w:fill="auto"/>
            <w:vAlign w:val="center"/>
          </w:tcPr>
          <w:p w14:paraId="06F1005F">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房屋建筑工程绿色建筑标准</w:t>
            </w:r>
          </w:p>
        </w:tc>
        <w:tc>
          <w:tcPr>
            <w:tcW w:w="6996" w:type="dxa"/>
            <w:shd w:val="clear" w:color="auto" w:fill="auto"/>
            <w:vAlign w:val="center"/>
          </w:tcPr>
          <w:p w14:paraId="0F9CFF14">
            <w:pPr>
              <w:pStyle w:val="58"/>
              <w:keepNext w:val="0"/>
              <w:keepLines w:val="0"/>
              <w:pageBreakBefore w:val="0"/>
              <w:widowControl w:val="0"/>
              <w:tabs>
                <w:tab w:val="left" w:pos="1890"/>
              </w:tabs>
              <w:kinsoku/>
              <w:wordWrap/>
              <w:overflowPunct/>
              <w:topLinePunct w:val="0"/>
              <w:autoSpaceDE/>
              <w:autoSpaceDN/>
              <w:bidi w:val="0"/>
              <w:spacing w:line="288" w:lineRule="auto"/>
              <w:jc w:val="both"/>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本招标项目不纳入绿色建设实施范围。</w:t>
            </w:r>
          </w:p>
        </w:tc>
      </w:tr>
      <w:tr w14:paraId="4AD7D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696" w:type="dxa"/>
            <w:shd w:val="clear" w:color="auto" w:fill="auto"/>
            <w:vAlign w:val="center"/>
          </w:tcPr>
          <w:p w14:paraId="092C593C">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19.1</w:t>
            </w:r>
          </w:p>
        </w:tc>
        <w:tc>
          <w:tcPr>
            <w:tcW w:w="1915" w:type="dxa"/>
            <w:shd w:val="clear" w:color="auto" w:fill="auto"/>
            <w:vAlign w:val="center"/>
          </w:tcPr>
          <w:p w14:paraId="6750D525">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装配式建筑</w:t>
            </w:r>
          </w:p>
          <w:p w14:paraId="7175BCCB">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标准</w:t>
            </w:r>
          </w:p>
        </w:tc>
        <w:tc>
          <w:tcPr>
            <w:tcW w:w="6996" w:type="dxa"/>
            <w:shd w:val="clear" w:color="auto" w:fill="auto"/>
            <w:vAlign w:val="center"/>
          </w:tcPr>
          <w:p w14:paraId="7D4C6A69">
            <w:pPr>
              <w:pStyle w:val="58"/>
              <w:keepNext w:val="0"/>
              <w:keepLines w:val="0"/>
              <w:pageBreakBefore w:val="0"/>
              <w:widowControl w:val="0"/>
              <w:tabs>
                <w:tab w:val="left" w:pos="1890"/>
              </w:tabs>
              <w:kinsoku/>
              <w:wordWrap/>
              <w:overflowPunct/>
              <w:topLinePunct w:val="0"/>
              <w:autoSpaceDE/>
              <w:autoSpaceDN/>
              <w:bidi w:val="0"/>
              <w:spacing w:line="288" w:lineRule="auto"/>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本招标项目不纳入装配式建造建设实施范围。</w:t>
            </w:r>
          </w:p>
        </w:tc>
      </w:tr>
      <w:tr w14:paraId="5CFC2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96" w:type="dxa"/>
            <w:shd w:val="clear" w:color="auto" w:fill="auto"/>
            <w:vAlign w:val="center"/>
          </w:tcPr>
          <w:p w14:paraId="3E4A100A">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20</w:t>
            </w:r>
          </w:p>
        </w:tc>
        <w:tc>
          <w:tcPr>
            <w:tcW w:w="1915" w:type="dxa"/>
            <w:shd w:val="clear" w:color="auto" w:fill="auto"/>
            <w:vAlign w:val="center"/>
          </w:tcPr>
          <w:p w14:paraId="3086C84E">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发包人提供材料和工程设备</w:t>
            </w:r>
          </w:p>
        </w:tc>
        <w:tc>
          <w:tcPr>
            <w:tcW w:w="6996" w:type="dxa"/>
            <w:shd w:val="clear" w:color="auto" w:fill="auto"/>
            <w:vAlign w:val="center"/>
          </w:tcPr>
          <w:p w14:paraId="17ACD56D">
            <w:pPr>
              <w:pStyle w:val="58"/>
              <w:keepNext w:val="0"/>
              <w:keepLines w:val="0"/>
              <w:pageBreakBefore w:val="0"/>
              <w:widowControl w:val="0"/>
              <w:tabs>
                <w:tab w:val="left" w:pos="1890"/>
              </w:tabs>
              <w:kinsoku/>
              <w:wordWrap/>
              <w:overflowPunct/>
              <w:topLinePunct w:val="0"/>
              <w:autoSpaceDE/>
              <w:autoSpaceDN/>
              <w:bidi w:val="0"/>
              <w:spacing w:line="288" w:lineRule="auto"/>
              <w:jc w:val="both"/>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 xml:space="preserve">发包人提供材料和工程设备： ☑无     □有：    /     </w:t>
            </w:r>
          </w:p>
        </w:tc>
      </w:tr>
      <w:tr w14:paraId="238C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shd w:val="clear" w:color="auto" w:fill="auto"/>
            <w:vAlign w:val="center"/>
          </w:tcPr>
          <w:p w14:paraId="70405BF3">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21</w:t>
            </w:r>
          </w:p>
        </w:tc>
        <w:tc>
          <w:tcPr>
            <w:tcW w:w="1915" w:type="dxa"/>
            <w:shd w:val="clear" w:color="auto" w:fill="auto"/>
            <w:vAlign w:val="center"/>
          </w:tcPr>
          <w:p w14:paraId="02992ED5">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承包人提供材料和工程设备</w:t>
            </w:r>
          </w:p>
        </w:tc>
        <w:tc>
          <w:tcPr>
            <w:tcW w:w="6996" w:type="dxa"/>
            <w:shd w:val="clear" w:color="auto" w:fill="auto"/>
            <w:vAlign w:val="top"/>
          </w:tcPr>
          <w:p w14:paraId="01C4C74B">
            <w:pPr>
              <w:pStyle w:val="58"/>
              <w:keepNext w:val="0"/>
              <w:keepLines w:val="0"/>
              <w:pageBreakBefore w:val="0"/>
              <w:widowControl w:val="0"/>
              <w:tabs>
                <w:tab w:val="left" w:pos="1890"/>
              </w:tabs>
              <w:kinsoku/>
              <w:wordWrap/>
              <w:overflowPunct/>
              <w:topLinePunct w:val="0"/>
              <w:autoSpaceDE/>
              <w:autoSpaceDN/>
              <w:bidi w:val="0"/>
              <w:spacing w:line="288"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49BC892D">
            <w:pPr>
              <w:pStyle w:val="58"/>
              <w:keepNext w:val="0"/>
              <w:keepLines w:val="0"/>
              <w:pageBreakBefore w:val="0"/>
              <w:widowControl w:val="0"/>
              <w:tabs>
                <w:tab w:val="left" w:pos="1890"/>
              </w:tabs>
              <w:kinsoku/>
              <w:wordWrap/>
              <w:overflowPunct/>
              <w:topLinePunct w:val="0"/>
              <w:autoSpaceDE/>
              <w:autoSpaceDN/>
              <w:bidi w:val="0"/>
              <w:spacing w:line="288" w:lineRule="auto"/>
              <w:jc w:val="left"/>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□其它说明：鼓励承包人积极采购环保产品进行施工。</w:t>
            </w:r>
          </w:p>
        </w:tc>
      </w:tr>
      <w:tr w14:paraId="1074F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3" w:hRule="atLeast"/>
        </w:trPr>
        <w:tc>
          <w:tcPr>
            <w:tcW w:w="696" w:type="dxa"/>
            <w:shd w:val="clear" w:color="auto" w:fill="auto"/>
            <w:vAlign w:val="center"/>
          </w:tcPr>
          <w:p w14:paraId="0671E76C">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22</w:t>
            </w:r>
          </w:p>
        </w:tc>
        <w:tc>
          <w:tcPr>
            <w:tcW w:w="1915" w:type="dxa"/>
            <w:shd w:val="clear" w:color="auto" w:fill="auto"/>
            <w:vAlign w:val="center"/>
          </w:tcPr>
          <w:p w14:paraId="51380811">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default" w:ascii="宋体" w:hAnsi="宋体" w:eastAsia="宋体" w:cs="宋体"/>
                <w:color w:val="auto"/>
                <w:highlight w:val="none"/>
                <w:lang w:val="en-US" w:eastAsia="zh-CN"/>
              </w:rPr>
            </w:pPr>
            <w:r>
              <w:rPr>
                <w:rFonts w:hint="eastAsia" w:hAnsi="宋体" w:cs="宋体"/>
                <w:color w:val="auto"/>
                <w:highlight w:val="none"/>
                <w:lang w:val="en-US" w:eastAsia="zh-CN"/>
              </w:rPr>
              <w:t>最高投标限价</w:t>
            </w:r>
          </w:p>
        </w:tc>
        <w:tc>
          <w:tcPr>
            <w:tcW w:w="6996" w:type="dxa"/>
            <w:shd w:val="clear" w:color="auto" w:fill="auto"/>
            <w:vAlign w:val="center"/>
          </w:tcPr>
          <w:p w14:paraId="55A00D12">
            <w:pPr>
              <w:pStyle w:val="58"/>
              <w:keepNext w:val="0"/>
              <w:keepLines w:val="0"/>
              <w:pageBreakBefore w:val="0"/>
              <w:widowControl w:val="0"/>
              <w:tabs>
                <w:tab w:val="left" w:pos="1890"/>
              </w:tabs>
              <w:kinsoku/>
              <w:wordWrap/>
              <w:overflowPunct/>
              <w:topLinePunct w:val="0"/>
              <w:autoSpaceDE/>
              <w:autoSpaceDN/>
              <w:bidi w:val="0"/>
              <w:spacing w:line="288" w:lineRule="auto"/>
              <w:jc w:val="left"/>
              <w:textAlignment w:val="auto"/>
              <w:rPr>
                <w:rFonts w:hint="eastAsia" w:ascii="宋体" w:hAnsi="宋体" w:eastAsia="宋体" w:cs="宋体"/>
                <w:color w:val="auto"/>
                <w:highlight w:val="none"/>
                <w:lang w:val="en-US" w:eastAsia="zh-CN"/>
              </w:rPr>
            </w:pPr>
            <w:r>
              <w:rPr>
                <w:rFonts w:hint="eastAsia" w:hAnsi="宋体" w:cs="宋体"/>
                <w:color w:val="auto"/>
                <w:sz w:val="24"/>
                <w:szCs w:val="24"/>
                <w:highlight w:val="none"/>
                <w:lang w:eastAsia="zh-CN"/>
              </w:rPr>
              <w:t>本项目最高投标限价、施工图纸、招标工程量清单在投标截止时间15天前以补充通知的形式</w:t>
            </w:r>
            <w:r>
              <w:rPr>
                <w:rFonts w:hint="eastAsia" w:hAnsi="宋体" w:cs="宋体"/>
                <w:color w:val="auto"/>
                <w:w w:val="100"/>
                <w:sz w:val="24"/>
                <w:szCs w:val="24"/>
                <w:highlight w:val="none"/>
                <w:lang w:eastAsia="zh-CN"/>
              </w:rPr>
              <w:t>在广东省招标投标监管网</w:t>
            </w:r>
            <w:r>
              <w:rPr>
                <w:rFonts w:hint="eastAsia" w:hAnsi="宋体" w:cs="宋体"/>
                <w:color w:val="auto"/>
                <w:w w:val="90"/>
                <w:sz w:val="24"/>
                <w:szCs w:val="24"/>
                <w:highlight w:val="none"/>
                <w:lang w:val="en-US" w:eastAsia="zh-CN"/>
              </w:rPr>
              <w:t>(</w:t>
            </w:r>
            <w:r>
              <w:rPr>
                <w:rFonts w:hint="eastAsia" w:hAnsi="宋体" w:cs="宋体"/>
                <w:color w:val="auto"/>
                <w:w w:val="90"/>
                <w:sz w:val="24"/>
                <w:szCs w:val="24"/>
                <w:highlight w:val="none"/>
                <w:lang w:eastAsia="zh-CN"/>
              </w:rPr>
              <w:t>https://www.gdzwfw.gov.cn/ztbjg-portal/#/index</w:t>
            </w:r>
            <w:r>
              <w:rPr>
                <w:rFonts w:hint="eastAsia" w:hAnsi="宋体" w:cs="宋体"/>
                <w:color w:val="auto"/>
                <w:w w:val="90"/>
                <w:sz w:val="24"/>
                <w:szCs w:val="24"/>
                <w:highlight w:val="none"/>
                <w:lang w:val="en-US" w:eastAsia="zh-CN"/>
              </w:rPr>
              <w:t>)</w:t>
            </w:r>
            <w:r>
              <w:rPr>
                <w:rFonts w:hint="eastAsia" w:hAnsi="宋体" w:cs="宋体"/>
                <w:color w:val="auto"/>
                <w:w w:val="90"/>
                <w:sz w:val="24"/>
                <w:szCs w:val="24"/>
                <w:highlight w:val="none"/>
                <w:lang w:eastAsia="zh-CN"/>
              </w:rPr>
              <w:t>、</w:t>
            </w:r>
            <w:r>
              <w:rPr>
                <w:rFonts w:hint="eastAsia" w:hAnsi="宋体" w:cs="宋体"/>
                <w:color w:val="auto"/>
                <w:w w:val="100"/>
                <w:sz w:val="24"/>
                <w:szCs w:val="24"/>
                <w:highlight w:val="none"/>
                <w:lang w:eastAsia="zh-CN"/>
              </w:rPr>
              <w:t>全国公共资源交易平台</w:t>
            </w:r>
            <w:r>
              <w:rPr>
                <w:rFonts w:hint="eastAsia" w:hAnsi="宋体" w:cs="宋体"/>
                <w:color w:val="auto"/>
                <w:w w:val="100"/>
                <w:sz w:val="24"/>
                <w:szCs w:val="24"/>
                <w:highlight w:val="none"/>
                <w:lang w:val="en-US" w:eastAsia="zh-CN"/>
              </w:rPr>
              <w:t>(</w:t>
            </w:r>
            <w:r>
              <w:rPr>
                <w:rFonts w:hint="eastAsia" w:hAnsi="宋体" w:cs="宋体"/>
                <w:color w:val="auto"/>
                <w:w w:val="100"/>
                <w:sz w:val="24"/>
                <w:szCs w:val="24"/>
                <w:highlight w:val="none"/>
                <w:lang w:eastAsia="zh-CN"/>
              </w:rPr>
              <w:t>广东省·韶关市</w:t>
            </w:r>
            <w:r>
              <w:rPr>
                <w:rFonts w:hint="eastAsia" w:hAnsi="宋体" w:cs="宋体"/>
                <w:color w:val="auto"/>
                <w:w w:val="100"/>
                <w:sz w:val="24"/>
                <w:szCs w:val="24"/>
                <w:highlight w:val="none"/>
                <w:lang w:val="en-US" w:eastAsia="zh-CN"/>
              </w:rPr>
              <w:t>)</w:t>
            </w:r>
            <w:r>
              <w:rPr>
                <w:rFonts w:hint="eastAsia" w:hAnsi="宋体" w:cs="宋体"/>
                <w:color w:val="auto"/>
                <w:w w:val="90"/>
                <w:sz w:val="24"/>
                <w:szCs w:val="24"/>
                <w:highlight w:val="none"/>
                <w:lang w:eastAsia="zh-CN"/>
              </w:rPr>
              <w:t>（https://ygp.gdzwfw.gov.cn/ggzy-portal/#/440200/index）公布。</w:t>
            </w:r>
          </w:p>
        </w:tc>
      </w:tr>
      <w:tr w14:paraId="72CFC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shd w:val="clear" w:color="auto" w:fill="auto"/>
            <w:vAlign w:val="center"/>
          </w:tcPr>
          <w:p w14:paraId="16486E14">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23</w:t>
            </w:r>
          </w:p>
        </w:tc>
        <w:tc>
          <w:tcPr>
            <w:tcW w:w="1915" w:type="dxa"/>
            <w:shd w:val="clear" w:color="auto" w:fill="auto"/>
            <w:vAlign w:val="center"/>
          </w:tcPr>
          <w:p w14:paraId="186FE49B">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投标人的投标</w:t>
            </w:r>
          </w:p>
          <w:p w14:paraId="49B113B7">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报价</w:t>
            </w:r>
          </w:p>
        </w:tc>
        <w:tc>
          <w:tcPr>
            <w:tcW w:w="6996" w:type="dxa"/>
            <w:shd w:val="clear" w:color="auto" w:fill="auto"/>
            <w:vAlign w:val="center"/>
          </w:tcPr>
          <w:p w14:paraId="7DF626C0">
            <w:pPr>
              <w:pStyle w:val="58"/>
              <w:keepNext w:val="0"/>
              <w:keepLines w:val="0"/>
              <w:pageBreakBefore w:val="0"/>
              <w:widowControl w:val="0"/>
              <w:tabs>
                <w:tab w:val="left" w:pos="1890"/>
              </w:tabs>
              <w:kinsoku/>
              <w:wordWrap/>
              <w:overflowPunct/>
              <w:topLinePunct w:val="0"/>
              <w:autoSpaceDE/>
              <w:autoSpaceDN/>
              <w:bidi w:val="0"/>
              <w:spacing w:line="288" w:lineRule="auto"/>
              <w:ind w:firstLine="240" w:firstLineChars="10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14C0DD62">
            <w:pPr>
              <w:pStyle w:val="58"/>
              <w:keepNext w:val="0"/>
              <w:keepLines w:val="0"/>
              <w:pageBreakBefore w:val="0"/>
              <w:widowControl w:val="0"/>
              <w:tabs>
                <w:tab w:val="left" w:pos="1890"/>
              </w:tabs>
              <w:kinsoku/>
              <w:wordWrap/>
              <w:overflowPunct/>
              <w:topLinePunct w:val="0"/>
              <w:autoSpaceDE/>
              <w:autoSpaceDN/>
              <w:bidi w:val="0"/>
              <w:spacing w:line="288"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投标报价方式： ☑工程量清单报价</w:t>
            </w:r>
          </w:p>
          <w:p w14:paraId="58D8CBF6">
            <w:pPr>
              <w:pStyle w:val="58"/>
              <w:keepNext w:val="0"/>
              <w:keepLines w:val="0"/>
              <w:pageBreakBefore w:val="0"/>
              <w:widowControl w:val="0"/>
              <w:tabs>
                <w:tab w:val="left" w:pos="1890"/>
              </w:tabs>
              <w:kinsoku/>
              <w:wordWrap/>
              <w:overflowPunct/>
              <w:topLinePunct w:val="0"/>
              <w:autoSpaceDE/>
              <w:autoSpaceDN/>
              <w:bidi w:val="0"/>
              <w:spacing w:line="288"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snapToGrid w:val="0"/>
                <w:color w:val="auto"/>
                <w:kern w:val="0"/>
                <w:sz w:val="24"/>
                <w:szCs w:val="24"/>
                <w:highlight w:val="none"/>
                <w:lang w:val="en-US" w:eastAsia="zh-CN"/>
              </w:rPr>
              <w:t>最高投标限价：</w:t>
            </w:r>
            <w:r>
              <w:rPr>
                <w:rFonts w:hint="eastAsia" w:hAnsi="宋体" w:cs="宋体"/>
                <w:color w:val="auto"/>
                <w:sz w:val="24"/>
                <w:szCs w:val="24"/>
                <w:highlight w:val="none"/>
                <w:lang w:eastAsia="zh-CN"/>
              </w:rPr>
              <w:t>本项目最高投标限价、施工图纸、招标工程量清单在投标截止时间15天前以补充通知的形式</w:t>
            </w:r>
            <w:r>
              <w:rPr>
                <w:rFonts w:hint="eastAsia" w:hAnsi="宋体" w:cs="宋体"/>
                <w:color w:val="auto"/>
                <w:w w:val="100"/>
                <w:sz w:val="24"/>
                <w:szCs w:val="24"/>
                <w:highlight w:val="none"/>
                <w:lang w:eastAsia="zh-CN"/>
              </w:rPr>
              <w:t>在广东省招标投标监管网</w:t>
            </w:r>
            <w:r>
              <w:rPr>
                <w:rFonts w:hint="eastAsia" w:hAnsi="宋体" w:cs="宋体"/>
                <w:color w:val="auto"/>
                <w:w w:val="90"/>
                <w:sz w:val="24"/>
                <w:szCs w:val="24"/>
                <w:highlight w:val="none"/>
                <w:lang w:eastAsia="zh-CN"/>
              </w:rPr>
              <w:t>（https://www.gdzwfw.gov.cn/ztbjg-portal/#/index）、全国公共资源交易平台</w:t>
            </w:r>
            <w:r>
              <w:rPr>
                <w:rFonts w:hint="eastAsia" w:hAnsi="宋体" w:cs="宋体"/>
                <w:color w:val="auto"/>
                <w:w w:val="90"/>
                <w:sz w:val="24"/>
                <w:szCs w:val="24"/>
                <w:highlight w:val="none"/>
                <w:lang w:val="en-US" w:eastAsia="zh-CN"/>
              </w:rPr>
              <w:t>(</w:t>
            </w:r>
            <w:r>
              <w:rPr>
                <w:rFonts w:hint="eastAsia" w:hAnsi="宋体" w:cs="宋体"/>
                <w:color w:val="auto"/>
                <w:w w:val="90"/>
                <w:sz w:val="24"/>
                <w:szCs w:val="24"/>
                <w:highlight w:val="none"/>
                <w:lang w:eastAsia="zh-CN"/>
              </w:rPr>
              <w:t>广东省·韶关市）（https://ygp.gdzwfw.gov.cn/ggzy-portal/#/440200/index）公布。</w:t>
            </w:r>
          </w:p>
          <w:p w14:paraId="6AE351D2">
            <w:pPr>
              <w:pStyle w:val="58"/>
              <w:keepNext w:val="0"/>
              <w:keepLines w:val="0"/>
              <w:pageBreakBefore w:val="0"/>
              <w:widowControl w:val="0"/>
              <w:tabs>
                <w:tab w:val="left" w:pos="1890"/>
              </w:tabs>
              <w:kinsoku/>
              <w:wordWrap/>
              <w:overflowPunct/>
              <w:topLinePunct w:val="0"/>
              <w:autoSpaceDE/>
              <w:autoSpaceDN/>
              <w:bidi w:val="0"/>
              <w:spacing w:line="288" w:lineRule="auto"/>
              <w:ind w:firstLine="240" w:firstLineChars="100"/>
              <w:jc w:val="left"/>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投标报价时，应按《广东省建设工程计价依据（2018）》规定的费率报价，若招标工程量清单明确说明不计算预算包干费或另外确定预算包干费费率的，则按招标工程量清单报价。</w:t>
            </w:r>
          </w:p>
        </w:tc>
      </w:tr>
      <w:tr w14:paraId="5ECAD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shd w:val="clear" w:color="auto" w:fill="auto"/>
            <w:vAlign w:val="center"/>
          </w:tcPr>
          <w:p w14:paraId="5482D5DA">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24</w:t>
            </w:r>
          </w:p>
        </w:tc>
        <w:tc>
          <w:tcPr>
            <w:tcW w:w="1915" w:type="dxa"/>
            <w:shd w:val="clear" w:color="auto" w:fill="auto"/>
            <w:vAlign w:val="center"/>
          </w:tcPr>
          <w:p w14:paraId="74769E6D">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投标报价风险</w:t>
            </w:r>
          </w:p>
        </w:tc>
        <w:tc>
          <w:tcPr>
            <w:tcW w:w="6996" w:type="dxa"/>
            <w:shd w:val="clear" w:color="auto" w:fill="auto"/>
            <w:vAlign w:val="center"/>
          </w:tcPr>
          <w:p w14:paraId="738EBB6E">
            <w:pPr>
              <w:pStyle w:val="58"/>
              <w:keepNext w:val="0"/>
              <w:keepLines w:val="0"/>
              <w:pageBreakBefore w:val="0"/>
              <w:widowControl w:val="0"/>
              <w:tabs>
                <w:tab w:val="left" w:pos="1890"/>
              </w:tabs>
              <w:kinsoku/>
              <w:wordWrap/>
              <w:overflowPunct/>
              <w:topLinePunct w:val="0"/>
              <w:autoSpaceDE/>
              <w:autoSpaceDN/>
              <w:bidi w:val="0"/>
              <w:spacing w:line="288"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☑投标人依据招标文件约定自行考虑风险因素，一旦中标，投标报价（合同价）除合同另有约定外将不因市场变化而调整。</w:t>
            </w:r>
          </w:p>
          <w:p w14:paraId="1D8586A5">
            <w:pPr>
              <w:pStyle w:val="58"/>
              <w:keepNext w:val="0"/>
              <w:keepLines w:val="0"/>
              <w:pageBreakBefore w:val="0"/>
              <w:widowControl w:val="0"/>
              <w:tabs>
                <w:tab w:val="left" w:pos="1890"/>
              </w:tabs>
              <w:kinsoku/>
              <w:wordWrap/>
              <w:overflowPunct/>
              <w:topLinePunct w:val="0"/>
              <w:autoSpaceDE/>
              <w:autoSpaceDN/>
              <w:bidi w:val="0"/>
              <w:spacing w:line="288"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☑投标报价中应包括工程量清单项目所发生的人工费、材料费、机具费、管理费、利润、措施项目费、其它项目费、税金、暂列金额、暂估价以及所有风险、责任等各项费用。</w:t>
            </w:r>
          </w:p>
          <w:p w14:paraId="5A7C033F">
            <w:pPr>
              <w:pStyle w:val="58"/>
              <w:keepNext w:val="0"/>
              <w:keepLines w:val="0"/>
              <w:pageBreakBefore w:val="0"/>
              <w:widowControl w:val="0"/>
              <w:tabs>
                <w:tab w:val="left" w:pos="1890"/>
              </w:tabs>
              <w:kinsoku/>
              <w:wordWrap/>
              <w:overflowPunct/>
              <w:topLinePunct w:val="0"/>
              <w:autoSpaceDE/>
              <w:autoSpaceDN/>
              <w:bidi w:val="0"/>
              <w:spacing w:line="288"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☑人工费、材料费、机具费、管理费、利润、措施项目费（不含绿色施工安全防护措施费）投标人漏报或不报，招标人视为有关费用已包括在工程量清单项目的其它单价及合价中不予另外增加。</w:t>
            </w:r>
          </w:p>
          <w:p w14:paraId="2ADB3168">
            <w:pPr>
              <w:pStyle w:val="58"/>
              <w:keepNext w:val="0"/>
              <w:keepLines w:val="0"/>
              <w:pageBreakBefore w:val="0"/>
              <w:widowControl w:val="0"/>
              <w:tabs>
                <w:tab w:val="left" w:pos="1890"/>
              </w:tabs>
              <w:kinsoku/>
              <w:wordWrap/>
              <w:overflowPunct/>
              <w:topLinePunct w:val="0"/>
              <w:autoSpaceDE/>
              <w:autoSpaceDN/>
              <w:bidi w:val="0"/>
              <w:spacing w:line="288"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☑措施项目中的绿色施工安全防护措施费，必须按国家、省级、市级（即工程所在地）行业建设主管部门的规定计算，不得作为竞争性费用。</w:t>
            </w:r>
          </w:p>
          <w:p w14:paraId="0987CA8F">
            <w:pPr>
              <w:pStyle w:val="58"/>
              <w:keepNext w:val="0"/>
              <w:keepLines w:val="0"/>
              <w:pageBreakBefore w:val="0"/>
              <w:widowControl w:val="0"/>
              <w:tabs>
                <w:tab w:val="left" w:pos="1890"/>
              </w:tabs>
              <w:kinsoku/>
              <w:wordWrap/>
              <w:overflowPunct/>
              <w:topLinePunct w:val="0"/>
              <w:autoSpaceDE/>
              <w:autoSpaceDN/>
              <w:bidi w:val="0"/>
              <w:spacing w:line="288"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☑投标人应按照招标文件提供的工程量清单逐项填写单价和合价，投标人未填写的项目，招标人将视为此项费用已包括在工程量清单项目的其它单价及合价中不予另外增加。</w:t>
            </w:r>
          </w:p>
          <w:p w14:paraId="6C768D19">
            <w:pPr>
              <w:pStyle w:val="58"/>
              <w:keepNext w:val="0"/>
              <w:keepLines w:val="0"/>
              <w:pageBreakBefore w:val="0"/>
              <w:widowControl w:val="0"/>
              <w:tabs>
                <w:tab w:val="left" w:pos="1890"/>
              </w:tabs>
              <w:kinsoku/>
              <w:wordWrap/>
              <w:overflowPunct/>
              <w:topLinePunct w:val="0"/>
              <w:autoSpaceDE/>
              <w:autoSpaceDN/>
              <w:bidi w:val="0"/>
              <w:spacing w:line="288"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投标人应按《广东省建设工程计价依据（2018）》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2EC7E729">
            <w:pPr>
              <w:pStyle w:val="58"/>
              <w:keepNext w:val="0"/>
              <w:keepLines w:val="0"/>
              <w:pageBreakBefore w:val="0"/>
              <w:widowControl w:val="0"/>
              <w:tabs>
                <w:tab w:val="left" w:pos="1890"/>
              </w:tabs>
              <w:kinsoku/>
              <w:wordWrap/>
              <w:overflowPunct/>
              <w:topLinePunct w:val="0"/>
              <w:autoSpaceDE/>
              <w:autoSpaceDN/>
              <w:bidi w:val="0"/>
              <w:spacing w:line="288"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☑招标人向投标人提供的有关施工现场资料及数据，是招标人现有的能使投标人利用的资料，招标人对投标人据此作出的推论及理解概不负责。</w:t>
            </w:r>
          </w:p>
          <w:p w14:paraId="207A0C77">
            <w:pPr>
              <w:pStyle w:val="58"/>
              <w:keepNext w:val="0"/>
              <w:keepLines w:val="0"/>
              <w:pageBreakBefore w:val="0"/>
              <w:widowControl w:val="0"/>
              <w:tabs>
                <w:tab w:val="left" w:pos="1890"/>
              </w:tabs>
              <w:kinsoku/>
              <w:wordWrap/>
              <w:overflowPunct/>
              <w:topLinePunct w:val="0"/>
              <w:autoSpaceDE/>
              <w:autoSpaceDN/>
              <w:bidi w:val="0"/>
              <w:spacing w:line="288"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☑投标人应依据招标人提供的所有资料和自己对现场查勘来编 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1FACA3D0">
            <w:pPr>
              <w:pStyle w:val="58"/>
              <w:keepNext w:val="0"/>
              <w:keepLines w:val="0"/>
              <w:pageBreakBefore w:val="0"/>
              <w:widowControl w:val="0"/>
              <w:tabs>
                <w:tab w:val="left" w:pos="1890"/>
              </w:tabs>
              <w:kinsoku/>
              <w:wordWrap/>
              <w:overflowPunct/>
              <w:topLinePunct w:val="0"/>
              <w:autoSpaceDE/>
              <w:autoSpaceDN/>
              <w:bidi w:val="0"/>
              <w:spacing w:line="288" w:lineRule="auto"/>
              <w:jc w:val="left"/>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☑错漏项的认定。中标人已标价工程量清单中，任一清单项目未填报价格或价格为零的，招标人将视为此项费用已包括在工程量清单项目的其它单价及合价中不予另外增加。</w:t>
            </w:r>
          </w:p>
        </w:tc>
      </w:tr>
      <w:tr w14:paraId="72FF1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696" w:type="dxa"/>
            <w:shd w:val="clear" w:color="auto" w:fill="auto"/>
            <w:vAlign w:val="center"/>
          </w:tcPr>
          <w:p w14:paraId="78932129">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25</w:t>
            </w:r>
          </w:p>
        </w:tc>
        <w:tc>
          <w:tcPr>
            <w:tcW w:w="1915" w:type="dxa"/>
            <w:shd w:val="clear" w:color="auto" w:fill="auto"/>
            <w:vAlign w:val="center"/>
          </w:tcPr>
          <w:p w14:paraId="37686F1B">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zh-CN"/>
              </w:rPr>
              <w:t>投标费用</w:t>
            </w:r>
          </w:p>
        </w:tc>
        <w:tc>
          <w:tcPr>
            <w:tcW w:w="6996" w:type="dxa"/>
            <w:shd w:val="clear" w:color="auto" w:fill="auto"/>
            <w:vAlign w:val="center"/>
          </w:tcPr>
          <w:p w14:paraId="73ECCB86">
            <w:pPr>
              <w:keepNext w:val="0"/>
              <w:keepLines w:val="0"/>
              <w:pageBreakBefore w:val="0"/>
              <w:widowControl w:val="0"/>
              <w:wordWrap/>
              <w:overflowPunct/>
              <w:topLinePunct w:val="0"/>
              <w:bidi w:val="0"/>
              <w:spacing w:line="288" w:lineRule="auto"/>
              <w:jc w:val="both"/>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zh-CN"/>
              </w:rPr>
              <w:t>投标人自行承担编制与递交投标文件的一切费用。</w:t>
            </w:r>
          </w:p>
        </w:tc>
      </w:tr>
      <w:tr w14:paraId="497CC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atLeast"/>
        </w:trPr>
        <w:tc>
          <w:tcPr>
            <w:tcW w:w="696" w:type="dxa"/>
            <w:shd w:val="clear" w:color="auto" w:fill="auto"/>
            <w:vAlign w:val="center"/>
          </w:tcPr>
          <w:p w14:paraId="47999F04">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26</w:t>
            </w:r>
          </w:p>
        </w:tc>
        <w:tc>
          <w:tcPr>
            <w:tcW w:w="1915" w:type="dxa"/>
            <w:shd w:val="clear" w:color="auto" w:fill="auto"/>
            <w:vAlign w:val="center"/>
          </w:tcPr>
          <w:p w14:paraId="6B99D930">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投标人资格要求</w:t>
            </w:r>
          </w:p>
        </w:tc>
        <w:tc>
          <w:tcPr>
            <w:tcW w:w="6996" w:type="dxa"/>
            <w:shd w:val="clear" w:color="auto" w:fill="auto"/>
            <w:vAlign w:val="center"/>
          </w:tcPr>
          <w:p w14:paraId="375B2B6A">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1.本工程</w:t>
            </w:r>
            <w:r>
              <w:rPr>
                <w:rFonts w:hint="eastAsia" w:ascii="宋体" w:hAnsi="宋体" w:eastAsia="宋体" w:cs="宋体"/>
                <w:b/>
                <w:bCs/>
                <w:color w:val="auto"/>
                <w:highlight w:val="none"/>
                <w:u w:val="single"/>
                <w:lang w:val="en-US" w:eastAsia="zh-CN"/>
              </w:rPr>
              <w:t>不接受</w:t>
            </w:r>
            <w:r>
              <w:rPr>
                <w:rFonts w:hint="eastAsia" w:ascii="宋体" w:hAnsi="宋体" w:eastAsia="宋体" w:cs="宋体"/>
                <w:color w:val="auto"/>
                <w:highlight w:val="none"/>
                <w:lang w:val="en-US" w:eastAsia="zh-CN"/>
              </w:rPr>
              <w:t>联合体投标。</w:t>
            </w:r>
          </w:p>
          <w:p w14:paraId="2D45C610">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2.资格资质要求</w:t>
            </w:r>
          </w:p>
          <w:p w14:paraId="699AD933">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2.1投标人须具备独立法人资格，按国家法律经营。</w:t>
            </w:r>
          </w:p>
          <w:p w14:paraId="3CD8B513">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2.2投标人须持有建设行政主管部门颁发的企业资质证书及安全生产许可证。</w:t>
            </w:r>
          </w:p>
          <w:p w14:paraId="7DF3D290">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2.3投标人须具备以下资质：</w:t>
            </w:r>
            <w:r>
              <w:rPr>
                <w:rFonts w:hint="eastAsia" w:ascii="宋体" w:hAnsi="宋体" w:eastAsia="宋体" w:cs="宋体"/>
                <w:b/>
                <w:bCs/>
                <w:color w:val="auto"/>
                <w:sz w:val="24"/>
                <w:szCs w:val="24"/>
                <w:highlight w:val="none"/>
                <w:u w:val="single"/>
                <w:lang w:eastAsia="zh-CN"/>
              </w:rPr>
              <w:t>市政公用工程施工总承包三级（或以上）资质</w:t>
            </w:r>
            <w:r>
              <w:rPr>
                <w:rFonts w:hint="eastAsia" w:ascii="宋体" w:hAnsi="宋体" w:eastAsia="宋体" w:cs="宋体"/>
                <w:b/>
                <w:bCs/>
                <w:color w:val="auto"/>
                <w:highlight w:val="none"/>
                <w:lang w:val="en-US" w:eastAsia="zh-CN"/>
              </w:rPr>
              <w:t>。</w:t>
            </w:r>
          </w:p>
          <w:p w14:paraId="4EEA2C3F">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2.4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12974FE5">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3.相关人员要求</w:t>
            </w:r>
          </w:p>
          <w:p w14:paraId="69AD9B22">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3.1拟派项目经理为</w:t>
            </w:r>
            <w:r>
              <w:rPr>
                <w:rFonts w:hint="eastAsia" w:ascii="宋体" w:hAnsi="宋体" w:eastAsia="宋体" w:cs="宋体"/>
                <w:b/>
                <w:bCs/>
                <w:color w:val="auto"/>
                <w:highlight w:val="none"/>
                <w:u w:val="single"/>
                <w:lang w:val="en-US" w:eastAsia="zh-CN"/>
              </w:rPr>
              <w:t>市政公用工程</w:t>
            </w:r>
            <w:r>
              <w:rPr>
                <w:rFonts w:hint="eastAsia" w:ascii="宋体" w:hAnsi="宋体" w:eastAsia="宋体" w:cs="宋体"/>
                <w:color w:val="auto"/>
                <w:highlight w:val="none"/>
                <w:lang w:val="en-US" w:eastAsia="zh-CN"/>
              </w:rPr>
              <w:t>专业</w:t>
            </w:r>
            <w:r>
              <w:rPr>
                <w:rFonts w:hint="eastAsia" w:ascii="宋体" w:hAnsi="宋体" w:eastAsia="宋体" w:cs="宋体"/>
                <w:b/>
                <w:bCs/>
                <w:color w:val="auto"/>
                <w:highlight w:val="none"/>
                <w:u w:val="single"/>
                <w:lang w:val="en-US" w:eastAsia="zh-CN"/>
              </w:rPr>
              <w:t>一级或二级</w:t>
            </w:r>
            <w:r>
              <w:rPr>
                <w:rFonts w:hint="eastAsia" w:ascii="宋体" w:hAnsi="宋体" w:eastAsia="宋体" w:cs="宋体"/>
                <w:color w:val="auto"/>
                <w:highlight w:val="none"/>
                <w:lang w:val="en-US" w:eastAsia="zh-CN"/>
              </w:rPr>
              <w:t>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p>
          <w:p w14:paraId="18D515D5">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3.2拟派项目技术负责人须具备</w:t>
            </w:r>
            <w:r>
              <w:rPr>
                <w:rFonts w:hint="eastAsia" w:hAnsi="宋体" w:cs="宋体"/>
                <w:b/>
                <w:bCs/>
                <w:color w:val="auto"/>
                <w:highlight w:val="none"/>
                <w:u w:val="single"/>
                <w:lang w:val="en-US" w:eastAsia="zh-CN"/>
              </w:rPr>
              <w:t>市政工程</w:t>
            </w:r>
            <w:r>
              <w:rPr>
                <w:rFonts w:hint="eastAsia" w:ascii="宋体" w:hAnsi="宋体" w:eastAsia="宋体" w:cs="宋体"/>
                <w:color w:val="auto"/>
                <w:highlight w:val="none"/>
                <w:lang w:val="en-US" w:eastAsia="zh-CN"/>
              </w:rPr>
              <w:t>相关专业</w:t>
            </w:r>
            <w:r>
              <w:rPr>
                <w:rFonts w:hint="eastAsia" w:ascii="宋体" w:hAnsi="宋体" w:eastAsia="宋体" w:cs="宋体"/>
                <w:b/>
                <w:bCs/>
                <w:color w:val="auto"/>
                <w:highlight w:val="none"/>
                <w:u w:val="single"/>
                <w:lang w:val="en-US" w:eastAsia="zh-CN"/>
              </w:rPr>
              <w:t>中级</w:t>
            </w:r>
            <w:r>
              <w:rPr>
                <w:rFonts w:hint="eastAsia" w:hAnsi="宋体" w:cs="宋体"/>
                <w:b/>
                <w:bCs/>
                <w:color w:val="auto"/>
                <w:highlight w:val="none"/>
                <w:u w:val="single"/>
                <w:lang w:val="en-US" w:eastAsia="zh-CN"/>
              </w:rPr>
              <w:t>(</w:t>
            </w:r>
            <w:r>
              <w:rPr>
                <w:rFonts w:hint="eastAsia" w:ascii="宋体" w:hAnsi="宋体" w:eastAsia="宋体" w:cs="宋体"/>
                <w:b/>
                <w:bCs/>
                <w:color w:val="auto"/>
                <w:highlight w:val="none"/>
                <w:u w:val="single"/>
                <w:lang w:val="en-US" w:eastAsia="zh-CN"/>
              </w:rPr>
              <w:t>或以上)</w:t>
            </w:r>
            <w:r>
              <w:rPr>
                <w:rFonts w:hint="eastAsia" w:ascii="宋体" w:hAnsi="宋体" w:eastAsia="宋体" w:cs="宋体"/>
                <w:color w:val="auto"/>
                <w:highlight w:val="none"/>
                <w:lang w:val="en-US" w:eastAsia="zh-CN"/>
              </w:rPr>
              <w:t>技术职称。</w:t>
            </w:r>
          </w:p>
          <w:p w14:paraId="2F0D60BC">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highlight w:val="none"/>
                <w:lang w:val="en-US" w:eastAsia="zh-CN"/>
              </w:rPr>
              <w:t>3.3</w:t>
            </w:r>
            <w:r>
              <w:rPr>
                <w:rFonts w:hint="eastAsia" w:ascii="宋体" w:hAnsi="宋体" w:eastAsia="宋体" w:cs="宋体"/>
                <w:color w:val="auto"/>
                <w:sz w:val="24"/>
                <w:szCs w:val="24"/>
                <w:highlight w:val="none"/>
              </w:rPr>
              <w:t xml:space="preserve"> 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color w:val="auto"/>
                <w:sz w:val="24"/>
                <w:szCs w:val="24"/>
                <w:highlight w:val="none"/>
                <w:u w:val="single"/>
                <w:lang w:val="en-US" w:eastAsia="zh-CN"/>
              </w:rPr>
              <w:t xml:space="preserve"> 1 </w:t>
            </w:r>
            <w:r>
              <w:rPr>
                <w:rFonts w:hint="eastAsia" w:ascii="宋体" w:hAnsi="宋体" w:eastAsia="宋体" w:cs="宋体"/>
                <w:color w:val="auto"/>
                <w:sz w:val="24"/>
                <w:szCs w:val="24"/>
                <w:highlight w:val="none"/>
              </w:rPr>
              <w:t>人。</w:t>
            </w:r>
          </w:p>
          <w:p w14:paraId="59AC8D3C">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3.4投标人</w:t>
            </w:r>
            <w:r>
              <w:rPr>
                <w:rFonts w:hint="eastAsia" w:ascii="宋体" w:hAnsi="宋体" w:eastAsia="宋体" w:cs="宋体"/>
                <w:color w:val="auto"/>
                <w:sz w:val="24"/>
                <w:szCs w:val="24"/>
                <w:highlight w:val="none"/>
                <w:lang w:eastAsia="zh-CN"/>
              </w:rPr>
              <w:t>与其拟派往本项目管理机构的所有人员之间必须具备合法、唯一的劳动聘用关系。拟派人员中具备注册执业资格的，其注册单位须与投标人保持一致（提供社保缴纳证明或劳动合同）。</w:t>
            </w:r>
          </w:p>
          <w:p w14:paraId="17C905D7">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4.禁止投标条款：</w:t>
            </w:r>
          </w:p>
          <w:p w14:paraId="6778B98D">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4.1投标人不得存在下列情形之一：</w:t>
            </w:r>
          </w:p>
          <w:p w14:paraId="255961EC">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（1）为招标人不具有独立法人资格的附属机构（单位）；</w:t>
            </w:r>
          </w:p>
          <w:p w14:paraId="6C4C4DDC">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（2）为本招标项目前期准备提供设计或咨询服务的；</w:t>
            </w:r>
          </w:p>
          <w:p w14:paraId="7D44E3B4">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（3）与本招标项目的其他投标人为同一个单位负责人；</w:t>
            </w:r>
          </w:p>
          <w:p w14:paraId="04A83993">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（4）与本招标项目的其他投标人存在控股、管理关系；</w:t>
            </w:r>
          </w:p>
          <w:p w14:paraId="5EC71818">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（5）为本招标项目的监理人；</w:t>
            </w:r>
          </w:p>
          <w:p w14:paraId="52499A9A">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（6）为本招标项目的代建人；</w:t>
            </w:r>
          </w:p>
          <w:p w14:paraId="79848954">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（7）为本招标项目的招标代理机构；</w:t>
            </w:r>
          </w:p>
          <w:p w14:paraId="3A58FE1B">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（8）与本招标项目的监理人或代建人或招标代理机构同为一个法定代表人；</w:t>
            </w:r>
          </w:p>
          <w:p w14:paraId="67ACBF58">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（9）与本招标项目的监理人或代建人或招标代理机构存在控股或参股关系；</w:t>
            </w:r>
          </w:p>
          <w:p w14:paraId="41CE2298">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（10）与本招标项目的监理人或代建人或招标代理机构存在相互任职或工作关系；</w:t>
            </w:r>
          </w:p>
          <w:p w14:paraId="4F395F21">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（11）被依法暂停或者取消投标资格；</w:t>
            </w:r>
          </w:p>
          <w:p w14:paraId="1A41323E">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（12）被责令停产停业、暂扣或者吊销许可证、暂扣或者吊销执照；</w:t>
            </w:r>
          </w:p>
          <w:p w14:paraId="79063568">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（13）进入清算程序，或被宣告破产，或其他丧失履约能力的情形；</w:t>
            </w:r>
          </w:p>
          <w:p w14:paraId="22477511">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（14）在最近三年内发生重大工程质量或安全问题（以相关行业主管部门的行政处罚决定或司法机关出具的有关法律文书为准）；</w:t>
            </w:r>
          </w:p>
          <w:p w14:paraId="397E84C3">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（15）被“信用中国”网站（https://www.creditchina.gov.cn）发布的《法人和非法人组织公共信用信息报告》列为严重失信主体名单的。</w:t>
            </w:r>
          </w:p>
          <w:p w14:paraId="1A9886A1">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4.2招标人拒绝以下名单中的单位参加本次投标：</w:t>
            </w:r>
          </w:p>
          <w:tbl>
            <w:tblPr>
              <w:tblStyle w:val="23"/>
              <w:tblW w:w="6768"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640"/>
              <w:gridCol w:w="3390"/>
            </w:tblGrid>
            <w:tr w14:paraId="7416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738" w:type="dxa"/>
                  <w:noWrap w:val="0"/>
                  <w:vAlign w:val="center"/>
                </w:tcPr>
                <w:p w14:paraId="39EFCCDB">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序号</w:t>
                  </w:r>
                </w:p>
              </w:tc>
              <w:tc>
                <w:tcPr>
                  <w:tcW w:w="2640" w:type="dxa"/>
                  <w:noWrap w:val="0"/>
                  <w:vAlign w:val="center"/>
                </w:tcPr>
                <w:p w14:paraId="08BAF40A">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单位名称</w:t>
                  </w:r>
                </w:p>
              </w:tc>
              <w:tc>
                <w:tcPr>
                  <w:tcW w:w="3390" w:type="dxa"/>
                  <w:noWrap w:val="0"/>
                  <w:vAlign w:val="center"/>
                </w:tcPr>
                <w:p w14:paraId="42ABBF32">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拒绝原因</w:t>
                  </w:r>
                </w:p>
              </w:tc>
            </w:tr>
            <w:tr w14:paraId="2AFE7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38" w:type="dxa"/>
                  <w:shd w:val="clear" w:color="auto" w:fill="auto"/>
                  <w:noWrap w:val="0"/>
                  <w:vAlign w:val="center"/>
                </w:tcPr>
                <w:p w14:paraId="60EAFDEF">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2640" w:type="dxa"/>
                  <w:shd w:val="clear" w:color="auto" w:fill="auto"/>
                  <w:noWrap w:val="0"/>
                  <w:vAlign w:val="center"/>
                </w:tcPr>
                <w:p w14:paraId="4343B115">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翁源县农业农村局</w:t>
                  </w:r>
                </w:p>
              </w:tc>
              <w:tc>
                <w:tcPr>
                  <w:tcW w:w="3390" w:type="dxa"/>
                  <w:shd w:val="clear" w:color="auto" w:fill="auto"/>
                  <w:noWrap w:val="0"/>
                  <w:vAlign w:val="center"/>
                </w:tcPr>
                <w:p w14:paraId="029E38F8">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为本招标项目的项目业主</w:t>
                  </w:r>
                </w:p>
              </w:tc>
            </w:tr>
            <w:tr w14:paraId="78CAF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38" w:type="dxa"/>
                  <w:noWrap w:val="0"/>
                  <w:vAlign w:val="center"/>
                </w:tcPr>
                <w:p w14:paraId="1F5D83BE">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p>
              </w:tc>
              <w:tc>
                <w:tcPr>
                  <w:tcW w:w="2640" w:type="dxa"/>
                  <w:noWrap w:val="0"/>
                  <w:vAlign w:val="center"/>
                </w:tcPr>
                <w:p w14:paraId="64EF54F6">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翁源县官渡镇人民政府</w:t>
                  </w:r>
                </w:p>
              </w:tc>
              <w:tc>
                <w:tcPr>
                  <w:tcW w:w="3390" w:type="dxa"/>
                  <w:noWrap w:val="0"/>
                  <w:vAlign w:val="center"/>
                </w:tcPr>
                <w:p w14:paraId="56B12A3B">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en-US"/>
                    </w:rPr>
                    <w:t>为本招标项目的招标人</w:t>
                  </w:r>
                </w:p>
              </w:tc>
            </w:tr>
            <w:tr w14:paraId="5F812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38" w:type="dxa"/>
                  <w:noWrap w:val="0"/>
                  <w:vAlign w:val="center"/>
                </w:tcPr>
                <w:p w14:paraId="6A1C5613">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p>
              </w:tc>
              <w:tc>
                <w:tcPr>
                  <w:tcW w:w="2640" w:type="dxa"/>
                  <w:shd w:val="clear" w:color="auto" w:fill="auto"/>
                  <w:noWrap w:val="0"/>
                  <w:vAlign w:val="center"/>
                </w:tcPr>
                <w:p w14:paraId="3DA3EC81">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永建设计集团有限公司</w:t>
                  </w:r>
                </w:p>
              </w:tc>
              <w:tc>
                <w:tcPr>
                  <w:tcW w:w="3390" w:type="dxa"/>
                  <w:shd w:val="clear" w:color="auto" w:fill="auto"/>
                  <w:noWrap w:val="0"/>
                  <w:vAlign w:val="center"/>
                </w:tcPr>
                <w:p w14:paraId="11A283CD">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en-US"/>
                    </w:rPr>
                    <w:t>为本招标项目的</w:t>
                  </w:r>
                  <w:r>
                    <w:rPr>
                      <w:rFonts w:hint="eastAsia" w:ascii="宋体" w:hAnsi="宋体" w:eastAsia="宋体" w:cs="宋体"/>
                      <w:color w:val="auto"/>
                      <w:highlight w:val="none"/>
                      <w:lang w:val="en-US" w:eastAsia="zh-CN"/>
                    </w:rPr>
                    <w:t>设计单位</w:t>
                  </w:r>
                </w:p>
              </w:tc>
            </w:tr>
            <w:tr w14:paraId="50ED5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738" w:type="dxa"/>
                  <w:noWrap w:val="0"/>
                  <w:vAlign w:val="center"/>
                </w:tcPr>
                <w:p w14:paraId="55E1A391">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p>
              </w:tc>
              <w:tc>
                <w:tcPr>
                  <w:tcW w:w="2640" w:type="dxa"/>
                  <w:shd w:val="clear" w:color="auto" w:fill="auto"/>
                  <w:noWrap w:val="0"/>
                  <w:vAlign w:val="center"/>
                </w:tcPr>
                <w:p w14:paraId="399DB1F6">
                  <w:pPr>
                    <w:pStyle w:val="34"/>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jc w:val="left"/>
                    <w:textAlignment w:val="auto"/>
                    <w:rPr>
                      <w:rFonts w:hint="default" w:ascii="宋体" w:hAnsi="宋体" w:eastAsia="宋体" w:cs="宋体"/>
                      <w:color w:val="auto"/>
                      <w:highlight w:val="none"/>
                      <w:lang w:val="en-US" w:eastAsia="zh-CN"/>
                    </w:rPr>
                  </w:pPr>
                  <w:r>
                    <w:rPr>
                      <w:rFonts w:hint="eastAsia" w:ascii="宋体" w:hAnsi="宋体" w:eastAsia="宋体" w:cs="宋体"/>
                      <w:color w:val="auto"/>
                      <w:sz w:val="24"/>
                      <w:szCs w:val="24"/>
                      <w:highlight w:val="none"/>
                      <w:lang w:val="en-US" w:eastAsia="zh-CN"/>
                    </w:rPr>
                    <w:t>广东省国际工程咨询有限公司</w:t>
                  </w:r>
                </w:p>
              </w:tc>
              <w:tc>
                <w:tcPr>
                  <w:tcW w:w="3390" w:type="dxa"/>
                  <w:shd w:val="clear" w:color="auto" w:fill="auto"/>
                  <w:noWrap w:val="0"/>
                  <w:vAlign w:val="center"/>
                </w:tcPr>
                <w:p w14:paraId="2199E745">
                  <w:pPr>
                    <w:pStyle w:val="34"/>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jc w:val="left"/>
                    <w:textAlignment w:val="auto"/>
                    <w:rPr>
                      <w:rFonts w:hint="eastAsia" w:ascii="宋体" w:hAnsi="宋体" w:eastAsia="宋体" w:cs="宋体"/>
                      <w:color w:val="auto"/>
                      <w:highlight w:val="none"/>
                      <w:lang w:val="en-US" w:eastAsia="en-US"/>
                    </w:rPr>
                  </w:pPr>
                  <w:r>
                    <w:rPr>
                      <w:rFonts w:hint="eastAsia" w:ascii="宋体" w:hAnsi="宋体" w:eastAsia="宋体" w:cs="宋体"/>
                      <w:color w:val="auto"/>
                      <w:sz w:val="24"/>
                      <w:szCs w:val="24"/>
                      <w:highlight w:val="none"/>
                    </w:rPr>
                    <w:t>为本</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项目的可研编制单位</w:t>
                  </w:r>
                </w:p>
              </w:tc>
            </w:tr>
            <w:tr w14:paraId="0671D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738" w:type="dxa"/>
                  <w:noWrap w:val="0"/>
                  <w:vAlign w:val="center"/>
                </w:tcPr>
                <w:p w14:paraId="6B24616C">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w:t>
                  </w:r>
                </w:p>
              </w:tc>
              <w:tc>
                <w:tcPr>
                  <w:tcW w:w="2640" w:type="dxa"/>
                  <w:shd w:val="clear" w:color="auto" w:fill="auto"/>
                  <w:noWrap w:val="0"/>
                  <w:vAlign w:val="center"/>
                </w:tcPr>
                <w:p w14:paraId="696F4480">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default" w:ascii="宋体" w:hAnsi="宋体" w:eastAsia="宋体" w:cs="宋体"/>
                      <w:color w:val="auto"/>
                      <w:highlight w:val="none"/>
                      <w:lang w:val="en-US" w:eastAsia="zh-CN"/>
                    </w:rPr>
                  </w:pPr>
                  <w:r>
                    <w:rPr>
                      <w:rFonts w:hint="eastAsia" w:hAnsi="宋体" w:cs="宋体"/>
                      <w:color w:val="auto"/>
                      <w:highlight w:val="none"/>
                      <w:lang w:val="en-US" w:eastAsia="zh-CN"/>
                    </w:rPr>
                    <w:t>福州市安永工程监理有限公司</w:t>
                  </w:r>
                </w:p>
              </w:tc>
              <w:tc>
                <w:tcPr>
                  <w:tcW w:w="3390" w:type="dxa"/>
                  <w:shd w:val="clear" w:color="auto" w:fill="auto"/>
                  <w:noWrap w:val="0"/>
                  <w:vAlign w:val="center"/>
                </w:tcPr>
                <w:p w14:paraId="1436F495">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en-US"/>
                    </w:rPr>
                    <w:t>为本招标项目的</w:t>
                  </w:r>
                  <w:r>
                    <w:rPr>
                      <w:rFonts w:hint="eastAsia" w:ascii="宋体" w:hAnsi="宋体" w:eastAsia="宋体" w:cs="宋体"/>
                      <w:color w:val="auto"/>
                      <w:highlight w:val="none"/>
                      <w:lang w:val="en-US" w:eastAsia="zh-CN"/>
                    </w:rPr>
                    <w:t>预算编制</w:t>
                  </w:r>
                  <w:r>
                    <w:rPr>
                      <w:rFonts w:hint="eastAsia" w:ascii="宋体" w:hAnsi="宋体" w:eastAsia="宋体" w:cs="宋体"/>
                      <w:color w:val="auto"/>
                      <w:highlight w:val="none"/>
                      <w:lang w:val="en-US" w:eastAsia="en-US"/>
                    </w:rPr>
                    <w:t>单位</w:t>
                  </w:r>
                </w:p>
              </w:tc>
            </w:tr>
            <w:tr w14:paraId="1A77E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38" w:type="dxa"/>
                  <w:noWrap w:val="0"/>
                  <w:vAlign w:val="center"/>
                </w:tcPr>
                <w:p w14:paraId="34A3D13E">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w:t>
                  </w:r>
                </w:p>
              </w:tc>
              <w:tc>
                <w:tcPr>
                  <w:tcW w:w="2640" w:type="dxa"/>
                  <w:shd w:val="clear" w:color="auto" w:fill="auto"/>
                  <w:noWrap w:val="0"/>
                  <w:vAlign w:val="center"/>
                </w:tcPr>
                <w:p w14:paraId="599FFC33">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default" w:ascii="宋体" w:hAnsi="宋体" w:eastAsia="宋体" w:cs="宋体"/>
                      <w:color w:val="auto"/>
                      <w:highlight w:val="none"/>
                      <w:lang w:val="en-US" w:eastAsia="zh-CN"/>
                    </w:rPr>
                  </w:pPr>
                  <w:r>
                    <w:rPr>
                      <w:rFonts w:hint="eastAsia" w:hAnsi="宋体" w:cs="宋体"/>
                      <w:color w:val="auto"/>
                      <w:highlight w:val="none"/>
                      <w:lang w:val="en-US" w:eastAsia="zh-CN"/>
                    </w:rPr>
                    <w:t>广东省建筑工程监理有限公司</w:t>
                  </w:r>
                </w:p>
              </w:tc>
              <w:tc>
                <w:tcPr>
                  <w:tcW w:w="3390" w:type="dxa"/>
                  <w:shd w:val="clear" w:color="auto" w:fill="auto"/>
                  <w:noWrap w:val="0"/>
                  <w:vAlign w:val="center"/>
                </w:tcPr>
                <w:p w14:paraId="0F336D1F">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en-US"/>
                    </w:rPr>
                    <w:t>为本招标项目的</w:t>
                  </w:r>
                  <w:r>
                    <w:rPr>
                      <w:rFonts w:hint="eastAsia" w:ascii="宋体" w:hAnsi="宋体" w:eastAsia="宋体" w:cs="宋体"/>
                      <w:color w:val="auto"/>
                      <w:highlight w:val="none"/>
                      <w:lang w:val="en-US" w:eastAsia="zh-CN"/>
                    </w:rPr>
                    <w:t>预算审核</w:t>
                  </w:r>
                  <w:r>
                    <w:rPr>
                      <w:rFonts w:hint="eastAsia" w:ascii="宋体" w:hAnsi="宋体" w:eastAsia="宋体" w:cs="宋体"/>
                      <w:color w:val="auto"/>
                      <w:highlight w:val="none"/>
                      <w:lang w:val="en-US" w:eastAsia="en-US"/>
                    </w:rPr>
                    <w:t>单位</w:t>
                  </w:r>
                </w:p>
              </w:tc>
            </w:tr>
            <w:tr w14:paraId="166D5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738" w:type="dxa"/>
                  <w:shd w:val="clear" w:color="auto" w:fill="auto"/>
                  <w:noWrap w:val="0"/>
                  <w:vAlign w:val="center"/>
                </w:tcPr>
                <w:p w14:paraId="294F8E77">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default" w:ascii="宋体" w:hAnsi="宋体" w:eastAsia="宋体" w:cs="宋体"/>
                      <w:color w:val="auto"/>
                      <w:highlight w:val="none"/>
                      <w:lang w:val="en-US" w:eastAsia="zh-CN"/>
                    </w:rPr>
                  </w:pPr>
                  <w:r>
                    <w:rPr>
                      <w:rFonts w:hint="eastAsia" w:hAnsi="宋体" w:cs="宋体"/>
                      <w:color w:val="auto"/>
                      <w:highlight w:val="none"/>
                      <w:lang w:val="en-US" w:eastAsia="zh-CN"/>
                    </w:rPr>
                    <w:t>7</w:t>
                  </w:r>
                </w:p>
              </w:tc>
              <w:tc>
                <w:tcPr>
                  <w:tcW w:w="2640" w:type="dxa"/>
                  <w:shd w:val="clear" w:color="auto" w:fill="auto"/>
                  <w:noWrap w:val="0"/>
                  <w:vAlign w:val="center"/>
                </w:tcPr>
                <w:p w14:paraId="52FB020C">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hAnsi="宋体" w:cs="宋体"/>
                      <w:color w:val="auto"/>
                      <w:highlight w:val="none"/>
                      <w:lang w:val="en-US" w:eastAsia="zh-CN"/>
                    </w:rPr>
                  </w:pPr>
                  <w:r>
                    <w:rPr>
                      <w:rFonts w:hint="eastAsia" w:ascii="宋体" w:hAnsi="宋体" w:eastAsia="宋体" w:cs="宋体"/>
                      <w:color w:val="auto"/>
                      <w:highlight w:val="none"/>
                      <w:lang w:val="en-US" w:eastAsia="zh-CN"/>
                    </w:rPr>
                    <w:t>深圳市祺骏建设工程顾问有限公司</w:t>
                  </w:r>
                </w:p>
              </w:tc>
              <w:tc>
                <w:tcPr>
                  <w:tcW w:w="3390" w:type="dxa"/>
                  <w:shd w:val="clear" w:color="auto" w:fill="auto"/>
                  <w:noWrap w:val="0"/>
                  <w:vAlign w:val="center"/>
                </w:tcPr>
                <w:p w14:paraId="3808E336">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en-US"/>
                    </w:rPr>
                    <w:t>为本招标项目的招标代理机构</w:t>
                  </w:r>
                </w:p>
              </w:tc>
            </w:tr>
            <w:tr w14:paraId="1631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738" w:type="dxa"/>
                  <w:shd w:val="clear" w:color="auto" w:fill="auto"/>
                  <w:noWrap w:val="0"/>
                  <w:vAlign w:val="center"/>
                </w:tcPr>
                <w:p w14:paraId="1F34B6A0">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default" w:hAnsi="宋体" w:cs="宋体"/>
                      <w:color w:val="auto"/>
                      <w:highlight w:val="none"/>
                      <w:lang w:val="en-US" w:eastAsia="zh-CN"/>
                    </w:rPr>
                  </w:pPr>
                  <w:r>
                    <w:rPr>
                      <w:rFonts w:hint="eastAsia" w:hAnsi="宋体" w:cs="宋体"/>
                      <w:color w:val="auto"/>
                      <w:highlight w:val="none"/>
                      <w:lang w:val="en-US" w:eastAsia="zh-CN"/>
                    </w:rPr>
                    <w:t>8</w:t>
                  </w:r>
                </w:p>
              </w:tc>
              <w:tc>
                <w:tcPr>
                  <w:tcW w:w="2640" w:type="dxa"/>
                  <w:shd w:val="clear" w:color="auto" w:fill="auto"/>
                  <w:noWrap w:val="0"/>
                  <w:vAlign w:val="center"/>
                </w:tcPr>
                <w:p w14:paraId="48C54CD6">
                  <w:pPr>
                    <w:keepNext w:val="0"/>
                    <w:keepLines w:val="0"/>
                    <w:pageBreakBefore w:val="0"/>
                    <w:widowControl w:val="0"/>
                    <w:kinsoku/>
                    <w:wordWrap/>
                    <w:overflowPunct/>
                    <w:topLinePunct w:val="0"/>
                    <w:autoSpaceDE/>
                    <w:autoSpaceDN/>
                    <w:bidi w:val="0"/>
                    <w:adjustRightInd/>
                    <w:snapToGrid/>
                    <w:spacing w:line="45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sz w:val="24"/>
                      <w:szCs w:val="24"/>
                      <w:highlight w:val="none"/>
                      <w:lang w:val="en-US" w:eastAsia="zh-CN"/>
                    </w:rPr>
                    <w:t>待定</w:t>
                  </w:r>
                </w:p>
              </w:tc>
              <w:tc>
                <w:tcPr>
                  <w:tcW w:w="3390" w:type="dxa"/>
                  <w:shd w:val="clear" w:color="auto" w:fill="auto"/>
                  <w:noWrap w:val="0"/>
                  <w:vAlign w:val="center"/>
                </w:tcPr>
                <w:p w14:paraId="2993FC5D">
                  <w:pPr>
                    <w:keepNext w:val="0"/>
                    <w:keepLines w:val="0"/>
                    <w:pageBreakBefore w:val="0"/>
                    <w:widowControl w:val="0"/>
                    <w:kinsoku/>
                    <w:wordWrap/>
                    <w:overflowPunct/>
                    <w:topLinePunct w:val="0"/>
                    <w:autoSpaceDE/>
                    <w:autoSpaceDN/>
                    <w:bidi w:val="0"/>
                    <w:adjustRightInd/>
                    <w:snapToGrid/>
                    <w:spacing w:line="450" w:lineRule="exact"/>
                    <w:jc w:val="left"/>
                    <w:textAlignment w:val="auto"/>
                    <w:rPr>
                      <w:rFonts w:hint="eastAsia" w:ascii="宋体" w:hAnsi="宋体" w:eastAsia="宋体" w:cs="宋体"/>
                      <w:color w:val="auto"/>
                      <w:highlight w:val="none"/>
                      <w:lang w:val="en-US" w:eastAsia="en-US"/>
                    </w:rPr>
                  </w:pPr>
                  <w:r>
                    <w:rPr>
                      <w:rFonts w:hint="eastAsia" w:ascii="宋体" w:hAnsi="宋体" w:eastAsia="宋体" w:cs="宋体"/>
                      <w:color w:val="auto"/>
                      <w:sz w:val="24"/>
                      <w:szCs w:val="24"/>
                      <w:highlight w:val="none"/>
                      <w:lang w:val="en-US" w:eastAsia="zh-CN"/>
                    </w:rPr>
                    <w:t>为本招标项目的监理单位</w:t>
                  </w:r>
                </w:p>
              </w:tc>
            </w:tr>
          </w:tbl>
          <w:p w14:paraId="523BE3B5">
            <w:pPr>
              <w:pStyle w:val="58"/>
              <w:keepNext w:val="0"/>
              <w:keepLines w:val="0"/>
              <w:pageBreakBefore w:val="0"/>
              <w:widowControl w:val="0"/>
              <w:tabs>
                <w:tab w:val="left" w:pos="1890"/>
              </w:tabs>
              <w:kinsoku/>
              <w:wordWrap/>
              <w:overflowPunct/>
              <w:topLinePunct w:val="0"/>
              <w:autoSpaceDE/>
              <w:autoSpaceDN/>
              <w:bidi w:val="0"/>
              <w:spacing w:line="450" w:lineRule="exact"/>
              <w:jc w:val="left"/>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5.其他要求</w:t>
            </w:r>
          </w:p>
          <w:p w14:paraId="490C1446">
            <w:pPr>
              <w:pStyle w:val="58"/>
              <w:keepNext w:val="0"/>
              <w:keepLines w:val="0"/>
              <w:pageBreakBefore w:val="0"/>
              <w:widowControl w:val="0"/>
              <w:tabs>
                <w:tab w:val="left" w:pos="1890"/>
              </w:tabs>
              <w:kinsoku/>
              <w:wordWrap/>
              <w:overflowPunct/>
              <w:topLinePunct w:val="0"/>
              <w:autoSpaceDE/>
              <w:autoSpaceDN/>
              <w:bidi w:val="0"/>
              <w:spacing w:line="450" w:lineRule="exact"/>
              <w:ind w:firstLine="240" w:firstLineChars="100"/>
              <w:jc w:val="left"/>
              <w:textAlignment w:val="auto"/>
              <w:rPr>
                <w:rFonts w:hint="eastAsia" w:ascii="宋体" w:hAnsi="宋体" w:eastAsia="宋体" w:cs="宋体"/>
                <w:color w:val="auto"/>
                <w:highlight w:val="none"/>
                <w:lang w:val="en-US" w:eastAsia="en-US"/>
              </w:rPr>
            </w:pPr>
            <w:r>
              <w:rPr>
                <w:rFonts w:hint="eastAsia" w:ascii="宋体" w:hAnsi="宋体" w:eastAsia="宋体" w:cs="宋体"/>
                <w:color w:val="auto"/>
                <w:kern w:val="2"/>
                <w:sz w:val="24"/>
                <w:szCs w:val="24"/>
                <w:highlight w:val="none"/>
                <w:lang w:val="en-US" w:eastAsia="zh-CN" w:bidi="ar-SA"/>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7750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696" w:type="dxa"/>
            <w:shd w:val="clear" w:color="auto" w:fill="auto"/>
            <w:vAlign w:val="center"/>
          </w:tcPr>
          <w:p w14:paraId="6E5CECC4">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27</w:t>
            </w:r>
          </w:p>
        </w:tc>
        <w:tc>
          <w:tcPr>
            <w:tcW w:w="1915" w:type="dxa"/>
            <w:shd w:val="clear" w:color="auto" w:fill="auto"/>
            <w:vAlign w:val="center"/>
          </w:tcPr>
          <w:p w14:paraId="61FFC5D4">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投标有效期</w:t>
            </w:r>
          </w:p>
        </w:tc>
        <w:tc>
          <w:tcPr>
            <w:tcW w:w="6996" w:type="dxa"/>
            <w:shd w:val="clear" w:color="auto" w:fill="auto"/>
            <w:vAlign w:val="center"/>
          </w:tcPr>
          <w:p w14:paraId="6738A49D">
            <w:pPr>
              <w:pStyle w:val="58"/>
              <w:keepNext w:val="0"/>
              <w:keepLines w:val="0"/>
              <w:pageBreakBefore w:val="0"/>
              <w:widowControl w:val="0"/>
              <w:tabs>
                <w:tab w:val="left" w:pos="1890"/>
              </w:tabs>
              <w:kinsoku/>
              <w:wordWrap/>
              <w:overflowPunct/>
              <w:topLinePunct w:val="0"/>
              <w:autoSpaceDE/>
              <w:autoSpaceDN/>
              <w:bidi w:val="0"/>
              <w:spacing w:line="288" w:lineRule="auto"/>
              <w:jc w:val="both"/>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本次招标的投标有效期为90个日历天。</w:t>
            </w:r>
          </w:p>
        </w:tc>
      </w:tr>
      <w:tr w14:paraId="40D71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696" w:type="dxa"/>
            <w:shd w:val="clear" w:color="auto" w:fill="auto"/>
            <w:vAlign w:val="center"/>
          </w:tcPr>
          <w:p w14:paraId="355B30C7">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28</w:t>
            </w:r>
          </w:p>
        </w:tc>
        <w:tc>
          <w:tcPr>
            <w:tcW w:w="1915" w:type="dxa"/>
            <w:shd w:val="clear" w:color="auto" w:fill="auto"/>
            <w:vAlign w:val="center"/>
          </w:tcPr>
          <w:p w14:paraId="5FF6BAA0">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投标文件组成</w:t>
            </w:r>
          </w:p>
        </w:tc>
        <w:tc>
          <w:tcPr>
            <w:tcW w:w="6996" w:type="dxa"/>
            <w:shd w:val="clear" w:color="auto" w:fill="auto"/>
            <w:vAlign w:val="center"/>
          </w:tcPr>
          <w:p w14:paraId="519690D2">
            <w:pPr>
              <w:pStyle w:val="58"/>
              <w:keepNext w:val="0"/>
              <w:keepLines w:val="0"/>
              <w:pageBreakBefore w:val="0"/>
              <w:widowControl w:val="0"/>
              <w:tabs>
                <w:tab w:val="left" w:pos="1890"/>
              </w:tabs>
              <w:kinsoku/>
              <w:wordWrap/>
              <w:overflowPunct/>
              <w:topLinePunct w:val="0"/>
              <w:autoSpaceDE/>
              <w:autoSpaceDN/>
              <w:bidi w:val="0"/>
              <w:spacing w:line="288" w:lineRule="auto"/>
              <w:jc w:val="both"/>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投标文件包括商务标书、经济标书、施工组织设计三个分册。</w:t>
            </w:r>
          </w:p>
        </w:tc>
      </w:tr>
      <w:tr w14:paraId="582FA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96" w:type="dxa"/>
            <w:shd w:val="clear" w:color="auto" w:fill="auto"/>
            <w:vAlign w:val="center"/>
          </w:tcPr>
          <w:p w14:paraId="61D94369">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29</w:t>
            </w:r>
          </w:p>
        </w:tc>
        <w:tc>
          <w:tcPr>
            <w:tcW w:w="1915" w:type="dxa"/>
            <w:shd w:val="clear" w:color="auto" w:fill="auto"/>
            <w:vAlign w:val="center"/>
          </w:tcPr>
          <w:p w14:paraId="1268C0D6">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施工组织设计评审方式</w:t>
            </w:r>
          </w:p>
        </w:tc>
        <w:tc>
          <w:tcPr>
            <w:tcW w:w="6996" w:type="dxa"/>
            <w:shd w:val="clear" w:color="auto" w:fill="auto"/>
            <w:vAlign w:val="center"/>
          </w:tcPr>
          <w:p w14:paraId="4C8BA94C">
            <w:pPr>
              <w:pStyle w:val="58"/>
              <w:keepNext w:val="0"/>
              <w:keepLines w:val="0"/>
              <w:pageBreakBefore w:val="0"/>
              <w:widowControl w:val="0"/>
              <w:tabs>
                <w:tab w:val="left" w:pos="1890"/>
              </w:tabs>
              <w:kinsoku/>
              <w:wordWrap/>
              <w:overflowPunct/>
              <w:topLinePunct w:val="0"/>
              <w:autoSpaceDE/>
              <w:autoSpaceDN/>
              <w:bidi w:val="0"/>
              <w:spacing w:line="288" w:lineRule="auto"/>
              <w:jc w:val="both"/>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本次招标施工组织设计不采用“暗标”方式进行评审。</w:t>
            </w:r>
          </w:p>
        </w:tc>
      </w:tr>
      <w:tr w14:paraId="044A7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696" w:type="dxa"/>
            <w:shd w:val="clear" w:color="auto" w:fill="auto"/>
            <w:vAlign w:val="center"/>
          </w:tcPr>
          <w:p w14:paraId="3A7A5DB5">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30</w:t>
            </w:r>
          </w:p>
        </w:tc>
        <w:tc>
          <w:tcPr>
            <w:tcW w:w="1915" w:type="dxa"/>
            <w:shd w:val="clear" w:color="auto" w:fill="auto"/>
            <w:vAlign w:val="center"/>
          </w:tcPr>
          <w:p w14:paraId="7FAAFE6E">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评标委员会</w:t>
            </w:r>
          </w:p>
        </w:tc>
        <w:tc>
          <w:tcPr>
            <w:tcW w:w="6996" w:type="dxa"/>
            <w:shd w:val="clear" w:color="auto" w:fill="auto"/>
            <w:vAlign w:val="center"/>
          </w:tcPr>
          <w:p w14:paraId="7F6148F7">
            <w:pPr>
              <w:pStyle w:val="58"/>
              <w:keepNext w:val="0"/>
              <w:keepLines w:val="0"/>
              <w:pageBreakBefore w:val="0"/>
              <w:widowControl w:val="0"/>
              <w:tabs>
                <w:tab w:val="left" w:pos="1890"/>
              </w:tabs>
              <w:kinsoku/>
              <w:wordWrap/>
              <w:overflowPunct/>
              <w:topLinePunct w:val="0"/>
              <w:autoSpaceDE/>
              <w:autoSpaceDN/>
              <w:bidi w:val="0"/>
              <w:spacing w:line="288" w:lineRule="auto"/>
              <w:jc w:val="both"/>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评标委员会由5人组成，其中招标人代表0人，专家5人。专家从广东省综合评标评审专家库-韶关区域中随机抽取，其中技术类专家3人，经济类专家2人。</w:t>
            </w:r>
          </w:p>
        </w:tc>
      </w:tr>
      <w:tr w14:paraId="326A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696" w:type="dxa"/>
            <w:shd w:val="clear" w:color="auto" w:fill="auto"/>
            <w:vAlign w:val="center"/>
          </w:tcPr>
          <w:p w14:paraId="54D99129">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rPr>
              <w:t>31</w:t>
            </w:r>
          </w:p>
        </w:tc>
        <w:tc>
          <w:tcPr>
            <w:tcW w:w="1915" w:type="dxa"/>
            <w:shd w:val="clear" w:color="auto" w:fill="auto"/>
            <w:vAlign w:val="center"/>
          </w:tcPr>
          <w:p w14:paraId="4A66EDEF">
            <w:pPr>
              <w:pStyle w:val="58"/>
              <w:keepNext w:val="0"/>
              <w:keepLines w:val="0"/>
              <w:pageBreakBefore w:val="0"/>
              <w:widowControl w:val="0"/>
              <w:tabs>
                <w:tab w:val="left" w:pos="1890"/>
              </w:tabs>
              <w:kinsoku/>
              <w:wordWrap/>
              <w:overflowPunct/>
              <w:topLinePunct w:val="0"/>
              <w:autoSpaceDE/>
              <w:autoSpaceDN/>
              <w:bidi w:val="0"/>
              <w:spacing w:line="288" w:lineRule="auto"/>
              <w:jc w:val="center"/>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评标方法</w:t>
            </w:r>
          </w:p>
        </w:tc>
        <w:tc>
          <w:tcPr>
            <w:tcW w:w="6996" w:type="dxa"/>
            <w:shd w:val="clear" w:color="auto" w:fill="auto"/>
            <w:vAlign w:val="center"/>
          </w:tcPr>
          <w:p w14:paraId="3EA6E703">
            <w:pPr>
              <w:pStyle w:val="58"/>
              <w:keepNext w:val="0"/>
              <w:keepLines w:val="0"/>
              <w:pageBreakBefore w:val="0"/>
              <w:widowControl w:val="0"/>
              <w:tabs>
                <w:tab w:val="left" w:pos="1890"/>
              </w:tabs>
              <w:kinsoku/>
              <w:wordWrap/>
              <w:overflowPunct/>
              <w:topLinePunct w:val="0"/>
              <w:autoSpaceDE/>
              <w:autoSpaceDN/>
              <w:bidi w:val="0"/>
              <w:spacing w:line="288" w:lineRule="auto"/>
              <w:jc w:val="both"/>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 xml:space="preserve">□A＋B值评标法   □经评审的最低投标价法 </w:t>
            </w:r>
            <w:r>
              <w:rPr>
                <w:rFonts w:hint="eastAsia" w:hAnsi="宋体" w:cs="宋体"/>
                <w:color w:val="auto"/>
                <w:highlight w:val="none"/>
                <w:lang w:val="en-US" w:eastAsia="zh-CN"/>
              </w:rPr>
              <w:t xml:space="preserve"> </w:t>
            </w:r>
            <w:r>
              <w:rPr>
                <w:rFonts w:hint="eastAsia" w:ascii="宋体" w:hAnsi="宋体" w:eastAsia="宋体" w:cs="宋体"/>
                <w:color w:val="auto"/>
                <w:highlight w:val="none"/>
                <w:lang w:val="en-US" w:eastAsia="zh-CN"/>
              </w:rPr>
              <w:t xml:space="preserve"> ☑综合评估法</w:t>
            </w:r>
          </w:p>
        </w:tc>
      </w:tr>
      <w:tr w14:paraId="3F033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696" w:type="dxa"/>
            <w:shd w:val="clear" w:color="auto" w:fill="auto"/>
            <w:vAlign w:val="center"/>
          </w:tcPr>
          <w:p w14:paraId="66FE3698">
            <w:pPr>
              <w:keepNext w:val="0"/>
              <w:keepLines w:val="0"/>
              <w:pageBreakBefore w:val="0"/>
              <w:widowControl w:val="0"/>
              <w:wordWrap/>
              <w:overflowPunct/>
              <w:topLinePunct w:val="0"/>
              <w:bidi w:val="0"/>
              <w:spacing w:line="288"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w:t>
            </w:r>
          </w:p>
        </w:tc>
        <w:tc>
          <w:tcPr>
            <w:tcW w:w="1915" w:type="dxa"/>
            <w:shd w:val="clear" w:color="auto" w:fill="auto"/>
            <w:vAlign w:val="center"/>
          </w:tcPr>
          <w:p w14:paraId="0857FDDE">
            <w:pPr>
              <w:keepNext w:val="0"/>
              <w:keepLines w:val="0"/>
              <w:pageBreakBefore w:val="0"/>
              <w:widowControl w:val="0"/>
              <w:kinsoku/>
              <w:wordWrap w:val="0"/>
              <w:overflowPunct/>
              <w:topLinePunct w:val="0"/>
              <w:autoSpaceDE/>
              <w:autoSpaceDN/>
              <w:bidi w:val="0"/>
              <w:adjustRightInd/>
              <w:snapToGrid/>
              <w:spacing w:line="400" w:lineRule="exact"/>
              <w:ind w:left="105" w:leftChars="50" w:right="105" w:rightChars="50"/>
              <w:jc w:val="center"/>
              <w:textAlignment w:val="auto"/>
              <w:rPr>
                <w:rFonts w:hint="eastAsia" w:ascii="宋体" w:hAnsi="宋体" w:eastAsia="宋体" w:cs="宋体"/>
                <w:color w:val="auto"/>
                <w:highlight w:val="none"/>
                <w:lang w:val="en-US" w:eastAsia="zh-CN"/>
              </w:rPr>
            </w:pPr>
            <w:r>
              <w:rPr>
                <w:rFonts w:hint="eastAsia" w:ascii="宋体" w:hAnsi="宋体" w:eastAsia="宋体" w:cs="宋体"/>
                <w:snapToGrid w:val="0"/>
                <w:color w:val="auto"/>
                <w:kern w:val="0"/>
                <w:sz w:val="24"/>
                <w:szCs w:val="24"/>
                <w:highlight w:val="none"/>
                <w:lang w:val="en-US" w:eastAsia="zh-CN"/>
              </w:rPr>
              <w:t>招标代理费及</w:t>
            </w:r>
            <w:r>
              <w:rPr>
                <w:rFonts w:hint="eastAsia" w:ascii="宋体" w:hAnsi="宋体" w:eastAsia="宋体" w:cs="宋体"/>
                <w:snapToGrid w:val="0"/>
                <w:color w:val="auto"/>
                <w:kern w:val="0"/>
                <w:sz w:val="24"/>
                <w:szCs w:val="24"/>
                <w:highlight w:val="none"/>
              </w:rPr>
              <w:t>评标专家酬劳</w:t>
            </w:r>
          </w:p>
        </w:tc>
        <w:tc>
          <w:tcPr>
            <w:tcW w:w="6996" w:type="dxa"/>
            <w:shd w:val="clear" w:color="auto" w:fill="auto"/>
            <w:vAlign w:val="center"/>
          </w:tcPr>
          <w:p w14:paraId="01829B2A">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firstLine="240" w:firstLineChars="10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sz w:val="24"/>
                <w:szCs w:val="24"/>
                <w:highlight w:val="none"/>
                <w:lang w:val="en-US" w:eastAsia="zh-CN"/>
              </w:rPr>
              <w:t>本项目的招标代理服务费和评标专家酬劳由中标人支付。招标代理服务费依据《招标代理服务收费管理暂行办法》（计价格【2002】1980号）规定的“工程类”收费标准下浮20%计算收取</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该费用不再另行报价，由投标人在投标报价时综合考虑在内。中标人在领取中标通知书前须向招标代理机构一次性支付（评标专家酬劳先由招标代理垫付，评标专家酬劳以评标结束当日的评标专家酬劳签收表总额为准）。</w:t>
            </w:r>
          </w:p>
        </w:tc>
      </w:tr>
      <w:tr w14:paraId="6DDF5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6" w:type="dxa"/>
            <w:shd w:val="clear" w:color="auto" w:fill="auto"/>
            <w:vAlign w:val="center"/>
          </w:tcPr>
          <w:p w14:paraId="150EF19F">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3</w:t>
            </w:r>
          </w:p>
        </w:tc>
        <w:tc>
          <w:tcPr>
            <w:tcW w:w="1915" w:type="dxa"/>
            <w:shd w:val="clear" w:color="auto" w:fill="auto"/>
            <w:vAlign w:val="center"/>
          </w:tcPr>
          <w:p w14:paraId="2545987B">
            <w:pPr>
              <w:pStyle w:val="58"/>
              <w:keepNext w:val="0"/>
              <w:keepLines w:val="0"/>
              <w:pageBreakBefore w:val="0"/>
              <w:widowControl w:val="0"/>
              <w:tabs>
                <w:tab w:val="left" w:pos="1890"/>
              </w:tabs>
              <w:kinsoku/>
              <w:wordWrap/>
              <w:overflowPunct/>
              <w:topLinePunct w:val="0"/>
              <w:autoSpaceDE/>
              <w:autoSpaceDN/>
              <w:bidi w:val="0"/>
              <w:spacing w:line="360" w:lineRule="auto"/>
              <w:jc w:val="center"/>
              <w:textAlignment w:val="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招标文件要求提交的用于评审的证书、证件、证明原件</w:t>
            </w:r>
          </w:p>
        </w:tc>
        <w:tc>
          <w:tcPr>
            <w:tcW w:w="6996" w:type="dxa"/>
            <w:shd w:val="clear" w:color="auto" w:fill="auto"/>
            <w:vAlign w:val="center"/>
          </w:tcPr>
          <w:p w14:paraId="0A6E4DD5">
            <w:pPr>
              <w:pStyle w:val="58"/>
              <w:keepNext w:val="0"/>
              <w:keepLines w:val="0"/>
              <w:pageBreakBefore w:val="0"/>
              <w:widowControl w:val="0"/>
              <w:tabs>
                <w:tab w:val="left" w:pos="1890"/>
              </w:tabs>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投标人在提交用于评审的证书、证件、证明原件的，投标人应自行将所需原件密封于文件袋（箱）中，并自行准备两张“原件一览表”(详见格式十四，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59240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1" w:hRule="atLeast"/>
        </w:trPr>
        <w:tc>
          <w:tcPr>
            <w:tcW w:w="696" w:type="dxa"/>
            <w:shd w:val="clear" w:color="auto" w:fill="auto"/>
            <w:vAlign w:val="center"/>
          </w:tcPr>
          <w:p w14:paraId="48035FB3">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4</w:t>
            </w:r>
          </w:p>
        </w:tc>
        <w:tc>
          <w:tcPr>
            <w:tcW w:w="1915" w:type="dxa"/>
            <w:shd w:val="clear" w:color="auto" w:fill="auto"/>
            <w:vAlign w:val="center"/>
          </w:tcPr>
          <w:p w14:paraId="6B6D03BF">
            <w:pPr>
              <w:pStyle w:val="58"/>
              <w:keepNext w:val="0"/>
              <w:keepLines w:val="0"/>
              <w:pageBreakBefore w:val="0"/>
              <w:widowControl w:val="0"/>
              <w:tabs>
                <w:tab w:val="left" w:pos="1890"/>
              </w:tabs>
              <w:kinsoku/>
              <w:wordWrap/>
              <w:overflowPunct/>
              <w:topLinePunct w:val="0"/>
              <w:autoSpaceDE/>
              <w:autoSpaceDN/>
              <w:bidi w:val="0"/>
              <w:spacing w:line="360"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招标人</w:t>
            </w:r>
          </w:p>
          <w:p w14:paraId="328107AA">
            <w:pPr>
              <w:pStyle w:val="58"/>
              <w:keepNext w:val="0"/>
              <w:keepLines w:val="0"/>
              <w:pageBreakBefore w:val="0"/>
              <w:widowControl w:val="0"/>
              <w:tabs>
                <w:tab w:val="left" w:pos="1890"/>
              </w:tabs>
              <w:kinsoku/>
              <w:wordWrap/>
              <w:overflowPunct/>
              <w:topLinePunct w:val="0"/>
              <w:autoSpaceDE/>
              <w:autoSpaceDN/>
              <w:bidi w:val="0"/>
              <w:spacing w:line="360" w:lineRule="auto"/>
              <w:jc w:val="center"/>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联系方式</w:t>
            </w:r>
          </w:p>
        </w:tc>
        <w:tc>
          <w:tcPr>
            <w:tcW w:w="6996" w:type="dxa"/>
            <w:shd w:val="clear" w:color="auto" w:fill="auto"/>
            <w:vAlign w:val="center"/>
          </w:tcPr>
          <w:p w14:paraId="75171CE1">
            <w:pPr>
              <w:pStyle w:val="58"/>
              <w:keepNext w:val="0"/>
              <w:keepLines w:val="0"/>
              <w:pageBreakBefore w:val="0"/>
              <w:widowControl w:val="0"/>
              <w:tabs>
                <w:tab w:val="left" w:pos="1890"/>
              </w:tabs>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单位名称：翁源县官渡镇人民政府</w:t>
            </w:r>
          </w:p>
          <w:p w14:paraId="0264C02C">
            <w:pPr>
              <w:pStyle w:val="58"/>
              <w:keepNext w:val="0"/>
              <w:keepLines w:val="0"/>
              <w:pageBreakBefore w:val="0"/>
              <w:widowControl w:val="0"/>
              <w:tabs>
                <w:tab w:val="left" w:pos="1890"/>
              </w:tabs>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en-US"/>
              </w:rPr>
              <w:t>办公地址：韶关市翁源县官渡镇华榕大道南75号</w:t>
            </w:r>
          </w:p>
          <w:p w14:paraId="04B9244C">
            <w:pPr>
              <w:pStyle w:val="58"/>
              <w:keepNext w:val="0"/>
              <w:keepLines w:val="0"/>
              <w:pageBreakBefore w:val="0"/>
              <w:widowControl w:val="0"/>
              <w:tabs>
                <w:tab w:val="left" w:pos="1890"/>
              </w:tabs>
              <w:kinsoku/>
              <w:wordWrap/>
              <w:overflowPunct/>
              <w:topLinePunct w:val="0"/>
              <w:autoSpaceDE/>
              <w:autoSpaceDN/>
              <w:bidi w:val="0"/>
              <w:adjustRightInd/>
              <w:snapToGrid/>
              <w:spacing w:line="300" w:lineRule="auto"/>
              <w:jc w:val="left"/>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联系人（部门）：陈先生</w:t>
            </w:r>
          </w:p>
          <w:p w14:paraId="08E02DB6">
            <w:pPr>
              <w:pStyle w:val="58"/>
              <w:keepNext w:val="0"/>
              <w:keepLines w:val="0"/>
              <w:pageBreakBefore w:val="0"/>
              <w:widowControl w:val="0"/>
              <w:tabs>
                <w:tab w:val="left" w:pos="1890"/>
              </w:tabs>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联系电话：0751-2888313</w:t>
            </w:r>
          </w:p>
        </w:tc>
      </w:tr>
      <w:tr w14:paraId="762F3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3" w:hRule="atLeast"/>
        </w:trPr>
        <w:tc>
          <w:tcPr>
            <w:tcW w:w="696" w:type="dxa"/>
            <w:shd w:val="clear" w:color="auto" w:fill="auto"/>
            <w:vAlign w:val="center"/>
          </w:tcPr>
          <w:p w14:paraId="6865B151">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lang w:val="en-US" w:eastAsia="zh-CN"/>
              </w:rPr>
              <w:t>5</w:t>
            </w:r>
          </w:p>
        </w:tc>
        <w:tc>
          <w:tcPr>
            <w:tcW w:w="1915" w:type="dxa"/>
            <w:shd w:val="clear" w:color="auto" w:fill="auto"/>
            <w:vAlign w:val="center"/>
          </w:tcPr>
          <w:p w14:paraId="22EEF311">
            <w:pPr>
              <w:pStyle w:val="58"/>
              <w:keepNext w:val="0"/>
              <w:keepLines w:val="0"/>
              <w:pageBreakBefore w:val="0"/>
              <w:widowControl w:val="0"/>
              <w:tabs>
                <w:tab w:val="left" w:pos="1890"/>
              </w:tabs>
              <w:kinsoku/>
              <w:wordWrap/>
              <w:overflowPunct/>
              <w:topLinePunct w:val="0"/>
              <w:autoSpaceDE/>
              <w:autoSpaceDN/>
              <w:bidi w:val="0"/>
              <w:spacing w:line="360"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招标代理机构</w:t>
            </w:r>
          </w:p>
          <w:p w14:paraId="62D866AD">
            <w:pPr>
              <w:pStyle w:val="58"/>
              <w:keepNext w:val="0"/>
              <w:keepLines w:val="0"/>
              <w:pageBreakBefore w:val="0"/>
              <w:widowControl w:val="0"/>
              <w:tabs>
                <w:tab w:val="left" w:pos="1890"/>
              </w:tabs>
              <w:kinsoku/>
              <w:wordWrap/>
              <w:overflowPunct/>
              <w:topLinePunct w:val="0"/>
              <w:autoSpaceDE/>
              <w:autoSpaceDN/>
              <w:bidi w:val="0"/>
              <w:spacing w:line="360" w:lineRule="auto"/>
              <w:jc w:val="center"/>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联系方式</w:t>
            </w:r>
          </w:p>
        </w:tc>
        <w:tc>
          <w:tcPr>
            <w:tcW w:w="6996" w:type="dxa"/>
            <w:shd w:val="clear" w:color="auto" w:fill="auto"/>
            <w:vAlign w:val="center"/>
          </w:tcPr>
          <w:p w14:paraId="4EC5D582">
            <w:pPr>
              <w:pStyle w:val="58"/>
              <w:keepNext w:val="0"/>
              <w:keepLines w:val="0"/>
              <w:pageBreakBefore w:val="0"/>
              <w:widowControl w:val="0"/>
              <w:tabs>
                <w:tab w:val="left" w:pos="1890"/>
              </w:tabs>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单位名称：深圳市祺骏建设工程顾问有限公司</w:t>
            </w:r>
          </w:p>
          <w:p w14:paraId="1C288FB9">
            <w:pPr>
              <w:pStyle w:val="58"/>
              <w:keepNext w:val="0"/>
              <w:keepLines w:val="0"/>
              <w:pageBreakBefore w:val="0"/>
              <w:widowControl w:val="0"/>
              <w:tabs>
                <w:tab w:val="left" w:pos="1890"/>
              </w:tabs>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办公地址：韶关市武江区芙蓉新村八街5栋D</w:t>
            </w:r>
          </w:p>
          <w:p w14:paraId="63A48E80">
            <w:pPr>
              <w:pStyle w:val="58"/>
              <w:keepNext w:val="0"/>
              <w:keepLines w:val="0"/>
              <w:pageBreakBefore w:val="0"/>
              <w:widowControl w:val="0"/>
              <w:tabs>
                <w:tab w:val="left" w:pos="1890"/>
              </w:tabs>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联系人：许工</w:t>
            </w:r>
          </w:p>
          <w:p w14:paraId="37DB7277">
            <w:pPr>
              <w:pStyle w:val="58"/>
              <w:keepNext w:val="0"/>
              <w:keepLines w:val="0"/>
              <w:pageBreakBefore w:val="0"/>
              <w:widowControl w:val="0"/>
              <w:tabs>
                <w:tab w:val="left" w:pos="1890"/>
              </w:tabs>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联系电话：0751-8989515</w:t>
            </w:r>
          </w:p>
        </w:tc>
      </w:tr>
      <w:tr w14:paraId="0FB75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8" w:hRule="atLeast"/>
        </w:trPr>
        <w:tc>
          <w:tcPr>
            <w:tcW w:w="696" w:type="dxa"/>
            <w:shd w:val="clear" w:color="auto" w:fill="auto"/>
            <w:vAlign w:val="center"/>
          </w:tcPr>
          <w:p w14:paraId="389274AD">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lang w:val="en-US" w:eastAsia="zh-CN"/>
              </w:rPr>
              <w:t>6</w:t>
            </w:r>
          </w:p>
        </w:tc>
        <w:tc>
          <w:tcPr>
            <w:tcW w:w="1915" w:type="dxa"/>
            <w:shd w:val="clear" w:color="auto" w:fill="auto"/>
            <w:vAlign w:val="center"/>
          </w:tcPr>
          <w:p w14:paraId="33B245E7">
            <w:pPr>
              <w:pStyle w:val="58"/>
              <w:keepNext w:val="0"/>
              <w:keepLines w:val="0"/>
              <w:pageBreakBefore w:val="0"/>
              <w:widowControl w:val="0"/>
              <w:tabs>
                <w:tab w:val="left" w:pos="1890"/>
              </w:tabs>
              <w:kinsoku/>
              <w:wordWrap/>
              <w:overflowPunct/>
              <w:topLinePunct w:val="0"/>
              <w:autoSpaceDE/>
              <w:autoSpaceDN/>
              <w:bidi w:val="0"/>
              <w:spacing w:line="360" w:lineRule="auto"/>
              <w:jc w:val="center"/>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交易场所联系方式</w:t>
            </w:r>
          </w:p>
        </w:tc>
        <w:tc>
          <w:tcPr>
            <w:tcW w:w="6996" w:type="dxa"/>
            <w:shd w:val="clear" w:color="auto" w:fill="auto"/>
            <w:vAlign w:val="center"/>
          </w:tcPr>
          <w:p w14:paraId="5B8D3757">
            <w:pPr>
              <w:pStyle w:val="58"/>
              <w:keepNext w:val="0"/>
              <w:keepLines w:val="0"/>
              <w:pageBreakBefore w:val="0"/>
              <w:widowControl w:val="0"/>
              <w:tabs>
                <w:tab w:val="left" w:pos="1890"/>
              </w:tabs>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en-US"/>
              </w:rPr>
              <w:t>单位名称：韶关市公共资源交易中心</w:t>
            </w:r>
          </w:p>
          <w:p w14:paraId="0C99F4E6">
            <w:pPr>
              <w:pStyle w:val="58"/>
              <w:keepNext w:val="0"/>
              <w:keepLines w:val="0"/>
              <w:pageBreakBefore w:val="0"/>
              <w:widowControl w:val="0"/>
              <w:tabs>
                <w:tab w:val="left" w:pos="1890"/>
              </w:tabs>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en-US"/>
              </w:rPr>
              <w:t>办公地址：翁源县龙仙镇朝阳路63号韶关市公共资源交易中心翁源分中心</w:t>
            </w:r>
          </w:p>
          <w:p w14:paraId="30940EA4">
            <w:pPr>
              <w:pStyle w:val="58"/>
              <w:keepNext w:val="0"/>
              <w:keepLines w:val="0"/>
              <w:pageBreakBefore w:val="0"/>
              <w:widowControl w:val="0"/>
              <w:tabs>
                <w:tab w:val="left" w:pos="1890"/>
              </w:tabs>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en-US"/>
              </w:rPr>
              <w:t xml:space="preserve">联系人（部门）：工程交易股 </w:t>
            </w:r>
          </w:p>
          <w:p w14:paraId="7B826249">
            <w:pPr>
              <w:pStyle w:val="58"/>
              <w:keepNext w:val="0"/>
              <w:keepLines w:val="0"/>
              <w:pageBreakBefore w:val="0"/>
              <w:widowControl w:val="0"/>
              <w:tabs>
                <w:tab w:val="left" w:pos="1890"/>
              </w:tabs>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en-US"/>
              </w:rPr>
              <w:t>联系电话：0751-2815819</w:t>
            </w:r>
          </w:p>
        </w:tc>
      </w:tr>
      <w:tr w14:paraId="57CED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trPr>
        <w:tc>
          <w:tcPr>
            <w:tcW w:w="696" w:type="dxa"/>
            <w:shd w:val="clear" w:color="auto" w:fill="auto"/>
            <w:vAlign w:val="center"/>
          </w:tcPr>
          <w:p w14:paraId="26334ABE">
            <w:pPr>
              <w:keepNext w:val="0"/>
              <w:keepLines w:val="0"/>
              <w:pageBreakBefore w:val="0"/>
              <w:widowControl w:val="0"/>
              <w:wordWrap/>
              <w:overflowPunct/>
              <w:topLinePunct w:val="0"/>
              <w:bidi w:val="0"/>
              <w:spacing w:line="288"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37</w:t>
            </w:r>
          </w:p>
        </w:tc>
        <w:tc>
          <w:tcPr>
            <w:tcW w:w="1915" w:type="dxa"/>
            <w:shd w:val="clear" w:color="auto" w:fill="auto"/>
            <w:vAlign w:val="center"/>
          </w:tcPr>
          <w:p w14:paraId="05609EFF">
            <w:pPr>
              <w:pStyle w:val="58"/>
              <w:keepNext w:val="0"/>
              <w:keepLines w:val="0"/>
              <w:pageBreakBefore w:val="0"/>
              <w:widowControl w:val="0"/>
              <w:tabs>
                <w:tab w:val="left" w:pos="1890"/>
              </w:tabs>
              <w:kinsoku/>
              <w:wordWrap/>
              <w:overflowPunct/>
              <w:topLinePunct w:val="0"/>
              <w:autoSpaceDE/>
              <w:autoSpaceDN/>
              <w:bidi w:val="0"/>
              <w:spacing w:line="360"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行政监督部</w:t>
            </w:r>
          </w:p>
          <w:p w14:paraId="3EE74E6D">
            <w:pPr>
              <w:pStyle w:val="58"/>
              <w:keepNext w:val="0"/>
              <w:keepLines w:val="0"/>
              <w:pageBreakBefore w:val="0"/>
              <w:widowControl w:val="0"/>
              <w:tabs>
                <w:tab w:val="left" w:pos="1890"/>
              </w:tabs>
              <w:kinsoku/>
              <w:wordWrap/>
              <w:overflowPunct/>
              <w:topLinePunct w:val="0"/>
              <w:autoSpaceDE/>
              <w:autoSpaceDN/>
              <w:bidi w:val="0"/>
              <w:spacing w:line="360" w:lineRule="auto"/>
              <w:jc w:val="center"/>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zh-CN"/>
              </w:rPr>
              <w:t>门联系方式</w:t>
            </w:r>
          </w:p>
        </w:tc>
        <w:tc>
          <w:tcPr>
            <w:tcW w:w="6996" w:type="dxa"/>
            <w:shd w:val="clear" w:color="auto" w:fill="auto"/>
            <w:vAlign w:val="center"/>
          </w:tcPr>
          <w:p w14:paraId="017B2D9D">
            <w:pPr>
              <w:pStyle w:val="58"/>
              <w:keepNext w:val="0"/>
              <w:keepLines w:val="0"/>
              <w:pageBreakBefore w:val="0"/>
              <w:widowControl w:val="0"/>
              <w:tabs>
                <w:tab w:val="left" w:pos="1890"/>
              </w:tabs>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en-US"/>
              </w:rPr>
              <w:t>单位名称：翁源县住房和城乡建设管理局</w:t>
            </w:r>
          </w:p>
          <w:p w14:paraId="30A299BB">
            <w:pPr>
              <w:pStyle w:val="58"/>
              <w:keepNext w:val="0"/>
              <w:keepLines w:val="0"/>
              <w:pageBreakBefore w:val="0"/>
              <w:widowControl w:val="0"/>
              <w:tabs>
                <w:tab w:val="left" w:pos="1890"/>
              </w:tabs>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en-US"/>
              </w:rPr>
              <w:t>办公地址：翁源县龙仙镇朝阳路186号</w:t>
            </w:r>
          </w:p>
          <w:p w14:paraId="5267F694">
            <w:pPr>
              <w:pStyle w:val="58"/>
              <w:keepNext w:val="0"/>
              <w:keepLines w:val="0"/>
              <w:pageBreakBefore w:val="0"/>
              <w:widowControl w:val="0"/>
              <w:tabs>
                <w:tab w:val="left" w:pos="1890"/>
              </w:tabs>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en-US"/>
              </w:rPr>
              <w:t>联系人(部门)：建管股</w:t>
            </w:r>
          </w:p>
          <w:p w14:paraId="7A912617">
            <w:pPr>
              <w:pStyle w:val="58"/>
              <w:keepNext w:val="0"/>
              <w:keepLines w:val="0"/>
              <w:pageBreakBefore w:val="0"/>
              <w:widowControl w:val="0"/>
              <w:tabs>
                <w:tab w:val="left" w:pos="1890"/>
              </w:tabs>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en-US"/>
              </w:rPr>
              <w:t>联系电话：0751-2870501 </w:t>
            </w:r>
          </w:p>
        </w:tc>
      </w:tr>
    </w:tbl>
    <w:p w14:paraId="50CCB127">
      <w:pPr>
        <w:keepNext w:val="0"/>
        <w:keepLines w:val="0"/>
        <w:pageBreakBefore w:val="0"/>
        <w:wordWrap/>
        <w:overflowPunct/>
        <w:topLinePunct w:val="0"/>
        <w:bidi w:val="0"/>
        <w:spacing w:line="380" w:lineRule="exact"/>
        <w:rPr>
          <w:rFonts w:hint="eastAsia" w:ascii="宋体" w:hAnsi="宋体" w:eastAsia="宋体" w:cs="宋体"/>
          <w:color w:val="auto"/>
          <w:highlight w:val="none"/>
        </w:rPr>
      </w:pPr>
    </w:p>
    <w:p w14:paraId="64DC69A3">
      <w:pPr>
        <w:rPr>
          <w:rFonts w:hint="eastAsia" w:ascii="宋体" w:hAnsi="宋体" w:eastAsia="宋体" w:cs="宋体"/>
          <w:color w:val="auto"/>
          <w:highlight w:val="none"/>
        </w:rPr>
      </w:pPr>
    </w:p>
    <w:p w14:paraId="0B577AC6">
      <w:pPr>
        <w:rPr>
          <w:rFonts w:hint="eastAsia" w:ascii="宋体" w:hAnsi="宋体" w:eastAsia="宋体" w:cs="宋体"/>
          <w:color w:val="auto"/>
          <w:highlight w:val="none"/>
        </w:rPr>
      </w:pPr>
    </w:p>
    <w:p w14:paraId="067AFA74">
      <w:pPr>
        <w:rPr>
          <w:rFonts w:hint="eastAsia" w:ascii="宋体" w:hAnsi="宋体" w:eastAsia="宋体" w:cs="宋体"/>
          <w:b/>
          <w:bCs/>
          <w:color w:val="auto"/>
          <w:spacing w:val="-3"/>
          <w:sz w:val="24"/>
          <w:szCs w:val="24"/>
          <w:highlight w:val="none"/>
        </w:rPr>
      </w:pPr>
      <w:bookmarkStart w:id="6" w:name="bookmark115"/>
      <w:bookmarkEnd w:id="6"/>
      <w:bookmarkStart w:id="7" w:name="_Toc10868"/>
      <w:bookmarkStart w:id="8" w:name="_Toc32119"/>
      <w:r>
        <w:rPr>
          <w:rFonts w:hint="eastAsia" w:ascii="宋体" w:hAnsi="宋体" w:eastAsia="宋体" w:cs="宋体"/>
          <w:b/>
          <w:bCs/>
          <w:color w:val="auto"/>
          <w:spacing w:val="-3"/>
          <w:sz w:val="24"/>
          <w:szCs w:val="24"/>
          <w:highlight w:val="none"/>
        </w:rPr>
        <w:br w:type="page"/>
      </w:r>
    </w:p>
    <w:p w14:paraId="4A5521D3">
      <w:pPr>
        <w:spacing w:before="156" w:line="360" w:lineRule="auto"/>
        <w:ind w:left="17"/>
        <w:outlineLvl w:val="1"/>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t>第二节</w:t>
      </w:r>
      <w:r>
        <w:rPr>
          <w:rFonts w:hint="eastAsia" w:ascii="宋体" w:hAnsi="宋体" w:eastAsia="宋体" w:cs="宋体"/>
          <w:b/>
          <w:bCs/>
          <w:color w:val="auto"/>
          <w:spacing w:val="-3"/>
          <w:sz w:val="24"/>
          <w:szCs w:val="24"/>
          <w:highlight w:val="none"/>
          <w:lang w:val="en-US" w:eastAsia="zh-CN"/>
        </w:rPr>
        <w:t xml:space="preserve">   </w:t>
      </w:r>
      <w:r>
        <w:rPr>
          <w:rFonts w:hint="eastAsia" w:ascii="宋体" w:hAnsi="宋体" w:eastAsia="宋体" w:cs="宋体"/>
          <w:b/>
          <w:bCs/>
          <w:color w:val="auto"/>
          <w:spacing w:val="-3"/>
          <w:sz w:val="24"/>
          <w:szCs w:val="24"/>
          <w:highlight w:val="none"/>
        </w:rPr>
        <w:t>重要事项时间地点一览表</w:t>
      </w:r>
      <w:bookmarkEnd w:id="7"/>
      <w:bookmarkEnd w:id="8"/>
    </w:p>
    <w:tbl>
      <w:tblPr>
        <w:tblStyle w:val="23"/>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59"/>
        <w:gridCol w:w="1467"/>
        <w:gridCol w:w="7273"/>
      </w:tblGrid>
      <w:tr w14:paraId="55BF0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2" w:hRule="atLeast"/>
          <w:jc w:val="center"/>
        </w:trPr>
        <w:tc>
          <w:tcPr>
            <w:tcW w:w="759" w:type="dxa"/>
            <w:noWrap w:val="0"/>
            <w:vAlign w:val="center"/>
          </w:tcPr>
          <w:p w14:paraId="44316B7B">
            <w:pPr>
              <w:pStyle w:val="34"/>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wordWrap w:val="0"/>
              <w:overflowPunct/>
              <w:topLinePunct w:val="0"/>
              <w:autoSpaceDE/>
              <w:autoSpaceDN/>
              <w:bidi w:val="0"/>
              <w:adjustRightInd w:val="0"/>
              <w:snapToGrid w:val="0"/>
              <w:spacing w:before="0" w:beforeLines="0" w:beforeAutospacing="0" w:after="260" w:afterLines="0" w:afterAutospacing="0" w:line="400" w:lineRule="exact"/>
              <w:ind w:left="0" w:leftChars="0"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aps w:val="0"/>
                <w:smallCaps w:val="0"/>
                <w:snapToGrid w:val="0"/>
                <w:color w:val="auto"/>
                <w:spacing w:val="0"/>
                <w:kern w:val="0"/>
                <w:sz w:val="24"/>
                <w:szCs w:val="24"/>
                <w:highlight w:val="none"/>
                <w:lang w:val="en-US" w:eastAsia="zh-CN"/>
              </w:rPr>
              <w:t xml:space="preserve">   </w:t>
            </w:r>
            <w:r>
              <w:rPr>
                <w:rFonts w:hint="eastAsia" w:ascii="宋体" w:hAnsi="宋体" w:eastAsia="宋体" w:cs="宋体"/>
                <w:i w:val="0"/>
                <w:caps w:val="0"/>
                <w:color w:val="auto"/>
                <w:spacing w:val="0"/>
                <w:sz w:val="24"/>
                <w:szCs w:val="24"/>
                <w:highlight w:val="none"/>
              </w:rPr>
              <w:t>1</w:t>
            </w:r>
          </w:p>
        </w:tc>
        <w:tc>
          <w:tcPr>
            <w:tcW w:w="1467" w:type="dxa"/>
            <w:noWrap w:val="0"/>
            <w:vAlign w:val="center"/>
          </w:tcPr>
          <w:p w14:paraId="146A4993">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招标公告</w:t>
            </w:r>
          </w:p>
          <w:p w14:paraId="4C7E8EF4">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发布时间</w:t>
            </w:r>
          </w:p>
        </w:tc>
        <w:tc>
          <w:tcPr>
            <w:tcW w:w="7273" w:type="dxa"/>
            <w:noWrap w:val="0"/>
            <w:vAlign w:val="center"/>
          </w:tcPr>
          <w:p w14:paraId="4BBF9012">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00" w:lineRule="exact"/>
              <w:ind w:left="240" w:leftChars="0" w:right="0" w:rightChars="0" w:hanging="240" w:hangingChars="100"/>
              <w:jc w:val="left"/>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eastAsia="宋体" w:cs="宋体"/>
                <w:i w:val="0"/>
                <w:caps w:val="0"/>
                <w:color w:val="auto"/>
                <w:spacing w:val="0"/>
                <w:sz w:val="24"/>
                <w:szCs w:val="24"/>
                <w:highlight w:val="none"/>
                <w:u w:val="single"/>
                <w:lang w:val="en-US" w:eastAsia="zh-CN"/>
              </w:rPr>
              <w:t>202</w:t>
            </w:r>
            <w:r>
              <w:rPr>
                <w:rFonts w:hint="eastAsia" w:ascii="宋体" w:eastAsia="宋体" w:cs="宋体"/>
                <w:i w:val="0"/>
                <w:caps w:val="0"/>
                <w:color w:val="auto"/>
                <w:spacing w:val="0"/>
                <w:sz w:val="24"/>
                <w:szCs w:val="24"/>
                <w:highlight w:val="none"/>
                <w:u w:val="single"/>
                <w:lang w:val="en-US" w:eastAsia="zh-CN"/>
              </w:rPr>
              <w:t>5</w:t>
            </w:r>
            <w:r>
              <w:rPr>
                <w:rFonts w:hint="eastAsia" w:ascii="宋体" w:hAnsi="宋体" w:eastAsia="宋体" w:cs="宋体"/>
                <w:i w:val="0"/>
                <w:caps w:val="0"/>
                <w:color w:val="auto"/>
                <w:spacing w:val="0"/>
                <w:sz w:val="24"/>
                <w:szCs w:val="24"/>
                <w:highlight w:val="none"/>
              </w:rPr>
              <w:t>年</w:t>
            </w:r>
            <w:r>
              <w:rPr>
                <w:rFonts w:hint="eastAsia" w:ascii="宋体" w:cs="宋体"/>
                <w:i w:val="0"/>
                <w:caps w:val="0"/>
                <w:color w:val="auto"/>
                <w:spacing w:val="0"/>
                <w:sz w:val="24"/>
                <w:szCs w:val="24"/>
                <w:highlight w:val="none"/>
                <w:u w:val="single"/>
                <w:lang w:val="en-US" w:eastAsia="zh-CN"/>
              </w:rPr>
              <w:t>11</w:t>
            </w:r>
            <w:r>
              <w:rPr>
                <w:rFonts w:hint="eastAsia" w:ascii="宋体" w:hAnsi="宋体" w:eastAsia="宋体" w:cs="宋体"/>
                <w:i w:val="0"/>
                <w:caps w:val="0"/>
                <w:color w:val="auto"/>
                <w:spacing w:val="0"/>
                <w:sz w:val="24"/>
                <w:szCs w:val="24"/>
                <w:highlight w:val="none"/>
              </w:rPr>
              <w:t>月</w:t>
            </w:r>
            <w:r>
              <w:rPr>
                <w:rFonts w:hint="eastAsia" w:ascii="宋体" w:cs="宋体"/>
                <w:i w:val="0"/>
                <w:caps w:val="0"/>
                <w:color w:val="auto"/>
                <w:spacing w:val="0"/>
                <w:sz w:val="24"/>
                <w:szCs w:val="24"/>
                <w:highlight w:val="none"/>
                <w:u w:val="single"/>
                <w:lang w:val="en-US" w:eastAsia="zh-CN"/>
              </w:rPr>
              <w:t>21</w:t>
            </w:r>
            <w:r>
              <w:rPr>
                <w:rFonts w:hint="eastAsia" w:ascii="宋体" w:hAnsi="宋体" w:eastAsia="宋体" w:cs="宋体"/>
                <w:i w:val="0"/>
                <w:caps w:val="0"/>
                <w:color w:val="auto"/>
                <w:spacing w:val="0"/>
                <w:sz w:val="24"/>
                <w:szCs w:val="24"/>
                <w:highlight w:val="none"/>
              </w:rPr>
              <w:t>日</w:t>
            </w:r>
            <w:r>
              <w:rPr>
                <w:rFonts w:hint="eastAsia" w:ascii="宋体" w:cs="宋体"/>
                <w:i w:val="0"/>
                <w:caps w:val="0"/>
                <w:color w:val="auto"/>
                <w:spacing w:val="0"/>
                <w:sz w:val="24"/>
                <w:szCs w:val="24"/>
                <w:highlight w:val="none"/>
                <w:u w:val="single"/>
                <w:lang w:val="en-US" w:eastAsia="zh-CN"/>
              </w:rPr>
              <w:t>15</w:t>
            </w:r>
            <w:bookmarkStart w:id="354" w:name="_GoBack"/>
            <w:bookmarkEnd w:id="354"/>
            <w:r>
              <w:rPr>
                <w:rFonts w:hint="eastAsia" w:ascii="宋体" w:hAnsi="宋体" w:eastAsia="宋体" w:cs="宋体"/>
                <w:i w:val="0"/>
                <w:caps w:val="0"/>
                <w:color w:val="auto"/>
                <w:spacing w:val="0"/>
                <w:sz w:val="24"/>
                <w:szCs w:val="24"/>
                <w:highlight w:val="none"/>
              </w:rPr>
              <w:t>时</w:t>
            </w:r>
            <w:r>
              <w:rPr>
                <w:rFonts w:hint="eastAsia" w:ascii="宋体" w:cs="宋体"/>
                <w:i w:val="0"/>
                <w:caps w:val="0"/>
                <w:color w:val="auto"/>
                <w:spacing w:val="0"/>
                <w:sz w:val="24"/>
                <w:szCs w:val="24"/>
                <w:highlight w:val="none"/>
                <w:u w:val="single"/>
                <w:lang w:val="en-US" w:eastAsia="zh-CN"/>
              </w:rPr>
              <w:t>00</w:t>
            </w:r>
            <w:r>
              <w:rPr>
                <w:rFonts w:hint="eastAsia" w:ascii="宋体" w:hAnsi="宋体" w:eastAsia="宋体" w:cs="宋体"/>
                <w:i w:val="0"/>
                <w:caps w:val="0"/>
                <w:color w:val="auto"/>
                <w:spacing w:val="0"/>
                <w:sz w:val="24"/>
                <w:szCs w:val="24"/>
                <w:highlight w:val="none"/>
              </w:rPr>
              <w:t>分</w:t>
            </w:r>
          </w:p>
        </w:tc>
      </w:tr>
      <w:tr w14:paraId="36EF9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2" w:hRule="atLeast"/>
          <w:jc w:val="center"/>
        </w:trPr>
        <w:tc>
          <w:tcPr>
            <w:tcW w:w="759" w:type="dxa"/>
            <w:noWrap w:val="0"/>
            <w:vAlign w:val="center"/>
          </w:tcPr>
          <w:p w14:paraId="514E34D9">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0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2</w:t>
            </w:r>
          </w:p>
        </w:tc>
        <w:tc>
          <w:tcPr>
            <w:tcW w:w="1467" w:type="dxa"/>
            <w:noWrap w:val="0"/>
            <w:vAlign w:val="center"/>
          </w:tcPr>
          <w:p w14:paraId="7EB86EEE">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lang w:val="en-US" w:eastAsia="zh-CN"/>
              </w:rPr>
              <w:t>获取招标文件截止时</w:t>
            </w:r>
            <w:r>
              <w:rPr>
                <w:rFonts w:hint="eastAsia" w:ascii="宋体" w:hAnsi="宋体" w:eastAsia="宋体" w:cs="宋体"/>
                <w:i w:val="0"/>
                <w:caps w:val="0"/>
                <w:color w:val="auto"/>
                <w:spacing w:val="0"/>
                <w:sz w:val="24"/>
                <w:szCs w:val="24"/>
                <w:highlight w:val="none"/>
              </w:rPr>
              <w:t>间</w:t>
            </w:r>
          </w:p>
        </w:tc>
        <w:tc>
          <w:tcPr>
            <w:tcW w:w="7273" w:type="dxa"/>
            <w:noWrap w:val="0"/>
            <w:vAlign w:val="center"/>
          </w:tcPr>
          <w:p w14:paraId="3EC05647">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00" w:lineRule="exact"/>
              <w:ind w:left="0" w:leftChars="0"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eastAsia="宋体" w:cs="宋体"/>
                <w:i w:val="0"/>
                <w:caps w:val="0"/>
                <w:color w:val="auto"/>
                <w:spacing w:val="0"/>
                <w:sz w:val="24"/>
                <w:szCs w:val="24"/>
                <w:highlight w:val="none"/>
                <w:u w:val="single"/>
                <w:lang w:val="en-US" w:eastAsia="zh-CN"/>
              </w:rPr>
              <w:t>202</w:t>
            </w:r>
            <w:r>
              <w:rPr>
                <w:rFonts w:hint="eastAsia" w:ascii="宋体" w:eastAsia="宋体" w:cs="宋体"/>
                <w:i w:val="0"/>
                <w:caps w:val="0"/>
                <w:color w:val="auto"/>
                <w:spacing w:val="0"/>
                <w:sz w:val="24"/>
                <w:szCs w:val="24"/>
                <w:highlight w:val="none"/>
                <w:u w:val="single"/>
                <w:lang w:val="en-US" w:eastAsia="zh-CN"/>
              </w:rPr>
              <w:t>5</w:t>
            </w:r>
            <w:r>
              <w:rPr>
                <w:rFonts w:hint="eastAsia" w:ascii="宋体" w:hAnsi="宋体" w:eastAsia="宋体" w:cs="宋体"/>
                <w:i w:val="0"/>
                <w:caps w:val="0"/>
                <w:color w:val="auto"/>
                <w:spacing w:val="0"/>
                <w:sz w:val="24"/>
                <w:szCs w:val="24"/>
                <w:highlight w:val="none"/>
              </w:rPr>
              <w:t>年</w:t>
            </w:r>
            <w:r>
              <w:rPr>
                <w:rFonts w:hint="eastAsia" w:ascii="宋体" w:cs="宋体"/>
                <w:i w:val="0"/>
                <w:caps w:val="0"/>
                <w:color w:val="auto"/>
                <w:spacing w:val="0"/>
                <w:sz w:val="24"/>
                <w:szCs w:val="24"/>
                <w:highlight w:val="none"/>
                <w:u w:val="single"/>
                <w:lang w:val="en-US" w:eastAsia="zh-CN"/>
              </w:rPr>
              <w:t>12</w:t>
            </w:r>
            <w:r>
              <w:rPr>
                <w:rFonts w:hint="eastAsia" w:ascii="宋体" w:hAnsi="宋体" w:eastAsia="宋体" w:cs="宋体"/>
                <w:i w:val="0"/>
                <w:caps w:val="0"/>
                <w:color w:val="auto"/>
                <w:spacing w:val="0"/>
                <w:sz w:val="24"/>
                <w:szCs w:val="24"/>
                <w:highlight w:val="none"/>
              </w:rPr>
              <w:t>月</w:t>
            </w:r>
            <w:r>
              <w:rPr>
                <w:rFonts w:hint="eastAsia" w:ascii="宋体" w:cs="宋体"/>
                <w:i w:val="0"/>
                <w:caps w:val="0"/>
                <w:color w:val="auto"/>
                <w:spacing w:val="0"/>
                <w:sz w:val="24"/>
                <w:szCs w:val="24"/>
                <w:highlight w:val="none"/>
                <w:u w:val="single"/>
                <w:lang w:val="en-US" w:eastAsia="zh-CN"/>
              </w:rPr>
              <w:t>16</w:t>
            </w:r>
            <w:r>
              <w:rPr>
                <w:rFonts w:hint="eastAsia" w:ascii="宋体" w:hAnsi="宋体" w:eastAsia="宋体" w:cs="宋体"/>
                <w:i w:val="0"/>
                <w:caps w:val="0"/>
                <w:color w:val="auto"/>
                <w:spacing w:val="0"/>
                <w:sz w:val="24"/>
                <w:szCs w:val="24"/>
                <w:highlight w:val="none"/>
              </w:rPr>
              <w:t>日</w:t>
            </w:r>
            <w:r>
              <w:rPr>
                <w:rFonts w:hint="eastAsia" w:ascii="宋体" w:cs="宋体"/>
                <w:i w:val="0"/>
                <w:caps w:val="0"/>
                <w:color w:val="auto"/>
                <w:spacing w:val="0"/>
                <w:sz w:val="24"/>
                <w:szCs w:val="24"/>
                <w:highlight w:val="none"/>
                <w:u w:val="single"/>
                <w:lang w:val="en-US" w:eastAsia="zh-CN"/>
              </w:rPr>
              <w:t>09</w:t>
            </w:r>
            <w:r>
              <w:rPr>
                <w:rFonts w:hint="eastAsia" w:ascii="宋体" w:hAnsi="宋体" w:eastAsia="宋体" w:cs="宋体"/>
                <w:i w:val="0"/>
                <w:caps w:val="0"/>
                <w:color w:val="auto"/>
                <w:spacing w:val="0"/>
                <w:sz w:val="24"/>
                <w:szCs w:val="24"/>
                <w:highlight w:val="none"/>
              </w:rPr>
              <w:t>时</w:t>
            </w:r>
            <w:r>
              <w:rPr>
                <w:rFonts w:hint="eastAsia" w:ascii="宋体" w:cs="宋体"/>
                <w:i w:val="0"/>
                <w:caps w:val="0"/>
                <w:color w:val="auto"/>
                <w:spacing w:val="0"/>
                <w:sz w:val="24"/>
                <w:szCs w:val="24"/>
                <w:highlight w:val="none"/>
                <w:u w:val="single"/>
                <w:lang w:val="en-US" w:eastAsia="zh-CN"/>
              </w:rPr>
              <w:t>30</w:t>
            </w:r>
            <w:r>
              <w:rPr>
                <w:rFonts w:hint="eastAsia" w:ascii="宋体" w:hAnsi="宋体" w:eastAsia="宋体" w:cs="宋体"/>
                <w:i w:val="0"/>
                <w:caps w:val="0"/>
                <w:color w:val="auto"/>
                <w:spacing w:val="0"/>
                <w:sz w:val="24"/>
                <w:szCs w:val="24"/>
                <w:highlight w:val="none"/>
              </w:rPr>
              <w:t>分</w:t>
            </w:r>
          </w:p>
        </w:tc>
      </w:tr>
      <w:tr w14:paraId="04BFF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2" w:hRule="atLeast"/>
          <w:jc w:val="center"/>
        </w:trPr>
        <w:tc>
          <w:tcPr>
            <w:tcW w:w="759" w:type="dxa"/>
            <w:noWrap w:val="0"/>
            <w:vAlign w:val="center"/>
          </w:tcPr>
          <w:p w14:paraId="391DFD44">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0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3</w:t>
            </w:r>
          </w:p>
        </w:tc>
        <w:tc>
          <w:tcPr>
            <w:tcW w:w="1467" w:type="dxa"/>
            <w:noWrap w:val="0"/>
            <w:vAlign w:val="center"/>
          </w:tcPr>
          <w:p w14:paraId="3C79C0DA">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网上提问</w:t>
            </w:r>
          </w:p>
          <w:p w14:paraId="17226934">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截止时间</w:t>
            </w:r>
          </w:p>
        </w:tc>
        <w:tc>
          <w:tcPr>
            <w:tcW w:w="7273" w:type="dxa"/>
            <w:noWrap w:val="0"/>
            <w:vAlign w:val="center"/>
          </w:tcPr>
          <w:p w14:paraId="148C40B1">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00" w:lineRule="exact"/>
              <w:ind w:left="0" w:leftChars="0"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eastAsia="宋体" w:cs="宋体"/>
                <w:i w:val="0"/>
                <w:caps w:val="0"/>
                <w:color w:val="auto"/>
                <w:spacing w:val="0"/>
                <w:sz w:val="24"/>
                <w:szCs w:val="24"/>
                <w:highlight w:val="none"/>
                <w:u w:val="single"/>
                <w:lang w:val="en-US" w:eastAsia="zh-CN"/>
              </w:rPr>
              <w:t>202</w:t>
            </w:r>
            <w:r>
              <w:rPr>
                <w:rFonts w:hint="eastAsia" w:ascii="宋体" w:eastAsia="宋体" w:cs="宋体"/>
                <w:i w:val="0"/>
                <w:caps w:val="0"/>
                <w:color w:val="auto"/>
                <w:spacing w:val="0"/>
                <w:sz w:val="24"/>
                <w:szCs w:val="24"/>
                <w:highlight w:val="none"/>
                <w:u w:val="single"/>
                <w:lang w:val="en-US" w:eastAsia="zh-CN"/>
              </w:rPr>
              <w:t>5</w:t>
            </w:r>
            <w:r>
              <w:rPr>
                <w:rFonts w:hint="eastAsia" w:ascii="宋体" w:hAnsi="宋体" w:eastAsia="宋体" w:cs="宋体"/>
                <w:i w:val="0"/>
                <w:caps w:val="0"/>
                <w:color w:val="auto"/>
                <w:spacing w:val="0"/>
                <w:sz w:val="24"/>
                <w:szCs w:val="24"/>
                <w:highlight w:val="none"/>
              </w:rPr>
              <w:t>年</w:t>
            </w:r>
            <w:r>
              <w:rPr>
                <w:rFonts w:hint="eastAsia" w:ascii="宋体" w:hAnsi="宋体" w:eastAsia="宋体" w:cs="宋体"/>
                <w:i w:val="0"/>
                <w:caps w:val="0"/>
                <w:color w:val="auto"/>
                <w:spacing w:val="0"/>
                <w:sz w:val="24"/>
                <w:szCs w:val="24"/>
                <w:highlight w:val="none"/>
                <w:u w:val="single"/>
                <w:lang w:val="en-US" w:eastAsia="zh-CN"/>
              </w:rPr>
              <w:t>12</w:t>
            </w:r>
            <w:r>
              <w:rPr>
                <w:rFonts w:hint="eastAsia" w:ascii="宋体" w:hAnsi="宋体" w:eastAsia="宋体" w:cs="宋体"/>
                <w:i w:val="0"/>
                <w:caps w:val="0"/>
                <w:color w:val="auto"/>
                <w:spacing w:val="0"/>
                <w:sz w:val="24"/>
                <w:szCs w:val="24"/>
                <w:highlight w:val="none"/>
              </w:rPr>
              <w:t>月</w:t>
            </w:r>
            <w:r>
              <w:rPr>
                <w:rFonts w:hint="eastAsia" w:ascii="宋体" w:cs="宋体"/>
                <w:i w:val="0"/>
                <w:caps w:val="0"/>
                <w:color w:val="auto"/>
                <w:spacing w:val="0"/>
                <w:sz w:val="24"/>
                <w:szCs w:val="24"/>
                <w:highlight w:val="none"/>
                <w:u w:val="single"/>
                <w:lang w:val="en-US" w:eastAsia="zh-CN"/>
              </w:rPr>
              <w:t>06</w:t>
            </w:r>
            <w:r>
              <w:rPr>
                <w:rFonts w:hint="eastAsia" w:ascii="宋体" w:hAnsi="宋体" w:eastAsia="宋体" w:cs="宋体"/>
                <w:i w:val="0"/>
                <w:caps w:val="0"/>
                <w:color w:val="auto"/>
                <w:spacing w:val="0"/>
                <w:sz w:val="24"/>
                <w:szCs w:val="24"/>
                <w:highlight w:val="none"/>
              </w:rPr>
              <w:t>日</w:t>
            </w:r>
            <w:r>
              <w:rPr>
                <w:rFonts w:hint="eastAsia" w:ascii="宋体" w:hAnsi="宋体" w:eastAsia="宋体" w:cs="宋体"/>
                <w:color w:val="auto"/>
                <w:kern w:val="2"/>
                <w:sz w:val="24"/>
                <w:szCs w:val="24"/>
                <w:highlight w:val="none"/>
                <w:u w:val="single"/>
                <w:lang w:val="en-US" w:eastAsia="zh-CN" w:bidi="ar-SA"/>
              </w:rPr>
              <w:t>16</w:t>
            </w:r>
            <w:r>
              <w:rPr>
                <w:rFonts w:hint="eastAsia" w:ascii="宋体" w:hAnsi="宋体" w:eastAsia="宋体" w:cs="宋体"/>
                <w:color w:val="auto"/>
                <w:kern w:val="2"/>
                <w:sz w:val="24"/>
                <w:szCs w:val="24"/>
                <w:highlight w:val="none"/>
                <w:lang w:val="en-US" w:eastAsia="zh-CN" w:bidi="ar-SA"/>
              </w:rPr>
              <w:t>时</w:t>
            </w:r>
            <w:r>
              <w:rPr>
                <w:rFonts w:hint="eastAsia" w:ascii="宋体" w:hAnsi="宋体" w:eastAsia="宋体" w:cs="宋体"/>
                <w:color w:val="auto"/>
                <w:kern w:val="2"/>
                <w:sz w:val="24"/>
                <w:szCs w:val="24"/>
                <w:highlight w:val="none"/>
                <w:u w:val="single"/>
                <w:lang w:val="en-US" w:eastAsia="zh-CN" w:bidi="ar-SA"/>
              </w:rPr>
              <w:t>00</w:t>
            </w:r>
            <w:r>
              <w:rPr>
                <w:rFonts w:hint="eastAsia" w:ascii="宋体" w:hAnsi="宋体" w:eastAsia="宋体" w:cs="宋体"/>
                <w:color w:val="auto"/>
                <w:kern w:val="2"/>
                <w:sz w:val="24"/>
                <w:szCs w:val="24"/>
                <w:highlight w:val="none"/>
                <w:lang w:val="en-US" w:eastAsia="zh-CN" w:bidi="ar-SA"/>
              </w:rPr>
              <w:t>分</w:t>
            </w:r>
          </w:p>
        </w:tc>
      </w:tr>
      <w:tr w14:paraId="5252C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2" w:hRule="atLeast"/>
          <w:jc w:val="center"/>
        </w:trPr>
        <w:tc>
          <w:tcPr>
            <w:tcW w:w="759" w:type="dxa"/>
            <w:noWrap w:val="0"/>
            <w:vAlign w:val="center"/>
          </w:tcPr>
          <w:p w14:paraId="14848AD5">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0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4</w:t>
            </w:r>
          </w:p>
        </w:tc>
        <w:tc>
          <w:tcPr>
            <w:tcW w:w="1467" w:type="dxa"/>
            <w:noWrap w:val="0"/>
            <w:vAlign w:val="center"/>
          </w:tcPr>
          <w:p w14:paraId="38EB825C">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网上答疑</w:t>
            </w:r>
          </w:p>
          <w:p w14:paraId="6DE95731">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时间</w:t>
            </w:r>
          </w:p>
        </w:tc>
        <w:tc>
          <w:tcPr>
            <w:tcW w:w="7273" w:type="dxa"/>
            <w:noWrap w:val="0"/>
            <w:vAlign w:val="center"/>
          </w:tcPr>
          <w:p w14:paraId="00EF59C1">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00" w:lineRule="exact"/>
              <w:ind w:left="240" w:leftChars="0" w:right="0" w:rightChars="0" w:hanging="240" w:hangingChars="100"/>
              <w:jc w:val="left"/>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eastAsia="宋体" w:cs="宋体"/>
                <w:i w:val="0"/>
                <w:caps w:val="0"/>
                <w:color w:val="auto"/>
                <w:spacing w:val="0"/>
                <w:sz w:val="24"/>
                <w:szCs w:val="24"/>
                <w:highlight w:val="none"/>
                <w:u w:val="single"/>
                <w:lang w:val="en-US" w:eastAsia="zh-CN"/>
              </w:rPr>
              <w:t>202</w:t>
            </w:r>
            <w:r>
              <w:rPr>
                <w:rFonts w:hint="eastAsia" w:ascii="宋体" w:eastAsia="宋体" w:cs="宋体"/>
                <w:i w:val="0"/>
                <w:caps w:val="0"/>
                <w:color w:val="auto"/>
                <w:spacing w:val="0"/>
                <w:sz w:val="24"/>
                <w:szCs w:val="24"/>
                <w:highlight w:val="none"/>
                <w:u w:val="single"/>
                <w:lang w:val="en-US" w:eastAsia="zh-CN"/>
              </w:rPr>
              <w:t>5</w:t>
            </w:r>
            <w:r>
              <w:rPr>
                <w:rFonts w:hint="eastAsia" w:ascii="宋体" w:hAnsi="宋体" w:eastAsia="宋体" w:cs="宋体"/>
                <w:i w:val="0"/>
                <w:caps w:val="0"/>
                <w:color w:val="auto"/>
                <w:spacing w:val="0"/>
                <w:sz w:val="24"/>
                <w:szCs w:val="24"/>
                <w:highlight w:val="none"/>
              </w:rPr>
              <w:t>年</w:t>
            </w:r>
            <w:r>
              <w:rPr>
                <w:rFonts w:hint="eastAsia" w:ascii="宋体" w:cs="宋体"/>
                <w:i w:val="0"/>
                <w:caps w:val="0"/>
                <w:color w:val="auto"/>
                <w:spacing w:val="0"/>
                <w:sz w:val="24"/>
                <w:szCs w:val="24"/>
                <w:highlight w:val="none"/>
                <w:u w:val="single"/>
                <w:lang w:val="en-US" w:eastAsia="zh-CN"/>
              </w:rPr>
              <w:t>12</w:t>
            </w:r>
            <w:r>
              <w:rPr>
                <w:rFonts w:hint="eastAsia" w:ascii="宋体" w:hAnsi="宋体" w:eastAsia="宋体" w:cs="宋体"/>
                <w:i w:val="0"/>
                <w:caps w:val="0"/>
                <w:color w:val="auto"/>
                <w:spacing w:val="0"/>
                <w:sz w:val="24"/>
                <w:szCs w:val="24"/>
                <w:highlight w:val="none"/>
              </w:rPr>
              <w:t>月</w:t>
            </w:r>
            <w:r>
              <w:rPr>
                <w:rFonts w:hint="eastAsia" w:ascii="宋体" w:cs="宋体"/>
                <w:i w:val="0"/>
                <w:caps w:val="0"/>
                <w:color w:val="auto"/>
                <w:spacing w:val="0"/>
                <w:sz w:val="24"/>
                <w:szCs w:val="24"/>
                <w:highlight w:val="none"/>
                <w:u w:val="single"/>
                <w:lang w:val="en-US" w:eastAsia="zh-CN"/>
              </w:rPr>
              <w:t>06</w:t>
            </w:r>
            <w:r>
              <w:rPr>
                <w:rFonts w:hint="eastAsia" w:ascii="宋体" w:hAnsi="宋体" w:eastAsia="宋体" w:cs="宋体"/>
                <w:i w:val="0"/>
                <w:caps w:val="0"/>
                <w:color w:val="auto"/>
                <w:spacing w:val="0"/>
                <w:sz w:val="24"/>
                <w:szCs w:val="24"/>
                <w:highlight w:val="none"/>
              </w:rPr>
              <w:t>日</w:t>
            </w:r>
            <w:r>
              <w:rPr>
                <w:rFonts w:hint="eastAsia" w:ascii="宋体" w:hAnsi="宋体" w:eastAsia="宋体" w:cs="宋体"/>
                <w:color w:val="auto"/>
                <w:kern w:val="2"/>
                <w:sz w:val="24"/>
                <w:szCs w:val="24"/>
                <w:highlight w:val="none"/>
                <w:u w:val="single"/>
                <w:lang w:val="en-US" w:eastAsia="zh-CN" w:bidi="ar-SA"/>
              </w:rPr>
              <w:t xml:space="preserve">16 </w:t>
            </w:r>
            <w:r>
              <w:rPr>
                <w:rFonts w:hint="eastAsia" w:ascii="宋体" w:hAnsi="宋体" w:eastAsia="宋体" w:cs="宋体"/>
                <w:color w:val="auto"/>
                <w:kern w:val="2"/>
                <w:sz w:val="24"/>
                <w:szCs w:val="24"/>
                <w:highlight w:val="none"/>
                <w:lang w:val="en-US" w:eastAsia="zh-CN" w:bidi="ar-SA"/>
              </w:rPr>
              <w:t>时</w:t>
            </w:r>
            <w:r>
              <w:rPr>
                <w:rFonts w:hint="eastAsia" w:ascii="宋体" w:hAnsi="宋体" w:eastAsia="宋体" w:cs="宋体"/>
                <w:color w:val="auto"/>
                <w:kern w:val="2"/>
                <w:sz w:val="24"/>
                <w:szCs w:val="24"/>
                <w:highlight w:val="none"/>
                <w:u w:val="single"/>
                <w:lang w:val="en-US" w:eastAsia="zh-CN" w:bidi="ar-SA"/>
              </w:rPr>
              <w:t>30</w:t>
            </w:r>
            <w:r>
              <w:rPr>
                <w:rFonts w:hint="eastAsia" w:ascii="宋体" w:hAnsi="宋体" w:eastAsia="宋体" w:cs="宋体"/>
                <w:color w:val="auto"/>
                <w:kern w:val="2"/>
                <w:sz w:val="24"/>
                <w:szCs w:val="24"/>
                <w:highlight w:val="none"/>
                <w:lang w:val="en-US" w:eastAsia="zh-CN" w:bidi="ar-SA"/>
              </w:rPr>
              <w:t>分至</w:t>
            </w:r>
            <w:r>
              <w:rPr>
                <w:rFonts w:hint="eastAsia" w:ascii="宋体" w:hAnsi="宋体" w:eastAsia="宋体" w:cs="宋体"/>
                <w:i w:val="0"/>
                <w:caps w:val="0"/>
                <w:color w:val="auto"/>
                <w:spacing w:val="0"/>
                <w:sz w:val="24"/>
                <w:szCs w:val="24"/>
                <w:highlight w:val="none"/>
                <w:u w:val="single"/>
                <w:lang w:val="en-US" w:eastAsia="zh-CN"/>
              </w:rPr>
              <w:t>202</w:t>
            </w:r>
            <w:r>
              <w:rPr>
                <w:rFonts w:hint="eastAsia" w:ascii="宋体" w:eastAsia="宋体" w:cs="宋体"/>
                <w:i w:val="0"/>
                <w:caps w:val="0"/>
                <w:color w:val="auto"/>
                <w:spacing w:val="0"/>
                <w:sz w:val="24"/>
                <w:szCs w:val="24"/>
                <w:highlight w:val="none"/>
                <w:u w:val="single"/>
                <w:lang w:val="en-US" w:eastAsia="zh-CN"/>
              </w:rPr>
              <w:t>5</w:t>
            </w:r>
            <w:r>
              <w:rPr>
                <w:rFonts w:hint="eastAsia" w:ascii="宋体" w:hAnsi="宋体" w:eastAsia="宋体" w:cs="宋体"/>
                <w:i w:val="0"/>
                <w:caps w:val="0"/>
                <w:color w:val="auto"/>
                <w:spacing w:val="0"/>
                <w:sz w:val="24"/>
                <w:szCs w:val="24"/>
                <w:highlight w:val="none"/>
              </w:rPr>
              <w:t>年</w:t>
            </w:r>
            <w:r>
              <w:rPr>
                <w:rFonts w:hint="eastAsia" w:ascii="宋体" w:cs="宋体"/>
                <w:i w:val="0"/>
                <w:caps w:val="0"/>
                <w:color w:val="auto"/>
                <w:spacing w:val="0"/>
                <w:sz w:val="24"/>
                <w:szCs w:val="24"/>
                <w:highlight w:val="none"/>
                <w:u w:val="single"/>
                <w:lang w:val="en-US" w:eastAsia="zh-CN"/>
              </w:rPr>
              <w:t>12</w:t>
            </w:r>
            <w:r>
              <w:rPr>
                <w:rFonts w:hint="eastAsia" w:ascii="宋体" w:hAnsi="宋体" w:eastAsia="宋体" w:cs="宋体"/>
                <w:i w:val="0"/>
                <w:caps w:val="0"/>
                <w:color w:val="auto"/>
                <w:spacing w:val="0"/>
                <w:sz w:val="24"/>
                <w:szCs w:val="24"/>
                <w:highlight w:val="none"/>
              </w:rPr>
              <w:t>月</w:t>
            </w:r>
            <w:r>
              <w:rPr>
                <w:rFonts w:hint="eastAsia" w:ascii="宋体" w:cs="宋体"/>
                <w:i w:val="0"/>
                <w:caps w:val="0"/>
                <w:color w:val="auto"/>
                <w:spacing w:val="0"/>
                <w:sz w:val="24"/>
                <w:szCs w:val="24"/>
                <w:highlight w:val="none"/>
                <w:u w:val="single"/>
                <w:lang w:val="en-US" w:eastAsia="zh-CN"/>
              </w:rPr>
              <w:t>08</w:t>
            </w:r>
            <w:r>
              <w:rPr>
                <w:rFonts w:hint="eastAsia" w:ascii="宋体" w:hAnsi="宋体" w:eastAsia="宋体" w:cs="宋体"/>
                <w:i w:val="0"/>
                <w:caps w:val="0"/>
                <w:color w:val="auto"/>
                <w:spacing w:val="0"/>
                <w:sz w:val="24"/>
                <w:szCs w:val="24"/>
                <w:highlight w:val="none"/>
              </w:rPr>
              <w:t>日</w:t>
            </w:r>
            <w:r>
              <w:rPr>
                <w:rFonts w:hint="eastAsia" w:ascii="宋体" w:hAnsi="宋体" w:eastAsia="宋体" w:cs="宋体"/>
                <w:color w:val="auto"/>
                <w:kern w:val="2"/>
                <w:sz w:val="24"/>
                <w:szCs w:val="24"/>
                <w:highlight w:val="none"/>
                <w:u w:val="single"/>
                <w:lang w:val="en-US" w:eastAsia="zh-CN" w:bidi="ar-SA"/>
              </w:rPr>
              <w:t>16</w:t>
            </w:r>
            <w:r>
              <w:rPr>
                <w:rFonts w:hint="eastAsia" w:ascii="宋体" w:hAnsi="宋体" w:eastAsia="宋体" w:cs="宋体"/>
                <w:color w:val="auto"/>
                <w:kern w:val="2"/>
                <w:sz w:val="24"/>
                <w:szCs w:val="24"/>
                <w:highlight w:val="none"/>
                <w:lang w:val="en-US" w:eastAsia="zh-CN" w:bidi="ar-SA"/>
              </w:rPr>
              <w:t>时</w:t>
            </w:r>
            <w:r>
              <w:rPr>
                <w:rFonts w:hint="eastAsia" w:ascii="宋体" w:hAnsi="宋体" w:eastAsia="宋体" w:cs="宋体"/>
                <w:color w:val="auto"/>
                <w:kern w:val="2"/>
                <w:sz w:val="24"/>
                <w:szCs w:val="24"/>
                <w:highlight w:val="none"/>
                <w:u w:val="single"/>
                <w:lang w:val="en-US" w:eastAsia="zh-CN" w:bidi="ar-SA"/>
              </w:rPr>
              <w:t>00</w:t>
            </w:r>
            <w:r>
              <w:rPr>
                <w:rFonts w:hint="eastAsia" w:ascii="宋体" w:hAnsi="宋体" w:eastAsia="宋体" w:cs="宋体"/>
                <w:color w:val="auto"/>
                <w:kern w:val="2"/>
                <w:sz w:val="24"/>
                <w:szCs w:val="24"/>
                <w:highlight w:val="none"/>
                <w:lang w:val="en-US" w:eastAsia="zh-CN" w:bidi="ar-SA"/>
              </w:rPr>
              <w:t>分</w:t>
            </w:r>
          </w:p>
        </w:tc>
      </w:tr>
      <w:tr w14:paraId="1440E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4" w:hRule="atLeast"/>
          <w:jc w:val="center"/>
        </w:trPr>
        <w:tc>
          <w:tcPr>
            <w:tcW w:w="759" w:type="dxa"/>
            <w:noWrap w:val="0"/>
            <w:vAlign w:val="center"/>
          </w:tcPr>
          <w:p w14:paraId="0A8F3588">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0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5</w:t>
            </w:r>
          </w:p>
        </w:tc>
        <w:tc>
          <w:tcPr>
            <w:tcW w:w="1467" w:type="dxa"/>
            <w:noWrap w:val="0"/>
            <w:vAlign w:val="center"/>
          </w:tcPr>
          <w:p w14:paraId="7443124E">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投标保证缴</w:t>
            </w:r>
          </w:p>
          <w:p w14:paraId="58B578B0">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纳截止时间</w:t>
            </w:r>
          </w:p>
        </w:tc>
        <w:tc>
          <w:tcPr>
            <w:tcW w:w="7273" w:type="dxa"/>
            <w:noWrap w:val="0"/>
            <w:vAlign w:val="center"/>
          </w:tcPr>
          <w:p w14:paraId="7135EB70">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00" w:lineRule="exact"/>
              <w:ind w:left="0" w:right="0" w:firstLine="210"/>
              <w:jc w:val="both"/>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投标保证金到账截止时间：</w:t>
            </w:r>
            <w:r>
              <w:rPr>
                <w:rFonts w:hint="eastAsia" w:ascii="宋体" w:hAnsi="宋体" w:eastAsia="宋体" w:cs="宋体"/>
                <w:i w:val="0"/>
                <w:caps w:val="0"/>
                <w:color w:val="auto"/>
                <w:spacing w:val="0"/>
                <w:sz w:val="24"/>
                <w:szCs w:val="24"/>
                <w:highlight w:val="none"/>
                <w:lang w:val="en-US" w:eastAsia="zh-CN"/>
              </w:rPr>
              <w:t xml:space="preserve">  </w:t>
            </w:r>
            <w:r>
              <w:rPr>
                <w:rFonts w:hint="eastAsia" w:ascii="宋体" w:hAnsi="宋体" w:eastAsia="宋体" w:cs="宋体"/>
                <w:i w:val="0"/>
                <w:caps w:val="0"/>
                <w:color w:val="auto"/>
                <w:spacing w:val="0"/>
                <w:sz w:val="24"/>
                <w:szCs w:val="24"/>
                <w:highlight w:val="none"/>
                <w:u w:val="single"/>
                <w:lang w:val="en-US" w:eastAsia="zh-CN"/>
              </w:rPr>
              <w:t>202</w:t>
            </w:r>
            <w:r>
              <w:rPr>
                <w:rFonts w:hint="eastAsia" w:ascii="宋体" w:eastAsia="宋体" w:cs="宋体"/>
                <w:i w:val="0"/>
                <w:caps w:val="0"/>
                <w:color w:val="auto"/>
                <w:spacing w:val="0"/>
                <w:sz w:val="24"/>
                <w:szCs w:val="24"/>
                <w:highlight w:val="none"/>
                <w:u w:val="single"/>
                <w:lang w:val="en-US" w:eastAsia="zh-CN"/>
              </w:rPr>
              <w:t>5</w:t>
            </w:r>
            <w:r>
              <w:rPr>
                <w:rFonts w:hint="eastAsia" w:ascii="宋体" w:hAnsi="宋体" w:eastAsia="宋体" w:cs="宋体"/>
                <w:i w:val="0"/>
                <w:caps w:val="0"/>
                <w:color w:val="auto"/>
                <w:spacing w:val="0"/>
                <w:sz w:val="24"/>
                <w:szCs w:val="24"/>
                <w:highlight w:val="none"/>
              </w:rPr>
              <w:t>年</w:t>
            </w:r>
            <w:r>
              <w:rPr>
                <w:rFonts w:hint="eastAsia" w:ascii="宋体" w:cs="宋体"/>
                <w:i w:val="0"/>
                <w:caps w:val="0"/>
                <w:color w:val="auto"/>
                <w:spacing w:val="0"/>
                <w:sz w:val="24"/>
                <w:szCs w:val="24"/>
                <w:highlight w:val="none"/>
                <w:u w:val="single"/>
                <w:lang w:val="en-US" w:eastAsia="zh-CN"/>
              </w:rPr>
              <w:t>12</w:t>
            </w:r>
            <w:r>
              <w:rPr>
                <w:rFonts w:hint="eastAsia" w:ascii="宋体" w:hAnsi="宋体" w:eastAsia="宋体" w:cs="宋体"/>
                <w:i w:val="0"/>
                <w:caps w:val="0"/>
                <w:color w:val="auto"/>
                <w:spacing w:val="0"/>
                <w:sz w:val="24"/>
                <w:szCs w:val="24"/>
                <w:highlight w:val="none"/>
              </w:rPr>
              <w:t>月</w:t>
            </w:r>
            <w:r>
              <w:rPr>
                <w:rFonts w:hint="eastAsia" w:ascii="宋体" w:cs="宋体"/>
                <w:i w:val="0"/>
                <w:caps w:val="0"/>
                <w:color w:val="auto"/>
                <w:spacing w:val="0"/>
                <w:sz w:val="24"/>
                <w:szCs w:val="24"/>
                <w:highlight w:val="none"/>
                <w:u w:val="single"/>
                <w:lang w:val="en-US" w:eastAsia="zh-CN"/>
              </w:rPr>
              <w:t>15</w:t>
            </w:r>
            <w:r>
              <w:rPr>
                <w:rFonts w:hint="eastAsia" w:ascii="宋体" w:hAnsi="宋体" w:eastAsia="宋体" w:cs="宋体"/>
                <w:i w:val="0"/>
                <w:caps w:val="0"/>
                <w:color w:val="auto"/>
                <w:spacing w:val="0"/>
                <w:sz w:val="24"/>
                <w:szCs w:val="24"/>
                <w:highlight w:val="none"/>
              </w:rPr>
              <w:t>日</w:t>
            </w:r>
            <w:r>
              <w:rPr>
                <w:rFonts w:hint="eastAsia" w:ascii="宋体" w:cs="宋体"/>
                <w:i w:val="0"/>
                <w:caps w:val="0"/>
                <w:color w:val="auto"/>
                <w:spacing w:val="0"/>
                <w:sz w:val="24"/>
                <w:szCs w:val="24"/>
                <w:highlight w:val="none"/>
                <w:u w:val="single"/>
                <w:lang w:val="en-US" w:eastAsia="zh-CN"/>
              </w:rPr>
              <w:t>09</w:t>
            </w:r>
            <w:r>
              <w:rPr>
                <w:rFonts w:hint="eastAsia" w:ascii="宋体" w:hAnsi="宋体" w:eastAsia="宋体" w:cs="宋体"/>
                <w:i w:val="0"/>
                <w:caps w:val="0"/>
                <w:color w:val="auto"/>
                <w:spacing w:val="0"/>
                <w:sz w:val="24"/>
                <w:szCs w:val="24"/>
                <w:highlight w:val="none"/>
              </w:rPr>
              <w:t>时</w:t>
            </w:r>
            <w:r>
              <w:rPr>
                <w:rFonts w:hint="eastAsia" w:ascii="宋体" w:cs="宋体"/>
                <w:i w:val="0"/>
                <w:caps w:val="0"/>
                <w:color w:val="auto"/>
                <w:spacing w:val="0"/>
                <w:sz w:val="24"/>
                <w:szCs w:val="24"/>
                <w:highlight w:val="none"/>
                <w:u w:val="single"/>
                <w:lang w:val="en-US" w:eastAsia="zh-CN"/>
              </w:rPr>
              <w:t>30</w:t>
            </w:r>
            <w:r>
              <w:rPr>
                <w:rFonts w:hint="eastAsia" w:ascii="宋体" w:hAnsi="宋体" w:eastAsia="宋体" w:cs="宋体"/>
                <w:i w:val="0"/>
                <w:caps w:val="0"/>
                <w:color w:val="auto"/>
                <w:spacing w:val="0"/>
                <w:sz w:val="24"/>
                <w:szCs w:val="24"/>
                <w:highlight w:val="none"/>
              </w:rPr>
              <w:t>分；</w:t>
            </w:r>
          </w:p>
          <w:p w14:paraId="2EC365E8">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00" w:lineRule="exact"/>
              <w:ind w:left="0" w:right="0" w:firstLine="210"/>
              <w:jc w:val="both"/>
              <w:textAlignment w:val="auto"/>
              <w:rPr>
                <w:rFonts w:hint="eastAsia" w:ascii="宋体" w:hAnsi="宋体" w:eastAsia="宋体" w:cs="宋体"/>
                <w:i w:val="0"/>
                <w:caps w:val="0"/>
                <w:color w:val="auto"/>
                <w:spacing w:val="0"/>
                <w:sz w:val="24"/>
                <w:szCs w:val="24"/>
                <w:highlight w:val="none"/>
                <w:lang w:val="en-US" w:eastAsia="zh-CN"/>
              </w:rPr>
            </w:pPr>
            <w:r>
              <w:rPr>
                <w:rFonts w:hint="eastAsia" w:ascii="宋体" w:hAnsi="宋体" w:eastAsia="宋体" w:cs="宋体"/>
                <w:i w:val="0"/>
                <w:caps w:val="0"/>
                <w:color w:val="auto"/>
                <w:spacing w:val="0"/>
                <w:sz w:val="24"/>
                <w:szCs w:val="24"/>
                <w:highlight w:val="none"/>
              </w:rPr>
              <w:t>投标保证担保</w:t>
            </w:r>
            <w:r>
              <w:rPr>
                <w:rFonts w:hint="eastAsia" w:ascii="宋体" w:hAnsi="宋体" w:eastAsia="宋体" w:cs="宋体"/>
                <w:i w:val="0"/>
                <w:caps w:val="0"/>
                <w:color w:val="auto"/>
                <w:spacing w:val="0"/>
                <w:sz w:val="24"/>
                <w:szCs w:val="24"/>
                <w:highlight w:val="none"/>
                <w:lang w:val="en-US" w:eastAsia="zh-CN"/>
              </w:rPr>
              <w:t>办理</w:t>
            </w:r>
            <w:r>
              <w:rPr>
                <w:rFonts w:hint="eastAsia" w:ascii="宋体" w:hAnsi="宋体" w:eastAsia="宋体" w:cs="宋体"/>
                <w:i w:val="0"/>
                <w:caps w:val="0"/>
                <w:color w:val="auto"/>
                <w:spacing w:val="0"/>
                <w:sz w:val="24"/>
                <w:szCs w:val="24"/>
                <w:highlight w:val="none"/>
              </w:rPr>
              <w:t>截止时间：</w:t>
            </w:r>
            <w:r>
              <w:rPr>
                <w:rFonts w:hint="eastAsia" w:ascii="宋体" w:hAnsi="宋体" w:eastAsia="宋体" w:cs="宋体"/>
                <w:i w:val="0"/>
                <w:caps w:val="0"/>
                <w:color w:val="auto"/>
                <w:spacing w:val="0"/>
                <w:sz w:val="24"/>
                <w:szCs w:val="24"/>
                <w:highlight w:val="none"/>
                <w:lang w:val="en-US" w:eastAsia="zh-CN"/>
              </w:rPr>
              <w:t xml:space="preserve"> </w:t>
            </w:r>
            <w:r>
              <w:rPr>
                <w:rFonts w:hint="eastAsia" w:ascii="宋体" w:hAnsi="宋体" w:eastAsia="宋体" w:cs="宋体"/>
                <w:i w:val="0"/>
                <w:caps w:val="0"/>
                <w:color w:val="auto"/>
                <w:spacing w:val="0"/>
                <w:sz w:val="24"/>
                <w:szCs w:val="24"/>
                <w:highlight w:val="none"/>
                <w:u w:val="single"/>
                <w:lang w:val="en-US" w:eastAsia="zh-CN"/>
              </w:rPr>
              <w:t>202</w:t>
            </w:r>
            <w:r>
              <w:rPr>
                <w:rFonts w:hint="eastAsia" w:ascii="宋体" w:eastAsia="宋体" w:cs="宋体"/>
                <w:i w:val="0"/>
                <w:caps w:val="0"/>
                <w:color w:val="auto"/>
                <w:spacing w:val="0"/>
                <w:sz w:val="24"/>
                <w:szCs w:val="24"/>
                <w:highlight w:val="none"/>
                <w:u w:val="single"/>
                <w:lang w:val="en-US" w:eastAsia="zh-CN"/>
              </w:rPr>
              <w:t>5</w:t>
            </w:r>
            <w:r>
              <w:rPr>
                <w:rFonts w:hint="eastAsia" w:ascii="宋体" w:hAnsi="宋体" w:eastAsia="宋体" w:cs="宋体"/>
                <w:i w:val="0"/>
                <w:caps w:val="0"/>
                <w:color w:val="auto"/>
                <w:spacing w:val="0"/>
                <w:sz w:val="24"/>
                <w:szCs w:val="24"/>
                <w:highlight w:val="none"/>
              </w:rPr>
              <w:t>年</w:t>
            </w:r>
            <w:r>
              <w:rPr>
                <w:rFonts w:hint="eastAsia" w:ascii="宋体" w:cs="宋体"/>
                <w:i w:val="0"/>
                <w:caps w:val="0"/>
                <w:color w:val="auto"/>
                <w:spacing w:val="0"/>
                <w:sz w:val="24"/>
                <w:szCs w:val="24"/>
                <w:highlight w:val="none"/>
                <w:u w:val="single"/>
                <w:lang w:val="en-US" w:eastAsia="zh-CN"/>
              </w:rPr>
              <w:t>12</w:t>
            </w:r>
            <w:r>
              <w:rPr>
                <w:rFonts w:hint="eastAsia" w:ascii="宋体" w:hAnsi="宋体" w:eastAsia="宋体" w:cs="宋体"/>
                <w:i w:val="0"/>
                <w:caps w:val="0"/>
                <w:color w:val="auto"/>
                <w:spacing w:val="0"/>
                <w:sz w:val="24"/>
                <w:szCs w:val="24"/>
                <w:highlight w:val="none"/>
              </w:rPr>
              <w:t>月</w:t>
            </w:r>
            <w:r>
              <w:rPr>
                <w:rFonts w:hint="eastAsia" w:ascii="宋体" w:cs="宋体"/>
                <w:i w:val="0"/>
                <w:caps w:val="0"/>
                <w:color w:val="auto"/>
                <w:spacing w:val="0"/>
                <w:sz w:val="24"/>
                <w:szCs w:val="24"/>
                <w:highlight w:val="none"/>
                <w:u w:val="single"/>
                <w:lang w:val="en-US" w:eastAsia="zh-CN"/>
              </w:rPr>
              <w:t>15</w:t>
            </w:r>
            <w:r>
              <w:rPr>
                <w:rFonts w:hint="eastAsia" w:ascii="宋体" w:hAnsi="宋体" w:eastAsia="宋体" w:cs="宋体"/>
                <w:i w:val="0"/>
                <w:caps w:val="0"/>
                <w:color w:val="auto"/>
                <w:spacing w:val="0"/>
                <w:sz w:val="24"/>
                <w:szCs w:val="24"/>
                <w:highlight w:val="none"/>
              </w:rPr>
              <w:t>日</w:t>
            </w:r>
            <w:r>
              <w:rPr>
                <w:rFonts w:hint="eastAsia" w:ascii="宋体" w:cs="宋体"/>
                <w:i w:val="0"/>
                <w:caps w:val="0"/>
                <w:color w:val="auto"/>
                <w:spacing w:val="0"/>
                <w:sz w:val="24"/>
                <w:szCs w:val="24"/>
                <w:highlight w:val="none"/>
                <w:u w:val="single"/>
                <w:lang w:val="en-US" w:eastAsia="zh-CN"/>
              </w:rPr>
              <w:t>09</w:t>
            </w:r>
            <w:r>
              <w:rPr>
                <w:rFonts w:hint="eastAsia" w:ascii="宋体" w:hAnsi="宋体" w:eastAsia="宋体" w:cs="宋体"/>
                <w:i w:val="0"/>
                <w:caps w:val="0"/>
                <w:color w:val="auto"/>
                <w:spacing w:val="0"/>
                <w:sz w:val="24"/>
                <w:szCs w:val="24"/>
                <w:highlight w:val="none"/>
              </w:rPr>
              <w:t>时</w:t>
            </w:r>
            <w:r>
              <w:rPr>
                <w:rFonts w:hint="eastAsia" w:ascii="宋体" w:cs="宋体"/>
                <w:i w:val="0"/>
                <w:caps w:val="0"/>
                <w:color w:val="auto"/>
                <w:spacing w:val="0"/>
                <w:sz w:val="24"/>
                <w:szCs w:val="24"/>
                <w:highlight w:val="none"/>
                <w:u w:val="single"/>
                <w:lang w:val="en-US" w:eastAsia="zh-CN"/>
              </w:rPr>
              <w:t>30</w:t>
            </w:r>
            <w:r>
              <w:rPr>
                <w:rFonts w:hint="eastAsia" w:ascii="宋体" w:hAnsi="宋体" w:eastAsia="宋体" w:cs="宋体"/>
                <w:i w:val="0"/>
                <w:caps w:val="0"/>
                <w:color w:val="auto"/>
                <w:spacing w:val="0"/>
                <w:sz w:val="24"/>
                <w:szCs w:val="24"/>
                <w:highlight w:val="none"/>
              </w:rPr>
              <w:t>分</w:t>
            </w:r>
            <w:r>
              <w:rPr>
                <w:rFonts w:hint="eastAsia" w:ascii="宋体" w:hAnsi="宋体" w:eastAsia="宋体" w:cs="宋体"/>
                <w:i w:val="0"/>
                <w:caps w:val="0"/>
                <w:color w:val="auto"/>
                <w:spacing w:val="0"/>
                <w:sz w:val="24"/>
                <w:szCs w:val="24"/>
                <w:highlight w:val="none"/>
                <w:lang w:val="en-US" w:eastAsia="zh-CN"/>
              </w:rPr>
              <w:t>；</w:t>
            </w:r>
          </w:p>
          <w:p w14:paraId="1E7777DD">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00" w:lineRule="exact"/>
              <w:ind w:left="0" w:leftChars="0" w:right="0" w:rightChars="0" w:firstLine="210" w:firstLineChars="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eastAsia="zh-CN"/>
              </w:rPr>
              <w:t>投标保证保险投保截止时间：</w:t>
            </w:r>
            <w:r>
              <w:rPr>
                <w:rFonts w:hint="eastAsia" w:ascii="宋体" w:hAnsi="宋体" w:eastAsia="宋体" w:cs="宋体"/>
                <w:i w:val="0"/>
                <w:caps w:val="0"/>
                <w:color w:val="auto"/>
                <w:spacing w:val="0"/>
                <w:sz w:val="24"/>
                <w:szCs w:val="24"/>
                <w:highlight w:val="none"/>
                <w:lang w:val="en-US" w:eastAsia="zh-CN"/>
              </w:rPr>
              <w:t xml:space="preserve"> </w:t>
            </w:r>
            <w:r>
              <w:rPr>
                <w:rFonts w:hint="eastAsia" w:ascii="宋体" w:hAnsi="宋体" w:eastAsia="宋体" w:cs="宋体"/>
                <w:i w:val="0"/>
                <w:caps w:val="0"/>
                <w:color w:val="auto"/>
                <w:spacing w:val="0"/>
                <w:sz w:val="24"/>
                <w:szCs w:val="24"/>
                <w:highlight w:val="none"/>
                <w:u w:val="single"/>
                <w:lang w:val="en-US" w:eastAsia="zh-CN"/>
              </w:rPr>
              <w:t>202</w:t>
            </w:r>
            <w:r>
              <w:rPr>
                <w:rFonts w:hint="eastAsia" w:ascii="宋体" w:eastAsia="宋体" w:cs="宋体"/>
                <w:i w:val="0"/>
                <w:caps w:val="0"/>
                <w:color w:val="auto"/>
                <w:spacing w:val="0"/>
                <w:sz w:val="24"/>
                <w:szCs w:val="24"/>
                <w:highlight w:val="none"/>
                <w:u w:val="single"/>
                <w:lang w:val="en-US" w:eastAsia="zh-CN"/>
              </w:rPr>
              <w:t>5</w:t>
            </w:r>
            <w:r>
              <w:rPr>
                <w:rFonts w:hint="eastAsia" w:ascii="宋体" w:hAnsi="宋体" w:eastAsia="宋体" w:cs="宋体"/>
                <w:i w:val="0"/>
                <w:caps w:val="0"/>
                <w:color w:val="auto"/>
                <w:spacing w:val="0"/>
                <w:sz w:val="24"/>
                <w:szCs w:val="24"/>
                <w:highlight w:val="none"/>
              </w:rPr>
              <w:t>年</w:t>
            </w:r>
            <w:r>
              <w:rPr>
                <w:rFonts w:hint="eastAsia" w:ascii="宋体" w:cs="宋体"/>
                <w:i w:val="0"/>
                <w:caps w:val="0"/>
                <w:color w:val="auto"/>
                <w:spacing w:val="0"/>
                <w:sz w:val="24"/>
                <w:szCs w:val="24"/>
                <w:highlight w:val="none"/>
                <w:u w:val="single"/>
                <w:lang w:val="en-US" w:eastAsia="zh-CN"/>
              </w:rPr>
              <w:t>12</w:t>
            </w:r>
            <w:r>
              <w:rPr>
                <w:rFonts w:hint="eastAsia" w:ascii="宋体" w:hAnsi="宋体" w:eastAsia="宋体" w:cs="宋体"/>
                <w:i w:val="0"/>
                <w:caps w:val="0"/>
                <w:color w:val="auto"/>
                <w:spacing w:val="0"/>
                <w:sz w:val="24"/>
                <w:szCs w:val="24"/>
                <w:highlight w:val="none"/>
              </w:rPr>
              <w:t>月</w:t>
            </w:r>
            <w:r>
              <w:rPr>
                <w:rFonts w:hint="eastAsia" w:ascii="宋体" w:cs="宋体"/>
                <w:i w:val="0"/>
                <w:caps w:val="0"/>
                <w:color w:val="auto"/>
                <w:spacing w:val="0"/>
                <w:sz w:val="24"/>
                <w:szCs w:val="24"/>
                <w:highlight w:val="none"/>
                <w:u w:val="single"/>
                <w:lang w:val="en-US" w:eastAsia="zh-CN"/>
              </w:rPr>
              <w:t>15</w:t>
            </w:r>
            <w:r>
              <w:rPr>
                <w:rFonts w:hint="eastAsia" w:ascii="宋体" w:hAnsi="宋体" w:eastAsia="宋体" w:cs="宋体"/>
                <w:i w:val="0"/>
                <w:caps w:val="0"/>
                <w:color w:val="auto"/>
                <w:spacing w:val="0"/>
                <w:sz w:val="24"/>
                <w:szCs w:val="24"/>
                <w:highlight w:val="none"/>
              </w:rPr>
              <w:t>日</w:t>
            </w:r>
            <w:r>
              <w:rPr>
                <w:rFonts w:hint="eastAsia" w:ascii="宋体" w:cs="宋体"/>
                <w:i w:val="0"/>
                <w:caps w:val="0"/>
                <w:color w:val="auto"/>
                <w:spacing w:val="0"/>
                <w:sz w:val="24"/>
                <w:szCs w:val="24"/>
                <w:highlight w:val="none"/>
                <w:u w:val="single"/>
                <w:lang w:val="en-US" w:eastAsia="zh-CN"/>
              </w:rPr>
              <w:t>09</w:t>
            </w:r>
            <w:r>
              <w:rPr>
                <w:rFonts w:hint="eastAsia" w:ascii="宋体" w:hAnsi="宋体" w:eastAsia="宋体" w:cs="宋体"/>
                <w:i w:val="0"/>
                <w:caps w:val="0"/>
                <w:color w:val="auto"/>
                <w:spacing w:val="0"/>
                <w:sz w:val="24"/>
                <w:szCs w:val="24"/>
                <w:highlight w:val="none"/>
              </w:rPr>
              <w:t>时</w:t>
            </w:r>
            <w:r>
              <w:rPr>
                <w:rFonts w:hint="eastAsia" w:ascii="宋体" w:cs="宋体"/>
                <w:i w:val="0"/>
                <w:caps w:val="0"/>
                <w:color w:val="auto"/>
                <w:spacing w:val="0"/>
                <w:sz w:val="24"/>
                <w:szCs w:val="24"/>
                <w:highlight w:val="none"/>
                <w:u w:val="single"/>
                <w:lang w:val="en-US" w:eastAsia="zh-CN"/>
              </w:rPr>
              <w:t>30</w:t>
            </w:r>
            <w:r>
              <w:rPr>
                <w:rFonts w:hint="eastAsia" w:ascii="宋体" w:hAnsi="宋体" w:eastAsia="宋体" w:cs="宋体"/>
                <w:i w:val="0"/>
                <w:caps w:val="0"/>
                <w:color w:val="auto"/>
                <w:spacing w:val="0"/>
                <w:sz w:val="24"/>
                <w:szCs w:val="24"/>
                <w:highlight w:val="none"/>
              </w:rPr>
              <w:t>分</w:t>
            </w:r>
            <w:r>
              <w:rPr>
                <w:rFonts w:hint="eastAsia" w:ascii="宋体" w:hAnsi="宋体" w:eastAsia="宋体" w:cs="宋体"/>
                <w:caps w:val="0"/>
                <w:smallCaps w:val="0"/>
                <w:snapToGrid w:val="0"/>
                <w:color w:val="auto"/>
                <w:spacing w:val="0"/>
                <w:kern w:val="0"/>
                <w:sz w:val="24"/>
                <w:szCs w:val="24"/>
                <w:highlight w:val="none"/>
                <w:lang w:eastAsia="zh-CN"/>
              </w:rPr>
              <w:t>。</w:t>
            </w:r>
          </w:p>
        </w:tc>
      </w:tr>
      <w:tr w14:paraId="5E906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2" w:hRule="atLeast"/>
          <w:jc w:val="center"/>
        </w:trPr>
        <w:tc>
          <w:tcPr>
            <w:tcW w:w="759" w:type="dxa"/>
            <w:noWrap w:val="0"/>
            <w:vAlign w:val="center"/>
          </w:tcPr>
          <w:p w14:paraId="13D96EA6">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0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6</w:t>
            </w:r>
          </w:p>
        </w:tc>
        <w:tc>
          <w:tcPr>
            <w:tcW w:w="1467" w:type="dxa"/>
            <w:noWrap w:val="0"/>
            <w:vAlign w:val="center"/>
          </w:tcPr>
          <w:p w14:paraId="56256F1A">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电子投标</w:t>
            </w:r>
          </w:p>
          <w:p w14:paraId="143ACF82">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截止时间</w:t>
            </w:r>
          </w:p>
        </w:tc>
        <w:tc>
          <w:tcPr>
            <w:tcW w:w="7273" w:type="dxa"/>
            <w:noWrap w:val="0"/>
            <w:vAlign w:val="center"/>
          </w:tcPr>
          <w:p w14:paraId="7D79499E">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00" w:lineRule="exact"/>
              <w:ind w:left="0" w:leftChars="0"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eastAsia="宋体" w:cs="宋体"/>
                <w:i w:val="0"/>
                <w:caps w:val="0"/>
                <w:color w:val="auto"/>
                <w:spacing w:val="0"/>
                <w:sz w:val="24"/>
                <w:szCs w:val="24"/>
                <w:highlight w:val="none"/>
                <w:u w:val="single"/>
                <w:lang w:val="en-US" w:eastAsia="zh-CN"/>
              </w:rPr>
              <w:t>202</w:t>
            </w:r>
            <w:r>
              <w:rPr>
                <w:rFonts w:hint="eastAsia" w:ascii="宋体" w:eastAsia="宋体" w:cs="宋体"/>
                <w:i w:val="0"/>
                <w:caps w:val="0"/>
                <w:color w:val="auto"/>
                <w:spacing w:val="0"/>
                <w:sz w:val="24"/>
                <w:szCs w:val="24"/>
                <w:highlight w:val="none"/>
                <w:u w:val="single"/>
                <w:lang w:val="en-US" w:eastAsia="zh-CN"/>
              </w:rPr>
              <w:t>5</w:t>
            </w:r>
            <w:r>
              <w:rPr>
                <w:rFonts w:hint="eastAsia" w:ascii="宋体" w:hAnsi="宋体" w:eastAsia="宋体" w:cs="宋体"/>
                <w:i w:val="0"/>
                <w:caps w:val="0"/>
                <w:color w:val="auto"/>
                <w:spacing w:val="0"/>
                <w:sz w:val="24"/>
                <w:szCs w:val="24"/>
                <w:highlight w:val="none"/>
              </w:rPr>
              <w:t>年</w:t>
            </w:r>
            <w:r>
              <w:rPr>
                <w:rFonts w:hint="eastAsia" w:ascii="宋体" w:cs="宋体"/>
                <w:i w:val="0"/>
                <w:caps w:val="0"/>
                <w:color w:val="auto"/>
                <w:spacing w:val="0"/>
                <w:sz w:val="24"/>
                <w:szCs w:val="24"/>
                <w:highlight w:val="none"/>
                <w:u w:val="single"/>
                <w:lang w:val="en-US" w:eastAsia="zh-CN"/>
              </w:rPr>
              <w:t>12</w:t>
            </w:r>
            <w:r>
              <w:rPr>
                <w:rFonts w:hint="eastAsia" w:ascii="宋体" w:hAnsi="宋体" w:eastAsia="宋体" w:cs="宋体"/>
                <w:i w:val="0"/>
                <w:caps w:val="0"/>
                <w:color w:val="auto"/>
                <w:spacing w:val="0"/>
                <w:sz w:val="24"/>
                <w:szCs w:val="24"/>
                <w:highlight w:val="none"/>
              </w:rPr>
              <w:t>月</w:t>
            </w:r>
            <w:r>
              <w:rPr>
                <w:rFonts w:hint="eastAsia" w:ascii="宋体" w:cs="宋体"/>
                <w:i w:val="0"/>
                <w:caps w:val="0"/>
                <w:color w:val="auto"/>
                <w:spacing w:val="0"/>
                <w:sz w:val="24"/>
                <w:szCs w:val="24"/>
                <w:highlight w:val="none"/>
                <w:u w:val="single"/>
                <w:lang w:val="en-US" w:eastAsia="zh-CN"/>
              </w:rPr>
              <w:t>16</w:t>
            </w:r>
            <w:r>
              <w:rPr>
                <w:rFonts w:hint="eastAsia" w:ascii="宋体" w:hAnsi="宋体" w:eastAsia="宋体" w:cs="宋体"/>
                <w:i w:val="0"/>
                <w:caps w:val="0"/>
                <w:color w:val="auto"/>
                <w:spacing w:val="0"/>
                <w:sz w:val="24"/>
                <w:szCs w:val="24"/>
                <w:highlight w:val="none"/>
              </w:rPr>
              <w:t>日</w:t>
            </w:r>
            <w:r>
              <w:rPr>
                <w:rFonts w:hint="eastAsia" w:ascii="宋体" w:cs="宋体"/>
                <w:i w:val="0"/>
                <w:caps w:val="0"/>
                <w:color w:val="auto"/>
                <w:spacing w:val="0"/>
                <w:sz w:val="24"/>
                <w:szCs w:val="24"/>
                <w:highlight w:val="none"/>
                <w:u w:val="single"/>
                <w:lang w:val="en-US" w:eastAsia="zh-CN"/>
              </w:rPr>
              <w:t>09</w:t>
            </w:r>
            <w:r>
              <w:rPr>
                <w:rFonts w:hint="eastAsia" w:ascii="宋体" w:hAnsi="宋体" w:eastAsia="宋体" w:cs="宋体"/>
                <w:i w:val="0"/>
                <w:caps w:val="0"/>
                <w:color w:val="auto"/>
                <w:spacing w:val="0"/>
                <w:sz w:val="24"/>
                <w:szCs w:val="24"/>
                <w:highlight w:val="none"/>
              </w:rPr>
              <w:t>时</w:t>
            </w:r>
            <w:r>
              <w:rPr>
                <w:rFonts w:hint="eastAsia" w:ascii="宋体" w:cs="宋体"/>
                <w:i w:val="0"/>
                <w:caps w:val="0"/>
                <w:color w:val="auto"/>
                <w:spacing w:val="0"/>
                <w:sz w:val="24"/>
                <w:szCs w:val="24"/>
                <w:highlight w:val="none"/>
                <w:u w:val="single"/>
                <w:lang w:val="en-US" w:eastAsia="zh-CN"/>
              </w:rPr>
              <w:t>30</w:t>
            </w:r>
            <w:r>
              <w:rPr>
                <w:rFonts w:hint="eastAsia" w:ascii="宋体" w:hAnsi="宋体" w:eastAsia="宋体" w:cs="宋体"/>
                <w:i w:val="0"/>
                <w:caps w:val="0"/>
                <w:color w:val="auto"/>
                <w:spacing w:val="0"/>
                <w:sz w:val="24"/>
                <w:szCs w:val="24"/>
                <w:highlight w:val="none"/>
              </w:rPr>
              <w:t>分</w:t>
            </w:r>
          </w:p>
        </w:tc>
      </w:tr>
      <w:tr w14:paraId="0C0FB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5" w:hRule="atLeast"/>
          <w:jc w:val="center"/>
        </w:trPr>
        <w:tc>
          <w:tcPr>
            <w:tcW w:w="759" w:type="dxa"/>
            <w:noWrap w:val="0"/>
            <w:vAlign w:val="center"/>
          </w:tcPr>
          <w:p w14:paraId="541564A1">
            <w:pPr>
              <w:pStyle w:val="34"/>
              <w:keepNext w:val="0"/>
              <w:keepLines w:val="0"/>
              <w:pageBreakBefore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7</w:t>
            </w:r>
          </w:p>
        </w:tc>
        <w:tc>
          <w:tcPr>
            <w:tcW w:w="1467" w:type="dxa"/>
            <w:noWrap w:val="0"/>
            <w:vAlign w:val="center"/>
          </w:tcPr>
          <w:p w14:paraId="362B42D8">
            <w:pPr>
              <w:pStyle w:val="34"/>
              <w:keepNext w:val="0"/>
              <w:keepLines w:val="0"/>
              <w:pageBreakBefore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投标相关资料（如有）</w:t>
            </w:r>
          </w:p>
          <w:p w14:paraId="169C065F">
            <w:pPr>
              <w:pStyle w:val="34"/>
              <w:keepNext w:val="0"/>
              <w:keepLines w:val="0"/>
              <w:pageBreakBefore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递交时间</w:t>
            </w:r>
          </w:p>
        </w:tc>
        <w:tc>
          <w:tcPr>
            <w:tcW w:w="7273" w:type="dxa"/>
            <w:noWrap w:val="0"/>
            <w:vAlign w:val="center"/>
          </w:tcPr>
          <w:p w14:paraId="4179BB70">
            <w:pPr>
              <w:pStyle w:val="34"/>
              <w:keepNext w:val="0"/>
              <w:keepLines w:val="0"/>
              <w:pageBreakBefore w:val="0"/>
              <w:tabs>
                <w:tab w:val="left" w:pos="1890"/>
              </w:tabs>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 xml:space="preserve"> </w:t>
            </w:r>
            <w:r>
              <w:rPr>
                <w:rFonts w:hint="eastAsia" w:ascii="宋体" w:hAnsi="宋体" w:cs="宋体"/>
                <w:i w:val="0"/>
                <w:caps w:val="0"/>
                <w:color w:val="auto"/>
                <w:spacing w:val="0"/>
                <w:kern w:val="0"/>
                <w:sz w:val="24"/>
                <w:szCs w:val="24"/>
                <w:highlight w:val="none"/>
                <w:lang w:val="en-US" w:eastAsia="zh-CN" w:bidi="ar-SA"/>
              </w:rPr>
              <w:t xml:space="preserve"> </w:t>
            </w:r>
            <w:r>
              <w:rPr>
                <w:rFonts w:hint="eastAsia" w:ascii="宋体" w:hAnsi="宋体" w:eastAsia="宋体" w:cs="宋体"/>
                <w:i w:val="0"/>
                <w:caps w:val="0"/>
                <w:color w:val="auto"/>
                <w:spacing w:val="0"/>
                <w:sz w:val="24"/>
                <w:szCs w:val="24"/>
                <w:highlight w:val="none"/>
                <w:u w:val="single"/>
                <w:lang w:val="en-US" w:eastAsia="zh-CN"/>
              </w:rPr>
              <w:t>202</w:t>
            </w:r>
            <w:r>
              <w:rPr>
                <w:rFonts w:hint="eastAsia" w:ascii="宋体" w:eastAsia="宋体" w:cs="宋体"/>
                <w:i w:val="0"/>
                <w:caps w:val="0"/>
                <w:color w:val="auto"/>
                <w:spacing w:val="0"/>
                <w:sz w:val="24"/>
                <w:szCs w:val="24"/>
                <w:highlight w:val="none"/>
                <w:u w:val="single"/>
                <w:lang w:val="en-US" w:eastAsia="zh-CN"/>
              </w:rPr>
              <w:t>5</w:t>
            </w:r>
            <w:r>
              <w:rPr>
                <w:rFonts w:hint="eastAsia" w:ascii="宋体" w:hAnsi="宋体" w:eastAsia="宋体" w:cs="宋体"/>
                <w:i w:val="0"/>
                <w:caps w:val="0"/>
                <w:color w:val="auto"/>
                <w:spacing w:val="0"/>
                <w:sz w:val="24"/>
                <w:szCs w:val="24"/>
                <w:highlight w:val="none"/>
              </w:rPr>
              <w:t>年</w:t>
            </w:r>
            <w:r>
              <w:rPr>
                <w:rFonts w:hint="eastAsia" w:ascii="宋体" w:cs="宋体"/>
                <w:i w:val="0"/>
                <w:caps w:val="0"/>
                <w:color w:val="auto"/>
                <w:spacing w:val="0"/>
                <w:sz w:val="24"/>
                <w:szCs w:val="24"/>
                <w:highlight w:val="none"/>
                <w:u w:val="single"/>
                <w:lang w:val="en-US" w:eastAsia="zh-CN"/>
              </w:rPr>
              <w:t>12</w:t>
            </w:r>
            <w:r>
              <w:rPr>
                <w:rFonts w:hint="eastAsia" w:ascii="宋体" w:hAnsi="宋体" w:eastAsia="宋体" w:cs="宋体"/>
                <w:i w:val="0"/>
                <w:caps w:val="0"/>
                <w:color w:val="auto"/>
                <w:spacing w:val="0"/>
                <w:sz w:val="24"/>
                <w:szCs w:val="24"/>
                <w:highlight w:val="none"/>
              </w:rPr>
              <w:t>月</w:t>
            </w:r>
            <w:r>
              <w:rPr>
                <w:rFonts w:hint="eastAsia" w:ascii="宋体" w:cs="宋体"/>
                <w:i w:val="0"/>
                <w:caps w:val="0"/>
                <w:color w:val="auto"/>
                <w:spacing w:val="0"/>
                <w:sz w:val="24"/>
                <w:szCs w:val="24"/>
                <w:highlight w:val="none"/>
                <w:u w:val="single"/>
                <w:lang w:val="en-US" w:eastAsia="zh-CN"/>
              </w:rPr>
              <w:t>16</w:t>
            </w:r>
            <w:r>
              <w:rPr>
                <w:rFonts w:hint="eastAsia" w:ascii="宋体" w:hAnsi="宋体" w:eastAsia="宋体" w:cs="宋体"/>
                <w:i w:val="0"/>
                <w:caps w:val="0"/>
                <w:color w:val="auto"/>
                <w:spacing w:val="0"/>
                <w:sz w:val="24"/>
                <w:szCs w:val="24"/>
                <w:highlight w:val="none"/>
              </w:rPr>
              <w:t>日</w:t>
            </w:r>
            <w:r>
              <w:rPr>
                <w:rFonts w:hint="eastAsia" w:ascii="宋体" w:cs="宋体"/>
                <w:i w:val="0"/>
                <w:caps w:val="0"/>
                <w:color w:val="auto"/>
                <w:spacing w:val="0"/>
                <w:sz w:val="24"/>
                <w:szCs w:val="24"/>
                <w:highlight w:val="none"/>
                <w:u w:val="single"/>
                <w:lang w:val="en-US" w:eastAsia="zh-CN"/>
              </w:rPr>
              <w:t>09</w:t>
            </w:r>
            <w:r>
              <w:rPr>
                <w:rFonts w:hint="eastAsia" w:ascii="宋体" w:hAnsi="宋体" w:eastAsia="宋体" w:cs="宋体"/>
                <w:i w:val="0"/>
                <w:caps w:val="0"/>
                <w:color w:val="auto"/>
                <w:spacing w:val="0"/>
                <w:sz w:val="24"/>
                <w:szCs w:val="24"/>
                <w:highlight w:val="none"/>
              </w:rPr>
              <w:t>时</w:t>
            </w:r>
            <w:r>
              <w:rPr>
                <w:rFonts w:hint="eastAsia" w:ascii="宋体" w:cs="宋体"/>
                <w:i w:val="0"/>
                <w:caps w:val="0"/>
                <w:color w:val="auto"/>
                <w:spacing w:val="0"/>
                <w:sz w:val="24"/>
                <w:szCs w:val="24"/>
                <w:highlight w:val="none"/>
                <w:u w:val="single"/>
                <w:lang w:val="en-US" w:eastAsia="zh-CN"/>
              </w:rPr>
              <w:t>00</w:t>
            </w:r>
            <w:r>
              <w:rPr>
                <w:rFonts w:hint="eastAsia" w:ascii="宋体" w:hAnsi="宋体" w:eastAsia="宋体" w:cs="宋体"/>
                <w:i w:val="0"/>
                <w:caps w:val="0"/>
                <w:color w:val="auto"/>
                <w:spacing w:val="0"/>
                <w:sz w:val="24"/>
                <w:szCs w:val="24"/>
                <w:highlight w:val="none"/>
              </w:rPr>
              <w:t>分</w:t>
            </w:r>
            <w:r>
              <w:rPr>
                <w:rFonts w:hint="eastAsia" w:ascii="宋体" w:hAnsi="宋体" w:eastAsia="宋体" w:cs="宋体"/>
                <w:color w:val="auto"/>
                <w:kern w:val="2"/>
                <w:sz w:val="24"/>
                <w:szCs w:val="24"/>
                <w:highlight w:val="none"/>
                <w:lang w:val="en-US" w:eastAsia="zh-CN" w:bidi="ar-SA"/>
              </w:rPr>
              <w:t>至</w:t>
            </w:r>
            <w:r>
              <w:rPr>
                <w:rFonts w:hint="eastAsia" w:ascii="宋体" w:hAnsi="宋体" w:eastAsia="宋体" w:cs="宋体"/>
                <w:i w:val="0"/>
                <w:caps w:val="0"/>
                <w:color w:val="auto"/>
                <w:spacing w:val="0"/>
                <w:sz w:val="24"/>
                <w:szCs w:val="24"/>
                <w:highlight w:val="none"/>
                <w:u w:val="single"/>
                <w:lang w:val="en-US" w:eastAsia="zh-CN"/>
              </w:rPr>
              <w:t>202</w:t>
            </w:r>
            <w:r>
              <w:rPr>
                <w:rFonts w:hint="eastAsia" w:ascii="宋体" w:eastAsia="宋体" w:cs="宋体"/>
                <w:i w:val="0"/>
                <w:caps w:val="0"/>
                <w:color w:val="auto"/>
                <w:spacing w:val="0"/>
                <w:sz w:val="24"/>
                <w:szCs w:val="24"/>
                <w:highlight w:val="none"/>
                <w:u w:val="single"/>
                <w:lang w:val="en-US" w:eastAsia="zh-CN"/>
              </w:rPr>
              <w:t>5</w:t>
            </w:r>
            <w:r>
              <w:rPr>
                <w:rFonts w:hint="eastAsia" w:ascii="宋体" w:hAnsi="宋体" w:eastAsia="宋体" w:cs="宋体"/>
                <w:i w:val="0"/>
                <w:caps w:val="0"/>
                <w:color w:val="auto"/>
                <w:spacing w:val="0"/>
                <w:sz w:val="24"/>
                <w:szCs w:val="24"/>
                <w:highlight w:val="none"/>
              </w:rPr>
              <w:t>年</w:t>
            </w:r>
            <w:r>
              <w:rPr>
                <w:rFonts w:hint="eastAsia" w:ascii="宋体" w:cs="宋体"/>
                <w:i w:val="0"/>
                <w:caps w:val="0"/>
                <w:color w:val="auto"/>
                <w:spacing w:val="0"/>
                <w:sz w:val="24"/>
                <w:szCs w:val="24"/>
                <w:highlight w:val="none"/>
                <w:u w:val="single"/>
                <w:lang w:val="en-US" w:eastAsia="zh-CN"/>
              </w:rPr>
              <w:t>12</w:t>
            </w:r>
            <w:r>
              <w:rPr>
                <w:rFonts w:hint="eastAsia" w:ascii="宋体" w:hAnsi="宋体" w:eastAsia="宋体" w:cs="宋体"/>
                <w:i w:val="0"/>
                <w:caps w:val="0"/>
                <w:color w:val="auto"/>
                <w:spacing w:val="0"/>
                <w:sz w:val="24"/>
                <w:szCs w:val="24"/>
                <w:highlight w:val="none"/>
              </w:rPr>
              <w:t>月</w:t>
            </w:r>
            <w:r>
              <w:rPr>
                <w:rFonts w:hint="eastAsia" w:ascii="宋体" w:cs="宋体"/>
                <w:i w:val="0"/>
                <w:caps w:val="0"/>
                <w:color w:val="auto"/>
                <w:spacing w:val="0"/>
                <w:sz w:val="24"/>
                <w:szCs w:val="24"/>
                <w:highlight w:val="none"/>
                <w:u w:val="single"/>
                <w:lang w:val="en-US" w:eastAsia="zh-CN"/>
              </w:rPr>
              <w:t>16</w:t>
            </w:r>
            <w:r>
              <w:rPr>
                <w:rFonts w:hint="eastAsia" w:ascii="宋体" w:hAnsi="宋体" w:eastAsia="宋体" w:cs="宋体"/>
                <w:i w:val="0"/>
                <w:caps w:val="0"/>
                <w:color w:val="auto"/>
                <w:spacing w:val="0"/>
                <w:sz w:val="24"/>
                <w:szCs w:val="24"/>
                <w:highlight w:val="none"/>
              </w:rPr>
              <w:t>日</w:t>
            </w:r>
            <w:r>
              <w:rPr>
                <w:rFonts w:hint="eastAsia" w:ascii="宋体" w:cs="宋体"/>
                <w:i w:val="0"/>
                <w:caps w:val="0"/>
                <w:color w:val="auto"/>
                <w:spacing w:val="0"/>
                <w:sz w:val="24"/>
                <w:szCs w:val="24"/>
                <w:highlight w:val="none"/>
                <w:u w:val="single"/>
                <w:lang w:val="en-US" w:eastAsia="zh-CN"/>
              </w:rPr>
              <w:t>09</w:t>
            </w:r>
            <w:r>
              <w:rPr>
                <w:rFonts w:hint="eastAsia" w:ascii="宋体" w:hAnsi="宋体" w:eastAsia="宋体" w:cs="宋体"/>
                <w:i w:val="0"/>
                <w:caps w:val="0"/>
                <w:color w:val="auto"/>
                <w:spacing w:val="0"/>
                <w:sz w:val="24"/>
                <w:szCs w:val="24"/>
                <w:highlight w:val="none"/>
              </w:rPr>
              <w:t>时</w:t>
            </w:r>
            <w:r>
              <w:rPr>
                <w:rFonts w:hint="eastAsia" w:ascii="宋体" w:cs="宋体"/>
                <w:i w:val="0"/>
                <w:caps w:val="0"/>
                <w:color w:val="auto"/>
                <w:spacing w:val="0"/>
                <w:sz w:val="24"/>
                <w:szCs w:val="24"/>
                <w:highlight w:val="none"/>
                <w:u w:val="single"/>
                <w:lang w:val="en-US" w:eastAsia="zh-CN"/>
              </w:rPr>
              <w:t>30</w:t>
            </w:r>
            <w:r>
              <w:rPr>
                <w:rFonts w:hint="eastAsia" w:ascii="宋体" w:hAnsi="宋体" w:eastAsia="宋体" w:cs="宋体"/>
                <w:i w:val="0"/>
                <w:caps w:val="0"/>
                <w:color w:val="auto"/>
                <w:spacing w:val="0"/>
                <w:sz w:val="24"/>
                <w:szCs w:val="24"/>
                <w:highlight w:val="none"/>
              </w:rPr>
              <w:t>分</w:t>
            </w:r>
          </w:p>
        </w:tc>
      </w:tr>
      <w:tr w14:paraId="7882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5" w:hRule="atLeast"/>
          <w:jc w:val="center"/>
        </w:trPr>
        <w:tc>
          <w:tcPr>
            <w:tcW w:w="759" w:type="dxa"/>
            <w:noWrap w:val="0"/>
            <w:vAlign w:val="center"/>
          </w:tcPr>
          <w:p w14:paraId="4754C2F5">
            <w:pPr>
              <w:pStyle w:val="34"/>
              <w:keepNext w:val="0"/>
              <w:keepLines w:val="0"/>
              <w:pageBreakBefore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8</w:t>
            </w:r>
          </w:p>
        </w:tc>
        <w:tc>
          <w:tcPr>
            <w:tcW w:w="1467" w:type="dxa"/>
            <w:noWrap w:val="0"/>
            <w:vAlign w:val="center"/>
          </w:tcPr>
          <w:p w14:paraId="4C352450">
            <w:pPr>
              <w:pStyle w:val="34"/>
              <w:keepNext w:val="0"/>
              <w:keepLines w:val="0"/>
              <w:pageBreakBefore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投标相关资料（如有）</w:t>
            </w:r>
          </w:p>
          <w:p w14:paraId="69598BC5">
            <w:pPr>
              <w:pStyle w:val="34"/>
              <w:keepNext w:val="0"/>
              <w:keepLines w:val="0"/>
              <w:pageBreakBefore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递交地点</w:t>
            </w:r>
          </w:p>
        </w:tc>
        <w:tc>
          <w:tcPr>
            <w:tcW w:w="7273" w:type="dxa"/>
            <w:noWrap w:val="0"/>
            <w:vAlign w:val="center"/>
          </w:tcPr>
          <w:p w14:paraId="55D617A7">
            <w:pPr>
              <w:pStyle w:val="34"/>
              <w:keepNext w:val="0"/>
              <w:keepLines w:val="0"/>
              <w:pageBreakBefore w:val="0"/>
              <w:tabs>
                <w:tab w:val="left" w:pos="1890"/>
              </w:tabs>
              <w:kinsoku/>
              <w:wordWrap w:val="0"/>
              <w:overflowPunct/>
              <w:topLinePunct w:val="0"/>
              <w:autoSpaceDE/>
              <w:autoSpaceDN/>
              <w:bidi w:val="0"/>
              <w:adjustRightInd w:val="0"/>
              <w:snapToGrid w:val="0"/>
              <w:spacing w:line="400" w:lineRule="exact"/>
              <w:ind w:firstLine="240" w:firstLineChars="100"/>
              <w:jc w:val="left"/>
              <w:textAlignment w:val="auto"/>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递交场所：</w:t>
            </w:r>
            <w:r>
              <w:rPr>
                <w:rFonts w:hint="eastAsia" w:ascii="宋体" w:hAnsi="宋体" w:eastAsia="宋体" w:cs="宋体"/>
                <w:color w:val="auto"/>
                <w:kern w:val="2"/>
                <w:sz w:val="24"/>
                <w:szCs w:val="24"/>
                <w:highlight w:val="none"/>
                <w:u w:val="single"/>
                <w:lang w:val="en-US" w:eastAsia="zh-CN" w:bidi="ar-SA"/>
              </w:rPr>
              <w:t>韶关市公共资源交易中心翁源分中心</w:t>
            </w:r>
            <w:r>
              <w:rPr>
                <w:rFonts w:hint="eastAsia" w:ascii="宋体" w:hAnsi="宋体" w:eastAsia="宋体" w:cs="宋体"/>
                <w:color w:val="auto"/>
                <w:kern w:val="2"/>
                <w:sz w:val="24"/>
                <w:szCs w:val="24"/>
                <w:highlight w:val="none"/>
                <w:lang w:val="en-US" w:eastAsia="zh-CN" w:bidi="ar-SA"/>
              </w:rPr>
              <w:t>，地址：</w:t>
            </w:r>
            <w:r>
              <w:rPr>
                <w:rFonts w:hint="eastAsia" w:ascii="宋体" w:hAnsi="宋体" w:eastAsia="宋体" w:cs="宋体"/>
                <w:color w:val="auto"/>
                <w:kern w:val="2"/>
                <w:sz w:val="24"/>
                <w:szCs w:val="24"/>
                <w:highlight w:val="none"/>
                <w:u w:val="single"/>
                <w:lang w:val="en-US" w:eastAsia="zh-CN" w:bidi="ar-SA"/>
              </w:rPr>
              <w:t>翁源县龙仙镇朝阳路63号韶关市公共资源交易中心翁源分中心</w:t>
            </w:r>
            <w:r>
              <w:rPr>
                <w:rFonts w:hint="eastAsia" w:ascii="宋体" w:hAnsi="宋体" w:eastAsia="宋体" w:cs="宋体"/>
                <w:color w:val="auto"/>
                <w:kern w:val="2"/>
                <w:sz w:val="24"/>
                <w:szCs w:val="24"/>
                <w:highlight w:val="none"/>
                <w:lang w:val="en-US" w:eastAsia="zh-CN" w:bidi="ar-SA"/>
              </w:rPr>
              <w:t>，具体房间号以当日现场通知为准。</w:t>
            </w:r>
          </w:p>
        </w:tc>
      </w:tr>
      <w:tr w14:paraId="148EB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1" w:hRule="atLeast"/>
          <w:jc w:val="center"/>
        </w:trPr>
        <w:tc>
          <w:tcPr>
            <w:tcW w:w="759" w:type="dxa"/>
            <w:noWrap w:val="0"/>
            <w:vAlign w:val="center"/>
          </w:tcPr>
          <w:p w14:paraId="4A60E032">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00" w:lineRule="exact"/>
              <w:ind w:left="0" w:leftChars="0" w:right="0" w:right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p>
        </w:tc>
        <w:tc>
          <w:tcPr>
            <w:tcW w:w="1467" w:type="dxa"/>
            <w:noWrap w:val="0"/>
            <w:vAlign w:val="center"/>
          </w:tcPr>
          <w:p w14:paraId="7BD29322">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开标时间</w:t>
            </w:r>
          </w:p>
        </w:tc>
        <w:tc>
          <w:tcPr>
            <w:tcW w:w="7273" w:type="dxa"/>
            <w:noWrap w:val="0"/>
            <w:vAlign w:val="center"/>
          </w:tcPr>
          <w:p w14:paraId="01314E87">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00" w:lineRule="exact"/>
              <w:ind w:left="0" w:leftChars="0"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 </w:t>
            </w:r>
            <w:r>
              <w:rPr>
                <w:rFonts w:hint="eastAsia" w:ascii="宋体" w:hAnsi="宋体" w:eastAsia="宋体" w:cs="宋体"/>
                <w:i w:val="0"/>
                <w:caps w:val="0"/>
                <w:color w:val="auto"/>
                <w:spacing w:val="0"/>
                <w:sz w:val="24"/>
                <w:szCs w:val="24"/>
                <w:highlight w:val="none"/>
                <w:u w:val="single"/>
                <w:lang w:val="en-US" w:eastAsia="zh-CN"/>
              </w:rPr>
              <w:t>202</w:t>
            </w:r>
            <w:r>
              <w:rPr>
                <w:rFonts w:hint="eastAsia" w:ascii="宋体" w:eastAsia="宋体" w:cs="宋体"/>
                <w:i w:val="0"/>
                <w:caps w:val="0"/>
                <w:color w:val="auto"/>
                <w:spacing w:val="0"/>
                <w:sz w:val="24"/>
                <w:szCs w:val="24"/>
                <w:highlight w:val="none"/>
                <w:u w:val="single"/>
                <w:lang w:val="en-US" w:eastAsia="zh-CN"/>
              </w:rPr>
              <w:t>5</w:t>
            </w:r>
            <w:r>
              <w:rPr>
                <w:rFonts w:hint="eastAsia" w:ascii="宋体" w:hAnsi="宋体" w:eastAsia="宋体" w:cs="宋体"/>
                <w:i w:val="0"/>
                <w:caps w:val="0"/>
                <w:color w:val="auto"/>
                <w:spacing w:val="0"/>
                <w:sz w:val="24"/>
                <w:szCs w:val="24"/>
                <w:highlight w:val="none"/>
              </w:rPr>
              <w:t>年</w:t>
            </w:r>
            <w:r>
              <w:rPr>
                <w:rFonts w:hint="eastAsia" w:ascii="宋体" w:cs="宋体"/>
                <w:i w:val="0"/>
                <w:caps w:val="0"/>
                <w:color w:val="auto"/>
                <w:spacing w:val="0"/>
                <w:sz w:val="24"/>
                <w:szCs w:val="24"/>
                <w:highlight w:val="none"/>
                <w:u w:val="single"/>
                <w:lang w:val="en-US" w:eastAsia="zh-CN"/>
              </w:rPr>
              <w:t>12</w:t>
            </w:r>
            <w:r>
              <w:rPr>
                <w:rFonts w:hint="eastAsia" w:ascii="宋体" w:hAnsi="宋体" w:eastAsia="宋体" w:cs="宋体"/>
                <w:i w:val="0"/>
                <w:caps w:val="0"/>
                <w:color w:val="auto"/>
                <w:spacing w:val="0"/>
                <w:sz w:val="24"/>
                <w:szCs w:val="24"/>
                <w:highlight w:val="none"/>
              </w:rPr>
              <w:t>月</w:t>
            </w:r>
            <w:r>
              <w:rPr>
                <w:rFonts w:hint="eastAsia" w:ascii="宋体" w:cs="宋体"/>
                <w:i w:val="0"/>
                <w:caps w:val="0"/>
                <w:color w:val="auto"/>
                <w:spacing w:val="0"/>
                <w:sz w:val="24"/>
                <w:szCs w:val="24"/>
                <w:highlight w:val="none"/>
                <w:u w:val="single"/>
                <w:lang w:val="en-US" w:eastAsia="zh-CN"/>
              </w:rPr>
              <w:t>16</w:t>
            </w:r>
            <w:r>
              <w:rPr>
                <w:rFonts w:hint="eastAsia" w:ascii="宋体" w:hAnsi="宋体" w:eastAsia="宋体" w:cs="宋体"/>
                <w:i w:val="0"/>
                <w:caps w:val="0"/>
                <w:color w:val="auto"/>
                <w:spacing w:val="0"/>
                <w:sz w:val="24"/>
                <w:szCs w:val="24"/>
                <w:highlight w:val="none"/>
              </w:rPr>
              <w:t>日</w:t>
            </w:r>
            <w:r>
              <w:rPr>
                <w:rFonts w:hint="eastAsia" w:ascii="宋体" w:cs="宋体"/>
                <w:i w:val="0"/>
                <w:caps w:val="0"/>
                <w:color w:val="auto"/>
                <w:spacing w:val="0"/>
                <w:sz w:val="24"/>
                <w:szCs w:val="24"/>
                <w:highlight w:val="none"/>
                <w:u w:val="single"/>
                <w:lang w:val="en-US" w:eastAsia="zh-CN"/>
              </w:rPr>
              <w:t>09</w:t>
            </w:r>
            <w:r>
              <w:rPr>
                <w:rFonts w:hint="eastAsia" w:ascii="宋体" w:hAnsi="宋体" w:eastAsia="宋体" w:cs="宋体"/>
                <w:i w:val="0"/>
                <w:caps w:val="0"/>
                <w:color w:val="auto"/>
                <w:spacing w:val="0"/>
                <w:sz w:val="24"/>
                <w:szCs w:val="24"/>
                <w:highlight w:val="none"/>
              </w:rPr>
              <w:t>时</w:t>
            </w:r>
            <w:r>
              <w:rPr>
                <w:rFonts w:hint="eastAsia" w:ascii="宋体" w:cs="宋体"/>
                <w:i w:val="0"/>
                <w:caps w:val="0"/>
                <w:color w:val="auto"/>
                <w:spacing w:val="0"/>
                <w:sz w:val="24"/>
                <w:szCs w:val="24"/>
                <w:highlight w:val="none"/>
                <w:u w:val="single"/>
                <w:lang w:val="en-US" w:eastAsia="zh-CN"/>
              </w:rPr>
              <w:t>30</w:t>
            </w:r>
            <w:r>
              <w:rPr>
                <w:rFonts w:hint="eastAsia" w:ascii="宋体" w:hAnsi="宋体" w:eastAsia="宋体" w:cs="宋体"/>
                <w:i w:val="0"/>
                <w:caps w:val="0"/>
                <w:color w:val="auto"/>
                <w:spacing w:val="0"/>
                <w:sz w:val="24"/>
                <w:szCs w:val="24"/>
                <w:highlight w:val="none"/>
              </w:rPr>
              <w:t>分</w:t>
            </w:r>
          </w:p>
        </w:tc>
      </w:tr>
      <w:tr w14:paraId="188DE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4" w:hRule="atLeast"/>
          <w:jc w:val="center"/>
        </w:trPr>
        <w:tc>
          <w:tcPr>
            <w:tcW w:w="759" w:type="dxa"/>
            <w:noWrap w:val="0"/>
            <w:vAlign w:val="center"/>
          </w:tcPr>
          <w:p w14:paraId="34EDC350">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00" w:lineRule="exact"/>
              <w:ind w:left="0" w:leftChars="0" w:right="0" w:right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1467" w:type="dxa"/>
            <w:noWrap w:val="0"/>
            <w:vAlign w:val="center"/>
          </w:tcPr>
          <w:p w14:paraId="42D5F050">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rPr>
              <w:t>开标地点</w:t>
            </w:r>
          </w:p>
        </w:tc>
        <w:tc>
          <w:tcPr>
            <w:tcW w:w="7273" w:type="dxa"/>
            <w:noWrap w:val="0"/>
            <w:vAlign w:val="center"/>
          </w:tcPr>
          <w:p w14:paraId="372A8978">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00" w:lineRule="exact"/>
              <w:ind w:left="0" w:leftChars="0" w:right="0" w:rightChars="0" w:firstLine="21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开标场所：</w:t>
            </w:r>
            <w:r>
              <w:rPr>
                <w:rFonts w:hint="eastAsia" w:ascii="宋体" w:hAnsi="宋体" w:eastAsia="宋体" w:cs="宋体"/>
                <w:color w:val="auto"/>
                <w:kern w:val="2"/>
                <w:sz w:val="24"/>
                <w:szCs w:val="24"/>
                <w:highlight w:val="none"/>
                <w:u w:val="single"/>
                <w:lang w:val="en-US" w:eastAsia="zh-CN" w:bidi="ar-SA"/>
              </w:rPr>
              <w:t>韶关市公共资源交易中心翁源分中心</w:t>
            </w:r>
            <w:r>
              <w:rPr>
                <w:rFonts w:hint="eastAsia" w:ascii="宋体" w:hAnsi="宋体" w:eastAsia="宋体" w:cs="宋体"/>
                <w:color w:val="auto"/>
                <w:kern w:val="2"/>
                <w:sz w:val="24"/>
                <w:szCs w:val="24"/>
                <w:highlight w:val="none"/>
                <w:lang w:val="en-US" w:eastAsia="zh-CN" w:bidi="ar-SA"/>
              </w:rPr>
              <w:t>，地址：</w:t>
            </w:r>
            <w:r>
              <w:rPr>
                <w:rFonts w:hint="eastAsia" w:ascii="宋体" w:hAnsi="宋体" w:eastAsia="宋体" w:cs="宋体"/>
                <w:color w:val="auto"/>
                <w:kern w:val="2"/>
                <w:sz w:val="24"/>
                <w:szCs w:val="24"/>
                <w:highlight w:val="none"/>
                <w:u w:val="single"/>
                <w:lang w:val="en-US" w:eastAsia="zh-CN" w:bidi="ar-SA"/>
              </w:rPr>
              <w:t>翁源县龙仙镇朝阳路63号韶关市公共资源交易中心翁源分中心</w:t>
            </w:r>
            <w:r>
              <w:rPr>
                <w:rFonts w:hint="eastAsia" w:ascii="宋体" w:hAnsi="宋体" w:eastAsia="宋体" w:cs="宋体"/>
                <w:color w:val="auto"/>
                <w:kern w:val="2"/>
                <w:sz w:val="24"/>
                <w:szCs w:val="24"/>
                <w:highlight w:val="none"/>
                <w:lang w:val="en-US" w:eastAsia="zh-CN" w:bidi="ar-SA"/>
              </w:rPr>
              <w:t>，具体房间号以当日现场通知为准。</w:t>
            </w:r>
          </w:p>
        </w:tc>
      </w:tr>
      <w:tr w14:paraId="361B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6" w:hRule="atLeast"/>
          <w:jc w:val="center"/>
        </w:trPr>
        <w:tc>
          <w:tcPr>
            <w:tcW w:w="759" w:type="dxa"/>
            <w:noWrap w:val="0"/>
            <w:vAlign w:val="center"/>
          </w:tcPr>
          <w:p w14:paraId="0FBE42A4">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i w:val="0"/>
                <w:caps w:val="0"/>
                <w:color w:val="auto"/>
                <w:spacing w:val="0"/>
                <w:sz w:val="24"/>
                <w:szCs w:val="24"/>
                <w:highlight w:val="none"/>
                <w:lang w:val="en-US"/>
              </w:rPr>
            </w:pPr>
            <w:r>
              <w:rPr>
                <w:rFonts w:hint="eastAsia" w:ascii="宋体" w:hAnsi="宋体" w:eastAsia="宋体" w:cs="宋体"/>
                <w:color w:val="auto"/>
                <w:kern w:val="2"/>
                <w:sz w:val="24"/>
                <w:szCs w:val="24"/>
                <w:highlight w:val="none"/>
                <w:lang w:val="en-US" w:eastAsia="zh-CN" w:bidi="ar-SA"/>
              </w:rPr>
              <w:t>11</w:t>
            </w:r>
          </w:p>
        </w:tc>
        <w:tc>
          <w:tcPr>
            <w:tcW w:w="1467" w:type="dxa"/>
            <w:noWrap w:val="0"/>
            <w:vAlign w:val="center"/>
          </w:tcPr>
          <w:p w14:paraId="0BB70026">
            <w:pPr>
              <w:pStyle w:val="34"/>
              <w:keepNext w:val="0"/>
              <w:keepLines w:val="0"/>
              <w:pageBreakBefore w:val="0"/>
              <w:tabs>
                <w:tab w:val="left" w:pos="1890"/>
              </w:tabs>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其他</w:t>
            </w:r>
          </w:p>
        </w:tc>
        <w:tc>
          <w:tcPr>
            <w:tcW w:w="7273" w:type="dxa"/>
            <w:noWrap w:val="0"/>
            <w:vAlign w:val="center"/>
          </w:tcPr>
          <w:p w14:paraId="2DE48C68">
            <w:pPr>
              <w:pStyle w:val="34"/>
              <w:keepNext w:val="0"/>
              <w:keepLines w:val="0"/>
              <w:pageBreakBefore w:val="0"/>
              <w:tabs>
                <w:tab w:val="left" w:pos="1890"/>
              </w:tabs>
              <w:kinsoku/>
              <w:wordWrap w:val="0"/>
              <w:overflowPunct/>
              <w:topLinePunct w:val="0"/>
              <w:autoSpaceDE/>
              <w:autoSpaceDN/>
              <w:bidi w:val="0"/>
              <w:adjustRightInd w:val="0"/>
              <w:snapToGrid w:val="0"/>
              <w:spacing w:line="400" w:lineRule="exact"/>
              <w:ind w:firstLine="240" w:firstLineChars="100"/>
              <w:jc w:val="left"/>
              <w:textAlignment w:val="auto"/>
              <w:rPr>
                <w:rFonts w:hint="eastAsia" w:ascii="宋体" w:hAnsi="宋体" w:eastAsia="宋体" w:cs="宋体"/>
                <w:i w:val="0"/>
                <w:caps w:val="0"/>
                <w:color w:val="auto"/>
                <w:spacing w:val="0"/>
                <w:kern w:val="0"/>
                <w:sz w:val="24"/>
                <w:szCs w:val="24"/>
                <w:highlight w:val="none"/>
                <w:lang w:val="en-US" w:eastAsia="zh-CN" w:bidi="ar-SA"/>
              </w:rPr>
            </w:pPr>
            <w:r>
              <w:rPr>
                <w:rFonts w:hint="eastAsia" w:ascii="宋体" w:hAnsi="宋体" w:eastAsia="宋体" w:cs="宋体"/>
                <w:i w:val="0"/>
                <w:caps w:val="0"/>
                <w:color w:val="auto"/>
                <w:spacing w:val="0"/>
                <w:kern w:val="0"/>
                <w:sz w:val="24"/>
                <w:szCs w:val="24"/>
                <w:highlight w:val="none"/>
                <w:lang w:val="en-US" w:eastAsia="zh-CN" w:bidi="ar-SA"/>
              </w:rPr>
              <w:t>投标人应按有关计划时间安排办理企业CA认证、企业入库等，投标人自行下载招标文件、资料文件及招标答疑书等。若由于投标人自身原因未能及时取得上述资料的，由此发生的任何责任由投标人自负。</w:t>
            </w:r>
          </w:p>
        </w:tc>
      </w:tr>
    </w:tbl>
    <w:p w14:paraId="21DEC522">
      <w:pPr>
        <w:pStyle w:val="58"/>
        <w:keepNext w:val="0"/>
        <w:keepLines w:val="0"/>
        <w:pageBreakBefore w:val="0"/>
        <w:tabs>
          <w:tab w:val="left" w:pos="1890"/>
        </w:tabs>
        <w:kinsoku/>
        <w:overflowPunct/>
        <w:topLinePunct w:val="0"/>
        <w:autoSpaceDE/>
        <w:autoSpaceDN/>
        <w:bidi w:val="0"/>
        <w:spacing w:line="420" w:lineRule="exact"/>
        <w:jc w:val="both"/>
        <w:textAlignment w:val="auto"/>
        <w:rPr>
          <w:rFonts w:hint="eastAsia" w:ascii="宋体" w:hAnsi="宋体" w:eastAsia="宋体" w:cs="宋体"/>
          <w:color w:val="auto"/>
          <w:highlight w:val="none"/>
          <w:lang w:val="en-US" w:eastAsia="zh-CN"/>
        </w:rPr>
      </w:pPr>
    </w:p>
    <w:p w14:paraId="74CDBE33">
      <w:pPr>
        <w:rPr>
          <w:rFonts w:hint="eastAsia" w:ascii="宋体" w:hAnsi="宋体" w:eastAsia="宋体" w:cs="宋体"/>
          <w:color w:val="auto"/>
          <w:highlight w:val="none"/>
        </w:rPr>
      </w:pPr>
    </w:p>
    <w:p w14:paraId="416315F8">
      <w:pPr>
        <w:rPr>
          <w:rFonts w:hint="eastAsia" w:ascii="宋体" w:hAnsi="宋体" w:eastAsia="宋体" w:cs="宋体"/>
          <w:color w:val="auto"/>
          <w:highlight w:val="none"/>
        </w:rPr>
      </w:pPr>
    </w:p>
    <w:p w14:paraId="63DF92F1">
      <w:pPr>
        <w:rPr>
          <w:rFonts w:hint="eastAsia" w:ascii="宋体" w:hAnsi="宋体" w:eastAsia="宋体" w:cs="宋体"/>
          <w:color w:val="auto"/>
          <w:highlight w:val="none"/>
        </w:rPr>
      </w:pPr>
    </w:p>
    <w:p w14:paraId="47A4297E">
      <w:pPr>
        <w:rPr>
          <w:rFonts w:hint="eastAsia" w:ascii="宋体" w:hAnsi="宋体" w:eastAsia="宋体" w:cs="宋体"/>
          <w:color w:val="auto"/>
          <w:highlight w:val="none"/>
        </w:rPr>
      </w:pPr>
    </w:p>
    <w:p w14:paraId="3321582F">
      <w:pPr>
        <w:spacing w:before="156" w:line="360" w:lineRule="auto"/>
        <w:ind w:left="17"/>
        <w:outlineLvl w:val="1"/>
        <w:rPr>
          <w:rFonts w:hint="eastAsia" w:ascii="宋体" w:hAnsi="宋体" w:eastAsia="宋体" w:cs="宋体"/>
          <w:b/>
          <w:bCs/>
          <w:color w:val="auto"/>
          <w:spacing w:val="-3"/>
          <w:sz w:val="24"/>
          <w:szCs w:val="24"/>
          <w:highlight w:val="none"/>
        </w:rPr>
        <w:sectPr>
          <w:footerReference r:id="rId4" w:type="default"/>
          <w:pgSz w:w="11906" w:h="16839"/>
          <w:pgMar w:top="1134" w:right="1134" w:bottom="1134" w:left="1134" w:header="850" w:footer="850" w:gutter="0"/>
          <w:pgBorders>
            <w:top w:val="none" w:sz="0" w:space="0"/>
            <w:left w:val="none" w:sz="0" w:space="0"/>
            <w:bottom w:val="none" w:sz="0" w:space="0"/>
            <w:right w:val="none" w:sz="0" w:space="0"/>
          </w:pgBorders>
          <w:pgNumType w:fmt="decimal" w:start="1"/>
          <w:cols w:space="0" w:num="1"/>
          <w:rtlGutter w:val="0"/>
          <w:docGrid w:linePitch="0" w:charSpace="0"/>
        </w:sectPr>
      </w:pPr>
      <w:bookmarkStart w:id="9" w:name="_Toc29292"/>
      <w:bookmarkStart w:id="10" w:name="_Toc14665"/>
    </w:p>
    <w:p w14:paraId="338537E3">
      <w:pPr>
        <w:spacing w:before="156" w:line="360" w:lineRule="auto"/>
        <w:ind w:left="17"/>
        <w:outlineLvl w:val="1"/>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t>第三节</w:t>
      </w:r>
      <w:r>
        <w:rPr>
          <w:rFonts w:hint="eastAsia" w:ascii="宋体" w:hAnsi="宋体" w:eastAsia="宋体" w:cs="宋体"/>
          <w:b/>
          <w:bCs/>
          <w:color w:val="auto"/>
          <w:spacing w:val="-3"/>
          <w:sz w:val="24"/>
          <w:szCs w:val="24"/>
          <w:highlight w:val="none"/>
          <w:lang w:val="en-US" w:eastAsia="zh-CN"/>
        </w:rPr>
        <w:t xml:space="preserve">   </w:t>
      </w:r>
      <w:r>
        <w:rPr>
          <w:rFonts w:hint="eastAsia" w:ascii="宋体" w:hAnsi="宋体" w:eastAsia="宋体" w:cs="宋体"/>
          <w:b/>
          <w:bCs/>
          <w:color w:val="auto"/>
          <w:spacing w:val="-3"/>
          <w:sz w:val="24"/>
          <w:szCs w:val="24"/>
          <w:highlight w:val="none"/>
        </w:rPr>
        <w:t>投标人须知正文</w:t>
      </w:r>
      <w:bookmarkEnd w:id="9"/>
      <w:bookmarkEnd w:id="10"/>
    </w:p>
    <w:p w14:paraId="68DD036B">
      <w:pPr>
        <w:keepNext w:val="0"/>
        <w:keepLines w:val="0"/>
        <w:pageBreakBefore w:val="0"/>
        <w:widowControl/>
        <w:suppressLineNumbers w:val="0"/>
        <w:kinsoku/>
        <w:wordWrap w:val="0"/>
        <w:overflowPunct/>
        <w:topLinePunct w:val="0"/>
        <w:autoSpaceDE/>
        <w:autoSpaceDN/>
        <w:bidi w:val="0"/>
        <w:adjustRightInd/>
        <w:snapToGrid/>
        <w:spacing w:line="450" w:lineRule="exact"/>
        <w:ind w:firstLine="480" w:firstLineChars="200"/>
        <w:jc w:val="left"/>
        <w:textAlignment w:val="auto"/>
        <w:rPr>
          <w:rFonts w:hint="eastAsia" w:ascii="宋体" w:hAnsi="宋体" w:eastAsia="宋体" w:cs="宋体"/>
          <w:b/>
          <w:snapToGrid w:val="0"/>
          <w:color w:val="auto"/>
          <w:sz w:val="24"/>
          <w:szCs w:val="24"/>
          <w:highlight w:val="none"/>
          <w:u w:val="none"/>
        </w:rPr>
      </w:pPr>
      <w:bookmarkStart w:id="11" w:name="_Toc24668"/>
      <w:r>
        <w:rPr>
          <w:rFonts w:hint="eastAsia" w:ascii="宋体" w:hAnsi="宋体" w:eastAsia="宋体" w:cs="宋体"/>
          <w:color w:val="auto"/>
          <w:sz w:val="24"/>
          <w:szCs w:val="24"/>
          <w:highlight w:val="none"/>
          <w:u w:val="single"/>
          <w:lang w:eastAsia="zh-CN"/>
        </w:rPr>
        <w:t>翁源县“百千万工程”之全域推进农村人居环境整治建设项目</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经</w:t>
      </w:r>
      <w:r>
        <w:rPr>
          <w:rFonts w:hint="eastAsia" w:ascii="宋体" w:hAnsi="宋体" w:eastAsia="宋体" w:cs="宋体"/>
          <w:b w:val="0"/>
          <w:bCs w:val="0"/>
          <w:color w:val="auto"/>
          <w:kern w:val="0"/>
          <w:sz w:val="24"/>
          <w:szCs w:val="22"/>
          <w:highlight w:val="none"/>
          <w:u w:val="single"/>
          <w:lang w:val="en-US" w:eastAsia="zh-CN"/>
        </w:rPr>
        <w:t>翁</w:t>
      </w:r>
      <w:r>
        <w:rPr>
          <w:rFonts w:hint="eastAsia" w:ascii="宋体" w:hAnsi="宋体" w:eastAsia="宋体" w:cs="宋体"/>
          <w:b w:val="0"/>
          <w:bCs w:val="0"/>
          <w:color w:val="auto"/>
          <w:kern w:val="0"/>
          <w:sz w:val="24"/>
          <w:szCs w:val="22"/>
          <w:highlight w:val="none"/>
          <w:u w:val="single"/>
          <w:lang w:eastAsia="zh-CN"/>
        </w:rPr>
        <w:t>源县发展和改革局</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以</w:t>
      </w:r>
      <w:r>
        <w:rPr>
          <w:rFonts w:hint="eastAsia" w:ascii="宋体" w:hAnsi="宋体" w:eastAsia="宋体" w:cs="宋体"/>
          <w:color w:val="auto"/>
          <w:kern w:val="0"/>
          <w:sz w:val="24"/>
          <w:szCs w:val="22"/>
          <w:highlight w:val="none"/>
          <w:u w:val="single"/>
          <w:lang w:eastAsia="zh-CN"/>
        </w:rPr>
        <w:t>《</w:t>
      </w:r>
      <w:r>
        <w:rPr>
          <w:rFonts w:hint="eastAsia" w:ascii="宋体" w:hAnsi="宋体" w:eastAsia="宋体" w:cs="宋体"/>
          <w:color w:val="auto"/>
          <w:kern w:val="0"/>
          <w:sz w:val="24"/>
          <w:szCs w:val="22"/>
          <w:highlight w:val="none"/>
          <w:u w:val="single"/>
        </w:rPr>
        <w:t>关于翁源县“百千万工程”之全域推进农村人居环境整治建设项目可行性研究报告的批复</w:t>
      </w:r>
      <w:r>
        <w:rPr>
          <w:rFonts w:hint="eastAsia" w:ascii="宋体" w:hAnsi="宋体" w:eastAsia="宋体" w:cs="宋体"/>
          <w:color w:val="auto"/>
          <w:kern w:val="0"/>
          <w:sz w:val="24"/>
          <w:szCs w:val="22"/>
          <w:highlight w:val="none"/>
          <w:u w:val="single"/>
          <w:lang w:eastAsia="zh-CN"/>
        </w:rPr>
        <w:t>》</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（翁发改投审〔2025〕25号）文批准建设，</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项目代码为</w:t>
      </w:r>
      <w:r>
        <w:rPr>
          <w:rFonts w:hint="eastAsia" w:ascii="宋体" w:hAnsi="宋体" w:eastAsia="宋体" w:cs="宋体"/>
          <w:color w:val="auto"/>
          <w:kern w:val="0"/>
          <w:sz w:val="24"/>
          <w:szCs w:val="22"/>
          <w:highlight w:val="none"/>
          <w:u w:val="single"/>
          <w:lang w:val="en-US" w:eastAsia="zh-CN"/>
        </w:rPr>
        <w:t>2412-440229-04-01-525170</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。批准建设本项目业主为</w:t>
      </w:r>
      <w:r>
        <w:rPr>
          <w:rFonts w:hint="eastAsia" w:ascii="宋体" w:hAnsi="宋体" w:eastAsia="宋体" w:cs="宋体"/>
          <w:color w:val="auto"/>
          <w:kern w:val="0"/>
          <w:sz w:val="24"/>
          <w:szCs w:val="22"/>
          <w:highlight w:val="none"/>
          <w:u w:val="single"/>
          <w:lang w:val="en-US" w:eastAsia="zh-CN"/>
        </w:rPr>
        <w:t>翁源县农业农村局</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，建设资金来自为</w:t>
      </w:r>
      <w:r>
        <w:rPr>
          <w:rFonts w:hint="eastAsia" w:ascii="宋体" w:hAnsi="宋体" w:eastAsia="宋体" w:cs="宋体"/>
          <w:color w:val="auto"/>
          <w:kern w:val="0"/>
          <w:sz w:val="24"/>
          <w:szCs w:val="22"/>
          <w:highlight w:val="none"/>
          <w:u w:val="single"/>
          <w:lang w:val="en-US" w:eastAsia="zh-CN"/>
        </w:rPr>
        <w:t>争取地方政府专项债券资金及上级专项资金解决，不足部分由县级财政统筹解决</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，出资比例为</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100%</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，招标人为</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翁源县官渡镇人民政府</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，招标代理机构为</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深圳市祺骏建设工程顾问有限公司</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。项目已具备招标条件，现对该项目的</w:t>
      </w:r>
      <w:r>
        <w:rPr>
          <w:rFonts w:hint="eastAsia" w:ascii="宋体" w:hAnsi="宋体" w:eastAsia="宋体" w:cs="宋体"/>
          <w:b w:val="0"/>
          <w:bCs w:val="0"/>
          <w:caps w:val="0"/>
          <w:smallCaps w:val="0"/>
          <w:snapToGrid w:val="0"/>
          <w:color w:val="auto"/>
          <w:spacing w:val="0"/>
          <w:kern w:val="0"/>
          <w:sz w:val="24"/>
          <w:szCs w:val="24"/>
          <w:highlight w:val="none"/>
          <w:u w:val="single"/>
          <w:lang w:val="en-US" w:eastAsia="zh-CN"/>
        </w:rPr>
        <w:t xml:space="preserve"> </w:t>
      </w:r>
      <w:r>
        <w:rPr>
          <w:rFonts w:hint="eastAsia" w:ascii="宋体" w:hAnsi="宋体" w:eastAsia="宋体" w:cs="宋体"/>
          <w:b/>
          <w:bCs/>
          <w:caps w:val="0"/>
          <w:smallCaps w:val="0"/>
          <w:snapToGrid w:val="0"/>
          <w:color w:val="auto"/>
          <w:spacing w:val="0"/>
          <w:kern w:val="0"/>
          <w:sz w:val="24"/>
          <w:szCs w:val="24"/>
          <w:highlight w:val="none"/>
          <w:u w:val="single"/>
          <w:lang w:val="en-US" w:eastAsia="zh-CN"/>
        </w:rPr>
        <w:t xml:space="preserve">施工 </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进行公开招标。</w:t>
      </w:r>
    </w:p>
    <w:p w14:paraId="32A4ABE6">
      <w:pPr>
        <w:keepNext w:val="0"/>
        <w:keepLines w:val="0"/>
        <w:pageBreakBefore w:val="0"/>
        <w:overflowPunct/>
        <w:topLinePunct w:val="0"/>
        <w:bidi w:val="0"/>
        <w:spacing w:before="78" w:line="450" w:lineRule="exact"/>
        <w:ind w:left="496"/>
        <w:outlineLvl w:val="2"/>
        <w:rPr>
          <w:rFonts w:hint="eastAsia" w:ascii="宋体" w:hAnsi="宋体" w:eastAsia="宋体" w:cs="宋体"/>
          <w:color w:val="auto"/>
          <w:sz w:val="24"/>
          <w:szCs w:val="24"/>
          <w:highlight w:val="none"/>
        </w:rPr>
      </w:pPr>
      <w:bookmarkStart w:id="12" w:name="_Toc14244"/>
      <w:r>
        <w:rPr>
          <w:rFonts w:hint="eastAsia" w:ascii="宋体" w:hAnsi="宋体" w:eastAsia="宋体" w:cs="宋体"/>
          <w:b/>
          <w:bCs/>
          <w:color w:val="auto"/>
          <w:spacing w:val="-4"/>
          <w:sz w:val="24"/>
          <w:szCs w:val="24"/>
          <w:highlight w:val="none"/>
        </w:rPr>
        <w:t>1</w:t>
      </w:r>
      <w:r>
        <w:rPr>
          <w:rFonts w:hint="eastAsia" w:ascii="宋体" w:hAnsi="宋体" w:eastAsia="宋体" w:cs="宋体"/>
          <w:b/>
          <w:bCs/>
          <w:color w:val="auto"/>
          <w:spacing w:val="-23"/>
          <w:sz w:val="24"/>
          <w:szCs w:val="24"/>
          <w:highlight w:val="none"/>
          <w:lang w:eastAsia="zh-CN"/>
        </w:rPr>
        <w:t>.</w:t>
      </w:r>
      <w:r>
        <w:rPr>
          <w:rFonts w:hint="eastAsia" w:ascii="宋体" w:hAnsi="宋体" w:eastAsia="宋体" w:cs="宋体"/>
          <w:b/>
          <w:bCs/>
          <w:color w:val="auto"/>
          <w:spacing w:val="-4"/>
          <w:sz w:val="24"/>
          <w:szCs w:val="24"/>
          <w:highlight w:val="none"/>
        </w:rPr>
        <w:t>项目概况、招标范围和标段划分、投标费用等</w:t>
      </w:r>
      <w:bookmarkEnd w:id="11"/>
      <w:bookmarkEnd w:id="12"/>
    </w:p>
    <w:p w14:paraId="09654381">
      <w:pPr>
        <w:keepNext w:val="0"/>
        <w:keepLines w:val="0"/>
        <w:pageBreakBefore w:val="0"/>
        <w:numPr>
          <w:ilvl w:val="1"/>
          <w:numId w:val="0"/>
        </w:numPr>
        <w:overflowPunct/>
        <w:topLinePunct w:val="0"/>
        <w:bidi w:val="0"/>
        <w:spacing w:before="151" w:line="450" w:lineRule="exact"/>
        <w:ind w:left="496" w:leftChars="0" w:firstLine="0" w:firstLineChars="0"/>
        <w:rPr>
          <w:rFonts w:hint="eastAsia" w:ascii="宋体" w:hAnsi="宋体" w:eastAsia="宋体" w:cs="宋体"/>
          <w:color w:val="auto"/>
          <w:spacing w:val="-5"/>
          <w:sz w:val="24"/>
          <w:szCs w:val="24"/>
          <w:highlight w:val="none"/>
        </w:rPr>
      </w:pPr>
      <w:r>
        <w:rPr>
          <w:rFonts w:hint="eastAsia" w:ascii="宋体" w:hAnsi="宋体" w:eastAsia="宋体" w:cs="宋体"/>
          <w:b/>
          <w:bCs/>
          <w:snapToGrid w:val="0"/>
          <w:color w:val="auto"/>
          <w:spacing w:val="-5"/>
          <w:sz w:val="24"/>
          <w:szCs w:val="24"/>
          <w:highlight w:val="none"/>
          <w:lang w:val="en-US" w:eastAsia="en-US" w:bidi="ar-SA"/>
        </w:rPr>
        <w:t>1.1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b/>
          <w:bCs/>
          <w:color w:val="auto"/>
          <w:spacing w:val="9"/>
          <w:sz w:val="24"/>
          <w:szCs w:val="24"/>
          <w:highlight w:val="none"/>
          <w:lang w:val="en-US" w:eastAsia="zh-CN"/>
        </w:rPr>
        <w:t xml:space="preserve"> </w:t>
      </w:r>
      <w:r>
        <w:rPr>
          <w:rFonts w:hint="eastAsia" w:ascii="宋体" w:hAnsi="宋体" w:eastAsia="宋体" w:cs="宋体"/>
          <w:color w:val="auto"/>
          <w:spacing w:val="-5"/>
          <w:sz w:val="24"/>
          <w:szCs w:val="24"/>
          <w:highlight w:val="none"/>
        </w:rPr>
        <w:t>项目概况</w:t>
      </w:r>
    </w:p>
    <w:p w14:paraId="0BA582A2">
      <w:pPr>
        <w:keepNext w:val="0"/>
        <w:keepLines w:val="0"/>
        <w:pageBreakBefore w:val="0"/>
        <w:numPr>
          <w:ilvl w:val="0"/>
          <w:numId w:val="0"/>
        </w:numPr>
        <w:overflowPunct/>
        <w:topLinePunct w:val="0"/>
        <w:bidi w:val="0"/>
        <w:spacing w:before="151" w:line="450" w:lineRule="exact"/>
        <w:ind w:left="496" w:leftChars="0"/>
        <w:rPr>
          <w:rFonts w:hint="eastAsia" w:ascii="宋体" w:hAnsi="宋体" w:eastAsia="宋体" w:cs="宋体"/>
          <w:color w:val="auto"/>
          <w:sz w:val="24"/>
          <w:szCs w:val="24"/>
          <w:highlight w:val="none"/>
          <w:u w:val="none"/>
          <w:lang w:val="en-US" w:eastAsia="zh-CN"/>
        </w:rPr>
      </w:pPr>
      <w:r>
        <w:rPr>
          <w:rFonts w:hint="eastAsia" w:ascii="宋体" w:hAnsi="宋体" w:eastAsia="宋体" w:cs="宋体"/>
          <w:b/>
          <w:bCs/>
          <w:color w:val="auto"/>
          <w:spacing w:val="-2"/>
          <w:sz w:val="24"/>
          <w:szCs w:val="24"/>
          <w:highlight w:val="none"/>
        </w:rPr>
        <w:t xml:space="preserve">1.1.1  </w:t>
      </w:r>
      <w:r>
        <w:rPr>
          <w:rFonts w:hint="eastAsia" w:ascii="宋体" w:hAnsi="宋体" w:eastAsia="宋体" w:cs="宋体"/>
          <w:color w:val="auto"/>
          <w:spacing w:val="-2"/>
          <w:sz w:val="24"/>
          <w:szCs w:val="24"/>
          <w:highlight w:val="none"/>
        </w:rPr>
        <w:t>建设地点：</w:t>
      </w:r>
      <w:r>
        <w:rPr>
          <w:rFonts w:hint="eastAsia" w:ascii="宋体" w:hAnsi="宋体" w:eastAsia="宋体" w:cs="宋体"/>
          <w:color w:val="auto"/>
          <w:spacing w:val="-2"/>
          <w:sz w:val="24"/>
          <w:szCs w:val="24"/>
          <w:highlight w:val="none"/>
          <w:u w:val="single"/>
          <w:lang w:eastAsia="zh-CN"/>
        </w:rPr>
        <w:t>韶关市翁源县官渡镇五四村</w:t>
      </w:r>
      <w:r>
        <w:rPr>
          <w:rFonts w:hint="eastAsia" w:ascii="宋体" w:hAnsi="宋体" w:eastAsia="宋体" w:cs="宋体"/>
          <w:color w:val="auto"/>
          <w:sz w:val="24"/>
          <w:szCs w:val="24"/>
          <w:highlight w:val="none"/>
          <w:u w:val="none"/>
          <w:lang w:val="en-US" w:eastAsia="zh-CN"/>
        </w:rPr>
        <w:t>。</w:t>
      </w:r>
    </w:p>
    <w:p w14:paraId="098CE2CC">
      <w:pPr>
        <w:pStyle w:val="58"/>
        <w:keepNext w:val="0"/>
        <w:keepLines w:val="0"/>
        <w:pageBreakBefore w:val="0"/>
        <w:tabs>
          <w:tab w:val="left" w:pos="7020"/>
        </w:tabs>
        <w:overflowPunct/>
        <w:topLinePunct w:val="0"/>
        <w:bidi w:val="0"/>
        <w:spacing w:line="450" w:lineRule="exact"/>
        <w:ind w:firstLine="524" w:firstLineChars="221"/>
        <w:jc w:val="left"/>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1.1.2  </w:t>
      </w:r>
      <w:r>
        <w:rPr>
          <w:rFonts w:hint="eastAsia" w:ascii="宋体" w:hAnsi="宋体" w:eastAsia="宋体" w:cs="宋体"/>
          <w:color w:val="auto"/>
          <w:spacing w:val="-2"/>
          <w:sz w:val="24"/>
          <w:szCs w:val="24"/>
          <w:highlight w:val="none"/>
        </w:rPr>
        <w:t>建设内容和规模：</w:t>
      </w:r>
      <w:r>
        <w:rPr>
          <w:rFonts w:hint="eastAsia" w:ascii="宋体" w:hAnsi="宋体" w:eastAsia="宋体" w:cs="宋体"/>
          <w:color w:val="auto"/>
          <w:spacing w:val="-2"/>
          <w:sz w:val="24"/>
          <w:szCs w:val="24"/>
          <w:highlight w:val="none"/>
          <w:u w:val="single"/>
          <w:lang w:eastAsia="zh-CN"/>
        </w:rPr>
        <w:t>建设内容主要包含人居环境整治提升、农房风貌管控、农村污水治理、道路升级改造、村标建设及周边环境提升、生态停车场建设、村民健身广场建设、四小园建设、“三线”整治等基础设施工程及其他配套设施工程。</w:t>
      </w:r>
    </w:p>
    <w:p w14:paraId="0BACF15A">
      <w:pPr>
        <w:keepNext w:val="0"/>
        <w:keepLines w:val="0"/>
        <w:pageBreakBefore w:val="0"/>
        <w:widowControl/>
        <w:suppressLineNumbers w:val="0"/>
        <w:overflowPunct/>
        <w:topLinePunct w:val="0"/>
        <w:bidi w:val="0"/>
        <w:spacing w:line="450" w:lineRule="exact"/>
        <w:ind w:firstLine="474"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pacing w:val="-2"/>
          <w:sz w:val="24"/>
          <w:szCs w:val="24"/>
          <w:highlight w:val="none"/>
        </w:rPr>
        <w:t xml:space="preserve">1.1.3  </w:t>
      </w:r>
      <w:r>
        <w:rPr>
          <w:rFonts w:hint="eastAsia" w:ascii="宋体" w:hAnsi="宋体" w:eastAsia="宋体" w:cs="宋体"/>
          <w:color w:val="auto"/>
          <w:sz w:val="24"/>
          <w:szCs w:val="24"/>
          <w:highlight w:val="none"/>
        </w:rPr>
        <w:t>项目总投资</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kern w:val="0"/>
          <w:sz w:val="24"/>
          <w:szCs w:val="24"/>
          <w:highlight w:val="none"/>
          <w:u w:val="single"/>
          <w:lang w:val="en-US" w:eastAsia="zh-CN" w:bidi="ar-SA"/>
        </w:rPr>
        <w:t>本项目估算总投资约500.00万元</w:t>
      </w:r>
      <w:r>
        <w:rPr>
          <w:rFonts w:hint="eastAsia" w:ascii="宋体" w:hAnsi="宋体" w:eastAsia="宋体" w:cs="宋体"/>
          <w:color w:val="auto"/>
          <w:highlight w:val="none"/>
          <w:lang w:val="en-US" w:eastAsia="zh-CN"/>
        </w:rPr>
        <w:t>。</w:t>
      </w:r>
    </w:p>
    <w:p w14:paraId="35784C91">
      <w:pPr>
        <w:keepNext w:val="0"/>
        <w:keepLines w:val="0"/>
        <w:pageBreakBefore w:val="0"/>
        <w:wordWrap w:val="0"/>
        <w:overflowPunct/>
        <w:topLinePunct w:val="0"/>
        <w:bidi w:val="0"/>
        <w:adjustRightInd w:val="0"/>
        <w:snapToGrid w:val="0"/>
        <w:spacing w:line="45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1.2  </w:t>
      </w:r>
      <w:r>
        <w:rPr>
          <w:rFonts w:hint="eastAsia" w:ascii="宋体" w:hAnsi="宋体" w:eastAsia="宋体" w:cs="宋体"/>
          <w:color w:val="auto"/>
          <w:sz w:val="24"/>
          <w:szCs w:val="24"/>
          <w:highlight w:val="none"/>
        </w:rPr>
        <w:t>招标范围和标段划分</w:t>
      </w:r>
    </w:p>
    <w:p w14:paraId="251A7770">
      <w:pPr>
        <w:keepNext w:val="0"/>
        <w:keepLines w:val="0"/>
        <w:pageBreakBefore w:val="0"/>
        <w:wordWrap w:val="0"/>
        <w:overflowPunct/>
        <w:topLinePunct w:val="0"/>
        <w:bidi w:val="0"/>
        <w:adjustRightInd w:val="0"/>
        <w:snapToGrid w:val="0"/>
        <w:spacing w:line="450" w:lineRule="exact"/>
        <w:ind w:firstLine="482" w:firstLineChars="200"/>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rPr>
        <w:t xml:space="preserve">1.2.1 </w:t>
      </w:r>
      <w:r>
        <w:rPr>
          <w:rFonts w:hint="eastAsia" w:ascii="宋体" w:hAnsi="宋体" w:eastAsia="宋体" w:cs="宋体"/>
          <w:color w:val="auto"/>
          <w:sz w:val="24"/>
          <w:szCs w:val="24"/>
          <w:highlight w:val="none"/>
        </w:rPr>
        <w:t xml:space="preserve"> 招标范围：按审查合格的施工图纸及工程量清单内容施工</w:t>
      </w:r>
      <w:r>
        <w:rPr>
          <w:rFonts w:hint="eastAsia" w:ascii="宋体" w:hAnsi="宋体" w:eastAsia="宋体" w:cs="宋体"/>
          <w:color w:val="auto"/>
          <w:sz w:val="24"/>
          <w:szCs w:val="24"/>
          <w:highlight w:val="none"/>
          <w:lang w:eastAsia="zh-CN"/>
        </w:rPr>
        <w:t>。</w:t>
      </w:r>
    </w:p>
    <w:p w14:paraId="157BC63C">
      <w:pPr>
        <w:keepNext w:val="0"/>
        <w:keepLines w:val="0"/>
        <w:pageBreakBefore w:val="0"/>
        <w:wordWrap w:val="0"/>
        <w:overflowPunct/>
        <w:topLinePunct w:val="0"/>
        <w:bidi w:val="0"/>
        <w:adjustRightInd w:val="0"/>
        <w:snapToGrid w:val="0"/>
        <w:spacing w:line="450" w:lineRule="exact"/>
        <w:ind w:firstLine="482" w:firstLineChars="200"/>
        <w:rPr>
          <w:rFonts w:hint="eastAsia" w:ascii="宋体" w:hAnsi="宋体" w:eastAsia="宋体" w:cs="宋体"/>
          <w:color w:val="auto"/>
          <w:sz w:val="24"/>
          <w:szCs w:val="24"/>
          <w:highlight w:val="none"/>
        </w:rPr>
      </w:pPr>
      <w:bookmarkStart w:id="13" w:name="_Toc28202"/>
      <w:bookmarkStart w:id="14" w:name="_Toc14190"/>
      <w:bookmarkStart w:id="15" w:name="_Toc20855"/>
      <w:bookmarkStart w:id="16" w:name="_Toc30251"/>
      <w:r>
        <w:rPr>
          <w:rFonts w:hint="eastAsia" w:ascii="宋体" w:hAnsi="宋体" w:eastAsia="宋体" w:cs="宋体"/>
          <w:b/>
          <w:bCs/>
          <w:color w:val="auto"/>
          <w:sz w:val="24"/>
          <w:szCs w:val="24"/>
          <w:highlight w:val="none"/>
        </w:rPr>
        <w:t xml:space="preserve">1.2.2  </w:t>
      </w:r>
      <w:r>
        <w:rPr>
          <w:rFonts w:hint="eastAsia" w:ascii="宋体" w:hAnsi="宋体" w:eastAsia="宋体" w:cs="宋体"/>
          <w:color w:val="auto"/>
          <w:sz w:val="24"/>
          <w:szCs w:val="24"/>
          <w:highlight w:val="none"/>
        </w:rPr>
        <w:t>标段划分：本招标项目不划分标段。</w:t>
      </w:r>
      <w:bookmarkEnd w:id="13"/>
      <w:bookmarkEnd w:id="14"/>
      <w:bookmarkEnd w:id="15"/>
      <w:bookmarkEnd w:id="16"/>
    </w:p>
    <w:p w14:paraId="48895659">
      <w:pPr>
        <w:keepNext w:val="0"/>
        <w:keepLines w:val="0"/>
        <w:pageBreakBefore w:val="0"/>
        <w:wordWrap w:val="0"/>
        <w:overflowPunct/>
        <w:topLinePunct w:val="0"/>
        <w:bidi w:val="0"/>
        <w:adjustRightInd w:val="0"/>
        <w:snapToGrid w:val="0"/>
        <w:spacing w:line="45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1.3</w:t>
      </w:r>
      <w:r>
        <w:rPr>
          <w:rFonts w:hint="eastAsia" w:ascii="宋体" w:hAnsi="宋体" w:eastAsia="宋体" w:cs="宋体"/>
          <w:color w:val="auto"/>
          <w:sz w:val="24"/>
          <w:szCs w:val="24"/>
          <w:highlight w:val="none"/>
        </w:rPr>
        <w:t xml:space="preserve">  投标费用：投标人应承担所有准备和参加投标的相关费用，不论投标结果如何，招标人均无义务和责任承担这些费用。</w:t>
      </w:r>
    </w:p>
    <w:p w14:paraId="012D706B">
      <w:pPr>
        <w:keepNext w:val="0"/>
        <w:keepLines w:val="0"/>
        <w:pageBreakBefore w:val="0"/>
        <w:overflowPunct/>
        <w:topLinePunct w:val="0"/>
        <w:bidi w:val="0"/>
        <w:spacing w:before="22" w:line="450" w:lineRule="exact"/>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 xml:space="preserve">1.4  </w:t>
      </w:r>
      <w:r>
        <w:rPr>
          <w:rFonts w:hint="eastAsia" w:ascii="宋体" w:hAnsi="宋体" w:eastAsia="宋体" w:cs="宋体"/>
          <w:color w:val="auto"/>
          <w:spacing w:val="-6"/>
          <w:sz w:val="24"/>
          <w:szCs w:val="24"/>
          <w:highlight w:val="none"/>
        </w:rPr>
        <w:t>招标代理费用：</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82"/>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w:t>
      </w:r>
      <w:r>
        <w:rPr>
          <w:rFonts w:hint="eastAsia" w:ascii="宋体" w:hAnsi="宋体" w:eastAsia="宋体" w:cs="宋体"/>
          <w:color w:val="auto"/>
          <w:spacing w:val="6"/>
          <w:sz w:val="24"/>
          <w:szCs w:val="24"/>
          <w:highlight w:val="none"/>
        </w:rPr>
        <w:t>项目业主</w:t>
      </w:r>
      <w:r>
        <w:rPr>
          <w:rFonts w:hint="eastAsia" w:ascii="宋体" w:hAnsi="宋体" w:eastAsia="宋体" w:cs="宋体"/>
          <w:color w:val="auto"/>
          <w:spacing w:val="-6"/>
          <w:sz w:val="24"/>
          <w:szCs w:val="24"/>
          <w:highlight w:val="none"/>
          <w:shd w:val="clear" w:color="auto" w:fill="FFFFFF"/>
        </w:rPr>
        <w:t>支</w:t>
      </w:r>
      <w:r>
        <w:rPr>
          <w:rFonts w:hint="eastAsia" w:ascii="宋体" w:hAnsi="宋体" w:eastAsia="宋体" w:cs="宋体"/>
          <w:color w:val="auto"/>
          <w:spacing w:val="-6"/>
          <w:sz w:val="24"/>
          <w:szCs w:val="24"/>
          <w:highlight w:val="none"/>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由中标人支付。</w:t>
      </w:r>
    </w:p>
    <w:p w14:paraId="20DD37B1">
      <w:pPr>
        <w:keepNext w:val="0"/>
        <w:keepLines w:val="0"/>
        <w:pageBreakBefore w:val="0"/>
        <w:wordWrap w:val="0"/>
        <w:overflowPunct/>
        <w:topLinePunct w:val="0"/>
        <w:bidi w:val="0"/>
        <w:adjustRightInd w:val="0"/>
        <w:snapToGrid w:val="0"/>
        <w:spacing w:line="450" w:lineRule="exact"/>
        <w:ind w:firstLine="482" w:firstLineChars="200"/>
        <w:jc w:val="left"/>
        <w:outlineLvl w:val="9"/>
        <w:rPr>
          <w:rFonts w:hint="eastAsia" w:ascii="宋体" w:hAnsi="宋体" w:eastAsia="宋体" w:cs="宋体"/>
          <w:b/>
          <w:bCs/>
          <w:color w:val="auto"/>
          <w:sz w:val="24"/>
          <w:szCs w:val="24"/>
          <w:highlight w:val="none"/>
        </w:rPr>
      </w:pPr>
    </w:p>
    <w:p w14:paraId="6AE1E42A">
      <w:pPr>
        <w:keepNext w:val="0"/>
        <w:keepLines w:val="0"/>
        <w:pageBreakBefore w:val="0"/>
        <w:wordWrap w:val="0"/>
        <w:overflowPunct/>
        <w:topLinePunct w:val="0"/>
        <w:bidi w:val="0"/>
        <w:adjustRightInd w:val="0"/>
        <w:snapToGrid w:val="0"/>
        <w:spacing w:line="450" w:lineRule="exact"/>
        <w:ind w:firstLine="482" w:firstLineChars="200"/>
        <w:jc w:val="left"/>
        <w:outlineLvl w:val="2"/>
        <w:rPr>
          <w:rFonts w:hint="eastAsia" w:ascii="宋体" w:hAnsi="宋体" w:eastAsia="宋体" w:cs="宋体"/>
          <w:b/>
          <w:bCs/>
          <w:color w:val="auto"/>
          <w:sz w:val="24"/>
          <w:szCs w:val="24"/>
          <w:highlight w:val="none"/>
        </w:rPr>
      </w:pPr>
      <w:bookmarkStart w:id="17" w:name="_Toc11082"/>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资质要求</w:t>
      </w:r>
      <w:bookmarkEnd w:id="17"/>
    </w:p>
    <w:p w14:paraId="4C190D36">
      <w:pPr>
        <w:pStyle w:val="57"/>
        <w:keepNext w:val="0"/>
        <w:keepLines w:val="0"/>
        <w:pageBreakBefore w:val="0"/>
        <w:kinsoku/>
        <w:overflowPunct/>
        <w:topLinePunct w:val="0"/>
        <w:autoSpaceDE/>
        <w:autoSpaceDN/>
        <w:bidi w:val="0"/>
        <w:snapToGrid w:val="0"/>
        <w:spacing w:line="450" w:lineRule="exact"/>
        <w:ind w:firstLine="482" w:firstLineChars="200"/>
        <w:jc w:val="left"/>
        <w:rPr>
          <w:rStyle w:val="48"/>
          <w:rFonts w:hint="eastAsia" w:ascii="宋体" w:hAnsi="宋体" w:eastAsia="宋体" w:cs="宋体"/>
          <w:color w:val="auto"/>
          <w:kern w:val="0"/>
          <w:sz w:val="24"/>
          <w:szCs w:val="24"/>
          <w:highlight w:val="none"/>
          <w:lang w:eastAsia="zh-CN"/>
        </w:rPr>
      </w:pPr>
      <w:r>
        <w:rPr>
          <w:rStyle w:val="48"/>
          <w:rFonts w:hint="eastAsia" w:ascii="宋体" w:hAnsi="宋体" w:eastAsia="宋体" w:cs="宋体"/>
          <w:b/>
          <w:bCs/>
          <w:color w:val="auto"/>
          <w:kern w:val="0"/>
          <w:sz w:val="24"/>
          <w:szCs w:val="24"/>
          <w:highlight w:val="none"/>
          <w:lang w:val="en-US" w:eastAsia="zh-CN"/>
        </w:rPr>
        <w:t>2.</w:t>
      </w:r>
      <w:r>
        <w:rPr>
          <w:rStyle w:val="48"/>
          <w:rFonts w:hint="eastAsia" w:ascii="宋体" w:hAnsi="宋体" w:eastAsia="宋体" w:cs="宋体"/>
          <w:b/>
          <w:bCs/>
          <w:color w:val="auto"/>
          <w:kern w:val="0"/>
          <w:sz w:val="24"/>
          <w:szCs w:val="24"/>
          <w:highlight w:val="none"/>
        </w:rPr>
        <w:t>1</w:t>
      </w:r>
      <w:r>
        <w:rPr>
          <w:rStyle w:val="48"/>
          <w:rFonts w:hint="eastAsia" w:ascii="宋体" w:hAnsi="宋体" w:eastAsia="宋体" w:cs="宋体"/>
          <w:color w:val="auto"/>
          <w:kern w:val="0"/>
          <w:sz w:val="24"/>
          <w:szCs w:val="24"/>
          <w:highlight w:val="none"/>
          <w:lang w:eastAsia="zh-CN"/>
        </w:rPr>
        <w:t>本次招标</w:t>
      </w:r>
      <w:r>
        <w:rPr>
          <w:rStyle w:val="48"/>
          <w:rFonts w:hint="eastAsia" w:ascii="宋体" w:hAnsi="宋体" w:eastAsia="宋体" w:cs="宋体"/>
          <w:b/>
          <w:bCs/>
          <w:color w:val="auto"/>
          <w:kern w:val="0"/>
          <w:sz w:val="24"/>
          <w:szCs w:val="24"/>
          <w:highlight w:val="none"/>
          <w:u w:val="single"/>
          <w:lang w:eastAsia="zh-CN"/>
        </w:rPr>
        <w:t>不接受</w:t>
      </w:r>
      <w:r>
        <w:rPr>
          <w:rStyle w:val="48"/>
          <w:rFonts w:hint="eastAsia" w:ascii="宋体" w:hAnsi="宋体" w:eastAsia="宋体" w:cs="宋体"/>
          <w:color w:val="auto"/>
          <w:kern w:val="0"/>
          <w:sz w:val="24"/>
          <w:szCs w:val="24"/>
          <w:highlight w:val="none"/>
          <w:lang w:eastAsia="zh-CN"/>
        </w:rPr>
        <w:t>联合体投标。</w:t>
      </w:r>
    </w:p>
    <w:p w14:paraId="2AF69C13">
      <w:pPr>
        <w:pStyle w:val="57"/>
        <w:keepNext w:val="0"/>
        <w:keepLines w:val="0"/>
        <w:pageBreakBefore w:val="0"/>
        <w:kinsoku/>
        <w:overflowPunct/>
        <w:topLinePunct w:val="0"/>
        <w:autoSpaceDE/>
        <w:autoSpaceDN/>
        <w:bidi w:val="0"/>
        <w:snapToGrid w:val="0"/>
        <w:spacing w:line="450" w:lineRule="exact"/>
        <w:ind w:firstLine="482" w:firstLineChars="200"/>
        <w:jc w:val="left"/>
        <w:rPr>
          <w:rStyle w:val="48"/>
          <w:rFonts w:hint="eastAsia" w:ascii="宋体" w:hAnsi="宋体" w:eastAsia="宋体" w:cs="宋体"/>
          <w:b/>
          <w:bCs/>
          <w:color w:val="auto"/>
          <w:kern w:val="0"/>
          <w:sz w:val="24"/>
          <w:szCs w:val="24"/>
          <w:highlight w:val="none"/>
          <w:lang w:val="en-US" w:eastAsia="zh-CN"/>
        </w:rPr>
      </w:pPr>
      <w:r>
        <w:rPr>
          <w:rStyle w:val="48"/>
          <w:rFonts w:hint="eastAsia" w:ascii="宋体" w:hAnsi="宋体" w:eastAsia="宋体" w:cs="宋体"/>
          <w:b/>
          <w:bCs/>
          <w:color w:val="auto"/>
          <w:kern w:val="0"/>
          <w:sz w:val="24"/>
          <w:szCs w:val="24"/>
          <w:highlight w:val="none"/>
          <w:lang w:val="en-US" w:eastAsia="zh-CN"/>
        </w:rPr>
        <w:t>2.2资格资质要求</w:t>
      </w:r>
    </w:p>
    <w:p w14:paraId="188F2B2A">
      <w:pPr>
        <w:pStyle w:val="7"/>
        <w:keepNext w:val="0"/>
        <w:keepLines w:val="0"/>
        <w:pageBreakBefore w:val="0"/>
        <w:overflowPunct/>
        <w:topLinePunct w:val="0"/>
        <w:bidi w:val="0"/>
        <w:spacing w:line="45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2.1</w:t>
      </w:r>
      <w:r>
        <w:rPr>
          <w:rFonts w:hint="eastAsia" w:ascii="宋体" w:hAnsi="宋体" w:eastAsia="宋体" w:cs="宋体"/>
          <w:color w:val="auto"/>
          <w:sz w:val="24"/>
          <w:szCs w:val="24"/>
          <w:highlight w:val="none"/>
        </w:rPr>
        <w:t xml:space="preserve"> 投标人须具备独立法人资格，按国家法律经营。</w:t>
      </w:r>
    </w:p>
    <w:p w14:paraId="386C2D4F">
      <w:pPr>
        <w:pStyle w:val="7"/>
        <w:keepNext w:val="0"/>
        <w:keepLines w:val="0"/>
        <w:pageBreakBefore w:val="0"/>
        <w:overflowPunct/>
        <w:topLinePunct w:val="0"/>
        <w:bidi w:val="0"/>
        <w:spacing w:line="45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2.2</w:t>
      </w:r>
      <w:r>
        <w:rPr>
          <w:rFonts w:hint="eastAsia" w:ascii="宋体" w:hAnsi="宋体" w:eastAsia="宋体" w:cs="宋体"/>
          <w:color w:val="auto"/>
          <w:sz w:val="24"/>
          <w:szCs w:val="24"/>
          <w:highlight w:val="none"/>
        </w:rPr>
        <w:t xml:space="preserve"> 投标人须持有建设行政主管部门颁发的企业资质证书及安全生产许可证。</w:t>
      </w:r>
    </w:p>
    <w:p w14:paraId="40F7C771">
      <w:pPr>
        <w:pStyle w:val="7"/>
        <w:keepNext w:val="0"/>
        <w:keepLines w:val="0"/>
        <w:pageBreakBefore w:val="0"/>
        <w:overflowPunct/>
        <w:topLinePunct w:val="0"/>
        <w:bidi w:val="0"/>
        <w:spacing w:line="450" w:lineRule="exact"/>
        <w:ind w:firstLine="482"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2.3</w:t>
      </w:r>
      <w:r>
        <w:rPr>
          <w:rFonts w:hint="eastAsia" w:ascii="宋体" w:hAnsi="宋体" w:eastAsia="宋体" w:cs="宋体"/>
          <w:color w:val="auto"/>
          <w:sz w:val="24"/>
          <w:szCs w:val="24"/>
          <w:highlight w:val="none"/>
        </w:rPr>
        <w:t xml:space="preserve"> 投标人须具备以下资质：</w:t>
      </w:r>
      <w:r>
        <w:rPr>
          <w:rFonts w:hint="eastAsia" w:ascii="宋体" w:hAnsi="宋体" w:eastAsia="宋体" w:cs="宋体"/>
          <w:b/>
          <w:bCs/>
          <w:color w:val="auto"/>
          <w:sz w:val="24"/>
          <w:szCs w:val="24"/>
          <w:highlight w:val="none"/>
          <w:u w:val="single"/>
          <w:lang w:eastAsia="zh-CN"/>
        </w:rPr>
        <w:t>市政公用工程施工总承包三级（或以上）资质</w:t>
      </w:r>
      <w:r>
        <w:rPr>
          <w:rFonts w:hint="eastAsia" w:ascii="宋体" w:hAnsi="宋体" w:eastAsia="宋体" w:cs="宋体"/>
          <w:b/>
          <w:bCs/>
          <w:color w:val="auto"/>
          <w:sz w:val="24"/>
          <w:szCs w:val="24"/>
          <w:highlight w:val="none"/>
          <w:u w:val="single"/>
          <w:lang w:val="en-US" w:eastAsia="zh-CN"/>
        </w:rPr>
        <w:t>。</w:t>
      </w:r>
    </w:p>
    <w:p w14:paraId="2DF3BDDF">
      <w:pPr>
        <w:pStyle w:val="34"/>
        <w:keepNext w:val="0"/>
        <w:keepLines w:val="0"/>
        <w:pageBreakBefore w:val="0"/>
        <w:kinsoku/>
        <w:wordWrap w:val="0"/>
        <w:overflowPunct/>
        <w:topLinePunct w:val="0"/>
        <w:bidi w:val="0"/>
        <w:adjustRightInd w:val="0"/>
        <w:snapToGrid w:val="0"/>
        <w:spacing w:line="400" w:lineRule="atLeast"/>
        <w:ind w:firstLine="480"/>
        <w:jc w:val="left"/>
        <w:outlineLvl w:val="9"/>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2.2.4</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lang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4C5B8ED5">
      <w:pPr>
        <w:keepNext w:val="0"/>
        <w:keepLines w:val="0"/>
        <w:pageBreakBefore w:val="0"/>
        <w:overflowPunct/>
        <w:topLinePunct w:val="0"/>
        <w:bidi w:val="0"/>
        <w:spacing w:before="78" w:line="450" w:lineRule="exact"/>
        <w:ind w:left="489"/>
        <w:rPr>
          <w:rFonts w:hint="eastAsia" w:ascii="宋体" w:hAnsi="宋体" w:eastAsia="宋体" w:cs="宋体"/>
          <w:b/>
          <w:bCs/>
          <w:color w:val="auto"/>
          <w:spacing w:val="-1"/>
          <w:sz w:val="24"/>
          <w:szCs w:val="24"/>
          <w:highlight w:val="none"/>
        </w:rPr>
      </w:pPr>
      <w:r>
        <w:rPr>
          <w:rFonts w:hint="eastAsia" w:ascii="宋体" w:hAnsi="宋体" w:eastAsia="宋体" w:cs="宋体"/>
          <w:b/>
          <w:bCs/>
          <w:color w:val="auto"/>
          <w:spacing w:val="-1"/>
          <w:sz w:val="24"/>
          <w:szCs w:val="24"/>
          <w:highlight w:val="none"/>
          <w:lang w:val="en-US" w:eastAsia="zh-CN"/>
        </w:rPr>
        <w:t>2.</w:t>
      </w:r>
      <w:r>
        <w:rPr>
          <w:rFonts w:hint="eastAsia" w:ascii="宋体" w:hAnsi="宋体" w:eastAsia="宋体" w:cs="宋体"/>
          <w:b/>
          <w:bCs/>
          <w:color w:val="auto"/>
          <w:spacing w:val="-1"/>
          <w:sz w:val="24"/>
          <w:szCs w:val="24"/>
          <w:highlight w:val="none"/>
        </w:rPr>
        <w:t>3</w:t>
      </w:r>
      <w:r>
        <w:rPr>
          <w:rFonts w:hint="eastAsia" w:ascii="宋体" w:hAnsi="宋体" w:eastAsia="宋体" w:cs="宋体"/>
          <w:b/>
          <w:bCs/>
          <w:color w:val="auto"/>
          <w:spacing w:val="-1"/>
          <w:sz w:val="24"/>
          <w:szCs w:val="24"/>
          <w:highlight w:val="none"/>
          <w:lang w:val="en-US" w:eastAsia="zh-CN"/>
        </w:rPr>
        <w:t xml:space="preserve"> </w:t>
      </w:r>
      <w:r>
        <w:rPr>
          <w:rFonts w:hint="eastAsia" w:ascii="宋体" w:hAnsi="宋体" w:eastAsia="宋体" w:cs="宋体"/>
          <w:b/>
          <w:bCs/>
          <w:color w:val="auto"/>
          <w:spacing w:val="-1"/>
          <w:sz w:val="24"/>
          <w:szCs w:val="24"/>
          <w:highlight w:val="none"/>
        </w:rPr>
        <w:t>相关人员要求</w:t>
      </w:r>
    </w:p>
    <w:p w14:paraId="443A8716">
      <w:pPr>
        <w:keepNext w:val="0"/>
        <w:keepLines w:val="0"/>
        <w:pageBreakBefore w:val="0"/>
        <w:widowControl/>
        <w:overflowPunct/>
        <w:topLinePunct w:val="0"/>
        <w:bidi w:val="0"/>
        <w:spacing w:line="450" w:lineRule="exact"/>
        <w:ind w:firstLine="482" w:firstLineChars="200"/>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3.1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kern w:val="0"/>
          <w:sz w:val="24"/>
          <w:szCs w:val="24"/>
          <w:highlight w:val="none"/>
          <w:lang w:bidi="ar"/>
        </w:rPr>
        <w:t>拟派项目经理为</w:t>
      </w:r>
      <w:r>
        <w:rPr>
          <w:rFonts w:hint="eastAsia" w:ascii="宋体" w:hAnsi="宋体" w:eastAsia="宋体" w:cs="宋体"/>
          <w:b/>
          <w:bCs/>
          <w:color w:val="auto"/>
          <w:kern w:val="0"/>
          <w:sz w:val="24"/>
          <w:szCs w:val="24"/>
          <w:highlight w:val="none"/>
          <w:u w:val="single"/>
          <w:lang w:bidi="ar"/>
        </w:rPr>
        <w:t>市政公用工程</w:t>
      </w:r>
      <w:r>
        <w:rPr>
          <w:rFonts w:hint="eastAsia" w:ascii="宋体" w:hAnsi="宋体" w:eastAsia="宋体" w:cs="宋体"/>
          <w:color w:val="auto"/>
          <w:kern w:val="0"/>
          <w:sz w:val="24"/>
          <w:szCs w:val="24"/>
          <w:highlight w:val="none"/>
          <w:lang w:bidi="ar"/>
        </w:rPr>
        <w:t>专业</w:t>
      </w:r>
      <w:r>
        <w:rPr>
          <w:rFonts w:hint="eastAsia" w:ascii="宋体" w:hAnsi="宋体" w:eastAsia="宋体" w:cs="宋体"/>
          <w:b/>
          <w:bCs/>
          <w:color w:val="auto"/>
          <w:kern w:val="0"/>
          <w:sz w:val="24"/>
          <w:szCs w:val="24"/>
          <w:highlight w:val="none"/>
          <w:u w:val="single"/>
          <w:lang w:bidi="ar"/>
        </w:rPr>
        <w:t>一级或二级</w:t>
      </w:r>
      <w:r>
        <w:rPr>
          <w:rFonts w:hint="eastAsia" w:ascii="宋体" w:hAnsi="宋体" w:eastAsia="宋体" w:cs="宋体"/>
          <w:color w:val="auto"/>
          <w:kern w:val="0"/>
          <w:sz w:val="24"/>
          <w:szCs w:val="24"/>
          <w:highlight w:val="none"/>
          <w:lang w:bidi="ar"/>
        </w:rPr>
        <w:t>注册建造师，应持有住建部门印发的在使用有效期内的有效电子注册证书（根据广东省住房和城乡建设厅（粤建市函〔2023〕469号）文件精神，二级注册建造师可随注册企业在全国范围内执业）。同时均须具备有效安全生产考核合格证明（B证），且未担任其他在施（包括已中标未开工、已开工未竣工）建设工程项目的项目经理。</w:t>
      </w:r>
    </w:p>
    <w:p w14:paraId="7BBF662F">
      <w:pPr>
        <w:keepNext w:val="0"/>
        <w:keepLines w:val="0"/>
        <w:pageBreakBefore w:val="0"/>
        <w:widowControl/>
        <w:overflowPunct/>
        <w:topLinePunct w:val="0"/>
        <w:bidi w:val="0"/>
        <w:spacing w:line="450" w:lineRule="exact"/>
        <w:ind w:firstLine="482"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b/>
          <w:bCs/>
          <w:color w:val="auto"/>
          <w:kern w:val="0"/>
          <w:sz w:val="24"/>
          <w:szCs w:val="24"/>
          <w:highlight w:val="none"/>
          <w:lang w:val="en-US" w:eastAsia="zh-CN" w:bidi="ar"/>
        </w:rPr>
        <w:t>2.</w:t>
      </w:r>
      <w:r>
        <w:rPr>
          <w:rFonts w:hint="eastAsia" w:ascii="宋体" w:hAnsi="宋体" w:eastAsia="宋体" w:cs="宋体"/>
          <w:b/>
          <w:bCs/>
          <w:color w:val="auto"/>
          <w:kern w:val="0"/>
          <w:sz w:val="24"/>
          <w:szCs w:val="24"/>
          <w:highlight w:val="none"/>
          <w:lang w:bidi="ar"/>
        </w:rPr>
        <w:t>3.2</w:t>
      </w:r>
      <w:r>
        <w:rPr>
          <w:rFonts w:hint="eastAsia" w:ascii="宋体" w:hAnsi="宋体" w:eastAsia="宋体" w:cs="宋体"/>
          <w:color w:val="auto"/>
          <w:kern w:val="0"/>
          <w:sz w:val="24"/>
          <w:szCs w:val="24"/>
          <w:highlight w:val="none"/>
          <w:lang w:val="en-US" w:eastAsia="zh-CN" w:bidi="ar"/>
        </w:rPr>
        <w:t xml:space="preserve"> </w:t>
      </w:r>
      <w:r>
        <w:rPr>
          <w:rFonts w:hint="eastAsia" w:ascii="宋体" w:hAnsi="宋体" w:eastAsia="宋体" w:cs="宋体"/>
          <w:color w:val="auto"/>
          <w:kern w:val="0"/>
          <w:sz w:val="24"/>
          <w:szCs w:val="24"/>
          <w:highlight w:val="none"/>
          <w:lang w:bidi="ar"/>
        </w:rPr>
        <w:t>拟派项目技术负责人须具备</w:t>
      </w:r>
      <w:r>
        <w:rPr>
          <w:rFonts w:hint="eastAsia" w:ascii="宋体" w:hAnsi="宋体" w:eastAsia="宋体" w:cs="宋体"/>
          <w:b/>
          <w:bCs/>
          <w:color w:val="auto"/>
          <w:kern w:val="0"/>
          <w:sz w:val="24"/>
          <w:szCs w:val="24"/>
          <w:highlight w:val="none"/>
          <w:u w:val="single"/>
          <w:lang w:eastAsia="zh-CN" w:bidi="ar"/>
        </w:rPr>
        <w:t>市政</w:t>
      </w:r>
      <w:r>
        <w:rPr>
          <w:rFonts w:hint="eastAsia" w:ascii="宋体" w:hAnsi="宋体" w:eastAsia="宋体" w:cs="宋体"/>
          <w:b/>
          <w:bCs/>
          <w:color w:val="auto"/>
          <w:kern w:val="0"/>
          <w:sz w:val="24"/>
          <w:szCs w:val="24"/>
          <w:highlight w:val="none"/>
          <w:u w:val="single"/>
          <w:lang w:val="en-US" w:eastAsia="zh-CN" w:bidi="ar"/>
        </w:rPr>
        <w:t>工程</w:t>
      </w:r>
      <w:r>
        <w:rPr>
          <w:rFonts w:hint="eastAsia" w:ascii="宋体" w:hAnsi="宋体" w:eastAsia="宋体" w:cs="宋体"/>
          <w:color w:val="auto"/>
          <w:kern w:val="0"/>
          <w:sz w:val="24"/>
          <w:szCs w:val="24"/>
          <w:highlight w:val="none"/>
          <w:lang w:bidi="ar"/>
        </w:rPr>
        <w:t>相关专业</w:t>
      </w:r>
      <w:r>
        <w:rPr>
          <w:rFonts w:hint="eastAsia" w:ascii="宋体" w:hAnsi="宋体" w:eastAsia="宋体" w:cs="宋体"/>
          <w:b/>
          <w:bCs/>
          <w:color w:val="auto"/>
          <w:kern w:val="0"/>
          <w:sz w:val="24"/>
          <w:szCs w:val="24"/>
          <w:highlight w:val="none"/>
          <w:u w:val="single"/>
          <w:lang w:val="en-US" w:eastAsia="zh-CN" w:bidi="ar"/>
        </w:rPr>
        <w:t>中级(或以上)</w:t>
      </w:r>
      <w:r>
        <w:rPr>
          <w:rFonts w:hint="eastAsia" w:ascii="宋体" w:hAnsi="宋体" w:eastAsia="宋体" w:cs="宋体"/>
          <w:color w:val="auto"/>
          <w:kern w:val="0"/>
          <w:sz w:val="24"/>
          <w:szCs w:val="24"/>
          <w:highlight w:val="none"/>
          <w:lang w:bidi="ar"/>
        </w:rPr>
        <w:t>技术职称。</w:t>
      </w:r>
    </w:p>
    <w:p w14:paraId="6A9D8351">
      <w:pPr>
        <w:keepNext w:val="0"/>
        <w:keepLines w:val="0"/>
        <w:pageBreakBefore w:val="0"/>
        <w:widowControl/>
        <w:overflowPunct/>
        <w:topLinePunct w:val="0"/>
        <w:bidi w:val="0"/>
        <w:spacing w:line="450" w:lineRule="exact"/>
        <w:ind w:firstLine="482" w:firstLineChars="200"/>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3.3</w:t>
      </w:r>
      <w:r>
        <w:rPr>
          <w:rFonts w:hint="eastAsia" w:ascii="宋体" w:hAnsi="宋体" w:eastAsia="宋体" w:cs="宋体"/>
          <w:color w:val="auto"/>
          <w:sz w:val="24"/>
          <w:szCs w:val="24"/>
          <w:highlight w:val="none"/>
        </w:rPr>
        <w:t xml:space="preserve"> </w:t>
      </w:r>
      <w:r>
        <w:rPr>
          <w:rFonts w:hint="eastAsia" w:ascii="宋体" w:hAnsi="宋体" w:eastAsia="宋体" w:cs="宋体"/>
          <w:snapToGrid w:val="0"/>
          <w:color w:val="auto"/>
          <w:kern w:val="0"/>
          <w:sz w:val="24"/>
          <w:szCs w:val="24"/>
          <w:highlight w:val="none"/>
        </w:rPr>
        <w:t>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snapToGrid w:val="0"/>
          <w:color w:val="auto"/>
          <w:kern w:val="0"/>
          <w:sz w:val="24"/>
          <w:szCs w:val="24"/>
          <w:highlight w:val="none"/>
          <w:u w:val="single"/>
          <w:lang w:val="en-US" w:eastAsia="zh-CN"/>
        </w:rPr>
        <w:t xml:space="preserve"> 1 </w:t>
      </w:r>
      <w:r>
        <w:rPr>
          <w:rFonts w:hint="eastAsia" w:ascii="宋体" w:hAnsi="宋体" w:eastAsia="宋体" w:cs="宋体"/>
          <w:snapToGrid w:val="0"/>
          <w:color w:val="auto"/>
          <w:kern w:val="0"/>
          <w:sz w:val="24"/>
          <w:szCs w:val="24"/>
          <w:highlight w:val="none"/>
        </w:rPr>
        <w:t xml:space="preserve">人。 </w:t>
      </w:r>
    </w:p>
    <w:p w14:paraId="3AA2A085">
      <w:pPr>
        <w:keepNext w:val="0"/>
        <w:keepLines w:val="0"/>
        <w:pageBreakBefore w:val="0"/>
        <w:wordWrap w:val="0"/>
        <w:overflowPunct/>
        <w:topLinePunct w:val="0"/>
        <w:bidi w:val="0"/>
        <w:adjustRightInd w:val="0"/>
        <w:snapToGrid w:val="0"/>
        <w:spacing w:line="45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3.4</w:t>
      </w:r>
      <w:r>
        <w:rPr>
          <w:rFonts w:hint="eastAsia" w:ascii="宋体" w:hAnsi="宋体" w:eastAsia="宋体" w:cs="宋体"/>
          <w:color w:val="auto"/>
          <w:sz w:val="24"/>
          <w:szCs w:val="24"/>
          <w:highlight w:val="none"/>
        </w:rPr>
        <w:t xml:space="preserve"> </w:t>
      </w:r>
      <w:r>
        <w:rPr>
          <w:rFonts w:hint="eastAsia" w:ascii="宋体" w:hAnsi="宋体" w:eastAsia="宋体" w:cs="宋体"/>
          <w:snapToGrid w:val="0"/>
          <w:color w:val="auto"/>
          <w:kern w:val="0"/>
          <w:sz w:val="24"/>
          <w:szCs w:val="24"/>
          <w:highlight w:val="none"/>
          <w:lang w:eastAsia="zh-CN"/>
        </w:rPr>
        <w:t>投标人与其拟派往本项目管理机构的所有人员之间必须具备合法、唯一的劳动聘用关系。拟派人员中具备注册执业资格的，其注册单位须与投标人保持一致（提供社保缴纳证明或劳动合同）。</w:t>
      </w:r>
    </w:p>
    <w:p w14:paraId="4EFAD2D3">
      <w:pPr>
        <w:keepNext w:val="0"/>
        <w:keepLines w:val="0"/>
        <w:pageBreakBefore w:val="0"/>
        <w:overflowPunct/>
        <w:topLinePunct w:val="0"/>
        <w:bidi w:val="0"/>
        <w:spacing w:before="78" w:line="450" w:lineRule="exact"/>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2.4  禁止投标条款</w:t>
      </w:r>
    </w:p>
    <w:p w14:paraId="1C9BD119">
      <w:pPr>
        <w:keepNext w:val="0"/>
        <w:keepLines w:val="0"/>
        <w:pageBreakBefore w:val="0"/>
        <w:wordWrap w:val="0"/>
        <w:overflowPunct/>
        <w:topLinePunct w:val="0"/>
        <w:bidi w:val="0"/>
        <w:adjustRightInd w:val="0"/>
        <w:snapToGrid w:val="0"/>
        <w:spacing w:line="450" w:lineRule="exact"/>
        <w:ind w:firstLine="478"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2.4.1  </w:t>
      </w:r>
      <w:r>
        <w:rPr>
          <w:rFonts w:hint="eastAsia" w:ascii="宋体" w:hAnsi="宋体" w:eastAsia="宋体" w:cs="宋体"/>
          <w:color w:val="auto"/>
          <w:sz w:val="24"/>
          <w:szCs w:val="24"/>
          <w:highlight w:val="none"/>
        </w:rPr>
        <w:t>投标人不得存在下列情形之一：</w:t>
      </w:r>
    </w:p>
    <w:p w14:paraId="3D4DB039">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（1）为招标人不具有独立法人资格的附属机构（单位）；</w:t>
      </w:r>
    </w:p>
    <w:p w14:paraId="5254FBB0">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（2）为本招标项目前期准备提供设计或咨询服务的；</w:t>
      </w:r>
    </w:p>
    <w:p w14:paraId="26169816">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（3）与本招标项目的其他投标人为同一个单位负责人；</w:t>
      </w:r>
    </w:p>
    <w:p w14:paraId="44EC40B9">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（4）与本招标项目的其他投标人存在控股、管理关系；</w:t>
      </w:r>
    </w:p>
    <w:p w14:paraId="555660E8">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（5）为本招标项目的监理人；</w:t>
      </w:r>
    </w:p>
    <w:p w14:paraId="6B033FC4">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（6）为本招标项目的代建人；</w:t>
      </w:r>
    </w:p>
    <w:p w14:paraId="3C033667">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（7）为本招标项目的招标代理机构；</w:t>
      </w:r>
    </w:p>
    <w:p w14:paraId="230A607D">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（8）与本招标项目的监理人或代建人或招标代理机构同为一个法定代表人；</w:t>
      </w:r>
    </w:p>
    <w:p w14:paraId="463243AC">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（9）与本招标项目的监理人或代建人或招标代理机构存在控股或参股关系；</w:t>
      </w:r>
    </w:p>
    <w:p w14:paraId="79BBC3EE">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（10）与本招标项目的监理人或代建人或招标代理机构存在相互任职或工作关系；</w:t>
      </w:r>
    </w:p>
    <w:p w14:paraId="19743298">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（11）被依法暂停或者取消投标资格；</w:t>
      </w:r>
    </w:p>
    <w:p w14:paraId="5E9D6FCE">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（12）被责令停产停业、暂扣或者吊销许</w:t>
      </w:r>
      <w:r>
        <w:rPr>
          <w:rFonts w:hint="eastAsia" w:ascii="宋体" w:hAnsi="宋体" w:eastAsia="宋体" w:cs="宋体"/>
          <w:color w:val="auto"/>
          <w:sz w:val="24"/>
          <w:szCs w:val="24"/>
          <w:highlight w:val="none"/>
        </w:rPr>
        <w:t>可证、暂扣或者吊销执照；</w:t>
      </w:r>
    </w:p>
    <w:p w14:paraId="631C2355">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（13）进入清算程序，或被宣告破产，或其他丧失履约能力的情形；</w:t>
      </w:r>
      <w:bookmarkStart w:id="18" w:name="bookmark116"/>
      <w:bookmarkEnd w:id="18"/>
      <w:r>
        <w:rPr>
          <w:rFonts w:hint="eastAsia" w:ascii="宋体" w:hAnsi="宋体" w:eastAsia="宋体" w:cs="宋体"/>
          <w:color w:val="auto"/>
          <w:sz w:val="24"/>
          <w:szCs w:val="24"/>
          <w:highlight w:val="none"/>
        </w:rPr>
        <w:t>处罚决定或司法机关出具的有关法律文书为准）；</w:t>
      </w:r>
    </w:p>
    <w:p w14:paraId="40E65342">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（14）在最近三年内发生重大工程质量或安全问题（以相关行业主管部门的行政处罚决定或司法机关出具的有关法律文书为准）；</w:t>
      </w:r>
    </w:p>
    <w:p w14:paraId="1DDBE588">
      <w:pPr>
        <w:pStyle w:val="34"/>
        <w:keepNext w:val="0"/>
        <w:keepLines w:val="0"/>
        <w:pageBreakBefore w:val="0"/>
        <w:widowControl w:val="0"/>
        <w:wordWrap w:val="0"/>
        <w:overflowPunct/>
        <w:topLinePunct w:val="0"/>
        <w:bidi w:val="0"/>
        <w:adjustRightInd w:val="0"/>
        <w:snapToGrid w:val="0"/>
        <w:spacing w:line="45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（15）被“信用中国”网站（https://www.creditchina.gov.cn）发布的《法人和非法人组织公共信用信息报告》列为严重失信主体名单的。</w:t>
      </w:r>
    </w:p>
    <w:p w14:paraId="1D08DC0D">
      <w:pPr>
        <w:ind w:firstLine="240" w:firstLineChars="1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2.4.2  招标人拒绝以下名单中的单位参加本次投标：</w:t>
      </w:r>
    </w:p>
    <w:tbl>
      <w:tblPr>
        <w:tblStyle w:val="23"/>
        <w:tblW w:w="0" w:type="auto"/>
        <w:tblInd w:w="5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4335"/>
        <w:gridCol w:w="3660"/>
      </w:tblGrid>
      <w:tr w14:paraId="38B6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795" w:type="dxa"/>
            <w:noWrap w:val="0"/>
            <w:vAlign w:val="center"/>
          </w:tcPr>
          <w:p w14:paraId="242C07AD">
            <w:pPr>
              <w:keepNext w:val="0"/>
              <w:keepLines w:val="0"/>
              <w:pageBreakBefore w:val="0"/>
              <w:overflowPunct/>
              <w:topLinePunct w:val="0"/>
              <w:bidi w:val="0"/>
              <w:spacing w:line="45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4335" w:type="dxa"/>
            <w:noWrap w:val="0"/>
            <w:vAlign w:val="center"/>
          </w:tcPr>
          <w:p w14:paraId="43A60219">
            <w:pPr>
              <w:keepNext w:val="0"/>
              <w:keepLines w:val="0"/>
              <w:pageBreakBefore w:val="0"/>
              <w:overflowPunct/>
              <w:topLinePunct w:val="0"/>
              <w:bidi w:val="0"/>
              <w:spacing w:line="45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w:t>
            </w:r>
          </w:p>
        </w:tc>
        <w:tc>
          <w:tcPr>
            <w:tcW w:w="3660" w:type="dxa"/>
            <w:noWrap w:val="0"/>
            <w:vAlign w:val="center"/>
          </w:tcPr>
          <w:p w14:paraId="04E20E5B">
            <w:pPr>
              <w:keepNext w:val="0"/>
              <w:keepLines w:val="0"/>
              <w:pageBreakBefore w:val="0"/>
              <w:overflowPunct/>
              <w:topLinePunct w:val="0"/>
              <w:bidi w:val="0"/>
              <w:spacing w:line="45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拒绝原因</w:t>
            </w:r>
          </w:p>
        </w:tc>
      </w:tr>
      <w:tr w14:paraId="7BF4C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95" w:type="dxa"/>
            <w:noWrap w:val="0"/>
            <w:vAlign w:val="center"/>
          </w:tcPr>
          <w:p w14:paraId="4D6662EB">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highlight w:val="none"/>
                <w:lang w:val="en-US" w:eastAsia="zh-CN"/>
              </w:rPr>
              <w:t>1</w:t>
            </w:r>
          </w:p>
        </w:tc>
        <w:tc>
          <w:tcPr>
            <w:tcW w:w="4335" w:type="dxa"/>
            <w:noWrap w:val="0"/>
            <w:vAlign w:val="center"/>
          </w:tcPr>
          <w:p w14:paraId="08047F0C">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highlight w:val="none"/>
                <w:lang w:val="en-US" w:eastAsia="zh-CN"/>
              </w:rPr>
              <w:t>翁源县农业农村局</w:t>
            </w:r>
          </w:p>
        </w:tc>
        <w:tc>
          <w:tcPr>
            <w:tcW w:w="3660" w:type="dxa"/>
            <w:noWrap w:val="0"/>
            <w:vAlign w:val="center"/>
          </w:tcPr>
          <w:p w14:paraId="3CE92CE3">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highlight w:val="none"/>
                <w:lang w:val="en-US" w:eastAsia="zh-CN"/>
              </w:rPr>
              <w:t>为本招标项目的项目业主</w:t>
            </w:r>
          </w:p>
        </w:tc>
      </w:tr>
      <w:tr w14:paraId="2AEAC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95" w:type="dxa"/>
            <w:noWrap w:val="0"/>
            <w:vAlign w:val="center"/>
          </w:tcPr>
          <w:p w14:paraId="0CF14B19">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highlight w:val="none"/>
                <w:lang w:val="en-US" w:eastAsia="zh-CN"/>
              </w:rPr>
              <w:t>2</w:t>
            </w:r>
          </w:p>
        </w:tc>
        <w:tc>
          <w:tcPr>
            <w:tcW w:w="4335" w:type="dxa"/>
            <w:shd w:val="clear" w:color="auto" w:fill="auto"/>
            <w:noWrap w:val="0"/>
            <w:vAlign w:val="center"/>
          </w:tcPr>
          <w:p w14:paraId="0A427C1E">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highlight w:val="none"/>
                <w:lang w:val="en-US" w:eastAsia="zh-CN"/>
              </w:rPr>
              <w:t>翁源县官渡镇人民政府</w:t>
            </w:r>
          </w:p>
        </w:tc>
        <w:tc>
          <w:tcPr>
            <w:tcW w:w="3660" w:type="dxa"/>
            <w:shd w:val="clear" w:color="auto" w:fill="auto"/>
            <w:noWrap w:val="0"/>
            <w:vAlign w:val="center"/>
          </w:tcPr>
          <w:p w14:paraId="4FB24177">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color w:val="auto"/>
                <w:highlight w:val="none"/>
                <w:lang w:val="en-US" w:eastAsia="en-US"/>
              </w:rPr>
              <w:t>为本招标项目的招标人</w:t>
            </w:r>
          </w:p>
        </w:tc>
      </w:tr>
      <w:tr w14:paraId="3B243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95" w:type="dxa"/>
            <w:noWrap w:val="0"/>
            <w:vAlign w:val="center"/>
          </w:tcPr>
          <w:p w14:paraId="0D8FBA6D">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highlight w:val="none"/>
                <w:lang w:val="en-US" w:eastAsia="zh-CN"/>
              </w:rPr>
              <w:t>3</w:t>
            </w:r>
          </w:p>
        </w:tc>
        <w:tc>
          <w:tcPr>
            <w:tcW w:w="4335" w:type="dxa"/>
            <w:shd w:val="clear" w:color="auto" w:fill="auto"/>
            <w:noWrap w:val="0"/>
            <w:vAlign w:val="center"/>
          </w:tcPr>
          <w:p w14:paraId="0AC1A155">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highlight w:val="none"/>
                <w:lang w:val="en-US" w:eastAsia="zh-CN"/>
              </w:rPr>
              <w:t>永建设计集团有限公司</w:t>
            </w:r>
          </w:p>
        </w:tc>
        <w:tc>
          <w:tcPr>
            <w:tcW w:w="3660" w:type="dxa"/>
            <w:shd w:val="clear" w:color="auto" w:fill="auto"/>
            <w:noWrap w:val="0"/>
            <w:vAlign w:val="center"/>
          </w:tcPr>
          <w:p w14:paraId="12CED672">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color w:val="auto"/>
                <w:highlight w:val="none"/>
                <w:lang w:val="en-US" w:eastAsia="en-US"/>
              </w:rPr>
              <w:t>为本招标项目的</w:t>
            </w:r>
            <w:r>
              <w:rPr>
                <w:rFonts w:hint="eastAsia" w:ascii="宋体" w:hAnsi="宋体" w:eastAsia="宋体" w:cs="宋体"/>
                <w:color w:val="auto"/>
                <w:highlight w:val="none"/>
                <w:lang w:val="en-US" w:eastAsia="zh-CN"/>
              </w:rPr>
              <w:t>设计单位</w:t>
            </w:r>
          </w:p>
        </w:tc>
      </w:tr>
      <w:tr w14:paraId="3941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95" w:type="dxa"/>
            <w:noWrap w:val="0"/>
            <w:vAlign w:val="center"/>
          </w:tcPr>
          <w:p w14:paraId="1080B130">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w:t>
            </w:r>
          </w:p>
        </w:tc>
        <w:tc>
          <w:tcPr>
            <w:tcW w:w="4335" w:type="dxa"/>
            <w:shd w:val="clear" w:color="auto" w:fill="auto"/>
            <w:noWrap w:val="0"/>
            <w:vAlign w:val="center"/>
          </w:tcPr>
          <w:p w14:paraId="6A6A4163">
            <w:pPr>
              <w:pStyle w:val="34"/>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广东省国际工程咨询有限公司</w:t>
            </w:r>
          </w:p>
        </w:tc>
        <w:tc>
          <w:tcPr>
            <w:tcW w:w="3660" w:type="dxa"/>
            <w:shd w:val="clear" w:color="auto" w:fill="auto"/>
            <w:noWrap w:val="0"/>
            <w:vAlign w:val="center"/>
          </w:tcPr>
          <w:p w14:paraId="3CC39824">
            <w:pPr>
              <w:pStyle w:val="34"/>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jc w:val="center"/>
              <w:textAlignment w:val="auto"/>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color w:val="auto"/>
                <w:sz w:val="24"/>
                <w:szCs w:val="24"/>
                <w:highlight w:val="none"/>
              </w:rPr>
              <w:t>为本</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项目的可研编制单位</w:t>
            </w:r>
          </w:p>
        </w:tc>
      </w:tr>
      <w:tr w14:paraId="24C4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95" w:type="dxa"/>
            <w:noWrap w:val="0"/>
            <w:vAlign w:val="center"/>
          </w:tcPr>
          <w:p w14:paraId="1F5CC7D2">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w:t>
            </w:r>
          </w:p>
        </w:tc>
        <w:tc>
          <w:tcPr>
            <w:tcW w:w="4335" w:type="dxa"/>
            <w:shd w:val="clear" w:color="auto" w:fill="auto"/>
            <w:noWrap w:val="0"/>
            <w:vAlign w:val="center"/>
          </w:tcPr>
          <w:p w14:paraId="03866D12">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福州市安永工程监理有限公司</w:t>
            </w:r>
          </w:p>
        </w:tc>
        <w:tc>
          <w:tcPr>
            <w:tcW w:w="3660" w:type="dxa"/>
            <w:shd w:val="clear" w:color="auto" w:fill="auto"/>
            <w:noWrap w:val="0"/>
            <w:vAlign w:val="center"/>
          </w:tcPr>
          <w:p w14:paraId="4ED6A593">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highlight w:val="none"/>
                <w:lang w:val="en-US" w:eastAsia="en-US"/>
              </w:rPr>
              <w:t>为本招标项目的</w:t>
            </w:r>
            <w:r>
              <w:rPr>
                <w:rFonts w:hint="eastAsia" w:ascii="宋体" w:hAnsi="宋体" w:eastAsia="宋体" w:cs="宋体"/>
                <w:color w:val="auto"/>
                <w:highlight w:val="none"/>
                <w:lang w:val="en-US" w:eastAsia="zh-CN"/>
              </w:rPr>
              <w:t>预算编制</w:t>
            </w:r>
            <w:r>
              <w:rPr>
                <w:rFonts w:hint="eastAsia" w:ascii="宋体" w:hAnsi="宋体" w:eastAsia="宋体" w:cs="宋体"/>
                <w:color w:val="auto"/>
                <w:highlight w:val="none"/>
                <w:lang w:val="en-US" w:eastAsia="en-US"/>
              </w:rPr>
              <w:t>单位</w:t>
            </w:r>
          </w:p>
        </w:tc>
      </w:tr>
      <w:tr w14:paraId="60758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95" w:type="dxa"/>
            <w:shd w:val="clear" w:color="auto" w:fill="auto"/>
            <w:noWrap w:val="0"/>
            <w:vAlign w:val="center"/>
          </w:tcPr>
          <w:p w14:paraId="36F9E56D">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w:t>
            </w:r>
          </w:p>
        </w:tc>
        <w:tc>
          <w:tcPr>
            <w:tcW w:w="4335" w:type="dxa"/>
            <w:shd w:val="clear" w:color="auto" w:fill="auto"/>
            <w:noWrap w:val="0"/>
            <w:vAlign w:val="center"/>
          </w:tcPr>
          <w:p w14:paraId="2A548323">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hAnsi="宋体" w:cs="宋体"/>
                <w:color w:val="auto"/>
                <w:kern w:val="2"/>
                <w:sz w:val="24"/>
                <w:szCs w:val="24"/>
                <w:highlight w:val="none"/>
                <w:lang w:val="en-US" w:eastAsia="zh-CN" w:bidi="ar-SA"/>
              </w:rPr>
              <w:t>广东省建筑工程监理有限公司</w:t>
            </w:r>
          </w:p>
        </w:tc>
        <w:tc>
          <w:tcPr>
            <w:tcW w:w="3660" w:type="dxa"/>
            <w:shd w:val="clear" w:color="auto" w:fill="auto"/>
            <w:noWrap w:val="0"/>
            <w:vAlign w:val="center"/>
          </w:tcPr>
          <w:p w14:paraId="16BFBE79">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color w:val="auto"/>
                <w:highlight w:val="none"/>
                <w:lang w:val="en-US" w:eastAsia="en-US"/>
              </w:rPr>
              <w:t>为本招标项目的</w:t>
            </w:r>
            <w:r>
              <w:rPr>
                <w:rFonts w:hint="eastAsia" w:ascii="宋体" w:hAnsi="宋体" w:eastAsia="宋体" w:cs="宋体"/>
                <w:color w:val="auto"/>
                <w:highlight w:val="none"/>
                <w:lang w:val="en-US" w:eastAsia="zh-CN"/>
              </w:rPr>
              <w:t>预算审核</w:t>
            </w:r>
            <w:r>
              <w:rPr>
                <w:rFonts w:hint="eastAsia" w:ascii="宋体" w:hAnsi="宋体" w:eastAsia="宋体" w:cs="宋体"/>
                <w:color w:val="auto"/>
                <w:highlight w:val="none"/>
                <w:lang w:val="en-US" w:eastAsia="en-US"/>
              </w:rPr>
              <w:t>单位</w:t>
            </w:r>
          </w:p>
        </w:tc>
      </w:tr>
      <w:tr w14:paraId="225B3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95" w:type="dxa"/>
            <w:shd w:val="clear" w:color="auto" w:fill="auto"/>
            <w:noWrap w:val="0"/>
            <w:vAlign w:val="center"/>
          </w:tcPr>
          <w:p w14:paraId="015EFBE0">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color w:val="auto"/>
                <w:highlight w:val="none"/>
                <w:lang w:val="en-US" w:eastAsia="zh-CN"/>
              </w:rPr>
            </w:pPr>
            <w:r>
              <w:rPr>
                <w:rFonts w:hint="eastAsia" w:hAnsi="宋体" w:cs="宋体"/>
                <w:color w:val="auto"/>
                <w:highlight w:val="none"/>
                <w:lang w:val="en-US" w:eastAsia="zh-CN"/>
              </w:rPr>
              <w:t>7</w:t>
            </w:r>
          </w:p>
        </w:tc>
        <w:tc>
          <w:tcPr>
            <w:tcW w:w="4335" w:type="dxa"/>
            <w:shd w:val="clear" w:color="auto" w:fill="auto"/>
            <w:noWrap w:val="0"/>
            <w:vAlign w:val="center"/>
          </w:tcPr>
          <w:p w14:paraId="442B7BD4">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深圳市祺骏建设工程顾问有限公司</w:t>
            </w:r>
          </w:p>
        </w:tc>
        <w:tc>
          <w:tcPr>
            <w:tcW w:w="3660" w:type="dxa"/>
            <w:shd w:val="clear" w:color="auto" w:fill="auto"/>
            <w:noWrap w:val="0"/>
            <w:vAlign w:val="center"/>
          </w:tcPr>
          <w:p w14:paraId="12E33F9D">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color w:val="auto"/>
                <w:highlight w:val="none"/>
                <w:lang w:val="en-US" w:eastAsia="en-US"/>
              </w:rPr>
            </w:pPr>
            <w:r>
              <w:rPr>
                <w:rFonts w:hint="eastAsia" w:ascii="宋体" w:hAnsi="宋体" w:eastAsia="宋体" w:cs="宋体"/>
                <w:color w:val="auto"/>
                <w:highlight w:val="none"/>
                <w:lang w:val="en-US" w:eastAsia="en-US"/>
              </w:rPr>
              <w:t>为本招标项目的招标代理机构</w:t>
            </w:r>
          </w:p>
        </w:tc>
      </w:tr>
      <w:tr w14:paraId="64018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95" w:type="dxa"/>
            <w:shd w:val="clear" w:color="auto" w:fill="auto"/>
            <w:noWrap w:val="0"/>
            <w:vAlign w:val="center"/>
          </w:tcPr>
          <w:p w14:paraId="2B5A0FBB">
            <w:pPr>
              <w:pStyle w:val="58"/>
              <w:keepNext w:val="0"/>
              <w:keepLines w:val="0"/>
              <w:pageBreakBefore w:val="0"/>
              <w:widowControl w:val="0"/>
              <w:tabs>
                <w:tab w:val="left" w:pos="1890"/>
              </w:tabs>
              <w:kinsoku/>
              <w:wordWrap/>
              <w:overflowPunct/>
              <w:topLinePunct w:val="0"/>
              <w:autoSpaceDE/>
              <w:autoSpaceDN/>
              <w:bidi w:val="0"/>
              <w:spacing w:line="450" w:lineRule="exact"/>
              <w:jc w:val="center"/>
              <w:textAlignment w:val="auto"/>
              <w:rPr>
                <w:rFonts w:hint="eastAsia" w:ascii="宋体" w:hAnsi="宋体" w:eastAsia="宋体" w:cs="宋体"/>
                <w:color w:val="auto"/>
                <w:highlight w:val="none"/>
                <w:lang w:val="en-US" w:eastAsia="zh-CN"/>
              </w:rPr>
            </w:pPr>
            <w:r>
              <w:rPr>
                <w:rFonts w:hint="eastAsia" w:hAnsi="宋体" w:cs="宋体"/>
                <w:color w:val="auto"/>
                <w:highlight w:val="none"/>
                <w:lang w:val="en-US" w:eastAsia="zh-CN"/>
              </w:rPr>
              <w:t>8</w:t>
            </w:r>
          </w:p>
        </w:tc>
        <w:tc>
          <w:tcPr>
            <w:tcW w:w="4335" w:type="dxa"/>
            <w:shd w:val="clear" w:color="auto" w:fill="auto"/>
            <w:noWrap w:val="0"/>
            <w:vAlign w:val="center"/>
          </w:tcPr>
          <w:p w14:paraId="2443659A">
            <w:pPr>
              <w:keepNext w:val="0"/>
              <w:keepLines w:val="0"/>
              <w:pageBreakBefore w:val="0"/>
              <w:widowControl w:val="0"/>
              <w:kinsoku/>
              <w:wordWrap/>
              <w:overflowPunct/>
              <w:topLinePunct w:val="0"/>
              <w:autoSpaceDE/>
              <w:autoSpaceDN/>
              <w:bidi w:val="0"/>
              <w:adjustRightInd/>
              <w:snapToGrid/>
              <w:spacing w:line="450" w:lineRule="exact"/>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sz w:val="24"/>
                <w:szCs w:val="24"/>
                <w:highlight w:val="none"/>
                <w:lang w:val="en-US" w:eastAsia="zh-CN"/>
              </w:rPr>
              <w:t>待定</w:t>
            </w:r>
          </w:p>
        </w:tc>
        <w:tc>
          <w:tcPr>
            <w:tcW w:w="3660" w:type="dxa"/>
            <w:shd w:val="clear" w:color="auto" w:fill="auto"/>
            <w:noWrap w:val="0"/>
            <w:vAlign w:val="center"/>
          </w:tcPr>
          <w:p w14:paraId="759F42CC">
            <w:pPr>
              <w:keepNext w:val="0"/>
              <w:keepLines w:val="0"/>
              <w:pageBreakBefore w:val="0"/>
              <w:widowControl w:val="0"/>
              <w:kinsoku/>
              <w:wordWrap/>
              <w:overflowPunct/>
              <w:topLinePunct w:val="0"/>
              <w:autoSpaceDE/>
              <w:autoSpaceDN/>
              <w:bidi w:val="0"/>
              <w:adjustRightInd/>
              <w:snapToGrid/>
              <w:spacing w:line="450" w:lineRule="exact"/>
              <w:jc w:val="center"/>
              <w:textAlignment w:val="auto"/>
              <w:rPr>
                <w:rFonts w:hint="eastAsia" w:ascii="宋体" w:hAnsi="宋体" w:eastAsia="宋体" w:cs="宋体"/>
                <w:color w:val="auto"/>
                <w:highlight w:val="none"/>
                <w:lang w:val="en-US" w:eastAsia="en-US"/>
              </w:rPr>
            </w:pPr>
            <w:r>
              <w:rPr>
                <w:rFonts w:hint="eastAsia" w:ascii="宋体" w:hAnsi="宋体" w:eastAsia="宋体" w:cs="宋体"/>
                <w:color w:val="auto"/>
                <w:sz w:val="24"/>
                <w:szCs w:val="24"/>
                <w:highlight w:val="none"/>
                <w:lang w:val="en-US" w:eastAsia="zh-CN"/>
              </w:rPr>
              <w:t>为本招标项目的监理单位</w:t>
            </w:r>
          </w:p>
        </w:tc>
      </w:tr>
    </w:tbl>
    <w:p w14:paraId="2F8AED1F">
      <w:pPr>
        <w:keepNext w:val="0"/>
        <w:keepLines w:val="0"/>
        <w:pageBreakBefore w:val="0"/>
        <w:overflowPunct/>
        <w:topLinePunct w:val="0"/>
        <w:bidi w:val="0"/>
        <w:spacing w:before="153" w:line="43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pacing w:val="-1"/>
          <w:sz w:val="24"/>
          <w:szCs w:val="24"/>
          <w:highlight w:val="none"/>
        </w:rPr>
        <w:t>2.5  其他要求</w:t>
      </w:r>
    </w:p>
    <w:p w14:paraId="757D4A19">
      <w:pPr>
        <w:keepNext w:val="0"/>
        <w:keepLines w:val="0"/>
        <w:pageBreakBefore w:val="0"/>
        <w:overflowPunct/>
        <w:topLinePunct w:val="0"/>
        <w:bidi w:val="0"/>
        <w:spacing w:before="150" w:line="430" w:lineRule="exact"/>
        <w:ind w:left="232" w:right="99" w:firstLine="481"/>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省外企业及其拟派往本项目管理机构的所有</w:t>
      </w:r>
      <w:r>
        <w:rPr>
          <w:rFonts w:hint="eastAsia" w:ascii="宋体" w:hAnsi="宋体" w:eastAsia="宋体" w:cs="宋体"/>
          <w:color w:val="auto"/>
          <w:spacing w:val="-2"/>
          <w:sz w:val="24"/>
          <w:szCs w:val="24"/>
          <w:highlight w:val="none"/>
        </w:rPr>
        <w:t>人员均须按照《广东省住房和城乡建</w:t>
      </w:r>
      <w:r>
        <w:rPr>
          <w:rFonts w:hint="eastAsia" w:ascii="宋体" w:hAnsi="宋体" w:eastAsia="宋体" w:cs="宋体"/>
          <w:color w:val="auto"/>
          <w:spacing w:val="-1"/>
          <w:sz w:val="24"/>
          <w:szCs w:val="24"/>
          <w:highlight w:val="none"/>
        </w:rPr>
        <w:t>设厅关于取消省外建筑企业和人员进粤信息备案有关工作的通知》</w:t>
      </w:r>
      <w:r>
        <w:rPr>
          <w:rFonts w:hint="eastAsia" w:ascii="宋体" w:hAnsi="宋体" w:eastAsia="宋体" w:cs="宋体"/>
          <w:color w:val="auto"/>
          <w:spacing w:val="-2"/>
          <w:sz w:val="24"/>
          <w:szCs w:val="24"/>
          <w:highlight w:val="none"/>
        </w:rPr>
        <w:t>（粤建市﹝2015﹞</w:t>
      </w:r>
      <w:r>
        <w:rPr>
          <w:rFonts w:hint="eastAsia" w:ascii="宋体" w:hAnsi="宋体" w:eastAsia="宋体" w:cs="宋体"/>
          <w:color w:val="auto"/>
          <w:spacing w:val="-4"/>
          <w:sz w:val="24"/>
          <w:szCs w:val="24"/>
          <w:highlight w:val="none"/>
        </w:rPr>
        <w:t>52号）规定在“进粤企业和人员诚信信息登记平台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”录入相关信息并通过数</w:t>
      </w:r>
      <w:r>
        <w:rPr>
          <w:rFonts w:hint="eastAsia" w:ascii="宋体" w:hAnsi="宋体" w:eastAsia="宋体" w:cs="宋体"/>
          <w:color w:val="auto"/>
          <w:spacing w:val="-5"/>
          <w:sz w:val="24"/>
          <w:szCs w:val="24"/>
          <w:highlight w:val="none"/>
        </w:rPr>
        <w:t>据规范检</w:t>
      </w:r>
      <w:r>
        <w:rPr>
          <w:rFonts w:hint="eastAsia" w:ascii="宋体" w:hAnsi="宋体" w:eastAsia="宋体" w:cs="宋体"/>
          <w:color w:val="auto"/>
          <w:spacing w:val="-6"/>
          <w:sz w:val="24"/>
          <w:szCs w:val="24"/>
          <w:highlight w:val="none"/>
        </w:rPr>
        <w:t>查。</w:t>
      </w:r>
    </w:p>
    <w:p w14:paraId="1BCAB361">
      <w:pPr>
        <w:keepNext w:val="0"/>
        <w:keepLines w:val="0"/>
        <w:pageBreakBefore w:val="0"/>
        <w:overflowPunct/>
        <w:topLinePunct w:val="0"/>
        <w:bidi w:val="0"/>
        <w:spacing w:before="79" w:line="430" w:lineRule="exact"/>
        <w:ind w:left="715"/>
        <w:outlineLvl w:val="2"/>
        <w:rPr>
          <w:rFonts w:hint="eastAsia" w:ascii="宋体" w:hAnsi="宋体" w:eastAsia="宋体" w:cs="宋体"/>
          <w:color w:val="auto"/>
          <w:sz w:val="24"/>
          <w:szCs w:val="24"/>
          <w:highlight w:val="none"/>
        </w:rPr>
      </w:pPr>
      <w:bookmarkStart w:id="19" w:name="_Toc10655"/>
      <w:bookmarkStart w:id="20" w:name="_Toc14245"/>
      <w:r>
        <w:rPr>
          <w:rFonts w:hint="eastAsia" w:ascii="宋体" w:hAnsi="宋体" w:eastAsia="宋体" w:cs="宋体"/>
          <w:b/>
          <w:bCs/>
          <w:color w:val="auto"/>
          <w:spacing w:val="-4"/>
          <w:sz w:val="24"/>
          <w:szCs w:val="24"/>
          <w:highlight w:val="none"/>
        </w:rPr>
        <w:t>3</w:t>
      </w:r>
      <w:r>
        <w:rPr>
          <w:rFonts w:hint="eastAsia" w:ascii="宋体" w:hAnsi="宋体" w:eastAsia="宋体" w:cs="宋体"/>
          <w:b/>
          <w:bCs/>
          <w:color w:val="auto"/>
          <w:spacing w:val="-4"/>
          <w:sz w:val="24"/>
          <w:szCs w:val="24"/>
          <w:highlight w:val="none"/>
          <w:lang w:val="en-US" w:eastAsia="zh-CN"/>
        </w:rPr>
        <w:t>.</w:t>
      </w:r>
      <w:r>
        <w:rPr>
          <w:rFonts w:hint="eastAsia" w:ascii="宋体" w:hAnsi="宋体" w:eastAsia="宋体" w:cs="宋体"/>
          <w:b/>
          <w:bCs/>
          <w:color w:val="auto"/>
          <w:spacing w:val="-4"/>
          <w:sz w:val="24"/>
          <w:szCs w:val="24"/>
          <w:highlight w:val="none"/>
        </w:rPr>
        <w:t>招标文件的获取</w:t>
      </w:r>
      <w:bookmarkEnd w:id="19"/>
      <w:bookmarkEnd w:id="20"/>
    </w:p>
    <w:p w14:paraId="4D0402A1">
      <w:pPr>
        <w:keepNext w:val="0"/>
        <w:keepLines w:val="0"/>
        <w:pageBreakBefore w:val="0"/>
        <w:overflowPunct/>
        <w:topLinePunct w:val="0"/>
        <w:bidi w:val="0"/>
        <w:spacing w:before="150" w:line="430" w:lineRule="exact"/>
        <w:ind w:left="232" w:right="99" w:firstLine="481"/>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3.1  </w:t>
      </w:r>
      <w:r>
        <w:rPr>
          <w:rFonts w:hint="eastAsia" w:ascii="宋体" w:hAnsi="宋体" w:eastAsia="宋体" w:cs="宋体"/>
          <w:color w:val="auto"/>
          <w:spacing w:val="-1"/>
          <w:sz w:val="24"/>
          <w:szCs w:val="24"/>
          <w:highlight w:val="none"/>
        </w:rPr>
        <w:t>本次招标实行电子投标。</w:t>
      </w:r>
    </w:p>
    <w:p w14:paraId="4A5F083C">
      <w:pPr>
        <w:pStyle w:val="58"/>
        <w:keepNext w:val="0"/>
        <w:keepLines w:val="0"/>
        <w:pageBreakBefore w:val="0"/>
        <w:tabs>
          <w:tab w:val="left" w:pos="1890"/>
        </w:tabs>
        <w:kinsoku/>
        <w:wordWrap/>
        <w:overflowPunct/>
        <w:topLinePunct w:val="0"/>
        <w:autoSpaceDE/>
        <w:autoSpaceDN/>
        <w:bidi w:val="0"/>
        <w:adjustRightInd/>
        <w:snapToGrid/>
        <w:spacing w:line="470" w:lineRule="exact"/>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本项目招标文件随招标公告一并在广东省招标投标监管网（</w:t>
      </w:r>
      <w:r>
        <w:rPr>
          <w:rFonts w:hint="eastAsia" w:ascii="宋体" w:hAnsi="宋体" w:eastAsia="宋体" w:cs="宋体"/>
          <w:color w:val="auto"/>
          <w:highlight w:val="none"/>
          <w:lang w:eastAsia="zh-CN"/>
        </w:rPr>
        <w:t>http：//zbtb.gd.gov.cn</w:t>
      </w:r>
      <w:r>
        <w:rPr>
          <w:rFonts w:hint="eastAsia" w:ascii="宋体" w:hAnsi="宋体" w:eastAsia="宋体" w:cs="宋体"/>
          <w:color w:val="auto"/>
          <w:highlight w:val="none"/>
        </w:rPr>
        <w:t>）、全国公共资源交易平台（广东省·韶关市）（https</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ygp.gdzwfw.gov.cn/ggzy-portal/#/440200/index）网站发布。招标文件一经广东省招标投标监管网、全国公共资源交易平台（广东省·韶关市）发布，视为发送投标人，招标文件及相关附件由投标人自行在全国公共资源交易平台（广东省·韶关市）网站下载。请于招标文件获取期间,（</w:t>
      </w:r>
      <w:r>
        <w:rPr>
          <w:rFonts w:hint="eastAsia" w:ascii="宋体" w:hAnsi="宋体" w:eastAsia="宋体" w:cs="宋体"/>
          <w:color w:val="auto"/>
          <w:highlight w:val="none"/>
          <w:lang w:eastAsia="zh-CN"/>
        </w:rPr>
        <w:t>见本招标文件</w:t>
      </w:r>
      <w:r>
        <w:rPr>
          <w:rFonts w:hint="eastAsia" w:ascii="宋体" w:hAnsi="宋体" w:eastAsia="宋体" w:cs="宋体"/>
          <w:color w:val="auto"/>
          <w:highlight w:val="none"/>
        </w:rPr>
        <w:t>“重要事项时间地点一览表”）招标文件获取期间与招标公告发布时间一致，投标人须登录全国公共资源交易平台（广东省·韶关市）（https</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//ygp.gdzwfw.gov.cn/ggzy-portal/#/440200/index），使用新建设工程交易系统进行下载招标文件及相关附件，并于电子投标截止时间（</w:t>
      </w:r>
      <w:r>
        <w:rPr>
          <w:rFonts w:hint="eastAsia" w:ascii="宋体" w:hAnsi="宋体" w:eastAsia="宋体" w:cs="宋体"/>
          <w:color w:val="auto"/>
          <w:highlight w:val="none"/>
          <w:lang w:eastAsia="zh-CN"/>
        </w:rPr>
        <w:t>见本招标文件</w:t>
      </w:r>
      <w:r>
        <w:rPr>
          <w:rFonts w:hint="eastAsia" w:ascii="宋体" w:hAnsi="宋体" w:eastAsia="宋体" w:cs="宋体"/>
          <w:color w:val="auto"/>
          <w:highlight w:val="none"/>
        </w:rPr>
        <w:t>“重要事项时间地点一览表”）前完成电子投标。投标人可登录全国公共资源交易平台（广东省·韶关市）（https</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ygp.gdzwfw.gov.cn/ggzy-portal/#/440200/index），在【服务指南】栏目中下载《韶关市公共资源建设工程交易系统-投标人操作指南（电子评标）V1.3》，了解网上获取招标文件操作流程。技术咨询电话：18819797080/0751-8379671伍先生，业务咨询电话：0751-8633211、8633071。</w:t>
      </w:r>
    </w:p>
    <w:p w14:paraId="68ECE506">
      <w:pPr>
        <w:keepNext w:val="0"/>
        <w:keepLines w:val="0"/>
        <w:pageBreakBefore w:val="0"/>
        <w:overflowPunct/>
        <w:topLinePunct w:val="0"/>
        <w:bidi w:val="0"/>
        <w:spacing w:before="33" w:line="430" w:lineRule="exact"/>
        <w:ind w:left="10" w:right="105" w:firstLine="508"/>
        <w:jc w:val="both"/>
        <w:rPr>
          <w:rFonts w:hint="eastAsia" w:ascii="宋体" w:hAnsi="宋体" w:eastAsia="宋体" w:cs="宋体"/>
          <w:snapToGrid/>
          <w:color w:val="auto"/>
          <w:kern w:val="2"/>
          <w:sz w:val="24"/>
          <w:szCs w:val="20"/>
          <w:highlight w:val="none"/>
          <w:lang w:val="en-US" w:eastAsia="zh-CN" w:bidi="ar-SA"/>
        </w:rPr>
      </w:pPr>
      <w:r>
        <w:rPr>
          <w:rFonts w:hint="eastAsia" w:ascii="宋体" w:hAnsi="宋体" w:eastAsia="宋体" w:cs="宋体"/>
          <w:b/>
          <w:bCs/>
          <w:color w:val="auto"/>
          <w:spacing w:val="-1"/>
          <w:sz w:val="24"/>
          <w:szCs w:val="24"/>
          <w:highlight w:val="none"/>
        </w:rPr>
        <w:t xml:space="preserve">3.2  </w:t>
      </w:r>
      <w:r>
        <w:rPr>
          <w:rFonts w:hint="eastAsia" w:ascii="宋体" w:hAnsi="宋体" w:eastAsia="宋体" w:cs="宋体"/>
          <w:snapToGrid/>
          <w:color w:val="auto"/>
          <w:kern w:val="2"/>
          <w:sz w:val="24"/>
          <w:szCs w:val="20"/>
          <w:highlight w:val="none"/>
          <w:lang w:val="en-US" w:eastAsia="zh-CN" w:bidi="ar-SA"/>
        </w:rPr>
        <w:t>只有申领了数字证书（CA）、“粤企签”或GDCA/SZCA/NETCA等符合法律法规规定的电子印章，并在交易系统中完成企业信息数据入库的投标人，方可使用建设工程交易系统进行招标文件及相关附件的获取和电子投标。</w:t>
      </w:r>
    </w:p>
    <w:p w14:paraId="0CFF6B80">
      <w:pPr>
        <w:keepNext w:val="0"/>
        <w:keepLines w:val="0"/>
        <w:pageBreakBefore w:val="0"/>
        <w:overflowPunct/>
        <w:topLinePunct w:val="0"/>
        <w:bidi w:val="0"/>
        <w:spacing w:before="33" w:line="430" w:lineRule="exact"/>
        <w:ind w:left="10" w:right="105" w:firstLine="508"/>
        <w:jc w:val="both"/>
        <w:rPr>
          <w:rFonts w:hint="eastAsia" w:ascii="宋体" w:hAnsi="宋体" w:eastAsia="宋体" w:cs="宋体"/>
          <w:snapToGrid/>
          <w:color w:val="auto"/>
          <w:kern w:val="2"/>
          <w:sz w:val="24"/>
          <w:szCs w:val="20"/>
          <w:highlight w:val="none"/>
          <w:lang w:val="en-US" w:eastAsia="zh-CN" w:bidi="ar-SA"/>
        </w:rPr>
      </w:pPr>
      <w:r>
        <w:rPr>
          <w:rFonts w:hint="eastAsia" w:ascii="宋体" w:hAnsi="宋体" w:eastAsia="宋体" w:cs="宋体"/>
          <w:snapToGrid/>
          <w:color w:val="auto"/>
          <w:kern w:val="2"/>
          <w:sz w:val="24"/>
          <w:szCs w:val="20"/>
          <w:highlight w:val="none"/>
          <w:lang w:val="en-US" w:eastAsia="zh-CN" w:bidi="ar-SA"/>
        </w:rPr>
        <w:t>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w:t>
      </w:r>
    </w:p>
    <w:p w14:paraId="38B2D3A2">
      <w:pPr>
        <w:keepNext w:val="0"/>
        <w:keepLines w:val="0"/>
        <w:pageBreakBefore w:val="0"/>
        <w:overflowPunct/>
        <w:topLinePunct w:val="0"/>
        <w:bidi w:val="0"/>
        <w:spacing w:before="33" w:line="430" w:lineRule="exact"/>
        <w:ind w:left="10" w:right="105" w:firstLine="508"/>
        <w:jc w:val="both"/>
        <w:rPr>
          <w:rFonts w:hint="eastAsia" w:ascii="宋体" w:hAnsi="宋体" w:eastAsia="宋体" w:cs="宋体"/>
          <w:snapToGrid/>
          <w:color w:val="auto"/>
          <w:kern w:val="2"/>
          <w:sz w:val="24"/>
          <w:szCs w:val="20"/>
          <w:highlight w:val="none"/>
          <w:lang w:val="en-US" w:eastAsia="zh-CN" w:bidi="ar-SA"/>
        </w:rPr>
      </w:pPr>
      <w:r>
        <w:rPr>
          <w:rFonts w:hint="eastAsia" w:ascii="宋体" w:hAnsi="宋体" w:eastAsia="宋体" w:cs="宋体"/>
          <w:snapToGrid/>
          <w:color w:val="auto"/>
          <w:kern w:val="2"/>
          <w:sz w:val="24"/>
          <w:szCs w:val="20"/>
          <w:highlight w:val="none"/>
          <w:lang w:val="en-US" w:eastAsia="zh-CN" w:bidi="ar-SA"/>
        </w:rPr>
        <w:t>已入库企业有关信息（如单位名称、基本账号、资质、人员等）发生变化的，须及时在交易系统进行相应变更。投标人未及时变更信息而造成的损失和后果，由投标人自行承担。</w:t>
      </w:r>
    </w:p>
    <w:p w14:paraId="4664213A">
      <w:pPr>
        <w:keepNext w:val="0"/>
        <w:keepLines w:val="0"/>
        <w:pageBreakBefore w:val="0"/>
        <w:overflowPunct/>
        <w:topLinePunct w:val="0"/>
        <w:bidi w:val="0"/>
        <w:spacing w:before="33" w:line="430" w:lineRule="exact"/>
        <w:ind w:left="10" w:right="105" w:firstLine="508"/>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电子印章：</w:t>
      </w:r>
      <w:r>
        <w:rPr>
          <w:rFonts w:hint="eastAsia" w:ascii="宋体" w:hAnsi="宋体" w:eastAsia="宋体" w:cs="宋体"/>
          <w:color w:val="auto"/>
          <w:spacing w:val="-2"/>
          <w:sz w:val="24"/>
          <w:szCs w:val="24"/>
          <w:highlight w:val="none"/>
        </w:rPr>
        <w:t>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ascii="宋体" w:hAnsi="宋体" w:eastAsia="宋体" w:cs="宋体"/>
          <w:color w:val="auto"/>
          <w:spacing w:val="-2"/>
          <w:sz w:val="24"/>
          <w:szCs w:val="24"/>
          <w:highlight w:val="none"/>
          <w:lang w:eastAsia="zh-CN"/>
        </w:rPr>
        <w:t>。</w:t>
      </w:r>
    </w:p>
    <w:p w14:paraId="659F3228">
      <w:pPr>
        <w:keepNext w:val="0"/>
        <w:keepLines w:val="0"/>
        <w:pageBreakBefore w:val="0"/>
        <w:overflowPunct/>
        <w:topLinePunct w:val="0"/>
        <w:bidi w:val="0"/>
        <w:spacing w:before="33" w:line="430" w:lineRule="exact"/>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b/>
          <w:bCs/>
          <w:color w:val="auto"/>
          <w:spacing w:val="-3"/>
          <w:sz w:val="24"/>
          <w:szCs w:val="24"/>
          <w:highlight w:val="none"/>
        </w:rPr>
        <w:t>投标保证</w:t>
      </w:r>
    </w:p>
    <w:p w14:paraId="770D4B87">
      <w:pPr>
        <w:keepNext w:val="0"/>
        <w:keepLines w:val="0"/>
        <w:pageBreakBefore w:val="0"/>
        <w:overflowPunct/>
        <w:topLinePunct w:val="0"/>
        <w:bidi w:val="0"/>
        <w:spacing w:before="152" w:line="430" w:lineRule="exact"/>
        <w:ind w:left="8" w:right="105"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3.3.1  </w:t>
      </w:r>
      <w:r>
        <w:rPr>
          <w:rFonts w:hint="eastAsia" w:ascii="宋体" w:hAnsi="宋体" w:eastAsia="宋体" w:cs="宋体"/>
          <w:color w:val="auto"/>
          <w:spacing w:val="-1"/>
          <w:sz w:val="24"/>
          <w:szCs w:val="24"/>
          <w:highlight w:val="none"/>
        </w:rPr>
        <w:t>投标人须缴纳金额为人民币</w:t>
      </w:r>
      <w:r>
        <w:rPr>
          <w:rFonts w:hint="eastAsia" w:ascii="宋体" w:hAnsi="宋体" w:eastAsia="宋体" w:cs="宋体"/>
          <w:color w:val="auto"/>
          <w:spacing w:val="-1"/>
          <w:sz w:val="24"/>
          <w:szCs w:val="24"/>
          <w:highlight w:val="none"/>
          <w:u w:val="single"/>
          <w:lang w:val="en-US" w:eastAsia="zh-CN"/>
        </w:rPr>
        <w:t xml:space="preserve"> 捌万</w:t>
      </w:r>
      <w:r>
        <w:rPr>
          <w:rFonts w:hint="eastAsia" w:ascii="宋体" w:hAnsi="宋体" w:eastAsia="宋体" w:cs="宋体"/>
          <w:color w:val="auto"/>
          <w:spacing w:val="-1"/>
          <w:sz w:val="24"/>
          <w:szCs w:val="24"/>
          <w:highlight w:val="none"/>
          <w:u w:val="single"/>
          <w:lang w:eastAsia="zh-CN"/>
        </w:rPr>
        <w:t>元</w:t>
      </w:r>
      <w:r>
        <w:rPr>
          <w:rFonts w:hint="eastAsia" w:ascii="宋体" w:hAnsi="宋体" w:eastAsia="宋体" w:cs="宋体"/>
          <w:color w:val="auto"/>
          <w:spacing w:val="-1"/>
          <w:sz w:val="24"/>
          <w:szCs w:val="24"/>
          <w:highlight w:val="none"/>
          <w:u w:val="single"/>
          <w:lang w:val="en-US" w:eastAsia="zh-CN"/>
        </w:rPr>
        <w:t xml:space="preserve"> </w:t>
      </w:r>
      <w:r>
        <w:rPr>
          <w:rFonts w:hint="eastAsia" w:ascii="宋体" w:hAnsi="宋体" w:eastAsia="宋体" w:cs="宋体"/>
          <w:color w:val="auto"/>
          <w:spacing w:val="-1"/>
          <w:sz w:val="24"/>
          <w:szCs w:val="24"/>
          <w:highlight w:val="none"/>
        </w:rPr>
        <w:t>的投标保证。</w:t>
      </w:r>
    </w:p>
    <w:p w14:paraId="00D4B083">
      <w:pPr>
        <w:keepNext w:val="0"/>
        <w:keepLines w:val="0"/>
        <w:pageBreakBefore w:val="0"/>
        <w:overflowPunct/>
        <w:topLinePunct w:val="0"/>
        <w:bidi w:val="0"/>
        <w:spacing w:before="35" w:line="430" w:lineRule="exact"/>
        <w:ind w:left="12" w:right="108" w:firstLine="471"/>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3.3.2  </w:t>
      </w:r>
      <w:r>
        <w:rPr>
          <w:rFonts w:hint="eastAsia" w:ascii="宋体" w:hAnsi="宋体" w:eastAsia="宋体" w:cs="宋体"/>
          <w:color w:val="auto"/>
          <w:spacing w:val="2"/>
          <w:sz w:val="24"/>
          <w:szCs w:val="24"/>
          <w:highlight w:val="none"/>
        </w:rPr>
        <w:t>投标保证的形式包括投标保证金、投标保证担保、投标保证保险三种</w:t>
      </w:r>
      <w:r>
        <w:rPr>
          <w:rFonts w:hint="eastAsia" w:ascii="宋体" w:hAnsi="宋体" w:eastAsia="宋体" w:cs="宋体"/>
          <w:color w:val="auto"/>
          <w:spacing w:val="1"/>
          <w:sz w:val="24"/>
          <w:szCs w:val="24"/>
          <w:highlight w:val="none"/>
        </w:rPr>
        <w:t>，由</w:t>
      </w:r>
      <w:r>
        <w:rPr>
          <w:rFonts w:hint="eastAsia" w:ascii="宋体" w:hAnsi="宋体" w:eastAsia="宋体" w:cs="宋体"/>
          <w:color w:val="auto"/>
          <w:spacing w:val="-2"/>
          <w:sz w:val="24"/>
          <w:szCs w:val="24"/>
          <w:highlight w:val="none"/>
        </w:rPr>
        <w:t>投标人自主选择。</w:t>
      </w:r>
    </w:p>
    <w:p w14:paraId="5A5C7C1A">
      <w:pPr>
        <w:keepNext w:val="0"/>
        <w:keepLines w:val="0"/>
        <w:pageBreakBefore w:val="0"/>
        <w:widowControl w:val="0"/>
        <w:tabs>
          <w:tab w:val="left" w:pos="7020"/>
        </w:tabs>
        <w:kinsoku/>
        <w:wordWrap w:val="0"/>
        <w:overflowPunct/>
        <w:topLinePunct w:val="0"/>
        <w:autoSpaceDE/>
        <w:autoSpaceDN/>
        <w:bidi w:val="0"/>
        <w:adjustRightInd w:val="0"/>
        <w:snapToGrid/>
        <w:spacing w:line="440" w:lineRule="atLeast"/>
        <w:ind w:firstLine="480" w:firstLineChars="200"/>
        <w:rPr>
          <w:rFonts w:hint="eastAsia" w:ascii="宋体" w:hAnsi="宋体" w:eastAsia="宋体" w:cs="宋体"/>
          <w:snapToGrid w:val="0"/>
          <w:color w:val="auto"/>
          <w:kern w:val="0"/>
          <w:sz w:val="24"/>
          <w:szCs w:val="24"/>
          <w:highlight w:val="none"/>
        </w:rPr>
      </w:pPr>
      <w:bookmarkStart w:id="21" w:name="bookmark117"/>
      <w:bookmarkEnd w:id="21"/>
      <w:r>
        <w:rPr>
          <w:rFonts w:hint="eastAsia" w:ascii="宋体" w:hAnsi="宋体" w:eastAsia="宋体" w:cs="宋体"/>
          <w:snapToGrid w:val="0"/>
          <w:color w:val="auto"/>
          <w:kern w:val="0"/>
          <w:sz w:val="24"/>
          <w:szCs w:val="24"/>
          <w:highlight w:val="none"/>
        </w:rPr>
        <w:t>（1）采用投标保证金的，投标人在建设工程交易系统获取招标文件完毕后，即可在系统申请缴纳投标保证金，获取本次招标投标保证金缴纳账号。投标人必须于投标保证金到账截止时间（</w:t>
      </w:r>
      <w:r>
        <w:rPr>
          <w:rFonts w:hint="eastAsia" w:ascii="宋体" w:hAnsi="宋体" w:eastAsia="宋体" w:cs="宋体"/>
          <w:snapToGrid w:val="0"/>
          <w:color w:val="auto"/>
          <w:kern w:val="0"/>
          <w:sz w:val="24"/>
          <w:szCs w:val="24"/>
          <w:highlight w:val="none"/>
          <w:lang w:eastAsia="zh-CN"/>
        </w:rPr>
        <w:t>见本招标文件</w:t>
      </w:r>
      <w:r>
        <w:rPr>
          <w:rFonts w:hint="eastAsia" w:ascii="宋体" w:hAnsi="宋体" w:eastAsia="宋体" w:cs="宋体"/>
          <w:snapToGrid w:val="0"/>
          <w:color w:val="auto"/>
          <w:kern w:val="0"/>
          <w:sz w:val="24"/>
          <w:szCs w:val="24"/>
          <w:highlight w:val="none"/>
        </w:rPr>
        <w:t>“重要事项时间地点一览表”）前，从其基本账户将投标保证金转账到指定的缴纳账号。逾期到账的、从非投标人基本账户转出的，其投标无效。</w:t>
      </w:r>
    </w:p>
    <w:p w14:paraId="082A4785">
      <w:pPr>
        <w:keepNext w:val="0"/>
        <w:keepLines w:val="0"/>
        <w:pageBreakBefore w:val="0"/>
        <w:widowControl w:val="0"/>
        <w:tabs>
          <w:tab w:val="left" w:pos="7020"/>
        </w:tabs>
        <w:kinsoku/>
        <w:wordWrap w:val="0"/>
        <w:overflowPunct/>
        <w:topLinePunct w:val="0"/>
        <w:autoSpaceDE/>
        <w:autoSpaceDN/>
        <w:bidi w:val="0"/>
        <w:adjustRightInd w:val="0"/>
        <w:snapToGrid/>
        <w:spacing w:line="440" w:lineRule="atLeas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（2）采用投标保证担保的，投标人应提交有效的电子保函或保证保险，电子保函或保证保险的有效期不得短于投标有效期。投标人必须在投标保证担保截止时间（详</w:t>
      </w:r>
      <w:r>
        <w:rPr>
          <w:rFonts w:hint="eastAsia" w:ascii="宋体" w:hAnsi="宋体" w:eastAsia="宋体" w:cs="宋体"/>
          <w:snapToGrid w:val="0"/>
          <w:color w:val="auto"/>
          <w:kern w:val="0"/>
          <w:sz w:val="24"/>
          <w:szCs w:val="24"/>
          <w:highlight w:val="none"/>
          <w:lang w:eastAsia="zh-CN"/>
        </w:rPr>
        <w:t>见本招标文件</w:t>
      </w:r>
      <w:r>
        <w:rPr>
          <w:rFonts w:hint="eastAsia" w:ascii="宋体" w:hAnsi="宋体" w:eastAsia="宋体" w:cs="宋体"/>
          <w:snapToGrid w:val="0"/>
          <w:color w:val="auto"/>
          <w:kern w:val="0"/>
          <w:sz w:val="24"/>
          <w:szCs w:val="24"/>
          <w:highlight w:val="none"/>
        </w:rPr>
        <w:t>“重要事项时间地点一览表”）前，使用工程建设交易系统完成网上办理电子保函或保证保险。</w:t>
      </w:r>
    </w:p>
    <w:p w14:paraId="52107F82">
      <w:pPr>
        <w:keepNext w:val="0"/>
        <w:keepLines w:val="0"/>
        <w:pageBreakBefore w:val="0"/>
        <w:widowControl w:val="0"/>
        <w:tabs>
          <w:tab w:val="left" w:pos="7020"/>
        </w:tabs>
        <w:kinsoku/>
        <w:wordWrap w:val="0"/>
        <w:overflowPunct/>
        <w:topLinePunct w:val="0"/>
        <w:autoSpaceDE/>
        <w:autoSpaceDN/>
        <w:bidi w:val="0"/>
        <w:adjustRightInd w:val="0"/>
        <w:snapToGrid/>
        <w:spacing w:line="440" w:lineRule="atLeast"/>
        <w:ind w:firstLine="480" w:firstLineChars="2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（3）采用投标保证保险的，投标人须在投标保证保险投保截止时间（</w:t>
      </w:r>
      <w:r>
        <w:rPr>
          <w:rFonts w:hint="eastAsia" w:ascii="宋体" w:hAnsi="宋体" w:eastAsia="宋体" w:cs="宋体"/>
          <w:snapToGrid w:val="0"/>
          <w:color w:val="auto"/>
          <w:kern w:val="0"/>
          <w:sz w:val="24"/>
          <w:szCs w:val="24"/>
          <w:highlight w:val="none"/>
          <w:lang w:eastAsia="zh-CN"/>
        </w:rPr>
        <w:t>见本招标文件</w:t>
      </w:r>
      <w:r>
        <w:rPr>
          <w:rFonts w:hint="eastAsia" w:ascii="宋体" w:hAnsi="宋体" w:eastAsia="宋体" w:cs="宋体"/>
          <w:snapToGrid w:val="0"/>
          <w:color w:val="auto"/>
          <w:kern w:val="0"/>
          <w:sz w:val="24"/>
          <w:szCs w:val="24"/>
          <w:highlight w:val="none"/>
        </w:rPr>
        <w:t>“重要事项时间地点一览表”）前，使用建设工程交易系统完成网上投保。投标人可在系统选择保险机构、录入投保信息、支付保费、打印电子保单，电子保单的有效期不得短于投标有效期。投标人可登录投标人可登录全国公共资源交易平台（广东省·韶关市）（https</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//ygp.gdzwfw.gov.cn/ggzy-portal/#/440200/index），在【服务指南】栏目中下载《韶关市公共资源建设工程交易系统-投标人操作指南（电子评标）V1.3》，了解网上投保具体操作流程。逾期投保的，其投标无效。</w:t>
      </w:r>
    </w:p>
    <w:p w14:paraId="13D44890">
      <w:pPr>
        <w:keepNext w:val="0"/>
        <w:keepLines w:val="0"/>
        <w:pageBreakBefore w:val="0"/>
        <w:widowControl w:val="0"/>
        <w:tabs>
          <w:tab w:val="left" w:pos="7020"/>
        </w:tabs>
        <w:kinsoku/>
        <w:wordWrap w:val="0"/>
        <w:overflowPunct/>
        <w:topLinePunct w:val="0"/>
        <w:autoSpaceDE/>
        <w:autoSpaceDN/>
        <w:bidi w:val="0"/>
        <w:adjustRightInd w:val="0"/>
        <w:snapToGrid/>
        <w:spacing w:line="440" w:lineRule="atLeas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温馨提</w:t>
      </w:r>
      <w:r>
        <w:rPr>
          <w:rFonts w:hint="eastAsia" w:ascii="宋体" w:hAnsi="宋体" w:eastAsia="宋体" w:cs="宋体"/>
          <w:snapToGrid w:val="0"/>
          <w:color w:val="auto"/>
          <w:kern w:val="0"/>
          <w:sz w:val="24"/>
          <w:szCs w:val="24"/>
          <w:highlight w:val="none"/>
          <w:lang w:eastAsia="zh-CN"/>
        </w:rPr>
        <w:t>示</w:t>
      </w:r>
      <w:r>
        <w:rPr>
          <w:rFonts w:hint="eastAsia" w:ascii="宋体" w:hAnsi="宋体" w:eastAsia="宋体" w:cs="宋体"/>
          <w:snapToGrid w:val="0"/>
          <w:color w:val="auto"/>
          <w:kern w:val="0"/>
          <w:sz w:val="24"/>
          <w:szCs w:val="24"/>
          <w:highlight w:val="none"/>
        </w:rPr>
        <w:t>：1.投标人采用投标保证担保或投标保证保险的，为避免在评标过程中因有效期发生争议，建议投标人将银行保函或电子保单有效期设置为较招标文件规定的投标有效期延长不少于20个日历天。</w:t>
      </w:r>
    </w:p>
    <w:p w14:paraId="2ECF050A">
      <w:pPr>
        <w:keepNext w:val="0"/>
        <w:keepLines w:val="0"/>
        <w:pageBreakBefore w:val="0"/>
        <w:overflowPunct/>
        <w:topLinePunct w:val="0"/>
        <w:bidi w:val="0"/>
        <w:spacing w:before="78" w:line="430" w:lineRule="exact"/>
        <w:ind w:left="12" w:right="2" w:firstLine="490"/>
        <w:jc w:val="both"/>
        <w:rPr>
          <w:rFonts w:hint="eastAsia" w:ascii="宋体" w:hAnsi="宋体" w:eastAsia="宋体" w:cs="宋体"/>
          <w:color w:val="auto"/>
          <w:highlight w:val="none"/>
        </w:rPr>
      </w:pPr>
      <w:r>
        <w:rPr>
          <w:rFonts w:hint="eastAsia" w:ascii="宋体" w:hAnsi="宋体" w:eastAsia="宋体" w:cs="宋体"/>
          <w:color w:val="auto"/>
          <w:spacing w:val="-3"/>
          <w:sz w:val="24"/>
          <w:szCs w:val="24"/>
          <w:highlight w:val="none"/>
        </w:rPr>
        <w:t>3.4  若投标人因自身原因未能正确完成获取招标文件</w:t>
      </w:r>
      <w:r>
        <w:rPr>
          <w:rFonts w:hint="eastAsia" w:ascii="宋体" w:hAnsi="宋体" w:eastAsia="宋体" w:cs="宋体"/>
          <w:color w:val="auto"/>
          <w:sz w:val="24"/>
          <w:szCs w:val="24"/>
          <w:highlight w:val="none"/>
        </w:rPr>
        <w:t>、电子投标、缴纳投标保证</w:t>
      </w:r>
      <w:r>
        <w:rPr>
          <w:rFonts w:hint="eastAsia" w:ascii="宋体" w:hAnsi="宋体" w:eastAsia="宋体" w:cs="宋体"/>
          <w:color w:val="auto"/>
          <w:spacing w:val="-4"/>
          <w:sz w:val="24"/>
          <w:szCs w:val="24"/>
          <w:highlight w:val="none"/>
        </w:rPr>
        <w:t>的，其投标无效。</w:t>
      </w:r>
    </w:p>
    <w:p w14:paraId="1F207DB9">
      <w:pPr>
        <w:keepNext w:val="0"/>
        <w:keepLines w:val="0"/>
        <w:pageBreakBefore w:val="0"/>
        <w:overflowPunct/>
        <w:topLinePunct w:val="0"/>
        <w:bidi w:val="0"/>
        <w:spacing w:before="79" w:line="430" w:lineRule="exact"/>
        <w:ind w:left="487"/>
        <w:outlineLvl w:val="2"/>
        <w:rPr>
          <w:rFonts w:hint="eastAsia" w:ascii="宋体" w:hAnsi="宋体" w:eastAsia="宋体" w:cs="宋体"/>
          <w:color w:val="auto"/>
          <w:sz w:val="24"/>
          <w:szCs w:val="24"/>
          <w:highlight w:val="none"/>
        </w:rPr>
      </w:pPr>
      <w:bookmarkStart w:id="22" w:name="bookmark78"/>
      <w:bookmarkEnd w:id="22"/>
      <w:bookmarkStart w:id="23" w:name="bookmark64"/>
      <w:bookmarkEnd w:id="23"/>
      <w:bookmarkStart w:id="24" w:name="_Toc603"/>
      <w:bookmarkStart w:id="25" w:name="_Toc27100"/>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27"/>
          <w:sz w:val="24"/>
          <w:szCs w:val="24"/>
          <w:highlight w:val="none"/>
          <w:lang w:eastAsia="zh-CN"/>
        </w:rPr>
        <w:t>.</w:t>
      </w:r>
      <w:r>
        <w:rPr>
          <w:rFonts w:hint="eastAsia" w:ascii="宋体" w:hAnsi="宋体" w:eastAsia="宋体" w:cs="宋体"/>
          <w:b/>
          <w:bCs/>
          <w:color w:val="auto"/>
          <w:spacing w:val="-8"/>
          <w:sz w:val="24"/>
          <w:szCs w:val="24"/>
          <w:highlight w:val="none"/>
        </w:rPr>
        <w:t>工期要求</w:t>
      </w:r>
      <w:bookmarkEnd w:id="24"/>
      <w:bookmarkEnd w:id="25"/>
    </w:p>
    <w:p w14:paraId="66D70BC5">
      <w:pPr>
        <w:keepNext w:val="0"/>
        <w:keepLines w:val="0"/>
        <w:pageBreakBefore w:val="0"/>
        <w:overflowPunct/>
        <w:topLinePunct w:val="0"/>
        <w:bidi w:val="0"/>
        <w:spacing w:before="153" w:line="430" w:lineRule="exact"/>
        <w:ind w:left="30" w:right="65" w:firstLine="4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本招标项目招标工期为</w:t>
      </w:r>
      <w:r>
        <w:rPr>
          <w:rFonts w:hint="eastAsia" w:ascii="宋体" w:hAnsi="宋体" w:eastAsia="宋体" w:cs="宋体"/>
          <w:color w:val="auto"/>
          <w:spacing w:val="-2"/>
          <w:sz w:val="24"/>
          <w:szCs w:val="24"/>
          <w:highlight w:val="none"/>
          <w:u w:val="single"/>
          <w:lang w:val="en-US" w:eastAsia="zh-CN"/>
        </w:rPr>
        <w:t>60个日历天</w:t>
      </w:r>
      <w:r>
        <w:rPr>
          <w:rFonts w:hint="eastAsia" w:ascii="宋体" w:hAnsi="宋体" w:eastAsia="宋体" w:cs="宋体"/>
          <w:color w:val="auto"/>
          <w:spacing w:val="-2"/>
          <w:sz w:val="24"/>
          <w:szCs w:val="24"/>
          <w:highlight w:val="none"/>
        </w:rPr>
        <w:t>，中标人必须在招标工期内完成招标范围内</w:t>
      </w:r>
      <w:r>
        <w:rPr>
          <w:rFonts w:hint="eastAsia" w:ascii="宋体" w:hAnsi="宋体" w:eastAsia="宋体" w:cs="宋体"/>
          <w:color w:val="auto"/>
          <w:spacing w:val="-5"/>
          <w:sz w:val="24"/>
          <w:szCs w:val="24"/>
          <w:highlight w:val="none"/>
        </w:rPr>
        <w:t>的全部内容。</w:t>
      </w:r>
    </w:p>
    <w:p w14:paraId="61BF8EA9">
      <w:pPr>
        <w:keepNext w:val="0"/>
        <w:keepLines w:val="0"/>
        <w:pageBreakBefore w:val="0"/>
        <w:overflowPunct/>
        <w:topLinePunct w:val="0"/>
        <w:bidi w:val="0"/>
        <w:spacing w:before="78" w:line="430" w:lineRule="exact"/>
        <w:ind w:left="488"/>
        <w:outlineLvl w:val="2"/>
        <w:rPr>
          <w:rFonts w:hint="eastAsia" w:ascii="宋体" w:hAnsi="宋体" w:eastAsia="宋体" w:cs="宋体"/>
          <w:color w:val="auto"/>
          <w:sz w:val="24"/>
          <w:szCs w:val="24"/>
          <w:highlight w:val="none"/>
        </w:rPr>
      </w:pPr>
      <w:bookmarkStart w:id="26" w:name="_Toc8660"/>
      <w:bookmarkStart w:id="27" w:name="_Toc3173"/>
      <w:r>
        <w:rPr>
          <w:rFonts w:hint="eastAsia" w:ascii="宋体" w:hAnsi="宋体" w:eastAsia="宋体" w:cs="宋体"/>
          <w:b/>
          <w:bCs/>
          <w:color w:val="auto"/>
          <w:spacing w:val="-5"/>
          <w:sz w:val="24"/>
          <w:szCs w:val="24"/>
          <w:highlight w:val="none"/>
        </w:rPr>
        <w:t>5</w:t>
      </w:r>
      <w:r>
        <w:rPr>
          <w:rFonts w:hint="eastAsia" w:ascii="宋体" w:hAnsi="宋体" w:eastAsia="宋体" w:cs="宋体"/>
          <w:b/>
          <w:bCs/>
          <w:color w:val="auto"/>
          <w:spacing w:val="-20"/>
          <w:sz w:val="24"/>
          <w:szCs w:val="24"/>
          <w:highlight w:val="none"/>
          <w:lang w:eastAsia="zh-CN"/>
        </w:rPr>
        <w:t>.</w:t>
      </w:r>
      <w:r>
        <w:rPr>
          <w:rFonts w:hint="eastAsia" w:ascii="宋体" w:hAnsi="宋体" w:eastAsia="宋体" w:cs="宋体"/>
          <w:b/>
          <w:bCs/>
          <w:color w:val="auto"/>
          <w:spacing w:val="-5"/>
          <w:sz w:val="24"/>
          <w:szCs w:val="24"/>
          <w:highlight w:val="none"/>
        </w:rPr>
        <w:t>质量标准和材料、机械要求</w:t>
      </w:r>
      <w:bookmarkEnd w:id="26"/>
      <w:bookmarkEnd w:id="27"/>
    </w:p>
    <w:p w14:paraId="378EB029">
      <w:pPr>
        <w:keepNext w:val="0"/>
        <w:keepLines w:val="0"/>
        <w:pageBreakBefore w:val="0"/>
        <w:overflowPunct/>
        <w:topLinePunct w:val="0"/>
        <w:bidi w:val="0"/>
        <w:spacing w:before="154" w:line="430" w:lineRule="exact"/>
        <w:ind w:left="11" w:right="99"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5.1  </w:t>
      </w:r>
      <w:r>
        <w:rPr>
          <w:rFonts w:hint="eastAsia" w:ascii="宋体" w:hAnsi="宋体" w:eastAsia="宋体" w:cs="宋体"/>
          <w:snapToGrid w:val="0"/>
          <w:color w:val="auto"/>
          <w:kern w:val="0"/>
          <w:sz w:val="24"/>
          <w:szCs w:val="24"/>
          <w:highlight w:val="none"/>
          <w:u w:val="none"/>
        </w:rPr>
        <w:t>施工工艺严格按照国家和广东省的有关现行施工技术规范及标准执行，工程质量标准须达到</w:t>
      </w:r>
      <w:r>
        <w:rPr>
          <w:rFonts w:hint="eastAsia" w:ascii="宋体" w:hAnsi="宋体" w:eastAsia="宋体" w:cs="宋体"/>
          <w:snapToGrid w:val="0"/>
          <w:color w:val="auto"/>
          <w:kern w:val="0"/>
          <w:sz w:val="24"/>
          <w:szCs w:val="24"/>
          <w:highlight w:val="none"/>
          <w:u w:val="single"/>
        </w:rPr>
        <w:t>合格</w:t>
      </w:r>
      <w:r>
        <w:rPr>
          <w:rFonts w:hint="eastAsia" w:ascii="宋体" w:hAnsi="宋体" w:eastAsia="宋体" w:cs="宋体"/>
          <w:color w:val="auto"/>
          <w:sz w:val="24"/>
          <w:szCs w:val="24"/>
          <w:highlight w:val="none"/>
        </w:rPr>
        <w:t>。</w:t>
      </w:r>
    </w:p>
    <w:p w14:paraId="11DFA9F6">
      <w:pPr>
        <w:keepNext w:val="0"/>
        <w:keepLines w:val="0"/>
        <w:pageBreakBefore w:val="0"/>
        <w:overflowPunct/>
        <w:topLinePunct w:val="0"/>
        <w:bidi w:val="0"/>
        <w:spacing w:before="154" w:line="430" w:lineRule="exact"/>
        <w:ind w:left="11" w:right="99" w:firstLine="477"/>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3"/>
          <w:sz w:val="24"/>
          <w:szCs w:val="24"/>
          <w:highlight w:val="none"/>
        </w:rPr>
        <w:t>5.2</w:t>
      </w:r>
      <w:r>
        <w:rPr>
          <w:rFonts w:hint="eastAsia" w:ascii="宋体" w:hAnsi="宋体" w:eastAsia="宋体" w:cs="宋体"/>
          <w:b/>
          <w:bCs/>
          <w:color w:val="auto"/>
          <w:spacing w:val="21"/>
          <w:w w:val="101"/>
          <w:sz w:val="24"/>
          <w:szCs w:val="24"/>
          <w:highlight w:val="none"/>
        </w:rPr>
        <w:t xml:space="preserve">  </w:t>
      </w:r>
      <w:r>
        <w:rPr>
          <w:rFonts w:hint="eastAsia" w:ascii="宋体" w:hAnsi="宋体" w:eastAsia="宋体" w:cs="宋体"/>
          <w:color w:val="auto"/>
          <w:spacing w:val="-3"/>
          <w:sz w:val="24"/>
          <w:szCs w:val="24"/>
          <w:highlight w:val="none"/>
        </w:rPr>
        <w:t>中标人在施工中如果工程质量不符合设计要求和有关规定，招标人或监理单</w:t>
      </w:r>
      <w:r>
        <w:rPr>
          <w:rFonts w:hint="eastAsia" w:ascii="宋体" w:hAnsi="宋体" w:eastAsia="宋体" w:cs="宋体"/>
          <w:color w:val="auto"/>
          <w:sz w:val="24"/>
          <w:szCs w:val="24"/>
          <w:highlight w:val="none"/>
        </w:rPr>
        <w:t>位要求停工和返工的必须立即执行，并承担由此产生的各</w:t>
      </w:r>
      <w:r>
        <w:rPr>
          <w:rFonts w:hint="eastAsia" w:ascii="宋体" w:hAnsi="宋体" w:eastAsia="宋体" w:cs="宋体"/>
          <w:color w:val="auto"/>
          <w:spacing w:val="-1"/>
          <w:sz w:val="24"/>
          <w:szCs w:val="24"/>
          <w:highlight w:val="none"/>
        </w:rPr>
        <w:t>种费用，工期不予顺延。</w:t>
      </w:r>
    </w:p>
    <w:p w14:paraId="62B0F834">
      <w:pPr>
        <w:keepNext w:val="0"/>
        <w:keepLines w:val="0"/>
        <w:pageBreakBefore w:val="0"/>
        <w:overflowPunct/>
        <w:topLinePunct w:val="0"/>
        <w:bidi w:val="0"/>
        <w:spacing w:before="154" w:line="430" w:lineRule="exact"/>
        <w:ind w:left="11" w:right="99" w:firstLine="477"/>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6"/>
          <w:sz w:val="24"/>
          <w:szCs w:val="24"/>
          <w:highlight w:val="none"/>
        </w:rPr>
        <w:t xml:space="preserve">5.3  </w:t>
      </w:r>
      <w:r>
        <w:rPr>
          <w:rFonts w:hint="eastAsia" w:ascii="宋体" w:hAnsi="宋体" w:eastAsia="宋体" w:cs="宋体"/>
          <w:color w:val="auto"/>
          <w:spacing w:val="-6"/>
          <w:sz w:val="24"/>
          <w:szCs w:val="24"/>
          <w:highlight w:val="none"/>
        </w:rPr>
        <w:t>保修期限按《建设工程质量管理条例》（中华人民共和国国务院令第279号）</w:t>
      </w:r>
      <w:r>
        <w:rPr>
          <w:rFonts w:hint="eastAsia" w:ascii="宋体" w:hAnsi="宋体" w:eastAsia="宋体" w:cs="宋体"/>
          <w:color w:val="auto"/>
          <w:spacing w:val="-1"/>
          <w:sz w:val="24"/>
          <w:szCs w:val="24"/>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14768B5B">
      <w:pPr>
        <w:keepNext w:val="0"/>
        <w:keepLines w:val="0"/>
        <w:pageBreakBefore w:val="0"/>
        <w:overflowPunct/>
        <w:topLinePunct w:val="0"/>
        <w:bidi w:val="0"/>
        <w:spacing w:before="154" w:line="430" w:lineRule="exact"/>
        <w:ind w:left="11" w:right="99" w:firstLine="477"/>
        <w:rPr>
          <w:rFonts w:hint="eastAsia" w:ascii="宋体" w:hAnsi="宋体" w:eastAsia="宋体" w:cs="宋体"/>
          <w:b/>
          <w:bCs/>
          <w:color w:val="auto"/>
          <w:spacing w:val="-6"/>
          <w:sz w:val="24"/>
          <w:szCs w:val="24"/>
          <w:highlight w:val="none"/>
        </w:rPr>
      </w:pPr>
      <w:r>
        <w:rPr>
          <w:rFonts w:hint="eastAsia" w:ascii="宋体" w:hAnsi="宋体" w:eastAsia="宋体" w:cs="宋体"/>
          <w:b/>
          <w:bCs/>
          <w:color w:val="auto"/>
          <w:spacing w:val="-6"/>
          <w:sz w:val="24"/>
          <w:szCs w:val="24"/>
          <w:highlight w:val="none"/>
        </w:rPr>
        <w:t xml:space="preserve">5.4 </w:t>
      </w:r>
      <w:r>
        <w:rPr>
          <w:rFonts w:hint="eastAsia" w:ascii="宋体" w:hAnsi="宋体" w:eastAsia="宋体" w:cs="宋体"/>
          <w:b w:val="0"/>
          <w:bCs w:val="0"/>
          <w:color w:val="auto"/>
          <w:spacing w:val="-6"/>
          <w:sz w:val="24"/>
          <w:szCs w:val="24"/>
          <w:highlight w:val="none"/>
        </w:rPr>
        <w:t>本招标项目</w:t>
      </w:r>
      <w:r>
        <w:rPr>
          <w:rFonts w:hint="eastAsia" w:ascii="宋体" w:hAnsi="宋体" w:eastAsia="宋体" w:cs="宋体"/>
          <w:b w:val="0"/>
          <w:bCs w:val="0"/>
          <w:color w:val="auto"/>
          <w:spacing w:val="-6"/>
          <w:sz w:val="24"/>
          <w:szCs w:val="24"/>
          <w:highlight w:val="none"/>
          <w:lang w:eastAsia="zh-CN"/>
        </w:rPr>
        <w:t>不</w:t>
      </w:r>
      <w:r>
        <w:rPr>
          <w:rFonts w:hint="eastAsia" w:ascii="宋体" w:hAnsi="宋体" w:eastAsia="宋体" w:cs="宋体"/>
          <w:b w:val="0"/>
          <w:bCs w:val="0"/>
          <w:color w:val="auto"/>
          <w:spacing w:val="-6"/>
          <w:sz w:val="24"/>
          <w:szCs w:val="24"/>
          <w:highlight w:val="none"/>
        </w:rPr>
        <w:t>纳入绿色建筑实施范围</w:t>
      </w:r>
      <w:r>
        <w:rPr>
          <w:rFonts w:hint="eastAsia" w:ascii="宋体" w:hAnsi="宋体" w:eastAsia="宋体" w:cs="宋体"/>
          <w:b w:val="0"/>
          <w:bCs w:val="0"/>
          <w:color w:val="auto"/>
          <w:spacing w:val="-6"/>
          <w:sz w:val="24"/>
          <w:szCs w:val="24"/>
          <w:highlight w:val="none"/>
          <w:lang w:eastAsia="zh-CN"/>
        </w:rPr>
        <w:t>。</w:t>
      </w:r>
    </w:p>
    <w:p w14:paraId="4052F46F">
      <w:pPr>
        <w:keepNext w:val="0"/>
        <w:keepLines w:val="0"/>
        <w:pageBreakBefore w:val="0"/>
        <w:overflowPunct/>
        <w:topLinePunct w:val="0"/>
        <w:bidi w:val="0"/>
        <w:spacing w:before="154" w:line="430" w:lineRule="exact"/>
        <w:ind w:left="11" w:right="99" w:firstLine="477"/>
        <w:rPr>
          <w:rFonts w:hint="eastAsia" w:ascii="宋体" w:hAnsi="宋体" w:eastAsia="宋体" w:cs="宋体"/>
          <w:b w:val="0"/>
          <w:bCs w:val="0"/>
          <w:color w:val="auto"/>
          <w:spacing w:val="-6"/>
          <w:sz w:val="24"/>
          <w:szCs w:val="24"/>
          <w:highlight w:val="none"/>
        </w:rPr>
      </w:pPr>
      <w:r>
        <w:rPr>
          <w:rFonts w:hint="eastAsia" w:ascii="宋体" w:hAnsi="宋体" w:eastAsia="宋体" w:cs="宋体"/>
          <w:b/>
          <w:bCs/>
          <w:color w:val="auto"/>
          <w:spacing w:val="-6"/>
          <w:sz w:val="24"/>
          <w:szCs w:val="24"/>
          <w:highlight w:val="none"/>
        </w:rPr>
        <w:t xml:space="preserve">5.5 </w:t>
      </w:r>
      <w:r>
        <w:rPr>
          <w:rFonts w:hint="eastAsia" w:ascii="宋体" w:hAnsi="宋体" w:eastAsia="宋体" w:cs="宋体"/>
          <w:b w:val="0"/>
          <w:bCs w:val="0"/>
          <w:color w:val="auto"/>
          <w:spacing w:val="-6"/>
          <w:sz w:val="24"/>
          <w:szCs w:val="24"/>
          <w:highlight w:val="none"/>
        </w:rPr>
        <w:t>其它：招标项目</w:t>
      </w:r>
      <w:r>
        <w:rPr>
          <w:rFonts w:hint="eastAsia" w:ascii="宋体" w:hAnsi="宋体" w:eastAsia="宋体" w:cs="宋体"/>
          <w:b w:val="0"/>
          <w:bCs w:val="0"/>
          <w:color w:val="auto"/>
          <w:spacing w:val="-6"/>
          <w:sz w:val="24"/>
          <w:szCs w:val="24"/>
          <w:highlight w:val="none"/>
          <w:lang w:eastAsia="zh-CN"/>
        </w:rPr>
        <w:t>不</w:t>
      </w:r>
      <w:r>
        <w:rPr>
          <w:rFonts w:hint="eastAsia" w:ascii="宋体" w:hAnsi="宋体" w:eastAsia="宋体" w:cs="宋体"/>
          <w:b w:val="0"/>
          <w:bCs w:val="0"/>
          <w:color w:val="auto"/>
          <w:spacing w:val="-6"/>
          <w:sz w:val="24"/>
          <w:szCs w:val="24"/>
          <w:highlight w:val="none"/>
        </w:rPr>
        <w:t>纳入装配式建造建设实施范围。</w:t>
      </w:r>
    </w:p>
    <w:p w14:paraId="2B98F77A">
      <w:pPr>
        <w:keepNext w:val="0"/>
        <w:keepLines w:val="0"/>
        <w:pageBreakBefore w:val="0"/>
        <w:overflowPunct/>
        <w:topLinePunct w:val="0"/>
        <w:bidi w:val="0"/>
        <w:spacing w:before="154" w:line="430" w:lineRule="exact"/>
        <w:ind w:left="11" w:right="99" w:firstLine="477"/>
        <w:rPr>
          <w:rFonts w:hint="eastAsia" w:ascii="宋体" w:hAnsi="宋体" w:eastAsia="宋体" w:cs="宋体"/>
          <w:b w:val="0"/>
          <w:bCs w:val="0"/>
          <w:color w:val="auto"/>
          <w:spacing w:val="-6"/>
          <w:sz w:val="24"/>
          <w:szCs w:val="24"/>
          <w:highlight w:val="none"/>
        </w:rPr>
      </w:pPr>
      <w:r>
        <w:rPr>
          <w:rFonts w:hint="eastAsia" w:ascii="宋体" w:hAnsi="宋体" w:eastAsia="宋体" w:cs="宋体"/>
          <w:b/>
          <w:bCs/>
          <w:color w:val="auto"/>
          <w:spacing w:val="-6"/>
          <w:sz w:val="24"/>
          <w:szCs w:val="24"/>
          <w:highlight w:val="none"/>
        </w:rPr>
        <w:t xml:space="preserve">5.6 </w:t>
      </w:r>
      <w:r>
        <w:rPr>
          <w:rFonts w:hint="eastAsia" w:ascii="宋体" w:hAnsi="宋体" w:eastAsia="宋体" w:cs="宋体"/>
          <w:b w:val="0"/>
          <w:bCs w:val="0"/>
          <w:color w:val="auto"/>
          <w:spacing w:val="-6"/>
          <w:sz w:val="24"/>
          <w:szCs w:val="24"/>
          <w:highlight w:val="none"/>
        </w:rPr>
        <w:t>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b w:val="0"/>
          <w:bCs w:val="0"/>
          <w:color w:val="auto"/>
          <w:spacing w:val="-6"/>
          <w:sz w:val="24"/>
          <w:szCs w:val="24"/>
          <w:highlight w:val="none"/>
          <w:lang w:eastAsia="zh-CN"/>
        </w:rPr>
        <w:t>，</w:t>
      </w:r>
      <w:r>
        <w:rPr>
          <w:rFonts w:hint="eastAsia" w:ascii="宋体" w:hAnsi="宋体" w:eastAsia="宋体" w:cs="宋体"/>
          <w:b w:val="0"/>
          <w:bCs w:val="0"/>
          <w:color w:val="auto"/>
          <w:spacing w:val="-6"/>
          <w:sz w:val="24"/>
          <w:szCs w:val="24"/>
          <w:highlight w:val="none"/>
        </w:rPr>
        <w:t>则中标人必须使用合格材料或设备。</w:t>
      </w:r>
    </w:p>
    <w:p w14:paraId="752C9260">
      <w:pPr>
        <w:keepNext w:val="0"/>
        <w:keepLines w:val="0"/>
        <w:pageBreakBefore w:val="0"/>
        <w:overflowPunct/>
        <w:topLinePunct w:val="0"/>
        <w:bidi w:val="0"/>
        <w:spacing w:before="154" w:line="430" w:lineRule="exact"/>
        <w:ind w:left="11" w:right="99" w:firstLine="477"/>
        <w:rPr>
          <w:rFonts w:hint="eastAsia" w:ascii="宋体" w:hAnsi="宋体" w:eastAsia="宋体" w:cs="宋体"/>
          <w:b w:val="0"/>
          <w:bCs w:val="0"/>
          <w:color w:val="auto"/>
          <w:spacing w:val="-6"/>
          <w:sz w:val="24"/>
          <w:szCs w:val="24"/>
          <w:highlight w:val="none"/>
        </w:rPr>
      </w:pPr>
      <w:r>
        <w:rPr>
          <w:rFonts w:hint="eastAsia" w:ascii="宋体" w:hAnsi="宋体" w:eastAsia="宋体" w:cs="宋体"/>
          <w:b/>
          <w:bCs/>
          <w:color w:val="auto"/>
          <w:spacing w:val="-6"/>
          <w:sz w:val="24"/>
          <w:szCs w:val="24"/>
          <w:highlight w:val="none"/>
        </w:rPr>
        <w:t>5.</w:t>
      </w:r>
      <w:r>
        <w:rPr>
          <w:rFonts w:hint="eastAsia" w:ascii="宋体" w:hAnsi="宋体" w:eastAsia="宋体" w:cs="宋体"/>
          <w:b/>
          <w:bCs/>
          <w:color w:val="auto"/>
          <w:spacing w:val="-6"/>
          <w:sz w:val="24"/>
          <w:szCs w:val="24"/>
          <w:highlight w:val="none"/>
          <w:lang w:eastAsia="zh-CN"/>
        </w:rPr>
        <w:t>7</w:t>
      </w:r>
      <w:r>
        <w:rPr>
          <w:rFonts w:hint="eastAsia" w:ascii="宋体" w:hAnsi="宋体" w:eastAsia="宋体" w:cs="宋体"/>
          <w:b/>
          <w:bCs/>
          <w:color w:val="auto"/>
          <w:spacing w:val="-6"/>
          <w:sz w:val="24"/>
          <w:szCs w:val="24"/>
          <w:highlight w:val="none"/>
        </w:rPr>
        <w:t xml:space="preserve"> </w:t>
      </w:r>
      <w:r>
        <w:rPr>
          <w:rFonts w:hint="eastAsia" w:ascii="宋体" w:hAnsi="宋体" w:eastAsia="宋体" w:cs="宋体"/>
          <w:b w:val="0"/>
          <w:bCs w:val="0"/>
          <w:color w:val="auto"/>
          <w:spacing w:val="-6"/>
          <w:sz w:val="24"/>
          <w:szCs w:val="24"/>
          <w:highlight w:val="none"/>
        </w:rPr>
        <w:t>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3DD5535D">
      <w:pPr>
        <w:keepNext w:val="0"/>
        <w:keepLines w:val="0"/>
        <w:pageBreakBefore w:val="0"/>
        <w:overflowPunct/>
        <w:topLinePunct w:val="0"/>
        <w:bidi w:val="0"/>
        <w:spacing w:before="78" w:line="430" w:lineRule="exact"/>
        <w:ind w:left="489"/>
        <w:outlineLvl w:val="2"/>
        <w:rPr>
          <w:rFonts w:hint="eastAsia" w:ascii="宋体" w:hAnsi="宋体" w:eastAsia="宋体" w:cs="宋体"/>
          <w:color w:val="auto"/>
          <w:sz w:val="24"/>
          <w:szCs w:val="24"/>
          <w:highlight w:val="none"/>
        </w:rPr>
      </w:pPr>
      <w:bookmarkStart w:id="28" w:name="_Toc6089"/>
      <w:bookmarkStart w:id="29" w:name="_Toc20271"/>
      <w:r>
        <w:rPr>
          <w:rFonts w:hint="eastAsia" w:ascii="宋体" w:hAnsi="宋体" w:eastAsia="宋体" w:cs="宋体"/>
          <w:b/>
          <w:bCs/>
          <w:color w:val="auto"/>
          <w:spacing w:val="-6"/>
          <w:sz w:val="24"/>
          <w:szCs w:val="24"/>
          <w:highlight w:val="none"/>
        </w:rPr>
        <w:t>6</w:t>
      </w:r>
      <w:r>
        <w:rPr>
          <w:rFonts w:hint="eastAsia" w:ascii="宋体" w:hAnsi="宋体" w:eastAsia="宋体" w:cs="宋体"/>
          <w:b/>
          <w:bCs/>
          <w:color w:val="auto"/>
          <w:spacing w:val="-20"/>
          <w:sz w:val="24"/>
          <w:szCs w:val="24"/>
          <w:highlight w:val="none"/>
          <w:lang w:eastAsia="zh-CN"/>
        </w:rPr>
        <w:t>.</w:t>
      </w:r>
      <w:r>
        <w:rPr>
          <w:rFonts w:hint="eastAsia" w:ascii="宋体" w:hAnsi="宋体" w:eastAsia="宋体" w:cs="宋体"/>
          <w:b/>
          <w:bCs/>
          <w:color w:val="auto"/>
          <w:spacing w:val="-6"/>
          <w:sz w:val="24"/>
          <w:szCs w:val="24"/>
          <w:highlight w:val="none"/>
        </w:rPr>
        <w:t>施工条件及现场踏勘</w:t>
      </w:r>
      <w:bookmarkEnd w:id="28"/>
      <w:bookmarkEnd w:id="29"/>
    </w:p>
    <w:p w14:paraId="47886F4E">
      <w:pPr>
        <w:keepNext w:val="0"/>
        <w:keepLines w:val="0"/>
        <w:pageBreakBefore w:val="0"/>
        <w:overflowPunct/>
        <w:topLinePunct w:val="0"/>
        <w:bidi w:val="0"/>
        <w:spacing w:before="155" w:line="430" w:lineRule="exact"/>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6.1  </w:t>
      </w:r>
      <w:r>
        <w:rPr>
          <w:rFonts w:hint="eastAsia" w:ascii="宋体" w:hAnsi="宋体" w:eastAsia="宋体" w:cs="宋体"/>
          <w:color w:val="auto"/>
          <w:spacing w:val="-2"/>
          <w:sz w:val="24"/>
          <w:szCs w:val="24"/>
          <w:highlight w:val="none"/>
        </w:rPr>
        <w:t>招标人仅在本招标项目征地红线范围内提供场地，其他一切场地费用由中标人自行负责（含临时道路）。</w:t>
      </w:r>
    </w:p>
    <w:p w14:paraId="5236FC97">
      <w:pPr>
        <w:keepNext w:val="0"/>
        <w:keepLines w:val="0"/>
        <w:pageBreakBefore w:val="0"/>
        <w:overflowPunct/>
        <w:topLinePunct w:val="0"/>
        <w:bidi w:val="0"/>
        <w:spacing w:before="155" w:line="430" w:lineRule="exact"/>
        <w:ind w:left="12" w:right="99" w:firstLine="556"/>
        <w:rPr>
          <w:rFonts w:hint="eastAsia" w:ascii="宋体" w:hAnsi="宋体" w:eastAsia="宋体" w:cs="宋体"/>
          <w:color w:val="auto"/>
          <w:spacing w:val="-2"/>
          <w:sz w:val="24"/>
          <w:szCs w:val="24"/>
          <w:highlight w:val="none"/>
        </w:rPr>
      </w:pPr>
      <w:bookmarkStart w:id="30" w:name="bookmark118"/>
      <w:bookmarkEnd w:id="30"/>
      <w:r>
        <w:rPr>
          <w:rFonts w:hint="eastAsia" w:ascii="宋体" w:hAnsi="宋体" w:eastAsia="宋体" w:cs="宋体"/>
          <w:b/>
          <w:bCs/>
          <w:color w:val="auto"/>
          <w:spacing w:val="-2"/>
          <w:sz w:val="24"/>
          <w:szCs w:val="24"/>
          <w:highlight w:val="none"/>
        </w:rPr>
        <w:t>6.2</w:t>
      </w:r>
      <w:r>
        <w:rPr>
          <w:rFonts w:hint="eastAsia" w:ascii="宋体" w:hAnsi="宋体" w:eastAsia="宋体" w:cs="宋体"/>
          <w:color w:val="auto"/>
          <w:spacing w:val="-2"/>
          <w:sz w:val="24"/>
          <w:szCs w:val="24"/>
          <w:highlight w:val="none"/>
        </w:rPr>
        <w:t xml:space="preserve">  施工用水：</w:t>
      </w:r>
      <w:r>
        <w:rPr>
          <w:rFonts w:hint="eastAsia" w:ascii="宋体" w:hAnsi="宋体" w:eastAsia="宋体" w:cs="宋体"/>
          <w:color w:val="auto"/>
          <w:spacing w:val="-2"/>
          <w:sz w:val="24"/>
          <w:szCs w:val="24"/>
          <w:highlight w:val="none"/>
          <w:u w:val="single"/>
        </w:rPr>
        <w:t>由中标人自行解决，费用考虑在投标报价中</w:t>
      </w:r>
      <w:r>
        <w:rPr>
          <w:rFonts w:hint="eastAsia" w:ascii="宋体" w:hAnsi="宋体" w:eastAsia="宋体" w:cs="宋体"/>
          <w:color w:val="auto"/>
          <w:spacing w:val="-2"/>
          <w:sz w:val="24"/>
          <w:szCs w:val="24"/>
          <w:highlight w:val="none"/>
        </w:rPr>
        <w:t>。</w:t>
      </w:r>
    </w:p>
    <w:p w14:paraId="0044A9BC">
      <w:pPr>
        <w:keepNext w:val="0"/>
        <w:keepLines w:val="0"/>
        <w:pageBreakBefore w:val="0"/>
        <w:overflowPunct/>
        <w:topLinePunct w:val="0"/>
        <w:bidi w:val="0"/>
        <w:spacing w:before="155" w:line="430" w:lineRule="exact"/>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6.3</w:t>
      </w:r>
      <w:r>
        <w:rPr>
          <w:rFonts w:hint="eastAsia" w:ascii="宋体" w:hAnsi="宋体" w:eastAsia="宋体" w:cs="宋体"/>
          <w:color w:val="auto"/>
          <w:spacing w:val="-2"/>
          <w:sz w:val="24"/>
          <w:szCs w:val="24"/>
          <w:highlight w:val="none"/>
        </w:rPr>
        <w:t xml:space="preserve">  施工用电：</w:t>
      </w:r>
      <w:r>
        <w:rPr>
          <w:rFonts w:hint="eastAsia" w:ascii="宋体" w:hAnsi="宋体" w:eastAsia="宋体" w:cs="宋体"/>
          <w:color w:val="auto"/>
          <w:spacing w:val="-2"/>
          <w:sz w:val="24"/>
          <w:szCs w:val="24"/>
          <w:highlight w:val="none"/>
          <w:u w:val="single"/>
        </w:rPr>
        <w:t>由中标人自行解决，费用考虑在投标报价中</w:t>
      </w:r>
      <w:r>
        <w:rPr>
          <w:rFonts w:hint="eastAsia" w:ascii="宋体" w:hAnsi="宋体" w:eastAsia="宋体" w:cs="宋体"/>
          <w:color w:val="auto"/>
          <w:spacing w:val="-2"/>
          <w:sz w:val="24"/>
          <w:szCs w:val="24"/>
          <w:highlight w:val="none"/>
        </w:rPr>
        <w:t>。</w:t>
      </w:r>
    </w:p>
    <w:p w14:paraId="5872CEBC">
      <w:pPr>
        <w:keepNext w:val="0"/>
        <w:keepLines w:val="0"/>
        <w:pageBreakBefore w:val="0"/>
        <w:overflowPunct/>
        <w:topLinePunct w:val="0"/>
        <w:bidi w:val="0"/>
        <w:spacing w:before="155" w:line="430" w:lineRule="exact"/>
        <w:ind w:left="12" w:right="99"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6.4</w:t>
      </w:r>
      <w:r>
        <w:rPr>
          <w:rFonts w:hint="eastAsia" w:ascii="宋体" w:hAnsi="宋体" w:eastAsia="宋体" w:cs="宋体"/>
          <w:color w:val="auto"/>
          <w:spacing w:val="-2"/>
          <w:sz w:val="24"/>
          <w:szCs w:val="24"/>
          <w:highlight w:val="none"/>
        </w:rPr>
        <w:t xml:space="preserve">  施工用水、用电各提供一驳接点到现场边缘。要求中标人单独安装水表、电表，其水、电费按项目所在地</w:t>
      </w:r>
      <w:r>
        <w:rPr>
          <w:rFonts w:hint="eastAsia" w:ascii="宋体" w:hAnsi="宋体" w:eastAsia="宋体" w:cs="宋体"/>
          <w:b/>
          <w:bCs/>
          <w:color w:val="auto"/>
          <w:spacing w:val="-2"/>
          <w:sz w:val="24"/>
          <w:szCs w:val="24"/>
          <w:highlight w:val="none"/>
          <w:u w:val="single"/>
        </w:rPr>
        <w:t>韶关市/</w:t>
      </w:r>
      <w:r>
        <w:rPr>
          <w:rFonts w:hint="eastAsia" w:ascii="宋体" w:hAnsi="宋体" w:eastAsia="宋体" w:cs="宋体"/>
          <w:b/>
          <w:bCs/>
          <w:color w:val="auto"/>
          <w:spacing w:val="-2"/>
          <w:sz w:val="24"/>
          <w:szCs w:val="24"/>
          <w:highlight w:val="none"/>
          <w:u w:val="single"/>
          <w:lang w:val="en-US" w:eastAsia="zh-CN"/>
        </w:rPr>
        <w:t>翁源县</w:t>
      </w:r>
      <w:r>
        <w:rPr>
          <w:rFonts w:hint="eastAsia" w:ascii="宋体" w:hAnsi="宋体" w:eastAsia="宋体" w:cs="宋体"/>
          <w:color w:val="auto"/>
          <w:spacing w:val="-2"/>
          <w:sz w:val="24"/>
          <w:szCs w:val="24"/>
          <w:highlight w:val="none"/>
        </w:rPr>
        <w:t>基建工程水、电计费</w:t>
      </w:r>
      <w:r>
        <w:rPr>
          <w:rFonts w:hint="eastAsia" w:ascii="宋体" w:hAnsi="宋体" w:eastAsia="宋体" w:cs="宋体"/>
          <w:color w:val="auto"/>
          <w:spacing w:val="-3"/>
          <w:sz w:val="24"/>
          <w:szCs w:val="24"/>
          <w:highlight w:val="none"/>
        </w:rPr>
        <w:t>标准计算并由中标人缴纳。</w:t>
      </w:r>
    </w:p>
    <w:p w14:paraId="3A4FE79D">
      <w:pPr>
        <w:keepNext w:val="0"/>
        <w:keepLines w:val="0"/>
        <w:pageBreakBefore w:val="0"/>
        <w:overflowPunct/>
        <w:topLinePunct w:val="0"/>
        <w:bidi w:val="0"/>
        <w:spacing w:before="154" w:line="430" w:lineRule="exact"/>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6.5  </w:t>
      </w:r>
      <w:r>
        <w:rPr>
          <w:rFonts w:hint="eastAsia" w:ascii="宋体" w:hAnsi="宋体" w:eastAsia="宋体" w:cs="宋体"/>
          <w:color w:val="auto"/>
          <w:spacing w:val="-2"/>
          <w:sz w:val="24"/>
          <w:szCs w:val="24"/>
          <w:highlight w:val="none"/>
        </w:rPr>
        <w:t>招标人不组织现场踏勘，但会在招标文件及有关设计文件中明确告知招标项</w:t>
      </w:r>
      <w:r>
        <w:rPr>
          <w:rFonts w:hint="eastAsia" w:ascii="宋体" w:hAnsi="宋体" w:eastAsia="宋体" w:cs="宋体"/>
          <w:color w:val="auto"/>
          <w:spacing w:val="-1"/>
          <w:sz w:val="24"/>
          <w:szCs w:val="24"/>
          <w:highlight w:val="none"/>
        </w:rPr>
        <w:t>目的具体位置和周边环境，并在现场设置足以识别的标识或提</w:t>
      </w:r>
      <w:r>
        <w:rPr>
          <w:rFonts w:hint="eastAsia" w:ascii="宋体" w:hAnsi="宋体" w:eastAsia="宋体" w:cs="宋体"/>
          <w:color w:val="auto"/>
          <w:spacing w:val="-2"/>
          <w:sz w:val="24"/>
          <w:szCs w:val="24"/>
          <w:highlight w:val="none"/>
        </w:rPr>
        <w:t>供足以表明招标项目具</w:t>
      </w:r>
      <w:r>
        <w:rPr>
          <w:rFonts w:hint="eastAsia" w:ascii="宋体" w:hAnsi="宋体" w:eastAsia="宋体" w:cs="宋体"/>
          <w:color w:val="auto"/>
          <w:sz w:val="24"/>
          <w:szCs w:val="24"/>
          <w:highlight w:val="none"/>
        </w:rPr>
        <w:t>体位置的文字或图片。投标人需要了解现场情况的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1"/>
          <w:sz w:val="24"/>
          <w:szCs w:val="24"/>
          <w:highlight w:val="none"/>
        </w:rPr>
        <w:t>可自行进行现场踏勘。</w:t>
      </w:r>
    </w:p>
    <w:p w14:paraId="6F3F6F35">
      <w:pPr>
        <w:keepNext w:val="0"/>
        <w:keepLines w:val="0"/>
        <w:pageBreakBefore w:val="0"/>
        <w:overflowPunct/>
        <w:topLinePunct w:val="0"/>
        <w:bidi w:val="0"/>
        <w:spacing w:before="153" w:line="430" w:lineRule="exact"/>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6.6  </w:t>
      </w:r>
      <w:r>
        <w:rPr>
          <w:rFonts w:hint="eastAsia" w:ascii="宋体" w:hAnsi="宋体" w:eastAsia="宋体" w:cs="宋体"/>
          <w:color w:val="auto"/>
          <w:spacing w:val="-2"/>
          <w:sz w:val="24"/>
          <w:szCs w:val="24"/>
          <w:highlight w:val="none"/>
        </w:rPr>
        <w:t>在现场踏勘过程中，投标人应确保自身安全，投标人如果发生人身伤亡、财</w:t>
      </w:r>
      <w:r>
        <w:rPr>
          <w:rFonts w:hint="eastAsia" w:ascii="宋体" w:hAnsi="宋体" w:eastAsia="宋体" w:cs="宋体"/>
          <w:color w:val="auto"/>
          <w:spacing w:val="-1"/>
          <w:sz w:val="24"/>
          <w:szCs w:val="24"/>
          <w:highlight w:val="none"/>
        </w:rPr>
        <w:t>物或其他损失，法律法规有规定的按有关规定处理，没有规定</w:t>
      </w:r>
      <w:r>
        <w:rPr>
          <w:rFonts w:hint="eastAsia" w:ascii="宋体" w:hAnsi="宋体" w:eastAsia="宋体" w:cs="宋体"/>
          <w:color w:val="auto"/>
          <w:spacing w:val="-2"/>
          <w:sz w:val="24"/>
          <w:szCs w:val="24"/>
          <w:highlight w:val="none"/>
        </w:rPr>
        <w:t>的由投标人自行负责。</w:t>
      </w:r>
    </w:p>
    <w:p w14:paraId="52E4DC68">
      <w:pPr>
        <w:keepNext w:val="0"/>
        <w:keepLines w:val="0"/>
        <w:pageBreakBefore w:val="0"/>
        <w:overflowPunct/>
        <w:topLinePunct w:val="0"/>
        <w:bidi w:val="0"/>
        <w:spacing w:before="153" w:line="430" w:lineRule="exact"/>
        <w:ind w:left="568"/>
        <w:rPr>
          <w:rFonts w:hint="eastAsia" w:ascii="宋体" w:hAnsi="宋体" w:eastAsia="宋体" w:cs="宋体"/>
          <w:color w:val="auto"/>
          <w:spacing w:val="-1"/>
          <w:sz w:val="24"/>
          <w:szCs w:val="24"/>
          <w:highlight w:val="none"/>
        </w:rPr>
      </w:pPr>
      <w:r>
        <w:rPr>
          <w:rFonts w:hint="eastAsia" w:ascii="宋体" w:hAnsi="宋体" w:eastAsia="宋体" w:cs="宋体"/>
          <w:b/>
          <w:bCs/>
          <w:color w:val="auto"/>
          <w:sz w:val="24"/>
          <w:szCs w:val="24"/>
          <w:highlight w:val="none"/>
        </w:rPr>
        <w:t xml:space="preserve">6.7  </w:t>
      </w:r>
      <w:r>
        <w:rPr>
          <w:rFonts w:hint="eastAsia" w:ascii="宋体" w:hAnsi="宋体" w:eastAsia="宋体" w:cs="宋体"/>
          <w:color w:val="auto"/>
          <w:sz w:val="24"/>
          <w:szCs w:val="24"/>
          <w:highlight w:val="none"/>
        </w:rPr>
        <w:t>现场踏勘期间的交通、食宿由投标人</w:t>
      </w:r>
      <w:r>
        <w:rPr>
          <w:rFonts w:hint="eastAsia" w:ascii="宋体" w:hAnsi="宋体" w:eastAsia="宋体" w:cs="宋体"/>
          <w:color w:val="auto"/>
          <w:spacing w:val="-1"/>
          <w:sz w:val="24"/>
          <w:szCs w:val="24"/>
          <w:highlight w:val="none"/>
        </w:rPr>
        <w:t>自行安排，费用自理。</w:t>
      </w:r>
      <w:bookmarkStart w:id="31" w:name="bookmark67"/>
      <w:bookmarkEnd w:id="31"/>
      <w:bookmarkStart w:id="32" w:name="bookmark81"/>
      <w:bookmarkEnd w:id="32"/>
      <w:bookmarkStart w:id="33" w:name="bookmark69"/>
      <w:bookmarkEnd w:id="33"/>
      <w:bookmarkStart w:id="34" w:name="_Toc9426"/>
    </w:p>
    <w:p w14:paraId="51552054">
      <w:pPr>
        <w:keepNext w:val="0"/>
        <w:keepLines w:val="0"/>
        <w:pageBreakBefore w:val="0"/>
        <w:overflowPunct/>
        <w:topLinePunct w:val="0"/>
        <w:bidi w:val="0"/>
        <w:spacing w:before="153" w:line="430" w:lineRule="exact"/>
        <w:ind w:left="568"/>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7</w:t>
      </w:r>
      <w:r>
        <w:rPr>
          <w:rFonts w:hint="eastAsia" w:ascii="宋体" w:hAnsi="宋体" w:eastAsia="宋体" w:cs="宋体"/>
          <w:b/>
          <w:bCs/>
          <w:color w:val="auto"/>
          <w:spacing w:val="-5"/>
          <w:sz w:val="24"/>
          <w:szCs w:val="24"/>
          <w:highlight w:val="none"/>
          <w:lang w:eastAsia="zh-CN"/>
        </w:rPr>
        <w:t>.</w:t>
      </w:r>
      <w:r>
        <w:rPr>
          <w:rFonts w:hint="eastAsia" w:ascii="宋体" w:hAnsi="宋体" w:eastAsia="宋体" w:cs="宋体"/>
          <w:b/>
          <w:bCs/>
          <w:color w:val="auto"/>
          <w:spacing w:val="-5"/>
          <w:sz w:val="24"/>
          <w:szCs w:val="24"/>
          <w:highlight w:val="none"/>
        </w:rPr>
        <w:t>招标文件的提问和答疑</w:t>
      </w:r>
      <w:bookmarkEnd w:id="34"/>
    </w:p>
    <w:p w14:paraId="6479C735">
      <w:pPr>
        <w:keepNext w:val="0"/>
        <w:keepLines w:val="0"/>
        <w:pageBreakBefore w:val="0"/>
        <w:widowControl w:val="0"/>
        <w:kinsoku w:val="0"/>
        <w:wordWrap/>
        <w:overflowPunct/>
        <w:topLinePunct w:val="0"/>
        <w:autoSpaceDE w:val="0"/>
        <w:autoSpaceDN w:val="0"/>
        <w:bidi w:val="0"/>
        <w:adjustRightInd w:val="0"/>
        <w:snapToGrid w:val="0"/>
        <w:spacing w:before="153" w:line="430" w:lineRule="exact"/>
        <w:ind w:left="9" w:right="16" w:firstLine="47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7.1  </w:t>
      </w:r>
      <w:r>
        <w:rPr>
          <w:rFonts w:hint="eastAsia" w:ascii="宋体" w:hAnsi="宋体" w:eastAsia="宋体" w:cs="宋体"/>
          <w:color w:val="auto"/>
          <w:sz w:val="24"/>
          <w:szCs w:val="24"/>
          <w:highlight w:val="none"/>
        </w:rPr>
        <w:t>投标人若对招标文件（含施工图、招标工程量清单）有疑问，应在提问截止</w:t>
      </w:r>
      <w:r>
        <w:rPr>
          <w:rFonts w:hint="eastAsia" w:ascii="宋体" w:hAnsi="宋体" w:eastAsia="宋体" w:cs="宋体"/>
          <w:color w:val="auto"/>
          <w:spacing w:val="-2"/>
          <w:sz w:val="24"/>
          <w:szCs w:val="24"/>
          <w:highlight w:val="none"/>
        </w:rPr>
        <w:t>时间（见本章第二节“重要事项时间地点一览表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”）前使用建设工程交易</w:t>
      </w:r>
      <w:r>
        <w:rPr>
          <w:rFonts w:hint="eastAsia" w:ascii="宋体" w:hAnsi="宋体" w:eastAsia="宋体" w:cs="宋体"/>
          <w:color w:val="auto"/>
          <w:spacing w:val="-3"/>
          <w:sz w:val="24"/>
          <w:szCs w:val="24"/>
          <w:highlight w:val="none"/>
        </w:rPr>
        <w:t>系统提出问</w:t>
      </w:r>
      <w:r>
        <w:rPr>
          <w:rFonts w:hint="eastAsia" w:ascii="宋体" w:hAnsi="宋体" w:eastAsia="宋体" w:cs="宋体"/>
          <w:color w:val="auto"/>
          <w:spacing w:val="-1"/>
          <w:sz w:val="24"/>
          <w:szCs w:val="24"/>
          <w:highlight w:val="none"/>
        </w:rPr>
        <w:t>题。未在指定时间前、未采用指定方式提出的，招标人不予受理。</w:t>
      </w:r>
    </w:p>
    <w:p w14:paraId="0E98D23B">
      <w:pPr>
        <w:keepNext w:val="0"/>
        <w:keepLines w:val="0"/>
        <w:pageBreakBefore w:val="0"/>
        <w:widowControl w:val="0"/>
        <w:kinsoku w:val="0"/>
        <w:wordWrap/>
        <w:overflowPunct/>
        <w:topLinePunct w:val="0"/>
        <w:autoSpaceDE w:val="0"/>
        <w:autoSpaceDN w:val="0"/>
        <w:bidi w:val="0"/>
        <w:adjustRightInd w:val="0"/>
        <w:snapToGrid w:val="0"/>
        <w:spacing w:before="154" w:line="430" w:lineRule="exact"/>
        <w:ind w:left="9" w:right="16" w:firstLine="55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7.2  </w:t>
      </w:r>
      <w:r>
        <w:rPr>
          <w:rFonts w:hint="eastAsia" w:ascii="宋体" w:hAnsi="宋体" w:eastAsia="宋体" w:cs="宋体"/>
          <w:color w:val="auto"/>
          <w:spacing w:val="-1"/>
          <w:sz w:val="24"/>
          <w:szCs w:val="24"/>
          <w:highlight w:val="none"/>
        </w:rPr>
        <w:t>招标人在提问截止时间（见本章第二节“重要</w:t>
      </w:r>
      <w:r>
        <w:rPr>
          <w:rFonts w:hint="eastAsia" w:ascii="宋体" w:hAnsi="宋体" w:eastAsia="宋体" w:cs="宋体"/>
          <w:color w:val="auto"/>
          <w:spacing w:val="-2"/>
          <w:sz w:val="24"/>
          <w:szCs w:val="24"/>
          <w:highlight w:val="none"/>
        </w:rPr>
        <w:t>事项时间地点一览表</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2"/>
          <w:sz w:val="24"/>
          <w:szCs w:val="24"/>
          <w:highlight w:val="none"/>
        </w:rPr>
        <w:t>”）后</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日内，一次性对收到的所有问题作出答复，并形成答疑（或修</w:t>
      </w:r>
      <w:r>
        <w:rPr>
          <w:rFonts w:hint="eastAsia" w:ascii="宋体" w:hAnsi="宋体" w:eastAsia="宋体" w:cs="宋体"/>
          <w:color w:val="auto"/>
          <w:spacing w:val="-2"/>
          <w:sz w:val="24"/>
          <w:szCs w:val="24"/>
          <w:highlight w:val="none"/>
        </w:rPr>
        <w:t>改）公告在发布招标公</w:t>
      </w:r>
      <w:r>
        <w:rPr>
          <w:rFonts w:hint="eastAsia" w:ascii="宋体" w:hAnsi="宋体" w:eastAsia="宋体" w:cs="宋体"/>
          <w:color w:val="auto"/>
          <w:spacing w:val="-1"/>
          <w:sz w:val="24"/>
          <w:szCs w:val="24"/>
          <w:highlight w:val="none"/>
        </w:rPr>
        <w:t>告的媒介上公开发布。答疑（或修改）公告一旦发布，即视所</w:t>
      </w:r>
      <w:r>
        <w:rPr>
          <w:rFonts w:hint="eastAsia" w:ascii="宋体" w:hAnsi="宋体" w:eastAsia="宋体" w:cs="宋体"/>
          <w:color w:val="auto"/>
          <w:spacing w:val="-2"/>
          <w:sz w:val="24"/>
          <w:szCs w:val="24"/>
          <w:highlight w:val="none"/>
        </w:rPr>
        <w:t>有潜在投标人已经知悉</w:t>
      </w:r>
      <w:r>
        <w:rPr>
          <w:rFonts w:hint="eastAsia" w:ascii="宋体" w:hAnsi="宋体" w:eastAsia="宋体" w:cs="宋体"/>
          <w:color w:val="auto"/>
          <w:spacing w:val="-1"/>
          <w:sz w:val="24"/>
          <w:szCs w:val="24"/>
          <w:highlight w:val="none"/>
        </w:rPr>
        <w:t>答疑（或修改）内容，投标人未及时关注而造成的损失和后果</w:t>
      </w:r>
      <w:r>
        <w:rPr>
          <w:rFonts w:hint="eastAsia" w:ascii="宋体" w:hAnsi="宋体" w:eastAsia="宋体" w:cs="宋体"/>
          <w:color w:val="auto"/>
          <w:spacing w:val="-2"/>
          <w:sz w:val="24"/>
          <w:szCs w:val="24"/>
          <w:highlight w:val="none"/>
        </w:rPr>
        <w:t>，由投标人自行承担。</w:t>
      </w:r>
    </w:p>
    <w:p w14:paraId="11A107BB">
      <w:pPr>
        <w:keepNext w:val="0"/>
        <w:keepLines w:val="0"/>
        <w:pageBreakBefore w:val="0"/>
        <w:widowControl w:val="0"/>
        <w:kinsoku w:val="0"/>
        <w:wordWrap/>
        <w:overflowPunct/>
        <w:topLinePunct w:val="0"/>
        <w:autoSpaceDE w:val="0"/>
        <w:autoSpaceDN w:val="0"/>
        <w:bidi w:val="0"/>
        <w:adjustRightInd w:val="0"/>
        <w:snapToGrid w:val="0"/>
        <w:spacing w:before="152" w:line="430" w:lineRule="exact"/>
        <w:ind w:firstLine="478" w:firstLineChars="200"/>
        <w:jc w:val="both"/>
        <w:textAlignment w:val="baseline"/>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7.3  </w:t>
      </w:r>
      <w:r>
        <w:rPr>
          <w:rFonts w:hint="eastAsia" w:ascii="宋体" w:hAnsi="宋体" w:eastAsia="宋体" w:cs="宋体"/>
          <w:color w:val="auto"/>
          <w:spacing w:val="-1"/>
          <w:sz w:val="24"/>
          <w:szCs w:val="24"/>
          <w:highlight w:val="none"/>
        </w:rPr>
        <w:t>招标人对招标文件所作的答疑（或修改）公告，构成</w:t>
      </w:r>
      <w:r>
        <w:rPr>
          <w:rFonts w:hint="eastAsia" w:ascii="宋体" w:hAnsi="宋体" w:eastAsia="宋体" w:cs="宋体"/>
          <w:color w:val="auto"/>
          <w:spacing w:val="-2"/>
          <w:sz w:val="24"/>
          <w:szCs w:val="24"/>
          <w:highlight w:val="none"/>
        </w:rPr>
        <w:t>招标文件的组成部分。</w:t>
      </w:r>
    </w:p>
    <w:p w14:paraId="2A9AC246">
      <w:pPr>
        <w:keepNext w:val="0"/>
        <w:keepLines w:val="0"/>
        <w:pageBreakBefore w:val="0"/>
        <w:overflowPunct/>
        <w:topLinePunct w:val="0"/>
        <w:bidi w:val="0"/>
        <w:spacing w:before="79" w:line="430" w:lineRule="exact"/>
        <w:ind w:left="488"/>
        <w:outlineLvl w:val="2"/>
        <w:rPr>
          <w:rFonts w:hint="eastAsia" w:ascii="宋体" w:hAnsi="宋体" w:eastAsia="宋体" w:cs="宋体"/>
          <w:b/>
          <w:bCs/>
          <w:color w:val="auto"/>
          <w:spacing w:val="-1"/>
          <w:sz w:val="24"/>
          <w:szCs w:val="24"/>
          <w:highlight w:val="none"/>
        </w:rPr>
      </w:pPr>
      <w:bookmarkStart w:id="35" w:name="_Toc12890"/>
      <w:bookmarkStart w:id="36" w:name="_Toc32572"/>
      <w:r>
        <w:rPr>
          <w:rFonts w:hint="eastAsia" w:ascii="宋体" w:hAnsi="宋体" w:eastAsia="宋体" w:cs="宋体"/>
          <w:b/>
          <w:bCs/>
          <w:color w:val="auto"/>
          <w:spacing w:val="-5"/>
          <w:sz w:val="24"/>
          <w:szCs w:val="24"/>
          <w:highlight w:val="none"/>
        </w:rPr>
        <w:t>8</w:t>
      </w:r>
      <w:r>
        <w:rPr>
          <w:rFonts w:hint="eastAsia" w:ascii="宋体" w:hAnsi="宋体" w:eastAsia="宋体" w:cs="宋体"/>
          <w:b/>
          <w:bCs/>
          <w:color w:val="auto"/>
          <w:spacing w:val="-23"/>
          <w:sz w:val="24"/>
          <w:szCs w:val="24"/>
          <w:highlight w:val="none"/>
          <w:lang w:eastAsia="zh-CN"/>
        </w:rPr>
        <w:t>.</w:t>
      </w:r>
      <w:bookmarkEnd w:id="35"/>
      <w:bookmarkEnd w:id="36"/>
      <w:r>
        <w:rPr>
          <w:rFonts w:hint="eastAsia" w:ascii="宋体" w:hAnsi="宋体" w:eastAsia="宋体" w:cs="宋体"/>
          <w:b/>
          <w:bCs w:val="0"/>
          <w:snapToGrid w:val="0"/>
          <w:color w:val="auto"/>
          <w:spacing w:val="0"/>
          <w:sz w:val="24"/>
          <w:szCs w:val="24"/>
          <w:highlight w:val="none"/>
        </w:rPr>
        <w:t>最高投标限价</w:t>
      </w:r>
    </w:p>
    <w:p w14:paraId="537B41DA">
      <w:pPr>
        <w:keepNext w:val="0"/>
        <w:keepLines w:val="0"/>
        <w:pageBreakBefore w:val="0"/>
        <w:overflowPunct/>
        <w:topLinePunct w:val="0"/>
        <w:bidi w:val="0"/>
        <w:spacing w:before="155" w:line="240"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8.1  </w:t>
      </w:r>
      <w:r>
        <w:rPr>
          <w:rFonts w:hint="eastAsia" w:ascii="宋体" w:hAnsi="宋体" w:eastAsia="宋体" w:cs="宋体"/>
          <w:snapToGrid w:val="0"/>
          <w:color w:val="auto"/>
          <w:kern w:val="0"/>
          <w:sz w:val="24"/>
          <w:szCs w:val="24"/>
          <w:highlight w:val="none"/>
        </w:rPr>
        <w:t>本招标项目按照以下依据编制</w:t>
      </w:r>
      <w:r>
        <w:rPr>
          <w:rFonts w:hint="eastAsia" w:ascii="宋体" w:hAnsi="宋体" w:eastAsia="宋体" w:cs="宋体"/>
          <w:snapToGrid w:val="0"/>
          <w:color w:val="auto"/>
          <w:kern w:val="0"/>
          <w:sz w:val="24"/>
          <w:szCs w:val="24"/>
          <w:highlight w:val="none"/>
          <w:lang w:val="en-US" w:eastAsia="zh-CN"/>
        </w:rPr>
        <w:t>最高投标限价</w:t>
      </w:r>
      <w:r>
        <w:rPr>
          <w:rFonts w:hint="eastAsia" w:ascii="宋体" w:hAnsi="宋体" w:eastAsia="宋体" w:cs="宋体"/>
          <w:snapToGrid w:val="0"/>
          <w:color w:val="auto"/>
          <w:kern w:val="0"/>
          <w:sz w:val="24"/>
          <w:szCs w:val="24"/>
          <w:highlight w:val="none"/>
        </w:rPr>
        <w:t>：</w:t>
      </w:r>
    </w:p>
    <w:p w14:paraId="3D15DA8F">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（1）《建设工程工程量清单计价规范》(GB50500—2013)及《广东省建设工程工程量 清单计价指引》（2013）；</w:t>
      </w:r>
    </w:p>
    <w:p w14:paraId="23730F9A">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7B1ECDB2">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（3）施工图及相关资料；</w:t>
      </w:r>
    </w:p>
    <w:p w14:paraId="296DBDD3">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rPr>
      </w:pPr>
      <w:bookmarkStart w:id="37" w:name="bookmark119"/>
      <w:bookmarkEnd w:id="37"/>
      <w:r>
        <w:rPr>
          <w:rFonts w:hint="eastAsia" w:ascii="宋体" w:hAnsi="宋体" w:eastAsia="宋体" w:cs="宋体"/>
          <w:color w:val="auto"/>
          <w:sz w:val="24"/>
          <w:szCs w:val="24"/>
          <w:highlight w:val="none"/>
        </w:rPr>
        <w:t>（4）招标文件及招标工程量清单；</w:t>
      </w:r>
    </w:p>
    <w:p w14:paraId="42D81116">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（5）施工现场情况、工程特点及常规施工方案；</w:t>
      </w:r>
    </w:p>
    <w:p w14:paraId="06047ED5">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（6）项目所在地工程造价管理机构发布的工程造价信息，工程造价信息缺项的，参照市场价格；</w:t>
      </w:r>
    </w:p>
    <w:p w14:paraId="325E34C8">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（7）与建设项目相关的标准、规范、技术资料。</w:t>
      </w:r>
    </w:p>
    <w:p w14:paraId="2ADE82F5">
      <w:pPr>
        <w:keepNext w:val="0"/>
        <w:keepLines w:val="0"/>
        <w:pageBreakBefore w:val="0"/>
        <w:widowControl w:val="0"/>
        <w:kinsoku w:val="0"/>
        <w:wordWrap/>
        <w:overflowPunct/>
        <w:topLinePunct w:val="0"/>
        <w:autoSpaceDE w:val="0"/>
        <w:autoSpaceDN w:val="0"/>
        <w:bidi w:val="0"/>
        <w:adjustRightInd w:val="0"/>
        <w:snapToGrid w:val="0"/>
        <w:spacing w:before="79" w:line="430" w:lineRule="exact"/>
        <w:ind w:firstLine="482" w:firstLineChars="200"/>
        <w:jc w:val="both"/>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rPr>
        <w:t>8.2</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本项目</w:t>
      </w:r>
      <w:r>
        <w:rPr>
          <w:rFonts w:hint="eastAsia" w:ascii="宋体" w:hAnsi="宋体" w:eastAsia="宋体" w:cs="宋体"/>
          <w:color w:val="auto"/>
          <w:sz w:val="24"/>
          <w:szCs w:val="24"/>
          <w:highlight w:val="none"/>
          <w:lang w:val="en-US" w:eastAsia="zh-CN"/>
        </w:rPr>
        <w:t>最高投标限价</w:t>
      </w:r>
      <w:r>
        <w:rPr>
          <w:rFonts w:hint="eastAsia" w:ascii="宋体" w:hAnsi="宋体" w:eastAsia="宋体" w:cs="宋体"/>
          <w:color w:val="auto"/>
          <w:sz w:val="24"/>
          <w:szCs w:val="24"/>
          <w:highlight w:val="none"/>
          <w:lang w:eastAsia="zh-CN"/>
        </w:rPr>
        <w:t>、施工图纸、招标工程量清单在投标截止时间15天前以补充通知的形式在广东省招标投标监管网（https://www.gdzwfw.gov.cn/ztbjg-portal/#/index）、全国公共资源交易平台（广东省·韶关市）（https://ygp.gdzwfw.gov.cn/ggzy-portal/#/440200/index）公布。</w:t>
      </w:r>
    </w:p>
    <w:p w14:paraId="02E4396D">
      <w:pPr>
        <w:keepNext w:val="0"/>
        <w:keepLines w:val="0"/>
        <w:pageBreakBefore w:val="0"/>
        <w:widowControl w:val="0"/>
        <w:kinsoku w:val="0"/>
        <w:wordWrap/>
        <w:overflowPunct/>
        <w:topLinePunct w:val="0"/>
        <w:autoSpaceDE w:val="0"/>
        <w:autoSpaceDN w:val="0"/>
        <w:bidi w:val="0"/>
        <w:adjustRightInd w:val="0"/>
        <w:snapToGrid w:val="0"/>
        <w:spacing w:before="79" w:line="430" w:lineRule="exact"/>
        <w:ind w:firstLine="48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rPr>
        <w:t>暂估价指招标工程量清单中提供的用于支付必然发生但暂时不能确定价格的</w:t>
      </w:r>
      <w:r>
        <w:rPr>
          <w:rFonts w:hint="eastAsia" w:ascii="宋体" w:hAnsi="宋体" w:eastAsia="宋体" w:cs="宋体"/>
          <w:color w:val="auto"/>
          <w:spacing w:val="-1"/>
          <w:sz w:val="24"/>
          <w:szCs w:val="24"/>
          <w:highlight w:val="none"/>
        </w:rPr>
        <w:t>材料、工程设备的单价以及专业工程的金额；暂列金额指招标</w:t>
      </w:r>
      <w:r>
        <w:rPr>
          <w:rFonts w:hint="eastAsia" w:ascii="宋体" w:hAnsi="宋体" w:eastAsia="宋体" w:cs="宋体"/>
          <w:color w:val="auto"/>
          <w:spacing w:val="-2"/>
          <w:sz w:val="24"/>
          <w:szCs w:val="24"/>
          <w:highlight w:val="none"/>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rPr>
        <w:t>者不可预见的所需材料、</w:t>
      </w:r>
      <w:r>
        <w:rPr>
          <w:rFonts w:hint="eastAsia" w:ascii="宋体" w:hAnsi="宋体" w:eastAsia="宋体" w:cs="宋体"/>
          <w:color w:val="auto"/>
          <w:spacing w:val="-1"/>
          <w:sz w:val="24"/>
          <w:szCs w:val="24"/>
          <w:highlight w:val="none"/>
        </w:rPr>
        <w:t>工程设备、服务的采购，施工中可能发生的工程变更、合同约</w:t>
      </w:r>
      <w:r>
        <w:rPr>
          <w:rFonts w:hint="eastAsia" w:ascii="宋体" w:hAnsi="宋体" w:eastAsia="宋体" w:cs="宋体"/>
          <w:color w:val="auto"/>
          <w:spacing w:val="-2"/>
          <w:sz w:val="24"/>
          <w:szCs w:val="24"/>
          <w:highlight w:val="none"/>
        </w:rPr>
        <w:t>定调整因素出现时的合</w:t>
      </w:r>
      <w:r>
        <w:rPr>
          <w:rFonts w:hint="eastAsia" w:ascii="宋体" w:hAnsi="宋体" w:eastAsia="宋体" w:cs="宋体"/>
          <w:color w:val="auto"/>
          <w:spacing w:val="-1"/>
          <w:sz w:val="24"/>
          <w:szCs w:val="24"/>
          <w:highlight w:val="none"/>
        </w:rPr>
        <w:t>同价款调整以及发生的索赔、现场签证确认等的费用。</w:t>
      </w:r>
    </w:p>
    <w:p w14:paraId="10C928BB">
      <w:pPr>
        <w:keepNext w:val="0"/>
        <w:keepLines w:val="0"/>
        <w:pageBreakBefore w:val="0"/>
        <w:widowControl w:val="0"/>
        <w:kinsoku w:val="0"/>
        <w:wordWrap/>
        <w:overflowPunct/>
        <w:topLinePunct w:val="0"/>
        <w:autoSpaceDE w:val="0"/>
        <w:autoSpaceDN w:val="0"/>
        <w:bidi w:val="0"/>
        <w:adjustRightInd w:val="0"/>
        <w:snapToGrid w:val="0"/>
        <w:spacing w:before="36" w:line="430" w:lineRule="exact"/>
        <w:ind w:left="10" w:right="200" w:firstLine="48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本招标项目以暂估价形式列入招标工程量清单中的材料、工程设备、专业工</w:t>
      </w:r>
      <w:r>
        <w:rPr>
          <w:rFonts w:hint="eastAsia" w:ascii="宋体" w:hAnsi="宋体" w:eastAsia="宋体" w:cs="宋体"/>
          <w:color w:val="auto"/>
          <w:spacing w:val="-2"/>
          <w:sz w:val="24"/>
          <w:szCs w:val="24"/>
          <w:highlight w:val="none"/>
        </w:rPr>
        <w:t>程（以下统称“暂估价项目</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2"/>
          <w:sz w:val="24"/>
          <w:szCs w:val="24"/>
          <w:highlight w:val="none"/>
        </w:rPr>
        <w:t>”）包括：</w:t>
      </w:r>
      <w:r>
        <w:rPr>
          <w:rFonts w:hint="eastAsia" w:ascii="宋体" w:hAnsi="宋体" w:eastAsia="宋体" w:cs="宋体"/>
          <w:snapToGrid w:val="0"/>
          <w:color w:val="auto"/>
          <w:kern w:val="0"/>
          <w:sz w:val="24"/>
          <w:szCs w:val="24"/>
          <w:highlight w:val="none"/>
          <w:u w:val="single"/>
        </w:rPr>
        <w:t>(具体详见工程清单)暂估价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r>
        <w:rPr>
          <w:rFonts w:hint="eastAsia" w:ascii="宋体" w:hAnsi="宋体" w:eastAsia="宋体" w:cs="宋体"/>
          <w:color w:val="auto"/>
          <w:sz w:val="24"/>
          <w:szCs w:val="24"/>
          <w:highlight w:val="none"/>
          <w:u w:val="single"/>
        </w:rPr>
        <w:t>。</w:t>
      </w:r>
    </w:p>
    <w:p w14:paraId="1DE5D6D6">
      <w:pPr>
        <w:keepNext w:val="0"/>
        <w:keepLines w:val="0"/>
        <w:pageBreakBefore w:val="0"/>
        <w:widowControl w:val="0"/>
        <w:kinsoku w:val="0"/>
        <w:wordWrap/>
        <w:overflowPunct/>
        <w:topLinePunct w:val="0"/>
        <w:autoSpaceDE w:val="0"/>
        <w:autoSpaceDN w:val="0"/>
        <w:bidi w:val="0"/>
        <w:adjustRightInd w:val="0"/>
        <w:snapToGrid w:val="0"/>
        <w:spacing w:before="36" w:line="430" w:lineRule="exact"/>
        <w:ind w:left="10" w:right="200" w:firstLine="48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当暂估价项目的内容、标准、要求在项目实施过程中得以深化、明确、固定后，按以下原则发包：</w:t>
      </w:r>
    </w:p>
    <w:p w14:paraId="08699025">
      <w:pPr>
        <w:keepNext w:val="0"/>
        <w:keepLines w:val="0"/>
        <w:pageBreakBefore w:val="0"/>
        <w:widowControl w:val="0"/>
        <w:kinsoku w:val="0"/>
        <w:wordWrap/>
        <w:overflowPunct/>
        <w:topLinePunct w:val="0"/>
        <w:autoSpaceDE w:val="0"/>
        <w:autoSpaceDN w:val="0"/>
        <w:bidi w:val="0"/>
        <w:adjustRightInd w:val="0"/>
        <w:snapToGrid w:val="0"/>
        <w:spacing w:before="36" w:line="430" w:lineRule="exact"/>
        <w:ind w:left="10" w:right="200"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（1）暂估价项目按工程、货物（指材料或工程设备，下同）的类别分类汇总的金额，达到必须招标规模标准的，由</w:t>
      </w:r>
      <w:r>
        <w:rPr>
          <w:rFonts w:hint="eastAsia" w:ascii="宋体" w:hAnsi="宋体" w:eastAsia="宋体" w:cs="宋体"/>
          <w:color w:val="auto"/>
          <w:sz w:val="24"/>
          <w:szCs w:val="24"/>
          <w:highlight w:val="none"/>
          <w:u w:val="single"/>
        </w:rPr>
        <w:t>中标人招标，招标人参与管理</w:t>
      </w:r>
      <w:r>
        <w:rPr>
          <w:rFonts w:hint="eastAsia" w:ascii="宋体" w:hAnsi="宋体" w:eastAsia="宋体" w:cs="宋体"/>
          <w:color w:val="auto"/>
          <w:sz w:val="24"/>
          <w:szCs w:val="24"/>
          <w:highlight w:val="none"/>
        </w:rPr>
        <w:t>，确定专业工程承包人（或材料、工程 设备供应商）和合同价格。</w:t>
      </w:r>
    </w:p>
    <w:p w14:paraId="6111FF5F">
      <w:pPr>
        <w:keepNext w:val="0"/>
        <w:keepLines w:val="0"/>
        <w:pageBreakBefore w:val="0"/>
        <w:widowControl w:val="0"/>
        <w:kinsoku w:val="0"/>
        <w:wordWrap/>
        <w:overflowPunct/>
        <w:topLinePunct w:val="0"/>
        <w:autoSpaceDE w:val="0"/>
        <w:autoSpaceDN w:val="0"/>
        <w:bidi w:val="0"/>
        <w:adjustRightInd w:val="0"/>
        <w:snapToGrid w:val="0"/>
        <w:spacing w:before="36" w:line="430" w:lineRule="exact"/>
        <w:ind w:left="10" w:right="200"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（2）暂估价项目按工程、货物的类别分类汇总的金额，未达到必须招标规模标准但适用政府采购规定的，按照政府采购规定确定专业工程承包人（或材料、工程设备供应商）和合同价格。</w:t>
      </w:r>
    </w:p>
    <w:p w14:paraId="1A36993A">
      <w:pPr>
        <w:keepNext w:val="0"/>
        <w:keepLines w:val="0"/>
        <w:pageBreakBefore w:val="0"/>
        <w:widowControl w:val="0"/>
        <w:kinsoku w:val="0"/>
        <w:wordWrap/>
        <w:overflowPunct/>
        <w:topLinePunct w:val="0"/>
        <w:autoSpaceDE w:val="0"/>
        <w:autoSpaceDN w:val="0"/>
        <w:bidi w:val="0"/>
        <w:adjustRightInd w:val="0"/>
        <w:snapToGrid w:val="0"/>
        <w:spacing w:before="154" w:line="430" w:lineRule="exact"/>
        <w:ind w:left="11" w:right="65"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准也不适用政府采购规定，中标人具备相应资格条件的，</w:t>
      </w:r>
      <w:r>
        <w:rPr>
          <w:rFonts w:hint="eastAsia" w:ascii="宋体" w:hAnsi="宋体" w:eastAsia="宋体" w:cs="宋体"/>
          <w:color w:val="auto"/>
          <w:spacing w:val="-2"/>
          <w:sz w:val="24"/>
          <w:szCs w:val="24"/>
          <w:highlight w:val="none"/>
        </w:rPr>
        <w:t>由中标人承包；中标人不具</w:t>
      </w:r>
      <w:r>
        <w:rPr>
          <w:rFonts w:hint="eastAsia" w:ascii="宋体" w:hAnsi="宋体" w:eastAsia="宋体" w:cs="宋体"/>
          <w:color w:val="auto"/>
          <w:spacing w:val="-1"/>
          <w:sz w:val="24"/>
          <w:szCs w:val="24"/>
          <w:highlight w:val="none"/>
        </w:rPr>
        <w:t>备相应资格条件但具备分包权的，由中标人分包，招标人</w:t>
      </w:r>
      <w:r>
        <w:rPr>
          <w:rFonts w:hint="eastAsia" w:ascii="宋体" w:hAnsi="宋体" w:eastAsia="宋体" w:cs="宋体"/>
          <w:color w:val="auto"/>
          <w:spacing w:val="-2"/>
          <w:sz w:val="24"/>
          <w:szCs w:val="24"/>
          <w:highlight w:val="none"/>
        </w:rPr>
        <w:t>同中标人结算原则按本招标文件相关条款执行。</w:t>
      </w:r>
    </w:p>
    <w:p w14:paraId="5E32068F">
      <w:pPr>
        <w:keepNext w:val="0"/>
        <w:keepLines w:val="0"/>
        <w:pageBreakBefore w:val="0"/>
        <w:widowControl w:val="0"/>
        <w:kinsoku w:val="0"/>
        <w:wordWrap/>
        <w:overflowPunct/>
        <w:topLinePunct w:val="0"/>
        <w:autoSpaceDE w:val="0"/>
        <w:autoSpaceDN w:val="0"/>
        <w:bidi w:val="0"/>
        <w:adjustRightInd w:val="0"/>
        <w:snapToGrid w:val="0"/>
        <w:spacing w:before="154" w:line="430" w:lineRule="exact"/>
        <w:ind w:left="11" w:right="65"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准也不适用政府采购规定，中标人既不具备相应资格条件</w:t>
      </w:r>
      <w:r>
        <w:rPr>
          <w:rFonts w:hint="eastAsia" w:ascii="宋体" w:hAnsi="宋体" w:eastAsia="宋体" w:cs="宋体"/>
          <w:color w:val="auto"/>
          <w:spacing w:val="-2"/>
          <w:sz w:val="24"/>
          <w:szCs w:val="24"/>
          <w:highlight w:val="none"/>
        </w:rPr>
        <w:t>又不具备分包权的，由招标人另行发包。</w:t>
      </w:r>
    </w:p>
    <w:p w14:paraId="6D4CA066">
      <w:pPr>
        <w:keepNext w:val="0"/>
        <w:keepLines w:val="0"/>
        <w:pageBreakBefore w:val="0"/>
        <w:widowControl w:val="0"/>
        <w:kinsoku w:val="0"/>
        <w:wordWrap/>
        <w:overflowPunct/>
        <w:topLinePunct w:val="0"/>
        <w:autoSpaceDE w:val="0"/>
        <w:autoSpaceDN w:val="0"/>
        <w:bidi w:val="0"/>
        <w:adjustRightInd w:val="0"/>
        <w:snapToGrid w:val="0"/>
        <w:spacing w:before="155" w:line="430" w:lineRule="exact"/>
        <w:ind w:left="9" w:right="66" w:firstLine="49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（5）暂估价项目由其他承包人承包的，纳入中标人的管理</w:t>
      </w:r>
      <w:r>
        <w:rPr>
          <w:rFonts w:hint="eastAsia" w:ascii="宋体" w:hAnsi="宋体" w:eastAsia="宋体" w:cs="宋体"/>
          <w:color w:val="auto"/>
          <w:spacing w:val="1"/>
          <w:sz w:val="24"/>
          <w:szCs w:val="24"/>
          <w:highlight w:val="none"/>
        </w:rPr>
        <w:t>和协调范围，由其他</w:t>
      </w:r>
      <w:r>
        <w:rPr>
          <w:rFonts w:hint="eastAsia" w:ascii="宋体" w:hAnsi="宋体" w:eastAsia="宋体" w:cs="宋体"/>
          <w:color w:val="auto"/>
          <w:spacing w:val="-1"/>
          <w:sz w:val="24"/>
          <w:szCs w:val="24"/>
          <w:highlight w:val="none"/>
        </w:rPr>
        <w:t>承包人向中标人承担质量、安全、文明施工、工期责任，中标</w:t>
      </w:r>
      <w:r>
        <w:rPr>
          <w:rFonts w:hint="eastAsia" w:ascii="宋体" w:hAnsi="宋体" w:eastAsia="宋体" w:cs="宋体"/>
          <w:color w:val="auto"/>
          <w:spacing w:val="-2"/>
          <w:sz w:val="24"/>
          <w:szCs w:val="24"/>
          <w:highlight w:val="none"/>
        </w:rPr>
        <w:t>人向招标人承担责任。</w:t>
      </w:r>
    </w:p>
    <w:p w14:paraId="4DB6DC67">
      <w:pPr>
        <w:keepNext w:val="0"/>
        <w:keepLines w:val="0"/>
        <w:pageBreakBefore w:val="0"/>
        <w:widowControl w:val="0"/>
        <w:kinsoku w:val="0"/>
        <w:wordWrap/>
        <w:overflowPunct/>
        <w:topLinePunct w:val="0"/>
        <w:autoSpaceDE w:val="0"/>
        <w:autoSpaceDN w:val="0"/>
        <w:bidi w:val="0"/>
        <w:adjustRightInd w:val="0"/>
        <w:snapToGrid w:val="0"/>
        <w:spacing w:before="155" w:line="430" w:lineRule="exact"/>
        <w:ind w:left="10" w:right="65" w:firstLine="478"/>
        <w:jc w:val="both"/>
        <w:textAlignment w:val="baseline"/>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本招标项目以暂列金额形式列入招标工程量清单中的所需货物和服务的采购</w:t>
      </w:r>
      <w:r>
        <w:rPr>
          <w:rFonts w:hint="eastAsia" w:ascii="宋体" w:hAnsi="宋体" w:eastAsia="宋体" w:cs="宋体"/>
          <w:color w:val="auto"/>
          <w:spacing w:val="-1"/>
          <w:sz w:val="24"/>
          <w:szCs w:val="24"/>
          <w:highlight w:val="none"/>
        </w:rPr>
        <w:t>（以下统称“暂列金额项目</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”）若有发生，按照本节第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1"/>
          <w:sz w:val="24"/>
          <w:szCs w:val="24"/>
          <w:highlight w:val="none"/>
        </w:rPr>
        <w:t xml:space="preserve">8.5 </w:t>
      </w:r>
      <w:r>
        <w:rPr>
          <w:rFonts w:hint="eastAsia" w:ascii="宋体" w:hAnsi="宋体" w:eastAsia="宋体" w:cs="宋体"/>
          <w:color w:val="auto"/>
          <w:spacing w:val="-1"/>
          <w:sz w:val="24"/>
          <w:szCs w:val="24"/>
          <w:highlight w:val="none"/>
        </w:rPr>
        <w:t>条的规定确定货物（或服务）供应商和合同价格。暂列金额项目由其他承包人承包的</w:t>
      </w:r>
      <w:r>
        <w:rPr>
          <w:rFonts w:hint="eastAsia" w:ascii="宋体" w:hAnsi="宋体" w:eastAsia="宋体" w:cs="宋体"/>
          <w:color w:val="auto"/>
          <w:spacing w:val="-2"/>
          <w:sz w:val="24"/>
          <w:szCs w:val="24"/>
          <w:highlight w:val="none"/>
        </w:rPr>
        <w:t>，纳入中标人的管理和协</w:t>
      </w:r>
      <w:r>
        <w:rPr>
          <w:rFonts w:hint="eastAsia" w:ascii="宋体" w:hAnsi="宋体" w:eastAsia="宋体" w:cs="宋体"/>
          <w:color w:val="auto"/>
          <w:spacing w:val="-1"/>
          <w:sz w:val="24"/>
          <w:szCs w:val="24"/>
          <w:highlight w:val="none"/>
        </w:rPr>
        <w:t>调范围</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由其他承包人向中标人承担质量、安全、文明</w:t>
      </w:r>
      <w:r>
        <w:rPr>
          <w:rFonts w:hint="eastAsia" w:ascii="宋体" w:hAnsi="宋体" w:eastAsia="宋体" w:cs="宋体"/>
          <w:color w:val="auto"/>
          <w:spacing w:val="-2"/>
          <w:sz w:val="24"/>
          <w:szCs w:val="24"/>
          <w:highlight w:val="none"/>
        </w:rPr>
        <w:t>施工、工期责任，中标人向招标人承担责任。</w:t>
      </w:r>
    </w:p>
    <w:p w14:paraId="37CA189F">
      <w:pPr>
        <w:keepNext w:val="0"/>
        <w:keepLines w:val="0"/>
        <w:pageBreakBefore w:val="0"/>
        <w:overflowPunct/>
        <w:topLinePunct w:val="0"/>
        <w:bidi w:val="0"/>
        <w:spacing w:before="79" w:line="430" w:lineRule="exact"/>
        <w:ind w:left="487"/>
        <w:outlineLvl w:val="2"/>
        <w:rPr>
          <w:rFonts w:hint="eastAsia" w:ascii="宋体" w:hAnsi="宋体" w:eastAsia="宋体" w:cs="宋体"/>
          <w:color w:val="auto"/>
          <w:sz w:val="24"/>
          <w:szCs w:val="24"/>
          <w:highlight w:val="none"/>
        </w:rPr>
      </w:pPr>
      <w:bookmarkStart w:id="38" w:name="_Toc25884"/>
      <w:bookmarkStart w:id="39" w:name="_Toc22937"/>
      <w:r>
        <w:rPr>
          <w:rFonts w:hint="eastAsia" w:ascii="宋体" w:hAnsi="宋体" w:eastAsia="宋体" w:cs="宋体"/>
          <w:b/>
          <w:bCs/>
          <w:color w:val="auto"/>
          <w:spacing w:val="-8"/>
          <w:sz w:val="24"/>
          <w:szCs w:val="24"/>
          <w:highlight w:val="none"/>
        </w:rPr>
        <w:t>9</w:t>
      </w:r>
      <w:r>
        <w:rPr>
          <w:rFonts w:hint="eastAsia" w:ascii="宋体" w:hAnsi="宋体" w:eastAsia="宋体" w:cs="宋体"/>
          <w:b/>
          <w:bCs/>
          <w:color w:val="auto"/>
          <w:spacing w:val="-29"/>
          <w:sz w:val="24"/>
          <w:szCs w:val="24"/>
          <w:highlight w:val="none"/>
          <w:lang w:eastAsia="zh-CN"/>
        </w:rPr>
        <w:t>.</w:t>
      </w:r>
      <w:r>
        <w:rPr>
          <w:rFonts w:hint="eastAsia" w:ascii="宋体" w:hAnsi="宋体" w:eastAsia="宋体" w:cs="宋体"/>
          <w:b/>
          <w:bCs/>
          <w:color w:val="auto"/>
          <w:spacing w:val="-8"/>
          <w:sz w:val="24"/>
          <w:szCs w:val="24"/>
          <w:highlight w:val="none"/>
        </w:rPr>
        <w:t>投标报价</w:t>
      </w:r>
      <w:bookmarkEnd w:id="38"/>
      <w:bookmarkEnd w:id="39"/>
    </w:p>
    <w:p w14:paraId="2A05B301">
      <w:pPr>
        <w:keepNext w:val="0"/>
        <w:keepLines w:val="0"/>
        <w:pageBreakBefore w:val="0"/>
        <w:wordWrap w:val="0"/>
        <w:overflowPunct/>
        <w:topLinePunct w:val="0"/>
        <w:bidi w:val="0"/>
        <w:adjustRightInd w:val="0"/>
        <w:snapToGrid w:val="0"/>
        <w:spacing w:line="450" w:lineRule="exact"/>
        <w:ind w:firstLine="478"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9.1 </w:t>
      </w:r>
      <w:r>
        <w:rPr>
          <w:rFonts w:hint="eastAsia" w:ascii="宋体" w:hAnsi="宋体" w:eastAsia="宋体" w:cs="宋体"/>
          <w:color w:val="auto"/>
          <w:sz w:val="24"/>
          <w:szCs w:val="24"/>
          <w:highlight w:val="none"/>
        </w:rPr>
        <w:t>投标人应按照以下依据编制投标报价：</w:t>
      </w:r>
    </w:p>
    <w:p w14:paraId="3A76D2E8">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rPr>
      </w:pPr>
      <w:bookmarkStart w:id="40" w:name="bookmark120"/>
      <w:bookmarkEnd w:id="40"/>
      <w:r>
        <w:rPr>
          <w:rFonts w:hint="eastAsia" w:ascii="宋体" w:hAnsi="宋体" w:eastAsia="宋体" w:cs="宋体"/>
          <w:color w:val="auto"/>
          <w:sz w:val="24"/>
          <w:szCs w:val="24"/>
          <w:highlight w:val="none"/>
        </w:rPr>
        <w:t>（1）《建设工程工程量清单计价规范》(GB50500—2013)及《广东省建设工程工程量 清单计价指引》（2013）；</w:t>
      </w:r>
    </w:p>
    <w:p w14:paraId="2300D8D5">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4A87FC02">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（3）企业定额；</w:t>
      </w:r>
    </w:p>
    <w:p w14:paraId="183BCCDE">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（4）招标文件及其答疑（或修改）公告、招标工程量清单；</w:t>
      </w:r>
    </w:p>
    <w:p w14:paraId="2389418A">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（5）施工图及相关资料；</w:t>
      </w:r>
    </w:p>
    <w:p w14:paraId="3D37F1BB">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（6）施工现场情况、工程特点及投标时拟定的施工组织设计或施工方案；</w:t>
      </w:r>
    </w:p>
    <w:p w14:paraId="7F08D9A3">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（7）市场价格信息或项目所在地工程造价管理机构发布的工程造价信息；</w:t>
      </w:r>
    </w:p>
    <w:p w14:paraId="16C2A3C4">
      <w:pPr>
        <w:keepNext w:val="0"/>
        <w:keepLines w:val="0"/>
        <w:pageBreakBefore w:val="0"/>
        <w:wordWrap w:val="0"/>
        <w:overflowPunct/>
        <w:topLinePunct w:val="0"/>
        <w:bidi w:val="0"/>
        <w:adjustRightInd w:val="0"/>
        <w:snapToGrid w:val="0"/>
        <w:spacing w:line="45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（8）与建设项目相关的标准、规范、技术资料。</w:t>
      </w:r>
    </w:p>
    <w:p w14:paraId="29C068D0">
      <w:pPr>
        <w:keepNext w:val="0"/>
        <w:keepLines w:val="0"/>
        <w:pageBreakBefore w:val="0"/>
        <w:widowControl w:val="0"/>
        <w:kinsoku w:val="0"/>
        <w:wordWrap/>
        <w:overflowPunct/>
        <w:topLinePunct w:val="0"/>
        <w:autoSpaceDE w:val="0"/>
        <w:autoSpaceDN w:val="0"/>
        <w:bidi w:val="0"/>
        <w:adjustRightInd w:val="0"/>
        <w:snapToGrid w:val="0"/>
        <w:spacing w:before="153" w:line="430" w:lineRule="exact"/>
        <w:ind w:left="8" w:right="150" w:firstLine="55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9.2 </w:t>
      </w:r>
      <w:r>
        <w:rPr>
          <w:rFonts w:hint="eastAsia" w:ascii="宋体" w:hAnsi="宋体" w:eastAsia="宋体" w:cs="宋体"/>
          <w:color w:val="auto"/>
          <w:spacing w:val="-2"/>
          <w:sz w:val="24"/>
          <w:szCs w:val="24"/>
          <w:highlight w:val="none"/>
        </w:rPr>
        <w:t>投标人应根据招标工程量清单、工程量清单计价规范中的工作内容、设计文</w:t>
      </w:r>
      <w:r>
        <w:rPr>
          <w:rFonts w:hint="eastAsia" w:ascii="宋体" w:hAnsi="宋体" w:eastAsia="宋体" w:cs="宋体"/>
          <w:color w:val="auto"/>
          <w:spacing w:val="-1"/>
          <w:sz w:val="24"/>
          <w:szCs w:val="24"/>
          <w:highlight w:val="none"/>
        </w:rPr>
        <w:t>件和有关要求、施工现场实际情况、投标人拟定的施工组织设计</w:t>
      </w:r>
      <w:r>
        <w:rPr>
          <w:rFonts w:hint="eastAsia" w:ascii="宋体" w:hAnsi="宋体" w:eastAsia="宋体" w:cs="宋体"/>
          <w:color w:val="auto"/>
          <w:spacing w:val="-2"/>
          <w:sz w:val="24"/>
          <w:szCs w:val="24"/>
          <w:highlight w:val="none"/>
        </w:rPr>
        <w:t>、本单位的企业定额</w:t>
      </w:r>
      <w:r>
        <w:rPr>
          <w:rFonts w:hint="eastAsia" w:ascii="宋体" w:hAnsi="宋体" w:eastAsia="宋体" w:cs="宋体"/>
          <w:color w:val="auto"/>
          <w:spacing w:val="-1"/>
          <w:sz w:val="24"/>
          <w:szCs w:val="24"/>
          <w:highlight w:val="none"/>
        </w:rPr>
        <w:t>和市场价格进行编制，自行报价，并承担一定范围内的风险费用</w:t>
      </w:r>
      <w:r>
        <w:rPr>
          <w:rFonts w:hint="eastAsia" w:ascii="宋体" w:hAnsi="宋体" w:eastAsia="宋体" w:cs="宋体"/>
          <w:color w:val="auto"/>
          <w:spacing w:val="-2"/>
          <w:sz w:val="24"/>
          <w:szCs w:val="24"/>
          <w:highlight w:val="none"/>
        </w:rPr>
        <w:t>。所谓“一定范围内</w:t>
      </w:r>
      <w:r>
        <w:rPr>
          <w:rFonts w:hint="eastAsia" w:ascii="宋体" w:hAnsi="宋体" w:eastAsia="宋体" w:cs="宋体"/>
          <w:color w:val="auto"/>
          <w:spacing w:val="-3"/>
          <w:sz w:val="24"/>
          <w:szCs w:val="24"/>
          <w:highlight w:val="none"/>
        </w:rPr>
        <w:t>的风险</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”是指合同约定的风险。</w:t>
      </w:r>
    </w:p>
    <w:p w14:paraId="52401B05">
      <w:pPr>
        <w:keepNext w:val="0"/>
        <w:keepLines w:val="0"/>
        <w:pageBreakBefore w:val="0"/>
        <w:overflowPunct/>
        <w:topLinePunct w:val="0"/>
        <w:bidi w:val="0"/>
        <w:spacing w:before="152" w:line="430" w:lineRule="exact"/>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9.3 </w:t>
      </w:r>
      <w:r>
        <w:rPr>
          <w:rFonts w:hint="eastAsia" w:ascii="宋体" w:hAnsi="宋体" w:eastAsia="宋体" w:cs="宋体"/>
          <w:color w:val="auto"/>
          <w:spacing w:val="-2"/>
          <w:sz w:val="24"/>
          <w:szCs w:val="24"/>
          <w:highlight w:val="none"/>
        </w:rPr>
        <w:t>招标人及招标代理机构不集中组织现场踏勘，投标人需要了解现场情况的，</w:t>
      </w:r>
      <w:r>
        <w:rPr>
          <w:rFonts w:hint="eastAsia" w:ascii="宋体" w:hAnsi="宋体" w:eastAsia="宋体" w:cs="宋体"/>
          <w:color w:val="auto"/>
          <w:spacing w:val="-1"/>
          <w:sz w:val="24"/>
          <w:szCs w:val="24"/>
          <w:highlight w:val="none"/>
        </w:rPr>
        <w:t>可自行进行现场踏勘。各投标人应勘察施工现场及周围环</w:t>
      </w:r>
      <w:r>
        <w:rPr>
          <w:rFonts w:hint="eastAsia" w:ascii="宋体" w:hAnsi="宋体" w:eastAsia="宋体" w:cs="宋体"/>
          <w:color w:val="auto"/>
          <w:spacing w:val="-2"/>
          <w:sz w:val="24"/>
          <w:szCs w:val="24"/>
          <w:highlight w:val="none"/>
        </w:rPr>
        <w:t>境、地形、地貌、水文、交</w:t>
      </w:r>
      <w:r>
        <w:rPr>
          <w:rFonts w:hint="eastAsia" w:ascii="宋体" w:hAnsi="宋体" w:eastAsia="宋体" w:cs="宋体"/>
          <w:color w:val="auto"/>
          <w:spacing w:val="-1"/>
          <w:sz w:val="24"/>
          <w:szCs w:val="24"/>
          <w:highlight w:val="none"/>
        </w:rPr>
        <w:t>通等情况，以获得一切可能影响到投标的直接资料。投标人应</w:t>
      </w:r>
      <w:r>
        <w:rPr>
          <w:rFonts w:hint="eastAsia" w:ascii="宋体" w:hAnsi="宋体" w:eastAsia="宋体" w:cs="宋体"/>
          <w:color w:val="auto"/>
          <w:spacing w:val="-2"/>
          <w:sz w:val="24"/>
          <w:szCs w:val="24"/>
          <w:highlight w:val="none"/>
        </w:rPr>
        <w:t>针对现场情况编制施工</w:t>
      </w:r>
      <w:r>
        <w:rPr>
          <w:rFonts w:hint="eastAsia" w:ascii="宋体" w:hAnsi="宋体" w:eastAsia="宋体" w:cs="宋体"/>
          <w:color w:val="auto"/>
          <w:spacing w:val="-1"/>
          <w:sz w:val="24"/>
          <w:szCs w:val="24"/>
          <w:highlight w:val="none"/>
        </w:rPr>
        <w:t>组织设计，并在编制投标报价时考虑现场情况的影响。</w:t>
      </w:r>
    </w:p>
    <w:p w14:paraId="2EE8E700">
      <w:pPr>
        <w:keepNext w:val="0"/>
        <w:keepLines w:val="0"/>
        <w:pageBreakBefore w:val="0"/>
        <w:overflowPunct/>
        <w:topLinePunct w:val="0"/>
        <w:bidi w:val="0"/>
        <w:spacing w:before="155" w:line="430" w:lineRule="exact"/>
        <w:ind w:left="10" w:right="150"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9.4 </w:t>
      </w:r>
      <w:r>
        <w:rPr>
          <w:rFonts w:hint="eastAsia" w:ascii="宋体" w:hAnsi="宋体" w:eastAsia="宋体" w:cs="宋体"/>
          <w:color w:val="auto"/>
          <w:spacing w:val="-2"/>
          <w:sz w:val="24"/>
          <w:szCs w:val="24"/>
          <w:highlight w:val="none"/>
        </w:rPr>
        <w:t>招标人向投标人提供的有关现场的数据和资料，是招标人现有的能被投标人</w:t>
      </w:r>
      <w:r>
        <w:rPr>
          <w:rFonts w:hint="eastAsia" w:ascii="宋体" w:hAnsi="宋体" w:eastAsia="宋体" w:cs="宋体"/>
          <w:color w:val="auto"/>
          <w:sz w:val="24"/>
          <w:szCs w:val="24"/>
          <w:highlight w:val="none"/>
        </w:rPr>
        <w:t>利用的资料，招标人对投标人做出的任何推论</w:t>
      </w:r>
      <w:r>
        <w:rPr>
          <w:rFonts w:hint="eastAsia" w:ascii="宋体" w:hAnsi="宋体" w:eastAsia="宋体" w:cs="宋体"/>
          <w:color w:val="auto"/>
          <w:spacing w:val="-1"/>
          <w:sz w:val="24"/>
          <w:szCs w:val="24"/>
          <w:highlight w:val="none"/>
        </w:rPr>
        <w:t>、理解和结论均不负责任。</w:t>
      </w:r>
    </w:p>
    <w:p w14:paraId="19718CE4">
      <w:pPr>
        <w:keepNext w:val="0"/>
        <w:keepLines w:val="0"/>
        <w:pageBreakBefore w:val="0"/>
        <w:overflowPunct/>
        <w:topLinePunct w:val="0"/>
        <w:bidi w:val="0"/>
        <w:spacing w:before="154" w:line="430" w:lineRule="exact"/>
        <w:ind w:left="12" w:firstLine="55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9.5 </w:t>
      </w:r>
      <w:r>
        <w:rPr>
          <w:rFonts w:hint="eastAsia" w:ascii="宋体" w:hAnsi="宋体" w:eastAsia="宋体" w:cs="宋体"/>
          <w:color w:val="auto"/>
          <w:spacing w:val="-2"/>
          <w:sz w:val="24"/>
          <w:szCs w:val="24"/>
          <w:highlight w:val="none"/>
        </w:rPr>
        <w:t>投标人必须按照招标工程量清单及表格填报价格。项目编码、项目名称、项</w:t>
      </w:r>
      <w:r>
        <w:rPr>
          <w:rFonts w:hint="eastAsia" w:ascii="宋体" w:hAnsi="宋体" w:eastAsia="宋体" w:cs="宋体"/>
          <w:color w:val="auto"/>
          <w:spacing w:val="2"/>
          <w:sz w:val="24"/>
          <w:szCs w:val="24"/>
          <w:highlight w:val="none"/>
        </w:rPr>
        <w:t>目特征、计量单位、工程量必须与招标工程量清单一致。所有报价均以人</w:t>
      </w:r>
      <w:r>
        <w:rPr>
          <w:rFonts w:hint="eastAsia" w:ascii="宋体" w:hAnsi="宋体" w:eastAsia="宋体" w:cs="宋体"/>
          <w:color w:val="auto"/>
          <w:spacing w:val="1"/>
          <w:sz w:val="24"/>
          <w:szCs w:val="24"/>
          <w:highlight w:val="none"/>
        </w:rPr>
        <w:t>民币“元</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为单位，并保留小数点后两位。</w:t>
      </w:r>
    </w:p>
    <w:p w14:paraId="25115DB8">
      <w:pPr>
        <w:keepNext w:val="0"/>
        <w:keepLines w:val="0"/>
        <w:pageBreakBefore w:val="0"/>
        <w:widowControl w:val="0"/>
        <w:kinsoku w:val="0"/>
        <w:wordWrap/>
        <w:overflowPunct/>
        <w:topLinePunct w:val="0"/>
        <w:autoSpaceDE w:val="0"/>
        <w:autoSpaceDN w:val="0"/>
        <w:bidi w:val="0"/>
        <w:adjustRightInd w:val="0"/>
        <w:snapToGrid w:val="0"/>
        <w:spacing w:before="158" w:line="430" w:lineRule="exact"/>
        <w:ind w:left="9" w:right="150" w:firstLine="557"/>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9.6 </w:t>
      </w:r>
      <w:r>
        <w:rPr>
          <w:rFonts w:hint="eastAsia" w:ascii="宋体" w:hAnsi="宋体" w:eastAsia="宋体" w:cs="宋体"/>
          <w:color w:val="auto"/>
          <w:spacing w:val="-2"/>
          <w:sz w:val="24"/>
          <w:szCs w:val="24"/>
          <w:highlight w:val="none"/>
        </w:rPr>
        <w:t>投标人只允许有一个投标总价。投标总价必须同时用大、小写表示，大、小</w:t>
      </w:r>
      <w:r>
        <w:rPr>
          <w:rFonts w:hint="eastAsia" w:ascii="宋体" w:hAnsi="宋体" w:eastAsia="宋体" w:cs="宋体"/>
          <w:color w:val="auto"/>
          <w:spacing w:val="-1"/>
          <w:sz w:val="24"/>
          <w:szCs w:val="24"/>
          <w:highlight w:val="none"/>
        </w:rPr>
        <w:t>写报价应保持一致，若不一致，以大写报价为准。招标工程量</w:t>
      </w:r>
      <w:r>
        <w:rPr>
          <w:rFonts w:hint="eastAsia" w:ascii="宋体" w:hAnsi="宋体" w:eastAsia="宋体" w:cs="宋体"/>
          <w:color w:val="auto"/>
          <w:spacing w:val="-2"/>
          <w:sz w:val="24"/>
          <w:szCs w:val="24"/>
          <w:highlight w:val="none"/>
        </w:rPr>
        <w:t>清单与计价表中列明的</w:t>
      </w:r>
      <w:r>
        <w:rPr>
          <w:rFonts w:hint="eastAsia" w:ascii="宋体" w:hAnsi="宋体" w:eastAsia="宋体" w:cs="宋体"/>
          <w:color w:val="auto"/>
          <w:spacing w:val="-1"/>
          <w:sz w:val="24"/>
          <w:szCs w:val="24"/>
          <w:highlight w:val="none"/>
        </w:rPr>
        <w:t>所有需要填写单价和合价的项目，投标人均应填写且只允许有</w:t>
      </w:r>
      <w:r>
        <w:rPr>
          <w:rFonts w:hint="eastAsia" w:ascii="宋体" w:hAnsi="宋体" w:eastAsia="宋体" w:cs="宋体"/>
          <w:color w:val="auto"/>
          <w:spacing w:val="-2"/>
          <w:sz w:val="24"/>
          <w:szCs w:val="24"/>
          <w:highlight w:val="none"/>
        </w:rPr>
        <w:t>一个报价。未填写单价</w:t>
      </w:r>
      <w:r>
        <w:rPr>
          <w:rFonts w:hint="eastAsia" w:ascii="宋体" w:hAnsi="宋体" w:eastAsia="宋体" w:cs="宋体"/>
          <w:color w:val="auto"/>
          <w:spacing w:val="-1"/>
          <w:sz w:val="24"/>
          <w:szCs w:val="24"/>
          <w:highlight w:val="none"/>
        </w:rPr>
        <w:t>和合价的项目，视为此项费用已包含在已标价工程量清单其他</w:t>
      </w:r>
      <w:r>
        <w:rPr>
          <w:rFonts w:hint="eastAsia" w:ascii="宋体" w:hAnsi="宋体" w:eastAsia="宋体" w:cs="宋体"/>
          <w:color w:val="auto"/>
          <w:spacing w:val="-2"/>
          <w:sz w:val="24"/>
          <w:szCs w:val="24"/>
          <w:highlight w:val="none"/>
        </w:rPr>
        <w:t>项目的单价和合价中，</w:t>
      </w:r>
      <w:r>
        <w:rPr>
          <w:rFonts w:hint="eastAsia" w:ascii="宋体" w:hAnsi="宋体" w:eastAsia="宋体" w:cs="宋体"/>
          <w:color w:val="auto"/>
          <w:spacing w:val="-1"/>
          <w:sz w:val="24"/>
          <w:szCs w:val="24"/>
          <w:highlight w:val="none"/>
        </w:rPr>
        <w:t>竣工结算时不得重新组价和调整。</w:t>
      </w:r>
    </w:p>
    <w:p w14:paraId="70ECFD87">
      <w:pPr>
        <w:keepNext w:val="0"/>
        <w:keepLines w:val="0"/>
        <w:pageBreakBefore w:val="0"/>
        <w:widowControl w:val="0"/>
        <w:kinsoku w:val="0"/>
        <w:wordWrap/>
        <w:overflowPunct/>
        <w:topLinePunct w:val="0"/>
        <w:autoSpaceDE w:val="0"/>
        <w:autoSpaceDN w:val="0"/>
        <w:bidi w:val="0"/>
        <w:adjustRightInd w:val="0"/>
        <w:snapToGrid w:val="0"/>
        <w:spacing w:before="152" w:line="430" w:lineRule="exact"/>
        <w:ind w:left="7" w:right="120" w:firstLine="480"/>
        <w:textAlignment w:val="baseline"/>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z w:val="24"/>
          <w:szCs w:val="24"/>
          <w:highlight w:val="none"/>
        </w:rPr>
        <w:t xml:space="preserve">9.7 </w:t>
      </w:r>
      <w:r>
        <w:rPr>
          <w:rFonts w:hint="eastAsia" w:ascii="宋体" w:hAnsi="宋体" w:eastAsia="宋体" w:cs="宋体"/>
          <w:color w:val="auto"/>
          <w:sz w:val="24"/>
          <w:szCs w:val="24"/>
          <w:highlight w:val="none"/>
        </w:rPr>
        <w:t>投标人的投标总价不得高于</w:t>
      </w:r>
      <w:r>
        <w:rPr>
          <w:rFonts w:hint="eastAsia" w:ascii="宋体" w:hAnsi="宋体" w:eastAsia="宋体" w:cs="宋体"/>
          <w:b/>
          <w:bCs/>
          <w:color w:val="auto"/>
          <w:sz w:val="24"/>
          <w:szCs w:val="24"/>
          <w:highlight w:val="none"/>
        </w:rPr>
        <w:t>最高投标限价</w:t>
      </w:r>
      <w:r>
        <w:rPr>
          <w:rFonts w:hint="eastAsia" w:ascii="宋体" w:hAnsi="宋体" w:eastAsia="宋体" w:cs="宋体"/>
          <w:color w:val="auto"/>
          <w:sz w:val="24"/>
          <w:szCs w:val="24"/>
          <w:highlight w:val="none"/>
        </w:rPr>
        <w:t>，也不得低于工程成本。投标人对</w:t>
      </w:r>
      <w:r>
        <w:rPr>
          <w:rFonts w:hint="eastAsia" w:ascii="宋体" w:hAnsi="宋体" w:eastAsia="宋体" w:cs="宋体"/>
          <w:color w:val="auto"/>
          <w:spacing w:val="-1"/>
          <w:sz w:val="24"/>
          <w:szCs w:val="24"/>
          <w:highlight w:val="none"/>
        </w:rPr>
        <w:t>投标总价的所有优惠（降价、让利等</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
          <w:sz w:val="24"/>
          <w:szCs w:val="24"/>
          <w:highlight w:val="none"/>
        </w:rPr>
        <w:t>均应当反映在具体清单项目或其综合</w:t>
      </w:r>
      <w:r>
        <w:rPr>
          <w:rFonts w:hint="eastAsia" w:ascii="宋体" w:hAnsi="宋体" w:eastAsia="宋体" w:cs="宋体"/>
          <w:color w:val="auto"/>
          <w:spacing w:val="-2"/>
          <w:sz w:val="24"/>
          <w:szCs w:val="24"/>
          <w:highlight w:val="none"/>
        </w:rPr>
        <w:t>单价的</w:t>
      </w:r>
      <w:r>
        <w:rPr>
          <w:rFonts w:hint="eastAsia" w:ascii="宋体" w:hAnsi="宋体" w:eastAsia="宋体" w:cs="宋体"/>
          <w:color w:val="auto"/>
          <w:spacing w:val="1"/>
          <w:sz w:val="24"/>
          <w:szCs w:val="24"/>
          <w:highlight w:val="none"/>
        </w:rPr>
        <w:t>报价上。</w:t>
      </w:r>
      <w:r>
        <w:rPr>
          <w:rFonts w:hint="eastAsia" w:ascii="宋体" w:hAnsi="宋体" w:eastAsia="宋体" w:cs="宋体"/>
          <w:b/>
          <w:bCs/>
          <w:color w:val="auto"/>
          <w:spacing w:val="1"/>
          <w:sz w:val="24"/>
          <w:szCs w:val="24"/>
          <w:highlight w:val="none"/>
        </w:rPr>
        <w:t>如果投标人的投标总价下浮率高于15%时，投标人必须在投标文件中专项</w:t>
      </w:r>
      <w:r>
        <w:rPr>
          <w:rFonts w:hint="eastAsia" w:ascii="宋体" w:hAnsi="宋体" w:eastAsia="宋体" w:cs="宋体"/>
          <w:b/>
          <w:bCs/>
          <w:color w:val="auto"/>
          <w:spacing w:val="-3"/>
          <w:sz w:val="24"/>
          <w:szCs w:val="24"/>
          <w:highlight w:val="none"/>
        </w:rPr>
        <w:t>作出详细合理的书面说明并提供以往类似工程详细成本分析报告供评标委员会审查。</w:t>
      </w:r>
    </w:p>
    <w:p w14:paraId="44374507">
      <w:pPr>
        <w:keepNext w:val="0"/>
        <w:keepLines w:val="0"/>
        <w:pageBreakBefore w:val="0"/>
        <w:widowControl w:val="0"/>
        <w:kinsoku w:val="0"/>
        <w:wordWrap/>
        <w:overflowPunct/>
        <w:topLinePunct w:val="0"/>
        <w:autoSpaceDE w:val="0"/>
        <w:autoSpaceDN w:val="0"/>
        <w:bidi w:val="0"/>
        <w:adjustRightInd w:val="0"/>
        <w:snapToGrid w:val="0"/>
        <w:spacing w:line="430" w:lineRule="exact"/>
        <w:ind w:firstLine="1458" w:firstLineChars="600"/>
        <w:textAlignment w:val="baseline"/>
        <w:rPr>
          <w:rFonts w:hint="eastAsia" w:ascii="宋体" w:hAnsi="宋体" w:eastAsia="宋体" w:cs="宋体"/>
          <w:b/>
          <w:bCs/>
          <w:snapToGrid w:val="0"/>
          <w:color w:val="auto"/>
          <w:spacing w:val="1"/>
          <w:sz w:val="24"/>
          <w:szCs w:val="24"/>
          <w:highlight w:val="none"/>
          <w:lang w:val="en-US" w:eastAsia="zh-CN" w:bidi="ar-SA"/>
        </w:rPr>
      </w:pPr>
      <w:bookmarkStart w:id="41" w:name="_Toc22704"/>
      <w:r>
        <w:rPr>
          <w:rFonts w:hint="eastAsia" w:ascii="宋体" w:hAnsi="宋体" w:eastAsia="宋体" w:cs="宋体"/>
          <w:b/>
          <w:bCs/>
          <w:snapToGrid w:val="0"/>
          <w:color w:val="auto"/>
          <w:spacing w:val="1"/>
          <w:sz w:val="24"/>
          <w:szCs w:val="24"/>
          <w:highlight w:val="none"/>
          <w:lang w:val="en-US" w:eastAsia="zh-CN" w:bidi="ar-SA"/>
        </w:rPr>
        <w:t>投标总价下浮率=（1-投标总价</w:t>
      </w:r>
      <w:r>
        <w:rPr>
          <w:rFonts w:hint="eastAsia" w:ascii="宋体" w:hAnsi="宋体" w:eastAsia="宋体" w:cs="宋体"/>
          <w:b/>
          <w:bCs/>
          <w:snapToGrid w:val="0"/>
          <w:color w:val="auto"/>
          <w:spacing w:val="1"/>
          <w:sz w:val="24"/>
          <w:szCs w:val="24"/>
          <w:highlight w:val="none"/>
          <w:lang w:val="en-US" w:eastAsia="en-US" w:bidi="ar-SA"/>
        </w:rPr>
        <w:t>÷</w:t>
      </w:r>
      <w:r>
        <w:rPr>
          <w:rFonts w:hint="eastAsia" w:ascii="宋体" w:hAnsi="宋体" w:eastAsia="宋体" w:cs="宋体"/>
          <w:b/>
          <w:bCs/>
          <w:snapToGrid w:val="0"/>
          <w:color w:val="auto"/>
          <w:spacing w:val="1"/>
          <w:sz w:val="24"/>
          <w:szCs w:val="24"/>
          <w:highlight w:val="none"/>
          <w:lang w:val="en-US" w:eastAsia="zh-CN" w:bidi="ar-SA"/>
        </w:rPr>
        <w:t>最高投标限价）</w:t>
      </w:r>
      <w:r>
        <w:rPr>
          <w:rFonts w:hint="eastAsia" w:ascii="宋体" w:hAnsi="宋体" w:eastAsia="宋体" w:cs="宋体"/>
          <w:b/>
          <w:bCs/>
          <w:snapToGrid w:val="0"/>
          <w:color w:val="auto"/>
          <w:spacing w:val="1"/>
          <w:sz w:val="24"/>
          <w:szCs w:val="24"/>
          <w:highlight w:val="none"/>
          <w:lang w:val="en-US" w:eastAsia="en-US" w:bidi="ar-SA"/>
        </w:rPr>
        <w:t>×</w:t>
      </w:r>
      <w:r>
        <w:rPr>
          <w:rFonts w:hint="eastAsia" w:ascii="宋体" w:hAnsi="宋体" w:eastAsia="宋体" w:cs="宋体"/>
          <w:b/>
          <w:bCs/>
          <w:snapToGrid w:val="0"/>
          <w:color w:val="auto"/>
          <w:spacing w:val="1"/>
          <w:sz w:val="24"/>
          <w:szCs w:val="24"/>
          <w:highlight w:val="none"/>
          <w:lang w:val="en-US" w:eastAsia="zh-CN" w:bidi="ar-SA"/>
        </w:rPr>
        <w:t>100%</w:t>
      </w:r>
      <w:bookmarkEnd w:id="41"/>
    </w:p>
    <w:p w14:paraId="4C5670EC">
      <w:pPr>
        <w:keepNext w:val="0"/>
        <w:keepLines w:val="0"/>
        <w:pageBreakBefore w:val="0"/>
        <w:widowControl w:val="0"/>
        <w:kinsoku w:val="0"/>
        <w:wordWrap/>
        <w:overflowPunct/>
        <w:topLinePunct w:val="0"/>
        <w:autoSpaceDE w:val="0"/>
        <w:autoSpaceDN w:val="0"/>
        <w:bidi w:val="0"/>
        <w:adjustRightInd w:val="0"/>
        <w:snapToGrid w:val="0"/>
        <w:spacing w:before="146" w:line="430" w:lineRule="exact"/>
        <w:ind w:left="29" w:right="153" w:firstLine="45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9.8 </w:t>
      </w:r>
      <w:r>
        <w:rPr>
          <w:rFonts w:hint="eastAsia" w:ascii="宋体" w:hAnsi="宋体" w:eastAsia="宋体" w:cs="宋体"/>
          <w:color w:val="auto"/>
          <w:sz w:val="24"/>
          <w:szCs w:val="24"/>
          <w:highlight w:val="none"/>
        </w:rPr>
        <w:t>投标人的绿色施工安全防护措施费报价必须达到或超过</w:t>
      </w:r>
      <w:r>
        <w:rPr>
          <w:rFonts w:hint="eastAsia" w:ascii="宋体" w:hAnsi="宋体" w:eastAsia="宋体" w:cs="宋体"/>
          <w:color w:val="auto"/>
          <w:sz w:val="24"/>
          <w:szCs w:val="24"/>
          <w:highlight w:val="none"/>
          <w:lang w:val="en-US" w:eastAsia="zh-CN"/>
        </w:rPr>
        <w:t>最高投标限价</w:t>
      </w:r>
      <w:r>
        <w:rPr>
          <w:rFonts w:hint="eastAsia" w:ascii="宋体" w:hAnsi="宋体" w:eastAsia="宋体" w:cs="宋体"/>
          <w:color w:val="auto"/>
          <w:sz w:val="24"/>
          <w:szCs w:val="24"/>
          <w:highlight w:val="none"/>
        </w:rPr>
        <w:t>中</w:t>
      </w:r>
      <w:r>
        <w:rPr>
          <w:rFonts w:hint="eastAsia" w:ascii="宋体" w:hAnsi="宋体" w:eastAsia="宋体" w:cs="宋体"/>
          <w:color w:val="auto"/>
          <w:spacing w:val="-1"/>
          <w:sz w:val="24"/>
          <w:szCs w:val="24"/>
          <w:highlight w:val="none"/>
        </w:rPr>
        <w:t>提供</w:t>
      </w:r>
      <w:r>
        <w:rPr>
          <w:rFonts w:hint="eastAsia" w:ascii="宋体" w:hAnsi="宋体" w:eastAsia="宋体" w:cs="宋体"/>
          <w:color w:val="auto"/>
          <w:spacing w:val="-3"/>
          <w:sz w:val="24"/>
          <w:szCs w:val="24"/>
          <w:highlight w:val="none"/>
        </w:rPr>
        <w:t>的绿色施工安全防护措施费。</w:t>
      </w:r>
    </w:p>
    <w:p w14:paraId="1D8CFDAE">
      <w:pPr>
        <w:keepNext w:val="0"/>
        <w:keepLines w:val="0"/>
        <w:pageBreakBefore w:val="0"/>
        <w:widowControl w:val="0"/>
        <w:kinsoku w:val="0"/>
        <w:wordWrap/>
        <w:overflowPunct/>
        <w:topLinePunct w:val="0"/>
        <w:autoSpaceDE w:val="0"/>
        <w:autoSpaceDN w:val="0"/>
        <w:bidi w:val="0"/>
        <w:adjustRightInd w:val="0"/>
        <w:snapToGrid w:val="0"/>
        <w:spacing w:before="78" w:line="430" w:lineRule="exact"/>
        <w:ind w:right="99"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9.9 </w:t>
      </w:r>
      <w:r>
        <w:rPr>
          <w:rFonts w:hint="eastAsia" w:ascii="宋体" w:hAnsi="宋体" w:eastAsia="宋体" w:cs="宋体"/>
          <w:color w:val="auto"/>
          <w:sz w:val="24"/>
          <w:szCs w:val="24"/>
          <w:highlight w:val="none"/>
        </w:rPr>
        <w:t>投标人必须按照招标工程量清单中提供的暂列金额和暂估价统一报价。投标</w:t>
      </w:r>
      <w:r>
        <w:rPr>
          <w:rFonts w:hint="eastAsia" w:ascii="宋体" w:hAnsi="宋体" w:eastAsia="宋体" w:cs="宋体"/>
          <w:color w:val="auto"/>
          <w:spacing w:val="-1"/>
          <w:sz w:val="24"/>
          <w:szCs w:val="24"/>
          <w:highlight w:val="none"/>
        </w:rPr>
        <w:t>人应充分考虑暂估价项目（或暂列金额项目）的管理和协调所发</w:t>
      </w:r>
      <w:r>
        <w:rPr>
          <w:rFonts w:hint="eastAsia" w:ascii="宋体" w:hAnsi="宋体" w:eastAsia="宋体" w:cs="宋体"/>
          <w:color w:val="auto"/>
          <w:spacing w:val="-2"/>
          <w:sz w:val="24"/>
          <w:szCs w:val="24"/>
          <w:highlight w:val="none"/>
        </w:rPr>
        <w:t>生的费用，并将其纳</w:t>
      </w:r>
      <w:r>
        <w:rPr>
          <w:rFonts w:hint="eastAsia" w:ascii="宋体" w:hAnsi="宋体" w:eastAsia="宋体" w:cs="宋体"/>
          <w:color w:val="auto"/>
          <w:spacing w:val="-1"/>
          <w:sz w:val="24"/>
          <w:szCs w:val="24"/>
          <w:highlight w:val="none"/>
        </w:rPr>
        <w:t>入已标价工程量清单中的适当项目。招标人视该项管理和协调所</w:t>
      </w:r>
      <w:r>
        <w:rPr>
          <w:rFonts w:hint="eastAsia" w:ascii="宋体" w:hAnsi="宋体" w:eastAsia="宋体" w:cs="宋体"/>
          <w:color w:val="auto"/>
          <w:spacing w:val="-2"/>
          <w:sz w:val="24"/>
          <w:szCs w:val="24"/>
          <w:highlight w:val="none"/>
        </w:rPr>
        <w:t>发生的费用已包含在</w:t>
      </w:r>
      <w:r>
        <w:rPr>
          <w:rFonts w:hint="eastAsia" w:ascii="宋体" w:hAnsi="宋体" w:eastAsia="宋体" w:cs="宋体"/>
          <w:color w:val="auto"/>
          <w:spacing w:val="-1"/>
          <w:sz w:val="24"/>
          <w:szCs w:val="24"/>
          <w:highlight w:val="none"/>
        </w:rPr>
        <w:t>其它有价款的竞争性报价内，不再另行支付。</w:t>
      </w:r>
    </w:p>
    <w:p w14:paraId="4663DD26">
      <w:pPr>
        <w:keepNext w:val="0"/>
        <w:keepLines w:val="0"/>
        <w:pageBreakBefore w:val="0"/>
        <w:overflowPunct/>
        <w:topLinePunct w:val="0"/>
        <w:bidi w:val="0"/>
        <w:spacing w:before="78" w:line="430" w:lineRule="exact"/>
        <w:ind w:right="99" w:firstLine="478" w:firstLineChars="200"/>
        <w:rPr>
          <w:rFonts w:hint="eastAsia" w:ascii="宋体" w:hAnsi="宋体" w:eastAsia="宋体" w:cs="宋体"/>
          <w:color w:val="auto"/>
          <w:spacing w:val="-3"/>
          <w:sz w:val="24"/>
          <w:szCs w:val="24"/>
          <w:highlight w:val="none"/>
          <w:lang w:eastAsia="zh-CN"/>
        </w:rPr>
      </w:pPr>
      <w:r>
        <w:rPr>
          <w:rFonts w:hint="eastAsia" w:ascii="宋体" w:hAnsi="宋体" w:eastAsia="宋体" w:cs="宋体"/>
          <w:b/>
          <w:bCs/>
          <w:color w:val="auto"/>
          <w:spacing w:val="-1"/>
          <w:sz w:val="24"/>
          <w:szCs w:val="24"/>
          <w:highlight w:val="none"/>
        </w:rPr>
        <w:t>9.10</w:t>
      </w:r>
      <w:r>
        <w:rPr>
          <w:rFonts w:hint="eastAsia" w:ascii="宋体" w:hAnsi="宋体" w:eastAsia="宋体" w:cs="宋体"/>
          <w:b/>
          <w:bCs/>
          <w:color w:val="auto"/>
          <w:spacing w:val="-1"/>
          <w:sz w:val="24"/>
          <w:szCs w:val="24"/>
          <w:highlight w:val="none"/>
          <w:lang w:val="en-US" w:eastAsia="zh-CN"/>
        </w:rPr>
        <w:t xml:space="preserve"> </w:t>
      </w:r>
      <w:r>
        <w:rPr>
          <w:rFonts w:hint="eastAsia" w:ascii="宋体" w:hAnsi="宋体" w:eastAsia="宋体" w:cs="宋体"/>
          <w:color w:val="auto"/>
          <w:spacing w:val="-1"/>
          <w:sz w:val="24"/>
          <w:szCs w:val="24"/>
          <w:highlight w:val="none"/>
        </w:rPr>
        <w:t>预算包干内容一般包括施工雨（污）水的排除、因地形影响造成的场内料具二次运输、20米高以下的工程用水加压措施、施工材料堆放场地的整理、机电安装后的补洞（槽）工料费、工程成品保护费、施工中的临时停水停电、基础埋深2米以内挖土方的塌方、日间照明施工增加费（不包括地下室和特殊工程）、完工清场后的垃</w:t>
      </w:r>
      <w:r>
        <w:rPr>
          <w:rFonts w:hint="eastAsia" w:ascii="宋体" w:hAnsi="宋体" w:eastAsia="宋体" w:cs="宋体"/>
          <w:color w:val="auto"/>
          <w:spacing w:val="-7"/>
          <w:sz w:val="24"/>
          <w:szCs w:val="24"/>
          <w:highlight w:val="none"/>
        </w:rPr>
        <w:t>圾外运等。投标报价时，应按《广东省建设工程计价依据（2018）》规定的费率报价，</w:t>
      </w:r>
      <w:r>
        <w:rPr>
          <w:rFonts w:hint="eastAsia" w:ascii="宋体" w:hAnsi="宋体" w:eastAsia="宋体" w:cs="宋体"/>
          <w:color w:val="auto"/>
          <w:spacing w:val="-2"/>
          <w:sz w:val="24"/>
          <w:szCs w:val="24"/>
          <w:highlight w:val="none"/>
        </w:rPr>
        <w:t>若招标工程量清单明确说明不计算预算包干费或</w:t>
      </w:r>
      <w:r>
        <w:rPr>
          <w:rFonts w:hint="eastAsia" w:ascii="宋体" w:hAnsi="宋体" w:eastAsia="宋体" w:cs="宋体"/>
          <w:color w:val="auto"/>
          <w:spacing w:val="-3"/>
          <w:sz w:val="24"/>
          <w:szCs w:val="24"/>
          <w:highlight w:val="none"/>
        </w:rPr>
        <w:t>另外确定预算包干费费率的，则按招</w:t>
      </w:r>
      <w:r>
        <w:rPr>
          <w:rFonts w:hint="eastAsia" w:ascii="宋体" w:hAnsi="宋体" w:eastAsia="宋体" w:cs="宋体"/>
          <w:color w:val="auto"/>
          <w:spacing w:val="-3"/>
          <w:sz w:val="24"/>
          <w:szCs w:val="24"/>
          <w:highlight w:val="none"/>
          <w:lang w:eastAsia="zh-CN"/>
        </w:rPr>
        <w:t>标工程量清单报价。</w:t>
      </w:r>
    </w:p>
    <w:p w14:paraId="0684F705">
      <w:pPr>
        <w:keepNext w:val="0"/>
        <w:keepLines w:val="0"/>
        <w:pageBreakBefore w:val="0"/>
        <w:kinsoku/>
        <w:overflowPunct/>
        <w:topLinePunct w:val="0"/>
        <w:autoSpaceDE/>
        <w:autoSpaceDN/>
        <w:bidi w:val="0"/>
        <w:snapToGrid w:val="0"/>
        <w:spacing w:line="430" w:lineRule="exact"/>
        <w:ind w:firstLine="482" w:firstLineChars="200"/>
        <w:rPr>
          <w:rFonts w:hint="eastAsia" w:ascii="宋体" w:hAnsi="宋体" w:eastAsia="宋体" w:cs="宋体"/>
          <w:color w:val="auto"/>
          <w:spacing w:val="-3"/>
          <w:sz w:val="24"/>
          <w:szCs w:val="24"/>
          <w:highlight w:val="none"/>
          <w:lang w:eastAsia="zh-CN"/>
        </w:rPr>
      </w:pPr>
      <w:r>
        <w:rPr>
          <w:rFonts w:hint="eastAsia" w:ascii="宋体" w:hAnsi="宋体" w:eastAsia="宋体" w:cs="宋体"/>
          <w:b/>
          <w:bCs/>
          <w:color w:val="auto"/>
          <w:sz w:val="24"/>
          <w:szCs w:val="24"/>
          <w:highlight w:val="none"/>
          <w:lang w:val="en-US" w:eastAsia="zh-CN"/>
        </w:rPr>
        <w:t>9.11</w:t>
      </w:r>
      <w:r>
        <w:rPr>
          <w:rFonts w:hint="eastAsia" w:ascii="宋体" w:hAnsi="宋体" w:eastAsia="宋体" w:cs="宋体"/>
          <w:color w:val="auto"/>
          <w:sz w:val="24"/>
          <w:szCs w:val="24"/>
          <w:highlight w:val="none"/>
          <w:lang w:eastAsia="zh-CN"/>
        </w:rPr>
        <w:t>招标代理费和评标专家酬劳的支付：</w:t>
      </w:r>
      <w:r>
        <w:rPr>
          <w:rFonts w:hint="eastAsia" w:ascii="宋体" w:hAnsi="宋体" w:eastAsia="宋体" w:cs="宋体"/>
          <w:color w:val="auto"/>
          <w:sz w:val="24"/>
          <w:szCs w:val="24"/>
          <w:highlight w:val="none"/>
          <w:lang w:val="en-US" w:eastAsia="zh-CN"/>
        </w:rPr>
        <w:t>本项目的招标代理服务费和评标专家酬劳由中标人支付。招标代理服务费依据《招标代理服务收费管理暂行办法》（计价格【2002】1980号）规定的“工程类”收费标准下浮20%计算收取</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该费用不再另行报价，由投标人在投标报价时综合考虑在内。中标人在领取中标通知书前须向招标代理机构一次性支付（评标专家酬劳先由招标代理垫付，评标专家酬劳以评标结束当日的评标专家酬劳签收表总额为准）。</w:t>
      </w:r>
    </w:p>
    <w:p w14:paraId="6B86CC24">
      <w:pPr>
        <w:keepNext w:val="0"/>
        <w:keepLines w:val="0"/>
        <w:pageBreakBefore w:val="0"/>
        <w:overflowPunct/>
        <w:topLinePunct w:val="0"/>
        <w:bidi w:val="0"/>
        <w:spacing w:before="78" w:line="430" w:lineRule="exact"/>
        <w:ind w:left="496"/>
        <w:outlineLvl w:val="2"/>
        <w:rPr>
          <w:rFonts w:hint="eastAsia" w:ascii="宋体" w:hAnsi="宋体" w:eastAsia="宋体" w:cs="宋体"/>
          <w:color w:val="auto"/>
          <w:sz w:val="24"/>
          <w:szCs w:val="24"/>
          <w:highlight w:val="none"/>
        </w:rPr>
      </w:pPr>
      <w:bookmarkStart w:id="42" w:name="_Toc26296"/>
      <w:bookmarkStart w:id="43" w:name="_Toc4689"/>
      <w:r>
        <w:rPr>
          <w:rFonts w:hint="eastAsia" w:ascii="宋体" w:hAnsi="宋体" w:eastAsia="宋体" w:cs="宋体"/>
          <w:b/>
          <w:bCs/>
          <w:color w:val="auto"/>
          <w:spacing w:val="-6"/>
          <w:sz w:val="24"/>
          <w:szCs w:val="24"/>
          <w:highlight w:val="none"/>
        </w:rPr>
        <w:t>10</w:t>
      </w:r>
      <w:r>
        <w:rPr>
          <w:rFonts w:hint="eastAsia" w:ascii="宋体" w:hAnsi="宋体" w:eastAsia="宋体" w:cs="宋体"/>
          <w:b/>
          <w:bCs/>
          <w:color w:val="auto"/>
          <w:spacing w:val="-21"/>
          <w:sz w:val="24"/>
          <w:szCs w:val="24"/>
          <w:highlight w:val="none"/>
          <w:lang w:eastAsia="zh-CN"/>
        </w:rPr>
        <w:t>.</w:t>
      </w:r>
      <w:r>
        <w:rPr>
          <w:rFonts w:hint="eastAsia" w:ascii="宋体" w:hAnsi="宋体" w:eastAsia="宋体" w:cs="宋体"/>
          <w:b/>
          <w:bCs/>
          <w:color w:val="auto"/>
          <w:spacing w:val="-6"/>
          <w:sz w:val="24"/>
          <w:szCs w:val="24"/>
          <w:highlight w:val="none"/>
        </w:rPr>
        <w:t>投标文件的编制要求</w:t>
      </w:r>
      <w:bookmarkEnd w:id="42"/>
      <w:bookmarkEnd w:id="43"/>
    </w:p>
    <w:p w14:paraId="1992B9A6">
      <w:pPr>
        <w:keepNext w:val="0"/>
        <w:keepLines w:val="0"/>
        <w:pageBreakBefore w:val="0"/>
        <w:overflowPunct/>
        <w:topLinePunct w:val="0"/>
        <w:bidi w:val="0"/>
        <w:spacing w:before="68" w:line="430" w:lineRule="exact"/>
        <w:ind w:left="11" w:right="99" w:firstLine="563"/>
        <w:rPr>
          <w:rFonts w:hint="eastAsia" w:ascii="宋体" w:hAnsi="宋体" w:eastAsia="宋体" w:cs="宋体"/>
          <w:b w:val="0"/>
          <w:bCs w:val="0"/>
          <w:color w:val="auto"/>
          <w:spacing w:val="-3"/>
          <w:sz w:val="24"/>
          <w:szCs w:val="24"/>
          <w:highlight w:val="none"/>
        </w:rPr>
      </w:pPr>
      <w:bookmarkStart w:id="44" w:name="_Toc20590"/>
      <w:bookmarkStart w:id="45" w:name="_Toc25990"/>
      <w:r>
        <w:rPr>
          <w:rFonts w:hint="eastAsia" w:ascii="宋体" w:hAnsi="宋体" w:eastAsia="宋体" w:cs="宋体"/>
          <w:b/>
          <w:bCs/>
          <w:color w:val="auto"/>
          <w:spacing w:val="-3"/>
          <w:sz w:val="24"/>
          <w:szCs w:val="24"/>
          <w:highlight w:val="none"/>
        </w:rPr>
        <w:t xml:space="preserve">10.1  </w:t>
      </w:r>
      <w:r>
        <w:rPr>
          <w:rFonts w:hint="eastAsia" w:ascii="宋体" w:hAnsi="宋体" w:eastAsia="宋体" w:cs="宋体"/>
          <w:b w:val="0"/>
          <w:bCs w:val="0"/>
          <w:color w:val="auto"/>
          <w:spacing w:val="-3"/>
          <w:sz w:val="24"/>
          <w:szCs w:val="24"/>
          <w:highlight w:val="none"/>
        </w:rPr>
        <w:t>一般要求</w:t>
      </w:r>
      <w:bookmarkEnd w:id="44"/>
      <w:bookmarkEnd w:id="45"/>
    </w:p>
    <w:p w14:paraId="56A19F57">
      <w:pPr>
        <w:keepNext w:val="0"/>
        <w:keepLines w:val="0"/>
        <w:pageBreakBefore w:val="0"/>
        <w:overflowPunct/>
        <w:topLinePunct w:val="0"/>
        <w:bidi w:val="0"/>
        <w:spacing w:before="118" w:line="430" w:lineRule="exact"/>
        <w:ind w:left="11" w:right="99"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投标文件应按第六章投标文件格式规定的内容，投标人提交的投标文件应当使</w:t>
      </w:r>
      <w:r>
        <w:rPr>
          <w:rFonts w:hint="eastAsia" w:ascii="宋体" w:hAnsi="宋体" w:eastAsia="宋体" w:cs="宋体"/>
          <w:color w:val="auto"/>
          <w:spacing w:val="-1"/>
          <w:sz w:val="24"/>
          <w:szCs w:val="24"/>
          <w:highlight w:val="none"/>
        </w:rPr>
        <w:t>用招标文件所提供的投标文件全部格式。</w:t>
      </w:r>
    </w:p>
    <w:p w14:paraId="7674DD0B">
      <w:pPr>
        <w:keepNext w:val="0"/>
        <w:keepLines w:val="0"/>
        <w:pageBreakBefore w:val="0"/>
        <w:overflowPunct/>
        <w:topLinePunct w:val="0"/>
        <w:bidi w:val="0"/>
        <w:spacing w:before="68" w:line="430" w:lineRule="exact"/>
        <w:ind w:left="11" w:right="99" w:firstLine="56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10.1.1  </w:t>
      </w:r>
      <w:r>
        <w:rPr>
          <w:rFonts w:hint="eastAsia" w:ascii="宋体" w:hAnsi="宋体" w:eastAsia="宋体" w:cs="宋体"/>
          <w:color w:val="auto"/>
          <w:spacing w:val="-3"/>
          <w:sz w:val="24"/>
          <w:szCs w:val="24"/>
          <w:highlight w:val="none"/>
        </w:rPr>
        <w:t>投标人必须响应招标文件，并在充分理解招</w:t>
      </w:r>
      <w:r>
        <w:rPr>
          <w:rFonts w:hint="eastAsia" w:ascii="宋体" w:hAnsi="宋体" w:eastAsia="宋体" w:cs="宋体"/>
          <w:color w:val="auto"/>
          <w:spacing w:val="-4"/>
          <w:sz w:val="24"/>
          <w:szCs w:val="24"/>
          <w:highlight w:val="none"/>
        </w:rPr>
        <w:t>标人提供的全部文件、设计图</w:t>
      </w:r>
      <w:r>
        <w:rPr>
          <w:rFonts w:hint="eastAsia" w:ascii="宋体" w:hAnsi="宋体" w:eastAsia="宋体" w:cs="宋体"/>
          <w:color w:val="auto"/>
          <w:spacing w:val="-1"/>
          <w:sz w:val="24"/>
          <w:szCs w:val="24"/>
          <w:highlight w:val="none"/>
        </w:rPr>
        <w:t>纸、资料及现场条件的基础上编制投标文件。因投标文件</w:t>
      </w:r>
      <w:r>
        <w:rPr>
          <w:rFonts w:hint="eastAsia" w:ascii="宋体" w:hAnsi="宋体" w:eastAsia="宋体" w:cs="宋体"/>
          <w:color w:val="auto"/>
          <w:spacing w:val="-2"/>
          <w:sz w:val="24"/>
          <w:szCs w:val="24"/>
          <w:highlight w:val="none"/>
        </w:rPr>
        <w:t>不符合招标文件的要求而造</w:t>
      </w:r>
      <w:r>
        <w:rPr>
          <w:rFonts w:hint="eastAsia" w:ascii="宋体" w:hAnsi="宋体" w:eastAsia="宋体" w:cs="宋体"/>
          <w:color w:val="auto"/>
          <w:spacing w:val="-1"/>
          <w:sz w:val="24"/>
          <w:szCs w:val="24"/>
          <w:highlight w:val="none"/>
        </w:rPr>
        <w:t>成的损失和后果，由投标人自行承担。</w:t>
      </w:r>
    </w:p>
    <w:p w14:paraId="31C97AF4">
      <w:pPr>
        <w:keepNext w:val="0"/>
        <w:keepLines w:val="0"/>
        <w:pageBreakBefore w:val="0"/>
        <w:overflowPunct/>
        <w:topLinePunct w:val="0"/>
        <w:bidi w:val="0"/>
        <w:spacing w:before="68" w:line="430" w:lineRule="exact"/>
        <w:ind w:left="11" w:right="99" w:firstLine="56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10.1.2 </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lang w:val="en-US" w:eastAsia="zh-CN"/>
        </w:rPr>
        <w:t>投标文件包括商务标书、经济标书、施工组织设计三个分册，</w:t>
      </w:r>
      <w:r>
        <w:rPr>
          <w:rFonts w:hint="eastAsia" w:ascii="宋体" w:hAnsi="宋体" w:eastAsia="宋体" w:cs="宋体"/>
          <w:color w:val="auto"/>
          <w:spacing w:val="-1"/>
          <w:sz w:val="24"/>
          <w:szCs w:val="24"/>
          <w:highlight w:val="none"/>
        </w:rPr>
        <w:t>投标文件全部采用电子文档，</w:t>
      </w:r>
      <w:r>
        <w:rPr>
          <w:rFonts w:hint="eastAsia" w:ascii="宋体" w:hAnsi="宋体" w:eastAsia="宋体" w:cs="宋体"/>
          <w:b/>
          <w:bCs/>
          <w:color w:val="auto"/>
          <w:spacing w:val="-1"/>
          <w:sz w:val="24"/>
          <w:szCs w:val="24"/>
          <w:highlight w:val="none"/>
          <w:u w:val="single"/>
        </w:rPr>
        <w:t>投标文件所附证书证件均为原件扫描件</w:t>
      </w:r>
      <w:r>
        <w:rPr>
          <w:rFonts w:hint="eastAsia" w:ascii="宋体" w:hAnsi="宋体" w:eastAsia="宋体" w:cs="宋体"/>
          <w:color w:val="auto"/>
          <w:spacing w:val="-1"/>
          <w:sz w:val="24"/>
          <w:szCs w:val="24"/>
          <w:highlight w:val="none"/>
        </w:rPr>
        <w:t>，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09FE3A88">
      <w:pPr>
        <w:keepNext w:val="0"/>
        <w:keepLines w:val="0"/>
        <w:pageBreakBefore w:val="0"/>
        <w:overflowPunct/>
        <w:topLinePunct w:val="0"/>
        <w:bidi w:val="0"/>
        <w:spacing w:before="1" w:line="430" w:lineRule="exact"/>
        <w:ind w:left="57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10.1.3  </w:t>
      </w:r>
      <w:r>
        <w:rPr>
          <w:rFonts w:hint="eastAsia" w:ascii="宋体" w:hAnsi="宋体" w:eastAsia="宋体" w:cs="宋体"/>
          <w:color w:val="auto"/>
          <w:spacing w:val="-1"/>
          <w:sz w:val="24"/>
          <w:szCs w:val="24"/>
          <w:highlight w:val="none"/>
        </w:rPr>
        <w:t>投标文件需按以下要求签字、盖章：</w:t>
      </w:r>
    </w:p>
    <w:p w14:paraId="4082688F">
      <w:pPr>
        <w:keepNext w:val="0"/>
        <w:keepLines w:val="0"/>
        <w:pageBreakBefore w:val="0"/>
        <w:overflowPunct/>
        <w:topLinePunct w:val="0"/>
        <w:bidi w:val="0"/>
        <w:spacing w:before="1" w:line="430" w:lineRule="exact"/>
        <w:ind w:left="579"/>
        <w:rPr>
          <w:rFonts w:hint="eastAsia" w:ascii="宋体" w:hAnsi="宋体" w:eastAsia="宋体" w:cs="宋体"/>
          <w:b/>
          <w:bCs/>
          <w:color w:val="auto"/>
          <w:sz w:val="24"/>
          <w:szCs w:val="24"/>
          <w:highlight w:val="none"/>
        </w:rPr>
      </w:pPr>
      <w:r>
        <w:rPr>
          <w:rFonts w:hint="eastAsia" w:ascii="宋体" w:hAnsi="宋体" w:eastAsia="宋体" w:cs="宋体"/>
          <w:b/>
          <w:bCs/>
          <w:color w:val="auto"/>
          <w:spacing w:val="-1"/>
          <w:sz w:val="24"/>
          <w:szCs w:val="24"/>
          <w:highlight w:val="none"/>
        </w:rPr>
        <w:t>电子投标文件：</w:t>
      </w:r>
    </w:p>
    <w:p w14:paraId="4D783165">
      <w:pPr>
        <w:keepNext w:val="0"/>
        <w:keepLines w:val="0"/>
        <w:pageBreakBefore w:val="0"/>
        <w:overflowPunct/>
        <w:topLinePunct w:val="0"/>
        <w:bidi w:val="0"/>
        <w:spacing w:before="111" w:line="430" w:lineRule="exact"/>
        <w:ind w:right="133" w:firstLine="57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"10.1.3.1"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2"/>
          <w:sz w:val="24"/>
          <w:szCs w:val="24"/>
          <w:highlight w:val="none"/>
        </w:rPr>
        <w:t>10.1.3.1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w:t>
      </w:r>
      <w:r>
        <w:rPr>
          <w:rFonts w:hint="eastAsia" w:ascii="宋体" w:hAnsi="宋体" w:eastAsia="宋体" w:cs="宋体"/>
          <w:color w:val="auto"/>
          <w:spacing w:val="-3"/>
          <w:sz w:val="24"/>
          <w:szCs w:val="24"/>
          <w:highlight w:val="none"/>
        </w:rPr>
        <w:t>内容中凡注明“签字</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3"/>
          <w:sz w:val="24"/>
          <w:szCs w:val="24"/>
          <w:highlight w:val="none"/>
        </w:rPr>
        <w:t>”处由要求的人员签字或电子</w:t>
      </w:r>
      <w:r>
        <w:rPr>
          <w:rFonts w:hint="eastAsia" w:ascii="宋体" w:hAnsi="宋体" w:eastAsia="宋体" w:cs="宋体"/>
          <w:color w:val="auto"/>
          <w:spacing w:val="-2"/>
          <w:sz w:val="24"/>
          <w:szCs w:val="24"/>
          <w:highlight w:val="none"/>
        </w:rPr>
        <w:t>签章；凡注明“签字或盖章</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2"/>
          <w:sz w:val="24"/>
          <w:szCs w:val="24"/>
          <w:highlight w:val="none"/>
        </w:rPr>
        <w:t>”处由要求的人员签字或盖其私章（电子印章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rPr>
        <w:t>凡注明</w:t>
      </w:r>
      <w:r>
        <w:rPr>
          <w:rFonts w:hint="eastAsia" w:ascii="宋体" w:hAnsi="宋体" w:eastAsia="宋体" w:cs="宋体"/>
          <w:color w:val="auto"/>
          <w:spacing w:val="-1"/>
          <w:sz w:val="24"/>
          <w:szCs w:val="24"/>
          <w:highlight w:val="none"/>
        </w:rPr>
        <w:t>“签字并盖执业印章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”处由要求的人员签字并盖其执业印</w:t>
      </w:r>
      <w:r>
        <w:rPr>
          <w:rFonts w:hint="eastAsia" w:ascii="宋体" w:hAnsi="宋体" w:eastAsia="宋体" w:cs="宋体"/>
          <w:color w:val="auto"/>
          <w:spacing w:val="-2"/>
          <w:sz w:val="24"/>
          <w:szCs w:val="24"/>
          <w:highlight w:val="none"/>
        </w:rPr>
        <w:t>章。</w:t>
      </w:r>
    </w:p>
    <w:p w14:paraId="1B0CE8F9">
      <w:pPr>
        <w:keepNext w:val="0"/>
        <w:keepLines w:val="0"/>
        <w:pageBreakBefore w:val="0"/>
        <w:overflowPunct/>
        <w:topLinePunct w:val="0"/>
        <w:bidi w:val="0"/>
        <w:spacing w:before="112" w:line="430" w:lineRule="exact"/>
        <w:ind w:left="13" w:right="133" w:firstLine="5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"10.1.3.2"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2"/>
          <w:sz w:val="24"/>
          <w:szCs w:val="24"/>
          <w:highlight w:val="none"/>
        </w:rPr>
        <w:t>10.1.3.2</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投标文件封套、封面、组成内容中凡要求录入投标人名称且注明“盖单</w:t>
      </w:r>
      <w:r>
        <w:rPr>
          <w:rFonts w:hint="eastAsia" w:ascii="宋体" w:hAnsi="宋体" w:eastAsia="宋体" w:cs="宋体"/>
          <w:color w:val="auto"/>
          <w:spacing w:val="-3"/>
          <w:sz w:val="24"/>
          <w:szCs w:val="24"/>
          <w:highlight w:val="none"/>
        </w:rPr>
        <w:t>位章</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3"/>
          <w:sz w:val="24"/>
          <w:szCs w:val="24"/>
          <w:highlight w:val="none"/>
        </w:rPr>
        <w:t>”处盖单位法人公章（电子印章）。</w:t>
      </w:r>
    </w:p>
    <w:p w14:paraId="1CC48BFE">
      <w:pPr>
        <w:keepNext w:val="0"/>
        <w:keepLines w:val="0"/>
        <w:pageBreakBefore w:val="0"/>
        <w:overflowPunct/>
        <w:topLinePunct w:val="0"/>
        <w:bidi w:val="0"/>
        <w:spacing w:before="146" w:line="430" w:lineRule="exact"/>
        <w:ind w:left="16" w:right="135" w:firstLine="56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"10.1.3.3"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1"/>
          <w:sz w:val="24"/>
          <w:szCs w:val="24"/>
          <w:highlight w:val="none"/>
        </w:rPr>
        <w:t>10.1.3.3</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投标文件的签字均为签字人本人亲笔署名或签章</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2"/>
          <w:sz w:val="24"/>
          <w:szCs w:val="24"/>
          <w:highlight w:val="none"/>
        </w:rPr>
        <w:t>其余部</w:t>
      </w:r>
      <w:r>
        <w:rPr>
          <w:rFonts w:hint="eastAsia" w:ascii="宋体" w:hAnsi="宋体" w:eastAsia="宋体" w:cs="宋体"/>
          <w:color w:val="auto"/>
          <w:spacing w:val="-1"/>
          <w:sz w:val="24"/>
          <w:szCs w:val="24"/>
          <w:highlight w:val="none"/>
        </w:rPr>
        <w:t>分的复印件无须另行签字、盖章。</w:t>
      </w:r>
    </w:p>
    <w:p w14:paraId="68F8AD54">
      <w:pPr>
        <w:keepNext w:val="0"/>
        <w:keepLines w:val="0"/>
        <w:pageBreakBefore w:val="0"/>
        <w:overflowPunct/>
        <w:topLinePunct w:val="0"/>
        <w:bidi w:val="0"/>
        <w:spacing w:before="155" w:line="430" w:lineRule="exact"/>
        <w:ind w:left="16" w:right="133" w:firstLine="562"/>
        <w:rPr>
          <w:rFonts w:hint="eastAsia" w:ascii="宋体" w:hAnsi="宋体" w:eastAsia="宋体" w:cs="宋体"/>
          <w:b/>
          <w:bCs/>
          <w:color w:val="auto"/>
          <w:sz w:val="24"/>
          <w:szCs w:val="24"/>
          <w:highlight w:val="none"/>
        </w:rPr>
      </w:pPr>
      <w:bookmarkStart w:id="46" w:name="_Toc21271"/>
      <w:bookmarkStart w:id="47" w:name="_Toc15948"/>
      <w:r>
        <w:rPr>
          <w:rFonts w:hint="eastAsia" w:ascii="宋体" w:hAnsi="宋体" w:eastAsia="宋体" w:cs="宋体"/>
          <w:b/>
          <w:bCs/>
          <w:color w:val="auto"/>
          <w:spacing w:val="-2"/>
          <w:sz w:val="24"/>
          <w:szCs w:val="24"/>
          <w:highlight w:val="none"/>
        </w:rPr>
        <w:t>10.2  商务标书的编制要求</w:t>
      </w:r>
      <w:bookmarkEnd w:id="46"/>
      <w:bookmarkEnd w:id="47"/>
    </w:p>
    <w:p w14:paraId="7A948F87">
      <w:pPr>
        <w:keepNext w:val="0"/>
        <w:keepLines w:val="0"/>
        <w:pageBreakBefore w:val="0"/>
        <w:widowControl w:val="0"/>
        <w:overflowPunct/>
        <w:topLinePunct w:val="0"/>
        <w:bidi w:val="0"/>
        <w:adjustRightInd w:val="0"/>
        <w:snapToGrid w:val="0"/>
        <w:spacing w:before="157" w:line="430" w:lineRule="exact"/>
        <w:ind w:left="581"/>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10.2.1 </w:t>
      </w:r>
      <w:r>
        <w:rPr>
          <w:rFonts w:hint="eastAsia" w:ascii="宋体" w:hAnsi="宋体" w:eastAsia="宋体" w:cs="宋体"/>
          <w:color w:val="auto"/>
          <w:spacing w:val="-1"/>
          <w:sz w:val="24"/>
          <w:szCs w:val="24"/>
          <w:highlight w:val="none"/>
        </w:rPr>
        <w:t>商务标书包括但不限于以下内容：</w:t>
      </w:r>
    </w:p>
    <w:p w14:paraId="4FDA5D75">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baseline"/>
        <w:rPr>
          <w:rFonts w:hint="eastAsia" w:ascii="宋体" w:hAnsi="宋体" w:eastAsia="宋体" w:cs="宋体"/>
          <w:snapToGrid w:val="0"/>
          <w:color w:val="auto"/>
          <w:kern w:val="0"/>
          <w:sz w:val="24"/>
          <w:szCs w:val="24"/>
          <w:highlight w:val="none"/>
        </w:rPr>
      </w:pPr>
      <w:bookmarkStart w:id="48" w:name="bookmark121"/>
      <w:bookmarkEnd w:id="48"/>
      <w:r>
        <w:rPr>
          <w:rFonts w:hint="eastAsia" w:ascii="宋体" w:hAnsi="宋体" w:eastAsia="宋体" w:cs="宋体"/>
          <w:snapToGrid w:val="0"/>
          <w:color w:val="auto"/>
          <w:kern w:val="0"/>
          <w:sz w:val="24"/>
          <w:szCs w:val="24"/>
          <w:highlight w:val="none"/>
        </w:rPr>
        <w:t>（1）封面（格式一）；</w:t>
      </w:r>
    </w:p>
    <w:p w14:paraId="55FC7118">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（2）目录； </w:t>
      </w:r>
    </w:p>
    <w:p w14:paraId="60630135">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（3）《投标函》（格式二）；</w:t>
      </w:r>
    </w:p>
    <w:p w14:paraId="0C68D433">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（4）《各项承诺一览表》（格式三）；</w:t>
      </w:r>
    </w:p>
    <w:p w14:paraId="475A2F99">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（5）《授权委托书》（格式四）；</w:t>
      </w:r>
    </w:p>
    <w:p w14:paraId="0C0AE2F7">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（6）《法定代表人身份证明》（格式五）；</w:t>
      </w:r>
    </w:p>
    <w:p w14:paraId="1EF08B4A">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投标保证缴纳证明（投标人采用投标保证金的，附建设工程交易系统《缴纳投标保证金通知书》页面截图和银行转账单彩色扫描件；采用投标保证担保的，附银行保函彩色扫描件；采用投标保证保险的，附电子保单和</w:t>
      </w:r>
      <w:r>
        <w:rPr>
          <w:rFonts w:hint="eastAsia" w:ascii="宋体" w:hAnsi="宋体" w:eastAsia="宋体" w:cs="宋体"/>
          <w:b/>
          <w:bCs/>
          <w:snapToGrid w:val="0"/>
          <w:color w:val="auto"/>
          <w:kern w:val="0"/>
          <w:sz w:val="24"/>
          <w:szCs w:val="24"/>
          <w:highlight w:val="none"/>
          <w:lang w:val="en-US" w:eastAsia="zh-CN"/>
        </w:rPr>
        <w:t>《韶关市公共资源交易一体化平台保证金缴纳信息》页面截图）</w:t>
      </w:r>
      <w:r>
        <w:rPr>
          <w:rFonts w:hint="eastAsia" w:ascii="宋体" w:hAnsi="宋体" w:eastAsia="宋体" w:cs="宋体"/>
          <w:snapToGrid w:val="0"/>
          <w:color w:val="auto"/>
          <w:kern w:val="0"/>
          <w:sz w:val="24"/>
          <w:szCs w:val="24"/>
          <w:highlight w:val="none"/>
          <w:lang w:val="en-US" w:eastAsia="zh-CN"/>
        </w:rPr>
        <w:t>；</w:t>
      </w:r>
    </w:p>
    <w:p w14:paraId="7AE2B9EE">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8</w:t>
      </w:r>
      <w:r>
        <w:rPr>
          <w:rFonts w:hint="eastAsia" w:ascii="宋体" w:hAnsi="宋体" w:eastAsia="宋体" w:cs="宋体"/>
          <w:snapToGrid w:val="0"/>
          <w:color w:val="auto"/>
          <w:kern w:val="0"/>
          <w:sz w:val="24"/>
          <w:szCs w:val="24"/>
          <w:highlight w:val="none"/>
        </w:rPr>
        <w:t>）《投标人基本情况表》（格式</w:t>
      </w:r>
      <w:r>
        <w:rPr>
          <w:rFonts w:hint="eastAsia" w:ascii="宋体" w:hAnsi="宋体" w:eastAsia="宋体" w:cs="宋体"/>
          <w:snapToGrid w:val="0"/>
          <w:color w:val="auto"/>
          <w:kern w:val="0"/>
          <w:sz w:val="24"/>
          <w:szCs w:val="24"/>
          <w:highlight w:val="none"/>
          <w:lang w:val="en-US" w:eastAsia="zh-CN"/>
        </w:rPr>
        <w:t>六</w:t>
      </w:r>
      <w:r>
        <w:rPr>
          <w:rFonts w:hint="eastAsia" w:ascii="宋体" w:hAnsi="宋体" w:eastAsia="宋体" w:cs="宋体"/>
          <w:snapToGrid w:val="0"/>
          <w:color w:val="auto"/>
          <w:kern w:val="0"/>
          <w:sz w:val="24"/>
          <w:szCs w:val="24"/>
          <w:highlight w:val="none"/>
        </w:rPr>
        <w:t>）及所附资料；</w:t>
      </w:r>
    </w:p>
    <w:p w14:paraId="407A3830">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）《项目经理简历表》（格式</w:t>
      </w:r>
      <w:r>
        <w:rPr>
          <w:rFonts w:hint="eastAsia" w:ascii="宋体" w:hAnsi="宋体" w:eastAsia="宋体" w:cs="宋体"/>
          <w:snapToGrid w:val="0"/>
          <w:color w:val="auto"/>
          <w:kern w:val="0"/>
          <w:sz w:val="24"/>
          <w:szCs w:val="24"/>
          <w:highlight w:val="none"/>
          <w:lang w:val="en-US" w:eastAsia="zh-CN"/>
        </w:rPr>
        <w:t>七</w:t>
      </w:r>
      <w:r>
        <w:rPr>
          <w:rFonts w:hint="eastAsia" w:ascii="宋体" w:hAnsi="宋体" w:eastAsia="宋体" w:cs="宋体"/>
          <w:snapToGrid w:val="0"/>
          <w:color w:val="auto"/>
          <w:kern w:val="0"/>
          <w:sz w:val="24"/>
          <w:szCs w:val="24"/>
          <w:highlight w:val="none"/>
        </w:rPr>
        <w:t>）及所附资料；</w:t>
      </w:r>
    </w:p>
    <w:p w14:paraId="72314C79">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w:t>
      </w:r>
      <w:r>
        <w:rPr>
          <w:rFonts w:hint="eastAsia" w:ascii="宋体" w:hAnsi="宋体" w:eastAsia="宋体" w:cs="宋体"/>
          <w:snapToGrid w:val="0"/>
          <w:color w:val="auto"/>
          <w:kern w:val="0"/>
          <w:sz w:val="24"/>
          <w:szCs w:val="24"/>
          <w:highlight w:val="none"/>
        </w:rPr>
        <w:t>）《项目经理任职声明》（格式</w:t>
      </w:r>
      <w:r>
        <w:rPr>
          <w:rFonts w:hint="eastAsia" w:ascii="宋体" w:hAnsi="宋体" w:eastAsia="宋体" w:cs="宋体"/>
          <w:snapToGrid w:val="0"/>
          <w:color w:val="auto"/>
          <w:kern w:val="0"/>
          <w:sz w:val="24"/>
          <w:szCs w:val="24"/>
          <w:highlight w:val="none"/>
          <w:lang w:val="en-US" w:eastAsia="zh-CN"/>
        </w:rPr>
        <w:t>八</w:t>
      </w:r>
      <w:r>
        <w:rPr>
          <w:rFonts w:hint="eastAsia" w:ascii="宋体" w:hAnsi="宋体" w:eastAsia="宋体" w:cs="宋体"/>
          <w:snapToGrid w:val="0"/>
          <w:color w:val="auto"/>
          <w:kern w:val="0"/>
          <w:sz w:val="24"/>
          <w:szCs w:val="24"/>
          <w:highlight w:val="none"/>
        </w:rPr>
        <w:t>）；</w:t>
      </w:r>
    </w:p>
    <w:p w14:paraId="7E50C337">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）《项目技术负责人简历表》（格式</w:t>
      </w:r>
      <w:r>
        <w:rPr>
          <w:rFonts w:hint="eastAsia" w:ascii="宋体" w:hAnsi="宋体" w:eastAsia="宋体" w:cs="宋体"/>
          <w:snapToGrid w:val="0"/>
          <w:color w:val="auto"/>
          <w:kern w:val="0"/>
          <w:sz w:val="24"/>
          <w:szCs w:val="24"/>
          <w:highlight w:val="none"/>
          <w:lang w:val="en-US" w:eastAsia="zh-CN"/>
        </w:rPr>
        <w:t>九</w:t>
      </w:r>
      <w:r>
        <w:rPr>
          <w:rFonts w:hint="eastAsia" w:ascii="宋体" w:hAnsi="宋体" w:eastAsia="宋体" w:cs="宋体"/>
          <w:snapToGrid w:val="0"/>
          <w:color w:val="auto"/>
          <w:kern w:val="0"/>
          <w:sz w:val="24"/>
          <w:szCs w:val="24"/>
          <w:highlight w:val="none"/>
        </w:rPr>
        <w:t>）及所附资料；</w:t>
      </w:r>
    </w:p>
    <w:p w14:paraId="280279D0">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）《项目管理机构组成表》（格式十）及所附资料；</w:t>
      </w:r>
    </w:p>
    <w:p w14:paraId="66345680">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）本节“评标方法”要求提供的评审资料；</w:t>
      </w:r>
    </w:p>
    <w:p w14:paraId="331D8E66">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）投标人认为有必要补充的其他资料。（例如投标人已经工商变更，但其企业资质证书、安全生产许可证或其员工执业资格注册证书上的企业名称未能在投标期间完成变更的书面说明和佐证材料；</w:t>
      </w:r>
      <w:r>
        <w:rPr>
          <w:rFonts w:hint="eastAsia" w:ascii="宋体" w:hAnsi="宋体" w:eastAsia="宋体" w:cs="宋体"/>
          <w:b/>
          <w:bCs/>
          <w:snapToGrid w:val="0"/>
          <w:color w:val="auto"/>
          <w:kern w:val="0"/>
          <w:sz w:val="24"/>
          <w:szCs w:val="24"/>
          <w:highlight w:val="none"/>
        </w:rPr>
        <w:t>企业所在省、地级市住建部门或其授权的组织（机构）关于企业资质、人员资格有效期自动顺延或延期办理的相关文件等</w:t>
      </w:r>
      <w:r>
        <w:rPr>
          <w:rFonts w:hint="eastAsia" w:ascii="宋体" w:hAnsi="宋体" w:eastAsia="宋体" w:cs="宋体"/>
          <w:snapToGrid w:val="0"/>
          <w:color w:val="auto"/>
          <w:kern w:val="0"/>
          <w:sz w:val="24"/>
          <w:szCs w:val="24"/>
          <w:highlight w:val="none"/>
        </w:rPr>
        <w:t>。</w:t>
      </w:r>
    </w:p>
    <w:p w14:paraId="2497BC3F">
      <w:pPr>
        <w:keepNext w:val="0"/>
        <w:keepLines w:val="0"/>
        <w:pageBreakBefore w:val="0"/>
        <w:widowControl w:val="0"/>
        <w:kinsoku/>
        <w:wordWrap w:val="0"/>
        <w:overflowPunct/>
        <w:topLinePunct w:val="0"/>
        <w:autoSpaceDE/>
        <w:autoSpaceDN/>
        <w:bidi w:val="0"/>
        <w:adjustRightInd w:val="0"/>
        <w:snapToGrid w:val="0"/>
        <w:spacing w:line="430" w:lineRule="exact"/>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10.2.2</w:t>
      </w:r>
      <w:r>
        <w:rPr>
          <w:rFonts w:hint="eastAsia" w:ascii="宋体" w:hAnsi="宋体" w:eastAsia="宋体" w:cs="宋体"/>
          <w:snapToGrid w:val="0"/>
          <w:color w:val="auto"/>
          <w:kern w:val="0"/>
          <w:sz w:val="24"/>
          <w:szCs w:val="24"/>
          <w:highlight w:val="none"/>
        </w:rPr>
        <w:t xml:space="preserve"> 本节第</w:t>
      </w:r>
      <w:r>
        <w:rPr>
          <w:rFonts w:hint="eastAsia" w:ascii="宋体" w:hAnsi="宋体" w:eastAsia="宋体" w:cs="宋体"/>
          <w:b/>
          <w:bCs/>
          <w:snapToGrid w:val="0"/>
          <w:color w:val="auto"/>
          <w:kern w:val="0"/>
          <w:sz w:val="24"/>
          <w:szCs w:val="24"/>
          <w:highlight w:val="none"/>
        </w:rPr>
        <w:t>10.2.1</w:t>
      </w:r>
      <w:r>
        <w:rPr>
          <w:rFonts w:hint="eastAsia" w:ascii="宋体" w:hAnsi="宋体" w:eastAsia="宋体" w:cs="宋体"/>
          <w:snapToGrid w:val="0"/>
          <w:color w:val="auto"/>
          <w:kern w:val="0"/>
          <w:sz w:val="24"/>
          <w:szCs w:val="24"/>
          <w:highlight w:val="none"/>
        </w:rPr>
        <w:t>目中所列出的商务标书组成内容中，第（1）至第（1</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）项所有投标人均应提供</w:t>
      </w:r>
      <w:r>
        <w:rPr>
          <w:rFonts w:hint="eastAsia" w:ascii="宋体" w:hAnsi="宋体" w:eastAsia="宋体" w:cs="宋体"/>
          <w:b/>
          <w:bCs/>
          <w:snapToGrid w:val="0"/>
          <w:color w:val="auto"/>
          <w:kern w:val="0"/>
          <w:sz w:val="24"/>
          <w:szCs w:val="24"/>
          <w:highlight w:val="none"/>
        </w:rPr>
        <w:t>。</w:t>
      </w:r>
    </w:p>
    <w:p w14:paraId="0A14324A">
      <w:pPr>
        <w:keepNext w:val="0"/>
        <w:keepLines w:val="0"/>
        <w:pageBreakBefore w:val="0"/>
        <w:kinsoku/>
        <w:wordWrap w:val="0"/>
        <w:overflowPunct/>
        <w:topLinePunct w:val="0"/>
        <w:autoSpaceDE/>
        <w:autoSpaceDN/>
        <w:bidi w:val="0"/>
        <w:adjustRightInd w:val="0"/>
        <w:snapToGrid w:val="0"/>
        <w:spacing w:line="43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10.2.3</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bCs/>
          <w:snapToGrid w:val="0"/>
          <w:color w:val="auto"/>
          <w:kern w:val="0"/>
          <w:sz w:val="24"/>
          <w:szCs w:val="24"/>
          <w:highlight w:val="none"/>
        </w:rPr>
        <w:t>商务标书的组成内容按本节第</w:t>
      </w:r>
      <w:r>
        <w:rPr>
          <w:rFonts w:hint="eastAsia" w:ascii="宋体" w:hAnsi="宋体" w:eastAsia="宋体" w:cs="宋体"/>
          <w:b/>
          <w:snapToGrid w:val="0"/>
          <w:color w:val="auto"/>
          <w:kern w:val="0"/>
          <w:sz w:val="24"/>
          <w:szCs w:val="24"/>
          <w:highlight w:val="none"/>
        </w:rPr>
        <w:t>10.2.1</w:t>
      </w:r>
      <w:r>
        <w:rPr>
          <w:rFonts w:hint="eastAsia" w:ascii="宋体" w:hAnsi="宋体" w:eastAsia="宋体" w:cs="宋体"/>
          <w:bCs/>
          <w:snapToGrid w:val="0"/>
          <w:color w:val="auto"/>
          <w:kern w:val="0"/>
          <w:sz w:val="24"/>
          <w:szCs w:val="24"/>
          <w:highlight w:val="none"/>
        </w:rPr>
        <w:t>目规定的顺序整理、编排后，逐页（页码起始从封面开始）连续标记页码</w:t>
      </w:r>
      <w:r>
        <w:rPr>
          <w:rFonts w:hint="eastAsia" w:ascii="宋体" w:hAnsi="宋体" w:eastAsia="宋体" w:cs="宋体"/>
          <w:snapToGrid w:val="0"/>
          <w:color w:val="auto"/>
          <w:kern w:val="0"/>
          <w:sz w:val="24"/>
          <w:szCs w:val="24"/>
          <w:highlight w:val="none"/>
        </w:rPr>
        <w:t>，作成一个PDF格式电子文件</w:t>
      </w:r>
      <w:r>
        <w:rPr>
          <w:rFonts w:hint="eastAsia" w:ascii="宋体" w:hAnsi="宋体" w:eastAsia="宋体" w:cs="宋体"/>
          <w:bCs/>
          <w:snapToGrid w:val="0"/>
          <w:color w:val="auto"/>
          <w:kern w:val="0"/>
          <w:sz w:val="24"/>
          <w:szCs w:val="24"/>
          <w:highlight w:val="none"/>
        </w:rPr>
        <w:t>。</w:t>
      </w:r>
      <w:bookmarkStart w:id="49" w:name="_Hlt69670029"/>
      <w:bookmarkEnd w:id="49"/>
      <w:bookmarkStart w:id="50" w:name="_Hlt87783273"/>
      <w:bookmarkEnd w:id="50"/>
      <w:bookmarkStart w:id="51" w:name="_Toc274313881"/>
    </w:p>
    <w:p w14:paraId="21AE8BBA">
      <w:pPr>
        <w:keepNext w:val="0"/>
        <w:keepLines w:val="0"/>
        <w:pageBreakBefore w:val="0"/>
        <w:overflowPunct/>
        <w:topLinePunct w:val="0"/>
        <w:bidi w:val="0"/>
        <w:spacing w:before="155" w:line="430" w:lineRule="exact"/>
        <w:ind w:left="16" w:right="133" w:firstLine="562"/>
        <w:rPr>
          <w:rFonts w:hint="eastAsia" w:ascii="宋体" w:hAnsi="宋体" w:eastAsia="宋体" w:cs="宋体"/>
          <w:b/>
          <w:bCs/>
          <w:color w:val="auto"/>
          <w:spacing w:val="-2"/>
          <w:sz w:val="24"/>
          <w:szCs w:val="24"/>
          <w:highlight w:val="none"/>
        </w:rPr>
      </w:pPr>
      <w:bookmarkStart w:id="52" w:name="_Toc1207"/>
      <w:bookmarkStart w:id="53" w:name="_Toc20435"/>
      <w:r>
        <w:rPr>
          <w:rFonts w:hint="eastAsia" w:ascii="宋体" w:hAnsi="宋体" w:eastAsia="宋体" w:cs="宋体"/>
          <w:b/>
          <w:bCs/>
          <w:color w:val="auto"/>
          <w:spacing w:val="-2"/>
          <w:sz w:val="24"/>
          <w:szCs w:val="24"/>
          <w:highlight w:val="none"/>
        </w:rPr>
        <w:t>10.3</w:t>
      </w:r>
      <w:bookmarkStart w:id="54" w:name="_Hlt69670035"/>
      <w:bookmarkEnd w:id="54"/>
      <w:r>
        <w:rPr>
          <w:rFonts w:hint="eastAsia" w:ascii="宋体" w:hAnsi="宋体" w:eastAsia="宋体" w:cs="宋体"/>
          <w:b/>
          <w:bCs/>
          <w:color w:val="auto"/>
          <w:spacing w:val="-2"/>
          <w:sz w:val="24"/>
          <w:szCs w:val="24"/>
          <w:highlight w:val="none"/>
        </w:rPr>
        <w:t xml:space="preserve"> 经济标书的编制要求</w:t>
      </w:r>
      <w:bookmarkEnd w:id="51"/>
      <w:bookmarkEnd w:id="52"/>
      <w:bookmarkEnd w:id="53"/>
    </w:p>
    <w:p w14:paraId="7B31069B">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10.3.1</w:t>
      </w:r>
      <w:r>
        <w:rPr>
          <w:rFonts w:hint="eastAsia" w:ascii="宋体" w:hAnsi="宋体" w:eastAsia="宋体" w:cs="宋体"/>
          <w:snapToGrid w:val="0"/>
          <w:color w:val="auto"/>
          <w:kern w:val="0"/>
          <w:sz w:val="24"/>
          <w:szCs w:val="24"/>
          <w:highlight w:val="none"/>
        </w:rPr>
        <w:t xml:space="preserve"> 经济标书包括以下内容：</w:t>
      </w:r>
    </w:p>
    <w:p w14:paraId="106F71A1">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（1）封面（格式一）；</w:t>
      </w:r>
    </w:p>
    <w:p w14:paraId="7087EEFC">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（2）目录；</w:t>
      </w:r>
    </w:p>
    <w:p w14:paraId="63EDB6E9">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color w:val="auto"/>
          <w:sz w:val="24"/>
          <w:szCs w:val="24"/>
          <w:highlight w:val="none"/>
        </w:rPr>
      </w:pPr>
      <w:bookmarkStart w:id="55" w:name="_Hlt69699579"/>
      <w:bookmarkEnd w:id="55"/>
      <w:r>
        <w:rPr>
          <w:rFonts w:hint="eastAsia" w:ascii="宋体" w:hAnsi="宋体" w:eastAsia="宋体" w:cs="宋体"/>
          <w:color w:val="auto"/>
          <w:sz w:val="24"/>
          <w:szCs w:val="24"/>
          <w:highlight w:val="none"/>
        </w:rPr>
        <w:t>（3）《投标总价》；</w:t>
      </w:r>
    </w:p>
    <w:p w14:paraId="79D56138">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说明：《投标总价》的格式按照</w:t>
      </w:r>
      <w:r>
        <w:rPr>
          <w:rFonts w:hint="eastAsia" w:ascii="宋体" w:hAnsi="宋体" w:eastAsia="宋体" w:cs="宋体"/>
          <w:snapToGrid w:val="0"/>
          <w:color w:val="auto"/>
          <w:kern w:val="0"/>
          <w:sz w:val="24"/>
          <w:szCs w:val="24"/>
          <w:highlight w:val="none"/>
          <w:lang w:eastAsia="zh-CN"/>
        </w:rPr>
        <w:t>《建设工程工程量清单计价规范》(GB50500—2013)及《广东省建设工程工程量清单计价指引》（2013）</w:t>
      </w:r>
      <w:r>
        <w:rPr>
          <w:rFonts w:hint="eastAsia" w:ascii="宋体" w:hAnsi="宋体" w:eastAsia="宋体" w:cs="宋体"/>
          <w:snapToGrid w:val="0"/>
          <w:color w:val="auto"/>
          <w:kern w:val="0"/>
          <w:sz w:val="24"/>
          <w:szCs w:val="24"/>
          <w:highlight w:val="none"/>
        </w:rPr>
        <w:t>执行，并应满足以下要求：</w:t>
      </w:r>
    </w:p>
    <w:p w14:paraId="7F21B95F">
      <w:pPr>
        <w:keepNext w:val="0"/>
        <w:keepLines w:val="0"/>
        <w:pageBreakBefore w:val="0"/>
        <w:widowControl/>
        <w:suppressLineNumbers w:val="0"/>
        <w:kinsoku/>
        <w:overflowPunct/>
        <w:topLinePunct w:val="0"/>
        <w:autoSpaceDE/>
        <w:autoSpaceDN/>
        <w:bidi w:val="0"/>
        <w:spacing w:line="430" w:lineRule="exact"/>
        <w:ind w:firstLine="723" w:firstLineChars="3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a</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《投标总价扉页》后应附编制人的造价工程师注册证书</w:t>
      </w:r>
      <w:r>
        <w:rPr>
          <w:rFonts w:hint="eastAsia" w:ascii="宋体" w:hAnsi="宋体" w:eastAsia="宋体" w:cs="宋体"/>
          <w:snapToGrid w:val="0"/>
          <w:color w:val="auto"/>
          <w:kern w:val="0"/>
          <w:sz w:val="24"/>
          <w:szCs w:val="24"/>
          <w:highlight w:val="none"/>
          <w:lang w:val="en-US" w:eastAsia="zh-CN"/>
        </w:rPr>
        <w:t>彩色扫描件</w:t>
      </w:r>
      <w:r>
        <w:rPr>
          <w:rFonts w:hint="eastAsia" w:ascii="宋体" w:hAnsi="宋体" w:eastAsia="宋体" w:cs="宋体"/>
          <w:snapToGrid w:val="0"/>
          <w:color w:val="auto"/>
          <w:kern w:val="0"/>
          <w:sz w:val="24"/>
          <w:szCs w:val="24"/>
          <w:highlight w:val="none"/>
        </w:rPr>
        <w:t>（须复印或打印至变更注册栏</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bidi="ar"/>
        </w:rPr>
        <w:t>一级造价师或二级造价师均可提供电子证书</w:t>
      </w:r>
      <w:r>
        <w:rPr>
          <w:rFonts w:hint="eastAsia" w:ascii="宋体" w:hAnsi="宋体" w:eastAsia="宋体" w:cs="宋体"/>
          <w:snapToGrid w:val="0"/>
          <w:color w:val="auto"/>
          <w:kern w:val="0"/>
          <w:sz w:val="24"/>
          <w:szCs w:val="24"/>
          <w:highlight w:val="none"/>
        </w:rPr>
        <w:t>）；投标人委托造价咨询单位编制《投标总价》的，在该扉页“投标人”栏目加盖造价咨询人公章，并在该扉页后附造价咨询人的营业执照副本</w:t>
      </w:r>
      <w:r>
        <w:rPr>
          <w:rFonts w:hint="eastAsia" w:ascii="宋体" w:hAnsi="宋体" w:eastAsia="宋体" w:cs="宋体"/>
          <w:snapToGrid w:val="0"/>
          <w:color w:val="auto"/>
          <w:kern w:val="0"/>
          <w:sz w:val="24"/>
          <w:szCs w:val="24"/>
          <w:highlight w:val="none"/>
          <w:lang w:val="en-US" w:eastAsia="zh-CN"/>
        </w:rPr>
        <w:t>彩色扫描件</w:t>
      </w:r>
      <w:r>
        <w:rPr>
          <w:rFonts w:hint="eastAsia" w:ascii="宋体" w:hAnsi="宋体" w:eastAsia="宋体" w:cs="宋体"/>
          <w:snapToGrid w:val="0"/>
          <w:color w:val="auto"/>
          <w:kern w:val="0"/>
          <w:sz w:val="24"/>
          <w:szCs w:val="24"/>
          <w:highlight w:val="none"/>
        </w:rPr>
        <w:t>。</w:t>
      </w:r>
    </w:p>
    <w:p w14:paraId="3F283A9E">
      <w:pPr>
        <w:keepNext w:val="0"/>
        <w:keepLines w:val="0"/>
        <w:pageBreakBefore w:val="0"/>
        <w:kinsoku/>
        <w:wordWrap w:val="0"/>
        <w:overflowPunct/>
        <w:topLinePunct w:val="0"/>
        <w:autoSpaceDE/>
        <w:autoSpaceDN/>
        <w:bidi w:val="0"/>
        <w:adjustRightInd w:val="0"/>
        <w:snapToGrid w:val="0"/>
        <w:spacing w:line="430" w:lineRule="exact"/>
        <w:ind w:firstLine="723" w:firstLineChars="3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投标人认为有必要补充的其他资料（例如关于投标总价下浮率超过15%的书面说明和佐证材料）。</w:t>
      </w:r>
    </w:p>
    <w:p w14:paraId="452710A7">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10.3.2</w:t>
      </w:r>
      <w:r>
        <w:rPr>
          <w:rFonts w:hint="eastAsia" w:ascii="宋体" w:hAnsi="宋体" w:eastAsia="宋体" w:cs="宋体"/>
          <w:snapToGrid w:val="0"/>
          <w:color w:val="auto"/>
          <w:kern w:val="0"/>
          <w:sz w:val="24"/>
          <w:szCs w:val="24"/>
          <w:highlight w:val="none"/>
        </w:rPr>
        <w:t xml:space="preserve"> 本节第</w:t>
      </w:r>
      <w:r>
        <w:rPr>
          <w:rFonts w:hint="eastAsia" w:ascii="宋体" w:hAnsi="宋体" w:eastAsia="宋体" w:cs="宋体"/>
          <w:b/>
          <w:bCs/>
          <w:snapToGrid w:val="0"/>
          <w:color w:val="auto"/>
          <w:kern w:val="0"/>
          <w:sz w:val="24"/>
          <w:szCs w:val="24"/>
          <w:highlight w:val="none"/>
        </w:rPr>
        <w:t>10.3.1</w:t>
      </w:r>
      <w:r>
        <w:rPr>
          <w:rFonts w:hint="eastAsia" w:ascii="宋体" w:hAnsi="宋体" w:eastAsia="宋体" w:cs="宋体"/>
          <w:snapToGrid w:val="0"/>
          <w:color w:val="auto"/>
          <w:kern w:val="0"/>
          <w:sz w:val="24"/>
          <w:szCs w:val="24"/>
          <w:highlight w:val="none"/>
        </w:rPr>
        <w:t>目中所列出的经济标书组成内容中，第（1）至第（3）项所有投标人均应提供</w:t>
      </w:r>
      <w:bookmarkStart w:id="56" w:name="_Hlt145127239"/>
      <w:bookmarkEnd w:id="56"/>
      <w:r>
        <w:rPr>
          <w:rFonts w:hint="eastAsia" w:ascii="宋体" w:hAnsi="宋体" w:eastAsia="宋体" w:cs="宋体"/>
          <w:snapToGrid w:val="0"/>
          <w:color w:val="auto"/>
          <w:kern w:val="0"/>
          <w:sz w:val="24"/>
          <w:szCs w:val="24"/>
          <w:highlight w:val="none"/>
        </w:rPr>
        <w:t>。</w:t>
      </w:r>
    </w:p>
    <w:p w14:paraId="04836972">
      <w:pPr>
        <w:keepNext w:val="0"/>
        <w:keepLines w:val="0"/>
        <w:pageBreakBefore w:val="0"/>
        <w:kinsoku/>
        <w:wordWrap w:val="0"/>
        <w:overflowPunct/>
        <w:topLinePunct w:val="0"/>
        <w:autoSpaceDE/>
        <w:autoSpaceDN/>
        <w:bidi w:val="0"/>
        <w:adjustRightInd w:val="0"/>
        <w:snapToGrid w:val="0"/>
        <w:spacing w:line="430" w:lineRule="exact"/>
        <w:ind w:firstLine="482" w:firstLineChars="200"/>
        <w:rPr>
          <w:rFonts w:hint="eastAsia" w:ascii="宋体" w:hAnsi="宋体" w:eastAsia="宋体" w:cs="宋体"/>
          <w:b/>
          <w:bCs/>
          <w:snapToGrid w:val="0"/>
          <w:color w:val="auto"/>
          <w:sz w:val="24"/>
          <w:szCs w:val="24"/>
          <w:highlight w:val="none"/>
        </w:rPr>
      </w:pPr>
      <w:r>
        <w:rPr>
          <w:rFonts w:hint="eastAsia" w:ascii="宋体" w:hAnsi="宋体" w:eastAsia="宋体" w:cs="宋体"/>
          <w:b/>
          <w:bCs/>
          <w:snapToGrid w:val="0"/>
          <w:color w:val="auto"/>
          <w:kern w:val="0"/>
          <w:sz w:val="24"/>
          <w:szCs w:val="24"/>
          <w:highlight w:val="none"/>
        </w:rPr>
        <w:t xml:space="preserve">10.3.3 </w:t>
      </w:r>
      <w:r>
        <w:rPr>
          <w:rFonts w:hint="eastAsia" w:ascii="宋体" w:hAnsi="宋体" w:eastAsia="宋体" w:cs="宋体"/>
          <w:snapToGrid w:val="0"/>
          <w:color w:val="auto"/>
          <w:kern w:val="0"/>
          <w:sz w:val="24"/>
          <w:szCs w:val="24"/>
          <w:highlight w:val="none"/>
        </w:rPr>
        <w:t>经济标书的组成内容应按本节第</w:t>
      </w:r>
      <w:r>
        <w:rPr>
          <w:rFonts w:hint="eastAsia" w:ascii="宋体" w:hAnsi="宋体" w:eastAsia="宋体" w:cs="宋体"/>
          <w:b/>
          <w:bCs/>
          <w:snapToGrid w:val="0"/>
          <w:color w:val="auto"/>
          <w:kern w:val="0"/>
          <w:sz w:val="24"/>
          <w:szCs w:val="24"/>
          <w:highlight w:val="none"/>
        </w:rPr>
        <w:t>10.3.1</w:t>
      </w:r>
      <w:r>
        <w:rPr>
          <w:rFonts w:hint="eastAsia" w:ascii="宋体" w:hAnsi="宋体" w:eastAsia="宋体" w:cs="宋体"/>
          <w:snapToGrid w:val="0"/>
          <w:color w:val="auto"/>
          <w:kern w:val="0"/>
          <w:sz w:val="24"/>
          <w:szCs w:val="24"/>
          <w:highlight w:val="none"/>
        </w:rPr>
        <w:t>目规定的顺序整理、编排后，逐页（页码起始从封面开始）连续标记页码</w:t>
      </w:r>
      <w:r>
        <w:rPr>
          <w:rFonts w:hint="eastAsia" w:ascii="宋体" w:hAnsi="宋体" w:eastAsia="宋体" w:cs="宋体"/>
          <w:snapToGrid w:val="0"/>
          <w:color w:val="auto"/>
          <w:kern w:val="0"/>
          <w:sz w:val="24"/>
          <w:szCs w:val="24"/>
          <w:highlight w:val="none"/>
          <w:lang w:val="en-US" w:eastAsia="zh-CN" w:bidi="ar-SA"/>
        </w:rPr>
        <w:t>，作成一个PDF格式电子文件</w:t>
      </w:r>
      <w:r>
        <w:rPr>
          <w:rFonts w:hint="eastAsia" w:ascii="宋体" w:hAnsi="宋体" w:eastAsia="宋体" w:cs="宋体"/>
          <w:snapToGrid w:val="0"/>
          <w:color w:val="auto"/>
          <w:kern w:val="0"/>
          <w:sz w:val="24"/>
          <w:szCs w:val="24"/>
          <w:highlight w:val="none"/>
        </w:rPr>
        <w:t>。</w:t>
      </w:r>
    </w:p>
    <w:p w14:paraId="07A7C6EC">
      <w:pPr>
        <w:keepNext w:val="0"/>
        <w:keepLines w:val="0"/>
        <w:pageBreakBefore w:val="0"/>
        <w:overflowPunct/>
        <w:topLinePunct w:val="0"/>
        <w:bidi w:val="0"/>
        <w:spacing w:before="155" w:line="430" w:lineRule="exact"/>
        <w:ind w:left="16" w:right="133" w:firstLine="562"/>
        <w:rPr>
          <w:rFonts w:hint="eastAsia" w:ascii="宋体" w:hAnsi="宋体" w:eastAsia="宋体" w:cs="宋体"/>
          <w:b/>
          <w:bCs/>
          <w:i w:val="0"/>
          <w:iCs w:val="0"/>
          <w:color w:val="auto"/>
          <w:spacing w:val="-2"/>
          <w:sz w:val="24"/>
          <w:szCs w:val="24"/>
          <w:highlight w:val="none"/>
        </w:rPr>
      </w:pPr>
      <w:bookmarkStart w:id="57" w:name="_Toc13483"/>
      <w:bookmarkStart w:id="58" w:name="_Toc538"/>
      <w:r>
        <w:rPr>
          <w:rFonts w:hint="eastAsia" w:ascii="宋体" w:hAnsi="宋体" w:eastAsia="宋体" w:cs="宋体"/>
          <w:b/>
          <w:bCs/>
          <w:i w:val="0"/>
          <w:iCs w:val="0"/>
          <w:color w:val="auto"/>
          <w:spacing w:val="-2"/>
          <w:sz w:val="24"/>
          <w:szCs w:val="24"/>
          <w:highlight w:val="none"/>
        </w:rPr>
        <w:t>10.4 施工组织设计的编制要求</w:t>
      </w:r>
      <w:bookmarkEnd w:id="57"/>
      <w:bookmarkEnd w:id="58"/>
    </w:p>
    <w:p w14:paraId="736C812F">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10.4.1</w:t>
      </w:r>
      <w:r>
        <w:rPr>
          <w:rFonts w:hint="eastAsia" w:ascii="宋体" w:hAnsi="宋体" w:eastAsia="宋体" w:cs="宋体"/>
          <w:bCs/>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施工组织设计的编制依据包括且不限于</w:t>
      </w:r>
      <w:r>
        <w:rPr>
          <w:rFonts w:hint="eastAsia" w:ascii="宋体" w:hAnsi="宋体" w:eastAsia="宋体" w:cs="宋体"/>
          <w:bCs/>
          <w:snapToGrid w:val="0"/>
          <w:color w:val="auto"/>
          <w:kern w:val="0"/>
          <w:sz w:val="24"/>
          <w:szCs w:val="24"/>
          <w:highlight w:val="none"/>
        </w:rPr>
        <w:t>：</w:t>
      </w:r>
    </w:p>
    <w:p w14:paraId="747F5968">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（1）招标文件及</w:t>
      </w:r>
      <w:r>
        <w:rPr>
          <w:rFonts w:hint="eastAsia" w:ascii="宋体" w:hAnsi="宋体" w:eastAsia="宋体" w:cs="宋体"/>
          <w:snapToGrid w:val="0"/>
          <w:color w:val="auto"/>
          <w:kern w:val="0"/>
          <w:sz w:val="24"/>
          <w:szCs w:val="24"/>
          <w:highlight w:val="none"/>
        </w:rPr>
        <w:t>其答疑（或修改）公告；</w:t>
      </w:r>
    </w:p>
    <w:p w14:paraId="33E48E6F">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（2）施工图及相关资料；</w:t>
      </w:r>
    </w:p>
    <w:p w14:paraId="38C5823F">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（3）施工现场情况、工程特点；</w:t>
      </w:r>
    </w:p>
    <w:p w14:paraId="60F263C9">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（4）相关法律、法规、规定；</w:t>
      </w:r>
    </w:p>
    <w:p w14:paraId="024A143B">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w:t>
      </w:r>
      <w:r>
        <w:rPr>
          <w:rFonts w:hint="eastAsia" w:ascii="宋体" w:hAnsi="宋体" w:eastAsia="宋体" w:cs="宋体"/>
          <w:bCs/>
          <w:snapToGrid w:val="0"/>
          <w:color w:val="auto"/>
          <w:kern w:val="0"/>
          <w:sz w:val="24"/>
          <w:szCs w:val="24"/>
          <w:highlight w:val="none"/>
          <w:lang w:eastAsia="zh-CN"/>
        </w:rPr>
        <w:t>）</w:t>
      </w:r>
      <w:r>
        <w:rPr>
          <w:rFonts w:hint="eastAsia" w:ascii="宋体" w:hAnsi="宋体" w:eastAsia="宋体" w:cs="宋体"/>
          <w:bCs/>
          <w:snapToGrid w:val="0"/>
          <w:color w:val="auto"/>
          <w:kern w:val="0"/>
          <w:sz w:val="24"/>
          <w:szCs w:val="24"/>
          <w:highlight w:val="none"/>
        </w:rPr>
        <w:t>》等；</w:t>
      </w:r>
    </w:p>
    <w:p w14:paraId="3C91CE94">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（6）企业内部标准、工法。</w:t>
      </w:r>
    </w:p>
    <w:p w14:paraId="3C842478">
      <w:pPr>
        <w:keepNext w:val="0"/>
        <w:keepLines w:val="0"/>
        <w:pageBreakBefore w:val="0"/>
        <w:kinsoku/>
        <w:wordWrap w:val="0"/>
        <w:overflowPunct/>
        <w:topLinePunct w:val="0"/>
        <w:autoSpaceDE/>
        <w:autoSpaceDN/>
        <w:bidi w:val="0"/>
        <w:adjustRightInd w:val="0"/>
        <w:snapToGrid w:val="0"/>
        <w:spacing w:line="43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10.4.2</w:t>
      </w:r>
      <w:r>
        <w:rPr>
          <w:rFonts w:hint="eastAsia" w:ascii="宋体" w:hAnsi="宋体" w:eastAsia="宋体" w:cs="宋体"/>
          <w:bCs/>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施工组织设计包括但不限于以下内容：</w:t>
      </w:r>
    </w:p>
    <w:p w14:paraId="360A66B7">
      <w:pPr>
        <w:keepNext w:val="0"/>
        <w:keepLines w:val="0"/>
        <w:pageBreakBefore w:val="0"/>
        <w:kinsoku/>
        <w:wordWrap w:val="0"/>
        <w:overflowPunct/>
        <w:topLinePunct w:val="0"/>
        <w:autoSpaceDE/>
        <w:autoSpaceDN/>
        <w:bidi w:val="0"/>
        <w:adjustRightInd w:val="0"/>
        <w:snapToGrid w:val="0"/>
        <w:spacing w:line="43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（1）封面（格式一）；</w:t>
      </w:r>
    </w:p>
    <w:p w14:paraId="0FB27ACD">
      <w:pPr>
        <w:keepNext w:val="0"/>
        <w:keepLines w:val="0"/>
        <w:pageBreakBefore w:val="0"/>
        <w:kinsoku/>
        <w:wordWrap w:val="0"/>
        <w:overflowPunct/>
        <w:topLinePunct w:val="0"/>
        <w:autoSpaceDE/>
        <w:autoSpaceDN/>
        <w:bidi w:val="0"/>
        <w:adjustRightInd w:val="0"/>
        <w:snapToGrid w:val="0"/>
        <w:spacing w:line="43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（2）目录；</w:t>
      </w:r>
    </w:p>
    <w:p w14:paraId="1A2E8845">
      <w:pPr>
        <w:keepNext w:val="0"/>
        <w:keepLines w:val="0"/>
        <w:pageBreakBefore w:val="0"/>
        <w:kinsoku/>
        <w:wordWrap w:val="0"/>
        <w:overflowPunct/>
        <w:topLinePunct w:val="0"/>
        <w:autoSpaceDE/>
        <w:autoSpaceDN/>
        <w:bidi w:val="0"/>
        <w:adjustRightInd w:val="0"/>
        <w:snapToGrid w:val="0"/>
        <w:spacing w:line="43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（3）总体概述（包括施工程序总体设想及施工段划分等内容）；</w:t>
      </w:r>
    </w:p>
    <w:p w14:paraId="7ECB6B60">
      <w:pPr>
        <w:keepNext w:val="0"/>
        <w:keepLines w:val="0"/>
        <w:pageBreakBefore w:val="0"/>
        <w:kinsoku/>
        <w:wordWrap w:val="0"/>
        <w:overflowPunct/>
        <w:topLinePunct w:val="0"/>
        <w:autoSpaceDE/>
        <w:autoSpaceDN/>
        <w:bidi w:val="0"/>
        <w:adjustRightInd w:val="0"/>
        <w:snapToGrid w:val="0"/>
        <w:spacing w:line="43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（4）施工总进度计划及保证措施（包括进度管理目标；以横道图或标明关键线路的网络进度计划；保障进度计划需要的人、材、机需求计划及保证措施；违约责任承诺等内容）；</w:t>
      </w:r>
    </w:p>
    <w:p w14:paraId="79304AE6">
      <w:pPr>
        <w:keepNext w:val="0"/>
        <w:keepLines w:val="0"/>
        <w:pageBreakBefore w:val="0"/>
        <w:kinsoku/>
        <w:wordWrap w:val="0"/>
        <w:overflowPunct/>
        <w:topLinePunct w:val="0"/>
        <w:autoSpaceDE/>
        <w:autoSpaceDN/>
        <w:bidi w:val="0"/>
        <w:adjustRightInd w:val="0"/>
        <w:snapToGrid w:val="0"/>
        <w:spacing w:line="43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（5）质量保证措施（包括质量管理目标；相应保证措施；违约责任承诺等内容）；</w:t>
      </w:r>
    </w:p>
    <w:p w14:paraId="28623456">
      <w:pPr>
        <w:keepNext w:val="0"/>
        <w:keepLines w:val="0"/>
        <w:pageBreakBefore w:val="0"/>
        <w:kinsoku/>
        <w:wordWrap w:val="0"/>
        <w:overflowPunct/>
        <w:topLinePunct w:val="0"/>
        <w:autoSpaceDE/>
        <w:autoSpaceDN/>
        <w:bidi w:val="0"/>
        <w:adjustRightInd w:val="0"/>
        <w:snapToGrid w:val="0"/>
        <w:spacing w:line="43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（6）施工技术措施（包括关键施工技术、工艺及工程项目实施的重点、难点分析和解决方案；新技术应用与承诺等内容）；</w:t>
      </w:r>
    </w:p>
    <w:p w14:paraId="7C3D8312">
      <w:pPr>
        <w:keepNext w:val="0"/>
        <w:keepLines w:val="0"/>
        <w:pageBreakBefore w:val="0"/>
        <w:kinsoku/>
        <w:wordWrap w:val="0"/>
        <w:overflowPunct/>
        <w:topLinePunct w:val="0"/>
        <w:autoSpaceDE/>
        <w:autoSpaceDN/>
        <w:bidi w:val="0"/>
        <w:adjustRightInd w:val="0"/>
        <w:snapToGrid w:val="0"/>
        <w:spacing w:line="43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（7）绿色施工、安全防护、文明施工措施计划</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b/>
          <w:bCs/>
          <w:snapToGrid w:val="0"/>
          <w:color w:val="auto"/>
          <w:kern w:val="0"/>
          <w:sz w:val="24"/>
          <w:szCs w:val="24"/>
          <w:highlight w:val="none"/>
        </w:rPr>
        <w:t>应对建设单位组织的勘察设计等单位在施工招标文件中列出的危大工程清单(详见格式十</w:t>
      </w:r>
      <w:r>
        <w:rPr>
          <w:rFonts w:hint="eastAsia" w:ascii="宋体" w:hAnsi="宋体" w:eastAsia="宋体" w:cs="宋体"/>
          <w:b/>
          <w:bCs/>
          <w:snapToGrid w:val="0"/>
          <w:color w:val="auto"/>
          <w:kern w:val="0"/>
          <w:sz w:val="24"/>
          <w:szCs w:val="24"/>
          <w:highlight w:val="none"/>
          <w:lang w:val="en-US" w:eastAsia="zh-CN"/>
        </w:rPr>
        <w:t>二</w:t>
      </w:r>
      <w:r>
        <w:rPr>
          <w:rFonts w:hint="eastAsia" w:ascii="宋体" w:hAnsi="宋体" w:eastAsia="宋体" w:cs="宋体"/>
          <w:b/>
          <w:bCs/>
          <w:snapToGrid w:val="0"/>
          <w:color w:val="auto"/>
          <w:kern w:val="0"/>
          <w:sz w:val="24"/>
          <w:szCs w:val="24"/>
          <w:highlight w:val="none"/>
        </w:rPr>
        <w:t>)进行投标文件回应</w:t>
      </w:r>
      <w:r>
        <w:rPr>
          <w:rFonts w:hint="eastAsia" w:ascii="宋体" w:hAnsi="宋体" w:eastAsia="宋体" w:cs="宋体"/>
          <w:b/>
          <w:bCs/>
          <w:snapToGrid w:val="0"/>
          <w:color w:val="auto"/>
          <w:kern w:val="0"/>
          <w:sz w:val="24"/>
          <w:szCs w:val="24"/>
          <w:highlight w:val="none"/>
          <w:lang w:eastAsia="zh-CN"/>
        </w:rPr>
        <w:t>，</w:t>
      </w:r>
      <w:r>
        <w:rPr>
          <w:rFonts w:hint="eastAsia" w:ascii="宋体" w:hAnsi="宋体" w:eastAsia="宋体" w:cs="宋体"/>
          <w:b/>
          <w:bCs/>
          <w:snapToGrid w:val="0"/>
          <w:color w:val="auto"/>
          <w:kern w:val="0"/>
          <w:sz w:val="24"/>
          <w:szCs w:val="24"/>
          <w:highlight w:val="none"/>
          <w:lang w:val="en-US" w:eastAsia="zh-CN"/>
        </w:rPr>
        <w:t>如有</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w:t>
      </w:r>
    </w:p>
    <w:p w14:paraId="01258FD3">
      <w:pPr>
        <w:keepNext w:val="0"/>
        <w:keepLines w:val="0"/>
        <w:pageBreakBefore w:val="0"/>
        <w:kinsoku/>
        <w:wordWrap w:val="0"/>
        <w:overflowPunct/>
        <w:topLinePunct w:val="0"/>
        <w:autoSpaceDE/>
        <w:autoSpaceDN/>
        <w:bidi w:val="0"/>
        <w:adjustRightInd w:val="0"/>
        <w:snapToGrid w:val="0"/>
        <w:spacing w:line="43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（8）施工现场总平面布置（投标人应递交一份施工现场总平面布置图，绘出现场临时设施布置图表并附文字说明，说明临时设施、加工车间、现场办公</w:t>
      </w:r>
      <w:r>
        <w:rPr>
          <w:rFonts w:hint="eastAsia" w:ascii="宋体" w:hAnsi="宋体" w:eastAsia="宋体" w:cs="宋体"/>
          <w:snapToGrid w:val="0"/>
          <w:color w:val="auto"/>
          <w:kern w:val="0"/>
          <w:sz w:val="24"/>
          <w:szCs w:val="24"/>
          <w:highlight w:val="none"/>
          <w:lang w:val="en-US" w:eastAsia="zh-CN"/>
        </w:rPr>
        <w:t>、设备及仓储、供电、供水、卫生、生活、道路、消防等设施的情况和布置）</w:t>
      </w:r>
      <w:r>
        <w:rPr>
          <w:rFonts w:hint="eastAsia" w:ascii="宋体" w:hAnsi="宋体" w:eastAsia="宋体" w:cs="宋体"/>
          <w:snapToGrid w:val="0"/>
          <w:color w:val="auto"/>
          <w:kern w:val="0"/>
          <w:sz w:val="24"/>
          <w:szCs w:val="24"/>
          <w:highlight w:val="none"/>
        </w:rPr>
        <w:t>；</w:t>
      </w:r>
    </w:p>
    <w:p w14:paraId="4D05AB3F">
      <w:pPr>
        <w:keepNext w:val="0"/>
        <w:keepLines w:val="0"/>
        <w:pageBreakBefore w:val="0"/>
        <w:kinsoku/>
        <w:wordWrap w:val="0"/>
        <w:overflowPunct/>
        <w:topLinePunct w:val="0"/>
        <w:autoSpaceDE/>
        <w:autoSpaceDN/>
        <w:bidi w:val="0"/>
        <w:adjustRightInd w:val="0"/>
        <w:snapToGrid w:val="0"/>
        <w:spacing w:line="43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（9）项目管理机构。</w:t>
      </w:r>
    </w:p>
    <w:p w14:paraId="4896FCE5">
      <w:pPr>
        <w:keepNext w:val="0"/>
        <w:keepLines w:val="0"/>
        <w:pageBreakBefore w:val="0"/>
        <w:kinsoku/>
        <w:wordWrap w:val="0"/>
        <w:overflowPunct/>
        <w:topLinePunct w:val="0"/>
        <w:autoSpaceDE/>
        <w:autoSpaceDN/>
        <w:bidi w:val="0"/>
        <w:adjustRightInd w:val="0"/>
        <w:snapToGrid w:val="0"/>
        <w:spacing w:line="43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（10）投标人认为有必要补充的其他内容（例如对总包管理的认识以及对专业分包工程的管理、协调、配合、服务方案）。</w:t>
      </w:r>
    </w:p>
    <w:p w14:paraId="16069545">
      <w:pPr>
        <w:keepNext w:val="0"/>
        <w:keepLines w:val="0"/>
        <w:pageBreakBefore w:val="0"/>
        <w:kinsoku/>
        <w:wordWrap w:val="0"/>
        <w:overflowPunct/>
        <w:topLinePunct w:val="0"/>
        <w:autoSpaceDE/>
        <w:autoSpaceDN/>
        <w:bidi w:val="0"/>
        <w:adjustRightInd w:val="0"/>
        <w:snapToGrid w:val="0"/>
        <w:spacing w:line="43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10.4.3</w:t>
      </w:r>
      <w:r>
        <w:rPr>
          <w:rFonts w:hint="eastAsia" w:ascii="宋体" w:hAnsi="宋体" w:eastAsia="宋体" w:cs="宋体"/>
          <w:snapToGrid w:val="0"/>
          <w:color w:val="auto"/>
          <w:kern w:val="0"/>
          <w:sz w:val="24"/>
          <w:szCs w:val="24"/>
          <w:highlight w:val="none"/>
        </w:rPr>
        <w:t xml:space="preserve"> 本节第</w:t>
      </w:r>
      <w:r>
        <w:rPr>
          <w:rFonts w:hint="eastAsia" w:ascii="宋体" w:hAnsi="宋体" w:eastAsia="宋体" w:cs="宋体"/>
          <w:b/>
          <w:bCs/>
          <w:snapToGrid w:val="0"/>
          <w:color w:val="auto"/>
          <w:kern w:val="0"/>
          <w:sz w:val="24"/>
          <w:szCs w:val="24"/>
          <w:highlight w:val="none"/>
        </w:rPr>
        <w:t>10.4.2</w:t>
      </w:r>
      <w:r>
        <w:rPr>
          <w:rFonts w:hint="eastAsia" w:ascii="宋体" w:hAnsi="宋体" w:eastAsia="宋体" w:cs="宋体"/>
          <w:snapToGrid w:val="0"/>
          <w:color w:val="auto"/>
          <w:kern w:val="0"/>
          <w:sz w:val="24"/>
          <w:szCs w:val="24"/>
          <w:highlight w:val="none"/>
        </w:rPr>
        <w:t>目中所列出的施工组织设计组成内容中，第（1）至第（9）项所有投标人均应提供。</w:t>
      </w:r>
    </w:p>
    <w:p w14:paraId="40085E6A">
      <w:pPr>
        <w:keepNext w:val="0"/>
        <w:keepLines w:val="0"/>
        <w:pageBreakBefore w:val="0"/>
        <w:kinsoku/>
        <w:wordWrap w:val="0"/>
        <w:overflowPunct/>
        <w:topLinePunct w:val="0"/>
        <w:autoSpaceDE/>
        <w:autoSpaceDN/>
        <w:bidi w:val="0"/>
        <w:adjustRightInd w:val="0"/>
        <w:snapToGrid w:val="0"/>
        <w:spacing w:line="43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10.4.4</w:t>
      </w:r>
      <w:r>
        <w:rPr>
          <w:rFonts w:hint="eastAsia" w:ascii="宋体" w:hAnsi="宋体" w:eastAsia="宋体" w:cs="宋体"/>
          <w:snapToGrid w:val="0"/>
          <w:color w:val="auto"/>
          <w:kern w:val="0"/>
          <w:sz w:val="24"/>
          <w:szCs w:val="24"/>
          <w:highlight w:val="none"/>
        </w:rPr>
        <w:t xml:space="preserve"> 施工组织设计的组成内容按本节第</w:t>
      </w:r>
      <w:r>
        <w:rPr>
          <w:rFonts w:hint="eastAsia" w:ascii="宋体" w:hAnsi="宋体" w:eastAsia="宋体" w:cs="宋体"/>
          <w:b/>
          <w:bCs/>
          <w:snapToGrid w:val="0"/>
          <w:color w:val="auto"/>
          <w:kern w:val="0"/>
          <w:sz w:val="24"/>
          <w:szCs w:val="24"/>
          <w:highlight w:val="none"/>
        </w:rPr>
        <w:t>10.4.2</w:t>
      </w:r>
      <w:r>
        <w:rPr>
          <w:rFonts w:hint="eastAsia" w:ascii="宋体" w:hAnsi="宋体" w:eastAsia="宋体" w:cs="宋体"/>
          <w:snapToGrid w:val="0"/>
          <w:color w:val="auto"/>
          <w:kern w:val="0"/>
          <w:sz w:val="24"/>
          <w:szCs w:val="24"/>
          <w:highlight w:val="none"/>
        </w:rPr>
        <w:t>目规定的顺序整理、编排后，逐页（页码起始从封面开始）连续标记页码，作成一个PDF格式电子文件。</w:t>
      </w:r>
    </w:p>
    <w:p w14:paraId="0A4BB29C">
      <w:pPr>
        <w:keepNext w:val="0"/>
        <w:keepLines w:val="0"/>
        <w:pageBreakBefore w:val="0"/>
        <w:overflowPunct/>
        <w:topLinePunct w:val="0"/>
        <w:bidi w:val="0"/>
        <w:spacing w:before="78" w:line="430" w:lineRule="exact"/>
        <w:ind w:left="496"/>
        <w:outlineLvl w:val="2"/>
        <w:rPr>
          <w:rFonts w:hint="eastAsia" w:ascii="宋体" w:hAnsi="宋体" w:eastAsia="宋体" w:cs="宋体"/>
          <w:b/>
          <w:bCs/>
          <w:color w:val="auto"/>
          <w:spacing w:val="-9"/>
          <w:sz w:val="24"/>
          <w:szCs w:val="24"/>
          <w:highlight w:val="none"/>
        </w:rPr>
      </w:pPr>
      <w:bookmarkStart w:id="59" w:name="_Toc29307"/>
      <w:r>
        <w:rPr>
          <w:rFonts w:hint="eastAsia" w:ascii="宋体" w:hAnsi="宋体" w:eastAsia="宋体" w:cs="宋体"/>
          <w:b/>
          <w:bCs/>
          <w:color w:val="auto"/>
          <w:spacing w:val="-9"/>
          <w:sz w:val="24"/>
          <w:szCs w:val="24"/>
          <w:highlight w:val="none"/>
          <w:lang w:val="en-US" w:eastAsia="zh-CN"/>
        </w:rPr>
        <w:t xml:space="preserve"> </w:t>
      </w:r>
      <w:bookmarkStart w:id="60" w:name="_Toc25326"/>
      <w:r>
        <w:rPr>
          <w:rFonts w:hint="eastAsia" w:ascii="宋体" w:hAnsi="宋体" w:eastAsia="宋体" w:cs="宋体"/>
          <w:b/>
          <w:bCs/>
          <w:color w:val="auto"/>
          <w:spacing w:val="-9"/>
          <w:sz w:val="24"/>
          <w:szCs w:val="24"/>
          <w:highlight w:val="none"/>
          <w:lang w:val="en-US" w:eastAsia="zh-CN"/>
        </w:rPr>
        <w:t xml:space="preserve">10.4.5 </w:t>
      </w:r>
      <w:r>
        <w:rPr>
          <w:rFonts w:hint="eastAsia" w:ascii="宋体" w:hAnsi="宋体" w:eastAsia="宋体" w:cs="宋体"/>
          <w:b w:val="0"/>
          <w:bCs w:val="0"/>
          <w:color w:val="auto"/>
          <w:spacing w:val="-9"/>
          <w:sz w:val="24"/>
          <w:szCs w:val="24"/>
          <w:highlight w:val="none"/>
          <w:lang w:val="en-US" w:eastAsia="zh-CN"/>
        </w:rPr>
        <w:t>施工组织设计的正文不得超过</w:t>
      </w:r>
      <w:r>
        <w:rPr>
          <w:rFonts w:hint="eastAsia" w:ascii="宋体" w:hAnsi="宋体" w:eastAsia="宋体" w:cs="宋体"/>
          <w:b w:val="0"/>
          <w:bCs w:val="0"/>
          <w:color w:val="auto"/>
          <w:spacing w:val="-9"/>
          <w:sz w:val="24"/>
          <w:szCs w:val="24"/>
          <w:highlight w:val="none"/>
          <w:u w:val="single"/>
          <w:lang w:val="en-US" w:eastAsia="zh-CN"/>
        </w:rPr>
        <w:t xml:space="preserve"> 150 </w:t>
      </w:r>
      <w:r>
        <w:rPr>
          <w:rFonts w:hint="eastAsia" w:ascii="宋体" w:hAnsi="宋体" w:eastAsia="宋体" w:cs="宋体"/>
          <w:b w:val="0"/>
          <w:bCs w:val="0"/>
          <w:color w:val="auto"/>
          <w:spacing w:val="-9"/>
          <w:sz w:val="24"/>
          <w:szCs w:val="24"/>
          <w:highlight w:val="none"/>
          <w:lang w:val="en-US" w:eastAsia="zh-CN"/>
        </w:rPr>
        <w:t>页。</w:t>
      </w:r>
      <w:bookmarkEnd w:id="60"/>
    </w:p>
    <w:p w14:paraId="7FBC7502">
      <w:pPr>
        <w:keepNext w:val="0"/>
        <w:keepLines w:val="0"/>
        <w:pageBreakBefore w:val="0"/>
        <w:overflowPunct/>
        <w:topLinePunct w:val="0"/>
        <w:bidi w:val="0"/>
        <w:spacing w:before="78" w:line="430" w:lineRule="exact"/>
        <w:ind w:left="496"/>
        <w:outlineLvl w:val="2"/>
        <w:rPr>
          <w:rFonts w:hint="eastAsia" w:ascii="宋体" w:hAnsi="宋体" w:eastAsia="宋体" w:cs="宋体"/>
          <w:color w:val="auto"/>
          <w:sz w:val="24"/>
          <w:szCs w:val="24"/>
          <w:highlight w:val="none"/>
        </w:rPr>
      </w:pPr>
      <w:bookmarkStart w:id="61" w:name="_Toc19002"/>
      <w:r>
        <w:rPr>
          <w:rFonts w:hint="eastAsia" w:ascii="宋体" w:hAnsi="宋体" w:eastAsia="宋体" w:cs="宋体"/>
          <w:b/>
          <w:bCs/>
          <w:color w:val="auto"/>
          <w:spacing w:val="-9"/>
          <w:sz w:val="24"/>
          <w:szCs w:val="24"/>
          <w:highlight w:val="none"/>
        </w:rPr>
        <w:t>11.电子投标</w:t>
      </w:r>
      <w:bookmarkEnd w:id="59"/>
      <w:bookmarkEnd w:id="61"/>
    </w:p>
    <w:p w14:paraId="0AFE6263">
      <w:pPr>
        <w:keepNext w:val="0"/>
        <w:keepLines w:val="0"/>
        <w:pageBreakBefore w:val="0"/>
        <w:widowControl w:val="0"/>
        <w:kinsoku w:val="0"/>
        <w:wordWrap/>
        <w:overflowPunct/>
        <w:topLinePunct w:val="0"/>
        <w:autoSpaceDE w:val="0"/>
        <w:autoSpaceDN w:val="0"/>
        <w:bidi w:val="0"/>
        <w:adjustRightInd w:val="0"/>
        <w:snapToGrid w:val="0"/>
        <w:spacing w:before="115" w:line="430" w:lineRule="exact"/>
        <w:ind w:left="10" w:right="81" w:firstLine="485"/>
        <w:textAlignment w:val="baseline"/>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t xml:space="preserve">11.1 </w:t>
      </w:r>
      <w:r>
        <w:rPr>
          <w:rFonts w:hint="eastAsia" w:ascii="宋体" w:hAnsi="宋体" w:eastAsia="宋体" w:cs="宋体"/>
          <w:b w:val="0"/>
          <w:bCs w:val="0"/>
          <w:color w:val="auto"/>
          <w:spacing w:val="-3"/>
          <w:sz w:val="24"/>
          <w:szCs w:val="24"/>
          <w:highlight w:val="none"/>
        </w:rPr>
        <w:t xml:space="preserve"> 在建设工程交易系统上传加盖了电子印章的投标文件、录入相关信息及标书页码信息（页码起始从封面开始）并提交投标标书。提交标书为已加密投标文件。具体操作参照《韶关市公共资源建设工程交易系统-投标人操作指南（电子评标）V1.3》。本项目评标采用全流程电子化进行招标投标（投标人应根据全国公共资源交易平台（广东省·韶关市）新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6078106A">
      <w:pPr>
        <w:keepNext w:val="0"/>
        <w:keepLines w:val="0"/>
        <w:pageBreakBefore w:val="0"/>
        <w:widowControl w:val="0"/>
        <w:kinsoku w:val="0"/>
        <w:wordWrap/>
        <w:overflowPunct/>
        <w:topLinePunct w:val="0"/>
        <w:autoSpaceDE w:val="0"/>
        <w:autoSpaceDN w:val="0"/>
        <w:bidi w:val="0"/>
        <w:adjustRightInd w:val="0"/>
        <w:snapToGrid w:val="0"/>
        <w:spacing w:before="115" w:line="430" w:lineRule="exact"/>
        <w:ind w:left="10" w:right="81" w:firstLine="485"/>
        <w:textAlignment w:val="baseline"/>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11.2</w:t>
      </w:r>
      <w:r>
        <w:rPr>
          <w:rFonts w:hint="eastAsia" w:ascii="宋体" w:hAnsi="宋体" w:eastAsia="宋体" w:cs="宋体"/>
          <w:b/>
          <w:bCs/>
          <w:color w:val="auto"/>
          <w:spacing w:val="19"/>
          <w:sz w:val="24"/>
          <w:szCs w:val="24"/>
          <w:highlight w:val="none"/>
        </w:rPr>
        <w:t xml:space="preserve"> </w:t>
      </w:r>
      <w:r>
        <w:rPr>
          <w:rFonts w:hint="eastAsia" w:ascii="宋体" w:hAnsi="宋体" w:eastAsia="宋体" w:cs="宋体"/>
          <w:b w:val="0"/>
          <w:bCs w:val="0"/>
          <w:color w:val="auto"/>
          <w:spacing w:val="-3"/>
          <w:sz w:val="24"/>
          <w:szCs w:val="24"/>
          <w:highlight w:val="none"/>
        </w:rPr>
        <w:t xml:space="preserve"> 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0DD75A4B">
      <w:pPr>
        <w:keepNext w:val="0"/>
        <w:keepLines w:val="0"/>
        <w:pageBreakBefore w:val="0"/>
        <w:overflowPunct/>
        <w:topLinePunct w:val="0"/>
        <w:bidi w:val="0"/>
        <w:spacing w:before="78" w:line="430" w:lineRule="exact"/>
        <w:ind w:left="496"/>
        <w:outlineLvl w:val="2"/>
        <w:rPr>
          <w:rFonts w:hint="eastAsia" w:ascii="宋体" w:hAnsi="宋体" w:eastAsia="宋体" w:cs="宋体"/>
          <w:b/>
          <w:bCs/>
          <w:color w:val="auto"/>
          <w:spacing w:val="-9"/>
          <w:sz w:val="24"/>
          <w:szCs w:val="24"/>
          <w:highlight w:val="none"/>
        </w:rPr>
      </w:pPr>
      <w:bookmarkStart w:id="62" w:name="_Toc4526"/>
      <w:bookmarkStart w:id="63" w:name="_Toc15963"/>
      <w:r>
        <w:rPr>
          <w:rFonts w:hint="eastAsia" w:ascii="宋体" w:hAnsi="宋体" w:eastAsia="宋体" w:cs="宋体"/>
          <w:b/>
          <w:bCs/>
          <w:color w:val="auto"/>
          <w:spacing w:val="-9"/>
          <w:sz w:val="24"/>
          <w:szCs w:val="24"/>
          <w:highlight w:val="none"/>
          <w:lang w:val="en-US" w:eastAsia="zh-CN"/>
        </w:rPr>
        <w:t>12.</w:t>
      </w:r>
      <w:r>
        <w:rPr>
          <w:rFonts w:hint="eastAsia" w:ascii="宋体" w:hAnsi="宋体" w:eastAsia="宋体" w:cs="宋体"/>
          <w:b/>
          <w:bCs/>
          <w:color w:val="auto"/>
          <w:spacing w:val="-9"/>
          <w:sz w:val="24"/>
          <w:szCs w:val="24"/>
          <w:highlight w:val="none"/>
        </w:rPr>
        <w:t>电子投标及投标解密失败及突发情况的补救方案</w:t>
      </w:r>
      <w:bookmarkEnd w:id="62"/>
      <w:bookmarkEnd w:id="63"/>
    </w:p>
    <w:p w14:paraId="46CB7EA0">
      <w:pPr>
        <w:keepNext w:val="0"/>
        <w:keepLines w:val="0"/>
        <w:pageBreakBefore w:val="0"/>
        <w:overflowPunct/>
        <w:topLinePunct w:val="0"/>
        <w:bidi w:val="0"/>
        <w:spacing w:before="78" w:line="430" w:lineRule="exact"/>
        <w:ind w:firstLine="478"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12.1 </w:t>
      </w:r>
      <w:r>
        <w:rPr>
          <w:rFonts w:hint="eastAsia" w:ascii="宋体" w:hAnsi="宋体" w:eastAsia="宋体" w:cs="宋体"/>
          <w:b/>
          <w:bCs/>
          <w:color w:val="auto"/>
          <w:spacing w:val="-1"/>
          <w:sz w:val="24"/>
          <w:szCs w:val="24"/>
          <w:highlight w:val="none"/>
          <w:lang w:val="en-US" w:eastAsia="zh-CN"/>
        </w:rPr>
        <w:t xml:space="preserve"> </w:t>
      </w:r>
      <w:r>
        <w:rPr>
          <w:rFonts w:hint="eastAsia" w:ascii="宋体" w:hAnsi="宋体" w:eastAsia="宋体" w:cs="宋体"/>
          <w:color w:val="auto"/>
          <w:spacing w:val="-1"/>
          <w:sz w:val="24"/>
          <w:szCs w:val="24"/>
          <w:highlight w:val="none"/>
        </w:rPr>
        <w:t>按照交易平台关于全流程电子化项目的相</w:t>
      </w:r>
      <w:r>
        <w:rPr>
          <w:rFonts w:hint="eastAsia" w:ascii="宋体" w:hAnsi="宋体" w:eastAsia="宋体" w:cs="宋体"/>
          <w:color w:val="auto"/>
          <w:spacing w:val="-2"/>
          <w:sz w:val="24"/>
          <w:szCs w:val="24"/>
          <w:highlight w:val="none"/>
        </w:rPr>
        <w:t>关指南进行操作。详见：全国公共</w:t>
      </w:r>
      <w:r>
        <w:rPr>
          <w:rFonts w:hint="eastAsia" w:ascii="宋体" w:hAnsi="宋体" w:eastAsia="宋体" w:cs="宋体"/>
          <w:color w:val="auto"/>
          <w:spacing w:val="-1"/>
          <w:sz w:val="24"/>
          <w:szCs w:val="24"/>
          <w:highlight w:val="none"/>
        </w:rPr>
        <w:t>资源交易平台（广东省·韶关市</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1"/>
          <w:sz w:val="24"/>
          <w:szCs w:val="24"/>
          <w:highlight w:val="none"/>
        </w:rPr>
        <w:t>https://y</w:t>
      </w:r>
      <w:r>
        <w:rPr>
          <w:rFonts w:hint="eastAsia" w:ascii="宋体" w:hAnsi="宋体" w:eastAsia="宋体" w:cs="宋体"/>
          <w:color w:val="auto"/>
          <w:spacing w:val="-2"/>
          <w:sz w:val="24"/>
          <w:szCs w:val="24"/>
          <w:highlight w:val="none"/>
        </w:rPr>
        <w:t>gp.gdzwfw.gov.cn/ggzy-portal/#/44</w:t>
      </w:r>
      <w:r>
        <w:rPr>
          <w:rFonts w:hint="eastAsia" w:ascii="宋体" w:hAnsi="宋体" w:eastAsia="宋体" w:cs="宋体"/>
          <w:color w:val="auto"/>
          <w:spacing w:val="-1"/>
          <w:sz w:val="24"/>
          <w:szCs w:val="24"/>
          <w:highlight w:val="none"/>
        </w:rPr>
        <w:t>0200/index）服务指南栏目发布的最新版操作指引。</w:t>
      </w:r>
    </w:p>
    <w:p w14:paraId="73F0F596">
      <w:pPr>
        <w:keepNext w:val="0"/>
        <w:keepLines w:val="0"/>
        <w:pageBreakBefore w:val="0"/>
        <w:overflowPunct/>
        <w:topLinePunct w:val="0"/>
        <w:bidi w:val="0"/>
        <w:spacing w:before="113" w:line="430" w:lineRule="exact"/>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补救方案：</w:t>
      </w:r>
    </w:p>
    <w:p w14:paraId="05EE6E04">
      <w:pPr>
        <w:keepNext w:val="0"/>
        <w:keepLines w:val="0"/>
        <w:pageBreakBefore w:val="0"/>
        <w:overflowPunct/>
        <w:topLinePunct w:val="0"/>
        <w:bidi w:val="0"/>
        <w:spacing w:before="115" w:line="430" w:lineRule="exact"/>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12.2.1  </w:t>
      </w:r>
      <w:r>
        <w:rPr>
          <w:rFonts w:hint="eastAsia" w:ascii="宋体" w:hAnsi="宋体" w:eastAsia="宋体" w:cs="宋体"/>
          <w:color w:val="auto"/>
          <w:spacing w:val="-1"/>
          <w:sz w:val="24"/>
          <w:szCs w:val="24"/>
          <w:highlight w:val="none"/>
        </w:rPr>
        <w:t>投标文件解密失败的补救方案：</w:t>
      </w:r>
    </w:p>
    <w:p w14:paraId="25EB34AB">
      <w:pPr>
        <w:keepNext w:val="0"/>
        <w:keepLines w:val="0"/>
        <w:pageBreakBefore w:val="0"/>
        <w:overflowPunct/>
        <w:topLinePunct w:val="0"/>
        <w:bidi w:val="0"/>
        <w:spacing w:before="115" w:line="430" w:lineRule="exact"/>
        <w:ind w:right="81"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auto"/>
          <w:spacing w:val="1"/>
          <w:sz w:val="24"/>
          <w:szCs w:val="24"/>
          <w:highlight w:val="none"/>
        </w:rPr>
        <w:t>解密失败投标人可在建设工程交易系统在规定时间（代理机构授权后</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30</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1"/>
          <w:sz w:val="24"/>
          <w:szCs w:val="24"/>
          <w:highlight w:val="none"/>
        </w:rPr>
        <w:t>分钟内）内</w:t>
      </w:r>
      <w:bookmarkStart w:id="64" w:name="bookmark122"/>
      <w:bookmarkEnd w:id="64"/>
      <w:r>
        <w:rPr>
          <w:rFonts w:hint="eastAsia" w:ascii="宋体" w:hAnsi="宋体" w:eastAsia="宋体" w:cs="宋体"/>
          <w:color w:val="auto"/>
          <w:spacing w:val="-1"/>
          <w:sz w:val="24"/>
          <w:szCs w:val="24"/>
          <w:highlight w:val="none"/>
        </w:rPr>
        <w:t>重新提交投标文件继续开标程序。</w:t>
      </w:r>
    </w:p>
    <w:p w14:paraId="7A382C13">
      <w:pPr>
        <w:keepNext w:val="0"/>
        <w:keepLines w:val="0"/>
        <w:pageBreakBefore w:val="0"/>
        <w:overflowPunct/>
        <w:topLinePunct w:val="0"/>
        <w:bidi w:val="0"/>
        <w:spacing w:before="114" w:line="430" w:lineRule="exact"/>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12.2.2  </w:t>
      </w:r>
      <w:r>
        <w:rPr>
          <w:rFonts w:hint="eastAsia" w:ascii="宋体" w:hAnsi="宋体" w:eastAsia="宋体" w:cs="宋体"/>
          <w:color w:val="auto"/>
          <w:spacing w:val="-1"/>
          <w:sz w:val="24"/>
          <w:szCs w:val="24"/>
          <w:highlight w:val="none"/>
        </w:rPr>
        <w:t>评标时突发情况的补救方案</w:t>
      </w:r>
    </w:p>
    <w:p w14:paraId="343A4F82">
      <w:pPr>
        <w:keepNext w:val="0"/>
        <w:keepLines w:val="0"/>
        <w:pageBreakBefore w:val="0"/>
        <w:overflowPunct/>
        <w:topLinePunct w:val="0"/>
        <w:bidi w:val="0"/>
        <w:spacing w:before="69" w:line="430" w:lineRule="exact"/>
        <w:ind w:left="11" w:right="81" w:firstLine="484"/>
        <w:rPr>
          <w:rFonts w:hint="eastAsia" w:ascii="宋体" w:hAnsi="宋体" w:eastAsia="宋体" w:cs="宋体"/>
          <w:b/>
          <w:bCs/>
          <w:color w:val="auto"/>
          <w:spacing w:val="-1"/>
          <w:sz w:val="24"/>
          <w:szCs w:val="24"/>
          <w:highlight w:val="none"/>
        </w:rPr>
      </w:pPr>
      <w:r>
        <w:rPr>
          <w:rFonts w:hint="eastAsia" w:ascii="宋体" w:hAnsi="宋体" w:eastAsia="宋体" w:cs="宋体"/>
          <w:b w:val="0"/>
          <w:bCs w:val="0"/>
          <w:color w:val="auto"/>
          <w:spacing w:val="-1"/>
          <w:sz w:val="24"/>
          <w:szCs w:val="24"/>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5A519C27">
      <w:pPr>
        <w:keepNext w:val="0"/>
        <w:keepLines w:val="0"/>
        <w:pageBreakBefore w:val="0"/>
        <w:overflowPunct/>
        <w:topLinePunct w:val="0"/>
        <w:bidi w:val="0"/>
        <w:spacing w:before="69" w:line="430" w:lineRule="exact"/>
        <w:ind w:left="11" w:right="81" w:firstLine="484"/>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12.2.3  </w:t>
      </w:r>
      <w:r>
        <w:rPr>
          <w:rFonts w:hint="eastAsia" w:ascii="宋体" w:hAnsi="宋体" w:eastAsia="宋体" w:cs="宋体"/>
          <w:color w:val="auto"/>
          <w:spacing w:val="-1"/>
          <w:sz w:val="24"/>
          <w:szCs w:val="24"/>
          <w:highlight w:val="none"/>
        </w:rPr>
        <w:t>除发生上述情况外，开标评标均以投标人通过交易平台网上递交的电子投标文件为准。</w:t>
      </w:r>
    </w:p>
    <w:p w14:paraId="4D8FB8D3">
      <w:pPr>
        <w:keepNext w:val="0"/>
        <w:keepLines w:val="0"/>
        <w:pageBreakBefore w:val="0"/>
        <w:kinsoku/>
        <w:wordWrap w:val="0"/>
        <w:overflowPunct/>
        <w:topLinePunct w:val="0"/>
        <w:autoSpaceDE/>
        <w:autoSpaceDN/>
        <w:bidi w:val="0"/>
        <w:adjustRightInd w:val="0"/>
        <w:snapToGrid w:val="0"/>
        <w:spacing w:line="440" w:lineRule="exact"/>
        <w:ind w:firstLine="560"/>
        <w:rPr>
          <w:rFonts w:hint="eastAsia" w:ascii="宋体" w:hAnsi="宋体" w:eastAsia="宋体" w:cs="宋体"/>
          <w:b/>
          <w:bCs/>
          <w:strike w:val="0"/>
          <w:dstrike w:val="0"/>
          <w:color w:val="auto"/>
          <w:spacing w:val="-7"/>
          <w:sz w:val="24"/>
          <w:szCs w:val="24"/>
          <w:highlight w:val="none"/>
        </w:rPr>
      </w:pPr>
      <w:bookmarkStart w:id="65" w:name="_Toc1005"/>
      <w:r>
        <w:rPr>
          <w:rFonts w:hint="eastAsia" w:ascii="宋体" w:hAnsi="宋体" w:eastAsia="宋体" w:cs="宋体"/>
          <w:b/>
          <w:bCs/>
          <w:strike w:val="0"/>
          <w:dstrike w:val="0"/>
          <w:snapToGrid w:val="0"/>
          <w:color w:val="auto"/>
          <w:kern w:val="0"/>
          <w:sz w:val="24"/>
          <w:szCs w:val="20"/>
          <w:highlight w:val="none"/>
        </w:rPr>
        <w:t>12.</w:t>
      </w:r>
      <w:r>
        <w:rPr>
          <w:rFonts w:hint="eastAsia" w:ascii="宋体" w:hAnsi="宋体" w:eastAsia="宋体" w:cs="宋体"/>
          <w:b/>
          <w:bCs/>
          <w:strike w:val="0"/>
          <w:dstrike w:val="0"/>
          <w:snapToGrid w:val="0"/>
          <w:color w:val="auto"/>
          <w:kern w:val="0"/>
          <w:sz w:val="24"/>
          <w:szCs w:val="20"/>
          <w:highlight w:val="none"/>
          <w:lang w:val="en-US" w:eastAsia="zh-CN"/>
        </w:rPr>
        <w:t>3</w:t>
      </w:r>
      <w:r>
        <w:rPr>
          <w:rFonts w:hint="eastAsia" w:ascii="宋体" w:hAnsi="宋体" w:eastAsia="宋体" w:cs="宋体"/>
          <w:strike w:val="0"/>
          <w:dstrike w:val="0"/>
          <w:snapToGrid w:val="0"/>
          <w:color w:val="auto"/>
          <w:kern w:val="0"/>
          <w:sz w:val="24"/>
          <w:highlight w:val="none"/>
        </w:rPr>
        <w:t xml:space="preserve"> </w:t>
      </w:r>
      <w:r>
        <w:rPr>
          <w:rFonts w:hint="eastAsia" w:ascii="宋体" w:hAnsi="宋体" w:eastAsia="宋体" w:cs="宋体"/>
          <w:bCs/>
          <w:strike w:val="0"/>
          <w:dstrike w:val="0"/>
          <w:snapToGrid w:val="0"/>
          <w:color w:val="auto"/>
          <w:kern w:val="2"/>
          <w:sz w:val="24"/>
          <w:szCs w:val="24"/>
          <w:highlight w:val="none"/>
          <w:lang w:val="en-US" w:eastAsia="zh-CN" w:bidi="ar-SA"/>
        </w:rPr>
        <w:t>招标人或其授权的招标代理机构核对、接收投标人递交的投标文件和相关资料后，应向投标人出具标明签收人和签收时间的凭证，并妥善保管。</w:t>
      </w:r>
    </w:p>
    <w:p w14:paraId="41B4D4AA">
      <w:pPr>
        <w:keepNext w:val="0"/>
        <w:keepLines w:val="0"/>
        <w:pageBreakBefore w:val="0"/>
        <w:overflowPunct/>
        <w:topLinePunct w:val="0"/>
        <w:bidi w:val="0"/>
        <w:spacing w:before="78" w:line="430" w:lineRule="exact"/>
        <w:ind w:left="496"/>
        <w:outlineLvl w:val="2"/>
        <w:rPr>
          <w:rFonts w:hint="eastAsia" w:ascii="宋体" w:hAnsi="宋体" w:eastAsia="宋体" w:cs="宋体"/>
          <w:color w:val="auto"/>
          <w:sz w:val="24"/>
          <w:szCs w:val="24"/>
          <w:highlight w:val="none"/>
        </w:rPr>
      </w:pPr>
      <w:bookmarkStart w:id="66" w:name="_Toc23921"/>
      <w:r>
        <w:rPr>
          <w:rFonts w:hint="eastAsia" w:ascii="宋体" w:hAnsi="宋体" w:eastAsia="宋体" w:cs="宋体"/>
          <w:b/>
          <w:bCs/>
          <w:color w:val="auto"/>
          <w:spacing w:val="-7"/>
          <w:sz w:val="24"/>
          <w:szCs w:val="24"/>
          <w:highlight w:val="none"/>
        </w:rPr>
        <w:t>13</w:t>
      </w:r>
      <w:r>
        <w:rPr>
          <w:rFonts w:hint="eastAsia" w:ascii="宋体" w:hAnsi="宋体" w:eastAsia="宋体" w:cs="宋体"/>
          <w:b/>
          <w:bCs/>
          <w:color w:val="auto"/>
          <w:spacing w:val="-23"/>
          <w:sz w:val="24"/>
          <w:szCs w:val="24"/>
          <w:highlight w:val="none"/>
          <w:lang w:eastAsia="zh-CN"/>
        </w:rPr>
        <w:t>.</w:t>
      </w:r>
      <w:r>
        <w:rPr>
          <w:rFonts w:hint="eastAsia" w:ascii="宋体" w:hAnsi="宋体" w:eastAsia="宋体" w:cs="宋体"/>
          <w:b/>
          <w:bCs/>
          <w:color w:val="auto"/>
          <w:spacing w:val="-23"/>
          <w:sz w:val="24"/>
          <w:szCs w:val="24"/>
          <w:highlight w:val="none"/>
          <w:lang w:val="en-US" w:eastAsia="zh-CN"/>
        </w:rPr>
        <w:t xml:space="preserve"> </w:t>
      </w:r>
      <w:r>
        <w:rPr>
          <w:rFonts w:hint="eastAsia" w:ascii="宋体" w:hAnsi="宋体" w:eastAsia="宋体" w:cs="宋体"/>
          <w:b/>
          <w:bCs/>
          <w:color w:val="auto"/>
          <w:spacing w:val="-7"/>
          <w:sz w:val="24"/>
          <w:szCs w:val="24"/>
          <w:highlight w:val="none"/>
        </w:rPr>
        <w:t>投标文件的提交</w:t>
      </w:r>
      <w:bookmarkEnd w:id="65"/>
      <w:bookmarkEnd w:id="66"/>
    </w:p>
    <w:p w14:paraId="3992E2DB">
      <w:pPr>
        <w:keepNext w:val="0"/>
        <w:keepLines w:val="0"/>
        <w:pageBreakBefore w:val="0"/>
        <w:widowControl w:val="0"/>
        <w:kinsoku w:val="0"/>
        <w:wordWrap/>
        <w:overflowPunct/>
        <w:topLinePunct w:val="0"/>
        <w:autoSpaceDE w:val="0"/>
        <w:autoSpaceDN w:val="0"/>
        <w:bidi w:val="0"/>
        <w:adjustRightInd w:val="0"/>
        <w:snapToGrid w:val="0"/>
        <w:spacing w:before="123" w:line="430" w:lineRule="exact"/>
        <w:ind w:left="13" w:right="81" w:firstLine="482"/>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 xml:space="preserve">13.1  </w:t>
      </w:r>
      <w:r>
        <w:rPr>
          <w:rFonts w:hint="eastAsia" w:ascii="宋体" w:hAnsi="宋体" w:eastAsia="宋体" w:cs="宋体"/>
          <w:color w:val="auto"/>
          <w:spacing w:val="-11"/>
          <w:sz w:val="24"/>
          <w:szCs w:val="24"/>
          <w:highlight w:val="none"/>
        </w:rPr>
        <w:t>在投标文件提交截止时间前，投标人通过全国公共资源交易平台（</w:t>
      </w:r>
      <w:r>
        <w:rPr>
          <w:rFonts w:hint="eastAsia" w:ascii="宋体" w:hAnsi="宋体" w:eastAsia="宋体" w:cs="宋体"/>
          <w:color w:val="auto"/>
          <w:spacing w:val="-12"/>
          <w:sz w:val="24"/>
          <w:szCs w:val="24"/>
          <w:highlight w:val="none"/>
        </w:rPr>
        <w:t>广东省·韶</w:t>
      </w:r>
      <w:r>
        <w:rPr>
          <w:rFonts w:hint="eastAsia" w:ascii="宋体" w:hAnsi="宋体" w:eastAsia="宋体" w:cs="宋体"/>
          <w:color w:val="auto"/>
          <w:spacing w:val="-1"/>
          <w:sz w:val="24"/>
          <w:szCs w:val="24"/>
          <w:highlight w:val="none"/>
        </w:rPr>
        <w:t>关市）提交已加密投标文件。逾期提交的电子投标文</w:t>
      </w:r>
      <w:r>
        <w:rPr>
          <w:rFonts w:hint="eastAsia" w:ascii="宋体" w:hAnsi="宋体" w:eastAsia="宋体" w:cs="宋体"/>
          <w:color w:val="auto"/>
          <w:spacing w:val="-2"/>
          <w:sz w:val="24"/>
          <w:szCs w:val="24"/>
          <w:highlight w:val="none"/>
        </w:rPr>
        <w:t>件，全国公共资源交易平台（广</w:t>
      </w:r>
      <w:r>
        <w:rPr>
          <w:rFonts w:hint="eastAsia" w:ascii="宋体" w:hAnsi="宋体" w:eastAsia="宋体" w:cs="宋体"/>
          <w:color w:val="auto"/>
          <w:spacing w:val="-9"/>
          <w:sz w:val="24"/>
          <w:szCs w:val="24"/>
          <w:highlight w:val="none"/>
        </w:rPr>
        <w:t>东省·韶关市）将予以拒收。</w:t>
      </w:r>
    </w:p>
    <w:p w14:paraId="791519DD">
      <w:pPr>
        <w:keepNext w:val="0"/>
        <w:keepLines w:val="0"/>
        <w:pageBreakBefore w:val="0"/>
        <w:widowControl w:val="0"/>
        <w:kinsoku w:val="0"/>
        <w:wordWrap/>
        <w:overflowPunct/>
        <w:topLinePunct w:val="0"/>
        <w:autoSpaceDE w:val="0"/>
        <w:autoSpaceDN w:val="0"/>
        <w:bidi w:val="0"/>
        <w:adjustRightInd w:val="0"/>
        <w:snapToGrid w:val="0"/>
        <w:spacing w:before="115" w:line="430" w:lineRule="exact"/>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13.2  </w:t>
      </w:r>
      <w:r>
        <w:rPr>
          <w:rFonts w:hint="eastAsia" w:ascii="宋体" w:hAnsi="宋体" w:eastAsia="宋体" w:cs="宋体"/>
          <w:color w:val="auto"/>
          <w:spacing w:val="2"/>
          <w:sz w:val="24"/>
          <w:szCs w:val="24"/>
          <w:highlight w:val="none"/>
        </w:rPr>
        <w:t>提交时间和地点：见本章第二节“重要事项时间地点一览表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p>
    <w:p w14:paraId="00F46B69">
      <w:pPr>
        <w:keepNext w:val="0"/>
        <w:keepLines w:val="0"/>
        <w:pageBreakBefore w:val="0"/>
        <w:widowControl w:val="0"/>
        <w:kinsoku w:val="0"/>
        <w:wordWrap/>
        <w:overflowPunct/>
        <w:topLinePunct w:val="0"/>
        <w:autoSpaceDE w:val="0"/>
        <w:autoSpaceDN w:val="0"/>
        <w:bidi w:val="0"/>
        <w:adjustRightInd w:val="0"/>
        <w:snapToGrid w:val="0"/>
        <w:spacing w:before="113" w:line="430" w:lineRule="exact"/>
        <w:ind w:left="9" w:right="24" w:firstLine="48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13.3  </w:t>
      </w:r>
      <w:r>
        <w:rPr>
          <w:rFonts w:hint="eastAsia" w:ascii="宋体" w:hAnsi="宋体" w:eastAsia="宋体" w:cs="宋体"/>
          <w:color w:val="auto"/>
          <w:spacing w:val="-1"/>
          <w:sz w:val="24"/>
          <w:szCs w:val="24"/>
          <w:highlight w:val="none"/>
        </w:rPr>
        <w:t>递交时间和地点：投标人如有招标</w:t>
      </w:r>
      <w:r>
        <w:rPr>
          <w:rFonts w:hint="eastAsia" w:ascii="宋体" w:hAnsi="宋体" w:eastAsia="宋体" w:cs="宋体"/>
          <w:color w:val="auto"/>
          <w:spacing w:val="-2"/>
          <w:sz w:val="24"/>
          <w:szCs w:val="24"/>
          <w:highlight w:val="none"/>
        </w:rPr>
        <w:t>文件要求提交的用于评审的证书、证件、证明原件（附一式两份清单</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由投标人法定代表人或其委托代理人在指定的时间和</w:t>
      </w:r>
      <w:r>
        <w:rPr>
          <w:rFonts w:hint="eastAsia" w:ascii="宋体" w:hAnsi="宋体" w:eastAsia="宋体" w:cs="宋体"/>
          <w:color w:val="auto"/>
          <w:spacing w:val="-1"/>
          <w:sz w:val="24"/>
          <w:szCs w:val="24"/>
          <w:highlight w:val="none"/>
        </w:rPr>
        <w:t>地点递交（见</w:t>
      </w:r>
      <w:r>
        <w:rPr>
          <w:rFonts w:hint="eastAsia" w:ascii="宋体" w:hAnsi="宋体" w:eastAsia="宋体" w:cs="宋体"/>
          <w:color w:val="auto"/>
          <w:spacing w:val="2"/>
          <w:sz w:val="24"/>
          <w:szCs w:val="24"/>
          <w:highlight w:val="none"/>
        </w:rPr>
        <w:t>本章第二节</w:t>
      </w:r>
      <w:r>
        <w:rPr>
          <w:rFonts w:hint="eastAsia" w:ascii="宋体" w:hAnsi="宋体" w:eastAsia="宋体" w:cs="宋体"/>
          <w:color w:val="auto"/>
          <w:spacing w:val="-1"/>
          <w:sz w:val="24"/>
          <w:szCs w:val="24"/>
          <w:highlight w:val="none"/>
        </w:rPr>
        <w:t>“重要事项时间地点一览表</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w:t>
      </w:r>
    </w:p>
    <w:p w14:paraId="3B1A7342">
      <w:pPr>
        <w:keepNext w:val="0"/>
        <w:keepLines w:val="0"/>
        <w:pageBreakBefore w:val="0"/>
        <w:widowControl w:val="0"/>
        <w:kinsoku w:val="0"/>
        <w:wordWrap/>
        <w:overflowPunct/>
        <w:topLinePunct w:val="0"/>
        <w:autoSpaceDE w:val="0"/>
        <w:autoSpaceDN w:val="0"/>
        <w:bidi w:val="0"/>
        <w:adjustRightInd w:val="0"/>
        <w:snapToGrid w:val="0"/>
        <w:spacing w:before="112" w:line="430" w:lineRule="exact"/>
        <w:ind w:firstLine="478"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13.4  </w:t>
      </w:r>
      <w:r>
        <w:rPr>
          <w:rFonts w:hint="eastAsia" w:ascii="宋体" w:hAnsi="宋体" w:eastAsia="宋体" w:cs="宋体"/>
          <w:color w:val="auto"/>
          <w:spacing w:val="-1"/>
          <w:sz w:val="24"/>
          <w:szCs w:val="24"/>
          <w:highlight w:val="none"/>
        </w:rPr>
        <w:t>代理机构对因不可抗力事件造成的投</w:t>
      </w:r>
      <w:r>
        <w:rPr>
          <w:rFonts w:hint="eastAsia" w:ascii="宋体" w:hAnsi="宋体" w:eastAsia="宋体" w:cs="宋体"/>
          <w:color w:val="auto"/>
          <w:spacing w:val="-2"/>
          <w:sz w:val="24"/>
          <w:szCs w:val="24"/>
          <w:highlight w:val="none"/>
        </w:rPr>
        <w:t>标文件的损坏、丢失的，不承担责任。</w:t>
      </w:r>
    </w:p>
    <w:p w14:paraId="266987DF">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
          <w:bCs/>
          <w:color w:val="auto"/>
          <w:spacing w:val="-1"/>
          <w:sz w:val="24"/>
          <w:szCs w:val="24"/>
          <w:highlight w:val="none"/>
        </w:rPr>
        <w:t>13.5</w:t>
      </w:r>
      <w:r>
        <w:rPr>
          <w:rFonts w:hint="eastAsia" w:ascii="宋体" w:hAnsi="宋体" w:eastAsia="宋体" w:cs="宋体"/>
          <w:b/>
          <w:bCs/>
          <w:color w:val="auto"/>
          <w:spacing w:val="15"/>
          <w:sz w:val="24"/>
          <w:szCs w:val="24"/>
          <w:highlight w:val="none"/>
        </w:rPr>
        <w:t xml:space="preserve">  </w:t>
      </w:r>
      <w:r>
        <w:rPr>
          <w:rFonts w:hint="eastAsia" w:ascii="宋体" w:hAnsi="宋体" w:eastAsia="宋体" w:cs="宋体"/>
          <w:bCs/>
          <w:snapToGrid w:val="0"/>
          <w:color w:val="auto"/>
          <w:kern w:val="0"/>
          <w:sz w:val="24"/>
          <w:szCs w:val="24"/>
          <w:highlight w:val="none"/>
        </w:rPr>
        <w:t>出现下述情形之一，属于未成功提交投标文件，按无效投标处理：</w:t>
      </w:r>
    </w:p>
    <w:p w14:paraId="38BA0B64">
      <w:pPr>
        <w:keepNext w:val="0"/>
        <w:keepLines w:val="0"/>
        <w:pageBreakBefore w:val="0"/>
        <w:kinsoku/>
        <w:wordWrap w:val="0"/>
        <w:overflowPunct/>
        <w:topLinePunct w:val="0"/>
        <w:autoSpaceDE/>
        <w:autoSpaceDN/>
        <w:bidi w:val="0"/>
        <w:adjustRightInd w:val="0"/>
        <w:snapToGrid w:val="0"/>
        <w:spacing w:line="430" w:lineRule="exact"/>
        <w:ind w:firstLine="787" w:firstLineChars="328"/>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（1）至提交投标文件截止时，投标文件未完整上传及提交标书；</w:t>
      </w:r>
    </w:p>
    <w:p w14:paraId="09C2C31C">
      <w:pPr>
        <w:keepNext w:val="0"/>
        <w:keepLines w:val="0"/>
        <w:pageBreakBefore w:val="0"/>
        <w:kinsoku/>
        <w:wordWrap w:val="0"/>
        <w:overflowPunct/>
        <w:topLinePunct w:val="0"/>
        <w:autoSpaceDE/>
        <w:autoSpaceDN/>
        <w:bidi w:val="0"/>
        <w:adjustRightInd w:val="0"/>
        <w:snapToGrid w:val="0"/>
        <w:spacing w:line="430" w:lineRule="exact"/>
        <w:ind w:firstLine="787" w:firstLineChars="328"/>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（2）解密失败且在规定时间内未重新提交投标文件的；</w:t>
      </w:r>
    </w:p>
    <w:p w14:paraId="52E4EEF6">
      <w:pPr>
        <w:keepNext w:val="0"/>
        <w:keepLines w:val="0"/>
        <w:pageBreakBefore w:val="0"/>
        <w:kinsoku/>
        <w:wordWrap w:val="0"/>
        <w:overflowPunct/>
        <w:topLinePunct w:val="0"/>
        <w:autoSpaceDE/>
        <w:autoSpaceDN/>
        <w:bidi w:val="0"/>
        <w:adjustRightInd w:val="0"/>
        <w:snapToGrid w:val="0"/>
        <w:spacing w:line="430" w:lineRule="exact"/>
        <w:ind w:firstLine="787" w:firstLineChars="328"/>
        <w:rPr>
          <w:rFonts w:hint="eastAsia" w:ascii="宋体" w:hAnsi="宋体" w:eastAsia="宋体" w:cs="宋体"/>
          <w:bCs/>
          <w:snapToGrid w:val="0"/>
          <w:color w:val="auto"/>
          <w:kern w:val="0"/>
          <w:sz w:val="24"/>
          <w:szCs w:val="24"/>
          <w:highlight w:val="none"/>
          <w:lang w:eastAsia="zh-CN"/>
        </w:rPr>
      </w:pPr>
      <w:r>
        <w:rPr>
          <w:rFonts w:hint="eastAsia" w:ascii="宋体" w:hAnsi="宋体" w:eastAsia="宋体" w:cs="宋体"/>
          <w:bCs/>
          <w:snapToGrid w:val="0"/>
          <w:color w:val="auto"/>
          <w:kern w:val="0"/>
          <w:sz w:val="24"/>
          <w:szCs w:val="24"/>
          <w:highlight w:val="none"/>
        </w:rPr>
        <w:t>（3）投标文件损坏或格式不正确的</w:t>
      </w:r>
      <w:r>
        <w:rPr>
          <w:rFonts w:hint="eastAsia" w:ascii="宋体" w:hAnsi="宋体" w:eastAsia="宋体" w:cs="宋体"/>
          <w:bCs/>
          <w:snapToGrid w:val="0"/>
          <w:color w:val="auto"/>
          <w:kern w:val="0"/>
          <w:sz w:val="24"/>
          <w:szCs w:val="24"/>
          <w:highlight w:val="none"/>
          <w:lang w:eastAsia="zh-CN"/>
        </w:rPr>
        <w:t>。</w:t>
      </w:r>
    </w:p>
    <w:p w14:paraId="575B358A">
      <w:pPr>
        <w:keepNext w:val="0"/>
        <w:keepLines w:val="0"/>
        <w:pageBreakBefore w:val="0"/>
        <w:widowControl w:val="0"/>
        <w:kinsoku w:val="0"/>
        <w:wordWrap/>
        <w:overflowPunct/>
        <w:topLinePunct w:val="0"/>
        <w:autoSpaceDE w:val="0"/>
        <w:autoSpaceDN w:val="0"/>
        <w:bidi w:val="0"/>
        <w:adjustRightInd w:val="0"/>
        <w:snapToGrid w:val="0"/>
        <w:spacing w:before="113" w:line="430" w:lineRule="exact"/>
        <w:ind w:left="9" w:right="24" w:firstLine="486"/>
        <w:textAlignment w:val="baseline"/>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13.</w:t>
      </w:r>
      <w:r>
        <w:rPr>
          <w:rFonts w:hint="eastAsia" w:ascii="宋体" w:hAnsi="宋体" w:eastAsia="宋体" w:cs="宋体"/>
          <w:b/>
          <w:bCs/>
          <w:color w:val="auto"/>
          <w:spacing w:val="-2"/>
          <w:sz w:val="24"/>
          <w:szCs w:val="24"/>
          <w:highlight w:val="none"/>
          <w:lang w:val="en-US" w:eastAsia="zh-CN"/>
        </w:rPr>
        <w:t>6</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招标人或其授权的招标代理机构核对、接收投标人递交的投标相关资料后，</w:t>
      </w:r>
      <w:r>
        <w:rPr>
          <w:rFonts w:hint="eastAsia" w:ascii="宋体" w:hAnsi="宋体" w:eastAsia="宋体" w:cs="宋体"/>
          <w:color w:val="auto"/>
          <w:spacing w:val="-1"/>
          <w:sz w:val="24"/>
          <w:szCs w:val="24"/>
          <w:highlight w:val="none"/>
        </w:rPr>
        <w:t>应向投标人出具标明签收</w:t>
      </w:r>
      <w:r>
        <w:rPr>
          <w:rFonts w:hint="eastAsia" w:ascii="宋体" w:hAnsi="宋体" w:eastAsia="宋体" w:cs="宋体"/>
          <w:color w:val="auto"/>
          <w:spacing w:val="-2"/>
          <w:sz w:val="24"/>
          <w:szCs w:val="24"/>
          <w:highlight w:val="none"/>
        </w:rPr>
        <w:t>人和签收时间的凭证，并妥善保管。</w:t>
      </w:r>
    </w:p>
    <w:p w14:paraId="4B6C9E3F">
      <w:pPr>
        <w:keepNext w:val="0"/>
        <w:keepLines w:val="0"/>
        <w:pageBreakBefore w:val="0"/>
        <w:widowControl w:val="0"/>
        <w:kinsoku w:val="0"/>
        <w:wordWrap/>
        <w:overflowPunct/>
        <w:topLinePunct w:val="0"/>
        <w:autoSpaceDE w:val="0"/>
        <w:autoSpaceDN w:val="0"/>
        <w:bidi w:val="0"/>
        <w:adjustRightInd w:val="0"/>
        <w:snapToGrid w:val="0"/>
        <w:spacing w:before="113" w:line="430" w:lineRule="exact"/>
        <w:ind w:left="9" w:right="24" w:firstLine="48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13.</w:t>
      </w:r>
      <w:r>
        <w:rPr>
          <w:rFonts w:hint="eastAsia" w:ascii="宋体" w:hAnsi="宋体" w:eastAsia="宋体" w:cs="宋体"/>
          <w:b/>
          <w:bCs/>
          <w:color w:val="auto"/>
          <w:spacing w:val="-2"/>
          <w:sz w:val="24"/>
          <w:szCs w:val="24"/>
          <w:highlight w:val="none"/>
          <w:lang w:val="en-US" w:eastAsia="zh-CN"/>
        </w:rPr>
        <w:t>7</w:t>
      </w:r>
      <w:r>
        <w:rPr>
          <w:rFonts w:hint="eastAsia" w:ascii="宋体" w:hAnsi="宋体" w:eastAsia="宋体" w:cs="宋体"/>
          <w:color w:val="auto"/>
          <w:spacing w:val="-2"/>
          <w:sz w:val="24"/>
          <w:szCs w:val="24"/>
          <w:highlight w:val="none"/>
        </w:rPr>
        <w:t xml:space="preserve"> 本次招标投标有效期为</w:t>
      </w:r>
      <w:r>
        <w:rPr>
          <w:rFonts w:hint="eastAsia" w:ascii="宋体" w:hAnsi="宋体" w:eastAsia="宋体" w:cs="宋体"/>
          <w:b/>
          <w:bCs/>
          <w:color w:val="auto"/>
          <w:spacing w:val="-2"/>
          <w:sz w:val="24"/>
          <w:szCs w:val="24"/>
          <w:highlight w:val="none"/>
          <w:u w:val="single"/>
          <w:lang w:val="en-US" w:eastAsia="zh-CN"/>
        </w:rPr>
        <w:t xml:space="preserve"> </w:t>
      </w:r>
      <w:r>
        <w:rPr>
          <w:rFonts w:hint="eastAsia" w:ascii="宋体" w:hAnsi="宋体" w:eastAsia="宋体" w:cs="宋体"/>
          <w:b/>
          <w:bCs/>
          <w:color w:val="auto"/>
          <w:spacing w:val="-2"/>
          <w:sz w:val="24"/>
          <w:szCs w:val="24"/>
          <w:highlight w:val="none"/>
          <w:u w:val="single"/>
          <w:lang w:eastAsia="zh-CN"/>
        </w:rPr>
        <w:t>90</w:t>
      </w:r>
      <w:r>
        <w:rPr>
          <w:rFonts w:hint="eastAsia" w:ascii="宋体" w:hAnsi="宋体" w:eastAsia="宋体" w:cs="宋体"/>
          <w:b/>
          <w:bCs/>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个日历天，投标有效期从提交投标文件的截止之日起计算。在此期间，投标人不得撤销或修改其</w:t>
      </w:r>
      <w:r>
        <w:rPr>
          <w:rFonts w:hint="eastAsia" w:ascii="宋体" w:hAnsi="宋体" w:eastAsia="宋体" w:cs="宋体"/>
          <w:color w:val="auto"/>
          <w:spacing w:val="-7"/>
          <w:sz w:val="24"/>
          <w:szCs w:val="24"/>
          <w:highlight w:val="none"/>
        </w:rPr>
        <w:t>投标文件，否则其投标保证不予退还。</w:t>
      </w:r>
    </w:p>
    <w:p w14:paraId="18F919AD">
      <w:pPr>
        <w:keepNext w:val="0"/>
        <w:keepLines w:val="0"/>
        <w:pageBreakBefore w:val="0"/>
        <w:overflowPunct/>
        <w:topLinePunct w:val="0"/>
        <w:bidi w:val="0"/>
        <w:spacing w:before="145" w:line="430" w:lineRule="exact"/>
        <w:ind w:left="496"/>
        <w:outlineLvl w:val="2"/>
        <w:rPr>
          <w:rFonts w:hint="eastAsia" w:ascii="宋体" w:hAnsi="宋体" w:eastAsia="宋体" w:cs="宋体"/>
          <w:color w:val="auto"/>
          <w:sz w:val="24"/>
          <w:szCs w:val="24"/>
          <w:highlight w:val="none"/>
        </w:rPr>
      </w:pPr>
      <w:bookmarkStart w:id="67" w:name="_Toc7252"/>
      <w:bookmarkStart w:id="68" w:name="_Toc22896"/>
      <w:r>
        <w:rPr>
          <w:rFonts w:hint="eastAsia" w:ascii="宋体" w:hAnsi="宋体" w:eastAsia="宋体" w:cs="宋体"/>
          <w:b/>
          <w:bCs/>
          <w:color w:val="auto"/>
          <w:spacing w:val="-11"/>
          <w:sz w:val="24"/>
          <w:szCs w:val="24"/>
          <w:highlight w:val="none"/>
        </w:rPr>
        <w:t>14</w:t>
      </w:r>
      <w:r>
        <w:rPr>
          <w:rFonts w:hint="eastAsia" w:ascii="宋体" w:hAnsi="宋体" w:eastAsia="宋体" w:cs="宋体"/>
          <w:b/>
          <w:bCs/>
          <w:color w:val="auto"/>
          <w:spacing w:val="-28"/>
          <w:sz w:val="24"/>
          <w:szCs w:val="24"/>
          <w:highlight w:val="none"/>
          <w:lang w:eastAsia="zh-CN"/>
        </w:rPr>
        <w:t>.</w:t>
      </w:r>
      <w:r>
        <w:rPr>
          <w:rFonts w:hint="eastAsia" w:ascii="宋体" w:hAnsi="宋体" w:eastAsia="宋体" w:cs="宋体"/>
          <w:b/>
          <w:bCs/>
          <w:color w:val="auto"/>
          <w:spacing w:val="-11"/>
          <w:sz w:val="24"/>
          <w:szCs w:val="24"/>
          <w:highlight w:val="none"/>
        </w:rPr>
        <w:t>开标</w:t>
      </w:r>
      <w:bookmarkEnd w:id="67"/>
      <w:bookmarkEnd w:id="68"/>
    </w:p>
    <w:p w14:paraId="76799F13">
      <w:pPr>
        <w:keepNext w:val="0"/>
        <w:keepLines w:val="0"/>
        <w:pageBreakBefore w:val="0"/>
        <w:widowControl w:val="0"/>
        <w:kinsoku w:val="0"/>
        <w:overflowPunct/>
        <w:topLinePunct w:val="0"/>
        <w:autoSpaceDE w:val="0"/>
        <w:autoSpaceDN w:val="0"/>
        <w:bidi w:val="0"/>
        <w:adjustRightInd w:val="0"/>
        <w:snapToGrid w:val="0"/>
        <w:spacing w:before="155" w:line="430" w:lineRule="exact"/>
        <w:ind w:left="10" w:right="81" w:firstLine="485"/>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14.1 </w:t>
      </w:r>
      <w:r>
        <w:rPr>
          <w:rFonts w:hint="eastAsia" w:ascii="宋体" w:hAnsi="宋体" w:eastAsia="宋体" w:cs="宋体"/>
          <w:b w:val="0"/>
          <w:bCs w:val="0"/>
          <w:color w:val="auto"/>
          <w:spacing w:val="-3"/>
          <w:sz w:val="24"/>
          <w:szCs w:val="24"/>
          <w:highlight w:val="none"/>
        </w:rPr>
        <w:t>招标人邀请所有正确获取招标文件、缴纳投标保证、电子投标的投标人参加开标，投标人可自主决定是否参加。投标人无须进行现场签到，可登录交易平台观看开标实况、提出异议或进行澄清、确认等操作，具体按招标文件和系统操作手册为准。</w:t>
      </w:r>
      <w:r>
        <w:rPr>
          <w:rFonts w:hint="eastAsia" w:ascii="宋体" w:hAnsi="宋体" w:eastAsia="宋体" w:cs="宋体"/>
          <w:b w:val="0"/>
          <w:bCs w:val="0"/>
          <w:color w:val="auto"/>
          <w:spacing w:val="-3"/>
          <w:sz w:val="24"/>
          <w:szCs w:val="24"/>
          <w:highlight w:val="none"/>
          <w:lang w:val="en-US" w:eastAsia="zh-CN"/>
        </w:rPr>
        <w:t>投标人不参加开标的，视其默认开标结果，以及放弃在开标期间见证、监督、投诉、申辩的权利。</w:t>
      </w:r>
    </w:p>
    <w:p w14:paraId="5DA9C20B">
      <w:pPr>
        <w:keepNext w:val="0"/>
        <w:keepLines w:val="0"/>
        <w:pageBreakBefore w:val="0"/>
        <w:widowControl w:val="0"/>
        <w:kinsoku w:val="0"/>
        <w:overflowPunct/>
        <w:topLinePunct w:val="0"/>
        <w:autoSpaceDE w:val="0"/>
        <w:autoSpaceDN w:val="0"/>
        <w:bidi w:val="0"/>
        <w:adjustRightInd w:val="0"/>
        <w:snapToGrid w:val="0"/>
        <w:spacing w:before="156" w:line="430" w:lineRule="exact"/>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14.1.1  </w:t>
      </w:r>
      <w:r>
        <w:rPr>
          <w:rFonts w:hint="eastAsia" w:ascii="宋体" w:hAnsi="宋体" w:eastAsia="宋体" w:cs="宋体"/>
          <w:color w:val="auto"/>
          <w:sz w:val="24"/>
          <w:szCs w:val="24"/>
          <w:highlight w:val="none"/>
        </w:rPr>
        <w:t>开标时间和地点：见本章第</w:t>
      </w:r>
      <w:r>
        <w:rPr>
          <w:rFonts w:hint="eastAsia" w:ascii="宋体" w:hAnsi="宋体" w:eastAsia="宋体" w:cs="宋体"/>
          <w:color w:val="auto"/>
          <w:spacing w:val="-1"/>
          <w:sz w:val="24"/>
          <w:szCs w:val="24"/>
          <w:highlight w:val="none"/>
        </w:rPr>
        <w:t>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p>
    <w:p w14:paraId="701C4337">
      <w:pPr>
        <w:keepNext w:val="0"/>
        <w:keepLines w:val="0"/>
        <w:pageBreakBefore w:val="0"/>
        <w:widowControl w:val="0"/>
        <w:kinsoku w:val="0"/>
        <w:wordWrap w:val="0"/>
        <w:overflowPunct/>
        <w:topLinePunct w:val="0"/>
        <w:autoSpaceDE w:val="0"/>
        <w:autoSpaceDN w:val="0"/>
        <w:bidi w:val="0"/>
        <w:adjustRightInd w:val="0"/>
        <w:snapToGrid w:val="0"/>
        <w:spacing w:before="153" w:line="430" w:lineRule="exact"/>
        <w:ind w:left="11"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 xml:space="preserve">14.1.2 </w:t>
      </w:r>
      <w:r>
        <w:rPr>
          <w:rFonts w:hint="eastAsia" w:ascii="宋体" w:hAnsi="宋体" w:eastAsia="宋体" w:cs="宋体"/>
          <w:color w:val="auto"/>
          <w:spacing w:val="-7"/>
          <w:sz w:val="24"/>
          <w:szCs w:val="24"/>
          <w:highlight w:val="none"/>
        </w:rPr>
        <w:t>开标前</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7"/>
          <w:sz w:val="24"/>
          <w:szCs w:val="24"/>
          <w:highlight w:val="none"/>
        </w:rPr>
        <w:t>小时，若建设工程交易系统显示缴</w:t>
      </w:r>
      <w:r>
        <w:rPr>
          <w:rFonts w:hint="eastAsia" w:ascii="宋体" w:hAnsi="宋体" w:eastAsia="宋体" w:cs="宋体"/>
          <w:color w:val="auto"/>
          <w:spacing w:val="-8"/>
          <w:sz w:val="24"/>
          <w:szCs w:val="24"/>
          <w:highlight w:val="none"/>
        </w:rPr>
        <w:t>纳投标保证（包括投标保证金、</w:t>
      </w:r>
      <w:r>
        <w:rPr>
          <w:rFonts w:hint="eastAsia" w:ascii="宋体" w:hAnsi="宋体" w:eastAsia="宋体" w:cs="宋体"/>
          <w:color w:val="auto"/>
          <w:spacing w:val="-2"/>
          <w:sz w:val="24"/>
          <w:szCs w:val="24"/>
          <w:highlight w:val="none"/>
        </w:rPr>
        <w:t>投标保证担保、投标保证保险）的投标人数量不足</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个时，招标人将取消原定于次日</w:t>
      </w:r>
      <w:r>
        <w:rPr>
          <w:rFonts w:hint="eastAsia" w:ascii="宋体" w:hAnsi="宋体" w:eastAsia="宋体" w:cs="宋体"/>
          <w:color w:val="auto"/>
          <w:spacing w:val="-1"/>
          <w:sz w:val="24"/>
          <w:szCs w:val="24"/>
          <w:highlight w:val="none"/>
        </w:rPr>
        <w:t>召开的开标活动。投标人可在投标保证缴纳截止时间（见本章</w:t>
      </w:r>
      <w:r>
        <w:rPr>
          <w:rFonts w:hint="eastAsia" w:ascii="宋体" w:hAnsi="宋体" w:eastAsia="宋体" w:cs="宋体"/>
          <w:color w:val="auto"/>
          <w:spacing w:val="-2"/>
          <w:sz w:val="24"/>
          <w:szCs w:val="24"/>
          <w:highlight w:val="none"/>
        </w:rPr>
        <w:t>第二节“重要事项时间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”）至电子投标截止时间（见本章第二节“重要事项时间地点一览</w:t>
      </w:r>
      <w:r>
        <w:rPr>
          <w:rFonts w:hint="eastAsia" w:ascii="宋体" w:hAnsi="宋体" w:eastAsia="宋体" w:cs="宋体"/>
          <w:color w:val="auto"/>
          <w:spacing w:val="-2"/>
          <w:sz w:val="24"/>
          <w:szCs w:val="24"/>
          <w:highlight w:val="none"/>
        </w:rPr>
        <w:t>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”）期间登录全国公共资源交易平台（广东省·韶关市</w:t>
      </w:r>
      <w:r>
        <w:rPr>
          <w:rFonts w:hint="eastAsia" w:ascii="宋体" w:hAnsi="宋体" w:eastAsia="宋体" w:cs="宋体"/>
          <w:color w:val="auto"/>
          <w:spacing w:val="-22"/>
          <w:sz w:val="24"/>
          <w:szCs w:val="24"/>
          <w:highlight w:val="none"/>
        </w:rPr>
        <w:t>）（</w:t>
      </w:r>
      <w:r>
        <w:rPr>
          <w:rFonts w:hint="eastAsia" w:ascii="宋体" w:hAnsi="宋体" w:eastAsia="宋体" w:cs="宋体"/>
          <w:color w:val="auto"/>
          <w:spacing w:val="-2"/>
          <w:sz w:val="24"/>
          <w:szCs w:val="24"/>
          <w:highlight w:val="none"/>
        </w:rPr>
        <w:t>https://ygp.gdzwfw.gov.cn/</w:t>
      </w:r>
      <w:r>
        <w:rPr>
          <w:rFonts w:hint="eastAsia" w:ascii="宋体" w:hAnsi="宋体" w:eastAsia="宋体" w:cs="宋体"/>
          <w:color w:val="auto"/>
          <w:sz w:val="24"/>
          <w:szCs w:val="24"/>
          <w:highlight w:val="none"/>
        </w:rPr>
        <w:t>ggzy-portal/#/440200/index）查询是否发布了取</w:t>
      </w:r>
      <w:r>
        <w:rPr>
          <w:rFonts w:hint="eastAsia" w:ascii="宋体" w:hAnsi="宋体" w:eastAsia="宋体" w:cs="宋体"/>
          <w:color w:val="auto"/>
          <w:spacing w:val="-1"/>
          <w:sz w:val="24"/>
          <w:szCs w:val="24"/>
          <w:highlight w:val="none"/>
        </w:rPr>
        <w:t>消开标活动的相关信息。</w:t>
      </w:r>
    </w:p>
    <w:p w14:paraId="7BAD1AAE">
      <w:pPr>
        <w:keepNext w:val="0"/>
        <w:keepLines w:val="0"/>
        <w:pageBreakBefore w:val="0"/>
        <w:widowControl w:val="0"/>
        <w:kinsoku w:val="0"/>
        <w:overflowPunct/>
        <w:topLinePunct w:val="0"/>
        <w:autoSpaceDE w:val="0"/>
        <w:autoSpaceDN w:val="0"/>
        <w:bidi w:val="0"/>
        <w:adjustRightInd w:val="0"/>
        <w:snapToGrid w:val="0"/>
        <w:spacing w:before="159" w:line="430" w:lineRule="exact"/>
        <w:ind w:left="10" w:right="80" w:firstLine="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14.1.3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本项目实行全流程电子化招标投标，投标人在交易平台按要求上传加盖电</w:t>
      </w:r>
      <w:r>
        <w:rPr>
          <w:rFonts w:hint="eastAsia" w:ascii="宋体" w:hAnsi="宋体" w:eastAsia="宋体" w:cs="宋体"/>
          <w:color w:val="auto"/>
          <w:spacing w:val="-1"/>
          <w:sz w:val="24"/>
          <w:szCs w:val="24"/>
          <w:highlight w:val="none"/>
        </w:rPr>
        <w:t>子印章并经加密的电子投标文件，并在交易平台录入准确的</w:t>
      </w:r>
      <w:r>
        <w:rPr>
          <w:rFonts w:hint="eastAsia" w:ascii="宋体" w:hAnsi="宋体" w:eastAsia="宋体" w:cs="宋体"/>
          <w:color w:val="auto"/>
          <w:spacing w:val="-2"/>
          <w:sz w:val="24"/>
          <w:szCs w:val="24"/>
          <w:highlight w:val="none"/>
        </w:rPr>
        <w:t>页码信息即可完成在线投</w:t>
      </w:r>
      <w:r>
        <w:rPr>
          <w:rFonts w:hint="eastAsia" w:ascii="宋体" w:hAnsi="宋体" w:eastAsia="宋体" w:cs="宋体"/>
          <w:color w:val="auto"/>
          <w:spacing w:val="-1"/>
          <w:sz w:val="24"/>
          <w:szCs w:val="24"/>
          <w:highlight w:val="none"/>
        </w:rPr>
        <w:t>标</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由于投标人原因导致未按投标截至时限上传完整投标文</w:t>
      </w:r>
      <w:r>
        <w:rPr>
          <w:rFonts w:hint="eastAsia" w:ascii="宋体" w:hAnsi="宋体" w:eastAsia="宋体" w:cs="宋体"/>
          <w:color w:val="auto"/>
          <w:spacing w:val="-2"/>
          <w:sz w:val="24"/>
          <w:szCs w:val="24"/>
          <w:highlight w:val="none"/>
        </w:rPr>
        <w:t>件、在交易平台中上传的</w:t>
      </w:r>
      <w:r>
        <w:rPr>
          <w:rFonts w:hint="eastAsia" w:ascii="宋体" w:hAnsi="宋体" w:eastAsia="宋体" w:cs="宋体"/>
          <w:color w:val="auto"/>
          <w:spacing w:val="-1"/>
          <w:sz w:val="24"/>
          <w:szCs w:val="24"/>
          <w:highlight w:val="none"/>
        </w:rPr>
        <w:t>投标文件无法解密、投标文件损坏或格式不正确、投标文件</w:t>
      </w:r>
      <w:r>
        <w:rPr>
          <w:rFonts w:hint="eastAsia" w:ascii="宋体" w:hAnsi="宋体" w:eastAsia="宋体" w:cs="宋体"/>
          <w:color w:val="auto"/>
          <w:spacing w:val="-2"/>
          <w:sz w:val="24"/>
          <w:szCs w:val="24"/>
          <w:highlight w:val="none"/>
        </w:rPr>
        <w:t>未按招标文件要求加盖电</w:t>
      </w:r>
      <w:r>
        <w:rPr>
          <w:rFonts w:hint="eastAsia" w:ascii="宋体" w:hAnsi="宋体" w:eastAsia="宋体" w:cs="宋体"/>
          <w:color w:val="auto"/>
          <w:spacing w:val="-1"/>
          <w:sz w:val="24"/>
          <w:szCs w:val="24"/>
          <w:highlight w:val="none"/>
        </w:rPr>
        <w:t>子印章或电子印章不完整、电子投标文件解密失败且未按要</w:t>
      </w:r>
      <w:r>
        <w:rPr>
          <w:rFonts w:hint="eastAsia" w:ascii="宋体" w:hAnsi="宋体" w:eastAsia="宋体" w:cs="宋体"/>
          <w:color w:val="auto"/>
          <w:spacing w:val="-2"/>
          <w:sz w:val="24"/>
          <w:szCs w:val="24"/>
          <w:highlight w:val="none"/>
        </w:rPr>
        <w:t>求上传备用投标文件等情</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形导致投标无效的，由投标人自行负责。</w:t>
      </w:r>
    </w:p>
    <w:p w14:paraId="06CDE08C">
      <w:pPr>
        <w:keepNext w:val="0"/>
        <w:keepLines w:val="0"/>
        <w:pageBreakBefore w:val="0"/>
        <w:widowControl w:val="0"/>
        <w:kinsoku w:val="0"/>
        <w:overflowPunct/>
        <w:topLinePunct w:val="0"/>
        <w:autoSpaceDE w:val="0"/>
        <w:autoSpaceDN w:val="0"/>
        <w:bidi w:val="0"/>
        <w:adjustRightInd w:val="0"/>
        <w:snapToGrid w:val="0"/>
        <w:spacing w:before="152" w:line="430" w:lineRule="exact"/>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14.2  </w:t>
      </w:r>
      <w:r>
        <w:rPr>
          <w:rFonts w:hint="eastAsia" w:ascii="宋体" w:hAnsi="宋体" w:eastAsia="宋体" w:cs="宋体"/>
          <w:color w:val="auto"/>
          <w:spacing w:val="-2"/>
          <w:sz w:val="24"/>
          <w:szCs w:val="24"/>
          <w:highlight w:val="none"/>
        </w:rPr>
        <w:t>开标程序</w:t>
      </w:r>
    </w:p>
    <w:p w14:paraId="099B3283">
      <w:pPr>
        <w:keepNext w:val="0"/>
        <w:keepLines w:val="0"/>
        <w:pageBreakBefore w:val="0"/>
        <w:widowControl w:val="0"/>
        <w:kinsoku w:val="0"/>
        <w:overflowPunct/>
        <w:topLinePunct w:val="0"/>
        <w:autoSpaceDE w:val="0"/>
        <w:autoSpaceDN w:val="0"/>
        <w:bidi w:val="0"/>
        <w:adjustRightInd w:val="0"/>
        <w:snapToGrid w:val="0"/>
        <w:spacing w:line="430" w:lineRule="exact"/>
        <w:ind w:firstLine="480" w:firstLineChars="200"/>
        <w:textAlignment w:val="baseline"/>
        <w:rPr>
          <w:rFonts w:hint="eastAsia" w:ascii="宋体" w:hAnsi="宋体" w:eastAsia="宋体" w:cs="宋体"/>
          <w:color w:val="auto"/>
          <w:sz w:val="24"/>
          <w:szCs w:val="24"/>
          <w:highlight w:val="none"/>
        </w:rPr>
      </w:pPr>
      <w:bookmarkStart w:id="69" w:name="_Toc10685"/>
      <w:bookmarkStart w:id="70" w:name="_Toc15587"/>
      <w:bookmarkStart w:id="71" w:name="_Toc10291"/>
      <w:bookmarkStart w:id="72" w:name="_Toc7725"/>
      <w:r>
        <w:rPr>
          <w:rFonts w:hint="eastAsia" w:ascii="宋体" w:hAnsi="宋体" w:eastAsia="宋体" w:cs="宋体"/>
          <w:color w:val="auto"/>
          <w:sz w:val="24"/>
          <w:szCs w:val="24"/>
          <w:highlight w:val="none"/>
        </w:rPr>
        <w:t>（1）主持人（招标人代表或招标人授权的招标代理机构人员）宣读开标纪律。</w:t>
      </w:r>
      <w:bookmarkEnd w:id="69"/>
      <w:bookmarkEnd w:id="70"/>
      <w:bookmarkEnd w:id="71"/>
      <w:bookmarkEnd w:id="72"/>
    </w:p>
    <w:p w14:paraId="452C65D3">
      <w:pPr>
        <w:keepNext w:val="0"/>
        <w:keepLines w:val="0"/>
        <w:pageBreakBefore w:val="0"/>
        <w:widowControl w:val="0"/>
        <w:kinsoku w:val="0"/>
        <w:overflowPunct/>
        <w:topLinePunct w:val="0"/>
        <w:autoSpaceDE w:val="0"/>
        <w:autoSpaceDN w:val="0"/>
        <w:bidi w:val="0"/>
        <w:adjustRightInd w:val="0"/>
        <w:snapToGrid w:val="0"/>
        <w:spacing w:line="430" w:lineRule="exact"/>
        <w:ind w:firstLine="480" w:firstLineChars="200"/>
        <w:textAlignment w:val="baseline"/>
        <w:rPr>
          <w:rFonts w:hint="eastAsia" w:ascii="宋体" w:hAnsi="宋体" w:eastAsia="宋体" w:cs="宋体"/>
          <w:color w:val="auto"/>
          <w:sz w:val="24"/>
          <w:szCs w:val="24"/>
          <w:highlight w:val="none"/>
        </w:rPr>
      </w:pPr>
      <w:bookmarkStart w:id="73" w:name="_Toc16292"/>
      <w:bookmarkStart w:id="74" w:name="_Toc20238"/>
      <w:bookmarkStart w:id="75" w:name="_Toc16768"/>
      <w:bookmarkStart w:id="76" w:name="_Toc2011"/>
      <w:r>
        <w:rPr>
          <w:rFonts w:hint="eastAsia" w:ascii="宋体" w:hAnsi="宋体" w:eastAsia="宋体" w:cs="宋体"/>
          <w:color w:val="auto"/>
          <w:sz w:val="24"/>
          <w:szCs w:val="24"/>
          <w:highlight w:val="none"/>
        </w:rPr>
        <w:t>（2）主持人宣布唱标人、记录人、见证人、监督人等有关人员姓名。</w:t>
      </w:r>
      <w:bookmarkEnd w:id="73"/>
      <w:bookmarkEnd w:id="74"/>
      <w:bookmarkEnd w:id="75"/>
      <w:bookmarkEnd w:id="76"/>
    </w:p>
    <w:p w14:paraId="3C8FD55A">
      <w:pPr>
        <w:keepNext w:val="0"/>
        <w:keepLines w:val="0"/>
        <w:pageBreakBefore w:val="0"/>
        <w:widowControl w:val="0"/>
        <w:kinsoku w:val="0"/>
        <w:overflowPunct/>
        <w:topLinePunct w:val="0"/>
        <w:autoSpaceDE w:val="0"/>
        <w:autoSpaceDN w:val="0"/>
        <w:bidi w:val="0"/>
        <w:adjustRightInd w:val="0"/>
        <w:snapToGrid w:val="0"/>
        <w:spacing w:line="430" w:lineRule="exact"/>
        <w:ind w:firstLine="480" w:firstLineChars="200"/>
        <w:textAlignment w:val="baseline"/>
        <w:rPr>
          <w:rFonts w:hint="eastAsia" w:ascii="宋体" w:hAnsi="宋体" w:eastAsia="宋体" w:cs="宋体"/>
          <w:color w:val="auto"/>
          <w:sz w:val="24"/>
          <w:szCs w:val="24"/>
          <w:highlight w:val="none"/>
        </w:rPr>
      </w:pPr>
      <w:bookmarkStart w:id="77" w:name="_Toc17462"/>
      <w:bookmarkStart w:id="78" w:name="_Toc1974"/>
      <w:bookmarkStart w:id="79" w:name="_Toc31716"/>
      <w:bookmarkStart w:id="80" w:name="_Toc7714"/>
      <w:r>
        <w:rPr>
          <w:rFonts w:hint="eastAsia" w:ascii="宋体" w:hAnsi="宋体" w:eastAsia="宋体" w:cs="宋体"/>
          <w:color w:val="auto"/>
          <w:sz w:val="24"/>
          <w:szCs w:val="24"/>
          <w:highlight w:val="none"/>
        </w:rPr>
        <w:t>（3）</w:t>
      </w:r>
      <w:bookmarkEnd w:id="77"/>
      <w:bookmarkEnd w:id="78"/>
      <w:bookmarkEnd w:id="79"/>
      <w:bookmarkEnd w:id="80"/>
      <w:bookmarkStart w:id="81" w:name="_Toc32728"/>
      <w:bookmarkStart w:id="82" w:name="_Toc15860"/>
      <w:bookmarkStart w:id="83" w:name="_Toc27967"/>
      <w:bookmarkStart w:id="84" w:name="_Toc20559"/>
      <w:r>
        <w:rPr>
          <w:rFonts w:hint="eastAsia" w:ascii="宋体" w:hAnsi="宋体" w:eastAsia="宋体" w:cs="宋体"/>
          <w:color w:val="auto"/>
          <w:sz w:val="24"/>
          <w:szCs w:val="24"/>
          <w:highlight w:val="none"/>
          <w:lang w:val="en-US" w:eastAsia="zh-CN"/>
        </w:rPr>
        <w:t>唱标人公布在投标截止时间前进行投标文件的投标人数量和名称。</w:t>
      </w:r>
    </w:p>
    <w:p w14:paraId="27F9FEEC">
      <w:pPr>
        <w:keepNext w:val="0"/>
        <w:keepLines w:val="0"/>
        <w:pageBreakBefore w:val="0"/>
        <w:widowControl w:val="0"/>
        <w:kinsoku w:val="0"/>
        <w:overflowPunct/>
        <w:topLinePunct w:val="0"/>
        <w:autoSpaceDE w:val="0"/>
        <w:autoSpaceDN w:val="0"/>
        <w:bidi w:val="0"/>
        <w:adjustRightInd w:val="0"/>
        <w:snapToGrid w:val="0"/>
        <w:spacing w:line="43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到达投标截止时间后，主持人点击“开始开标”按钮，系统自动对投标企业进行在线签到。招标代理机构应将有关情形在《开标一览表》“备注”栏中注明。</w:t>
      </w:r>
    </w:p>
    <w:p w14:paraId="360A2709">
      <w:pPr>
        <w:keepNext w:val="0"/>
        <w:keepLines w:val="0"/>
        <w:pageBreakBefore w:val="0"/>
        <w:widowControl w:val="0"/>
        <w:kinsoku w:val="0"/>
        <w:overflowPunct/>
        <w:topLinePunct w:val="0"/>
        <w:autoSpaceDE w:val="0"/>
        <w:autoSpaceDN w:val="0"/>
        <w:bidi w:val="0"/>
        <w:adjustRightInd w:val="0"/>
        <w:snapToGrid w:val="0"/>
        <w:spacing w:line="43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（4）招标代理机构会同交易场所工作人员对投标人的电子投标信息进行解密，</w:t>
      </w:r>
      <w:bookmarkEnd w:id="81"/>
      <w:bookmarkEnd w:id="82"/>
      <w:bookmarkEnd w:id="83"/>
      <w:bookmarkEnd w:id="84"/>
      <w:r>
        <w:rPr>
          <w:rFonts w:hint="eastAsia" w:ascii="宋体" w:hAnsi="宋体" w:eastAsia="宋体" w:cs="宋体"/>
          <w:color w:val="auto"/>
          <w:sz w:val="24"/>
          <w:szCs w:val="24"/>
          <w:highlight w:val="none"/>
        </w:rPr>
        <w:t>建设工程交易系统自动生成《投标保证缴纳情况表》和《开标一览表》。</w:t>
      </w:r>
    </w:p>
    <w:p w14:paraId="0CA124E5">
      <w:pPr>
        <w:keepNext w:val="0"/>
        <w:keepLines w:val="0"/>
        <w:pageBreakBefore w:val="0"/>
        <w:widowControl w:val="0"/>
        <w:kinsoku w:val="0"/>
        <w:overflowPunct/>
        <w:topLinePunct w:val="0"/>
        <w:autoSpaceDE w:val="0"/>
        <w:autoSpaceDN w:val="0"/>
        <w:bidi w:val="0"/>
        <w:adjustRightInd w:val="0"/>
        <w:snapToGrid w:val="0"/>
        <w:spacing w:line="430" w:lineRule="exact"/>
        <w:ind w:firstLine="482" w:firstLineChars="200"/>
        <w:textAlignment w:val="baseline"/>
        <w:rPr>
          <w:rFonts w:hint="eastAsia" w:ascii="宋体" w:hAnsi="宋体" w:eastAsia="宋体" w:cs="宋体"/>
          <w:b/>
          <w:bCs/>
          <w:color w:val="auto"/>
          <w:sz w:val="24"/>
          <w:szCs w:val="24"/>
          <w:highlight w:val="none"/>
        </w:rPr>
      </w:pPr>
      <w:bookmarkStart w:id="85" w:name="_Toc28266"/>
      <w:bookmarkStart w:id="86" w:name="_Toc2199"/>
      <w:bookmarkStart w:id="87" w:name="_Toc28812"/>
      <w:bookmarkStart w:id="88" w:name="_Toc20884"/>
      <w:r>
        <w:rPr>
          <w:rFonts w:hint="eastAsia" w:ascii="宋体" w:hAnsi="宋体" w:eastAsia="宋体" w:cs="宋体"/>
          <w:b/>
          <w:bCs/>
          <w:color w:val="auto"/>
          <w:sz w:val="24"/>
          <w:szCs w:val="24"/>
          <w:highlight w:val="none"/>
        </w:rPr>
        <w:t>温馨提示：因本项目实行全流程电子化招标投标，投标人无须进行现场签到，可</w:t>
      </w:r>
      <w:bookmarkEnd w:id="85"/>
      <w:bookmarkEnd w:id="86"/>
      <w:bookmarkEnd w:id="87"/>
      <w:r>
        <w:rPr>
          <w:rFonts w:hint="eastAsia" w:ascii="宋体" w:hAnsi="宋体" w:eastAsia="宋体" w:cs="宋体"/>
          <w:b/>
          <w:bCs/>
          <w:color w:val="auto"/>
          <w:sz w:val="24"/>
          <w:szCs w:val="24"/>
          <w:highlight w:val="none"/>
        </w:rPr>
        <w:t>登录交易平台观看开标实况、提出异议或进行澄清、确认等操作，对开标事项的异议未在开标期间提出的，招标</w:t>
      </w:r>
      <w:r>
        <w:rPr>
          <w:rFonts w:hint="eastAsia" w:ascii="宋体" w:hAnsi="宋体" w:eastAsia="宋体" w:cs="宋体"/>
          <w:b/>
          <w:bCs/>
          <w:color w:val="auto"/>
          <w:sz w:val="24"/>
          <w:szCs w:val="24"/>
          <w:highlight w:val="none"/>
          <w:lang w:eastAsia="zh-CN"/>
        </w:rPr>
        <w:t>人不</w:t>
      </w:r>
      <w:r>
        <w:rPr>
          <w:rFonts w:hint="eastAsia" w:ascii="宋体" w:hAnsi="宋体" w:eastAsia="宋体" w:cs="宋体"/>
          <w:b/>
          <w:bCs/>
          <w:color w:val="auto"/>
          <w:sz w:val="24"/>
          <w:szCs w:val="24"/>
          <w:highlight w:val="none"/>
        </w:rPr>
        <w:t>予受理。具体按招标文件和系统操作手册为准。</w:t>
      </w:r>
      <w:bookmarkEnd w:id="88"/>
    </w:p>
    <w:p w14:paraId="3E4664CB">
      <w:pPr>
        <w:keepNext w:val="0"/>
        <w:keepLines w:val="0"/>
        <w:pageBreakBefore w:val="0"/>
        <w:kinsoku/>
        <w:wordWrap w:val="0"/>
        <w:overflowPunct/>
        <w:topLinePunct w:val="0"/>
        <w:bidi w:val="0"/>
        <w:adjustRightInd w:val="0"/>
        <w:snapToGrid/>
        <w:spacing w:line="440" w:lineRule="atLeast"/>
        <w:ind w:firstLine="480"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（5）招标人代表、唱标人、记录人等有关人员在《投标保证缴纳情况表》以及《开标一览表》上签字确认。</w:t>
      </w:r>
    </w:p>
    <w:p w14:paraId="53422A3A">
      <w:pPr>
        <w:keepNext w:val="0"/>
        <w:keepLines w:val="0"/>
        <w:pageBreakBefore w:val="0"/>
        <w:kinsoku/>
        <w:wordWrap w:val="0"/>
        <w:overflowPunct/>
        <w:topLinePunct w:val="0"/>
        <w:bidi w:val="0"/>
        <w:adjustRightInd w:val="0"/>
        <w:snapToGrid/>
        <w:spacing w:line="440" w:lineRule="atLeast"/>
        <w:ind w:firstLine="480" w:firstLineChars="200"/>
        <w:rPr>
          <w:rFonts w:hint="eastAsia" w:ascii="宋体" w:hAnsi="宋体" w:eastAsia="宋体" w:cs="宋体"/>
          <w:b/>
          <w:bCs/>
          <w:color w:val="auto"/>
          <w:spacing w:val="-3"/>
          <w:sz w:val="24"/>
          <w:szCs w:val="24"/>
          <w:highlight w:val="none"/>
        </w:rPr>
      </w:pPr>
      <w:r>
        <w:rPr>
          <w:rFonts w:hint="eastAsia" w:ascii="宋体" w:hAnsi="宋体" w:eastAsia="宋体" w:cs="宋体"/>
          <w:b w:val="0"/>
          <w:bCs w:val="0"/>
          <w:snapToGrid w:val="0"/>
          <w:color w:val="auto"/>
          <w:kern w:val="0"/>
          <w:sz w:val="24"/>
          <w:szCs w:val="24"/>
          <w:highlight w:val="none"/>
        </w:rPr>
        <w:t>（</w:t>
      </w:r>
      <w:r>
        <w:rPr>
          <w:rFonts w:hint="eastAsia" w:ascii="宋体" w:hAnsi="宋体" w:eastAsia="宋体" w:cs="宋体"/>
          <w:b w:val="0"/>
          <w:bCs w:val="0"/>
          <w:snapToGrid w:val="0"/>
          <w:color w:val="auto"/>
          <w:kern w:val="0"/>
          <w:sz w:val="24"/>
          <w:szCs w:val="24"/>
          <w:highlight w:val="none"/>
          <w:lang w:val="en-US" w:eastAsia="zh-CN"/>
        </w:rPr>
        <w:t>6</w:t>
      </w:r>
      <w:r>
        <w:rPr>
          <w:rFonts w:hint="eastAsia" w:ascii="宋体" w:hAnsi="宋体" w:eastAsia="宋体" w:cs="宋体"/>
          <w:b w:val="0"/>
          <w:bCs w:val="0"/>
          <w:snapToGrid w:val="0"/>
          <w:color w:val="auto"/>
          <w:kern w:val="0"/>
          <w:sz w:val="24"/>
          <w:szCs w:val="24"/>
          <w:highlight w:val="none"/>
        </w:rPr>
        <w:t>）主持人宣布有关注意事项后，宣布开标结束。</w:t>
      </w:r>
    </w:p>
    <w:p w14:paraId="515B311D">
      <w:pPr>
        <w:keepNext w:val="0"/>
        <w:keepLines w:val="0"/>
        <w:pageBreakBefore w:val="0"/>
        <w:overflowPunct/>
        <w:topLinePunct w:val="0"/>
        <w:bidi w:val="0"/>
        <w:spacing w:before="143" w:line="430" w:lineRule="exact"/>
        <w:ind w:left="11" w:right="8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14.3  </w:t>
      </w:r>
      <w:r>
        <w:rPr>
          <w:rFonts w:hint="eastAsia" w:ascii="宋体" w:hAnsi="宋体" w:eastAsia="宋体" w:cs="宋体"/>
          <w:color w:val="auto"/>
          <w:spacing w:val="-3"/>
          <w:sz w:val="24"/>
          <w:szCs w:val="24"/>
          <w:highlight w:val="none"/>
        </w:rPr>
        <w:t>投标人对开标相关事项（如开标程序等）有异议的，必须在开标期间和开标</w:t>
      </w:r>
      <w:r>
        <w:rPr>
          <w:rFonts w:hint="eastAsia" w:ascii="宋体" w:hAnsi="宋体" w:eastAsia="宋体" w:cs="宋体"/>
          <w:color w:val="auto"/>
          <w:spacing w:val="-1"/>
          <w:sz w:val="24"/>
          <w:szCs w:val="24"/>
          <w:highlight w:val="none"/>
        </w:rPr>
        <w:t>现场提出，招标人或其授权的招标代理机构应当场作出答</w:t>
      </w:r>
      <w:r>
        <w:rPr>
          <w:rFonts w:hint="eastAsia" w:ascii="宋体" w:hAnsi="宋体" w:eastAsia="宋体" w:cs="宋体"/>
          <w:color w:val="auto"/>
          <w:spacing w:val="-2"/>
          <w:sz w:val="24"/>
          <w:szCs w:val="24"/>
          <w:highlight w:val="none"/>
        </w:rPr>
        <w:t>复，并记录在案。对开标事</w:t>
      </w:r>
      <w:r>
        <w:rPr>
          <w:rFonts w:hint="eastAsia" w:ascii="宋体" w:hAnsi="宋体" w:eastAsia="宋体" w:cs="宋体"/>
          <w:color w:val="auto"/>
          <w:spacing w:val="-1"/>
          <w:sz w:val="24"/>
          <w:szCs w:val="24"/>
          <w:highlight w:val="none"/>
        </w:rPr>
        <w:t>项的异议未在开标期间和开标现场提出的，招标人不予受理。</w:t>
      </w:r>
    </w:p>
    <w:p w14:paraId="65B30393">
      <w:pPr>
        <w:keepNext w:val="0"/>
        <w:keepLines w:val="0"/>
        <w:pageBreakBefore w:val="0"/>
        <w:overflowPunct/>
        <w:topLinePunct w:val="0"/>
        <w:bidi w:val="0"/>
        <w:spacing w:before="155" w:line="430" w:lineRule="exact"/>
        <w:ind w:left="8" w:right="82" w:firstLine="48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14.4</w:t>
      </w:r>
      <w:r>
        <w:rPr>
          <w:rFonts w:hint="eastAsia" w:ascii="宋体" w:hAnsi="宋体" w:eastAsia="宋体" w:cs="宋体"/>
          <w:b/>
          <w:bCs/>
          <w:color w:val="auto"/>
          <w:spacing w:val="-1"/>
          <w:sz w:val="24"/>
          <w:szCs w:val="24"/>
          <w:highlight w:val="none"/>
          <w:lang w:val="en-US" w:eastAsia="zh-CN"/>
        </w:rPr>
        <w:t xml:space="preserve"> </w:t>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招标代理机构将资料原件（如有）</w:t>
      </w:r>
      <w:r>
        <w:rPr>
          <w:rFonts w:hint="eastAsia" w:ascii="宋体" w:hAnsi="宋体" w:eastAsia="宋体" w:cs="宋体"/>
          <w:color w:val="auto"/>
          <w:spacing w:val="-2"/>
          <w:sz w:val="24"/>
          <w:szCs w:val="24"/>
          <w:highlight w:val="none"/>
        </w:rPr>
        <w:t>、《开标一览表》以及其他有关资料移交评标委员会。</w:t>
      </w:r>
    </w:p>
    <w:p w14:paraId="568735B8">
      <w:pPr>
        <w:keepNext w:val="0"/>
        <w:keepLines w:val="0"/>
        <w:pageBreakBefore w:val="0"/>
        <w:overflowPunct/>
        <w:topLinePunct w:val="0"/>
        <w:bidi w:val="0"/>
        <w:spacing w:before="78" w:line="430" w:lineRule="exact"/>
        <w:ind w:left="496"/>
        <w:outlineLvl w:val="2"/>
        <w:rPr>
          <w:rFonts w:hint="eastAsia" w:ascii="宋体" w:hAnsi="宋体" w:eastAsia="宋体" w:cs="宋体"/>
          <w:color w:val="auto"/>
          <w:highlight w:val="none"/>
        </w:rPr>
      </w:pPr>
      <w:bookmarkStart w:id="89" w:name="_Toc16366"/>
      <w:bookmarkStart w:id="90" w:name="_Toc31540"/>
      <w:r>
        <w:rPr>
          <w:rFonts w:hint="eastAsia" w:ascii="宋体" w:hAnsi="宋体" w:eastAsia="宋体" w:cs="宋体"/>
          <w:b/>
          <w:bCs/>
          <w:color w:val="auto"/>
          <w:spacing w:val="-11"/>
          <w:sz w:val="24"/>
          <w:szCs w:val="24"/>
          <w:highlight w:val="none"/>
        </w:rPr>
        <w:t>15</w:t>
      </w:r>
      <w:r>
        <w:rPr>
          <w:rFonts w:hint="eastAsia" w:ascii="宋体" w:hAnsi="宋体" w:eastAsia="宋体" w:cs="宋体"/>
          <w:b/>
          <w:bCs/>
          <w:color w:val="auto"/>
          <w:spacing w:val="-11"/>
          <w:sz w:val="24"/>
          <w:szCs w:val="24"/>
          <w:highlight w:val="none"/>
          <w:lang w:val="en-US" w:eastAsia="zh-CN"/>
        </w:rPr>
        <w:t>.</w:t>
      </w:r>
      <w:r>
        <w:rPr>
          <w:rFonts w:hint="eastAsia" w:ascii="宋体" w:hAnsi="宋体" w:eastAsia="宋体" w:cs="宋体"/>
          <w:b/>
          <w:bCs/>
          <w:color w:val="auto"/>
          <w:spacing w:val="-11"/>
          <w:sz w:val="24"/>
          <w:szCs w:val="24"/>
          <w:highlight w:val="none"/>
        </w:rPr>
        <w:t>评标</w:t>
      </w:r>
      <w:bookmarkEnd w:id="89"/>
      <w:bookmarkEnd w:id="90"/>
    </w:p>
    <w:p w14:paraId="2341FE8F">
      <w:pPr>
        <w:keepNext w:val="0"/>
        <w:keepLines w:val="0"/>
        <w:pageBreakBefore w:val="0"/>
        <w:overflowPunct/>
        <w:topLinePunct w:val="0"/>
        <w:bidi w:val="0"/>
        <w:spacing w:before="78" w:line="430" w:lineRule="exact"/>
        <w:ind w:left="8" w:right="65" w:firstLine="480"/>
        <w:rPr>
          <w:rFonts w:hint="eastAsia" w:ascii="宋体" w:hAnsi="宋体" w:eastAsia="宋体" w:cs="宋体"/>
          <w:color w:val="auto"/>
          <w:sz w:val="24"/>
          <w:szCs w:val="24"/>
          <w:highlight w:val="none"/>
        </w:rPr>
      </w:pPr>
      <w:bookmarkStart w:id="91" w:name="bookmark124"/>
      <w:bookmarkEnd w:id="91"/>
      <w:r>
        <w:rPr>
          <w:rFonts w:hint="eastAsia" w:ascii="宋体" w:hAnsi="宋体" w:eastAsia="宋体" w:cs="宋体"/>
          <w:color w:val="auto"/>
          <w:spacing w:val="-1"/>
          <w:sz w:val="24"/>
          <w:szCs w:val="24"/>
          <w:highlight w:val="none"/>
        </w:rPr>
        <w:t>评标分为初步评审和详细评审两个阶段，由评标委员会</w:t>
      </w:r>
      <w:r>
        <w:rPr>
          <w:rFonts w:hint="eastAsia" w:ascii="宋体" w:hAnsi="宋体" w:eastAsia="宋体" w:cs="宋体"/>
          <w:color w:val="auto"/>
          <w:spacing w:val="-2"/>
          <w:sz w:val="24"/>
          <w:szCs w:val="24"/>
          <w:highlight w:val="none"/>
        </w:rPr>
        <w:t>在有关部门的监督下，严</w:t>
      </w:r>
      <w:r>
        <w:rPr>
          <w:rFonts w:hint="eastAsia" w:ascii="宋体" w:hAnsi="宋体" w:eastAsia="宋体" w:cs="宋体"/>
          <w:color w:val="auto"/>
          <w:spacing w:val="-1"/>
          <w:sz w:val="24"/>
          <w:szCs w:val="24"/>
          <w:highlight w:val="none"/>
        </w:rPr>
        <w:t>格按照本招标文件指定的评标方法，对投标人的投标文件进行审</w:t>
      </w:r>
      <w:r>
        <w:rPr>
          <w:rFonts w:hint="eastAsia" w:ascii="宋体" w:hAnsi="宋体" w:eastAsia="宋体" w:cs="宋体"/>
          <w:color w:val="auto"/>
          <w:spacing w:val="-2"/>
          <w:sz w:val="24"/>
          <w:szCs w:val="24"/>
          <w:highlight w:val="none"/>
        </w:rPr>
        <w:t>查、评审。评标委员</w:t>
      </w:r>
      <w:r>
        <w:rPr>
          <w:rFonts w:hint="eastAsia" w:ascii="宋体" w:hAnsi="宋体" w:eastAsia="宋体" w:cs="宋体"/>
          <w:color w:val="auto"/>
          <w:spacing w:val="2"/>
          <w:sz w:val="24"/>
          <w:szCs w:val="24"/>
          <w:highlight w:val="none"/>
        </w:rPr>
        <w:t>会完成评标后，向招标人推荐</w:t>
      </w:r>
      <w:r>
        <w:rPr>
          <w:rFonts w:hint="eastAsia" w:ascii="宋体" w:hAnsi="宋体" w:eastAsia="宋体" w:cs="宋体"/>
          <w:color w:val="auto"/>
          <w:spacing w:val="2"/>
          <w:sz w:val="24"/>
          <w:szCs w:val="24"/>
          <w:highlight w:val="none"/>
          <w:u w:val="single"/>
        </w:rPr>
        <w:t xml:space="preserve"> 3 </w:t>
      </w:r>
      <w:r>
        <w:rPr>
          <w:rFonts w:hint="eastAsia" w:ascii="宋体" w:hAnsi="宋体" w:eastAsia="宋体" w:cs="宋体"/>
          <w:color w:val="auto"/>
          <w:spacing w:val="2"/>
          <w:sz w:val="24"/>
          <w:szCs w:val="24"/>
          <w:highlight w:val="none"/>
        </w:rPr>
        <w:t>个中标候选人，并向招标人提交由全</w:t>
      </w:r>
      <w:r>
        <w:rPr>
          <w:rFonts w:hint="eastAsia" w:ascii="宋体" w:hAnsi="宋体" w:eastAsia="宋体" w:cs="宋体"/>
          <w:color w:val="auto"/>
          <w:spacing w:val="1"/>
          <w:sz w:val="24"/>
          <w:szCs w:val="24"/>
          <w:highlight w:val="none"/>
        </w:rPr>
        <w:t>体评标委员会</w:t>
      </w:r>
      <w:r>
        <w:rPr>
          <w:rFonts w:hint="eastAsia" w:ascii="宋体" w:hAnsi="宋体" w:eastAsia="宋体" w:cs="宋体"/>
          <w:color w:val="auto"/>
          <w:spacing w:val="-1"/>
          <w:sz w:val="24"/>
          <w:szCs w:val="24"/>
          <w:highlight w:val="none"/>
        </w:rPr>
        <w:t>成员签字的评标报告。</w:t>
      </w:r>
    </w:p>
    <w:p w14:paraId="5B48C017">
      <w:pPr>
        <w:keepNext w:val="0"/>
        <w:keepLines w:val="0"/>
        <w:pageBreakBefore w:val="0"/>
        <w:overflowPunct/>
        <w:topLinePunct w:val="0"/>
        <w:bidi w:val="0"/>
        <w:spacing w:before="38" w:line="430" w:lineRule="exact"/>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  </w:t>
      </w:r>
      <w:r>
        <w:rPr>
          <w:rFonts w:hint="eastAsia" w:ascii="宋体" w:hAnsi="宋体" w:eastAsia="宋体" w:cs="宋体"/>
          <w:color w:val="auto"/>
          <w:spacing w:val="-2"/>
          <w:sz w:val="24"/>
          <w:szCs w:val="24"/>
          <w:highlight w:val="none"/>
        </w:rPr>
        <w:t>评标委员会</w:t>
      </w:r>
    </w:p>
    <w:p w14:paraId="69A91284">
      <w:pPr>
        <w:keepNext w:val="0"/>
        <w:keepLines w:val="0"/>
        <w:pageBreakBefore w:val="0"/>
        <w:overflowPunct/>
        <w:topLinePunct w:val="0"/>
        <w:bidi w:val="0"/>
        <w:spacing w:before="155" w:line="430" w:lineRule="exact"/>
        <w:ind w:left="10" w:right="65"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15.1.1 </w:t>
      </w:r>
      <w:r>
        <w:rPr>
          <w:rFonts w:hint="eastAsia" w:ascii="宋体" w:hAnsi="宋体" w:eastAsia="宋体" w:cs="宋体"/>
          <w:b/>
          <w:bCs/>
          <w:color w:val="auto"/>
          <w:spacing w:val="-1"/>
          <w:sz w:val="24"/>
          <w:szCs w:val="24"/>
          <w:highlight w:val="none"/>
          <w:lang w:val="en-US" w:eastAsia="zh-CN"/>
        </w:rPr>
        <w:t xml:space="preserve"> </w:t>
      </w:r>
      <w:r>
        <w:rPr>
          <w:rFonts w:hint="eastAsia" w:ascii="宋体" w:hAnsi="宋体" w:eastAsia="宋体" w:cs="宋体"/>
          <w:color w:val="auto"/>
          <w:sz w:val="24"/>
          <w:szCs w:val="24"/>
          <w:highlight w:val="none"/>
        </w:rPr>
        <w:t>评标委员会由</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5</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人组成，其中招标人代表</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0</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5</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人。专家从</w:t>
      </w:r>
      <w:r>
        <w:rPr>
          <w:rFonts w:hint="eastAsia" w:ascii="宋体" w:hAnsi="宋体" w:eastAsia="宋体" w:cs="宋体"/>
          <w:color w:val="auto"/>
          <w:sz w:val="24"/>
          <w:szCs w:val="24"/>
          <w:highlight w:val="none"/>
          <w:u w:val="single"/>
        </w:rPr>
        <w:t>广东省综合评标评审专家库-韶关区域</w:t>
      </w:r>
      <w:r>
        <w:rPr>
          <w:rFonts w:hint="eastAsia" w:ascii="宋体" w:hAnsi="宋体" w:eastAsia="宋体" w:cs="宋体"/>
          <w:color w:val="auto"/>
          <w:sz w:val="24"/>
          <w:szCs w:val="24"/>
          <w:highlight w:val="none"/>
        </w:rPr>
        <w:t>中随机抽取，其中技术类专家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人，经济类专家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2</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人。</w:t>
      </w:r>
      <w:r>
        <w:rPr>
          <w:rFonts w:hint="eastAsia" w:ascii="宋体" w:hAnsi="宋体" w:eastAsia="宋体" w:cs="宋体"/>
          <w:color w:val="auto"/>
          <w:spacing w:val="-1"/>
          <w:sz w:val="24"/>
          <w:szCs w:val="24"/>
          <w:highlight w:val="none"/>
        </w:rPr>
        <w:t>评标委员会设负责人，由评标委员会成员推举产生</w:t>
      </w:r>
      <w:r>
        <w:rPr>
          <w:rFonts w:hint="eastAsia" w:ascii="宋体" w:hAnsi="宋体" w:eastAsia="宋体" w:cs="宋体"/>
          <w:color w:val="auto"/>
          <w:spacing w:val="-2"/>
          <w:sz w:val="24"/>
          <w:szCs w:val="24"/>
          <w:highlight w:val="none"/>
        </w:rPr>
        <w:t>。评标委员会负责人与评</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标委员会的其他成员有同等的表决权。</w:t>
      </w:r>
    </w:p>
    <w:p w14:paraId="5B4E5906">
      <w:pPr>
        <w:keepNext w:val="0"/>
        <w:keepLines w:val="0"/>
        <w:pageBreakBefore w:val="0"/>
        <w:overflowPunct/>
        <w:topLinePunct w:val="0"/>
        <w:bidi w:val="0"/>
        <w:spacing w:before="32" w:line="430" w:lineRule="exact"/>
        <w:ind w:left="13" w:right="7" w:firstLine="561"/>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15.1.2  </w:t>
      </w:r>
      <w:r>
        <w:rPr>
          <w:rFonts w:hint="eastAsia" w:ascii="宋体" w:hAnsi="宋体" w:eastAsia="宋体" w:cs="宋体"/>
          <w:color w:val="auto"/>
          <w:spacing w:val="-2"/>
          <w:sz w:val="24"/>
          <w:szCs w:val="24"/>
          <w:highlight w:val="none"/>
        </w:rPr>
        <w:t>评标委员会应认真、公正、诚实、廉洁地履行职责。有下列情形之一的，不得担任评标委员会成员：</w:t>
      </w:r>
    </w:p>
    <w:p w14:paraId="52ABB12D">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（1）投标人或投标人主要负责人的近亲属；</w:t>
      </w:r>
    </w:p>
    <w:p w14:paraId="10B2CE92">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（2）项目主管部门或者行政监督部门的人员；</w:t>
      </w:r>
    </w:p>
    <w:p w14:paraId="6DAE351B">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（3）与投标人有经济利益关系，可能影响对投标公正评审的；</w:t>
      </w:r>
    </w:p>
    <w:p w14:paraId="62576641">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（4）曾因在招标、评标以及其他与招标投标有关活动中从事违法行为而受过行政处罚或刑事处罚的。</w:t>
      </w:r>
    </w:p>
    <w:p w14:paraId="3FFABD93">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评标委员会成员有以上情形之一的，应主动提出回避。</w:t>
      </w:r>
    </w:p>
    <w:p w14:paraId="57D3DE20">
      <w:pPr>
        <w:keepNext w:val="0"/>
        <w:keepLines w:val="0"/>
        <w:pageBreakBefore w:val="0"/>
        <w:overflowPunct/>
        <w:topLinePunct w:val="0"/>
        <w:bidi w:val="0"/>
        <w:spacing w:before="154" w:line="430" w:lineRule="exact"/>
        <w:ind w:left="8" w:right="65"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15.1.3  </w:t>
      </w:r>
      <w:r>
        <w:rPr>
          <w:rFonts w:hint="eastAsia" w:ascii="宋体" w:hAnsi="宋体" w:eastAsia="宋体" w:cs="宋体"/>
          <w:color w:val="auto"/>
          <w:spacing w:val="-1"/>
          <w:sz w:val="24"/>
          <w:szCs w:val="24"/>
          <w:highlight w:val="none"/>
        </w:rPr>
        <w:t>评标全过程实行封闭式管理，在中标结果公</w:t>
      </w:r>
      <w:r>
        <w:rPr>
          <w:rFonts w:hint="eastAsia" w:ascii="宋体" w:hAnsi="宋体" w:eastAsia="宋体" w:cs="宋体"/>
          <w:color w:val="auto"/>
          <w:spacing w:val="-2"/>
          <w:sz w:val="24"/>
          <w:szCs w:val="24"/>
          <w:highlight w:val="none"/>
        </w:rPr>
        <w:t>布前，禁止评标委员会成员以</w:t>
      </w:r>
      <w:r>
        <w:rPr>
          <w:rFonts w:hint="eastAsia" w:ascii="宋体" w:hAnsi="宋体" w:eastAsia="宋体" w:cs="宋体"/>
          <w:color w:val="auto"/>
          <w:spacing w:val="-1"/>
          <w:sz w:val="24"/>
          <w:szCs w:val="24"/>
          <w:highlight w:val="none"/>
        </w:rPr>
        <w:t>任何方式私下接触投标人。</w:t>
      </w:r>
    </w:p>
    <w:p w14:paraId="182F2CEF">
      <w:pPr>
        <w:keepNext w:val="0"/>
        <w:keepLines w:val="0"/>
        <w:pageBreakBefore w:val="0"/>
        <w:overflowPunct/>
        <w:topLinePunct w:val="0"/>
        <w:bidi w:val="0"/>
        <w:spacing w:before="157" w:line="430" w:lineRule="exact"/>
        <w:ind w:left="11" w:right="65"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15.1.4  </w:t>
      </w:r>
      <w:r>
        <w:rPr>
          <w:rFonts w:hint="eastAsia" w:ascii="宋体" w:hAnsi="宋体" w:eastAsia="宋体" w:cs="宋体"/>
          <w:color w:val="auto"/>
          <w:spacing w:val="-1"/>
          <w:sz w:val="24"/>
          <w:szCs w:val="24"/>
          <w:highlight w:val="none"/>
        </w:rPr>
        <w:t>在评标过程中，评标委员会可以书面形式要</w:t>
      </w:r>
      <w:r>
        <w:rPr>
          <w:rFonts w:hint="eastAsia" w:ascii="宋体" w:hAnsi="宋体" w:eastAsia="宋体" w:cs="宋体"/>
          <w:color w:val="auto"/>
          <w:spacing w:val="-2"/>
          <w:sz w:val="24"/>
          <w:szCs w:val="24"/>
          <w:highlight w:val="none"/>
        </w:rPr>
        <w:t>求投标人对所提交的投标文件</w:t>
      </w:r>
      <w:r>
        <w:rPr>
          <w:rFonts w:hint="eastAsia" w:ascii="宋体" w:hAnsi="宋体" w:eastAsia="宋体" w:cs="宋体"/>
          <w:color w:val="auto"/>
          <w:spacing w:val="-1"/>
          <w:sz w:val="24"/>
          <w:szCs w:val="24"/>
          <w:highlight w:val="none"/>
        </w:rPr>
        <w:t>中不明确的内容进行书面澄清或说明，但不接受投标人主</w:t>
      </w:r>
      <w:r>
        <w:rPr>
          <w:rFonts w:hint="eastAsia" w:ascii="宋体" w:hAnsi="宋体" w:eastAsia="宋体" w:cs="宋体"/>
          <w:color w:val="auto"/>
          <w:spacing w:val="-2"/>
          <w:sz w:val="24"/>
          <w:szCs w:val="24"/>
          <w:highlight w:val="none"/>
        </w:rPr>
        <w:t>动提出的澄清或说明。投标</w:t>
      </w:r>
      <w:r>
        <w:rPr>
          <w:rFonts w:hint="eastAsia" w:ascii="宋体" w:hAnsi="宋体" w:eastAsia="宋体" w:cs="宋体"/>
          <w:color w:val="auto"/>
          <w:spacing w:val="-1"/>
          <w:sz w:val="24"/>
          <w:szCs w:val="24"/>
          <w:highlight w:val="none"/>
        </w:rPr>
        <w:t>人的书面澄清或说明不得改变投标文件的实质性内容，并</w:t>
      </w:r>
      <w:r>
        <w:rPr>
          <w:rFonts w:hint="eastAsia" w:ascii="宋体" w:hAnsi="宋体" w:eastAsia="宋体" w:cs="宋体"/>
          <w:color w:val="auto"/>
          <w:spacing w:val="-2"/>
          <w:sz w:val="24"/>
          <w:szCs w:val="24"/>
          <w:highlight w:val="none"/>
        </w:rPr>
        <w:t>作为投标文件的组成部分。</w:t>
      </w:r>
    </w:p>
    <w:p w14:paraId="69EAF99F">
      <w:pPr>
        <w:keepNext w:val="0"/>
        <w:keepLines w:val="0"/>
        <w:pageBreakBefore w:val="0"/>
        <w:overflowPunct/>
        <w:topLinePunct w:val="0"/>
        <w:bidi w:val="0"/>
        <w:spacing w:before="156" w:line="430" w:lineRule="exact"/>
        <w:ind w:left="8" w:right="65" w:firstLine="569"/>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15.1.5  </w:t>
      </w:r>
      <w:r>
        <w:rPr>
          <w:rFonts w:hint="eastAsia" w:ascii="宋体" w:hAnsi="宋体" w:eastAsia="宋体" w:cs="宋体"/>
          <w:color w:val="auto"/>
          <w:spacing w:val="-3"/>
          <w:sz w:val="24"/>
          <w:szCs w:val="24"/>
          <w:highlight w:val="none"/>
        </w:rPr>
        <w:t>在任何评标环节中，当评标委员会就某</w:t>
      </w:r>
      <w:r>
        <w:rPr>
          <w:rFonts w:hint="eastAsia" w:ascii="宋体" w:hAnsi="宋体" w:eastAsia="宋体" w:cs="宋体"/>
          <w:color w:val="auto"/>
          <w:spacing w:val="-4"/>
          <w:sz w:val="24"/>
          <w:szCs w:val="24"/>
          <w:highlight w:val="none"/>
        </w:rPr>
        <w:t>项定性的评审结论不统一、需要做</w:t>
      </w:r>
      <w:r>
        <w:rPr>
          <w:rFonts w:hint="eastAsia" w:ascii="宋体" w:hAnsi="宋体" w:eastAsia="宋体" w:cs="宋体"/>
          <w:color w:val="auto"/>
          <w:spacing w:val="-1"/>
          <w:sz w:val="24"/>
          <w:szCs w:val="24"/>
          <w:highlight w:val="none"/>
        </w:rPr>
        <w:t>出表决时，由评标委员会全体成员按照少数服从多数的原则，以</w:t>
      </w:r>
      <w:r>
        <w:rPr>
          <w:rFonts w:hint="eastAsia" w:ascii="宋体" w:hAnsi="宋体" w:eastAsia="宋体" w:cs="宋体"/>
          <w:color w:val="auto"/>
          <w:spacing w:val="-2"/>
          <w:sz w:val="24"/>
          <w:szCs w:val="24"/>
          <w:highlight w:val="none"/>
        </w:rPr>
        <w:t>记名投票方式表决。</w:t>
      </w:r>
      <w:r>
        <w:rPr>
          <w:rFonts w:hint="eastAsia" w:ascii="宋体" w:hAnsi="宋体" w:eastAsia="宋体" w:cs="宋体"/>
          <w:color w:val="auto"/>
          <w:spacing w:val="-1"/>
          <w:sz w:val="24"/>
          <w:szCs w:val="24"/>
          <w:highlight w:val="none"/>
        </w:rPr>
        <w:t>评标委员会全体成员应共同遵守和执行表决结果，严禁评标委员</w:t>
      </w:r>
      <w:r>
        <w:rPr>
          <w:rFonts w:hint="eastAsia" w:ascii="宋体" w:hAnsi="宋体" w:eastAsia="宋体" w:cs="宋体"/>
          <w:color w:val="auto"/>
          <w:spacing w:val="-2"/>
          <w:sz w:val="24"/>
          <w:szCs w:val="24"/>
          <w:highlight w:val="none"/>
        </w:rPr>
        <w:t>会任何成员将个人意</w:t>
      </w:r>
      <w:r>
        <w:rPr>
          <w:rFonts w:hint="eastAsia" w:ascii="宋体" w:hAnsi="宋体" w:eastAsia="宋体" w:cs="宋体"/>
          <w:color w:val="auto"/>
          <w:spacing w:val="-1"/>
          <w:sz w:val="24"/>
          <w:szCs w:val="24"/>
          <w:highlight w:val="none"/>
        </w:rPr>
        <w:t>见强加给他人、影响评标正常秩序和妨碍评审结论的公正性。</w:t>
      </w:r>
    </w:p>
    <w:p w14:paraId="64CD48F5">
      <w:pPr>
        <w:keepNext w:val="0"/>
        <w:keepLines w:val="0"/>
        <w:pageBreakBefore w:val="0"/>
        <w:overflowPunct/>
        <w:topLinePunct w:val="0"/>
        <w:bidi w:val="0"/>
        <w:spacing w:before="79" w:line="430" w:lineRule="exact"/>
        <w:ind w:left="577"/>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15.2  </w:t>
      </w:r>
      <w:r>
        <w:rPr>
          <w:rFonts w:hint="eastAsia" w:ascii="宋体" w:hAnsi="宋体" w:eastAsia="宋体" w:cs="宋体"/>
          <w:color w:val="auto"/>
          <w:spacing w:val="-2"/>
          <w:sz w:val="24"/>
          <w:szCs w:val="24"/>
          <w:highlight w:val="none"/>
        </w:rPr>
        <w:t>评标方法</w:t>
      </w:r>
    </w:p>
    <w:p w14:paraId="46FFCD94">
      <w:pPr>
        <w:keepNext w:val="0"/>
        <w:keepLines w:val="0"/>
        <w:pageBreakBefore w:val="0"/>
        <w:overflowPunct/>
        <w:topLinePunct w:val="0"/>
        <w:bidi w:val="0"/>
        <w:spacing w:before="78" w:line="430" w:lineRule="exact"/>
        <w:ind w:left="231" w:right="181" w:firstLine="560"/>
        <w:rPr>
          <w:rFonts w:hint="eastAsia" w:ascii="宋体" w:hAnsi="宋体" w:eastAsia="宋体" w:cs="宋体"/>
          <w:color w:val="auto"/>
          <w:highlight w:val="none"/>
        </w:rPr>
      </w:pPr>
      <w:bookmarkStart w:id="92" w:name="bookmark125"/>
      <w:bookmarkEnd w:id="92"/>
      <w:r>
        <w:rPr>
          <w:rFonts w:hint="eastAsia" w:ascii="宋体" w:hAnsi="宋体" w:eastAsia="宋体" w:cs="宋体"/>
          <w:color w:val="auto"/>
          <w:spacing w:val="-4"/>
          <w:sz w:val="24"/>
          <w:szCs w:val="24"/>
          <w:highlight w:val="none"/>
        </w:rPr>
        <w:t>根据有关法律、法规的相关规定，结合本招标项目资金来源和规模特点，本次招</w:t>
      </w:r>
      <w:r>
        <w:rPr>
          <w:rFonts w:hint="eastAsia" w:ascii="宋体" w:hAnsi="宋体" w:eastAsia="宋体" w:cs="宋体"/>
          <w:color w:val="auto"/>
          <w:spacing w:val="-1"/>
          <w:sz w:val="24"/>
          <w:szCs w:val="24"/>
          <w:highlight w:val="none"/>
        </w:rPr>
        <w:t>标采用</w:t>
      </w:r>
      <w:r>
        <w:rPr>
          <w:rFonts w:hint="eastAsia" w:ascii="宋体" w:hAnsi="宋体" w:eastAsia="宋体" w:cs="宋体"/>
          <w:b/>
          <w:bCs/>
          <w:color w:val="auto"/>
          <w:spacing w:val="-4"/>
          <w:sz w:val="24"/>
          <w:szCs w:val="24"/>
          <w:highlight w:val="none"/>
          <w:u w:val="single"/>
        </w:rPr>
        <w:t>综合评估法</w:t>
      </w:r>
      <w:r>
        <w:rPr>
          <w:rFonts w:hint="eastAsia" w:ascii="宋体" w:hAnsi="宋体" w:eastAsia="宋体" w:cs="宋体"/>
          <w:color w:val="auto"/>
          <w:spacing w:val="-1"/>
          <w:sz w:val="24"/>
          <w:szCs w:val="24"/>
          <w:highlight w:val="none"/>
        </w:rPr>
        <w:t>进行评标。</w:t>
      </w:r>
    </w:p>
    <w:p w14:paraId="4380FF7C">
      <w:pPr>
        <w:keepNext w:val="0"/>
        <w:keepLines w:val="0"/>
        <w:pageBreakBefore w:val="0"/>
        <w:overflowPunct/>
        <w:topLinePunct w:val="0"/>
        <w:bidi w:val="0"/>
        <w:spacing w:before="154" w:line="430" w:lineRule="exact"/>
        <w:ind w:left="220" w:right="33" w:firstLine="496"/>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 xml:space="preserve">15.3  </w:t>
      </w:r>
      <w:r>
        <w:rPr>
          <w:rFonts w:hint="eastAsia" w:ascii="宋体" w:hAnsi="宋体" w:eastAsia="宋体" w:cs="宋体"/>
          <w:color w:val="auto"/>
          <w:spacing w:val="-3"/>
          <w:sz w:val="24"/>
          <w:szCs w:val="24"/>
          <w:highlight w:val="none"/>
        </w:rPr>
        <w:t>评审范围：评标方法采用“</w:t>
      </w:r>
      <w:r>
        <w:rPr>
          <w:rFonts w:hint="eastAsia" w:ascii="宋体" w:hAnsi="宋体" w:eastAsia="宋体" w:cs="宋体"/>
          <w:b/>
          <w:bCs/>
          <w:color w:val="auto"/>
          <w:spacing w:val="-3"/>
          <w:sz w:val="24"/>
          <w:szCs w:val="24"/>
          <w:highlight w:val="none"/>
        </w:rPr>
        <w:t>综合评估法</w:t>
      </w:r>
      <w:r>
        <w:rPr>
          <w:rFonts w:hint="eastAsia" w:ascii="宋体" w:hAnsi="宋体" w:eastAsia="宋体" w:cs="宋体"/>
          <w:color w:val="auto"/>
          <w:spacing w:val="-3"/>
          <w:sz w:val="24"/>
          <w:szCs w:val="24"/>
          <w:highlight w:val="none"/>
        </w:rPr>
        <w:t>”的，评标委员会应对所有投标人的投标文件进行评审。</w:t>
      </w:r>
    </w:p>
    <w:p w14:paraId="1F05CF90">
      <w:pPr>
        <w:keepNext w:val="0"/>
        <w:keepLines w:val="0"/>
        <w:pageBreakBefore w:val="0"/>
        <w:overflowPunct/>
        <w:topLinePunct w:val="0"/>
        <w:bidi w:val="0"/>
        <w:spacing w:before="153" w:line="430" w:lineRule="exact"/>
        <w:ind w:left="71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15.4  </w:t>
      </w:r>
      <w:r>
        <w:rPr>
          <w:rFonts w:hint="eastAsia" w:ascii="宋体" w:hAnsi="宋体" w:eastAsia="宋体" w:cs="宋体"/>
          <w:color w:val="auto"/>
          <w:spacing w:val="-2"/>
          <w:sz w:val="24"/>
          <w:szCs w:val="24"/>
          <w:highlight w:val="none"/>
        </w:rPr>
        <w:t>初步评审阶段</w:t>
      </w:r>
    </w:p>
    <w:p w14:paraId="380B99E2">
      <w:pPr>
        <w:keepNext w:val="0"/>
        <w:keepLines w:val="0"/>
        <w:pageBreakBefore w:val="0"/>
        <w:overflowPunct/>
        <w:topLinePunct w:val="0"/>
        <w:bidi w:val="0"/>
        <w:spacing w:before="153" w:line="430" w:lineRule="exact"/>
        <w:ind w:left="709"/>
        <w:rPr>
          <w:rFonts w:hint="eastAsia" w:ascii="宋体" w:hAnsi="宋体" w:eastAsia="宋体" w:cs="宋体"/>
          <w:b/>
          <w:bCs/>
          <w:color w:val="auto"/>
          <w:sz w:val="24"/>
          <w:szCs w:val="24"/>
          <w:highlight w:val="none"/>
        </w:rPr>
      </w:pPr>
      <w:r>
        <w:rPr>
          <w:rFonts w:hint="eastAsia" w:ascii="宋体" w:hAnsi="宋体" w:eastAsia="宋体" w:cs="宋体"/>
          <w:b/>
          <w:bCs/>
          <w:color w:val="auto"/>
          <w:spacing w:val="-1"/>
          <w:sz w:val="24"/>
          <w:szCs w:val="24"/>
          <w:highlight w:val="none"/>
        </w:rPr>
        <w:t>初步评审阶段分为资格评审、形式评审和响应性评审三个环节。</w:t>
      </w:r>
    </w:p>
    <w:p w14:paraId="6D9319C9">
      <w:pPr>
        <w:keepNext w:val="0"/>
        <w:keepLines w:val="0"/>
        <w:pageBreakBefore w:val="0"/>
        <w:widowControl w:val="0"/>
        <w:overflowPunct/>
        <w:topLinePunct w:val="0"/>
        <w:bidi w:val="0"/>
        <w:adjustRightInd w:val="0"/>
        <w:snapToGrid w:val="0"/>
        <w:spacing w:before="155" w:line="430" w:lineRule="exact"/>
        <w:ind w:left="719" w:right="6303" w:hanging="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15.4.1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b/>
          <w:bCs/>
          <w:color w:val="auto"/>
          <w:spacing w:val="-3"/>
          <w:sz w:val="24"/>
          <w:szCs w:val="24"/>
          <w:highlight w:val="none"/>
        </w:rPr>
        <w:t>资格评审</w:t>
      </w:r>
      <w:r>
        <w:rPr>
          <w:rFonts w:hint="eastAsia" w:ascii="宋体" w:hAnsi="宋体" w:eastAsia="宋体" w:cs="宋体"/>
          <w:b/>
          <w:bCs/>
          <w:color w:val="auto"/>
          <w:spacing w:val="-3"/>
          <w:sz w:val="24"/>
          <w:szCs w:val="24"/>
          <w:highlight w:val="none"/>
          <w:lang w:eastAsia="zh-CN"/>
        </w:rPr>
        <w:t>环</w:t>
      </w:r>
      <w:r>
        <w:rPr>
          <w:rFonts w:hint="eastAsia" w:ascii="宋体" w:hAnsi="宋体" w:eastAsia="宋体" w:cs="宋体"/>
          <w:b/>
          <w:bCs/>
          <w:color w:val="auto"/>
          <w:spacing w:val="-3"/>
          <w:sz w:val="24"/>
          <w:szCs w:val="24"/>
          <w:highlight w:val="none"/>
        </w:rPr>
        <w:t>节</w:t>
      </w:r>
      <w:r>
        <w:rPr>
          <w:rFonts w:hint="eastAsia" w:ascii="宋体" w:hAnsi="宋体" w:eastAsia="宋体" w:cs="宋体"/>
          <w:color w:val="auto"/>
          <w:spacing w:val="-3"/>
          <w:sz w:val="24"/>
          <w:szCs w:val="24"/>
          <w:highlight w:val="none"/>
        </w:rPr>
        <w:t>资格评审事项包括</w:t>
      </w:r>
      <w:r>
        <w:rPr>
          <w:rFonts w:hint="eastAsia" w:ascii="宋体" w:hAnsi="宋体" w:eastAsia="宋体" w:cs="宋体"/>
          <w:color w:val="auto"/>
          <w:spacing w:val="-3"/>
          <w:sz w:val="24"/>
          <w:szCs w:val="24"/>
          <w:highlight w:val="none"/>
          <w:lang w:val="en-US" w:eastAsia="zh-CN"/>
        </w:rPr>
        <w:t>:</w:t>
      </w:r>
    </w:p>
    <w:p w14:paraId="7C8EBEA1">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（1）投标人是否符合本章第三节第</w:t>
      </w:r>
      <w:r>
        <w:rPr>
          <w:rFonts w:hint="eastAsia" w:ascii="宋体" w:hAnsi="宋体" w:eastAsia="宋体" w:cs="宋体"/>
          <w:b/>
          <w:bCs/>
          <w:snapToGrid w:val="0"/>
          <w:color w:val="auto"/>
          <w:kern w:val="0"/>
          <w:sz w:val="24"/>
          <w:szCs w:val="24"/>
          <w:highlight w:val="none"/>
        </w:rPr>
        <w:t>2.4</w:t>
      </w:r>
      <w:r>
        <w:rPr>
          <w:rFonts w:hint="eastAsia" w:ascii="宋体" w:hAnsi="宋体" w:eastAsia="宋体" w:cs="宋体"/>
          <w:snapToGrid w:val="0"/>
          <w:color w:val="auto"/>
          <w:kern w:val="0"/>
          <w:sz w:val="24"/>
          <w:szCs w:val="24"/>
          <w:highlight w:val="none"/>
        </w:rPr>
        <w:t xml:space="preserve">条“禁止投标条款”规定。如果“禁止投标条款”包括失信惩戒的，投标人信用信息的获取采用现场实时查询的方式实施。由招标代理机构工作人员在评标委员会成员、交易场所工作人员共同见证下，登录信用中国网站（https://www.creditchina.gov.cn），在企业查询界面下载和打印《法人和非法人组织公共信用信息报告》，作为评审依据移交评标委员会。 </w:t>
      </w:r>
    </w:p>
    <w:p w14:paraId="5F04D4DA">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（2）投标人名称是否与营业执照、资质证书、安全生产许可证一致。</w:t>
      </w:r>
    </w:p>
    <w:p w14:paraId="4A8058BB">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（3）投标人的资质是否符合招标文件规定；其营业执照、资质证书、安全生产许可证</w:t>
      </w:r>
      <w:r>
        <w:rPr>
          <w:rFonts w:hint="eastAsia" w:ascii="宋体" w:hAnsi="宋体" w:eastAsia="宋体" w:cs="宋体"/>
          <w:snapToGrid w:val="0"/>
          <w:color w:val="auto"/>
          <w:kern w:val="0"/>
          <w:sz w:val="24"/>
          <w:szCs w:val="24"/>
          <w:highlight w:val="none"/>
          <w:lang w:val="en-US" w:eastAsia="zh-CN"/>
        </w:rPr>
        <w:t>（含实时网页查询页，可参考网址https://zlaq.mohurd.gov.cn/fwmh/bjxcjgl/fwh/pages/construction_safety/qyaqscxkz/qyaqscxkz）</w:t>
      </w:r>
      <w:r>
        <w:rPr>
          <w:rFonts w:hint="eastAsia" w:ascii="宋体" w:hAnsi="宋体" w:eastAsia="宋体" w:cs="宋体"/>
          <w:snapToGrid w:val="0"/>
          <w:color w:val="auto"/>
          <w:kern w:val="0"/>
          <w:sz w:val="24"/>
          <w:szCs w:val="24"/>
          <w:highlight w:val="none"/>
        </w:rPr>
        <w:t>是否合法、有效、准确。</w:t>
      </w:r>
    </w:p>
    <w:p w14:paraId="2E6A6026">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（4）《项目经理简历表》中拟派项目经理是否与《开标一览表》一致。</w:t>
      </w:r>
    </w:p>
    <w:p w14:paraId="76180120">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r>
        <w:rPr>
          <w:rFonts w:hint="eastAsia" w:ascii="宋体" w:hAnsi="宋体" w:eastAsia="宋体" w:cs="宋体"/>
          <w:snapToGrid w:val="0"/>
          <w:color w:val="auto"/>
          <w:kern w:val="0"/>
          <w:sz w:val="24"/>
          <w:szCs w:val="24"/>
          <w:highlight w:val="none"/>
          <w:lang w:val="en-US" w:eastAsia="zh-CN"/>
        </w:rPr>
        <w:t>拟派项目经理、项目技术负责人、专职安全员的条件是否符合招标文件规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0736D633">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baseline"/>
        <w:rPr>
          <w:rStyle w:val="48"/>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）投标人为外省建筑企业的，是否按规定在“进粤企业和人员诚信信息登记平台”录入企业及其拟派人员有关信息并通过数据规范检查。</w:t>
      </w:r>
    </w:p>
    <w:p w14:paraId="057F0F71">
      <w:pPr>
        <w:keepNext w:val="0"/>
        <w:keepLines w:val="0"/>
        <w:pageBreakBefore w:val="0"/>
        <w:widowControl w:val="0"/>
        <w:kinsoku/>
        <w:wordWrap w:val="0"/>
        <w:overflowPunct/>
        <w:topLinePunct w:val="0"/>
        <w:autoSpaceDE/>
        <w:autoSpaceDN/>
        <w:bidi w:val="0"/>
        <w:adjustRightInd w:val="0"/>
        <w:snapToGrid w:val="0"/>
        <w:spacing w:line="430" w:lineRule="exact"/>
        <w:ind w:firstLine="482" w:firstLineChars="200"/>
        <w:textAlignment w:val="baseline"/>
        <w:rPr>
          <w:rFonts w:hint="eastAsia" w:ascii="宋体" w:hAnsi="宋体" w:eastAsia="宋体" w:cs="宋体"/>
          <w:snapToGrid w:val="0"/>
          <w:color w:val="auto"/>
          <w:kern w:val="0"/>
          <w:sz w:val="24"/>
          <w:szCs w:val="24"/>
          <w:highlight w:val="none"/>
        </w:rPr>
      </w:pPr>
      <w:bookmarkStart w:id="93" w:name="_Toc15213"/>
      <w:r>
        <w:rPr>
          <w:rFonts w:hint="eastAsia" w:ascii="宋体" w:hAnsi="宋体" w:eastAsia="宋体" w:cs="宋体"/>
          <w:b/>
          <w:bCs/>
          <w:snapToGrid w:val="0"/>
          <w:color w:val="auto"/>
          <w:kern w:val="0"/>
          <w:sz w:val="24"/>
          <w:szCs w:val="24"/>
          <w:highlight w:val="none"/>
        </w:rPr>
        <w:t>15.4.2  形式评审环节</w:t>
      </w:r>
    </w:p>
    <w:p w14:paraId="1D9FDC90">
      <w:pPr>
        <w:keepNext w:val="0"/>
        <w:keepLines w:val="0"/>
        <w:pageBreakBefore w:val="0"/>
        <w:widowControl w:val="0"/>
        <w:kinsoku/>
        <w:wordWrap w:val="0"/>
        <w:overflowPunct/>
        <w:topLinePunct w:val="0"/>
        <w:autoSpaceDE/>
        <w:autoSpaceDN/>
        <w:bidi w:val="0"/>
        <w:adjustRightInd w:val="0"/>
        <w:snapToGrid w:val="0"/>
        <w:spacing w:line="430" w:lineRule="exact"/>
        <w:ind w:firstLine="480" w:firstLineChars="200"/>
        <w:textAlignment w:val="baseline"/>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形式评审事</w:t>
      </w:r>
      <w:r>
        <w:rPr>
          <w:rFonts w:hint="eastAsia" w:ascii="宋体" w:hAnsi="宋体" w:eastAsia="宋体" w:cs="宋体"/>
          <w:snapToGrid w:val="0"/>
          <w:color w:val="auto"/>
          <w:kern w:val="0"/>
          <w:sz w:val="24"/>
          <w:szCs w:val="24"/>
          <w:highlight w:val="none"/>
          <w:lang w:eastAsia="zh-CN"/>
        </w:rPr>
        <w:t>项包括</w:t>
      </w:r>
      <w:bookmarkEnd w:id="93"/>
      <w:bookmarkStart w:id="94" w:name="_Toc32114"/>
      <w:bookmarkStart w:id="95" w:name="_Toc19814"/>
      <w:bookmarkStart w:id="96" w:name="_Toc18204"/>
      <w:r>
        <w:rPr>
          <w:rFonts w:hint="eastAsia" w:ascii="宋体" w:hAnsi="宋体" w:eastAsia="宋体" w:cs="宋体"/>
          <w:snapToGrid w:val="0"/>
          <w:color w:val="auto"/>
          <w:kern w:val="0"/>
          <w:sz w:val="24"/>
          <w:szCs w:val="24"/>
          <w:highlight w:val="none"/>
          <w:lang w:eastAsia="zh-CN"/>
        </w:rPr>
        <w:t>：</w:t>
      </w:r>
    </w:p>
    <w:p w14:paraId="137EE26E">
      <w:pPr>
        <w:keepNext w:val="0"/>
        <w:keepLines w:val="0"/>
        <w:pageBreakBefore w:val="0"/>
        <w:kinsoku/>
        <w:wordWrap w:val="0"/>
        <w:overflowPunct/>
        <w:topLinePunct w:val="0"/>
        <w:autoSpaceDE/>
        <w:autoSpaceDN/>
        <w:bidi w:val="0"/>
        <w:adjustRightInd w:val="0"/>
        <w:snapToGrid w:val="0"/>
        <w:spacing w:line="430" w:lineRule="exact"/>
        <w:ind w:firstLine="480" w:firstLineChars="200"/>
        <w:rPr>
          <w:rFonts w:hint="eastAsia" w:ascii="宋体" w:hAnsi="宋体" w:eastAsia="宋体" w:cs="宋体"/>
          <w:snapToGrid w:val="0"/>
          <w:color w:val="auto"/>
          <w:kern w:val="0"/>
          <w:sz w:val="24"/>
          <w:szCs w:val="24"/>
          <w:highlight w:val="none"/>
        </w:rPr>
      </w:pPr>
      <w:bookmarkStart w:id="97" w:name="_Toc20481"/>
      <w:bookmarkStart w:id="98" w:name="_Toc23632"/>
      <w:bookmarkStart w:id="99" w:name="_Toc13304"/>
      <w:r>
        <w:rPr>
          <w:rFonts w:hint="eastAsia" w:ascii="宋体" w:hAnsi="宋体" w:eastAsia="宋体" w:cs="宋体"/>
          <w:snapToGrid w:val="0"/>
          <w:color w:val="auto"/>
          <w:kern w:val="0"/>
          <w:sz w:val="24"/>
          <w:szCs w:val="24"/>
          <w:highlight w:val="none"/>
          <w:lang w:val="en-US" w:eastAsia="en-US"/>
        </w:rPr>
        <w:t>（1）</w:t>
      </w:r>
      <w:r>
        <w:rPr>
          <w:rFonts w:hint="eastAsia" w:ascii="宋体" w:hAnsi="宋体" w:eastAsia="宋体" w:cs="宋体"/>
          <w:snapToGrid w:val="0"/>
          <w:color w:val="auto"/>
          <w:kern w:val="0"/>
          <w:sz w:val="24"/>
          <w:szCs w:val="24"/>
          <w:highlight w:val="none"/>
        </w:rPr>
        <w:t>各分册是否按招标文件规定加盖电子印章。</w:t>
      </w:r>
      <w:bookmarkEnd w:id="97"/>
      <w:bookmarkEnd w:id="98"/>
      <w:bookmarkEnd w:id="99"/>
      <w:bookmarkStart w:id="100" w:name="_Toc10806"/>
      <w:bookmarkStart w:id="101" w:name="_Toc28409"/>
      <w:bookmarkStart w:id="102" w:name="_Toc27432"/>
    </w:p>
    <w:p w14:paraId="05BB4B82">
      <w:pPr>
        <w:keepNext w:val="0"/>
        <w:keepLines w:val="0"/>
        <w:pageBreakBefore w:val="0"/>
        <w:kinsoku/>
        <w:wordWrap w:val="0"/>
        <w:overflowPunct/>
        <w:topLinePunct w:val="0"/>
        <w:autoSpaceDE/>
        <w:autoSpaceDN/>
        <w:bidi w:val="0"/>
        <w:adjustRightInd w:val="0"/>
        <w:snapToGrid w:val="0"/>
        <w:spacing w:line="430" w:lineRule="exact"/>
        <w:ind w:firstLine="480" w:firstLineChars="2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本节</w:t>
      </w:r>
      <w:r>
        <w:rPr>
          <w:rFonts w:hint="eastAsia" w:ascii="宋体" w:hAnsi="宋体" w:eastAsia="宋体" w:cs="宋体"/>
          <w:b/>
          <w:bCs/>
          <w:snapToGrid w:val="0"/>
          <w:color w:val="auto"/>
          <w:kern w:val="0"/>
          <w:sz w:val="24"/>
          <w:szCs w:val="24"/>
          <w:highlight w:val="none"/>
        </w:rPr>
        <w:t>第 10.2.2 目、第 10.3.2 目、第 10.4.3 目</w:t>
      </w:r>
      <w:r>
        <w:rPr>
          <w:rFonts w:hint="eastAsia" w:ascii="宋体" w:hAnsi="宋体" w:eastAsia="宋体" w:cs="宋体"/>
          <w:snapToGrid w:val="0"/>
          <w:color w:val="auto"/>
          <w:kern w:val="0"/>
          <w:sz w:val="24"/>
          <w:szCs w:val="24"/>
          <w:highlight w:val="none"/>
        </w:rPr>
        <w:t>中规定的“所有投标人均应提</w:t>
      </w:r>
      <w:bookmarkEnd w:id="100"/>
      <w:bookmarkEnd w:id="101"/>
      <w:bookmarkEnd w:id="102"/>
      <w:r>
        <w:rPr>
          <w:rFonts w:hint="eastAsia" w:ascii="宋体" w:hAnsi="宋体" w:eastAsia="宋体" w:cs="宋体"/>
          <w:snapToGrid w:val="0"/>
          <w:color w:val="auto"/>
          <w:kern w:val="0"/>
          <w:sz w:val="24"/>
          <w:szCs w:val="24"/>
          <w:highlight w:val="none"/>
        </w:rPr>
        <w:t>供 ”的组成内容（包括该组成内容的所附资料）是否完整、齐全</w:t>
      </w:r>
      <w:r>
        <w:rPr>
          <w:rFonts w:hint="eastAsia" w:ascii="宋体" w:hAnsi="宋体" w:eastAsia="宋体" w:cs="宋体"/>
          <w:snapToGrid w:val="0"/>
          <w:color w:val="auto"/>
          <w:kern w:val="0"/>
          <w:sz w:val="24"/>
          <w:szCs w:val="24"/>
          <w:highlight w:val="none"/>
          <w:lang w:eastAsia="zh-CN"/>
        </w:rPr>
        <w:t>。</w:t>
      </w:r>
      <w:bookmarkStart w:id="103" w:name="_Toc22691"/>
      <w:bookmarkStart w:id="104" w:name="_Toc9581"/>
      <w:bookmarkStart w:id="105" w:name="_Toc17918"/>
    </w:p>
    <w:bookmarkEnd w:id="103"/>
    <w:bookmarkEnd w:id="104"/>
    <w:bookmarkEnd w:id="105"/>
    <w:p w14:paraId="42C0D162">
      <w:pPr>
        <w:keepNext w:val="0"/>
        <w:keepLines w:val="0"/>
        <w:pageBreakBefore w:val="0"/>
        <w:kinsoku/>
        <w:wordWrap w:val="0"/>
        <w:overflowPunct/>
        <w:topLinePunct w:val="0"/>
        <w:autoSpaceDE/>
        <w:autoSpaceDN/>
        <w:bidi w:val="0"/>
        <w:adjustRightInd w:val="0"/>
        <w:snapToGrid w:val="0"/>
        <w:spacing w:line="43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15.4.3  响应性评审环节</w:t>
      </w:r>
    </w:p>
    <w:p w14:paraId="3AFA59CD">
      <w:pPr>
        <w:keepNext w:val="0"/>
        <w:keepLines w:val="0"/>
        <w:pageBreakBefore w:val="0"/>
        <w:kinsoku/>
        <w:wordWrap w:val="0"/>
        <w:overflowPunct/>
        <w:topLinePunct w:val="0"/>
        <w:autoSpaceDE/>
        <w:autoSpaceDN/>
        <w:bidi w:val="0"/>
        <w:adjustRightInd w:val="0"/>
        <w:snapToGrid w:val="0"/>
        <w:spacing w:line="43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响应性评审事项包括：</w:t>
      </w:r>
    </w:p>
    <w:p w14:paraId="0A8CA8F2">
      <w:pPr>
        <w:keepNext w:val="0"/>
        <w:keepLines w:val="0"/>
        <w:pageBreakBefore w:val="0"/>
        <w:kinsoku/>
        <w:wordWrap w:val="0"/>
        <w:overflowPunct/>
        <w:topLinePunct w:val="0"/>
        <w:autoSpaceDE/>
        <w:autoSpaceDN/>
        <w:bidi w:val="0"/>
        <w:adjustRightInd w:val="0"/>
        <w:snapToGrid w:val="0"/>
        <w:spacing w:line="43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（1）投标有效期、质量标准、工期等是否响应招标文件实质性要求；是否擅自修改、遗漏《投标函》《各项承诺一览表》的实质性内容。</w:t>
      </w:r>
    </w:p>
    <w:p w14:paraId="26DFA163">
      <w:pPr>
        <w:keepNext w:val="0"/>
        <w:keepLines w:val="0"/>
        <w:pageBreakBefore w:val="0"/>
        <w:kinsoku/>
        <w:wordWrap w:val="0"/>
        <w:overflowPunct/>
        <w:topLinePunct w:val="0"/>
        <w:autoSpaceDE/>
        <w:autoSpaceDN/>
        <w:bidi w:val="0"/>
        <w:adjustRightInd w:val="0"/>
        <w:snapToGrid w:val="0"/>
        <w:spacing w:line="43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（2）编制《投标总价》的造价工程师，其注册证书是否合法、有效。</w:t>
      </w:r>
    </w:p>
    <w:p w14:paraId="0386D7B1">
      <w:pPr>
        <w:keepNext w:val="0"/>
        <w:keepLines w:val="0"/>
        <w:pageBreakBefore w:val="0"/>
        <w:kinsoku/>
        <w:wordWrap w:val="0"/>
        <w:overflowPunct/>
        <w:topLinePunct w:val="0"/>
        <w:autoSpaceDE/>
        <w:autoSpaceDN/>
        <w:bidi w:val="0"/>
        <w:adjustRightInd w:val="0"/>
        <w:snapToGrid w:val="0"/>
        <w:spacing w:line="430" w:lineRule="exact"/>
        <w:ind w:firstLine="480" w:firstLineChars="20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（3）投标人委托造价咨询单位编制《投标总价》的，是否在</w:t>
      </w:r>
      <w:r>
        <w:rPr>
          <w:rFonts w:hint="eastAsia" w:ascii="宋体" w:hAnsi="宋体" w:eastAsia="宋体" w:cs="宋体"/>
          <w:snapToGrid w:val="0"/>
          <w:color w:val="auto"/>
          <w:kern w:val="0"/>
          <w:sz w:val="24"/>
          <w:szCs w:val="24"/>
          <w:highlight w:val="none"/>
          <w:lang w:val="en-US" w:eastAsia="zh-CN"/>
        </w:rPr>
        <w:t>《投标总价扉页》（即扉—3）“投标人”栏目加盖造价咨询人公章；是否提供造价咨询人的营业执照副本彩色扫描件。</w:t>
      </w:r>
    </w:p>
    <w:p w14:paraId="626326A0">
      <w:pPr>
        <w:keepNext w:val="0"/>
        <w:keepLines w:val="0"/>
        <w:pageBreakBefore w:val="0"/>
        <w:kinsoku/>
        <w:wordWrap w:val="0"/>
        <w:overflowPunct/>
        <w:topLinePunct w:val="0"/>
        <w:autoSpaceDE/>
        <w:autoSpaceDN/>
        <w:bidi w:val="0"/>
        <w:adjustRightInd w:val="0"/>
        <w:snapToGrid w:val="0"/>
        <w:spacing w:line="43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（4）投标总价是否唯一；投标总价是否超出</w:t>
      </w:r>
      <w:r>
        <w:rPr>
          <w:rFonts w:hint="eastAsia" w:ascii="宋体" w:hAnsi="宋体" w:eastAsia="宋体" w:cs="宋体"/>
          <w:snapToGrid w:val="0"/>
          <w:color w:val="auto"/>
          <w:kern w:val="0"/>
          <w:sz w:val="24"/>
          <w:szCs w:val="24"/>
          <w:highlight w:val="none"/>
          <w:lang w:val="en-US" w:eastAsia="zh-CN"/>
        </w:rPr>
        <w:t>最高投标限价</w:t>
      </w:r>
      <w:r>
        <w:rPr>
          <w:rFonts w:hint="eastAsia" w:ascii="宋体" w:hAnsi="宋体" w:eastAsia="宋体" w:cs="宋体"/>
          <w:snapToGrid w:val="0"/>
          <w:color w:val="auto"/>
          <w:kern w:val="0"/>
          <w:sz w:val="24"/>
          <w:szCs w:val="24"/>
          <w:highlight w:val="none"/>
        </w:rPr>
        <w:t>；绿色施工安全防护措施费是否达到最低要求；暂列金额、暂估价是否按照招标工程量清单统一报价；投标人是否以低于成本的价格竞标。</w:t>
      </w:r>
    </w:p>
    <w:p w14:paraId="52FE27F8">
      <w:pPr>
        <w:keepNext w:val="0"/>
        <w:keepLines w:val="0"/>
        <w:pageBreakBefore w:val="0"/>
        <w:kinsoku/>
        <w:wordWrap w:val="0"/>
        <w:overflowPunct/>
        <w:topLinePunct w:val="0"/>
        <w:autoSpaceDE/>
        <w:autoSpaceDN/>
        <w:bidi w:val="0"/>
        <w:adjustRightInd w:val="0"/>
        <w:snapToGrid w:val="0"/>
        <w:spacing w:line="430" w:lineRule="exact"/>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注：</w:t>
      </w:r>
      <w:bookmarkStart w:id="106" w:name="_Toc14163"/>
      <w:r>
        <w:rPr>
          <w:rFonts w:hint="eastAsia" w:ascii="宋体" w:hAnsi="宋体" w:eastAsia="宋体" w:cs="宋体"/>
          <w:b/>
          <w:bCs/>
          <w:snapToGrid w:val="0"/>
          <w:color w:val="auto"/>
          <w:kern w:val="0"/>
          <w:sz w:val="24"/>
          <w:szCs w:val="24"/>
          <w:highlight w:val="none"/>
        </w:rPr>
        <w:t>如果某投标人的投标总价下浮率超过 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投标总价下浮率＝（1－投标总价÷</w:t>
      </w:r>
      <w:r>
        <w:rPr>
          <w:rFonts w:hint="eastAsia" w:ascii="宋体" w:hAnsi="宋体" w:eastAsia="宋体" w:cs="宋体"/>
          <w:b/>
          <w:bCs/>
          <w:snapToGrid w:val="0"/>
          <w:color w:val="auto"/>
          <w:kern w:val="0"/>
          <w:sz w:val="24"/>
          <w:szCs w:val="24"/>
          <w:highlight w:val="none"/>
          <w:lang w:val="en-US" w:eastAsia="zh-CN"/>
        </w:rPr>
        <w:t>最高投标限价</w:t>
      </w:r>
      <w:r>
        <w:rPr>
          <w:rFonts w:hint="eastAsia" w:ascii="宋体" w:hAnsi="宋体" w:eastAsia="宋体" w:cs="宋体"/>
          <w:b/>
          <w:bCs/>
          <w:snapToGrid w:val="0"/>
          <w:color w:val="auto"/>
          <w:kern w:val="0"/>
          <w:sz w:val="24"/>
          <w:szCs w:val="24"/>
          <w:highlight w:val="none"/>
        </w:rPr>
        <w:t>）×100% 。</w:t>
      </w:r>
    </w:p>
    <w:p w14:paraId="57504193">
      <w:pPr>
        <w:keepNext w:val="0"/>
        <w:keepLines w:val="0"/>
        <w:pageBreakBefore w:val="0"/>
        <w:kinsoku/>
        <w:wordWrap w:val="0"/>
        <w:overflowPunct/>
        <w:topLinePunct w:val="0"/>
        <w:autoSpaceDE/>
        <w:autoSpaceDN/>
        <w:bidi w:val="0"/>
        <w:adjustRightInd w:val="0"/>
        <w:snapToGrid w:val="0"/>
        <w:spacing w:line="43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施工组织设计的质量、进度保障措施是否符合国家和省市现行有关规范、规定、标准，是否能实现工程质量、进度管理目标。</w:t>
      </w:r>
      <w:bookmarkEnd w:id="106"/>
    </w:p>
    <w:p w14:paraId="3D7E5526">
      <w:pPr>
        <w:keepNext w:val="0"/>
        <w:keepLines w:val="0"/>
        <w:pageBreakBefore w:val="0"/>
        <w:kinsoku/>
        <w:wordWrap w:val="0"/>
        <w:overflowPunct/>
        <w:topLinePunct w:val="0"/>
        <w:autoSpaceDE/>
        <w:autoSpaceDN/>
        <w:bidi w:val="0"/>
        <w:adjustRightInd w:val="0"/>
        <w:snapToGrid w:val="0"/>
        <w:spacing w:line="430" w:lineRule="exact"/>
        <w:ind w:firstLine="482" w:firstLineChars="200"/>
        <w:rPr>
          <w:rFonts w:hint="eastAsia" w:ascii="宋体" w:hAnsi="宋体" w:eastAsia="宋体" w:cs="宋体"/>
          <w:b/>
          <w:bCs/>
          <w:snapToGrid w:val="0"/>
          <w:color w:val="auto"/>
          <w:kern w:val="0"/>
          <w:sz w:val="24"/>
          <w:szCs w:val="24"/>
          <w:highlight w:val="none"/>
        </w:rPr>
      </w:pPr>
      <w:bookmarkStart w:id="107" w:name="_Toc29261"/>
      <w:r>
        <w:rPr>
          <w:rFonts w:hint="eastAsia" w:ascii="宋体" w:hAnsi="宋体" w:eastAsia="宋体" w:cs="宋体"/>
          <w:b/>
          <w:bCs/>
          <w:snapToGrid w:val="0"/>
          <w:color w:val="auto"/>
          <w:kern w:val="0"/>
          <w:sz w:val="24"/>
          <w:szCs w:val="24"/>
          <w:highlight w:val="none"/>
        </w:rPr>
        <w:t>15.4.4  否决投标说明</w:t>
      </w:r>
      <w:bookmarkEnd w:id="94"/>
      <w:bookmarkEnd w:id="95"/>
      <w:bookmarkEnd w:id="96"/>
      <w:bookmarkEnd w:id="107"/>
    </w:p>
    <w:p w14:paraId="46DD2E28">
      <w:pPr>
        <w:keepNext w:val="0"/>
        <w:keepLines w:val="0"/>
        <w:pageBreakBefore w:val="0"/>
        <w:kinsoku/>
        <w:wordWrap w:val="0"/>
        <w:overflowPunct/>
        <w:topLinePunct w:val="0"/>
        <w:autoSpaceDE/>
        <w:autoSpaceDN/>
        <w:bidi w:val="0"/>
        <w:adjustRightInd w:val="0"/>
        <w:snapToGrid w:val="0"/>
        <w:spacing w:line="430" w:lineRule="exact"/>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初步评审阶段各个环节否决投标的全部条件，在本章第四节“否决投标条件”第</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条至第</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snapToGrid w:val="0"/>
          <w:color w:val="auto"/>
          <w:kern w:val="0"/>
          <w:sz w:val="24"/>
          <w:szCs w:val="24"/>
          <w:highlight w:val="none"/>
        </w:rPr>
        <w:t>条中集中列示。投标人有其中所列任何一种情形的，由评标委员会否决其投标。在初步评审阶段任何环节被否决的投标人，不进入下一环节（或阶段）评审。在初步评审阶段任何环节，有效投标人数量不足3个时，招标人应依法重新组织招标。</w:t>
      </w:r>
    </w:p>
    <w:p w14:paraId="7B7D879D">
      <w:pPr>
        <w:keepNext w:val="0"/>
        <w:keepLines w:val="0"/>
        <w:pageBreakBefore w:val="0"/>
        <w:overflowPunct/>
        <w:topLinePunct w:val="0"/>
        <w:bidi w:val="0"/>
        <w:spacing w:before="78" w:line="430" w:lineRule="exact"/>
        <w:ind w:left="57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0" distR="0" simplePos="0" relativeHeight="251660288"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1" name="IM 46"/>
            <wp:cNvGraphicFramePr/>
            <a:graphic xmlns:a="http://schemas.openxmlformats.org/drawingml/2006/main">
              <a:graphicData uri="http://schemas.openxmlformats.org/drawingml/2006/picture">
                <pic:pic xmlns:pic="http://schemas.openxmlformats.org/drawingml/2006/picture">
                  <pic:nvPicPr>
                    <pic:cNvPr id="1" name="IM 46"/>
                    <pic:cNvPicPr/>
                  </pic:nvPicPr>
                  <pic:blipFill>
                    <a:blip r:embed="rId7"/>
                    <a:stretch>
                      <a:fillRect/>
                    </a:stretch>
                  </pic:blipFill>
                  <pic:spPr>
                    <a:xfrm>
                      <a:off x="0" y="0"/>
                      <a:ext cx="6350" cy="279400"/>
                    </a:xfrm>
                    <a:prstGeom prst="rect">
                      <a:avLst/>
                    </a:prstGeom>
                    <a:noFill/>
                    <a:ln>
                      <a:noFill/>
                    </a:ln>
                  </pic:spPr>
                </pic:pic>
              </a:graphicData>
            </a:graphic>
          </wp:anchor>
        </w:drawing>
      </w:r>
      <w:bookmarkStart w:id="108" w:name="bookmark128"/>
      <w:bookmarkEnd w:id="108"/>
      <w:r>
        <w:rPr>
          <w:rFonts w:hint="eastAsia" w:ascii="宋体" w:hAnsi="宋体" w:eastAsia="宋体" w:cs="宋体"/>
          <w:b/>
          <w:bCs/>
          <w:color w:val="auto"/>
          <w:spacing w:val="-2"/>
          <w:sz w:val="24"/>
          <w:szCs w:val="24"/>
          <w:highlight w:val="none"/>
        </w:rPr>
        <w:t>15.5  详细评审阶段</w:t>
      </w:r>
    </w:p>
    <w:p w14:paraId="653ACA49">
      <w:pPr>
        <w:keepNext w:val="0"/>
        <w:keepLines w:val="0"/>
        <w:pageBreakBefore w:val="0"/>
        <w:kinsoku/>
        <w:wordWrap w:val="0"/>
        <w:overflowPunct/>
        <w:topLinePunct w:val="0"/>
        <w:autoSpaceDE/>
        <w:autoSpaceDN/>
        <w:bidi w:val="0"/>
        <w:adjustRightInd w:val="0"/>
        <w:snapToGrid w:val="0"/>
        <w:spacing w:line="430" w:lineRule="exact"/>
        <w:ind w:firstLine="482" w:firstLineChars="200"/>
        <w:rPr>
          <w:rFonts w:hint="eastAsia" w:ascii="宋体" w:hAnsi="宋体" w:eastAsia="宋体" w:cs="宋体"/>
          <w:b w:val="0"/>
          <w:bCs w:val="0"/>
          <w:snapToGrid w:val="0"/>
          <w:color w:val="auto"/>
          <w:kern w:val="0"/>
          <w:sz w:val="24"/>
          <w:szCs w:val="24"/>
          <w:highlight w:val="none"/>
        </w:rPr>
      </w:pPr>
      <w:bookmarkStart w:id="109" w:name="_Toc28572"/>
      <w:bookmarkStart w:id="110" w:name="_Toc10503"/>
      <w:bookmarkStart w:id="111" w:name="_Toc4119"/>
      <w:bookmarkStart w:id="112" w:name="_Toc1868"/>
      <w:r>
        <w:rPr>
          <w:rFonts w:hint="eastAsia" w:ascii="宋体" w:hAnsi="宋体" w:eastAsia="宋体" w:cs="宋体"/>
          <w:b/>
          <w:bCs/>
          <w:snapToGrid w:val="0"/>
          <w:color w:val="auto"/>
          <w:kern w:val="0"/>
          <w:sz w:val="24"/>
          <w:szCs w:val="24"/>
          <w:highlight w:val="none"/>
        </w:rPr>
        <w:t xml:space="preserve">15.5.1  </w:t>
      </w:r>
      <w:r>
        <w:rPr>
          <w:rFonts w:hint="eastAsia" w:ascii="宋体" w:hAnsi="宋体" w:eastAsia="宋体" w:cs="宋体"/>
          <w:b w:val="0"/>
          <w:bCs w:val="0"/>
          <w:snapToGrid w:val="0"/>
          <w:color w:val="auto"/>
          <w:kern w:val="0"/>
          <w:sz w:val="24"/>
          <w:szCs w:val="24"/>
          <w:highlight w:val="none"/>
        </w:rPr>
        <w:t>“综合评估法 ”评审程序</w:t>
      </w:r>
      <w:bookmarkEnd w:id="109"/>
      <w:bookmarkEnd w:id="110"/>
      <w:bookmarkEnd w:id="111"/>
      <w:bookmarkEnd w:id="112"/>
    </w:p>
    <w:p w14:paraId="29DD12FF">
      <w:pPr>
        <w:keepNext w:val="0"/>
        <w:keepLines w:val="0"/>
        <w:pageBreakBefore w:val="0"/>
        <w:overflowPunct/>
        <w:topLinePunct w:val="0"/>
        <w:bidi w:val="0"/>
        <w:spacing w:before="152" w:line="430" w:lineRule="exact"/>
        <w:ind w:left="14" w:right="81"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评审内容分为商务技术和投标报价两大部分。其中，商</w:t>
      </w:r>
      <w:r>
        <w:rPr>
          <w:rFonts w:hint="eastAsia" w:ascii="宋体" w:hAnsi="宋体" w:eastAsia="宋体" w:cs="宋体"/>
          <w:color w:val="auto"/>
          <w:spacing w:val="-2"/>
          <w:sz w:val="24"/>
          <w:szCs w:val="24"/>
          <w:highlight w:val="none"/>
        </w:rPr>
        <w:t>务技术合计满分</w:t>
      </w:r>
      <w:r>
        <w:rPr>
          <w:rFonts w:hint="eastAsia" w:ascii="宋体" w:hAnsi="宋体" w:eastAsia="宋体" w:cs="宋体"/>
          <w:color w:val="auto"/>
          <w:spacing w:val="-2"/>
          <w:sz w:val="24"/>
          <w:szCs w:val="24"/>
          <w:highlight w:val="none"/>
          <w:u w:val="single"/>
          <w:lang w:eastAsia="zh-CN"/>
        </w:rPr>
        <w:t>100</w:t>
      </w:r>
      <w:r>
        <w:rPr>
          <w:rFonts w:hint="eastAsia" w:ascii="宋体" w:hAnsi="宋体" w:eastAsia="宋体" w:cs="宋体"/>
          <w:color w:val="auto"/>
          <w:spacing w:val="-2"/>
          <w:sz w:val="24"/>
          <w:szCs w:val="24"/>
          <w:highlight w:val="none"/>
        </w:rPr>
        <w:t>分，权重</w:t>
      </w:r>
      <w:r>
        <w:rPr>
          <w:rFonts w:hint="eastAsia"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u w:val="single"/>
          <w:lang w:eastAsia="zh-CN"/>
        </w:rPr>
        <w:t>40</w:t>
      </w:r>
      <w:r>
        <w:rPr>
          <w:rFonts w:hint="eastAsia" w:ascii="宋体" w:hAnsi="宋体" w:eastAsia="宋体" w:cs="宋体"/>
          <w:color w:val="auto"/>
          <w:spacing w:val="-3"/>
          <w:sz w:val="24"/>
          <w:szCs w:val="24"/>
          <w:highlight w:val="none"/>
          <w:u w:val="single"/>
        </w:rPr>
        <w:t>%</w:t>
      </w:r>
      <w:r>
        <w:rPr>
          <w:rFonts w:hint="eastAsia" w:ascii="宋体" w:hAnsi="宋体" w:eastAsia="宋体" w:cs="宋体"/>
          <w:color w:val="auto"/>
          <w:spacing w:val="-3"/>
          <w:sz w:val="24"/>
          <w:szCs w:val="24"/>
          <w:highlight w:val="none"/>
        </w:rPr>
        <w:t>；投标报价满分</w:t>
      </w:r>
      <w:r>
        <w:rPr>
          <w:rFonts w:hint="eastAsia" w:ascii="宋体" w:hAnsi="宋体" w:eastAsia="宋体" w:cs="宋体"/>
          <w:color w:val="auto"/>
          <w:spacing w:val="-3"/>
          <w:sz w:val="24"/>
          <w:szCs w:val="24"/>
          <w:highlight w:val="none"/>
          <w:u w:val="single"/>
        </w:rPr>
        <w:t>100</w:t>
      </w:r>
      <w:r>
        <w:rPr>
          <w:rFonts w:hint="eastAsia" w:ascii="宋体" w:hAnsi="宋体" w:eastAsia="宋体" w:cs="宋体"/>
          <w:color w:val="auto"/>
          <w:spacing w:val="-3"/>
          <w:sz w:val="24"/>
          <w:szCs w:val="24"/>
          <w:highlight w:val="none"/>
        </w:rPr>
        <w:t>分，权重为</w:t>
      </w:r>
      <w:r>
        <w:rPr>
          <w:rFonts w:hint="eastAsia" w:ascii="宋体" w:hAnsi="宋体" w:eastAsia="宋体" w:cs="宋体"/>
          <w:color w:val="auto"/>
          <w:spacing w:val="-3"/>
          <w:sz w:val="24"/>
          <w:szCs w:val="24"/>
          <w:highlight w:val="none"/>
          <w:u w:val="single"/>
          <w:lang w:eastAsia="zh-CN"/>
        </w:rPr>
        <w:t>60</w:t>
      </w:r>
      <w:r>
        <w:rPr>
          <w:rFonts w:hint="eastAsia" w:ascii="宋体" w:hAnsi="宋体" w:eastAsia="宋体" w:cs="宋体"/>
          <w:color w:val="auto"/>
          <w:spacing w:val="-3"/>
          <w:sz w:val="24"/>
          <w:szCs w:val="24"/>
          <w:highlight w:val="none"/>
          <w:u w:val="single"/>
        </w:rPr>
        <w:t>%</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。两大部分权重之和应为</w:t>
      </w:r>
      <w:r>
        <w:rPr>
          <w:rFonts w:hint="eastAsia" w:ascii="宋体" w:hAnsi="宋体" w:eastAsia="宋体" w:cs="宋体"/>
          <w:color w:val="auto"/>
          <w:spacing w:val="-3"/>
          <w:sz w:val="24"/>
          <w:szCs w:val="24"/>
          <w:highlight w:val="none"/>
          <w:u w:val="single"/>
        </w:rPr>
        <w:t>100%</w:t>
      </w:r>
      <w:r>
        <w:rPr>
          <w:rFonts w:hint="eastAsia" w:ascii="宋体" w:hAnsi="宋体" w:eastAsia="宋体" w:cs="宋体"/>
          <w:color w:val="auto"/>
          <w:spacing w:val="-3"/>
          <w:sz w:val="24"/>
          <w:szCs w:val="24"/>
          <w:highlight w:val="none"/>
        </w:rPr>
        <w:t>。</w:t>
      </w:r>
    </w:p>
    <w:p w14:paraId="5065516C">
      <w:pPr>
        <w:keepNext w:val="0"/>
        <w:keepLines w:val="0"/>
        <w:pageBreakBefore w:val="0"/>
        <w:overflowPunct/>
        <w:topLinePunct w:val="0"/>
        <w:bidi w:val="0"/>
        <w:spacing w:before="153" w:line="430" w:lineRule="exact"/>
        <w:ind w:left="14"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除特别注明外，综合得分以及商务技术得分、投标报价得分的中间过程计算值和</w:t>
      </w:r>
      <w:r>
        <w:rPr>
          <w:rFonts w:hint="eastAsia" w:ascii="宋体" w:hAnsi="宋体" w:eastAsia="宋体" w:cs="宋体"/>
          <w:color w:val="auto"/>
          <w:spacing w:val="-4"/>
          <w:sz w:val="24"/>
          <w:szCs w:val="24"/>
          <w:highlight w:val="none"/>
        </w:rPr>
        <w:t>最终值，均按“</w:t>
      </w:r>
      <w:r>
        <w:rPr>
          <w:rFonts w:hint="eastAsia" w:ascii="宋体" w:hAnsi="宋体" w:eastAsia="宋体" w:cs="宋体"/>
          <w:color w:val="auto"/>
          <w:spacing w:val="-78"/>
          <w:sz w:val="24"/>
          <w:szCs w:val="24"/>
          <w:highlight w:val="none"/>
        </w:rPr>
        <w:t xml:space="preserve"> </w:t>
      </w:r>
      <w:r>
        <w:rPr>
          <w:rFonts w:hint="eastAsia" w:ascii="宋体" w:hAnsi="宋体" w:eastAsia="宋体" w:cs="宋体"/>
          <w:color w:val="auto"/>
          <w:spacing w:val="-4"/>
          <w:sz w:val="24"/>
          <w:szCs w:val="24"/>
          <w:highlight w:val="none"/>
        </w:rPr>
        <w:t>四舍五入</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”原则精确到两位小数。</w:t>
      </w:r>
    </w:p>
    <w:p w14:paraId="6682F8E5">
      <w:pPr>
        <w:keepNext w:val="0"/>
        <w:keepLines w:val="0"/>
        <w:pageBreakBefore w:val="0"/>
        <w:overflowPunct/>
        <w:topLinePunct w:val="0"/>
        <w:bidi w:val="0"/>
        <w:spacing w:before="152" w:line="430" w:lineRule="exact"/>
        <w:ind w:left="14" w:right="81" w:firstLine="476"/>
        <w:rPr>
          <w:rFonts w:hint="eastAsia" w:ascii="宋体" w:hAnsi="宋体" w:eastAsia="宋体" w:cs="宋体"/>
          <w:color w:val="auto"/>
          <w:spacing w:val="-1"/>
          <w:sz w:val="24"/>
          <w:szCs w:val="24"/>
          <w:highlight w:val="none"/>
        </w:rPr>
      </w:pPr>
      <w:bookmarkStart w:id="113" w:name="_Toc22949"/>
      <w:bookmarkStart w:id="114" w:name="_Toc18029"/>
      <w:bookmarkStart w:id="115" w:name="_Toc16570"/>
      <w:bookmarkStart w:id="116" w:name="_Toc17510"/>
      <w:r>
        <w:rPr>
          <w:rFonts w:hint="eastAsia" w:ascii="宋体" w:hAnsi="宋体" w:eastAsia="宋体" w:cs="宋体"/>
          <w:color w:val="auto"/>
          <w:spacing w:val="-1"/>
          <w:sz w:val="24"/>
          <w:szCs w:val="24"/>
          <w:highlight w:val="none"/>
        </w:rPr>
        <w:t>（1）商务技术得分 M</w:t>
      </w:r>
      <w:bookmarkEnd w:id="113"/>
      <w:bookmarkEnd w:id="114"/>
      <w:bookmarkEnd w:id="115"/>
      <w:bookmarkEnd w:id="116"/>
    </w:p>
    <w:p w14:paraId="52D63B66">
      <w:pPr>
        <w:keepNext w:val="0"/>
        <w:keepLines w:val="0"/>
        <w:pageBreakBefore w:val="0"/>
        <w:overflowPunct/>
        <w:topLinePunct w:val="0"/>
        <w:bidi w:val="0"/>
        <w:spacing w:before="153" w:line="430" w:lineRule="exact"/>
        <w:ind w:left="15" w:right="81"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4"/>
          <w:sz w:val="24"/>
          <w:szCs w:val="24"/>
          <w:highlight w:val="none"/>
          <w:lang w:eastAsia="zh-CN"/>
        </w:rPr>
        <w:t>.</w:t>
      </w:r>
      <w:r>
        <w:rPr>
          <w:rFonts w:hint="eastAsia" w:ascii="宋体" w:hAnsi="宋体" w:eastAsia="宋体" w:cs="宋体"/>
          <w:color w:val="auto"/>
          <w:spacing w:val="1"/>
          <w:sz w:val="24"/>
          <w:szCs w:val="24"/>
          <w:highlight w:val="none"/>
        </w:rPr>
        <w:t>评标委员会按照《综合评分表》商务部分指定的评分标准对各评分因素进行</w:t>
      </w:r>
      <w:r>
        <w:rPr>
          <w:rFonts w:hint="eastAsia" w:ascii="宋体" w:hAnsi="宋体" w:eastAsia="宋体" w:cs="宋体"/>
          <w:color w:val="auto"/>
          <w:spacing w:val="-1"/>
          <w:sz w:val="24"/>
          <w:szCs w:val="24"/>
          <w:highlight w:val="none"/>
        </w:rPr>
        <w:t>打分。各评分因素得分之和即为某投标人的商务得分</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24"/>
          <w:szCs w:val="24"/>
          <w:highlight w:val="none"/>
        </w:rPr>
        <w:t>1</w:t>
      </w:r>
      <w:r>
        <w:rPr>
          <w:rFonts w:hint="eastAsia" w:ascii="宋体" w:hAnsi="宋体" w:eastAsia="宋体" w:cs="宋体"/>
          <w:color w:val="auto"/>
          <w:spacing w:val="-1"/>
          <w:sz w:val="24"/>
          <w:szCs w:val="24"/>
          <w:highlight w:val="none"/>
        </w:rPr>
        <w:t>。</w:t>
      </w:r>
    </w:p>
    <w:p w14:paraId="6A34C8FD">
      <w:pPr>
        <w:keepNext w:val="0"/>
        <w:keepLines w:val="0"/>
        <w:pageBreakBefore w:val="0"/>
        <w:overflowPunct/>
        <w:topLinePunct w:val="0"/>
        <w:bidi w:val="0"/>
        <w:spacing w:before="154" w:line="430" w:lineRule="exact"/>
        <w:ind w:left="12" w:right="8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27"/>
          <w:sz w:val="24"/>
          <w:szCs w:val="24"/>
          <w:highlight w:val="none"/>
          <w:lang w:eastAsia="zh-CN"/>
        </w:rPr>
        <w:t>.</w:t>
      </w:r>
      <w:r>
        <w:rPr>
          <w:rFonts w:hint="eastAsia" w:ascii="宋体" w:hAnsi="宋体" w:eastAsia="宋体" w:cs="宋体"/>
          <w:color w:val="auto"/>
          <w:spacing w:val="1"/>
          <w:sz w:val="24"/>
          <w:szCs w:val="24"/>
          <w:highlight w:val="none"/>
        </w:rPr>
        <w:t>评标委员会各成员独立按照《综合评分表》技术部分（施工组织设</w:t>
      </w:r>
      <w:r>
        <w:rPr>
          <w:rFonts w:hint="eastAsia" w:ascii="宋体" w:hAnsi="宋体" w:eastAsia="宋体" w:cs="宋体"/>
          <w:color w:val="auto"/>
          <w:sz w:val="24"/>
          <w:szCs w:val="24"/>
          <w:highlight w:val="none"/>
        </w:rPr>
        <w:t>计）指定</w:t>
      </w:r>
      <w:r>
        <w:rPr>
          <w:rFonts w:hint="eastAsia" w:ascii="宋体" w:hAnsi="宋体" w:eastAsia="宋体" w:cs="宋体"/>
          <w:color w:val="auto"/>
          <w:spacing w:val="-1"/>
          <w:sz w:val="24"/>
          <w:szCs w:val="24"/>
          <w:highlight w:val="none"/>
        </w:rPr>
        <w:t>的评分标准对各评分因素进行打分，累加后得出技术评分。</w:t>
      </w:r>
      <w:r>
        <w:rPr>
          <w:rFonts w:hint="eastAsia" w:ascii="宋体" w:hAnsi="宋体" w:eastAsia="宋体" w:cs="宋体"/>
          <w:color w:val="auto"/>
          <w:spacing w:val="-2"/>
          <w:sz w:val="24"/>
          <w:szCs w:val="24"/>
          <w:highlight w:val="none"/>
        </w:rPr>
        <w:t>将评标委员会所有成员的</w:t>
      </w:r>
      <w:r>
        <w:rPr>
          <w:rFonts w:hint="eastAsia" w:ascii="宋体" w:hAnsi="宋体" w:eastAsia="宋体" w:cs="宋体"/>
          <w:color w:val="auto"/>
          <w:sz w:val="24"/>
          <w:szCs w:val="24"/>
          <w:highlight w:val="none"/>
        </w:rPr>
        <w:t>技术评分去掉最高分和最低分后，取算术平均值，即</w:t>
      </w:r>
      <w:r>
        <w:rPr>
          <w:rFonts w:hint="eastAsia" w:ascii="宋体" w:hAnsi="宋体" w:eastAsia="宋体" w:cs="宋体"/>
          <w:color w:val="auto"/>
          <w:spacing w:val="-1"/>
          <w:sz w:val="24"/>
          <w:szCs w:val="24"/>
          <w:highlight w:val="none"/>
        </w:rPr>
        <w:t>为某投标人的技术得分</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24"/>
          <w:szCs w:val="24"/>
          <w:highlight w:val="none"/>
        </w:rPr>
        <w:t>2</w:t>
      </w:r>
      <w:r>
        <w:rPr>
          <w:rFonts w:hint="eastAsia" w:ascii="宋体" w:hAnsi="宋体" w:eastAsia="宋体" w:cs="宋体"/>
          <w:color w:val="auto"/>
          <w:spacing w:val="-1"/>
          <w:sz w:val="24"/>
          <w:szCs w:val="24"/>
          <w:highlight w:val="none"/>
        </w:rPr>
        <w:t>。</w:t>
      </w:r>
    </w:p>
    <w:p w14:paraId="7A3B1E35">
      <w:pPr>
        <w:keepNext w:val="0"/>
        <w:keepLines w:val="0"/>
        <w:pageBreakBefore w:val="0"/>
        <w:overflowPunct/>
        <w:topLinePunct w:val="0"/>
        <w:bidi w:val="0"/>
        <w:spacing w:before="155" w:line="430" w:lineRule="exact"/>
        <w:ind w:left="491"/>
        <w:rPr>
          <w:rFonts w:hint="eastAsia" w:ascii="宋体" w:hAnsi="宋体" w:eastAsia="宋体" w:cs="宋体"/>
          <w:color w:val="auto"/>
          <w:sz w:val="24"/>
          <w:szCs w:val="24"/>
          <w:highlight w:val="none"/>
        </w:rPr>
      </w:pPr>
      <w:r>
        <w:rPr>
          <w:rFonts w:hint="eastAsia" w:ascii="宋体" w:hAnsi="宋体" w:eastAsia="宋体" w:cs="宋体"/>
          <w:b/>
          <w:bCs/>
          <w:color w:val="auto"/>
          <w:spacing w:val="-12"/>
          <w:sz w:val="24"/>
          <w:szCs w:val="24"/>
          <w:highlight w:val="none"/>
        </w:rPr>
        <w:t>c</w:t>
      </w:r>
      <w:r>
        <w:rPr>
          <w:rFonts w:hint="eastAsia" w:ascii="宋体" w:hAnsi="宋体" w:eastAsia="宋体" w:cs="宋体"/>
          <w:b/>
          <w:bCs/>
          <w:color w:val="auto"/>
          <w:spacing w:val="-27"/>
          <w:sz w:val="24"/>
          <w:szCs w:val="24"/>
          <w:highlight w:val="none"/>
          <w:lang w:eastAsia="zh-CN"/>
        </w:rPr>
        <w:t>.</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12"/>
          <w:position w:val="-1"/>
          <w:sz w:val="24"/>
          <w:szCs w:val="24"/>
          <w:highlight w:val="none"/>
        </w:rPr>
        <w:t>1</w:t>
      </w:r>
      <w:r>
        <w:rPr>
          <w:rFonts w:hint="eastAsia" w:ascii="宋体" w:hAnsi="宋体" w:eastAsia="宋体" w:cs="宋体"/>
          <w:color w:val="auto"/>
          <w:sz w:val="24"/>
          <w:szCs w:val="24"/>
          <w:highlight w:val="none"/>
        </w:rPr>
        <w:t>＋M</w:t>
      </w:r>
      <w:r>
        <w:rPr>
          <w:rFonts w:hint="eastAsia" w:ascii="宋体" w:hAnsi="宋体" w:eastAsia="宋体" w:cs="宋体"/>
          <w:color w:val="auto"/>
          <w:position w:val="-1"/>
          <w:sz w:val="24"/>
          <w:szCs w:val="24"/>
          <w:highlight w:val="none"/>
        </w:rPr>
        <w:t>2</w:t>
      </w:r>
    </w:p>
    <w:p w14:paraId="589D3C79">
      <w:pPr>
        <w:keepNext w:val="0"/>
        <w:keepLines w:val="0"/>
        <w:pageBreakBefore w:val="0"/>
        <w:overflowPunct/>
        <w:topLinePunct w:val="0"/>
        <w:bidi w:val="0"/>
        <w:spacing w:before="139" w:line="430" w:lineRule="exact"/>
        <w:ind w:left="49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w:t>
      </w:r>
      <w:r>
        <w:rPr>
          <w:rFonts w:hint="eastAsia" w:ascii="宋体" w:hAnsi="宋体" w:eastAsia="宋体" w:cs="宋体"/>
          <w:color w:val="auto"/>
          <w:spacing w:val="-1"/>
          <w:position w:val="-1"/>
          <w:sz w:val="24"/>
          <w:szCs w:val="24"/>
          <w:highlight w:val="none"/>
        </w:rPr>
        <w:t>1</w:t>
      </w:r>
      <w:r>
        <w:rPr>
          <w:rFonts w:hint="eastAsia" w:ascii="宋体" w:hAnsi="宋体" w:eastAsia="宋体" w:cs="宋体"/>
          <w:color w:val="auto"/>
          <w:spacing w:val="-1"/>
          <w:sz w:val="24"/>
          <w:szCs w:val="24"/>
          <w:highlight w:val="none"/>
        </w:rPr>
        <w:t>为某投标人的商务得分，M</w:t>
      </w:r>
      <w:r>
        <w:rPr>
          <w:rFonts w:hint="eastAsia" w:ascii="宋体" w:hAnsi="宋体" w:eastAsia="宋体" w:cs="宋体"/>
          <w:color w:val="auto"/>
          <w:spacing w:val="-1"/>
          <w:position w:val="-1"/>
          <w:sz w:val="24"/>
          <w:szCs w:val="24"/>
          <w:highlight w:val="none"/>
        </w:rPr>
        <w:t>2</w:t>
      </w:r>
      <w:r>
        <w:rPr>
          <w:rFonts w:hint="eastAsia" w:ascii="宋体" w:hAnsi="宋体" w:eastAsia="宋体" w:cs="宋体"/>
          <w:color w:val="auto"/>
          <w:spacing w:val="-1"/>
          <w:sz w:val="24"/>
          <w:szCs w:val="24"/>
          <w:highlight w:val="none"/>
        </w:rPr>
        <w:t>为某投标人的</w:t>
      </w:r>
      <w:r>
        <w:rPr>
          <w:rFonts w:hint="eastAsia" w:ascii="宋体" w:hAnsi="宋体" w:eastAsia="宋体" w:cs="宋体"/>
          <w:color w:val="auto"/>
          <w:spacing w:val="-2"/>
          <w:sz w:val="24"/>
          <w:szCs w:val="24"/>
          <w:highlight w:val="none"/>
        </w:rPr>
        <w:t>技术得分。</w:t>
      </w:r>
    </w:p>
    <w:p w14:paraId="72339F63">
      <w:pPr>
        <w:keepNext w:val="0"/>
        <w:keepLines w:val="0"/>
        <w:pageBreakBefore w:val="0"/>
        <w:overflowPunct/>
        <w:topLinePunct w:val="0"/>
        <w:bidi w:val="0"/>
        <w:spacing w:before="106" w:line="430" w:lineRule="exact"/>
        <w:ind w:left="7" w:right="17" w:firstLine="489"/>
        <w:rPr>
          <w:rFonts w:hint="eastAsia" w:ascii="宋体" w:hAnsi="宋体" w:eastAsia="宋体" w:cs="宋体"/>
          <w:color w:val="auto"/>
          <w:spacing w:val="-9"/>
          <w:sz w:val="24"/>
          <w:szCs w:val="24"/>
          <w:highlight w:val="none"/>
        </w:rPr>
      </w:pPr>
      <w:bookmarkStart w:id="117" w:name="_Toc3958"/>
      <w:bookmarkStart w:id="118" w:name="_Toc16136"/>
      <w:bookmarkStart w:id="119" w:name="_Toc27609"/>
      <w:bookmarkStart w:id="120" w:name="_Toc3234"/>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2</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投标报价得分 N</w:t>
      </w:r>
      <w:bookmarkEnd w:id="117"/>
      <w:bookmarkEnd w:id="118"/>
      <w:bookmarkEnd w:id="119"/>
      <w:bookmarkEnd w:id="120"/>
    </w:p>
    <w:p w14:paraId="7028E5BD">
      <w:pPr>
        <w:keepNext w:val="0"/>
        <w:keepLines w:val="0"/>
        <w:pageBreakBefore w:val="0"/>
        <w:overflowPunct/>
        <w:topLinePunct w:val="0"/>
        <w:bidi w:val="0"/>
        <w:spacing w:before="106" w:line="430" w:lineRule="exact"/>
        <w:ind w:left="7" w:right="17" w:firstLine="489"/>
        <w:rPr>
          <w:rFonts w:hint="eastAsia" w:ascii="宋体" w:hAnsi="宋体" w:eastAsia="宋体" w:cs="宋体"/>
          <w:color w:val="auto"/>
          <w:spacing w:val="-9"/>
          <w:sz w:val="24"/>
          <w:szCs w:val="24"/>
          <w:highlight w:val="none"/>
        </w:rPr>
      </w:pPr>
      <w:r>
        <w:rPr>
          <w:rFonts w:hint="eastAsia" w:ascii="宋体" w:hAnsi="宋体" w:eastAsia="宋体" w:cs="宋体"/>
          <w:b/>
          <w:bCs/>
          <w:color w:val="auto"/>
          <w:spacing w:val="-9"/>
          <w:sz w:val="24"/>
          <w:szCs w:val="24"/>
          <w:highlight w:val="none"/>
        </w:rPr>
        <w:t>a</w:t>
      </w:r>
      <w:r>
        <w:rPr>
          <w:rFonts w:hint="eastAsia" w:ascii="宋体" w:hAnsi="宋体" w:eastAsia="宋体" w:cs="宋体"/>
          <w:b/>
          <w:bCs/>
          <w:color w:val="auto"/>
          <w:spacing w:val="-9"/>
          <w:sz w:val="24"/>
          <w:szCs w:val="24"/>
          <w:highlight w:val="none"/>
          <w:lang w:eastAsia="zh-CN"/>
        </w:rPr>
        <w:t>.</w:t>
      </w:r>
      <w:r>
        <w:rPr>
          <w:rFonts w:hint="eastAsia" w:ascii="宋体" w:hAnsi="宋体" w:eastAsia="宋体" w:cs="宋体"/>
          <w:color w:val="auto"/>
          <w:spacing w:val="-9"/>
          <w:sz w:val="24"/>
          <w:szCs w:val="24"/>
          <w:highlight w:val="none"/>
        </w:rPr>
        <w:t>评标委员会按照《综合评分表》投标报价部分指定的方法计算评标基准价D。</w:t>
      </w:r>
    </w:p>
    <w:p w14:paraId="21919ECF">
      <w:pPr>
        <w:keepNext w:val="0"/>
        <w:keepLines w:val="0"/>
        <w:pageBreakBefore w:val="0"/>
        <w:overflowPunct/>
        <w:topLinePunct w:val="0"/>
        <w:bidi w:val="0"/>
        <w:spacing w:before="155" w:line="430" w:lineRule="exact"/>
        <w:ind w:left="12" w:right="83"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b</w:t>
      </w:r>
      <w:r>
        <w:rPr>
          <w:rFonts w:hint="eastAsia" w:ascii="宋体" w:hAnsi="宋体" w:eastAsia="宋体" w:cs="宋体"/>
          <w:b/>
          <w:bCs/>
          <w:color w:val="auto"/>
          <w:spacing w:val="-20"/>
          <w:sz w:val="24"/>
          <w:szCs w:val="24"/>
          <w:highlight w:val="none"/>
          <w:lang w:eastAsia="zh-CN"/>
        </w:rPr>
        <w:t>.</w:t>
      </w:r>
      <w:r>
        <w:rPr>
          <w:rFonts w:hint="eastAsia" w:ascii="宋体" w:hAnsi="宋体" w:eastAsia="宋体" w:cs="宋体"/>
          <w:color w:val="auto"/>
          <w:sz w:val="24"/>
          <w:szCs w:val="24"/>
          <w:highlight w:val="none"/>
        </w:rPr>
        <w:t>采用内插法计算某投标人的投标报价得分</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z w:val="24"/>
          <w:szCs w:val="24"/>
          <w:highlight w:val="none"/>
        </w:rPr>
        <w:t>N</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，即当投标人的投标总价等于评</w:t>
      </w:r>
      <w:r>
        <w:rPr>
          <w:rFonts w:hint="eastAsia" w:ascii="宋体" w:hAnsi="宋体" w:eastAsia="宋体" w:cs="宋体"/>
          <w:color w:val="auto"/>
          <w:spacing w:val="-1"/>
          <w:sz w:val="24"/>
          <w:szCs w:val="24"/>
          <w:highlight w:val="none"/>
        </w:rPr>
        <w:t>标基准价时得100分，每高于评标基准价一个百分点扣</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1"/>
          <w:sz w:val="24"/>
          <w:szCs w:val="24"/>
          <w:highlight w:val="none"/>
        </w:rPr>
        <w:t xml:space="preserve">1 分,  </w:t>
      </w:r>
      <w:r>
        <w:rPr>
          <w:rFonts w:hint="eastAsia" w:ascii="宋体" w:hAnsi="宋体" w:eastAsia="宋体" w:cs="宋体"/>
          <w:color w:val="auto"/>
          <w:spacing w:val="-2"/>
          <w:sz w:val="24"/>
          <w:szCs w:val="24"/>
          <w:highlight w:val="none"/>
        </w:rPr>
        <w:t>每低于评标基准价一个百分点扣</w:t>
      </w:r>
      <w:r>
        <w:rPr>
          <w:rFonts w:hint="eastAsia" w:ascii="宋体" w:hAnsi="宋体" w:eastAsia="宋体" w:cs="宋体"/>
          <w:b/>
          <w:bCs/>
          <w:color w:val="auto"/>
          <w:spacing w:val="-2"/>
          <w:sz w:val="24"/>
          <w:szCs w:val="24"/>
          <w:highlight w:val="none"/>
        </w:rPr>
        <w:t>0.5 分</w:t>
      </w:r>
      <w:r>
        <w:rPr>
          <w:rFonts w:hint="eastAsia" w:ascii="宋体" w:hAnsi="宋体" w:eastAsia="宋体" w:cs="宋体"/>
          <w:color w:val="auto"/>
          <w:spacing w:val="-2"/>
          <w:sz w:val="24"/>
          <w:szCs w:val="24"/>
          <w:highlight w:val="none"/>
        </w:rPr>
        <w:t>，扣完为止。公式如下：</w:t>
      </w:r>
    </w:p>
    <w:p w14:paraId="2CBD9B36">
      <w:pPr>
        <w:keepNext w:val="0"/>
        <w:keepLines w:val="0"/>
        <w:pageBreakBefore w:val="0"/>
        <w:overflowPunct/>
        <w:topLinePunct w:val="0"/>
        <w:bidi w:val="0"/>
        <w:spacing w:before="118" w:line="430" w:lineRule="exact"/>
        <w:ind w:left="2418"/>
        <w:rPr>
          <w:rFonts w:hint="eastAsia" w:ascii="宋体" w:hAnsi="宋体" w:eastAsia="宋体" w:cs="宋体"/>
          <w:color w:val="auto"/>
          <w:sz w:val="24"/>
          <w:szCs w:val="24"/>
          <w:highlight w:val="none"/>
        </w:rPr>
      </w:pPr>
      <w:r>
        <w:rPr>
          <w:rFonts w:hint="eastAsia" w:ascii="宋体" w:hAnsi="宋体" w:eastAsia="宋体" w:cs="宋体"/>
          <w:color w:val="auto"/>
          <w:spacing w:val="-6"/>
          <w:position w:val="3"/>
          <w:sz w:val="24"/>
          <w:szCs w:val="24"/>
          <w:highlight w:val="none"/>
        </w:rPr>
        <w:t>N</w:t>
      </w:r>
      <w:r>
        <w:rPr>
          <w:rFonts w:hint="eastAsia" w:ascii="宋体" w:hAnsi="宋体" w:eastAsia="宋体" w:cs="宋体"/>
          <w:color w:val="auto"/>
          <w:spacing w:val="-27"/>
          <w:position w:val="3"/>
          <w:sz w:val="24"/>
          <w:szCs w:val="24"/>
          <w:highlight w:val="none"/>
        </w:rPr>
        <w:t xml:space="preserve"> </w:t>
      </w:r>
      <w:r>
        <w:rPr>
          <w:rFonts w:hint="eastAsia" w:ascii="宋体" w:hAnsi="宋体" w:eastAsia="宋体" w:cs="宋体"/>
          <w:color w:val="auto"/>
          <w:spacing w:val="-6"/>
          <w:position w:val="3"/>
          <w:sz w:val="24"/>
          <w:szCs w:val="24"/>
          <w:highlight w:val="none"/>
        </w:rPr>
        <w:t>＝100</w:t>
      </w:r>
      <w:r>
        <w:rPr>
          <w:rFonts w:hint="eastAsia" w:ascii="宋体" w:hAnsi="宋体" w:eastAsia="宋体" w:cs="宋体"/>
          <w:color w:val="auto"/>
          <w:spacing w:val="-12"/>
          <w:position w:val="3"/>
          <w:sz w:val="24"/>
          <w:szCs w:val="24"/>
          <w:highlight w:val="none"/>
        </w:rPr>
        <w:t>－（</w:t>
      </w:r>
      <w:r>
        <w:rPr>
          <w:rFonts w:hint="eastAsia" w:ascii="宋体" w:hAnsi="宋体" w:eastAsia="宋体" w:cs="宋体"/>
          <w:color w:val="auto"/>
          <w:spacing w:val="-6"/>
          <w:position w:val="3"/>
          <w:sz w:val="24"/>
          <w:szCs w:val="24"/>
          <w:highlight w:val="none"/>
        </w:rPr>
        <w:t>| Di－D</w:t>
      </w:r>
      <w:r>
        <w:rPr>
          <w:rFonts w:hint="eastAsia" w:ascii="宋体" w:hAnsi="宋体" w:eastAsia="宋体" w:cs="宋体"/>
          <w:color w:val="auto"/>
          <w:spacing w:val="9"/>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17"/>
          <w:position w:val="3"/>
          <w:sz w:val="24"/>
          <w:szCs w:val="24"/>
          <w:highlight w:val="none"/>
        </w:rPr>
        <w:t xml:space="preserve"> </w:t>
      </w:r>
      <w:r>
        <w:rPr>
          <w:rFonts w:hint="eastAsia" w:ascii="宋体" w:hAnsi="宋体" w:eastAsia="宋体" w:cs="宋体"/>
          <w:color w:val="auto"/>
          <w:spacing w:val="-6"/>
          <w:position w:val="3"/>
          <w:sz w:val="24"/>
          <w:szCs w:val="24"/>
          <w:highlight w:val="none"/>
        </w:rPr>
        <w:t>÷D）</w:t>
      </w:r>
      <w:r>
        <w:rPr>
          <w:rFonts w:hint="eastAsia" w:ascii="宋体" w:hAnsi="宋体" w:eastAsia="宋体" w:cs="宋体"/>
          <w:color w:val="auto"/>
          <w:spacing w:val="-75"/>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92"/>
          <w:position w:val="3"/>
          <w:sz w:val="24"/>
          <w:szCs w:val="24"/>
          <w:highlight w:val="none"/>
        </w:rPr>
        <w:t xml:space="preserve"> </w:t>
      </w:r>
      <w:r>
        <w:rPr>
          <w:rFonts w:hint="eastAsia" w:ascii="宋体" w:hAnsi="宋体" w:eastAsia="宋体" w:cs="宋体"/>
          <w:color w:val="auto"/>
          <w:spacing w:val="-6"/>
          <w:position w:val="3"/>
          <w:sz w:val="24"/>
          <w:szCs w:val="24"/>
          <w:highlight w:val="none"/>
        </w:rPr>
        <w:t>100×E</w:t>
      </w:r>
    </w:p>
    <w:p w14:paraId="127ED769">
      <w:pPr>
        <w:keepNext w:val="0"/>
        <w:keepLines w:val="0"/>
        <w:pageBreakBefore w:val="0"/>
        <w:overflowPunct/>
        <w:topLinePunct w:val="0"/>
        <w:bidi w:val="0"/>
        <w:spacing w:before="106" w:line="430" w:lineRule="exact"/>
        <w:ind w:left="7" w:right="17" w:firstLine="48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式中：D 为评标基准价；Di为某投标人的投标总价；E</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为扣分因子，当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9"/>
          <w:sz w:val="24"/>
          <w:szCs w:val="24"/>
          <w:highlight w:val="none"/>
        </w:rPr>
        <w:t>Di＞D</w:t>
      </w:r>
      <w:r>
        <w:rPr>
          <w:rFonts w:hint="eastAsia" w:ascii="宋体" w:hAnsi="宋体" w:eastAsia="宋体" w:cs="宋体"/>
          <w:color w:val="auto"/>
          <w:spacing w:val="-10"/>
          <w:sz w:val="24"/>
          <w:szCs w:val="24"/>
          <w:highlight w:val="none"/>
        </w:rPr>
        <w:t>时，</w:t>
      </w:r>
      <w:r>
        <w:rPr>
          <w:rFonts w:hint="eastAsia" w:ascii="宋体" w:hAnsi="宋体" w:eastAsia="宋体" w:cs="宋体"/>
          <w:color w:val="auto"/>
          <w:spacing w:val="-8"/>
          <w:sz w:val="24"/>
          <w:szCs w:val="24"/>
          <w:highlight w:val="none"/>
        </w:rPr>
        <w:t>E＝</w:t>
      </w:r>
      <w:r>
        <w:rPr>
          <w:rFonts w:hint="eastAsia" w:ascii="宋体" w:hAnsi="宋体" w:eastAsia="宋体" w:cs="宋体"/>
          <w:b w:val="0"/>
          <w:bCs w:val="0"/>
          <w:color w:val="auto"/>
          <w:spacing w:val="-8"/>
          <w:sz w:val="24"/>
          <w:szCs w:val="24"/>
          <w:highlight w:val="none"/>
        </w:rPr>
        <w:t>1</w:t>
      </w:r>
      <w:r>
        <w:rPr>
          <w:rFonts w:hint="eastAsia" w:ascii="宋体" w:hAnsi="宋体" w:eastAsia="宋体" w:cs="宋体"/>
          <w:b w:val="0"/>
          <w:bCs w:val="0"/>
          <w:color w:val="auto"/>
          <w:spacing w:val="-30"/>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color w:val="auto"/>
          <w:spacing w:val="-8"/>
          <w:sz w:val="24"/>
          <w:szCs w:val="24"/>
          <w:highlight w:val="none"/>
        </w:rPr>
        <w:t>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Di＜D</w:t>
      </w:r>
      <w:r>
        <w:rPr>
          <w:rFonts w:hint="eastAsia" w:ascii="宋体" w:hAnsi="宋体" w:eastAsia="宋体" w:cs="宋体"/>
          <w:color w:val="auto"/>
          <w:spacing w:val="20"/>
          <w:w w:val="101"/>
          <w:sz w:val="24"/>
          <w:szCs w:val="24"/>
          <w:highlight w:val="none"/>
        </w:rPr>
        <w:t xml:space="preserve"> </w:t>
      </w:r>
      <w:r>
        <w:rPr>
          <w:rFonts w:hint="eastAsia" w:ascii="宋体" w:hAnsi="宋体" w:eastAsia="宋体" w:cs="宋体"/>
          <w:color w:val="auto"/>
          <w:spacing w:val="-8"/>
          <w:sz w:val="24"/>
          <w:szCs w:val="24"/>
          <w:highlight w:val="none"/>
        </w:rPr>
        <w:t>时，E</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b w:val="0"/>
          <w:bCs w:val="0"/>
          <w:color w:val="auto"/>
          <w:spacing w:val="-8"/>
          <w:sz w:val="24"/>
          <w:szCs w:val="24"/>
          <w:highlight w:val="none"/>
        </w:rPr>
        <w:t>0.5</w:t>
      </w:r>
      <w:r>
        <w:rPr>
          <w:rFonts w:hint="eastAsia" w:ascii="宋体" w:hAnsi="宋体" w:eastAsia="宋体" w:cs="宋体"/>
          <w:b/>
          <w:bCs/>
          <w:color w:val="auto"/>
          <w:spacing w:val="-8"/>
          <w:sz w:val="24"/>
          <w:szCs w:val="24"/>
          <w:highlight w:val="none"/>
        </w:rPr>
        <w:t>。</w:t>
      </w:r>
    </w:p>
    <w:p w14:paraId="242125E3">
      <w:pPr>
        <w:keepNext w:val="0"/>
        <w:keepLines w:val="0"/>
        <w:pageBreakBefore w:val="0"/>
        <w:overflowPunct/>
        <w:topLinePunct w:val="0"/>
        <w:bidi w:val="0"/>
        <w:spacing w:before="152" w:line="430" w:lineRule="exact"/>
        <w:ind w:left="14" w:right="81" w:firstLine="476"/>
        <w:rPr>
          <w:rFonts w:hint="eastAsia" w:ascii="宋体" w:hAnsi="宋体" w:eastAsia="宋体" w:cs="宋体"/>
          <w:color w:val="auto"/>
          <w:spacing w:val="-1"/>
          <w:sz w:val="24"/>
          <w:szCs w:val="24"/>
          <w:highlight w:val="none"/>
          <w:lang w:eastAsia="zh-CN"/>
        </w:rPr>
      </w:pPr>
      <w:bookmarkStart w:id="121" w:name="_Toc3861"/>
      <w:bookmarkStart w:id="122" w:name="_Toc4990"/>
      <w:bookmarkStart w:id="123" w:name="_Toc23551"/>
      <w:bookmarkStart w:id="124" w:name="_Toc7915"/>
      <w:r>
        <w:rPr>
          <w:rFonts w:hint="eastAsia" w:ascii="宋体" w:hAnsi="宋体" w:eastAsia="宋体" w:cs="宋体"/>
          <w:color w:val="auto"/>
          <w:spacing w:val="-1"/>
          <w:sz w:val="24"/>
          <w:szCs w:val="24"/>
          <w:highlight w:val="none"/>
          <w:lang w:eastAsia="zh-CN"/>
        </w:rPr>
        <w:t>（3）综合得分</w:t>
      </w:r>
      <w:bookmarkEnd w:id="121"/>
      <w:bookmarkEnd w:id="122"/>
      <w:bookmarkEnd w:id="123"/>
      <w:bookmarkEnd w:id="124"/>
    </w:p>
    <w:p w14:paraId="26A007E8">
      <w:pPr>
        <w:keepNext w:val="0"/>
        <w:keepLines w:val="0"/>
        <w:pageBreakBefore w:val="0"/>
        <w:overflowPunct/>
        <w:topLinePunct w:val="0"/>
        <w:bidi w:val="0"/>
        <w:spacing w:before="153" w:line="430" w:lineRule="exact"/>
        <w:ind w:left="49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综合得分换算为百分制，满分</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100 分，公式如下：</w:t>
      </w:r>
    </w:p>
    <w:p w14:paraId="162E715D">
      <w:pPr>
        <w:keepNext w:val="0"/>
        <w:keepLines w:val="0"/>
        <w:pageBreakBefore w:val="0"/>
        <w:overflowPunct/>
        <w:topLinePunct w:val="0"/>
        <w:bidi w:val="0"/>
        <w:spacing w:before="155" w:line="430" w:lineRule="exact"/>
        <w:ind w:left="496" w:right="532" w:hanging="33"/>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t>综合得分＝M÷商务技术合计满分×100</w:t>
      </w:r>
      <w:r>
        <w:rPr>
          <w:rFonts w:hint="eastAsia" w:ascii="宋体" w:hAnsi="宋体" w:eastAsia="宋体" w:cs="宋体"/>
          <w:color w:val="auto"/>
          <w:spacing w:val="-1"/>
          <w:sz w:val="24"/>
          <w:szCs w:val="24"/>
          <w:highlight w:val="none"/>
        </w:rPr>
        <w:t>×商务技术权重＋N×投标报价权重</w:t>
      </w:r>
    </w:p>
    <w:p w14:paraId="20890010">
      <w:pPr>
        <w:keepNext w:val="0"/>
        <w:keepLines w:val="0"/>
        <w:pageBreakBefore w:val="0"/>
        <w:overflowPunct/>
        <w:topLinePunct w:val="0"/>
        <w:bidi w:val="0"/>
        <w:spacing w:before="155" w:line="430" w:lineRule="exact"/>
        <w:ind w:left="496" w:right="532" w:hanging="3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 xml:space="preserve">式中：M </w:t>
      </w:r>
      <w:r>
        <w:rPr>
          <w:rFonts w:hint="eastAsia" w:ascii="宋体" w:hAnsi="宋体" w:eastAsia="宋体" w:cs="宋体"/>
          <w:color w:val="auto"/>
          <w:sz w:val="24"/>
          <w:szCs w:val="24"/>
          <w:highlight w:val="none"/>
        </w:rPr>
        <w:t>为商务技术得分，N 为投标报价得分。</w:t>
      </w:r>
    </w:p>
    <w:p w14:paraId="77F3020A">
      <w:pPr>
        <w:keepNext w:val="0"/>
        <w:keepLines w:val="0"/>
        <w:pageBreakBefore w:val="0"/>
        <w:overflowPunct/>
        <w:topLinePunct w:val="0"/>
        <w:bidi w:val="0"/>
        <w:spacing w:line="430" w:lineRule="exact"/>
        <w:ind w:firstLine="480" w:firstLineChars="200"/>
        <w:rPr>
          <w:rFonts w:hint="eastAsia" w:ascii="宋体" w:hAnsi="宋体" w:eastAsia="宋体" w:cs="宋体"/>
          <w:color w:val="auto"/>
          <w:sz w:val="24"/>
          <w:szCs w:val="24"/>
          <w:highlight w:val="none"/>
        </w:rPr>
      </w:pPr>
      <w:bookmarkStart w:id="125" w:name="_Toc25214"/>
      <w:bookmarkStart w:id="126" w:name="_Toc30671"/>
      <w:bookmarkStart w:id="127" w:name="_Toc16789"/>
      <w:bookmarkStart w:id="128" w:name="_Toc2885"/>
      <w:r>
        <w:rPr>
          <w:rFonts w:hint="eastAsia" w:ascii="宋体" w:hAnsi="宋体" w:eastAsia="宋体" w:cs="宋体"/>
          <w:color w:val="auto"/>
          <w:sz w:val="24"/>
          <w:szCs w:val="24"/>
          <w:highlight w:val="none"/>
        </w:rPr>
        <w:t>（4）评标委员会汇总、比较所有投标人的综合得分后，取综合得分最高的投标</w:t>
      </w:r>
      <w:bookmarkEnd w:id="125"/>
      <w:bookmarkEnd w:id="126"/>
      <w:bookmarkEnd w:id="127"/>
      <w:bookmarkEnd w:id="128"/>
      <w:r>
        <w:rPr>
          <w:rFonts w:hint="eastAsia" w:ascii="宋体" w:hAnsi="宋体" w:eastAsia="宋体" w:cs="宋体"/>
          <w:color w:val="auto"/>
          <w:sz w:val="24"/>
          <w:szCs w:val="24"/>
          <w:highlight w:val="none"/>
        </w:rPr>
        <w:t>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p>
    <w:p w14:paraId="7B13C2DE">
      <w:pPr>
        <w:rPr>
          <w:rFonts w:hint="eastAsia" w:ascii="宋体" w:hAnsi="宋体" w:eastAsia="宋体" w:cs="宋体"/>
          <w:color w:val="auto"/>
          <w:highlight w:val="none"/>
        </w:rPr>
      </w:pPr>
    </w:p>
    <w:p w14:paraId="45BAE882">
      <w:pPr>
        <w:rPr>
          <w:rFonts w:hint="eastAsia" w:ascii="宋体" w:hAnsi="宋体" w:eastAsia="宋体" w:cs="宋体"/>
          <w:color w:val="auto"/>
          <w:highlight w:val="none"/>
        </w:rPr>
      </w:pPr>
    </w:p>
    <w:p w14:paraId="3775F260">
      <w:pPr>
        <w:pStyle w:val="13"/>
        <w:rPr>
          <w:rFonts w:hint="eastAsia" w:ascii="宋体" w:hAnsi="宋体" w:eastAsia="宋体" w:cs="宋体"/>
          <w:color w:val="auto"/>
          <w:highlight w:val="none"/>
        </w:rPr>
      </w:pPr>
    </w:p>
    <w:p w14:paraId="3B53596D">
      <w:pPr>
        <w:pStyle w:val="27"/>
        <w:rPr>
          <w:rFonts w:hint="eastAsia" w:ascii="宋体" w:hAnsi="宋体" w:eastAsia="宋体" w:cs="宋体"/>
          <w:color w:val="auto"/>
          <w:highlight w:val="none"/>
        </w:rPr>
      </w:pPr>
    </w:p>
    <w:p w14:paraId="5AD9012D">
      <w:pPr>
        <w:pStyle w:val="27"/>
        <w:rPr>
          <w:rFonts w:hint="eastAsia" w:ascii="宋体" w:hAnsi="宋体" w:eastAsia="宋体" w:cs="宋体"/>
          <w:color w:val="auto"/>
          <w:highlight w:val="none"/>
        </w:rPr>
      </w:pPr>
    </w:p>
    <w:p w14:paraId="76981C19">
      <w:pPr>
        <w:pStyle w:val="27"/>
        <w:rPr>
          <w:rFonts w:hint="eastAsia" w:ascii="宋体" w:hAnsi="宋体" w:eastAsia="宋体" w:cs="宋体"/>
          <w:color w:val="auto"/>
          <w:highlight w:val="none"/>
        </w:rPr>
      </w:pPr>
    </w:p>
    <w:p w14:paraId="5EB9F3E7">
      <w:pPr>
        <w:pStyle w:val="27"/>
        <w:rPr>
          <w:rFonts w:hint="eastAsia" w:ascii="宋体" w:hAnsi="宋体" w:eastAsia="宋体" w:cs="宋体"/>
          <w:color w:val="auto"/>
          <w:highlight w:val="none"/>
        </w:rPr>
      </w:pPr>
    </w:p>
    <w:p w14:paraId="44E314A7">
      <w:pPr>
        <w:rPr>
          <w:rFonts w:hint="eastAsia" w:ascii="宋体" w:hAnsi="宋体" w:eastAsia="宋体" w:cs="宋体"/>
          <w:b/>
          <w:bCs/>
          <w:color w:val="auto"/>
          <w:spacing w:val="-1"/>
          <w:sz w:val="28"/>
          <w:szCs w:val="28"/>
          <w:highlight w:val="none"/>
        </w:rPr>
      </w:pPr>
      <w:bookmarkStart w:id="129" w:name="_Toc16801"/>
      <w:bookmarkStart w:id="130" w:name="_Toc17375"/>
      <w:bookmarkStart w:id="131" w:name="_Toc3839"/>
      <w:bookmarkStart w:id="132" w:name="_Toc3020"/>
      <w:r>
        <w:rPr>
          <w:rFonts w:hint="eastAsia" w:ascii="宋体" w:hAnsi="宋体" w:eastAsia="宋体" w:cs="宋体"/>
          <w:b/>
          <w:bCs/>
          <w:color w:val="auto"/>
          <w:spacing w:val="-1"/>
          <w:sz w:val="28"/>
          <w:szCs w:val="28"/>
          <w:highlight w:val="none"/>
        </w:rPr>
        <w:br w:type="page"/>
      </w:r>
    </w:p>
    <w:p w14:paraId="2777AEDA">
      <w:pPr>
        <w:spacing w:before="152" w:line="360" w:lineRule="auto"/>
        <w:ind w:left="14" w:right="81" w:firstLine="476"/>
        <w:jc w:val="center"/>
        <w:rPr>
          <w:rFonts w:hint="eastAsia" w:ascii="宋体" w:hAnsi="宋体" w:eastAsia="宋体" w:cs="宋体"/>
          <w:b/>
          <w:bCs/>
          <w:color w:val="auto"/>
          <w:spacing w:val="-1"/>
          <w:sz w:val="28"/>
          <w:szCs w:val="28"/>
          <w:highlight w:val="none"/>
          <w:lang w:eastAsia="zh-CN"/>
        </w:rPr>
      </w:pPr>
      <w:r>
        <w:rPr>
          <w:rFonts w:hint="eastAsia" w:ascii="宋体" w:hAnsi="宋体" w:eastAsia="宋体" w:cs="宋体"/>
          <w:b/>
          <w:bCs/>
          <w:color w:val="auto"/>
          <w:spacing w:val="-1"/>
          <w:sz w:val="28"/>
          <w:szCs w:val="28"/>
          <w:highlight w:val="none"/>
        </w:rPr>
        <w:t>综合评分表</w:t>
      </w:r>
      <w:bookmarkEnd w:id="129"/>
      <w:bookmarkEnd w:id="130"/>
      <w:bookmarkEnd w:id="131"/>
      <w:bookmarkEnd w:id="132"/>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8"/>
        <w:gridCol w:w="3915"/>
        <w:gridCol w:w="4575"/>
      </w:tblGrid>
      <w:tr w14:paraId="15FB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8" w:type="dxa"/>
            <w:gridSpan w:val="3"/>
            <w:tcBorders>
              <w:top w:val="single" w:color="auto" w:sz="4" w:space="0"/>
              <w:left w:val="single" w:color="auto" w:sz="4" w:space="0"/>
              <w:bottom w:val="single" w:color="auto" w:sz="4" w:space="0"/>
              <w:right w:val="single" w:color="auto" w:sz="4" w:space="0"/>
            </w:tcBorders>
            <w:shd w:val="clear" w:color="auto" w:fill="D7D7D7"/>
            <w:vAlign w:val="center"/>
          </w:tcPr>
          <w:p w14:paraId="337FDE04">
            <w:pPr>
              <w:pStyle w:val="8"/>
              <w:tabs>
                <w:tab w:val="left" w:pos="1354"/>
                <w:tab w:val="left" w:pos="1459"/>
                <w:tab w:val="center" w:pos="3902"/>
                <w:tab w:val="right" w:pos="7805"/>
              </w:tabs>
              <w:wordWrap w:val="0"/>
              <w:spacing w:after="0" w:line="400" w:lineRule="exact"/>
              <w:rPr>
                <w:rFonts w:hint="eastAsia" w:ascii="宋体" w:hAnsi="宋体" w:eastAsia="宋体" w:cs="宋体"/>
                <w:snapToGrid w:val="0"/>
                <w:color w:val="auto"/>
                <w:kern w:val="0"/>
                <w:sz w:val="24"/>
                <w:szCs w:val="24"/>
                <w:highlight w:val="none"/>
              </w:rPr>
            </w:pPr>
            <w:bookmarkStart w:id="133" w:name="_Toc9725"/>
            <w:bookmarkStart w:id="134" w:name="_Toc178"/>
            <w:bookmarkStart w:id="135" w:name="_Toc5769"/>
            <w:bookmarkStart w:id="136" w:name="_Toc31744"/>
            <w:r>
              <w:rPr>
                <w:rFonts w:hint="eastAsia" w:ascii="宋体" w:hAnsi="宋体" w:eastAsia="宋体" w:cs="宋体"/>
                <w:b/>
                <w:bCs/>
                <w:snapToGrid w:val="0"/>
                <w:color w:val="auto"/>
                <w:kern w:val="0"/>
                <w:sz w:val="24"/>
                <w:szCs w:val="24"/>
                <w:highlight w:val="none"/>
              </w:rPr>
              <w:t>商务部分，满分：</w:t>
            </w:r>
            <w:r>
              <w:rPr>
                <w:rFonts w:hint="eastAsia" w:ascii="宋体" w:hAnsi="宋体" w:eastAsia="宋体" w:cs="宋体"/>
                <w:b/>
                <w:bCs/>
                <w:snapToGrid w:val="0"/>
                <w:color w:val="auto"/>
                <w:kern w:val="0"/>
                <w:sz w:val="24"/>
                <w:szCs w:val="24"/>
                <w:highlight w:val="none"/>
                <w:u w:val="single"/>
              </w:rPr>
              <w:t xml:space="preserve"> 80 </w:t>
            </w:r>
            <w:r>
              <w:rPr>
                <w:rFonts w:hint="eastAsia" w:ascii="宋体" w:hAnsi="宋体" w:eastAsia="宋体" w:cs="宋体"/>
                <w:b/>
                <w:bCs/>
                <w:snapToGrid w:val="0"/>
                <w:color w:val="auto"/>
                <w:kern w:val="0"/>
                <w:sz w:val="24"/>
                <w:szCs w:val="24"/>
                <w:highlight w:val="none"/>
              </w:rPr>
              <w:t>分。</w:t>
            </w:r>
          </w:p>
        </w:tc>
      </w:tr>
      <w:tr w14:paraId="3C4C3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8" w:type="dxa"/>
            <w:tcBorders>
              <w:top w:val="single" w:color="auto" w:sz="4" w:space="0"/>
              <w:left w:val="single" w:color="auto" w:sz="4" w:space="0"/>
              <w:bottom w:val="single" w:color="auto" w:sz="4" w:space="0"/>
              <w:right w:val="single" w:color="auto" w:sz="4" w:space="0"/>
            </w:tcBorders>
            <w:vAlign w:val="center"/>
          </w:tcPr>
          <w:p w14:paraId="6224A20A">
            <w:pPr>
              <w:pStyle w:val="8"/>
              <w:tabs>
                <w:tab w:val="left" w:pos="1354"/>
                <w:tab w:val="left" w:pos="1459"/>
                <w:tab w:val="center" w:pos="3902"/>
                <w:tab w:val="right" w:pos="7805"/>
              </w:tabs>
              <w:wordWrap w:val="0"/>
              <w:spacing w:after="0"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评分因素</w:t>
            </w:r>
          </w:p>
        </w:tc>
        <w:tc>
          <w:tcPr>
            <w:tcW w:w="3915" w:type="dxa"/>
            <w:tcBorders>
              <w:top w:val="single" w:color="auto" w:sz="4" w:space="0"/>
              <w:left w:val="single" w:color="auto" w:sz="4" w:space="0"/>
              <w:bottom w:val="single" w:color="auto" w:sz="4" w:space="0"/>
              <w:right w:val="single" w:color="auto" w:sz="4" w:space="0"/>
            </w:tcBorders>
            <w:vAlign w:val="center"/>
          </w:tcPr>
          <w:p w14:paraId="478ECE1F">
            <w:pPr>
              <w:pStyle w:val="8"/>
              <w:tabs>
                <w:tab w:val="left" w:pos="1354"/>
                <w:tab w:val="left" w:pos="1459"/>
                <w:tab w:val="center" w:pos="3902"/>
                <w:tab w:val="right" w:pos="7805"/>
              </w:tabs>
              <w:wordWrap w:val="0"/>
              <w:spacing w:after="0"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评分标准</w:t>
            </w:r>
          </w:p>
        </w:tc>
        <w:tc>
          <w:tcPr>
            <w:tcW w:w="4575" w:type="dxa"/>
            <w:tcBorders>
              <w:top w:val="single" w:color="auto" w:sz="4" w:space="0"/>
              <w:left w:val="single" w:color="auto" w:sz="4" w:space="0"/>
              <w:bottom w:val="single" w:color="auto" w:sz="4" w:space="0"/>
              <w:right w:val="single" w:color="auto" w:sz="4" w:space="0"/>
            </w:tcBorders>
            <w:vAlign w:val="center"/>
          </w:tcPr>
          <w:p w14:paraId="4704A4A0">
            <w:pPr>
              <w:pStyle w:val="8"/>
              <w:tabs>
                <w:tab w:val="left" w:pos="1354"/>
                <w:tab w:val="left" w:pos="1459"/>
                <w:tab w:val="center" w:pos="3902"/>
                <w:tab w:val="right" w:pos="7805"/>
              </w:tabs>
              <w:wordWrap w:val="0"/>
              <w:spacing w:after="0"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w:t>
            </w:r>
          </w:p>
        </w:tc>
      </w:tr>
      <w:tr w14:paraId="44716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8" w:type="dxa"/>
            <w:tcBorders>
              <w:top w:val="single" w:color="auto" w:sz="4" w:space="0"/>
              <w:left w:val="single" w:color="auto" w:sz="4" w:space="0"/>
              <w:bottom w:val="single" w:color="auto" w:sz="4" w:space="0"/>
              <w:right w:val="single" w:color="auto" w:sz="4" w:space="0"/>
            </w:tcBorders>
            <w:vAlign w:val="center"/>
          </w:tcPr>
          <w:p w14:paraId="47302155">
            <w:pPr>
              <w:keepNext w:val="0"/>
              <w:keepLines w:val="0"/>
              <w:pageBreakBefore w:val="0"/>
              <w:widowControl/>
              <w:kinsoku w:val="0"/>
              <w:wordWrap w:val="0"/>
              <w:overflowPunct/>
              <w:topLinePunct w:val="0"/>
              <w:autoSpaceDE w:val="0"/>
              <w:autoSpaceDN w:val="0"/>
              <w:bidi w:val="0"/>
              <w:adjustRightInd w:val="0"/>
              <w:snapToGrid w:val="0"/>
              <w:spacing w:line="420" w:lineRule="exac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企业奖项</w:t>
            </w:r>
          </w:p>
          <w:p w14:paraId="4A394B12">
            <w:pPr>
              <w:keepNext w:val="0"/>
              <w:keepLines w:val="0"/>
              <w:pageBreakBefore w:val="0"/>
              <w:widowControl/>
              <w:kinsoku w:val="0"/>
              <w:wordWrap w:val="0"/>
              <w:overflowPunct/>
              <w:topLinePunct w:val="0"/>
              <w:autoSpaceDE w:val="0"/>
              <w:autoSpaceDN w:val="0"/>
              <w:bidi w:val="0"/>
              <w:adjustRightInd w:val="0"/>
              <w:snapToGrid w:val="0"/>
              <w:spacing w:line="420" w:lineRule="exac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（10分）</w:t>
            </w:r>
          </w:p>
        </w:tc>
        <w:tc>
          <w:tcPr>
            <w:tcW w:w="3915" w:type="dxa"/>
            <w:tcBorders>
              <w:top w:val="single" w:color="auto" w:sz="4" w:space="0"/>
              <w:left w:val="single" w:color="auto" w:sz="4" w:space="0"/>
              <w:bottom w:val="single" w:color="auto" w:sz="4" w:space="0"/>
              <w:right w:val="single" w:color="auto" w:sz="4" w:space="0"/>
            </w:tcBorders>
            <w:vAlign w:val="center"/>
          </w:tcPr>
          <w:p w14:paraId="7DF644E6">
            <w:pPr>
              <w:keepNext w:val="0"/>
              <w:keepLines w:val="0"/>
              <w:pageBreakBefore w:val="0"/>
              <w:widowControl/>
              <w:kinsoku w:val="0"/>
              <w:wordWrap w:val="0"/>
              <w:overflowPunct/>
              <w:topLinePunct w:val="0"/>
              <w:autoSpaceDE w:val="0"/>
              <w:autoSpaceDN w:val="0"/>
              <w:bidi w:val="0"/>
              <w:adjustRightInd w:val="0"/>
              <w:snapToGrid w:val="0"/>
              <w:spacing w:line="42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企业2021年1月1日至今获得工程类奖项情况：</w:t>
            </w:r>
          </w:p>
          <w:p w14:paraId="74F507BC">
            <w:pPr>
              <w:keepNext w:val="0"/>
              <w:keepLines w:val="0"/>
              <w:pageBreakBefore w:val="0"/>
              <w:widowControl/>
              <w:kinsoku w:val="0"/>
              <w:wordWrap w:val="0"/>
              <w:overflowPunct/>
              <w:topLinePunct w:val="0"/>
              <w:autoSpaceDE w:val="0"/>
              <w:autoSpaceDN w:val="0"/>
              <w:bidi w:val="0"/>
              <w:adjustRightInd w:val="0"/>
              <w:snapToGrid w:val="0"/>
              <w:spacing w:line="42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1．获得国家级奖项的，每个得</w:t>
            </w:r>
            <w:r>
              <w:rPr>
                <w:rFonts w:hint="eastAsia" w:ascii="宋体" w:hAnsi="宋体" w:eastAsia="宋体" w:cs="宋体"/>
                <w:snapToGrid w:val="0"/>
                <w:color w:val="auto"/>
                <w:kern w:val="0"/>
                <w:sz w:val="24"/>
                <w:szCs w:val="24"/>
                <w:highlight w:val="none"/>
                <w:u w:val="single"/>
              </w:rPr>
              <w:t xml:space="preserve"> 8</w:t>
            </w:r>
            <w:r>
              <w:rPr>
                <w:rFonts w:hint="eastAsia" w:ascii="宋体" w:hAnsi="宋体" w:eastAsia="宋体" w:cs="宋体"/>
                <w:snapToGrid w:val="0"/>
                <w:color w:val="auto"/>
                <w:kern w:val="0"/>
                <w:sz w:val="24"/>
                <w:szCs w:val="24"/>
                <w:highlight w:val="none"/>
              </w:rPr>
              <w:t>分。</w:t>
            </w:r>
          </w:p>
          <w:p w14:paraId="2C9902C9">
            <w:pPr>
              <w:keepNext w:val="0"/>
              <w:keepLines w:val="0"/>
              <w:pageBreakBefore w:val="0"/>
              <w:widowControl/>
              <w:kinsoku w:val="0"/>
              <w:wordWrap w:val="0"/>
              <w:overflowPunct/>
              <w:topLinePunct w:val="0"/>
              <w:autoSpaceDE w:val="0"/>
              <w:autoSpaceDN w:val="0"/>
              <w:bidi w:val="0"/>
              <w:adjustRightInd w:val="0"/>
              <w:snapToGrid w:val="0"/>
              <w:spacing w:line="42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2．获得省级奖项的，每个得</w:t>
            </w:r>
            <w:r>
              <w:rPr>
                <w:rFonts w:hint="eastAsia" w:ascii="宋体" w:hAnsi="宋体" w:eastAsia="宋体" w:cs="宋体"/>
                <w:snapToGrid w:val="0"/>
                <w:color w:val="auto"/>
                <w:kern w:val="0"/>
                <w:sz w:val="24"/>
                <w:szCs w:val="24"/>
                <w:highlight w:val="none"/>
                <w:u w:val="single"/>
              </w:rPr>
              <w:t xml:space="preserve"> 4 </w:t>
            </w:r>
            <w:r>
              <w:rPr>
                <w:rFonts w:hint="eastAsia" w:ascii="宋体" w:hAnsi="宋体" w:eastAsia="宋体" w:cs="宋体"/>
                <w:snapToGrid w:val="0"/>
                <w:color w:val="auto"/>
                <w:kern w:val="0"/>
                <w:sz w:val="24"/>
                <w:szCs w:val="24"/>
                <w:highlight w:val="none"/>
              </w:rPr>
              <w:t>分。</w:t>
            </w:r>
          </w:p>
          <w:p w14:paraId="1A399B2B">
            <w:pPr>
              <w:keepNext w:val="0"/>
              <w:keepLines w:val="0"/>
              <w:pageBreakBefore w:val="0"/>
              <w:widowControl/>
              <w:kinsoku w:val="0"/>
              <w:wordWrap w:val="0"/>
              <w:overflowPunct/>
              <w:topLinePunct w:val="0"/>
              <w:autoSpaceDE w:val="0"/>
              <w:autoSpaceDN w:val="0"/>
              <w:bidi w:val="0"/>
              <w:adjustRightInd w:val="0"/>
              <w:snapToGrid w:val="0"/>
              <w:spacing w:line="42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3．获得地市级奖项的，每个得</w:t>
            </w:r>
            <w:r>
              <w:rPr>
                <w:rFonts w:hint="eastAsia" w:ascii="宋体" w:hAnsi="宋体" w:eastAsia="宋体" w:cs="宋体"/>
                <w:snapToGrid w:val="0"/>
                <w:color w:val="auto"/>
                <w:kern w:val="0"/>
                <w:sz w:val="24"/>
                <w:szCs w:val="24"/>
                <w:highlight w:val="none"/>
                <w:u w:val="single"/>
              </w:rPr>
              <w:t xml:space="preserve"> 2</w:t>
            </w:r>
            <w:r>
              <w:rPr>
                <w:rFonts w:hint="eastAsia" w:ascii="宋体" w:hAnsi="宋体" w:eastAsia="宋体" w:cs="宋体"/>
                <w:snapToGrid w:val="0"/>
                <w:color w:val="auto"/>
                <w:kern w:val="0"/>
                <w:sz w:val="24"/>
                <w:szCs w:val="24"/>
                <w:highlight w:val="none"/>
              </w:rPr>
              <w:t>分。</w:t>
            </w:r>
          </w:p>
          <w:p w14:paraId="236A5445">
            <w:pPr>
              <w:keepNext w:val="0"/>
              <w:keepLines w:val="0"/>
              <w:pageBreakBefore w:val="0"/>
              <w:widowControl/>
              <w:kinsoku w:val="0"/>
              <w:wordWrap w:val="0"/>
              <w:overflowPunct/>
              <w:topLinePunct w:val="0"/>
              <w:autoSpaceDE w:val="0"/>
              <w:autoSpaceDN w:val="0"/>
              <w:bidi w:val="0"/>
              <w:adjustRightInd w:val="0"/>
              <w:snapToGrid w:val="0"/>
              <w:spacing w:line="42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4．以上奖项均未获得的，不予计分。</w:t>
            </w:r>
          </w:p>
          <w:p w14:paraId="5965D7E7">
            <w:pPr>
              <w:keepNext w:val="0"/>
              <w:keepLines w:val="0"/>
              <w:pageBreakBefore w:val="0"/>
              <w:widowControl/>
              <w:kinsoku w:val="0"/>
              <w:wordWrap w:val="0"/>
              <w:overflowPunct/>
              <w:topLinePunct w:val="0"/>
              <w:autoSpaceDE w:val="0"/>
              <w:autoSpaceDN w:val="0"/>
              <w:bidi w:val="0"/>
              <w:adjustRightInd w:val="0"/>
              <w:snapToGrid w:val="0"/>
              <w:spacing w:line="42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5．本项最高得10分。</w:t>
            </w:r>
          </w:p>
        </w:tc>
        <w:tc>
          <w:tcPr>
            <w:tcW w:w="4575" w:type="dxa"/>
            <w:tcBorders>
              <w:top w:val="single" w:color="auto" w:sz="4" w:space="0"/>
              <w:left w:val="single" w:color="auto" w:sz="4" w:space="0"/>
              <w:bottom w:val="single" w:color="auto" w:sz="4" w:space="0"/>
              <w:right w:val="single" w:color="auto" w:sz="4" w:space="0"/>
            </w:tcBorders>
            <w:vAlign w:val="center"/>
          </w:tcPr>
          <w:p w14:paraId="37636916">
            <w:pPr>
              <w:keepNext w:val="0"/>
              <w:keepLines w:val="0"/>
              <w:pageBreakBefore w:val="0"/>
              <w:widowControl/>
              <w:kinsoku w:val="0"/>
              <w:wordWrap w:val="0"/>
              <w:overflowPunct/>
              <w:topLinePunct w:val="0"/>
              <w:autoSpaceDE w:val="0"/>
              <w:autoSpaceDN w:val="0"/>
              <w:bidi w:val="0"/>
              <w:adjustRightInd w:val="0"/>
              <w:snapToGrid w:val="0"/>
              <w:spacing w:line="420" w:lineRule="exact"/>
              <w:textAlignment w:val="baseline"/>
              <w:rPr>
                <w:rFonts w:hint="eastAsia" w:ascii="宋体" w:hAnsi="宋体" w:eastAsia="宋体" w:cs="宋体"/>
                <w:strike/>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1．允许投标人提交多个业绩（不含参建奖），不同业绩可以累加，但同一业绩只按最高级别奖项计分一次。</w:t>
            </w:r>
          </w:p>
          <w:p w14:paraId="417049B0">
            <w:pPr>
              <w:keepNext w:val="0"/>
              <w:keepLines w:val="0"/>
              <w:pageBreakBefore w:val="0"/>
              <w:widowControl/>
              <w:kinsoku w:val="0"/>
              <w:wordWrap w:val="0"/>
              <w:overflowPunct/>
              <w:topLinePunct w:val="0"/>
              <w:autoSpaceDE w:val="0"/>
              <w:autoSpaceDN w:val="0"/>
              <w:bidi w:val="0"/>
              <w:adjustRightInd w:val="0"/>
              <w:snapToGrid w:val="0"/>
              <w:spacing w:line="42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color w:val="auto"/>
                <w:spacing w:val="12"/>
                <w:sz w:val="24"/>
                <w:szCs w:val="24"/>
                <w:highlight w:val="none"/>
              </w:rPr>
              <w:t>须</w:t>
            </w:r>
            <w:r>
              <w:rPr>
                <w:rFonts w:hint="eastAsia" w:ascii="宋体" w:hAnsi="宋体" w:eastAsia="宋体" w:cs="宋体"/>
                <w:snapToGrid w:val="0"/>
                <w:color w:val="auto"/>
                <w:kern w:val="0"/>
                <w:sz w:val="24"/>
                <w:szCs w:val="24"/>
                <w:highlight w:val="none"/>
              </w:rPr>
              <w:t>附有关奖项证明彩色扫描件(或打印件)并加盖公章。</w:t>
            </w:r>
          </w:p>
          <w:p w14:paraId="72298B89">
            <w:pPr>
              <w:keepNext w:val="0"/>
              <w:keepLines w:val="0"/>
              <w:pageBreakBefore w:val="0"/>
              <w:widowControl/>
              <w:kinsoku w:val="0"/>
              <w:wordWrap w:val="0"/>
              <w:overflowPunct/>
              <w:topLinePunct w:val="0"/>
              <w:autoSpaceDE w:val="0"/>
              <w:autoSpaceDN w:val="0"/>
              <w:bidi w:val="0"/>
              <w:adjustRightInd w:val="0"/>
              <w:snapToGrid w:val="0"/>
              <w:spacing w:line="42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3．颁发机构限定以下范围：</w:t>
            </w:r>
          </w:p>
          <w:p w14:paraId="02B1CC38">
            <w:pPr>
              <w:keepNext w:val="0"/>
              <w:keepLines w:val="0"/>
              <w:pageBreakBefore w:val="0"/>
              <w:widowControl/>
              <w:kinsoku w:val="0"/>
              <w:wordWrap w:val="0"/>
              <w:overflowPunct/>
              <w:topLinePunct w:val="0"/>
              <w:autoSpaceDE w:val="0"/>
              <w:autoSpaceDN w:val="0"/>
              <w:bidi w:val="0"/>
              <w:adjustRightInd w:val="0"/>
              <w:snapToGrid w:val="0"/>
              <w:spacing w:line="42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①国家级奖项：</w:t>
            </w:r>
            <w:r>
              <w:rPr>
                <w:rFonts w:hint="eastAsia" w:ascii="宋体" w:hAnsi="宋体" w:eastAsia="宋体" w:cs="宋体"/>
                <w:snapToGrid w:val="0"/>
                <w:color w:val="auto"/>
                <w:kern w:val="0"/>
                <w:sz w:val="24"/>
                <w:szCs w:val="24"/>
                <w:highlight w:val="none"/>
                <w:u w:val="single"/>
              </w:rPr>
              <w:t>国务院、住建部、国家级建筑行业协会或国家级市政行业协会</w:t>
            </w:r>
            <w:r>
              <w:rPr>
                <w:rFonts w:hint="eastAsia" w:ascii="宋体" w:hAnsi="宋体" w:eastAsia="宋体" w:cs="宋体"/>
                <w:snapToGrid w:val="0"/>
                <w:color w:val="auto"/>
                <w:kern w:val="0"/>
                <w:sz w:val="24"/>
                <w:szCs w:val="24"/>
                <w:highlight w:val="none"/>
              </w:rPr>
              <w:t>；</w:t>
            </w:r>
            <w:r>
              <w:rPr>
                <w:rFonts w:hint="eastAsia" w:ascii="宋体" w:hAnsi="宋体" w:eastAsia="宋体" w:cs="宋体"/>
                <w:bCs/>
                <w:snapToGrid w:val="0"/>
                <w:color w:val="auto"/>
                <w:kern w:val="0"/>
                <w:sz w:val="24"/>
                <w:szCs w:val="24"/>
                <w:highlight w:val="none"/>
              </w:rPr>
              <w:t>（相关协会需经民政部门备案）</w:t>
            </w:r>
          </w:p>
          <w:p w14:paraId="4C2C5F53">
            <w:pPr>
              <w:keepNext w:val="0"/>
              <w:keepLines w:val="0"/>
              <w:pageBreakBefore w:val="0"/>
              <w:widowControl/>
              <w:kinsoku w:val="0"/>
              <w:wordWrap w:val="0"/>
              <w:overflowPunct/>
              <w:topLinePunct w:val="0"/>
              <w:autoSpaceDE w:val="0"/>
              <w:autoSpaceDN w:val="0"/>
              <w:bidi w:val="0"/>
              <w:adjustRightInd w:val="0"/>
              <w:snapToGrid w:val="0"/>
              <w:spacing w:line="42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②省级奖项：</w:t>
            </w:r>
            <w:r>
              <w:rPr>
                <w:rFonts w:hint="eastAsia" w:ascii="宋体" w:hAnsi="宋体" w:eastAsia="宋体" w:cs="宋体"/>
                <w:snapToGrid w:val="0"/>
                <w:color w:val="auto"/>
                <w:kern w:val="0"/>
                <w:sz w:val="24"/>
                <w:szCs w:val="24"/>
                <w:highlight w:val="none"/>
                <w:u w:val="single"/>
              </w:rPr>
              <w:t>省级人民政府、省级住建部门、省级建筑行业协会或省级市政行业协会</w:t>
            </w:r>
            <w:r>
              <w:rPr>
                <w:rFonts w:hint="eastAsia" w:ascii="宋体" w:hAnsi="宋体" w:eastAsia="宋体" w:cs="宋体"/>
                <w:snapToGrid w:val="0"/>
                <w:color w:val="auto"/>
                <w:kern w:val="0"/>
                <w:sz w:val="24"/>
                <w:szCs w:val="24"/>
                <w:highlight w:val="none"/>
              </w:rPr>
              <w:t>；</w:t>
            </w:r>
            <w:r>
              <w:rPr>
                <w:rFonts w:hint="eastAsia" w:ascii="宋体" w:hAnsi="宋体" w:eastAsia="宋体" w:cs="宋体"/>
                <w:bCs/>
                <w:snapToGrid w:val="0"/>
                <w:color w:val="auto"/>
                <w:kern w:val="0"/>
                <w:sz w:val="24"/>
                <w:szCs w:val="24"/>
                <w:highlight w:val="none"/>
              </w:rPr>
              <w:t>（相关协会需经民政部门备案）</w:t>
            </w:r>
          </w:p>
          <w:p w14:paraId="50849831">
            <w:pPr>
              <w:keepNext w:val="0"/>
              <w:keepLines w:val="0"/>
              <w:pageBreakBefore w:val="0"/>
              <w:widowControl/>
              <w:kinsoku w:val="0"/>
              <w:wordWrap w:val="0"/>
              <w:overflowPunct/>
              <w:topLinePunct w:val="0"/>
              <w:autoSpaceDE w:val="0"/>
              <w:autoSpaceDN w:val="0"/>
              <w:bidi w:val="0"/>
              <w:adjustRightInd w:val="0"/>
              <w:snapToGrid w:val="0"/>
              <w:spacing w:line="42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③地市级奖</w:t>
            </w:r>
            <w:r>
              <w:rPr>
                <w:rFonts w:hint="eastAsia" w:ascii="宋体" w:hAnsi="宋体" w:eastAsia="宋体" w:cs="宋体"/>
                <w:snapToGrid w:val="0"/>
                <w:color w:val="auto"/>
                <w:kern w:val="0"/>
                <w:sz w:val="24"/>
                <w:szCs w:val="24"/>
                <w:highlight w:val="none"/>
                <w:lang w:val="en-US" w:eastAsia="zh-CN"/>
              </w:rPr>
              <w:t>0</w:t>
            </w:r>
            <w:r>
              <w:rPr>
                <w:rFonts w:hint="eastAsia" w:ascii="宋体" w:hAnsi="宋体" w:eastAsia="宋体" w:cs="宋体"/>
                <w:snapToGrid w:val="0"/>
                <w:color w:val="auto"/>
                <w:kern w:val="0"/>
                <w:sz w:val="24"/>
                <w:szCs w:val="24"/>
                <w:highlight w:val="none"/>
              </w:rPr>
              <w:t>项：</w:t>
            </w:r>
            <w:r>
              <w:rPr>
                <w:rFonts w:hint="eastAsia" w:ascii="宋体" w:hAnsi="宋体" w:eastAsia="宋体" w:cs="宋体"/>
                <w:snapToGrid w:val="0"/>
                <w:color w:val="auto"/>
                <w:kern w:val="0"/>
                <w:sz w:val="24"/>
                <w:szCs w:val="24"/>
                <w:highlight w:val="none"/>
                <w:u w:val="single"/>
              </w:rPr>
              <w:t>地市级人民政府、地市级住建部门、地市级建筑行业协会或地市级市政行业协会</w:t>
            </w:r>
            <w:r>
              <w:rPr>
                <w:rFonts w:hint="eastAsia" w:ascii="宋体" w:hAnsi="宋体" w:eastAsia="宋体" w:cs="宋体"/>
                <w:snapToGrid w:val="0"/>
                <w:color w:val="auto"/>
                <w:kern w:val="0"/>
                <w:sz w:val="24"/>
                <w:szCs w:val="24"/>
                <w:highlight w:val="none"/>
              </w:rPr>
              <w:t>；</w:t>
            </w:r>
            <w:r>
              <w:rPr>
                <w:rFonts w:hint="eastAsia" w:ascii="宋体" w:hAnsi="宋体" w:eastAsia="宋体" w:cs="宋体"/>
                <w:bCs/>
                <w:snapToGrid w:val="0"/>
                <w:color w:val="auto"/>
                <w:kern w:val="0"/>
                <w:sz w:val="24"/>
                <w:szCs w:val="24"/>
                <w:highlight w:val="none"/>
              </w:rPr>
              <w:t>（相关协会需经民政部门备案）</w:t>
            </w:r>
          </w:p>
          <w:p w14:paraId="0523630E">
            <w:pPr>
              <w:keepNext w:val="0"/>
              <w:keepLines w:val="0"/>
              <w:pageBreakBefore w:val="0"/>
              <w:widowControl/>
              <w:kinsoku w:val="0"/>
              <w:wordWrap w:val="0"/>
              <w:overflowPunct/>
              <w:topLinePunct w:val="0"/>
              <w:autoSpaceDE w:val="0"/>
              <w:autoSpaceDN w:val="0"/>
              <w:bidi w:val="0"/>
              <w:adjustRightInd w:val="0"/>
              <w:snapToGrid w:val="0"/>
              <w:spacing w:line="42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4．获奖时间以奖项证明的落款日期为准。</w:t>
            </w:r>
          </w:p>
          <w:p w14:paraId="2D928720">
            <w:pPr>
              <w:keepNext w:val="0"/>
              <w:keepLines w:val="0"/>
              <w:pageBreakBefore w:val="0"/>
              <w:widowControl/>
              <w:kinsoku w:val="0"/>
              <w:wordWrap w:val="0"/>
              <w:overflowPunct/>
              <w:topLinePunct w:val="0"/>
              <w:autoSpaceDE w:val="0"/>
              <w:autoSpaceDN w:val="0"/>
              <w:bidi w:val="0"/>
              <w:adjustRightInd w:val="0"/>
              <w:snapToGrid w:val="0"/>
              <w:spacing w:line="42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5．任一奖项有以下情形之一的，该奖项视为无效，不予计分：</w:t>
            </w:r>
          </w:p>
          <w:p w14:paraId="756C9EC1">
            <w:pPr>
              <w:keepNext w:val="0"/>
              <w:keepLines w:val="0"/>
              <w:pageBreakBefore w:val="0"/>
              <w:widowControl/>
              <w:kinsoku w:val="0"/>
              <w:wordWrap w:val="0"/>
              <w:overflowPunct/>
              <w:topLinePunct w:val="0"/>
              <w:autoSpaceDE w:val="0"/>
              <w:autoSpaceDN w:val="0"/>
              <w:bidi w:val="0"/>
              <w:adjustRightInd w:val="0"/>
              <w:snapToGrid w:val="0"/>
              <w:spacing w:line="42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①奖项不属于指定类别的；</w:t>
            </w:r>
          </w:p>
          <w:p w14:paraId="3688F972">
            <w:pPr>
              <w:keepNext w:val="0"/>
              <w:keepLines w:val="0"/>
              <w:pageBreakBefore w:val="0"/>
              <w:widowControl/>
              <w:kinsoku w:val="0"/>
              <w:wordWrap w:val="0"/>
              <w:overflowPunct/>
              <w:topLinePunct w:val="0"/>
              <w:autoSpaceDE w:val="0"/>
              <w:autoSpaceDN w:val="0"/>
              <w:bidi w:val="0"/>
              <w:adjustRightInd w:val="0"/>
              <w:snapToGrid w:val="0"/>
              <w:spacing w:line="42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②颁发机构不符合要求的；</w:t>
            </w:r>
          </w:p>
          <w:p w14:paraId="49778C7C">
            <w:pPr>
              <w:keepNext w:val="0"/>
              <w:keepLines w:val="0"/>
              <w:pageBreakBefore w:val="0"/>
              <w:widowControl/>
              <w:kinsoku w:val="0"/>
              <w:wordWrap w:val="0"/>
              <w:overflowPunct/>
              <w:topLinePunct w:val="0"/>
              <w:autoSpaceDE w:val="0"/>
              <w:autoSpaceDN w:val="0"/>
              <w:bidi w:val="0"/>
              <w:adjustRightInd w:val="0"/>
              <w:snapToGrid w:val="0"/>
              <w:spacing w:line="420" w:lineRule="exac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③获奖时间不符合要求的。</w:t>
            </w:r>
          </w:p>
        </w:tc>
      </w:tr>
      <w:tr w14:paraId="4D623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5" w:hRule="atLeast"/>
          <w:jc w:val="center"/>
        </w:trPr>
        <w:tc>
          <w:tcPr>
            <w:tcW w:w="1308" w:type="dxa"/>
            <w:tcBorders>
              <w:top w:val="single" w:color="auto" w:sz="4" w:space="0"/>
              <w:left w:val="single" w:color="auto" w:sz="4" w:space="0"/>
              <w:bottom w:val="single" w:color="auto" w:sz="4" w:space="0"/>
              <w:right w:val="single" w:color="auto" w:sz="4" w:space="0"/>
            </w:tcBorders>
            <w:vAlign w:val="center"/>
          </w:tcPr>
          <w:p w14:paraId="52B59E7F">
            <w:pPr>
              <w:keepNext w:val="0"/>
              <w:keepLines w:val="0"/>
              <w:pageBreakBefore w:val="0"/>
              <w:widowControl/>
              <w:kinsoku w:val="0"/>
              <w:wordWrap w:val="0"/>
              <w:overflowPunct/>
              <w:topLinePunct w:val="0"/>
              <w:autoSpaceDE w:val="0"/>
              <w:autoSpaceDN w:val="0"/>
              <w:bidi w:val="0"/>
              <w:adjustRightInd w:val="0"/>
              <w:snapToGrid w:val="0"/>
              <w:spacing w:line="420" w:lineRule="exac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w:t>
            </w:r>
          </w:p>
          <w:p w14:paraId="0957F5ED">
            <w:pPr>
              <w:keepNext w:val="0"/>
              <w:keepLines w:val="0"/>
              <w:pageBreakBefore w:val="0"/>
              <w:widowControl/>
              <w:kinsoku w:val="0"/>
              <w:wordWrap w:val="0"/>
              <w:overflowPunct/>
              <w:topLinePunct w:val="0"/>
              <w:autoSpaceDE w:val="0"/>
              <w:autoSpaceDN w:val="0"/>
              <w:bidi w:val="0"/>
              <w:adjustRightInd w:val="0"/>
              <w:snapToGrid w:val="0"/>
              <w:spacing w:line="420" w:lineRule="exac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综合素质</w:t>
            </w:r>
          </w:p>
          <w:p w14:paraId="07F7B49F">
            <w:pPr>
              <w:keepNext w:val="0"/>
              <w:keepLines w:val="0"/>
              <w:pageBreakBefore w:val="0"/>
              <w:widowControl/>
              <w:kinsoku w:val="0"/>
              <w:wordWrap w:val="0"/>
              <w:overflowPunct/>
              <w:topLinePunct w:val="0"/>
              <w:autoSpaceDE w:val="0"/>
              <w:autoSpaceDN w:val="0"/>
              <w:bidi w:val="0"/>
              <w:adjustRightInd w:val="0"/>
              <w:snapToGrid w:val="0"/>
              <w:spacing w:line="420" w:lineRule="exac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分）</w:t>
            </w:r>
          </w:p>
        </w:tc>
        <w:tc>
          <w:tcPr>
            <w:tcW w:w="3915" w:type="dxa"/>
            <w:tcBorders>
              <w:top w:val="single" w:color="auto" w:sz="4" w:space="0"/>
              <w:left w:val="single" w:color="auto" w:sz="4" w:space="0"/>
              <w:bottom w:val="single" w:color="auto" w:sz="4" w:space="0"/>
              <w:right w:val="single" w:color="auto" w:sz="4" w:space="0"/>
            </w:tcBorders>
            <w:vAlign w:val="center"/>
          </w:tcPr>
          <w:p w14:paraId="0BEA04A6">
            <w:pPr>
              <w:keepNext w:val="0"/>
              <w:keepLines w:val="0"/>
              <w:pageBreakBefore w:val="0"/>
              <w:widowControl/>
              <w:kinsoku w:val="0"/>
              <w:wordWrap w:val="0"/>
              <w:overflowPunct/>
              <w:topLinePunct w:val="0"/>
              <w:autoSpaceDE w:val="0"/>
              <w:autoSpaceDN w:val="0"/>
              <w:bidi w:val="0"/>
              <w:adjustRightInd w:val="0"/>
              <w:snapToGrid w:val="0"/>
              <w:spacing w:line="42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项目经理工程类技术职称情况：</w:t>
            </w:r>
          </w:p>
          <w:p w14:paraId="543DD8CD">
            <w:pPr>
              <w:keepNext w:val="0"/>
              <w:keepLines w:val="0"/>
              <w:pageBreakBefore w:val="0"/>
              <w:widowControl/>
              <w:kinsoku w:val="0"/>
              <w:wordWrap w:val="0"/>
              <w:overflowPunct/>
              <w:topLinePunct w:val="0"/>
              <w:autoSpaceDE w:val="0"/>
              <w:autoSpaceDN w:val="0"/>
              <w:bidi w:val="0"/>
              <w:adjustRightInd w:val="0"/>
              <w:snapToGrid w:val="0"/>
              <w:spacing w:line="42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 具备助理工程师职称的，得</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分。</w:t>
            </w:r>
          </w:p>
          <w:p w14:paraId="32EF3439">
            <w:pPr>
              <w:keepNext w:val="0"/>
              <w:keepLines w:val="0"/>
              <w:pageBreakBefore w:val="0"/>
              <w:widowControl/>
              <w:tabs>
                <w:tab w:val="left" w:pos="312"/>
              </w:tabs>
              <w:kinsoku w:val="0"/>
              <w:wordWrap w:val="0"/>
              <w:overflowPunct/>
              <w:topLinePunct w:val="0"/>
              <w:autoSpaceDE w:val="0"/>
              <w:autoSpaceDN w:val="0"/>
              <w:bidi w:val="0"/>
              <w:adjustRightInd w:val="0"/>
              <w:snapToGrid w:val="0"/>
              <w:spacing w:line="42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 不具备以上职称的，不予计分。</w:t>
            </w:r>
          </w:p>
        </w:tc>
        <w:tc>
          <w:tcPr>
            <w:tcW w:w="4575" w:type="dxa"/>
            <w:tcBorders>
              <w:top w:val="single" w:color="auto" w:sz="4" w:space="0"/>
              <w:left w:val="single" w:color="auto" w:sz="4" w:space="0"/>
              <w:bottom w:val="single" w:color="auto" w:sz="4" w:space="0"/>
              <w:right w:val="single" w:color="auto" w:sz="4" w:space="0"/>
            </w:tcBorders>
            <w:vAlign w:val="center"/>
          </w:tcPr>
          <w:p w14:paraId="24DC6F92">
            <w:pPr>
              <w:keepNext w:val="0"/>
              <w:keepLines w:val="0"/>
              <w:pageBreakBefore w:val="0"/>
              <w:widowControl/>
              <w:kinsoku w:val="0"/>
              <w:wordWrap w:val="0"/>
              <w:overflowPunct/>
              <w:topLinePunct w:val="0"/>
              <w:autoSpaceDE w:val="0"/>
              <w:autoSpaceDN w:val="0"/>
              <w:bidi w:val="0"/>
              <w:adjustRightInd w:val="0"/>
              <w:snapToGrid w:val="0"/>
              <w:spacing w:line="42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pacing w:val="12"/>
                <w:sz w:val="24"/>
                <w:szCs w:val="24"/>
                <w:highlight w:val="none"/>
              </w:rPr>
              <w:t>须</w:t>
            </w:r>
            <w:r>
              <w:rPr>
                <w:rFonts w:hint="eastAsia" w:ascii="宋体" w:hAnsi="宋体" w:eastAsia="宋体" w:cs="宋体"/>
                <w:snapToGrid w:val="0"/>
                <w:color w:val="auto"/>
                <w:kern w:val="0"/>
                <w:sz w:val="24"/>
                <w:szCs w:val="24"/>
                <w:highlight w:val="none"/>
              </w:rPr>
              <w:t>附职称证彩色扫描件(或打印件)并加盖公章。</w:t>
            </w:r>
          </w:p>
        </w:tc>
      </w:tr>
      <w:tr w14:paraId="3A95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8" w:type="dxa"/>
            <w:tcBorders>
              <w:top w:val="single" w:color="auto" w:sz="4" w:space="0"/>
              <w:left w:val="single" w:color="auto" w:sz="4" w:space="0"/>
              <w:bottom w:val="single" w:color="auto" w:sz="4" w:space="0"/>
              <w:right w:val="single" w:color="auto" w:sz="4" w:space="0"/>
            </w:tcBorders>
            <w:vAlign w:val="center"/>
          </w:tcPr>
          <w:p w14:paraId="46E9B2DA">
            <w:pPr>
              <w:keepNext w:val="0"/>
              <w:keepLines w:val="0"/>
              <w:pageBreakBefore w:val="0"/>
              <w:widowControl/>
              <w:wordWrap w:val="0"/>
              <w:overflowPunct/>
              <w:topLinePunct w:val="0"/>
              <w:bidi w:val="0"/>
              <w:adjustRightInd w:val="0"/>
              <w:snapToGrid w:val="0"/>
              <w:spacing w:line="42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企业业绩</w:t>
            </w:r>
          </w:p>
          <w:p w14:paraId="12CC9AC7">
            <w:pPr>
              <w:keepNext w:val="0"/>
              <w:keepLines w:val="0"/>
              <w:pageBreakBefore w:val="0"/>
              <w:widowControl/>
              <w:wordWrap w:val="0"/>
              <w:overflowPunct/>
              <w:topLinePunct w:val="0"/>
              <w:bidi w:val="0"/>
              <w:adjustRightInd w:val="0"/>
              <w:snapToGrid w:val="0"/>
              <w:spacing w:line="42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（10分）</w:t>
            </w:r>
          </w:p>
        </w:tc>
        <w:tc>
          <w:tcPr>
            <w:tcW w:w="3915" w:type="dxa"/>
            <w:tcBorders>
              <w:top w:val="single" w:color="auto" w:sz="4" w:space="0"/>
              <w:left w:val="single" w:color="auto" w:sz="4" w:space="0"/>
              <w:bottom w:val="single" w:color="auto" w:sz="4" w:space="0"/>
              <w:right w:val="single" w:color="auto" w:sz="4" w:space="0"/>
            </w:tcBorders>
            <w:vAlign w:val="center"/>
          </w:tcPr>
          <w:p w14:paraId="25729841">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企业2021年1月1日至今业绩情况：</w:t>
            </w:r>
          </w:p>
          <w:p w14:paraId="49AC6A27">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u w:val="single"/>
              </w:rPr>
              <w:t xml:space="preserve"> 承接 </w:t>
            </w:r>
            <w:r>
              <w:rPr>
                <w:rFonts w:hint="eastAsia" w:ascii="宋体" w:hAnsi="宋体" w:eastAsia="宋体" w:cs="宋体"/>
                <w:snapToGrid w:val="0"/>
                <w:color w:val="auto"/>
                <w:kern w:val="0"/>
                <w:sz w:val="24"/>
                <w:szCs w:val="24"/>
                <w:highlight w:val="none"/>
              </w:rPr>
              <w:t>过类似工程的，每个得</w:t>
            </w:r>
            <w:r>
              <w:rPr>
                <w:rFonts w:hint="eastAsia" w:ascii="宋体" w:hAnsi="宋体" w:eastAsia="宋体" w:cs="宋体"/>
                <w:snapToGrid w:val="0"/>
                <w:color w:val="auto"/>
                <w:kern w:val="0"/>
                <w:sz w:val="24"/>
                <w:szCs w:val="24"/>
                <w:highlight w:val="none"/>
                <w:u w:val="single"/>
              </w:rPr>
              <w:t xml:space="preserve"> 5</w:t>
            </w:r>
            <w:r>
              <w:rPr>
                <w:rFonts w:hint="eastAsia" w:ascii="宋体" w:hAnsi="宋体" w:eastAsia="宋体" w:cs="宋体"/>
                <w:snapToGrid w:val="0"/>
                <w:color w:val="auto"/>
                <w:kern w:val="0"/>
                <w:sz w:val="24"/>
                <w:szCs w:val="24"/>
                <w:highlight w:val="none"/>
              </w:rPr>
              <w:t>分。</w:t>
            </w:r>
          </w:p>
          <w:p w14:paraId="06647D35">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2．未</w:t>
            </w:r>
            <w:r>
              <w:rPr>
                <w:rFonts w:hint="eastAsia" w:ascii="宋体" w:hAnsi="宋体" w:eastAsia="宋体" w:cs="宋体"/>
                <w:snapToGrid w:val="0"/>
                <w:color w:val="auto"/>
                <w:kern w:val="0"/>
                <w:sz w:val="24"/>
                <w:szCs w:val="24"/>
                <w:highlight w:val="none"/>
                <w:u w:val="single"/>
              </w:rPr>
              <w:t xml:space="preserve"> 承接 </w:t>
            </w:r>
            <w:r>
              <w:rPr>
                <w:rFonts w:hint="eastAsia" w:ascii="宋体" w:hAnsi="宋体" w:eastAsia="宋体" w:cs="宋体"/>
                <w:snapToGrid w:val="0"/>
                <w:color w:val="auto"/>
                <w:kern w:val="0"/>
                <w:sz w:val="24"/>
                <w:szCs w:val="24"/>
                <w:highlight w:val="none"/>
              </w:rPr>
              <w:t>过类似工程的，不予计分。</w:t>
            </w:r>
          </w:p>
          <w:p w14:paraId="7196260C">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3．本项最高得10分。 </w:t>
            </w:r>
          </w:p>
        </w:tc>
        <w:tc>
          <w:tcPr>
            <w:tcW w:w="4575" w:type="dxa"/>
            <w:tcBorders>
              <w:top w:val="single" w:color="auto" w:sz="4" w:space="0"/>
              <w:left w:val="single" w:color="auto" w:sz="4" w:space="0"/>
              <w:bottom w:val="single" w:color="auto" w:sz="4" w:space="0"/>
              <w:right w:val="single" w:color="auto" w:sz="4" w:space="0"/>
            </w:tcBorders>
            <w:vAlign w:val="center"/>
          </w:tcPr>
          <w:p w14:paraId="58AA71BE">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1.类似工程指：</w:t>
            </w:r>
            <w:r>
              <w:rPr>
                <w:rFonts w:hint="eastAsia" w:ascii="宋体" w:hAnsi="宋体" w:eastAsia="宋体" w:cs="宋体"/>
                <w:snapToGrid w:val="0"/>
                <w:color w:val="auto"/>
                <w:kern w:val="0"/>
                <w:sz w:val="24"/>
                <w:szCs w:val="24"/>
                <w:highlight w:val="none"/>
                <w:u w:val="single"/>
                <w:lang w:val="en-US" w:eastAsia="zh-CN"/>
              </w:rPr>
              <w:t>工程造价≥500万</w:t>
            </w:r>
            <w:r>
              <w:rPr>
                <w:rFonts w:hint="eastAsia" w:ascii="宋体" w:hAnsi="宋体" w:eastAsia="宋体" w:cs="宋体"/>
                <w:snapToGrid w:val="0"/>
                <w:color w:val="auto"/>
                <w:kern w:val="0"/>
                <w:sz w:val="24"/>
                <w:szCs w:val="24"/>
                <w:highlight w:val="none"/>
                <w:u w:val="single"/>
              </w:rPr>
              <w:t>市政公用工程（施工总承包或勘察设计施工总承包或设计施工总承包或EPC）中的施工单位身份承建的项目</w:t>
            </w:r>
            <w:r>
              <w:rPr>
                <w:rFonts w:hint="eastAsia" w:ascii="宋体" w:hAnsi="宋体" w:eastAsia="宋体" w:cs="宋体"/>
                <w:snapToGrid w:val="0"/>
                <w:color w:val="auto"/>
                <w:kern w:val="0"/>
                <w:sz w:val="24"/>
                <w:szCs w:val="24"/>
                <w:highlight w:val="none"/>
              </w:rPr>
              <w:t>。</w:t>
            </w:r>
          </w:p>
          <w:p w14:paraId="0698EEF4">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strike/>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color w:val="auto"/>
                <w:spacing w:val="12"/>
                <w:sz w:val="24"/>
                <w:szCs w:val="24"/>
                <w:highlight w:val="none"/>
              </w:rPr>
              <w:t>须</w:t>
            </w:r>
            <w:r>
              <w:rPr>
                <w:rFonts w:hint="eastAsia" w:ascii="宋体" w:hAnsi="宋体" w:eastAsia="宋体" w:cs="宋体"/>
                <w:snapToGrid w:val="0"/>
                <w:color w:val="auto"/>
                <w:kern w:val="0"/>
                <w:sz w:val="24"/>
                <w:szCs w:val="24"/>
                <w:highlight w:val="none"/>
              </w:rPr>
              <w:t>附有关业绩合同协议书关键页彩色扫描件（或打印件）并加盖公章。</w:t>
            </w:r>
          </w:p>
          <w:p w14:paraId="35F9F273">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3.业绩时间以合同协议书日期为准。</w:t>
            </w:r>
          </w:p>
          <w:p w14:paraId="2DFDD24B">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4.任一业绩有以下情形之一的，该业绩视为无效，不予计分：</w:t>
            </w:r>
          </w:p>
          <w:p w14:paraId="42472A3C">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①业绩不属于类似工程的；</w:t>
            </w:r>
          </w:p>
          <w:p w14:paraId="33C95CD2">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②业绩时间不符合要求的。</w:t>
            </w:r>
          </w:p>
        </w:tc>
      </w:tr>
      <w:tr w14:paraId="2DC5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8" w:type="dxa"/>
            <w:tcBorders>
              <w:top w:val="single" w:color="auto" w:sz="4" w:space="0"/>
              <w:left w:val="single" w:color="auto" w:sz="4" w:space="0"/>
              <w:bottom w:val="single" w:color="auto" w:sz="4" w:space="0"/>
              <w:right w:val="single" w:color="auto" w:sz="4" w:space="0"/>
            </w:tcBorders>
            <w:vAlign w:val="center"/>
          </w:tcPr>
          <w:p w14:paraId="249E5FA0">
            <w:pPr>
              <w:keepNext w:val="0"/>
              <w:keepLines w:val="0"/>
              <w:pageBreakBefore w:val="0"/>
              <w:widowControl/>
              <w:wordWrap w:val="0"/>
              <w:overflowPunct/>
              <w:topLinePunct w:val="0"/>
              <w:bidi w:val="0"/>
              <w:adjustRightInd w:val="0"/>
              <w:snapToGrid w:val="0"/>
              <w:spacing w:line="42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企业银行</w:t>
            </w:r>
          </w:p>
          <w:p w14:paraId="08ABE9C4">
            <w:pPr>
              <w:keepNext w:val="0"/>
              <w:keepLines w:val="0"/>
              <w:pageBreakBefore w:val="0"/>
              <w:widowControl/>
              <w:wordWrap w:val="0"/>
              <w:overflowPunct/>
              <w:topLinePunct w:val="0"/>
              <w:bidi w:val="0"/>
              <w:adjustRightInd w:val="0"/>
              <w:snapToGrid w:val="0"/>
              <w:spacing w:line="42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资信评级</w:t>
            </w:r>
          </w:p>
          <w:p w14:paraId="4505B894">
            <w:pPr>
              <w:keepNext w:val="0"/>
              <w:keepLines w:val="0"/>
              <w:pageBreakBefore w:val="0"/>
              <w:widowControl/>
              <w:wordWrap w:val="0"/>
              <w:overflowPunct/>
              <w:topLinePunct w:val="0"/>
              <w:bidi w:val="0"/>
              <w:adjustRightInd w:val="0"/>
              <w:snapToGrid w:val="0"/>
              <w:spacing w:line="42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（10分）</w:t>
            </w:r>
          </w:p>
        </w:tc>
        <w:tc>
          <w:tcPr>
            <w:tcW w:w="3915" w:type="dxa"/>
            <w:tcBorders>
              <w:top w:val="single" w:color="auto" w:sz="4" w:space="0"/>
              <w:left w:val="single" w:color="auto" w:sz="4" w:space="0"/>
              <w:bottom w:val="single" w:color="auto" w:sz="4" w:space="0"/>
              <w:right w:val="single" w:color="auto" w:sz="4" w:space="0"/>
            </w:tcBorders>
            <w:vAlign w:val="center"/>
          </w:tcPr>
          <w:p w14:paraId="0272A8B4">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1．银行资信评级AAA的，得</w:t>
            </w:r>
            <w:r>
              <w:rPr>
                <w:rFonts w:hint="eastAsia" w:ascii="宋体" w:hAnsi="宋体" w:eastAsia="宋体" w:cs="宋体"/>
                <w:snapToGrid w:val="0"/>
                <w:color w:val="auto"/>
                <w:kern w:val="0"/>
                <w:sz w:val="24"/>
                <w:szCs w:val="24"/>
                <w:highlight w:val="none"/>
                <w:u w:val="single"/>
              </w:rPr>
              <w:t xml:space="preserve"> 10 </w:t>
            </w:r>
            <w:r>
              <w:rPr>
                <w:rFonts w:hint="eastAsia" w:ascii="宋体" w:hAnsi="宋体" w:eastAsia="宋体" w:cs="宋体"/>
                <w:snapToGrid w:val="0"/>
                <w:color w:val="auto"/>
                <w:kern w:val="0"/>
                <w:sz w:val="24"/>
                <w:szCs w:val="24"/>
                <w:highlight w:val="none"/>
              </w:rPr>
              <w:t>分；</w:t>
            </w:r>
          </w:p>
          <w:p w14:paraId="5F80E09B">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2．银行资信评级AA（含AA＋、AA－）的，得</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分。</w:t>
            </w:r>
          </w:p>
          <w:p w14:paraId="684B7613">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3．银行资信评级A（含A＋、A－）的，得</w:t>
            </w:r>
            <w:r>
              <w:rPr>
                <w:rFonts w:hint="eastAsia" w:ascii="宋体" w:hAnsi="宋体" w:eastAsia="宋体" w:cs="宋体"/>
                <w:snapToGrid w:val="0"/>
                <w:color w:val="auto"/>
                <w:kern w:val="0"/>
                <w:sz w:val="24"/>
                <w:szCs w:val="24"/>
                <w:highlight w:val="none"/>
                <w:u w:val="single"/>
              </w:rPr>
              <w:t xml:space="preserve"> 1 </w:t>
            </w:r>
            <w:r>
              <w:rPr>
                <w:rFonts w:hint="eastAsia" w:ascii="宋体" w:hAnsi="宋体" w:eastAsia="宋体" w:cs="宋体"/>
                <w:snapToGrid w:val="0"/>
                <w:color w:val="auto"/>
                <w:kern w:val="0"/>
                <w:sz w:val="24"/>
                <w:szCs w:val="24"/>
                <w:highlight w:val="none"/>
              </w:rPr>
              <w:t>分。</w:t>
            </w:r>
          </w:p>
          <w:p w14:paraId="6266280E">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4．未获得过以上评级的，或评级证书无效的，不予计分。</w:t>
            </w:r>
          </w:p>
        </w:tc>
        <w:tc>
          <w:tcPr>
            <w:tcW w:w="4575" w:type="dxa"/>
            <w:tcBorders>
              <w:top w:val="single" w:color="auto" w:sz="4" w:space="0"/>
              <w:left w:val="single" w:color="auto" w:sz="4" w:space="0"/>
              <w:bottom w:val="single" w:color="auto" w:sz="4" w:space="0"/>
              <w:right w:val="single" w:color="auto" w:sz="4" w:space="0"/>
            </w:tcBorders>
            <w:vAlign w:val="center"/>
          </w:tcPr>
          <w:p w14:paraId="0CE54464">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color w:val="auto"/>
                <w:spacing w:val="12"/>
                <w:sz w:val="24"/>
                <w:szCs w:val="24"/>
                <w:highlight w:val="none"/>
              </w:rPr>
              <w:t>须</w:t>
            </w:r>
            <w:r>
              <w:rPr>
                <w:rFonts w:hint="eastAsia" w:ascii="宋体" w:hAnsi="宋体" w:eastAsia="宋体" w:cs="宋体"/>
                <w:snapToGrid w:val="0"/>
                <w:color w:val="auto"/>
                <w:kern w:val="0"/>
                <w:sz w:val="24"/>
                <w:szCs w:val="24"/>
                <w:highlight w:val="none"/>
              </w:rPr>
              <w:t>附在有效期内的资信评级证书（证明）彩色</w:t>
            </w:r>
            <w:r>
              <w:rPr>
                <w:rFonts w:hint="eastAsia" w:ascii="宋体" w:hAnsi="宋体" w:eastAsia="宋体" w:cs="宋体"/>
                <w:color w:val="auto"/>
                <w:spacing w:val="4"/>
                <w:sz w:val="24"/>
                <w:szCs w:val="24"/>
                <w:highlight w:val="none"/>
              </w:rPr>
              <w:t>扫描件(或打印件)并加盖公章</w:t>
            </w:r>
            <w:r>
              <w:rPr>
                <w:rFonts w:hint="eastAsia" w:ascii="宋体" w:hAnsi="宋体" w:eastAsia="宋体" w:cs="宋体"/>
                <w:snapToGrid w:val="0"/>
                <w:color w:val="auto"/>
                <w:kern w:val="0"/>
                <w:sz w:val="24"/>
                <w:szCs w:val="24"/>
                <w:highlight w:val="none"/>
              </w:rPr>
              <w:t>。</w:t>
            </w:r>
          </w:p>
          <w:p w14:paraId="0405BD1D">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2.评级证书（证明）须由</w:t>
            </w:r>
            <w:r>
              <w:rPr>
                <w:rFonts w:hint="eastAsia" w:ascii="宋体" w:hAnsi="宋体" w:eastAsia="宋体" w:cs="宋体"/>
                <w:snapToGrid w:val="0"/>
                <w:color w:val="auto"/>
                <w:kern w:val="0"/>
                <w:sz w:val="24"/>
                <w:szCs w:val="24"/>
                <w:highlight w:val="none"/>
                <w:u w:val="single"/>
              </w:rPr>
              <w:t xml:space="preserve"> 企业基本账户开户银行/市级或以上金融机构 </w:t>
            </w:r>
            <w:r>
              <w:rPr>
                <w:rFonts w:hint="eastAsia" w:ascii="宋体" w:hAnsi="宋体" w:eastAsia="宋体" w:cs="宋体"/>
                <w:snapToGrid w:val="0"/>
                <w:color w:val="auto"/>
                <w:kern w:val="0"/>
                <w:sz w:val="24"/>
                <w:szCs w:val="24"/>
                <w:highlight w:val="none"/>
              </w:rPr>
              <w:t>出具。</w:t>
            </w:r>
          </w:p>
          <w:p w14:paraId="629E0E9A">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3.评级证书（证明）有以下情形之一的，视为无效：</w:t>
            </w:r>
          </w:p>
          <w:p w14:paraId="6215E4E1">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①评级证书(证明)不在有效期内的；</w:t>
            </w:r>
          </w:p>
          <w:p w14:paraId="22AEDBCC">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②出具机构不符合要求的。</w:t>
            </w:r>
          </w:p>
        </w:tc>
      </w:tr>
      <w:tr w14:paraId="49A0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8" w:type="dxa"/>
            <w:tcBorders>
              <w:top w:val="single" w:color="auto" w:sz="4" w:space="0"/>
              <w:left w:val="single" w:color="auto" w:sz="4" w:space="0"/>
              <w:bottom w:val="single" w:color="auto" w:sz="4" w:space="0"/>
              <w:right w:val="single" w:color="auto" w:sz="4" w:space="0"/>
            </w:tcBorders>
            <w:vAlign w:val="center"/>
          </w:tcPr>
          <w:p w14:paraId="27268FC7">
            <w:pPr>
              <w:keepNext w:val="0"/>
              <w:keepLines w:val="0"/>
              <w:pageBreakBefore w:val="0"/>
              <w:widowControl/>
              <w:wordWrap w:val="0"/>
              <w:overflowPunct/>
              <w:topLinePunct w:val="0"/>
              <w:bidi w:val="0"/>
              <w:adjustRightInd w:val="0"/>
              <w:snapToGrid w:val="0"/>
              <w:spacing w:line="42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企业管理</w:t>
            </w:r>
          </w:p>
          <w:p w14:paraId="4B1E9C77">
            <w:pPr>
              <w:keepNext w:val="0"/>
              <w:keepLines w:val="0"/>
              <w:pageBreakBefore w:val="0"/>
              <w:widowControl/>
              <w:wordWrap w:val="0"/>
              <w:overflowPunct/>
              <w:topLinePunct w:val="0"/>
              <w:bidi w:val="0"/>
              <w:adjustRightInd w:val="0"/>
              <w:snapToGrid w:val="0"/>
              <w:spacing w:line="42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体系认证</w:t>
            </w:r>
          </w:p>
          <w:p w14:paraId="6842145E">
            <w:pPr>
              <w:keepNext w:val="0"/>
              <w:keepLines w:val="0"/>
              <w:pageBreakBefore w:val="0"/>
              <w:widowControl/>
              <w:wordWrap w:val="0"/>
              <w:overflowPunct/>
              <w:topLinePunct w:val="0"/>
              <w:bidi w:val="0"/>
              <w:adjustRightInd w:val="0"/>
              <w:snapToGrid w:val="0"/>
              <w:spacing w:line="42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15</w:t>
            </w:r>
            <w:r>
              <w:rPr>
                <w:rFonts w:hint="eastAsia" w:ascii="宋体" w:hAnsi="宋体" w:eastAsia="宋体" w:cs="宋体"/>
                <w:snapToGrid w:val="0"/>
                <w:color w:val="auto"/>
                <w:kern w:val="0"/>
                <w:sz w:val="24"/>
                <w:szCs w:val="24"/>
                <w:highlight w:val="none"/>
              </w:rPr>
              <w:t>分）</w:t>
            </w:r>
          </w:p>
        </w:tc>
        <w:tc>
          <w:tcPr>
            <w:tcW w:w="3915" w:type="dxa"/>
            <w:tcBorders>
              <w:top w:val="single" w:color="auto" w:sz="4" w:space="0"/>
              <w:left w:val="single" w:color="auto" w:sz="4" w:space="0"/>
              <w:bottom w:val="single" w:color="auto" w:sz="4" w:space="0"/>
              <w:right w:val="single" w:color="auto" w:sz="4" w:space="0"/>
            </w:tcBorders>
            <w:vAlign w:val="center"/>
          </w:tcPr>
          <w:p w14:paraId="2A3A62B3">
            <w:pPr>
              <w:pStyle w:val="68"/>
              <w:keepNext w:val="0"/>
              <w:keepLines w:val="0"/>
              <w:pageBreakBefore w:val="0"/>
              <w:widowControl/>
              <w:overflowPunct/>
              <w:topLinePunct w:val="0"/>
              <w:bidi w:val="0"/>
              <w:adjustRightInd w:val="0"/>
              <w:snapToGrid w:val="0"/>
              <w:spacing w:line="420" w:lineRule="exact"/>
              <w:rPr>
                <w:rFonts w:hint="default" w:ascii="宋体" w:hAnsi="宋体" w:eastAsia="宋体" w:cs="宋体"/>
                <w:color w:val="auto"/>
                <w:spacing w:val="23"/>
                <w:sz w:val="24"/>
                <w:szCs w:val="24"/>
                <w:highlight w:val="none"/>
                <w:lang w:val="en-US" w:eastAsia="zh-CN"/>
              </w:rPr>
            </w:pPr>
            <w:r>
              <w:rPr>
                <w:rFonts w:hint="eastAsia" w:ascii="宋体" w:hAnsi="宋体" w:eastAsia="宋体" w:cs="宋体"/>
                <w:color w:val="auto"/>
                <w:spacing w:val="4"/>
                <w:sz w:val="24"/>
                <w:szCs w:val="24"/>
                <w:highlight w:val="none"/>
                <w:lang w:val="en-US" w:eastAsia="zh-CN"/>
              </w:rPr>
              <w:t>1.</w:t>
            </w:r>
            <w:r>
              <w:rPr>
                <w:rFonts w:hint="eastAsia" w:ascii="宋体" w:hAnsi="宋体" w:eastAsia="宋体" w:cs="宋体"/>
                <w:color w:val="auto"/>
                <w:spacing w:val="4"/>
                <w:sz w:val="24"/>
                <w:szCs w:val="24"/>
                <w:highlight w:val="none"/>
              </w:rPr>
              <w:t>投标人在本项目招标公告发布前获得过①质量管理体系认证②职业健康安全管理体系认证③环境管理体系认证证书④</w:t>
            </w:r>
            <w:r>
              <w:rPr>
                <w:rFonts w:hint="eastAsia" w:ascii="宋体" w:hAnsi="宋体" w:eastAsia="宋体" w:cs="宋体"/>
                <w:snapToGrid w:val="0"/>
                <w:color w:val="auto"/>
                <w:sz w:val="24"/>
                <w:szCs w:val="24"/>
                <w:highlight w:val="none"/>
              </w:rPr>
              <w:t>工程总承包服务规范体系认证证书⑤建筑工程服务认证证书</w:t>
            </w:r>
            <w:r>
              <w:rPr>
                <w:rFonts w:hint="eastAsia" w:ascii="宋体" w:hAnsi="宋体" w:eastAsia="宋体" w:cs="宋体"/>
                <w:color w:val="auto"/>
                <w:spacing w:val="-36"/>
                <w:sz w:val="24"/>
                <w:szCs w:val="24"/>
                <w:highlight w:val="none"/>
                <w:lang w:eastAsia="zh-CN"/>
              </w:rPr>
              <w:t>的</w:t>
            </w:r>
            <w:r>
              <w:rPr>
                <w:rFonts w:hint="eastAsia" w:ascii="宋体" w:hAnsi="宋体" w:eastAsia="宋体" w:cs="宋体"/>
                <w:color w:val="auto"/>
                <w:spacing w:val="23"/>
                <w:sz w:val="24"/>
                <w:szCs w:val="24"/>
                <w:highlight w:val="none"/>
                <w:lang w:eastAsia="zh-CN"/>
              </w:rPr>
              <w:t>，</w:t>
            </w:r>
            <w:r>
              <w:rPr>
                <w:rFonts w:hint="eastAsia" w:ascii="宋体" w:hAnsi="宋体" w:eastAsia="宋体" w:cs="宋体"/>
                <w:color w:val="auto"/>
                <w:spacing w:val="23"/>
                <w:sz w:val="24"/>
                <w:szCs w:val="24"/>
                <w:highlight w:val="none"/>
                <w:lang w:val="en-US" w:eastAsia="zh-CN"/>
              </w:rPr>
              <w:t>每提供一项得3分，最高得15分。</w:t>
            </w:r>
          </w:p>
          <w:p w14:paraId="50709B8B">
            <w:pPr>
              <w:keepNext w:val="0"/>
              <w:keepLines w:val="0"/>
              <w:pageBreakBefore w:val="0"/>
              <w:widowControl/>
              <w:overflowPunct/>
              <w:topLinePunct w:val="0"/>
              <w:bidi w:val="0"/>
              <w:adjustRightInd w:val="0"/>
              <w:snapToGrid w:val="0"/>
              <w:spacing w:line="420" w:lineRule="exact"/>
              <w:ind w:right="19"/>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pacing w:val="10"/>
                <w:sz w:val="24"/>
                <w:szCs w:val="24"/>
                <w:highlight w:val="none"/>
                <w:lang w:val="en-US" w:eastAsia="zh-CN"/>
              </w:rPr>
              <w:t>2.</w:t>
            </w:r>
            <w:r>
              <w:rPr>
                <w:rFonts w:hint="eastAsia" w:ascii="宋体" w:hAnsi="宋体" w:eastAsia="宋体" w:cs="宋体"/>
                <w:color w:val="auto"/>
                <w:spacing w:val="2"/>
                <w:sz w:val="24"/>
                <w:szCs w:val="24"/>
                <w:highlight w:val="none"/>
              </w:rPr>
              <w:t>以上认证证书均未获得的，不予计</w:t>
            </w:r>
            <w:r>
              <w:rPr>
                <w:rFonts w:hint="eastAsia" w:ascii="宋体" w:hAnsi="宋体" w:eastAsia="宋体" w:cs="宋体"/>
                <w:color w:val="auto"/>
                <w:spacing w:val="-5"/>
                <w:sz w:val="24"/>
                <w:szCs w:val="24"/>
                <w:highlight w:val="none"/>
              </w:rPr>
              <w:t>分。</w:t>
            </w:r>
          </w:p>
        </w:tc>
        <w:tc>
          <w:tcPr>
            <w:tcW w:w="4575" w:type="dxa"/>
            <w:tcBorders>
              <w:top w:val="single" w:color="auto" w:sz="4" w:space="0"/>
              <w:left w:val="single" w:color="auto" w:sz="4" w:space="0"/>
              <w:bottom w:val="single" w:color="auto" w:sz="4" w:space="0"/>
              <w:right w:val="single" w:color="auto" w:sz="4" w:space="0"/>
            </w:tcBorders>
            <w:vAlign w:val="center"/>
          </w:tcPr>
          <w:p w14:paraId="706C82A0">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注：须</w:t>
            </w:r>
            <w:r>
              <w:rPr>
                <w:rFonts w:hint="eastAsia" w:ascii="宋体" w:hAnsi="宋体" w:eastAsia="宋体" w:cs="宋体"/>
                <w:snapToGrid w:val="0"/>
                <w:color w:val="auto"/>
                <w:kern w:val="0"/>
                <w:sz w:val="24"/>
                <w:szCs w:val="24"/>
                <w:highlight w:val="none"/>
              </w:rPr>
              <w:t>附在有效期内的认证证书彩色</w:t>
            </w:r>
            <w:r>
              <w:rPr>
                <w:rFonts w:hint="eastAsia" w:ascii="宋体" w:hAnsi="宋体" w:eastAsia="宋体" w:cs="宋体"/>
                <w:color w:val="auto"/>
                <w:sz w:val="24"/>
                <w:szCs w:val="24"/>
                <w:highlight w:val="none"/>
              </w:rPr>
              <w:t>扫描件(或打印件)并加盖公章，否则不得分。</w:t>
            </w:r>
          </w:p>
          <w:p w14:paraId="20CB4584">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color w:val="auto"/>
                <w:sz w:val="24"/>
                <w:szCs w:val="24"/>
                <w:highlight w:val="none"/>
              </w:rPr>
            </w:pPr>
          </w:p>
        </w:tc>
      </w:tr>
      <w:tr w14:paraId="121C7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8" w:type="dxa"/>
            <w:tcBorders>
              <w:top w:val="single" w:color="auto" w:sz="4" w:space="0"/>
              <w:left w:val="single" w:color="auto" w:sz="4" w:space="0"/>
              <w:bottom w:val="single" w:color="auto" w:sz="4" w:space="0"/>
              <w:right w:val="single" w:color="auto" w:sz="4" w:space="0"/>
            </w:tcBorders>
            <w:vAlign w:val="center"/>
          </w:tcPr>
          <w:p w14:paraId="01259390">
            <w:pPr>
              <w:keepNext w:val="0"/>
              <w:keepLines w:val="0"/>
              <w:pageBreakBefore w:val="0"/>
              <w:widowControl/>
              <w:wordWrap w:val="0"/>
              <w:overflowPunct/>
              <w:topLinePunct w:val="0"/>
              <w:bidi w:val="0"/>
              <w:adjustRightInd w:val="0"/>
              <w:snapToGrid w:val="0"/>
              <w:spacing w:line="42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w:t>
            </w:r>
          </w:p>
          <w:p w14:paraId="460F5EDC">
            <w:pPr>
              <w:keepNext w:val="0"/>
              <w:keepLines w:val="0"/>
              <w:pageBreakBefore w:val="0"/>
              <w:widowControl/>
              <w:wordWrap w:val="0"/>
              <w:overflowPunct/>
              <w:topLinePunct w:val="0"/>
              <w:bidi w:val="0"/>
              <w:adjustRightInd w:val="0"/>
              <w:snapToGrid w:val="0"/>
              <w:spacing w:line="420" w:lineRule="exact"/>
              <w:jc w:val="center"/>
              <w:rPr>
                <w:rFonts w:hint="eastAsia" w:ascii="宋体" w:hAnsi="宋体" w:eastAsia="宋体" w:cs="宋体"/>
                <w:strike/>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财务状况</w:t>
            </w:r>
          </w:p>
          <w:p w14:paraId="2D07158D">
            <w:pPr>
              <w:keepNext w:val="0"/>
              <w:keepLines w:val="0"/>
              <w:pageBreakBefore w:val="0"/>
              <w:widowControl/>
              <w:wordWrap w:val="0"/>
              <w:overflowPunct/>
              <w:topLinePunct w:val="0"/>
              <w:bidi w:val="0"/>
              <w:adjustRightInd w:val="0"/>
              <w:snapToGrid w:val="0"/>
              <w:spacing w:line="42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rPr>
              <w:t>（10分）</w:t>
            </w:r>
          </w:p>
        </w:tc>
        <w:tc>
          <w:tcPr>
            <w:tcW w:w="3915" w:type="dxa"/>
            <w:tcBorders>
              <w:top w:val="single" w:color="auto" w:sz="4" w:space="0"/>
              <w:left w:val="single" w:color="auto" w:sz="4" w:space="0"/>
              <w:bottom w:val="single" w:color="auto" w:sz="4" w:space="0"/>
              <w:right w:val="single" w:color="auto" w:sz="4" w:space="0"/>
            </w:tcBorders>
            <w:vAlign w:val="center"/>
          </w:tcPr>
          <w:p w14:paraId="2A74C525">
            <w:pPr>
              <w:keepNext w:val="0"/>
              <w:keepLines w:val="0"/>
              <w:pageBreakBefore w:val="0"/>
              <w:widowControl/>
              <w:numPr>
                <w:ilvl w:val="0"/>
                <w:numId w:val="1"/>
              </w:numPr>
              <w:wordWrap w:val="0"/>
              <w:overflowPunct/>
              <w:topLinePunct w:val="0"/>
              <w:bidi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提供不少于</w:t>
            </w:r>
            <w:r>
              <w:rPr>
                <w:rFonts w:hint="eastAsia" w:ascii="宋体" w:hAnsi="宋体" w:eastAsia="宋体" w:cs="宋体"/>
                <w:snapToGrid w:val="0"/>
                <w:color w:val="auto"/>
                <w:kern w:val="0"/>
                <w:sz w:val="24"/>
                <w:szCs w:val="24"/>
                <w:highlight w:val="none"/>
                <w:u w:val="single"/>
              </w:rPr>
              <w:t xml:space="preserve"> 100 </w:t>
            </w:r>
            <w:r>
              <w:rPr>
                <w:rFonts w:hint="eastAsia" w:ascii="宋体" w:hAnsi="宋体" w:eastAsia="宋体" w:cs="宋体"/>
                <w:snapToGrid w:val="0"/>
                <w:color w:val="auto"/>
                <w:kern w:val="0"/>
                <w:sz w:val="24"/>
                <w:szCs w:val="24"/>
                <w:highlight w:val="none"/>
              </w:rPr>
              <w:t>万元银行授信证明的，得5分。</w:t>
            </w:r>
          </w:p>
          <w:p w14:paraId="022BC5BB">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snapToGrid w:val="0"/>
                <w:color w:val="auto"/>
                <w:kern w:val="0"/>
                <w:sz w:val="24"/>
                <w:szCs w:val="24"/>
                <w:highlight w:val="none"/>
              </w:rPr>
            </w:pPr>
          </w:p>
          <w:p w14:paraId="03B64A60">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2．提供投标人基本账户在本项目招标公告发布之日起至投标截止时间期间出现过至少连续3日不少于</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100</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万元存款余额资金流水证明的，得5分。</w:t>
            </w:r>
          </w:p>
          <w:p w14:paraId="3A75EE7B">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3．未提供以上两项证明的，不予计分。</w:t>
            </w:r>
          </w:p>
        </w:tc>
        <w:tc>
          <w:tcPr>
            <w:tcW w:w="4575" w:type="dxa"/>
            <w:tcBorders>
              <w:top w:val="single" w:color="auto" w:sz="4" w:space="0"/>
              <w:left w:val="single" w:color="auto" w:sz="4" w:space="0"/>
              <w:bottom w:val="single" w:color="auto" w:sz="4" w:space="0"/>
              <w:right w:val="single" w:color="auto" w:sz="4" w:space="0"/>
            </w:tcBorders>
            <w:vAlign w:val="center"/>
          </w:tcPr>
          <w:p w14:paraId="45D67705">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color w:val="auto"/>
                <w:spacing w:val="12"/>
                <w:sz w:val="24"/>
                <w:szCs w:val="24"/>
                <w:highlight w:val="none"/>
              </w:rPr>
              <w:t>须</w:t>
            </w:r>
            <w:r>
              <w:rPr>
                <w:rFonts w:hint="eastAsia" w:ascii="宋体" w:hAnsi="宋体" w:eastAsia="宋体" w:cs="宋体"/>
                <w:snapToGrid w:val="0"/>
                <w:color w:val="auto"/>
                <w:kern w:val="0"/>
                <w:sz w:val="24"/>
                <w:szCs w:val="24"/>
                <w:highlight w:val="none"/>
              </w:rPr>
              <w:t>附在有效期内的有关证明彩色</w:t>
            </w:r>
            <w:r>
              <w:rPr>
                <w:rFonts w:hint="eastAsia" w:ascii="宋体" w:hAnsi="宋体" w:eastAsia="宋体" w:cs="宋体"/>
                <w:color w:val="auto"/>
                <w:sz w:val="24"/>
                <w:szCs w:val="24"/>
                <w:highlight w:val="none"/>
              </w:rPr>
              <w:t>扫描件(或打印件)并加盖公章</w:t>
            </w:r>
            <w:r>
              <w:rPr>
                <w:rFonts w:hint="eastAsia" w:ascii="宋体" w:hAnsi="宋体" w:eastAsia="宋体" w:cs="宋体"/>
                <w:snapToGrid w:val="0"/>
                <w:color w:val="auto"/>
                <w:kern w:val="0"/>
                <w:sz w:val="24"/>
                <w:szCs w:val="24"/>
                <w:highlight w:val="none"/>
              </w:rPr>
              <w:t>。</w:t>
            </w:r>
          </w:p>
          <w:p w14:paraId="2200183E">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2．银行授信证明有以下情形之一的，视为无效，不予计分：</w:t>
            </w:r>
          </w:p>
          <w:p w14:paraId="15C74D12">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①授信证明不在有效期内的；</w:t>
            </w:r>
          </w:p>
          <w:p w14:paraId="4527AF82">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②授信额度不符合要求的；</w:t>
            </w:r>
          </w:p>
          <w:p w14:paraId="66A3DCFF">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3．存款余额资金流水证明有以下情形之一的，视为无效，不予计分：</w:t>
            </w:r>
          </w:p>
          <w:p w14:paraId="074D6912">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①存款账户不是基本账户的；</w:t>
            </w:r>
          </w:p>
          <w:p w14:paraId="312C8B1F">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②存款时间不符合要求的；</w:t>
            </w:r>
          </w:p>
          <w:p w14:paraId="465C81FF">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③存款额度不符合要求的。</w:t>
            </w:r>
          </w:p>
        </w:tc>
      </w:tr>
      <w:tr w14:paraId="1D4B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8" w:type="dxa"/>
            <w:vMerge w:val="restart"/>
            <w:tcBorders>
              <w:top w:val="single" w:color="auto" w:sz="4" w:space="0"/>
              <w:left w:val="single" w:color="auto" w:sz="4" w:space="0"/>
              <w:bottom w:val="single" w:color="auto" w:sz="4" w:space="0"/>
              <w:right w:val="single" w:color="auto" w:sz="4" w:space="0"/>
            </w:tcBorders>
            <w:vAlign w:val="center"/>
          </w:tcPr>
          <w:p w14:paraId="50D568B9">
            <w:pPr>
              <w:pStyle w:val="8"/>
              <w:keepNext w:val="0"/>
              <w:keepLines w:val="0"/>
              <w:pageBreakBefore w:val="0"/>
              <w:widowControl/>
              <w:wordWrap w:val="0"/>
              <w:overflowPunct/>
              <w:topLinePunct w:val="0"/>
              <w:bidi w:val="0"/>
              <w:adjustRightInd w:val="0"/>
              <w:snapToGrid w:val="0"/>
              <w:spacing w:after="0" w:line="42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招标人自选项（20分）</w:t>
            </w:r>
          </w:p>
          <w:p w14:paraId="22A73CB4">
            <w:pPr>
              <w:pStyle w:val="8"/>
              <w:keepNext w:val="0"/>
              <w:keepLines w:val="0"/>
              <w:pageBreakBefore w:val="0"/>
              <w:widowControl/>
              <w:wordWrap w:val="0"/>
              <w:overflowPunct/>
              <w:topLinePunct w:val="0"/>
              <w:bidi w:val="0"/>
              <w:adjustRightInd w:val="0"/>
              <w:snapToGrid w:val="0"/>
              <w:spacing w:after="0" w:line="420" w:lineRule="exact"/>
              <w:jc w:val="center"/>
              <w:rPr>
                <w:rFonts w:hint="eastAsia" w:ascii="宋体" w:hAnsi="宋体" w:eastAsia="宋体" w:cs="宋体"/>
                <w:snapToGrid w:val="0"/>
                <w:color w:val="auto"/>
                <w:kern w:val="0"/>
                <w:sz w:val="24"/>
                <w:szCs w:val="24"/>
                <w:highlight w:val="none"/>
              </w:rPr>
            </w:pPr>
          </w:p>
          <w:p w14:paraId="28EE1ADE">
            <w:pPr>
              <w:pStyle w:val="8"/>
              <w:keepNext w:val="0"/>
              <w:keepLines w:val="0"/>
              <w:pageBreakBefore w:val="0"/>
              <w:widowControl/>
              <w:wordWrap w:val="0"/>
              <w:overflowPunct/>
              <w:topLinePunct w:val="0"/>
              <w:bidi w:val="0"/>
              <w:adjustRightInd w:val="0"/>
              <w:snapToGrid w:val="0"/>
              <w:spacing w:after="0" w:line="420" w:lineRule="exact"/>
              <w:jc w:val="center"/>
              <w:rPr>
                <w:rFonts w:hint="eastAsia" w:ascii="宋体" w:hAnsi="宋体" w:eastAsia="宋体" w:cs="宋体"/>
                <w:i/>
                <w:iCs/>
                <w:snapToGrid w:val="0"/>
                <w:color w:val="auto"/>
                <w:kern w:val="0"/>
                <w:sz w:val="24"/>
                <w:szCs w:val="24"/>
                <w:highlight w:val="none"/>
              </w:rPr>
            </w:pPr>
          </w:p>
          <w:p w14:paraId="72F10A6F">
            <w:pPr>
              <w:pStyle w:val="8"/>
              <w:keepNext w:val="0"/>
              <w:keepLines w:val="0"/>
              <w:pageBreakBefore w:val="0"/>
              <w:widowControl/>
              <w:wordWrap w:val="0"/>
              <w:overflowPunct/>
              <w:topLinePunct w:val="0"/>
              <w:bidi w:val="0"/>
              <w:adjustRightInd w:val="0"/>
              <w:snapToGrid w:val="0"/>
              <w:spacing w:after="0" w:line="420" w:lineRule="exact"/>
              <w:jc w:val="center"/>
              <w:rPr>
                <w:rFonts w:hint="eastAsia" w:ascii="宋体" w:hAnsi="宋体" w:eastAsia="宋体" w:cs="宋体"/>
                <w:snapToGrid w:val="0"/>
                <w:color w:val="auto"/>
                <w:kern w:val="0"/>
                <w:sz w:val="24"/>
                <w:szCs w:val="24"/>
                <w:highlight w:val="none"/>
              </w:rPr>
            </w:pPr>
          </w:p>
        </w:tc>
        <w:tc>
          <w:tcPr>
            <w:tcW w:w="3915" w:type="dxa"/>
            <w:tcBorders>
              <w:top w:val="single" w:color="auto" w:sz="4" w:space="0"/>
              <w:left w:val="single" w:color="auto" w:sz="4" w:space="0"/>
              <w:bottom w:val="single" w:color="auto" w:sz="4" w:space="0"/>
              <w:right w:val="single" w:color="auto" w:sz="4" w:space="0"/>
            </w:tcBorders>
            <w:vAlign w:val="center"/>
          </w:tcPr>
          <w:p w14:paraId="7DC733B6">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color w:val="auto"/>
                <w:spacing w:val="12"/>
                <w:sz w:val="24"/>
                <w:szCs w:val="24"/>
                <w:highlight w:val="none"/>
              </w:rPr>
            </w:pPr>
            <w:r>
              <w:rPr>
                <w:rFonts w:hint="eastAsia" w:ascii="宋体" w:hAnsi="宋体" w:eastAsia="宋体" w:cs="宋体"/>
                <w:color w:val="auto"/>
                <w:spacing w:val="12"/>
                <w:sz w:val="24"/>
                <w:szCs w:val="24"/>
                <w:highlight w:val="none"/>
              </w:rPr>
              <w:t>投标人2021年1月1日至今获得过省级或以上企业信用等级“AAA级信用企业”称号的</w:t>
            </w:r>
            <w:r>
              <w:rPr>
                <w:rFonts w:hint="eastAsia" w:ascii="宋体" w:hAnsi="宋体" w:eastAsia="宋体" w:cs="宋体"/>
                <w:color w:val="auto"/>
                <w:spacing w:val="12"/>
                <w:sz w:val="24"/>
                <w:szCs w:val="24"/>
                <w:highlight w:val="none"/>
                <w:lang w:eastAsia="zh-CN"/>
              </w:rPr>
              <w:t>，</w:t>
            </w:r>
            <w:r>
              <w:rPr>
                <w:rFonts w:hint="eastAsia" w:ascii="宋体" w:hAnsi="宋体" w:eastAsia="宋体" w:cs="宋体"/>
                <w:color w:val="auto"/>
                <w:spacing w:val="12"/>
                <w:sz w:val="24"/>
                <w:szCs w:val="24"/>
                <w:highlight w:val="none"/>
              </w:rPr>
              <w:t>得5分。</w:t>
            </w:r>
          </w:p>
        </w:tc>
        <w:tc>
          <w:tcPr>
            <w:tcW w:w="4575" w:type="dxa"/>
            <w:tcBorders>
              <w:top w:val="single" w:color="auto" w:sz="4" w:space="0"/>
              <w:left w:val="single" w:color="auto" w:sz="4" w:space="0"/>
              <w:bottom w:val="single" w:color="auto" w:sz="4" w:space="0"/>
              <w:right w:val="single" w:color="auto" w:sz="4" w:space="0"/>
            </w:tcBorders>
            <w:vAlign w:val="center"/>
          </w:tcPr>
          <w:p w14:paraId="4DA82F89">
            <w:pPr>
              <w:keepNext w:val="0"/>
              <w:keepLines w:val="0"/>
              <w:pageBreakBefore w:val="0"/>
              <w:widowControl/>
              <w:overflowPunct/>
              <w:topLinePunct w:val="0"/>
              <w:bidi w:val="0"/>
              <w:adjustRightInd w:val="0"/>
              <w:snapToGrid w:val="0"/>
              <w:spacing w:line="420" w:lineRule="exact"/>
              <w:ind w:left="65" w:right="36"/>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1.须附相关证书彩色扫描件(或打印件)并加盖公章。</w:t>
            </w:r>
          </w:p>
          <w:p w14:paraId="6F269F1B">
            <w:pPr>
              <w:keepNext w:val="0"/>
              <w:keepLines w:val="0"/>
              <w:pageBreakBefore w:val="0"/>
              <w:widowControl/>
              <w:overflowPunct/>
              <w:topLinePunct w:val="0"/>
              <w:bidi w:val="0"/>
              <w:adjustRightInd w:val="0"/>
              <w:snapToGrid w:val="0"/>
              <w:spacing w:line="420" w:lineRule="exact"/>
              <w:ind w:left="65" w:right="36"/>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2.证书须由省级或以上企业联合会和企业家协会（需经民政局备案）同时颁发。</w:t>
            </w:r>
          </w:p>
          <w:p w14:paraId="53CDC562">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3.颁发机构、获奖时间不符合评分标准和备注规定的，不予得分。</w:t>
            </w:r>
          </w:p>
        </w:tc>
      </w:tr>
      <w:tr w14:paraId="6907E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8" w:type="dxa"/>
            <w:vMerge w:val="continue"/>
            <w:tcBorders>
              <w:top w:val="single" w:color="auto" w:sz="4" w:space="0"/>
              <w:left w:val="single" w:color="auto" w:sz="4" w:space="0"/>
              <w:bottom w:val="single" w:color="auto" w:sz="4" w:space="0"/>
              <w:right w:val="single" w:color="auto" w:sz="4" w:space="0"/>
            </w:tcBorders>
            <w:vAlign w:val="center"/>
          </w:tcPr>
          <w:p w14:paraId="68315DE9">
            <w:pPr>
              <w:keepNext w:val="0"/>
              <w:keepLines w:val="0"/>
              <w:pageBreakBefore w:val="0"/>
              <w:widowControl/>
              <w:overflowPunct/>
              <w:topLinePunct w:val="0"/>
              <w:bidi w:val="0"/>
              <w:adjustRightInd w:val="0"/>
              <w:snapToGrid w:val="0"/>
              <w:spacing w:line="420" w:lineRule="exact"/>
              <w:jc w:val="left"/>
              <w:rPr>
                <w:rFonts w:hint="eastAsia" w:ascii="宋体" w:hAnsi="宋体" w:eastAsia="宋体" w:cs="宋体"/>
                <w:snapToGrid w:val="0"/>
                <w:color w:val="auto"/>
                <w:kern w:val="0"/>
                <w:sz w:val="24"/>
                <w:szCs w:val="24"/>
                <w:highlight w:val="none"/>
              </w:rPr>
            </w:pPr>
          </w:p>
        </w:tc>
        <w:tc>
          <w:tcPr>
            <w:tcW w:w="3915" w:type="dxa"/>
            <w:tcBorders>
              <w:top w:val="single" w:color="auto" w:sz="4" w:space="0"/>
              <w:left w:val="single" w:color="auto" w:sz="4" w:space="0"/>
              <w:bottom w:val="single" w:color="auto" w:sz="4" w:space="0"/>
              <w:right w:val="single" w:color="auto" w:sz="4" w:space="0"/>
            </w:tcBorders>
            <w:vAlign w:val="center"/>
          </w:tcPr>
          <w:p w14:paraId="089A66C3">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color w:val="auto"/>
                <w:spacing w:val="12"/>
                <w:sz w:val="24"/>
                <w:szCs w:val="24"/>
                <w:highlight w:val="none"/>
              </w:rPr>
            </w:pPr>
            <w:r>
              <w:rPr>
                <w:rFonts w:hint="eastAsia" w:ascii="宋体" w:hAnsi="宋体" w:eastAsia="宋体" w:cs="宋体"/>
                <w:color w:val="auto"/>
                <w:spacing w:val="12"/>
                <w:sz w:val="24"/>
                <w:szCs w:val="24"/>
                <w:highlight w:val="none"/>
              </w:rPr>
              <w:t xml:space="preserve">投标人2021年度~至今参与了项目所在地的结对帮扶“百千万工程”等典型项目： </w:t>
            </w:r>
          </w:p>
          <w:p w14:paraId="60CB1C26">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color w:val="auto"/>
                <w:spacing w:val="12"/>
                <w:sz w:val="24"/>
                <w:szCs w:val="24"/>
                <w:highlight w:val="none"/>
              </w:rPr>
            </w:pPr>
            <w:r>
              <w:rPr>
                <w:rFonts w:hint="eastAsia" w:ascii="宋体" w:hAnsi="宋体" w:eastAsia="宋体" w:cs="宋体"/>
                <w:color w:val="auto"/>
                <w:spacing w:val="12"/>
                <w:sz w:val="24"/>
                <w:szCs w:val="24"/>
                <w:highlight w:val="none"/>
              </w:rPr>
              <w:t>1．纯公益帮扶项目已完工， 大于50万元的</w:t>
            </w:r>
            <w:r>
              <w:rPr>
                <w:rFonts w:hint="eastAsia" w:ascii="宋体" w:hAnsi="宋体" w:eastAsia="宋体" w:cs="宋体"/>
                <w:color w:val="auto"/>
                <w:spacing w:val="12"/>
                <w:sz w:val="24"/>
                <w:szCs w:val="24"/>
                <w:highlight w:val="none"/>
                <w:lang w:eastAsia="zh-CN"/>
              </w:rPr>
              <w:t>，</w:t>
            </w:r>
            <w:r>
              <w:rPr>
                <w:rFonts w:hint="eastAsia" w:ascii="宋体" w:hAnsi="宋体" w:eastAsia="宋体" w:cs="宋体"/>
                <w:color w:val="auto"/>
                <w:spacing w:val="12"/>
                <w:sz w:val="24"/>
                <w:szCs w:val="24"/>
                <w:highlight w:val="none"/>
              </w:rPr>
              <w:t>得5分；</w:t>
            </w:r>
          </w:p>
          <w:p w14:paraId="71B00A9E">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color w:val="auto"/>
                <w:spacing w:val="12"/>
                <w:sz w:val="24"/>
                <w:szCs w:val="24"/>
                <w:highlight w:val="none"/>
              </w:rPr>
            </w:pPr>
            <w:r>
              <w:rPr>
                <w:rFonts w:hint="eastAsia" w:ascii="宋体" w:hAnsi="宋体" w:eastAsia="宋体" w:cs="宋体"/>
                <w:color w:val="auto"/>
                <w:spacing w:val="12"/>
                <w:sz w:val="24"/>
                <w:szCs w:val="24"/>
                <w:highlight w:val="none"/>
              </w:rPr>
              <w:t xml:space="preserve"> 2．纯公益帮扶项目已完工， 大于10万元、小于50万元（含）的</w:t>
            </w:r>
            <w:r>
              <w:rPr>
                <w:rFonts w:hint="eastAsia" w:ascii="宋体" w:hAnsi="宋体" w:eastAsia="宋体" w:cs="宋体"/>
                <w:color w:val="auto"/>
                <w:spacing w:val="12"/>
                <w:sz w:val="24"/>
                <w:szCs w:val="24"/>
                <w:highlight w:val="none"/>
                <w:lang w:eastAsia="zh-CN"/>
              </w:rPr>
              <w:t>，</w:t>
            </w:r>
            <w:r>
              <w:rPr>
                <w:rFonts w:hint="eastAsia" w:ascii="宋体" w:hAnsi="宋体" w:eastAsia="宋体" w:cs="宋体"/>
                <w:color w:val="auto"/>
                <w:spacing w:val="12"/>
                <w:sz w:val="24"/>
                <w:szCs w:val="24"/>
                <w:highlight w:val="none"/>
              </w:rPr>
              <w:t xml:space="preserve">得2分； </w:t>
            </w:r>
          </w:p>
          <w:p w14:paraId="703B73C0">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color w:val="auto"/>
                <w:spacing w:val="12"/>
                <w:sz w:val="24"/>
                <w:szCs w:val="24"/>
                <w:highlight w:val="none"/>
              </w:rPr>
            </w:pPr>
            <w:r>
              <w:rPr>
                <w:rFonts w:hint="eastAsia" w:ascii="宋体" w:hAnsi="宋体" w:eastAsia="宋体" w:cs="宋体"/>
                <w:color w:val="auto"/>
                <w:spacing w:val="12"/>
                <w:sz w:val="24"/>
                <w:szCs w:val="24"/>
                <w:highlight w:val="none"/>
              </w:rPr>
              <w:t>3．帮扶项目已完工，大于1万元、小于10万元的</w:t>
            </w:r>
            <w:r>
              <w:rPr>
                <w:rFonts w:hint="eastAsia" w:ascii="宋体" w:hAnsi="宋体" w:eastAsia="宋体" w:cs="宋体"/>
                <w:color w:val="auto"/>
                <w:spacing w:val="12"/>
                <w:sz w:val="24"/>
                <w:szCs w:val="24"/>
                <w:highlight w:val="none"/>
                <w:lang w:eastAsia="zh-CN"/>
              </w:rPr>
              <w:t>，</w:t>
            </w:r>
            <w:r>
              <w:rPr>
                <w:rFonts w:hint="eastAsia" w:ascii="宋体" w:hAnsi="宋体" w:eastAsia="宋体" w:cs="宋体"/>
                <w:color w:val="auto"/>
                <w:spacing w:val="12"/>
                <w:sz w:val="24"/>
                <w:szCs w:val="24"/>
                <w:highlight w:val="none"/>
              </w:rPr>
              <w:t xml:space="preserve">得1分； </w:t>
            </w:r>
          </w:p>
          <w:p w14:paraId="0D4CF5F0">
            <w:pPr>
              <w:keepNext w:val="0"/>
              <w:keepLines w:val="0"/>
              <w:pageBreakBefore w:val="0"/>
              <w:widowControl/>
              <w:wordWrap w:val="0"/>
              <w:overflowPunct/>
              <w:topLinePunct w:val="0"/>
              <w:bidi w:val="0"/>
              <w:adjustRightInd w:val="0"/>
              <w:snapToGrid w:val="0"/>
              <w:spacing w:line="420" w:lineRule="exact"/>
              <w:rPr>
                <w:rFonts w:hint="eastAsia" w:ascii="宋体" w:hAnsi="宋体" w:eastAsia="宋体" w:cs="宋体"/>
                <w:color w:val="auto"/>
                <w:spacing w:val="12"/>
                <w:sz w:val="24"/>
                <w:szCs w:val="24"/>
                <w:highlight w:val="none"/>
              </w:rPr>
            </w:pPr>
            <w:r>
              <w:rPr>
                <w:rFonts w:hint="eastAsia" w:ascii="宋体" w:hAnsi="宋体" w:eastAsia="宋体" w:cs="宋体"/>
                <w:color w:val="auto"/>
                <w:spacing w:val="12"/>
                <w:sz w:val="24"/>
                <w:szCs w:val="24"/>
                <w:highlight w:val="none"/>
              </w:rPr>
              <w:t>4.其他不计分。</w:t>
            </w:r>
          </w:p>
          <w:p w14:paraId="6BF91C74">
            <w:pPr>
              <w:keepNext w:val="0"/>
              <w:keepLines w:val="0"/>
              <w:pageBreakBefore w:val="0"/>
              <w:widowControl/>
              <w:wordWrap w:val="0"/>
              <w:overflowPunct/>
              <w:topLinePunct w:val="0"/>
              <w:bidi w:val="0"/>
              <w:adjustRightInd w:val="0"/>
              <w:snapToGrid w:val="0"/>
              <w:spacing w:line="420" w:lineRule="exact"/>
              <w:rPr>
                <w:rFonts w:hint="default" w:eastAsia="宋体"/>
                <w:color w:val="auto"/>
                <w:highlight w:val="none"/>
                <w:lang w:val="en-US" w:eastAsia="zh-CN"/>
              </w:rPr>
            </w:pPr>
            <w:r>
              <w:rPr>
                <w:rFonts w:hint="eastAsia" w:ascii="宋体" w:hAnsi="宋体" w:eastAsia="宋体" w:cs="宋体"/>
                <w:color w:val="auto"/>
                <w:spacing w:val="12"/>
                <w:sz w:val="24"/>
                <w:szCs w:val="24"/>
                <w:highlight w:val="none"/>
                <w:lang w:val="en-US" w:eastAsia="zh-CN"/>
              </w:rPr>
              <w:t>5.本项最高得分5分，不累计得分。</w:t>
            </w:r>
          </w:p>
        </w:tc>
        <w:tc>
          <w:tcPr>
            <w:tcW w:w="4575" w:type="dxa"/>
            <w:tcBorders>
              <w:top w:val="single" w:color="auto" w:sz="4" w:space="0"/>
              <w:left w:val="single" w:color="auto" w:sz="4" w:space="0"/>
              <w:bottom w:val="single" w:color="auto" w:sz="4" w:space="0"/>
              <w:right w:val="single" w:color="auto" w:sz="4" w:space="0"/>
            </w:tcBorders>
          </w:tcPr>
          <w:p w14:paraId="76383EC3">
            <w:pPr>
              <w:keepNext w:val="0"/>
              <w:keepLines w:val="0"/>
              <w:pageBreakBefore w:val="0"/>
              <w:widowControl/>
              <w:overflowPunct/>
              <w:topLinePunct w:val="0"/>
              <w:bidi w:val="0"/>
              <w:adjustRightInd w:val="0"/>
              <w:snapToGrid w:val="0"/>
              <w:spacing w:line="420" w:lineRule="exact"/>
              <w:ind w:left="65" w:right="36"/>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1.需提交证明结对帮扶项目已录入“全省百千万工程”建筑业企业与乡镇结对帮扶项目信息库。</w:t>
            </w:r>
          </w:p>
          <w:p w14:paraId="240A20B2">
            <w:pPr>
              <w:keepNext w:val="0"/>
              <w:keepLines w:val="0"/>
              <w:pageBreakBefore w:val="0"/>
              <w:widowControl/>
              <w:overflowPunct/>
              <w:topLinePunct w:val="0"/>
              <w:bidi w:val="0"/>
              <w:adjustRightInd w:val="0"/>
              <w:snapToGrid w:val="0"/>
              <w:spacing w:line="420" w:lineRule="exact"/>
              <w:ind w:left="65" w:right="36"/>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2.需要提供项目所在的县建设主管部门出具的帮扶证明彩色扫描件， 且项目已录入“全省百千万工程”建筑业企业与乡镇结对帮扶项目信息库。</w:t>
            </w:r>
          </w:p>
          <w:p w14:paraId="296BBA41">
            <w:pPr>
              <w:pStyle w:val="2"/>
              <w:keepNext w:val="0"/>
              <w:keepLines w:val="0"/>
              <w:pageBreakBefore w:val="0"/>
              <w:widowControl/>
              <w:overflowPunct/>
              <w:topLinePunct w:val="0"/>
              <w:bidi w:val="0"/>
              <w:adjustRightInd w:val="0"/>
              <w:snapToGrid w:val="0"/>
              <w:spacing w:line="420" w:lineRule="exact"/>
              <w:rPr>
                <w:rFonts w:hint="default" w:eastAsia="宋体"/>
                <w:color w:val="auto"/>
                <w:highlight w:val="none"/>
                <w:lang w:val="en-US" w:eastAsia="zh-CN"/>
              </w:rPr>
            </w:pPr>
          </w:p>
        </w:tc>
      </w:tr>
      <w:tr w14:paraId="43BE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atLeast"/>
          <w:jc w:val="center"/>
        </w:trPr>
        <w:tc>
          <w:tcPr>
            <w:tcW w:w="1308" w:type="dxa"/>
            <w:vMerge w:val="continue"/>
            <w:tcBorders>
              <w:top w:val="single" w:color="auto" w:sz="4" w:space="0"/>
              <w:left w:val="single" w:color="auto" w:sz="4" w:space="0"/>
              <w:bottom w:val="single" w:color="auto" w:sz="4" w:space="0"/>
              <w:right w:val="single" w:color="auto" w:sz="4" w:space="0"/>
            </w:tcBorders>
            <w:vAlign w:val="center"/>
          </w:tcPr>
          <w:p w14:paraId="4F7B960C">
            <w:pPr>
              <w:keepNext w:val="0"/>
              <w:keepLines w:val="0"/>
              <w:pageBreakBefore w:val="0"/>
              <w:widowControl/>
              <w:overflowPunct/>
              <w:topLinePunct w:val="0"/>
              <w:bidi w:val="0"/>
              <w:adjustRightInd w:val="0"/>
              <w:snapToGrid w:val="0"/>
              <w:spacing w:line="420" w:lineRule="exact"/>
              <w:jc w:val="left"/>
              <w:rPr>
                <w:rFonts w:hint="eastAsia" w:ascii="宋体" w:hAnsi="宋体" w:eastAsia="宋体" w:cs="宋体"/>
                <w:snapToGrid w:val="0"/>
                <w:color w:val="auto"/>
                <w:kern w:val="0"/>
                <w:sz w:val="24"/>
                <w:szCs w:val="24"/>
                <w:highlight w:val="none"/>
              </w:rPr>
            </w:pPr>
          </w:p>
        </w:tc>
        <w:tc>
          <w:tcPr>
            <w:tcW w:w="3915" w:type="dxa"/>
            <w:tcBorders>
              <w:top w:val="single" w:color="auto" w:sz="4" w:space="0"/>
              <w:left w:val="single" w:color="auto" w:sz="4" w:space="0"/>
              <w:bottom w:val="single" w:color="auto" w:sz="4" w:space="0"/>
              <w:right w:val="single" w:color="auto" w:sz="4" w:space="0"/>
            </w:tcBorders>
            <w:vAlign w:val="center"/>
          </w:tcPr>
          <w:p w14:paraId="66F83842">
            <w:pPr>
              <w:pStyle w:val="69"/>
              <w:keepNext w:val="0"/>
              <w:keepLines w:val="0"/>
              <w:pageBreakBefore w:val="0"/>
              <w:widowControl/>
              <w:overflowPunct/>
              <w:topLinePunct w:val="0"/>
              <w:bidi w:val="0"/>
              <w:adjustRightInd w:val="0"/>
              <w:snapToGrid w:val="0"/>
              <w:spacing w:line="420" w:lineRule="exact"/>
              <w:ind w:left="10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投标人2021年1月1日至今获得过高新技术企业的，得5分。</w:t>
            </w:r>
          </w:p>
        </w:tc>
        <w:tc>
          <w:tcPr>
            <w:tcW w:w="4575" w:type="dxa"/>
            <w:tcBorders>
              <w:top w:val="single" w:color="auto" w:sz="4" w:space="0"/>
              <w:left w:val="single" w:color="auto" w:sz="4" w:space="0"/>
              <w:bottom w:val="single" w:color="auto" w:sz="4" w:space="0"/>
              <w:right w:val="single" w:color="auto" w:sz="4" w:space="0"/>
            </w:tcBorders>
            <w:vAlign w:val="center"/>
          </w:tcPr>
          <w:p w14:paraId="2DE489A3">
            <w:pPr>
              <w:pStyle w:val="42"/>
              <w:keepNext w:val="0"/>
              <w:keepLines w:val="0"/>
              <w:pageBreakBefore w:val="0"/>
              <w:widowControl/>
              <w:wordWrap w:val="0"/>
              <w:overflowPunct/>
              <w:topLinePunct w:val="0"/>
              <w:bidi w:val="0"/>
              <w:adjustRightInd w:val="0"/>
              <w:snapToGrid w:val="0"/>
              <w:spacing w:line="42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提供高新技术企业证书彩色扫描件（或打印件）和提供网上查询截图并加盖公章。</w:t>
            </w:r>
          </w:p>
          <w:p w14:paraId="190576C0">
            <w:pPr>
              <w:pStyle w:val="69"/>
              <w:keepNext w:val="0"/>
              <w:keepLines w:val="0"/>
              <w:pageBreakBefore w:val="0"/>
              <w:widowControl/>
              <w:overflowPunct/>
              <w:topLinePunct w:val="0"/>
              <w:bidi w:val="0"/>
              <w:adjustRightInd w:val="0"/>
              <w:snapToGrid w:val="0"/>
              <w:spacing w:line="420" w:lineRule="exact"/>
              <w:ind w:right="-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备注：高新企业证书3年有效，非有效期内证书经查询会显示失效。</w:t>
            </w:r>
          </w:p>
        </w:tc>
      </w:tr>
      <w:tr w14:paraId="20F83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8" w:type="dxa"/>
            <w:vMerge w:val="continue"/>
            <w:tcBorders>
              <w:top w:val="single" w:color="auto" w:sz="4" w:space="0"/>
              <w:left w:val="single" w:color="auto" w:sz="4" w:space="0"/>
              <w:bottom w:val="single" w:color="auto" w:sz="4" w:space="0"/>
              <w:right w:val="single" w:color="auto" w:sz="4" w:space="0"/>
            </w:tcBorders>
            <w:vAlign w:val="center"/>
          </w:tcPr>
          <w:p w14:paraId="1F1B4CC9">
            <w:pPr>
              <w:keepNext w:val="0"/>
              <w:keepLines w:val="0"/>
              <w:pageBreakBefore w:val="0"/>
              <w:widowControl/>
              <w:overflowPunct/>
              <w:topLinePunct w:val="0"/>
              <w:bidi w:val="0"/>
              <w:adjustRightInd w:val="0"/>
              <w:snapToGrid w:val="0"/>
              <w:spacing w:line="420" w:lineRule="exact"/>
              <w:jc w:val="left"/>
              <w:rPr>
                <w:rFonts w:hint="eastAsia" w:ascii="宋体" w:hAnsi="宋体" w:eastAsia="宋体" w:cs="宋体"/>
                <w:snapToGrid w:val="0"/>
                <w:color w:val="auto"/>
                <w:kern w:val="0"/>
                <w:sz w:val="24"/>
                <w:szCs w:val="24"/>
                <w:highlight w:val="none"/>
              </w:rPr>
            </w:pPr>
          </w:p>
        </w:tc>
        <w:tc>
          <w:tcPr>
            <w:tcW w:w="3915" w:type="dxa"/>
            <w:tcBorders>
              <w:top w:val="single" w:color="auto" w:sz="4" w:space="0"/>
              <w:left w:val="single" w:color="auto" w:sz="4" w:space="0"/>
              <w:bottom w:val="single" w:color="auto" w:sz="4" w:space="0"/>
              <w:right w:val="single" w:color="auto" w:sz="4" w:space="0"/>
            </w:tcBorders>
            <w:vAlign w:val="center"/>
          </w:tcPr>
          <w:p w14:paraId="093E561C">
            <w:pPr>
              <w:pStyle w:val="69"/>
              <w:keepNext w:val="0"/>
              <w:keepLines w:val="0"/>
              <w:pageBreakBefore w:val="0"/>
              <w:widowControl/>
              <w:overflowPunct/>
              <w:topLinePunct w:val="0"/>
              <w:bidi w:val="0"/>
              <w:adjustRightInd w:val="0"/>
              <w:snapToGrid w:val="0"/>
              <w:spacing w:line="420" w:lineRule="exact"/>
              <w:ind w:left="106"/>
              <w:rPr>
                <w:rFonts w:hint="eastAsia" w:ascii="宋体" w:hAnsi="宋体" w:eastAsia="宋体" w:cs="宋体"/>
                <w:color w:val="auto"/>
                <w:spacing w:val="12"/>
                <w:sz w:val="24"/>
                <w:szCs w:val="24"/>
                <w:highlight w:val="none"/>
              </w:rPr>
            </w:pPr>
            <w:r>
              <w:rPr>
                <w:rFonts w:hint="eastAsia" w:ascii="宋体" w:hAnsi="宋体" w:eastAsia="宋体" w:cs="宋体"/>
                <w:color w:val="auto"/>
                <w:sz w:val="24"/>
                <w:szCs w:val="24"/>
                <w:highlight w:val="none"/>
              </w:rPr>
              <w:t>投标人从2021年1月1日至今，企业连续3年获得地级市及以上建设行政主管部门或建筑业协会颁发的优秀诚信AAA级施工企业的，得5分。</w:t>
            </w:r>
          </w:p>
        </w:tc>
        <w:tc>
          <w:tcPr>
            <w:tcW w:w="4575" w:type="dxa"/>
            <w:tcBorders>
              <w:top w:val="single" w:color="auto" w:sz="4" w:space="0"/>
              <w:left w:val="single" w:color="auto" w:sz="4" w:space="0"/>
              <w:bottom w:val="single" w:color="auto" w:sz="4" w:space="0"/>
              <w:right w:val="single" w:color="auto" w:sz="4" w:space="0"/>
            </w:tcBorders>
            <w:vAlign w:val="center"/>
          </w:tcPr>
          <w:p w14:paraId="0DA43201">
            <w:pPr>
              <w:pStyle w:val="8"/>
              <w:keepNext w:val="0"/>
              <w:keepLines w:val="0"/>
              <w:pageBreakBefore w:val="0"/>
              <w:widowControl/>
              <w:wordWrap w:val="0"/>
              <w:overflowPunct/>
              <w:topLinePunct w:val="0"/>
              <w:bidi w:val="0"/>
              <w:adjustRightInd w:val="0"/>
              <w:snapToGrid w:val="0"/>
              <w:spacing w:after="0" w:line="42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须提供证书和相关文件彩色扫描件（或打印件）并加盖单位公章。</w:t>
            </w:r>
          </w:p>
        </w:tc>
      </w:tr>
      <w:tr w14:paraId="668E1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8"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14:paraId="09141A94">
            <w:pPr>
              <w:pStyle w:val="8"/>
              <w:wordWrap w:val="0"/>
              <w:spacing w:after="0"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技术部分（施工组织设计），满分：</w:t>
            </w:r>
            <w:r>
              <w:rPr>
                <w:rFonts w:hint="eastAsia" w:ascii="宋体" w:hAnsi="宋体" w:eastAsia="宋体" w:cs="宋体"/>
                <w:b/>
                <w:bCs/>
                <w:snapToGrid w:val="0"/>
                <w:color w:val="auto"/>
                <w:kern w:val="0"/>
                <w:sz w:val="24"/>
                <w:szCs w:val="24"/>
                <w:highlight w:val="none"/>
                <w:u w:val="single"/>
              </w:rPr>
              <w:t xml:space="preserve">  20  </w:t>
            </w:r>
            <w:r>
              <w:rPr>
                <w:rFonts w:hint="eastAsia" w:ascii="宋体" w:hAnsi="宋体" w:eastAsia="宋体" w:cs="宋体"/>
                <w:b/>
                <w:bCs/>
                <w:snapToGrid w:val="0"/>
                <w:color w:val="auto"/>
                <w:kern w:val="0"/>
                <w:sz w:val="24"/>
                <w:szCs w:val="24"/>
                <w:highlight w:val="none"/>
              </w:rPr>
              <w:t>分。</w:t>
            </w:r>
          </w:p>
        </w:tc>
      </w:tr>
      <w:tr w14:paraId="08942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8" w:type="dxa"/>
            <w:tcBorders>
              <w:top w:val="single" w:color="auto" w:sz="4" w:space="0"/>
              <w:left w:val="single" w:color="auto" w:sz="4" w:space="0"/>
              <w:bottom w:val="single" w:color="auto" w:sz="4" w:space="0"/>
              <w:right w:val="single" w:color="auto" w:sz="4" w:space="0"/>
            </w:tcBorders>
            <w:vAlign w:val="center"/>
          </w:tcPr>
          <w:p w14:paraId="13256D16">
            <w:pPr>
              <w:pStyle w:val="8"/>
              <w:wordWrap w:val="0"/>
              <w:spacing w:after="0"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评分因素</w:t>
            </w:r>
          </w:p>
        </w:tc>
        <w:tc>
          <w:tcPr>
            <w:tcW w:w="3915" w:type="dxa"/>
            <w:tcBorders>
              <w:top w:val="single" w:color="auto" w:sz="4" w:space="0"/>
              <w:left w:val="single" w:color="auto" w:sz="4" w:space="0"/>
              <w:bottom w:val="single" w:color="auto" w:sz="4" w:space="0"/>
              <w:right w:val="single" w:color="auto" w:sz="4" w:space="0"/>
            </w:tcBorders>
            <w:vAlign w:val="center"/>
          </w:tcPr>
          <w:p w14:paraId="7E7C12F3">
            <w:pPr>
              <w:pStyle w:val="8"/>
              <w:wordWrap w:val="0"/>
              <w:spacing w:after="0"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评分标准</w:t>
            </w:r>
          </w:p>
        </w:tc>
        <w:tc>
          <w:tcPr>
            <w:tcW w:w="4575" w:type="dxa"/>
            <w:tcBorders>
              <w:top w:val="single" w:color="auto" w:sz="4" w:space="0"/>
              <w:left w:val="single" w:color="auto" w:sz="4" w:space="0"/>
              <w:bottom w:val="single" w:color="auto" w:sz="4" w:space="0"/>
              <w:right w:val="single" w:color="auto" w:sz="4" w:space="0"/>
            </w:tcBorders>
            <w:vAlign w:val="center"/>
          </w:tcPr>
          <w:p w14:paraId="6A7F14E2">
            <w:pPr>
              <w:pStyle w:val="8"/>
              <w:wordWrap w:val="0"/>
              <w:spacing w:after="0"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w:t>
            </w:r>
          </w:p>
        </w:tc>
      </w:tr>
      <w:tr w14:paraId="7B1D6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8" w:type="dxa"/>
            <w:tcBorders>
              <w:top w:val="single" w:color="auto" w:sz="4" w:space="0"/>
              <w:left w:val="single" w:color="auto" w:sz="4" w:space="0"/>
              <w:bottom w:val="single" w:color="auto" w:sz="4" w:space="0"/>
              <w:right w:val="single" w:color="auto" w:sz="4" w:space="0"/>
            </w:tcBorders>
            <w:vAlign w:val="center"/>
          </w:tcPr>
          <w:p w14:paraId="1AB96024">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总体概述</w:t>
            </w:r>
          </w:p>
          <w:p w14:paraId="7B0C9674">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分）</w:t>
            </w:r>
          </w:p>
        </w:tc>
        <w:tc>
          <w:tcPr>
            <w:tcW w:w="3915" w:type="dxa"/>
            <w:tcBorders>
              <w:top w:val="single" w:color="auto" w:sz="4" w:space="0"/>
              <w:left w:val="single" w:color="auto" w:sz="4" w:space="0"/>
              <w:bottom w:val="single" w:color="auto" w:sz="4" w:space="0"/>
              <w:right w:val="single" w:color="auto" w:sz="4" w:space="0"/>
            </w:tcBorders>
            <w:vAlign w:val="center"/>
          </w:tcPr>
          <w:p w14:paraId="1D3DBB04">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14:paraId="6B44D0D7">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14:paraId="7855D523">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14:paraId="0204C339">
            <w:pPr>
              <w:keepNext w:val="0"/>
              <w:keepLines w:val="0"/>
              <w:pageBreakBefore w:val="0"/>
              <w:widowControl/>
              <w:kinsoku w:val="0"/>
              <w:wordWrap w:val="0"/>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【差】得该项评分因素分值的60～70%（含60%）。</w:t>
            </w:r>
          </w:p>
        </w:tc>
        <w:tc>
          <w:tcPr>
            <w:tcW w:w="4575" w:type="dxa"/>
            <w:tcBorders>
              <w:top w:val="single" w:color="auto" w:sz="4" w:space="0"/>
              <w:left w:val="single" w:color="auto" w:sz="4" w:space="0"/>
              <w:bottom w:val="single" w:color="auto" w:sz="4" w:space="0"/>
              <w:right w:val="single" w:color="auto" w:sz="4" w:space="0"/>
            </w:tcBorders>
            <w:vAlign w:val="center"/>
          </w:tcPr>
          <w:p w14:paraId="1623FBD5">
            <w:pPr>
              <w:keepNext w:val="0"/>
              <w:keepLines w:val="0"/>
              <w:pageBreakBefore w:val="0"/>
              <w:widowControl/>
              <w:kinsoku w:val="0"/>
              <w:wordWrap w:val="0"/>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【优】对项目总体有深刻认识，表述清晰、完整、严谨、合理，措施先进、具体、有效、成熟，采用了新技术、新工艺、新材料、新设备；施工段划分呼应总体表述，划分清晰、合理，符合规范要求。</w:t>
            </w:r>
          </w:p>
          <w:p w14:paraId="16D40D48">
            <w:pPr>
              <w:keepNext w:val="0"/>
              <w:keepLines w:val="0"/>
              <w:pageBreakBefore w:val="0"/>
              <w:widowControl/>
              <w:kinsoku w:val="0"/>
              <w:wordWrap w:val="0"/>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【良】对项目总体有一定认识，表述清晰、完整，措施具体有效；施工段划分呼应总体表述，划分清晰，符合规范要求。</w:t>
            </w:r>
          </w:p>
          <w:p w14:paraId="631828FE">
            <w:pPr>
              <w:keepNext w:val="0"/>
              <w:keepLines w:val="0"/>
              <w:pageBreakBefore w:val="0"/>
              <w:widowControl/>
              <w:kinsoku w:val="0"/>
              <w:wordWrap w:val="0"/>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【中】对项目总体有认识，有一定的措施但部分不具体；施工段划分较合理，符合规范要求。</w:t>
            </w:r>
          </w:p>
          <w:p w14:paraId="307EB943">
            <w:pPr>
              <w:keepNext w:val="0"/>
              <w:keepLines w:val="0"/>
              <w:pageBreakBefore w:val="0"/>
              <w:widowControl/>
              <w:kinsoku w:val="0"/>
              <w:wordWrap w:val="0"/>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【差】对项目认识不足，表述不清晰，措施不具体；施工段划分不合理。</w:t>
            </w:r>
          </w:p>
        </w:tc>
      </w:tr>
      <w:tr w14:paraId="1B1D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8" w:type="dxa"/>
            <w:tcBorders>
              <w:top w:val="single" w:color="auto" w:sz="4" w:space="0"/>
              <w:left w:val="single" w:color="auto" w:sz="4" w:space="0"/>
              <w:bottom w:val="single" w:color="auto" w:sz="4" w:space="0"/>
              <w:right w:val="single" w:color="auto" w:sz="4" w:space="0"/>
            </w:tcBorders>
            <w:vAlign w:val="center"/>
          </w:tcPr>
          <w:p w14:paraId="3A49BB18">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施工总进</w:t>
            </w:r>
          </w:p>
          <w:p w14:paraId="512B54E4">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度计划及</w:t>
            </w:r>
          </w:p>
          <w:p w14:paraId="111FA440">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保证措施</w:t>
            </w:r>
          </w:p>
          <w:p w14:paraId="2EC516D9">
            <w:pPr>
              <w:keepNext w:val="0"/>
              <w:keepLines w:val="0"/>
              <w:pageBreakBefore w:val="0"/>
              <w:widowControl/>
              <w:kinsoku w:val="0"/>
              <w:wordWrap w:val="0"/>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u w:val="single"/>
              </w:rPr>
              <w:t xml:space="preserve">3 </w:t>
            </w:r>
            <w:r>
              <w:rPr>
                <w:rFonts w:hint="eastAsia" w:ascii="宋体" w:hAnsi="宋体" w:eastAsia="宋体" w:cs="宋体"/>
                <w:snapToGrid w:val="0"/>
                <w:color w:val="auto"/>
                <w:kern w:val="0"/>
                <w:sz w:val="24"/>
                <w:szCs w:val="24"/>
                <w:highlight w:val="none"/>
              </w:rPr>
              <w:t>分）</w:t>
            </w:r>
          </w:p>
        </w:tc>
        <w:tc>
          <w:tcPr>
            <w:tcW w:w="3915" w:type="dxa"/>
            <w:tcBorders>
              <w:top w:val="single" w:color="auto" w:sz="4" w:space="0"/>
              <w:left w:val="single" w:color="auto" w:sz="4" w:space="0"/>
              <w:bottom w:val="single" w:color="auto" w:sz="4" w:space="0"/>
              <w:right w:val="single" w:color="auto" w:sz="4" w:space="0"/>
            </w:tcBorders>
            <w:vAlign w:val="center"/>
          </w:tcPr>
          <w:p w14:paraId="0860BA80">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14:paraId="74A313A1">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14:paraId="5F736470">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14:paraId="54F71A23">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【差】得该项评分因素分值的60～70%（含60%）。</w:t>
            </w:r>
          </w:p>
        </w:tc>
        <w:tc>
          <w:tcPr>
            <w:tcW w:w="4575" w:type="dxa"/>
            <w:tcBorders>
              <w:top w:val="single" w:color="auto" w:sz="4" w:space="0"/>
              <w:left w:val="single" w:color="auto" w:sz="4" w:space="0"/>
              <w:bottom w:val="single" w:color="auto" w:sz="4" w:space="0"/>
              <w:right w:val="single" w:color="auto" w:sz="4" w:space="0"/>
            </w:tcBorders>
            <w:vAlign w:val="center"/>
          </w:tcPr>
          <w:p w14:paraId="67DFF737">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关键线路清晰、准确、完整，计划编制合理、可行。关键节点的控制措施有力、合理、可行。人、材、机需求和进场计划与进度计划相呼应，较好满足施工需要，调配投入计划合理、准确。进度违约责任承诺具体，经济赔偿合理。</w:t>
            </w:r>
          </w:p>
          <w:p w14:paraId="0CD09C46">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关键线路清晰、准确、完整，计划编制可行。关键节点的控制措施合理、可行。人、材、机需求和进场计划与进度计划相呼应，基本满足施工需要，调配投入计划基本合理、准确。进度违约责任承诺具体，经济赔偿较合理。</w:t>
            </w:r>
          </w:p>
          <w:p w14:paraId="2315B9DE">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【中】关键线路基本准确，计划编制基本合理。关键节点的控制措施基本可行。人、材、机需求和进场计划与进度计划相呼应，基本满足施工需要，调配投入计划基本合理。进度违约责任承诺具体。</w:t>
            </w:r>
          </w:p>
          <w:p w14:paraId="630EF3B5">
            <w:pPr>
              <w:keepNext w:val="0"/>
              <w:keepLines w:val="0"/>
              <w:pageBreakBefore w:val="0"/>
              <w:widowControl/>
              <w:kinsoku w:val="0"/>
              <w:wordWrap w:val="0"/>
              <w:overflowPunct/>
              <w:topLinePunct w:val="0"/>
              <w:autoSpaceDE w:val="0"/>
              <w:autoSpaceDN w:val="0"/>
              <w:bidi w:val="0"/>
              <w:adjustRightInd w:val="0"/>
              <w:snapToGrid w:val="0"/>
              <w:spacing w:line="40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【差】关键线路不准确，计划编制不合理。关键节点的控制不可行。人、材、机需求和进场计划与进度计划不相呼应，不能满足施工需要。没有违约责任承诺。</w:t>
            </w:r>
          </w:p>
        </w:tc>
      </w:tr>
      <w:tr w14:paraId="7ECF3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8" w:type="dxa"/>
            <w:tcBorders>
              <w:top w:val="single" w:color="auto" w:sz="4" w:space="0"/>
              <w:left w:val="single" w:color="auto" w:sz="4" w:space="0"/>
              <w:bottom w:val="single" w:color="auto" w:sz="4" w:space="0"/>
              <w:right w:val="single" w:color="auto" w:sz="4" w:space="0"/>
            </w:tcBorders>
            <w:vAlign w:val="center"/>
          </w:tcPr>
          <w:p w14:paraId="51784505">
            <w:pPr>
              <w:keepNext w:val="0"/>
              <w:keepLines w:val="0"/>
              <w:pageBreakBefore w:val="0"/>
              <w:wordWrap w:val="0"/>
              <w:overflowPunct/>
              <w:topLinePunct w:val="0"/>
              <w:autoSpaceDE w:val="0"/>
              <w:autoSpaceDN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质量</w:t>
            </w:r>
          </w:p>
          <w:p w14:paraId="77FEE458">
            <w:pPr>
              <w:keepNext w:val="0"/>
              <w:keepLines w:val="0"/>
              <w:pageBreakBefore w:val="0"/>
              <w:wordWrap w:val="0"/>
              <w:overflowPunct/>
              <w:topLinePunct w:val="0"/>
              <w:autoSpaceDE w:val="0"/>
              <w:autoSpaceDN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保证措施</w:t>
            </w:r>
          </w:p>
          <w:p w14:paraId="6AD14ADA">
            <w:pPr>
              <w:keepNext w:val="0"/>
              <w:keepLines w:val="0"/>
              <w:pageBreakBefore w:val="0"/>
              <w:wordWrap w:val="0"/>
              <w:overflowPunct/>
              <w:topLinePunct w:val="0"/>
              <w:autoSpaceDE w:val="0"/>
              <w:autoSpaceDN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 4</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分）</w:t>
            </w:r>
          </w:p>
        </w:tc>
        <w:tc>
          <w:tcPr>
            <w:tcW w:w="3915" w:type="dxa"/>
            <w:tcBorders>
              <w:top w:val="single" w:color="auto" w:sz="4" w:space="0"/>
              <w:left w:val="single" w:color="auto" w:sz="4" w:space="0"/>
              <w:bottom w:val="single" w:color="auto" w:sz="4" w:space="0"/>
              <w:right w:val="single" w:color="auto" w:sz="4" w:space="0"/>
            </w:tcBorders>
            <w:vAlign w:val="center"/>
          </w:tcPr>
          <w:p w14:paraId="201AD724">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14:paraId="58A8D475">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14:paraId="4CE32B80">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14:paraId="2E136DD8">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【差】得该项评分因素分值的60～70%（含60%）。</w:t>
            </w:r>
          </w:p>
        </w:tc>
        <w:tc>
          <w:tcPr>
            <w:tcW w:w="4575" w:type="dxa"/>
            <w:tcBorders>
              <w:top w:val="single" w:color="auto" w:sz="4" w:space="0"/>
              <w:left w:val="single" w:color="auto" w:sz="4" w:space="0"/>
              <w:bottom w:val="single" w:color="auto" w:sz="4" w:space="0"/>
              <w:right w:val="single" w:color="auto" w:sz="4" w:space="0"/>
            </w:tcBorders>
            <w:vAlign w:val="center"/>
          </w:tcPr>
          <w:p w14:paraId="19D5944B">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【优】应用新技术、新工艺、新材料、新设备，针对项目实际提出先进、可行、具体的保证措施。超过招标文件的质量要求。</w:t>
            </w:r>
          </w:p>
          <w:p w14:paraId="226B9760">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【良】针对项目实际提出先进、可行、具体的保证措施。满足招标文件的质量要求。</w:t>
            </w:r>
          </w:p>
          <w:p w14:paraId="5D95ACB9">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【中】具体措施可行。满足招标文件的质量要求。</w:t>
            </w:r>
          </w:p>
          <w:p w14:paraId="47ABFE5F">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【差】措施不可行，没有质量违约责任承诺。</w:t>
            </w:r>
          </w:p>
        </w:tc>
      </w:tr>
      <w:tr w14:paraId="1CBC4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8" w:type="dxa"/>
            <w:tcBorders>
              <w:top w:val="single" w:color="auto" w:sz="4" w:space="0"/>
              <w:left w:val="single" w:color="auto" w:sz="4" w:space="0"/>
              <w:bottom w:val="single" w:color="auto" w:sz="4" w:space="0"/>
              <w:right w:val="single" w:color="auto" w:sz="4" w:space="0"/>
            </w:tcBorders>
            <w:vAlign w:val="center"/>
          </w:tcPr>
          <w:p w14:paraId="7845E326">
            <w:pPr>
              <w:keepNext w:val="0"/>
              <w:keepLines w:val="0"/>
              <w:pageBreakBefore w:val="0"/>
              <w:wordWrap w:val="0"/>
              <w:overflowPunct/>
              <w:topLinePunct w:val="0"/>
              <w:autoSpaceDE w:val="0"/>
              <w:autoSpaceDN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w:t>
            </w:r>
          </w:p>
          <w:p w14:paraId="4AE9436F">
            <w:pPr>
              <w:keepNext w:val="0"/>
              <w:keepLines w:val="0"/>
              <w:pageBreakBefore w:val="0"/>
              <w:wordWrap w:val="0"/>
              <w:overflowPunct/>
              <w:topLinePunct w:val="0"/>
              <w:autoSpaceDE w:val="0"/>
              <w:autoSpaceDN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技术措施</w:t>
            </w:r>
          </w:p>
          <w:p w14:paraId="4250BC96">
            <w:pPr>
              <w:keepNext w:val="0"/>
              <w:keepLines w:val="0"/>
              <w:pageBreakBefore w:val="0"/>
              <w:wordWrap w:val="0"/>
              <w:overflowPunct/>
              <w:topLinePunct w:val="0"/>
              <w:autoSpaceDE w:val="0"/>
              <w:autoSpaceDN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 2 </w:t>
            </w:r>
            <w:r>
              <w:rPr>
                <w:rFonts w:hint="eastAsia" w:ascii="宋体" w:hAnsi="宋体" w:eastAsia="宋体" w:cs="宋体"/>
                <w:snapToGrid w:val="0"/>
                <w:color w:val="auto"/>
                <w:kern w:val="0"/>
                <w:sz w:val="24"/>
                <w:szCs w:val="24"/>
                <w:highlight w:val="none"/>
              </w:rPr>
              <w:t>分）</w:t>
            </w:r>
          </w:p>
        </w:tc>
        <w:tc>
          <w:tcPr>
            <w:tcW w:w="3915" w:type="dxa"/>
            <w:tcBorders>
              <w:top w:val="single" w:color="auto" w:sz="4" w:space="0"/>
              <w:left w:val="single" w:color="auto" w:sz="4" w:space="0"/>
              <w:bottom w:val="single" w:color="auto" w:sz="4" w:space="0"/>
              <w:right w:val="single" w:color="auto" w:sz="4" w:space="0"/>
            </w:tcBorders>
            <w:vAlign w:val="center"/>
          </w:tcPr>
          <w:p w14:paraId="4D414E26">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14:paraId="7C0A2D21">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14:paraId="62C76195">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14:paraId="33111D79">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【差】得该项评分因素分值的60～70%（含60%）。</w:t>
            </w:r>
          </w:p>
        </w:tc>
        <w:tc>
          <w:tcPr>
            <w:tcW w:w="4575" w:type="dxa"/>
            <w:tcBorders>
              <w:top w:val="single" w:color="auto" w:sz="4" w:space="0"/>
              <w:left w:val="single" w:color="auto" w:sz="4" w:space="0"/>
              <w:bottom w:val="single" w:color="auto" w:sz="4" w:space="0"/>
              <w:right w:val="single" w:color="auto" w:sz="4" w:space="0"/>
            </w:tcBorders>
            <w:vAlign w:val="center"/>
          </w:tcPr>
          <w:p w14:paraId="19CFD98E">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14:paraId="566F79CC">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较合理。</w:t>
            </w:r>
          </w:p>
          <w:p w14:paraId="25F89B2B">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36577CD7">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【差】对项目关键技术有表述，对重点、难点有建议，解决方案不可行。采用的新技术针对性不强或验证材料不可靠，对节约投资、工期没有具体收益。无违约责任承诺。</w:t>
            </w:r>
          </w:p>
        </w:tc>
      </w:tr>
      <w:tr w14:paraId="69D6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8" w:type="dxa"/>
            <w:tcBorders>
              <w:top w:val="single" w:color="auto" w:sz="4" w:space="0"/>
              <w:left w:val="single" w:color="auto" w:sz="4" w:space="0"/>
              <w:bottom w:val="single" w:color="auto" w:sz="4" w:space="0"/>
              <w:right w:val="single" w:color="auto" w:sz="4" w:space="0"/>
            </w:tcBorders>
            <w:vAlign w:val="center"/>
          </w:tcPr>
          <w:p w14:paraId="0BF0E927">
            <w:pPr>
              <w:keepNext w:val="0"/>
              <w:keepLines w:val="0"/>
              <w:pageBreakBefore w:val="0"/>
              <w:wordWrap w:val="0"/>
              <w:overflowPunct/>
              <w:topLinePunct w:val="0"/>
              <w:autoSpaceDE w:val="0"/>
              <w:autoSpaceDN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绿色施工、安全防护、文明施工</w:t>
            </w:r>
          </w:p>
          <w:p w14:paraId="29CC7109">
            <w:pPr>
              <w:keepNext w:val="0"/>
              <w:keepLines w:val="0"/>
              <w:pageBreakBefore w:val="0"/>
              <w:wordWrap w:val="0"/>
              <w:overflowPunct/>
              <w:topLinePunct w:val="0"/>
              <w:autoSpaceDE w:val="0"/>
              <w:autoSpaceDN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措施计划</w:t>
            </w:r>
          </w:p>
          <w:p w14:paraId="7B35A959">
            <w:pPr>
              <w:keepNext w:val="0"/>
              <w:keepLines w:val="0"/>
              <w:pageBreakBefore w:val="0"/>
              <w:wordWrap w:val="0"/>
              <w:overflowPunct/>
              <w:topLinePunct w:val="0"/>
              <w:autoSpaceDE w:val="0"/>
              <w:autoSpaceDN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分）</w:t>
            </w:r>
          </w:p>
        </w:tc>
        <w:tc>
          <w:tcPr>
            <w:tcW w:w="3915" w:type="dxa"/>
            <w:tcBorders>
              <w:top w:val="single" w:color="auto" w:sz="4" w:space="0"/>
              <w:left w:val="single" w:color="auto" w:sz="4" w:space="0"/>
              <w:bottom w:val="single" w:color="auto" w:sz="4" w:space="0"/>
              <w:right w:val="single" w:color="auto" w:sz="4" w:space="0"/>
            </w:tcBorders>
            <w:vAlign w:val="center"/>
          </w:tcPr>
          <w:p w14:paraId="1822F4BC">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14:paraId="3D8635DE">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14:paraId="75355181">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14:paraId="759B38C8">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【差】得该项评分因素分值的60～70%（含60%）。</w:t>
            </w:r>
          </w:p>
        </w:tc>
        <w:tc>
          <w:tcPr>
            <w:tcW w:w="4575" w:type="dxa"/>
            <w:tcBorders>
              <w:top w:val="single" w:color="auto" w:sz="4" w:space="0"/>
              <w:left w:val="single" w:color="auto" w:sz="4" w:space="0"/>
              <w:bottom w:val="single" w:color="auto" w:sz="4" w:space="0"/>
              <w:right w:val="single" w:color="auto" w:sz="4" w:space="0"/>
            </w:tcBorders>
            <w:vAlign w:val="center"/>
          </w:tcPr>
          <w:p w14:paraId="1780363C">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【优】针对项目实际情况，有先进、具体、完整、可行的措施，采用规范准确、清晰。</w:t>
            </w:r>
          </w:p>
          <w:p w14:paraId="0E83DCF3">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【良】针对项目实际情况，有合理的措施且具体、完整，采用规范准确。</w:t>
            </w:r>
          </w:p>
          <w:p w14:paraId="56D90B48">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【中】有基本合理的措施，采用规范准确。</w:t>
            </w:r>
          </w:p>
          <w:p w14:paraId="0EE1036B">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【差】措施不力，采用规范不正确。</w:t>
            </w:r>
          </w:p>
        </w:tc>
      </w:tr>
      <w:tr w14:paraId="2190A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8" w:type="dxa"/>
            <w:tcBorders>
              <w:top w:val="single" w:color="auto" w:sz="4" w:space="0"/>
              <w:left w:val="single" w:color="auto" w:sz="4" w:space="0"/>
              <w:bottom w:val="single" w:color="auto" w:sz="4" w:space="0"/>
              <w:right w:val="single" w:color="auto" w:sz="4" w:space="0"/>
            </w:tcBorders>
            <w:vAlign w:val="center"/>
          </w:tcPr>
          <w:p w14:paraId="103F0C0A">
            <w:pPr>
              <w:keepNext w:val="0"/>
              <w:keepLines w:val="0"/>
              <w:pageBreakBefore w:val="0"/>
              <w:wordWrap w:val="0"/>
              <w:overflowPunct/>
              <w:topLinePunct w:val="0"/>
              <w:autoSpaceDE w:val="0"/>
              <w:autoSpaceDN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施工平面</w:t>
            </w:r>
          </w:p>
          <w:p w14:paraId="1F08B15D">
            <w:pPr>
              <w:keepNext w:val="0"/>
              <w:keepLines w:val="0"/>
              <w:pageBreakBefore w:val="0"/>
              <w:wordWrap w:val="0"/>
              <w:overflowPunct/>
              <w:topLinePunct w:val="0"/>
              <w:autoSpaceDE w:val="0"/>
              <w:autoSpaceDN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布置和临时设施布置</w:t>
            </w:r>
          </w:p>
          <w:p w14:paraId="18A89B4F">
            <w:pPr>
              <w:keepNext w:val="0"/>
              <w:keepLines w:val="0"/>
              <w:pageBreakBefore w:val="0"/>
              <w:wordWrap w:val="0"/>
              <w:overflowPunct/>
              <w:topLinePunct w:val="0"/>
              <w:autoSpaceDE w:val="0"/>
              <w:autoSpaceDN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 2 </w:t>
            </w:r>
            <w:r>
              <w:rPr>
                <w:rFonts w:hint="eastAsia" w:ascii="宋体" w:hAnsi="宋体" w:eastAsia="宋体" w:cs="宋体"/>
                <w:snapToGrid w:val="0"/>
                <w:color w:val="auto"/>
                <w:kern w:val="0"/>
                <w:sz w:val="24"/>
                <w:szCs w:val="24"/>
                <w:highlight w:val="none"/>
              </w:rPr>
              <w:t>分）</w:t>
            </w:r>
          </w:p>
        </w:tc>
        <w:tc>
          <w:tcPr>
            <w:tcW w:w="3915" w:type="dxa"/>
            <w:tcBorders>
              <w:top w:val="single" w:color="auto" w:sz="4" w:space="0"/>
              <w:left w:val="single" w:color="auto" w:sz="4" w:space="0"/>
              <w:bottom w:val="single" w:color="auto" w:sz="4" w:space="0"/>
              <w:right w:val="single" w:color="auto" w:sz="4" w:space="0"/>
            </w:tcBorders>
            <w:vAlign w:val="center"/>
          </w:tcPr>
          <w:p w14:paraId="0BD21746">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14:paraId="47ECF94E">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14:paraId="337CC3D1">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14:paraId="6096355E">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【差】得该项评分因素分值的60～70%（含60%）。</w:t>
            </w:r>
          </w:p>
        </w:tc>
        <w:tc>
          <w:tcPr>
            <w:tcW w:w="4575" w:type="dxa"/>
            <w:tcBorders>
              <w:top w:val="single" w:color="auto" w:sz="4" w:space="0"/>
              <w:left w:val="single" w:color="auto" w:sz="4" w:space="0"/>
              <w:bottom w:val="single" w:color="auto" w:sz="4" w:space="0"/>
              <w:right w:val="single" w:color="auto" w:sz="4" w:space="0"/>
            </w:tcBorders>
            <w:vAlign w:val="center"/>
          </w:tcPr>
          <w:p w14:paraId="77BC30E2">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【优】总体布置有针对性、合理，较好满足施工需要，符合绿色施工、安全防护、文明施工要求。</w:t>
            </w:r>
          </w:p>
          <w:p w14:paraId="0D31BAA7">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【良】总体布置合理，能满足施工需要，基本符合绿色施工、安全防护、文明施工要求。</w:t>
            </w:r>
          </w:p>
          <w:p w14:paraId="20A5B690">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【中】总体布置基本合理，基本满足施工需要。</w:t>
            </w:r>
          </w:p>
          <w:p w14:paraId="05A1DB09">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【差】总体布置不合理，不符合绿色施工、安全防护、文明施工要求。</w:t>
            </w:r>
          </w:p>
        </w:tc>
      </w:tr>
      <w:tr w14:paraId="5184B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8" w:type="dxa"/>
            <w:tcBorders>
              <w:top w:val="single" w:color="auto" w:sz="4" w:space="0"/>
              <w:left w:val="single" w:color="auto" w:sz="4" w:space="0"/>
              <w:bottom w:val="single" w:color="auto" w:sz="4" w:space="0"/>
              <w:right w:val="single" w:color="auto" w:sz="4" w:space="0"/>
            </w:tcBorders>
            <w:vAlign w:val="center"/>
          </w:tcPr>
          <w:p w14:paraId="39B830A1">
            <w:pPr>
              <w:keepNext w:val="0"/>
              <w:keepLines w:val="0"/>
              <w:pageBreakBefore w:val="0"/>
              <w:wordWrap w:val="0"/>
              <w:overflowPunct/>
              <w:topLinePunct w:val="0"/>
              <w:autoSpaceDE w:val="0"/>
              <w:autoSpaceDN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w:t>
            </w:r>
          </w:p>
          <w:p w14:paraId="5A4ACA3F">
            <w:pPr>
              <w:keepNext w:val="0"/>
              <w:keepLines w:val="0"/>
              <w:pageBreakBefore w:val="0"/>
              <w:wordWrap w:val="0"/>
              <w:overflowPunct/>
              <w:topLinePunct w:val="0"/>
              <w:autoSpaceDE w:val="0"/>
              <w:autoSpaceDN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管理机构</w:t>
            </w:r>
          </w:p>
          <w:p w14:paraId="50CE6DDC">
            <w:pPr>
              <w:keepNext w:val="0"/>
              <w:keepLines w:val="0"/>
              <w:pageBreakBefore w:val="0"/>
              <w:wordWrap w:val="0"/>
              <w:overflowPunct/>
              <w:topLinePunct w:val="0"/>
              <w:autoSpaceDE w:val="0"/>
              <w:autoSpaceDN w:val="0"/>
              <w:bidi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分）</w:t>
            </w:r>
          </w:p>
        </w:tc>
        <w:tc>
          <w:tcPr>
            <w:tcW w:w="3915" w:type="dxa"/>
            <w:tcBorders>
              <w:top w:val="single" w:color="auto" w:sz="4" w:space="0"/>
              <w:left w:val="single" w:color="auto" w:sz="4" w:space="0"/>
              <w:bottom w:val="single" w:color="auto" w:sz="4" w:space="0"/>
              <w:right w:val="single" w:color="auto" w:sz="4" w:space="0"/>
            </w:tcBorders>
            <w:vAlign w:val="center"/>
          </w:tcPr>
          <w:p w14:paraId="13C26277">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14:paraId="7DF544D7">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14:paraId="0BE217DB">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14:paraId="4A188B95">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【差】得该项评分因素分值的60～70%（含60%）。</w:t>
            </w:r>
          </w:p>
        </w:tc>
        <w:tc>
          <w:tcPr>
            <w:tcW w:w="4575" w:type="dxa"/>
            <w:tcBorders>
              <w:top w:val="single" w:color="auto" w:sz="4" w:space="0"/>
              <w:left w:val="single" w:color="auto" w:sz="4" w:space="0"/>
              <w:bottom w:val="single" w:color="auto" w:sz="4" w:space="0"/>
              <w:right w:val="single" w:color="auto" w:sz="4" w:space="0"/>
            </w:tcBorders>
            <w:vAlign w:val="center"/>
          </w:tcPr>
          <w:p w14:paraId="4AADE280">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组织机构形式合理，有完善的指挥系统，生产及质量、绿色施工、安全、文明施工、创优达标监控系统、联络协调系统，项目管理人员内高级职称人员20%（含20%）以上、中级及以上职称人员60%（含60%）以上。</w:t>
            </w:r>
          </w:p>
          <w:p w14:paraId="2C0E8911">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【良】组织机构形式合理，指挥系统，生产及质量、绿色施工、安全、文明施工、创优达标监控系统、联络协调系统齐全，项目管理人员内高级职称人员15%～20%（含15%）、中级及以上职称人员50%～60%（含50%）。</w:t>
            </w:r>
          </w:p>
          <w:p w14:paraId="7169E4B0">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【中】组织机构形式基本合理，有指挥系统，生产及质量、绿色施工、安全、文明施工、创优达标监控系统、联络协调系统，项目管理人员内高级职称人员10%～15%（含10%）、中级及以上职称人员40%～50%（含40%）。</w:t>
            </w:r>
          </w:p>
          <w:p w14:paraId="4889862C">
            <w:pPr>
              <w:keepNext w:val="0"/>
              <w:keepLines w:val="0"/>
              <w:pageBreakBefore w:val="0"/>
              <w:wordWrap w:val="0"/>
              <w:overflowPunct/>
              <w:topLinePunct w:val="0"/>
              <w:autoSpaceDE w:val="0"/>
              <w:autoSpaceDN w:val="0"/>
              <w:bidi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【差】组织机构形式合理，指挥系统，生产及质量、绿色施工、安全、文明施工、创优达标监控系统、联络协调系统不齐全，项目管理人员内高级职称人员10%以下、中级及以上职称人员40%以下。</w:t>
            </w:r>
          </w:p>
        </w:tc>
      </w:tr>
      <w:tr w14:paraId="4C7D8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98"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14:paraId="4EF21C9C">
            <w:pPr>
              <w:pStyle w:val="44"/>
              <w:keepNext w:val="0"/>
              <w:keepLines w:val="0"/>
              <w:pageBreakBefore w:val="0"/>
              <w:wordWrap w:val="0"/>
              <w:overflowPunct/>
              <w:topLinePunct w:val="0"/>
              <w:bidi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投标报价部分，满分：100分。</w:t>
            </w:r>
          </w:p>
        </w:tc>
      </w:tr>
      <w:tr w14:paraId="23361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8" w:type="dxa"/>
            <w:tcBorders>
              <w:top w:val="single" w:color="auto" w:sz="4" w:space="0"/>
              <w:left w:val="single" w:color="auto" w:sz="4" w:space="0"/>
              <w:bottom w:val="single" w:color="auto" w:sz="4" w:space="0"/>
              <w:right w:val="single" w:color="auto" w:sz="4" w:space="0"/>
            </w:tcBorders>
            <w:vAlign w:val="center"/>
          </w:tcPr>
          <w:p w14:paraId="6F2CB862">
            <w:pPr>
              <w:pStyle w:val="8"/>
              <w:keepNext w:val="0"/>
              <w:keepLines w:val="0"/>
              <w:pageBreakBefore w:val="0"/>
              <w:wordWrap w:val="0"/>
              <w:overflowPunct/>
              <w:topLinePunct w:val="0"/>
              <w:bidi w:val="0"/>
              <w:spacing w:after="0"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评分事项</w:t>
            </w:r>
          </w:p>
        </w:tc>
        <w:tc>
          <w:tcPr>
            <w:tcW w:w="8490" w:type="dxa"/>
            <w:gridSpan w:val="2"/>
            <w:tcBorders>
              <w:top w:val="single" w:color="auto" w:sz="4" w:space="0"/>
              <w:left w:val="single" w:color="auto" w:sz="4" w:space="0"/>
              <w:bottom w:val="single" w:color="auto" w:sz="4" w:space="0"/>
              <w:right w:val="single" w:color="auto" w:sz="4" w:space="0"/>
            </w:tcBorders>
            <w:vAlign w:val="center"/>
          </w:tcPr>
          <w:p w14:paraId="1E709CE0">
            <w:pPr>
              <w:pStyle w:val="8"/>
              <w:keepNext w:val="0"/>
              <w:keepLines w:val="0"/>
              <w:pageBreakBefore w:val="0"/>
              <w:wordWrap w:val="0"/>
              <w:overflowPunct/>
              <w:topLinePunct w:val="0"/>
              <w:bidi w:val="0"/>
              <w:spacing w:after="0"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评分方法</w:t>
            </w:r>
          </w:p>
        </w:tc>
      </w:tr>
      <w:tr w14:paraId="7A27A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0" w:hRule="atLeast"/>
          <w:jc w:val="center"/>
        </w:trPr>
        <w:tc>
          <w:tcPr>
            <w:tcW w:w="1308" w:type="dxa"/>
            <w:tcBorders>
              <w:top w:val="single" w:color="auto" w:sz="4" w:space="0"/>
              <w:left w:val="single" w:color="auto" w:sz="4" w:space="0"/>
              <w:bottom w:val="single" w:color="auto" w:sz="4" w:space="0"/>
              <w:right w:val="single" w:color="auto" w:sz="4" w:space="0"/>
            </w:tcBorders>
            <w:vAlign w:val="center"/>
          </w:tcPr>
          <w:p w14:paraId="69A924A0">
            <w:pPr>
              <w:pStyle w:val="35"/>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评标基准价D</w:t>
            </w:r>
          </w:p>
        </w:tc>
        <w:tc>
          <w:tcPr>
            <w:tcW w:w="8490" w:type="dxa"/>
            <w:gridSpan w:val="2"/>
            <w:tcBorders>
              <w:top w:val="single" w:color="auto" w:sz="4" w:space="0"/>
              <w:left w:val="single" w:color="auto" w:sz="4" w:space="0"/>
              <w:bottom w:val="single" w:color="auto" w:sz="4" w:space="0"/>
              <w:right w:val="single" w:color="auto" w:sz="4" w:space="0"/>
            </w:tcBorders>
            <w:vAlign w:val="center"/>
          </w:tcPr>
          <w:p w14:paraId="537A8AAD">
            <w:pPr>
              <w:keepNext w:val="0"/>
              <w:keepLines w:val="0"/>
              <w:pageBreakBefore w:val="0"/>
              <w:wordWrap w:val="0"/>
              <w:overflowPunct/>
              <w:topLinePunct w:val="0"/>
              <w:bidi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（1）确定</w:t>
            </w:r>
            <w:r>
              <w:rPr>
                <w:rFonts w:hint="eastAsia" w:ascii="宋体" w:hAnsi="宋体" w:eastAsia="宋体" w:cs="宋体"/>
                <w:snapToGrid w:val="0"/>
                <w:color w:val="auto"/>
                <w:kern w:val="0"/>
                <w:sz w:val="24"/>
                <w:szCs w:val="24"/>
                <w:highlight w:val="none"/>
                <w:lang w:eastAsia="zh-CN"/>
              </w:rPr>
              <w:t>最高投标限价</w:t>
            </w:r>
            <w:r>
              <w:rPr>
                <w:rFonts w:hint="eastAsia" w:ascii="宋体" w:hAnsi="宋体" w:eastAsia="宋体" w:cs="宋体"/>
                <w:snapToGrid w:val="0"/>
                <w:color w:val="auto"/>
                <w:kern w:val="0"/>
                <w:sz w:val="24"/>
                <w:szCs w:val="24"/>
                <w:highlight w:val="none"/>
              </w:rPr>
              <w:t>下浮系数n：用1～21号球分别代表一个下浮系数，由评委代表从这21个号码中随机抽取</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次，每次抽取1个号码，抽出的号球不参与下次抽取。所抽取的3个号码对应下浮系数的算术平均值作为</w:t>
            </w:r>
            <w:r>
              <w:rPr>
                <w:rFonts w:hint="eastAsia" w:ascii="宋体" w:hAnsi="宋体" w:eastAsia="宋体" w:cs="宋体"/>
                <w:snapToGrid w:val="0"/>
                <w:color w:val="auto"/>
                <w:kern w:val="0"/>
                <w:sz w:val="24"/>
                <w:szCs w:val="24"/>
                <w:highlight w:val="none"/>
                <w:lang w:eastAsia="zh-CN"/>
              </w:rPr>
              <w:t>最高投标限价</w:t>
            </w:r>
            <w:r>
              <w:rPr>
                <w:rFonts w:hint="eastAsia" w:ascii="宋体" w:hAnsi="宋体" w:eastAsia="宋体" w:cs="宋体"/>
                <w:snapToGrid w:val="0"/>
                <w:color w:val="auto"/>
                <w:kern w:val="0"/>
                <w:sz w:val="24"/>
                <w:szCs w:val="24"/>
                <w:highlight w:val="none"/>
              </w:rPr>
              <w:t>下浮系数n。具体号码对应的下浮系数可参考下表。</w:t>
            </w:r>
          </w:p>
          <w:tbl>
            <w:tblPr>
              <w:tblStyle w:val="23"/>
              <w:tblW w:w="0" w:type="auto"/>
              <w:tblInd w:w="113" w:type="dxa"/>
              <w:tblLayout w:type="fixed"/>
              <w:tblCellMar>
                <w:top w:w="0" w:type="dxa"/>
                <w:left w:w="108" w:type="dxa"/>
                <w:bottom w:w="0" w:type="dxa"/>
                <w:right w:w="108" w:type="dxa"/>
              </w:tblCellMar>
            </w:tblPr>
            <w:tblGrid>
              <w:gridCol w:w="1921"/>
              <w:gridCol w:w="794"/>
              <w:gridCol w:w="830"/>
              <w:gridCol w:w="864"/>
              <w:gridCol w:w="848"/>
              <w:gridCol w:w="882"/>
              <w:gridCol w:w="829"/>
              <w:gridCol w:w="819"/>
            </w:tblGrid>
            <w:tr w14:paraId="31597747">
              <w:tblPrEx>
                <w:tblCellMar>
                  <w:top w:w="0" w:type="dxa"/>
                  <w:left w:w="108" w:type="dxa"/>
                  <w:bottom w:w="0" w:type="dxa"/>
                  <w:right w:w="108" w:type="dxa"/>
                </w:tblCellMar>
              </w:tblPrEx>
              <w:trPr>
                <w:trHeight w:val="248" w:hRule="atLeast"/>
              </w:trPr>
              <w:tc>
                <w:tcPr>
                  <w:tcW w:w="1921" w:type="dxa"/>
                  <w:tcBorders>
                    <w:top w:val="single" w:color="000000" w:sz="4" w:space="0"/>
                    <w:left w:val="single" w:color="000000" w:sz="4" w:space="0"/>
                    <w:bottom w:val="single" w:color="000000" w:sz="4" w:space="0"/>
                    <w:right w:val="single" w:color="000000" w:sz="4" w:space="0"/>
                  </w:tcBorders>
                  <w:vAlign w:val="center"/>
                </w:tcPr>
                <w:p w14:paraId="463A159E">
                  <w:pPr>
                    <w:keepNext w:val="0"/>
                    <w:keepLines w:val="0"/>
                    <w:pageBreakBefore w:val="0"/>
                    <w:wordWrap w:val="0"/>
                    <w:overflowPunct/>
                    <w:topLinePunct w:val="0"/>
                    <w:bidi w:val="0"/>
                    <w:spacing w:line="400" w:lineRule="exact"/>
                    <w:jc w:val="center"/>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794" w:type="dxa"/>
                  <w:tcBorders>
                    <w:top w:val="single" w:color="000000" w:sz="4" w:space="0"/>
                    <w:left w:val="single" w:color="000000" w:sz="4" w:space="0"/>
                    <w:bottom w:val="single" w:color="000000" w:sz="4" w:space="0"/>
                    <w:right w:val="single" w:color="000000" w:sz="4" w:space="0"/>
                  </w:tcBorders>
                  <w:vAlign w:val="center"/>
                </w:tcPr>
                <w:p w14:paraId="6445D6D1">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830" w:type="dxa"/>
                  <w:tcBorders>
                    <w:top w:val="single" w:color="000000" w:sz="4" w:space="0"/>
                    <w:left w:val="single" w:color="000000" w:sz="4" w:space="0"/>
                    <w:bottom w:val="single" w:color="000000" w:sz="4" w:space="0"/>
                    <w:right w:val="single" w:color="000000" w:sz="4" w:space="0"/>
                  </w:tcBorders>
                  <w:vAlign w:val="center"/>
                </w:tcPr>
                <w:p w14:paraId="490501BB">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864" w:type="dxa"/>
                  <w:tcBorders>
                    <w:top w:val="single" w:color="000000" w:sz="4" w:space="0"/>
                    <w:left w:val="single" w:color="000000" w:sz="4" w:space="0"/>
                    <w:bottom w:val="single" w:color="000000" w:sz="4" w:space="0"/>
                    <w:right w:val="single" w:color="000000" w:sz="4" w:space="0"/>
                  </w:tcBorders>
                  <w:vAlign w:val="center"/>
                </w:tcPr>
                <w:p w14:paraId="07BEF2A1">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848" w:type="dxa"/>
                  <w:tcBorders>
                    <w:top w:val="single" w:color="000000" w:sz="4" w:space="0"/>
                    <w:left w:val="single" w:color="000000" w:sz="4" w:space="0"/>
                    <w:bottom w:val="single" w:color="000000" w:sz="4" w:space="0"/>
                    <w:right w:val="single" w:color="000000" w:sz="4" w:space="0"/>
                  </w:tcBorders>
                  <w:vAlign w:val="center"/>
                </w:tcPr>
                <w:p w14:paraId="7252C966">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882" w:type="dxa"/>
                  <w:tcBorders>
                    <w:top w:val="single" w:color="000000" w:sz="4" w:space="0"/>
                    <w:left w:val="single" w:color="000000" w:sz="4" w:space="0"/>
                    <w:bottom w:val="single" w:color="000000" w:sz="4" w:space="0"/>
                    <w:right w:val="single" w:color="000000" w:sz="4" w:space="0"/>
                  </w:tcBorders>
                  <w:vAlign w:val="center"/>
                </w:tcPr>
                <w:p w14:paraId="29AC2825">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829" w:type="dxa"/>
                  <w:tcBorders>
                    <w:top w:val="single" w:color="000000" w:sz="4" w:space="0"/>
                    <w:left w:val="single" w:color="000000" w:sz="4" w:space="0"/>
                    <w:bottom w:val="single" w:color="000000" w:sz="4" w:space="0"/>
                    <w:right w:val="single" w:color="000000" w:sz="4" w:space="0"/>
                  </w:tcBorders>
                  <w:vAlign w:val="center"/>
                </w:tcPr>
                <w:p w14:paraId="436AD6E6">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819" w:type="dxa"/>
                  <w:tcBorders>
                    <w:top w:val="single" w:color="000000" w:sz="4" w:space="0"/>
                    <w:left w:val="single" w:color="000000" w:sz="4" w:space="0"/>
                    <w:bottom w:val="single" w:color="000000" w:sz="4" w:space="0"/>
                    <w:right w:val="single" w:color="000000" w:sz="4" w:space="0"/>
                  </w:tcBorders>
                  <w:vAlign w:val="center"/>
                </w:tcPr>
                <w:p w14:paraId="4AEFA032">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r>
            <w:tr w14:paraId="2137DC9D">
              <w:tblPrEx>
                <w:tblCellMar>
                  <w:top w:w="0" w:type="dxa"/>
                  <w:left w:w="108" w:type="dxa"/>
                  <w:bottom w:w="0" w:type="dxa"/>
                  <w:right w:w="108" w:type="dxa"/>
                </w:tblCellMar>
              </w:tblPrEx>
              <w:trPr>
                <w:trHeight w:val="575" w:hRule="atLeast"/>
              </w:trPr>
              <w:tc>
                <w:tcPr>
                  <w:tcW w:w="1921" w:type="dxa"/>
                  <w:tcBorders>
                    <w:top w:val="single" w:color="000000" w:sz="4" w:space="0"/>
                    <w:left w:val="single" w:color="000000" w:sz="4" w:space="0"/>
                    <w:bottom w:val="single" w:color="000000" w:sz="4" w:space="0"/>
                    <w:right w:val="single" w:color="000000" w:sz="4" w:space="0"/>
                  </w:tcBorders>
                  <w:vAlign w:val="center"/>
                </w:tcPr>
                <w:p w14:paraId="2427BB8D">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vAlign w:val="center"/>
                </w:tcPr>
                <w:p w14:paraId="6E384B5D">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830" w:type="dxa"/>
                  <w:tcBorders>
                    <w:top w:val="single" w:color="000000" w:sz="4" w:space="0"/>
                    <w:left w:val="single" w:color="000000" w:sz="4" w:space="0"/>
                    <w:bottom w:val="single" w:color="000000" w:sz="4" w:space="0"/>
                    <w:right w:val="single" w:color="000000" w:sz="4" w:space="0"/>
                  </w:tcBorders>
                  <w:vAlign w:val="center"/>
                </w:tcPr>
                <w:p w14:paraId="072BBD8E">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864" w:type="dxa"/>
                  <w:tcBorders>
                    <w:top w:val="single" w:color="000000" w:sz="4" w:space="0"/>
                    <w:left w:val="single" w:color="000000" w:sz="4" w:space="0"/>
                    <w:bottom w:val="single" w:color="000000" w:sz="4" w:space="0"/>
                    <w:right w:val="single" w:color="000000" w:sz="4" w:space="0"/>
                  </w:tcBorders>
                  <w:vAlign w:val="center"/>
                </w:tcPr>
                <w:p w14:paraId="2022C845">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848" w:type="dxa"/>
                  <w:tcBorders>
                    <w:top w:val="single" w:color="000000" w:sz="4" w:space="0"/>
                    <w:left w:val="single" w:color="000000" w:sz="4" w:space="0"/>
                    <w:bottom w:val="single" w:color="000000" w:sz="4" w:space="0"/>
                    <w:right w:val="single" w:color="000000" w:sz="4" w:space="0"/>
                  </w:tcBorders>
                  <w:vAlign w:val="center"/>
                </w:tcPr>
                <w:p w14:paraId="552217E6">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882" w:type="dxa"/>
                  <w:tcBorders>
                    <w:top w:val="single" w:color="000000" w:sz="4" w:space="0"/>
                    <w:left w:val="single" w:color="000000" w:sz="4" w:space="0"/>
                    <w:bottom w:val="single" w:color="000000" w:sz="4" w:space="0"/>
                    <w:right w:val="single" w:color="000000" w:sz="4" w:space="0"/>
                  </w:tcBorders>
                  <w:vAlign w:val="center"/>
                </w:tcPr>
                <w:p w14:paraId="503F41D2">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c>
                <w:tcPr>
                  <w:tcW w:w="829" w:type="dxa"/>
                  <w:tcBorders>
                    <w:top w:val="single" w:color="000000" w:sz="4" w:space="0"/>
                    <w:left w:val="single" w:color="000000" w:sz="4" w:space="0"/>
                    <w:bottom w:val="single" w:color="000000" w:sz="4" w:space="0"/>
                    <w:right w:val="single" w:color="000000" w:sz="4" w:space="0"/>
                  </w:tcBorders>
                  <w:vAlign w:val="center"/>
                </w:tcPr>
                <w:p w14:paraId="3F730652">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819" w:type="dxa"/>
                  <w:tcBorders>
                    <w:top w:val="single" w:color="000000" w:sz="4" w:space="0"/>
                    <w:left w:val="single" w:color="000000" w:sz="4" w:space="0"/>
                    <w:bottom w:val="single" w:color="000000" w:sz="4" w:space="0"/>
                    <w:right w:val="single" w:color="000000" w:sz="4" w:space="0"/>
                  </w:tcBorders>
                  <w:vAlign w:val="center"/>
                </w:tcPr>
                <w:p w14:paraId="2FA4C0E4">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r>
            <w:tr w14:paraId="69A7A4FE">
              <w:tblPrEx>
                <w:tblCellMar>
                  <w:top w:w="0" w:type="dxa"/>
                  <w:left w:w="108" w:type="dxa"/>
                  <w:bottom w:w="0" w:type="dxa"/>
                  <w:right w:w="108" w:type="dxa"/>
                </w:tblCellMar>
              </w:tblPrEx>
              <w:trPr>
                <w:trHeight w:val="515" w:hRule="atLeast"/>
              </w:trPr>
              <w:tc>
                <w:tcPr>
                  <w:tcW w:w="1921" w:type="dxa"/>
                  <w:tcBorders>
                    <w:top w:val="single" w:color="000000" w:sz="4" w:space="0"/>
                    <w:left w:val="single" w:color="000000" w:sz="4" w:space="0"/>
                    <w:bottom w:val="single" w:color="000000" w:sz="4" w:space="0"/>
                    <w:right w:val="single" w:color="000000" w:sz="4" w:space="0"/>
                  </w:tcBorders>
                  <w:vAlign w:val="center"/>
                </w:tcPr>
                <w:p w14:paraId="40528943">
                  <w:pPr>
                    <w:keepNext w:val="0"/>
                    <w:keepLines w:val="0"/>
                    <w:pageBreakBefore w:val="0"/>
                    <w:wordWrap w:val="0"/>
                    <w:overflowPunct/>
                    <w:topLinePunct w:val="0"/>
                    <w:bidi w:val="0"/>
                    <w:spacing w:line="400" w:lineRule="exact"/>
                    <w:jc w:val="center"/>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794" w:type="dxa"/>
                  <w:tcBorders>
                    <w:top w:val="single" w:color="000000" w:sz="4" w:space="0"/>
                    <w:left w:val="single" w:color="000000" w:sz="4" w:space="0"/>
                    <w:bottom w:val="single" w:color="000000" w:sz="4" w:space="0"/>
                    <w:right w:val="single" w:color="000000" w:sz="4" w:space="0"/>
                  </w:tcBorders>
                  <w:vAlign w:val="center"/>
                </w:tcPr>
                <w:p w14:paraId="18A27192">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830" w:type="dxa"/>
                  <w:tcBorders>
                    <w:top w:val="single" w:color="000000" w:sz="4" w:space="0"/>
                    <w:left w:val="single" w:color="000000" w:sz="4" w:space="0"/>
                    <w:bottom w:val="single" w:color="000000" w:sz="4" w:space="0"/>
                    <w:right w:val="single" w:color="000000" w:sz="4" w:space="0"/>
                  </w:tcBorders>
                  <w:vAlign w:val="center"/>
                </w:tcPr>
                <w:p w14:paraId="22AD1625">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864" w:type="dxa"/>
                  <w:tcBorders>
                    <w:top w:val="single" w:color="000000" w:sz="4" w:space="0"/>
                    <w:left w:val="single" w:color="000000" w:sz="4" w:space="0"/>
                    <w:bottom w:val="single" w:color="000000" w:sz="4" w:space="0"/>
                    <w:right w:val="single" w:color="000000" w:sz="4" w:space="0"/>
                  </w:tcBorders>
                  <w:vAlign w:val="center"/>
                </w:tcPr>
                <w:p w14:paraId="1C7C146D">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848" w:type="dxa"/>
                  <w:tcBorders>
                    <w:top w:val="single" w:color="000000" w:sz="4" w:space="0"/>
                    <w:left w:val="single" w:color="000000" w:sz="4" w:space="0"/>
                    <w:bottom w:val="single" w:color="000000" w:sz="4" w:space="0"/>
                    <w:right w:val="single" w:color="000000" w:sz="4" w:space="0"/>
                  </w:tcBorders>
                  <w:vAlign w:val="center"/>
                </w:tcPr>
                <w:p w14:paraId="574AA8A1">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882" w:type="dxa"/>
                  <w:tcBorders>
                    <w:top w:val="single" w:color="000000" w:sz="4" w:space="0"/>
                    <w:left w:val="single" w:color="000000" w:sz="4" w:space="0"/>
                    <w:bottom w:val="single" w:color="000000" w:sz="4" w:space="0"/>
                    <w:right w:val="single" w:color="000000" w:sz="4" w:space="0"/>
                  </w:tcBorders>
                  <w:vAlign w:val="center"/>
                </w:tcPr>
                <w:p w14:paraId="4635F94A">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829" w:type="dxa"/>
                  <w:tcBorders>
                    <w:top w:val="single" w:color="000000" w:sz="4" w:space="0"/>
                    <w:left w:val="single" w:color="000000" w:sz="4" w:space="0"/>
                    <w:bottom w:val="single" w:color="000000" w:sz="4" w:space="0"/>
                    <w:right w:val="single" w:color="000000" w:sz="4" w:space="0"/>
                  </w:tcBorders>
                  <w:vAlign w:val="center"/>
                </w:tcPr>
                <w:p w14:paraId="758464DB">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819" w:type="dxa"/>
                  <w:tcBorders>
                    <w:top w:val="single" w:color="000000" w:sz="4" w:space="0"/>
                    <w:left w:val="single" w:color="000000" w:sz="4" w:space="0"/>
                    <w:bottom w:val="single" w:color="000000" w:sz="4" w:space="0"/>
                    <w:right w:val="single" w:color="000000" w:sz="4" w:space="0"/>
                  </w:tcBorders>
                  <w:vAlign w:val="center"/>
                </w:tcPr>
                <w:p w14:paraId="070C3F4C">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r>
            <w:tr w14:paraId="4B130E2B">
              <w:tblPrEx>
                <w:tblCellMar>
                  <w:top w:w="0" w:type="dxa"/>
                  <w:left w:w="108" w:type="dxa"/>
                  <w:bottom w:w="0" w:type="dxa"/>
                  <w:right w:w="108" w:type="dxa"/>
                </w:tblCellMar>
              </w:tblPrEx>
              <w:trPr>
                <w:trHeight w:val="515" w:hRule="atLeast"/>
              </w:trPr>
              <w:tc>
                <w:tcPr>
                  <w:tcW w:w="1921" w:type="dxa"/>
                  <w:tcBorders>
                    <w:top w:val="single" w:color="000000" w:sz="4" w:space="0"/>
                    <w:left w:val="single" w:color="000000" w:sz="4" w:space="0"/>
                    <w:bottom w:val="single" w:color="000000" w:sz="4" w:space="0"/>
                    <w:right w:val="single" w:color="000000" w:sz="4" w:space="0"/>
                  </w:tcBorders>
                  <w:vAlign w:val="center"/>
                </w:tcPr>
                <w:p w14:paraId="1BFEC53D">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vAlign w:val="center"/>
                </w:tcPr>
                <w:p w14:paraId="3F7AA9BF">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830" w:type="dxa"/>
                  <w:tcBorders>
                    <w:top w:val="single" w:color="000000" w:sz="4" w:space="0"/>
                    <w:left w:val="single" w:color="000000" w:sz="4" w:space="0"/>
                    <w:bottom w:val="single" w:color="000000" w:sz="4" w:space="0"/>
                    <w:right w:val="single" w:color="000000" w:sz="4" w:space="0"/>
                  </w:tcBorders>
                  <w:vAlign w:val="center"/>
                </w:tcPr>
                <w:p w14:paraId="7B8073F6">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864" w:type="dxa"/>
                  <w:tcBorders>
                    <w:top w:val="single" w:color="000000" w:sz="4" w:space="0"/>
                    <w:left w:val="single" w:color="000000" w:sz="4" w:space="0"/>
                    <w:bottom w:val="single" w:color="000000" w:sz="4" w:space="0"/>
                    <w:right w:val="single" w:color="000000" w:sz="4" w:space="0"/>
                  </w:tcBorders>
                  <w:vAlign w:val="center"/>
                </w:tcPr>
                <w:p w14:paraId="5F03D89B">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848" w:type="dxa"/>
                  <w:tcBorders>
                    <w:top w:val="single" w:color="000000" w:sz="4" w:space="0"/>
                    <w:left w:val="single" w:color="000000" w:sz="4" w:space="0"/>
                    <w:bottom w:val="single" w:color="000000" w:sz="4" w:space="0"/>
                    <w:right w:val="single" w:color="000000" w:sz="4" w:space="0"/>
                  </w:tcBorders>
                  <w:vAlign w:val="center"/>
                </w:tcPr>
                <w:p w14:paraId="443EFB37">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882" w:type="dxa"/>
                  <w:tcBorders>
                    <w:top w:val="single" w:color="000000" w:sz="4" w:space="0"/>
                    <w:left w:val="single" w:color="000000" w:sz="4" w:space="0"/>
                    <w:bottom w:val="single" w:color="000000" w:sz="4" w:space="0"/>
                    <w:right w:val="single" w:color="000000" w:sz="4" w:space="0"/>
                  </w:tcBorders>
                  <w:vAlign w:val="center"/>
                </w:tcPr>
                <w:p w14:paraId="33E9374A">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c>
                <w:tcPr>
                  <w:tcW w:w="829" w:type="dxa"/>
                  <w:tcBorders>
                    <w:top w:val="single" w:color="000000" w:sz="4" w:space="0"/>
                    <w:left w:val="single" w:color="000000" w:sz="4" w:space="0"/>
                    <w:bottom w:val="single" w:color="000000" w:sz="4" w:space="0"/>
                    <w:right w:val="single" w:color="000000" w:sz="4" w:space="0"/>
                  </w:tcBorders>
                  <w:vAlign w:val="center"/>
                </w:tcPr>
                <w:p w14:paraId="779DC449">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w:t>
                  </w:r>
                </w:p>
              </w:tc>
              <w:tc>
                <w:tcPr>
                  <w:tcW w:w="819" w:type="dxa"/>
                  <w:tcBorders>
                    <w:top w:val="single" w:color="000000" w:sz="4" w:space="0"/>
                    <w:left w:val="single" w:color="000000" w:sz="4" w:space="0"/>
                    <w:bottom w:val="single" w:color="000000" w:sz="4" w:space="0"/>
                    <w:right w:val="single" w:color="000000" w:sz="4" w:space="0"/>
                  </w:tcBorders>
                  <w:vAlign w:val="center"/>
                </w:tcPr>
                <w:p w14:paraId="6BC77D2F">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w:t>
                  </w:r>
                </w:p>
              </w:tc>
            </w:tr>
            <w:tr w14:paraId="49DDD242">
              <w:tblPrEx>
                <w:tblCellMar>
                  <w:top w:w="0" w:type="dxa"/>
                  <w:left w:w="108" w:type="dxa"/>
                  <w:bottom w:w="0" w:type="dxa"/>
                  <w:right w:w="108" w:type="dxa"/>
                </w:tblCellMar>
              </w:tblPrEx>
              <w:trPr>
                <w:trHeight w:val="470" w:hRule="atLeast"/>
              </w:trPr>
              <w:tc>
                <w:tcPr>
                  <w:tcW w:w="1921" w:type="dxa"/>
                  <w:tcBorders>
                    <w:top w:val="single" w:color="000000" w:sz="4" w:space="0"/>
                    <w:left w:val="single" w:color="000000" w:sz="4" w:space="0"/>
                    <w:bottom w:val="single" w:color="000000" w:sz="4" w:space="0"/>
                    <w:right w:val="single" w:color="000000" w:sz="4" w:space="0"/>
                  </w:tcBorders>
                  <w:vAlign w:val="center"/>
                </w:tcPr>
                <w:p w14:paraId="76DB387F">
                  <w:pPr>
                    <w:keepNext w:val="0"/>
                    <w:keepLines w:val="0"/>
                    <w:pageBreakBefore w:val="0"/>
                    <w:wordWrap w:val="0"/>
                    <w:overflowPunct/>
                    <w:topLinePunct w:val="0"/>
                    <w:bidi w:val="0"/>
                    <w:spacing w:line="400" w:lineRule="exact"/>
                    <w:jc w:val="center"/>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794" w:type="dxa"/>
                  <w:tcBorders>
                    <w:top w:val="single" w:color="000000" w:sz="4" w:space="0"/>
                    <w:left w:val="single" w:color="000000" w:sz="4" w:space="0"/>
                    <w:bottom w:val="single" w:color="000000" w:sz="4" w:space="0"/>
                    <w:right w:val="single" w:color="000000" w:sz="4" w:space="0"/>
                  </w:tcBorders>
                  <w:vAlign w:val="center"/>
                </w:tcPr>
                <w:p w14:paraId="43F52D5C">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830" w:type="dxa"/>
                  <w:tcBorders>
                    <w:top w:val="single" w:color="000000" w:sz="4" w:space="0"/>
                    <w:left w:val="single" w:color="000000" w:sz="4" w:space="0"/>
                    <w:bottom w:val="single" w:color="000000" w:sz="4" w:space="0"/>
                    <w:right w:val="single" w:color="000000" w:sz="4" w:space="0"/>
                  </w:tcBorders>
                  <w:vAlign w:val="center"/>
                </w:tcPr>
                <w:p w14:paraId="56FBC00E">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c>
                <w:tcPr>
                  <w:tcW w:w="864" w:type="dxa"/>
                  <w:tcBorders>
                    <w:top w:val="single" w:color="000000" w:sz="4" w:space="0"/>
                    <w:left w:val="single" w:color="000000" w:sz="4" w:space="0"/>
                    <w:bottom w:val="single" w:color="000000" w:sz="4" w:space="0"/>
                    <w:right w:val="single" w:color="000000" w:sz="4" w:space="0"/>
                  </w:tcBorders>
                  <w:vAlign w:val="center"/>
                </w:tcPr>
                <w:p w14:paraId="05C69665">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848" w:type="dxa"/>
                  <w:tcBorders>
                    <w:top w:val="single" w:color="000000" w:sz="4" w:space="0"/>
                    <w:left w:val="single" w:color="000000" w:sz="4" w:space="0"/>
                    <w:bottom w:val="single" w:color="000000" w:sz="4" w:space="0"/>
                    <w:right w:val="single" w:color="000000" w:sz="4" w:space="0"/>
                  </w:tcBorders>
                  <w:vAlign w:val="center"/>
                </w:tcPr>
                <w:p w14:paraId="585C6CBE">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882" w:type="dxa"/>
                  <w:tcBorders>
                    <w:top w:val="single" w:color="000000" w:sz="4" w:space="0"/>
                    <w:left w:val="single" w:color="000000" w:sz="4" w:space="0"/>
                    <w:bottom w:val="single" w:color="000000" w:sz="4" w:space="0"/>
                    <w:right w:val="single" w:color="000000" w:sz="4" w:space="0"/>
                  </w:tcBorders>
                  <w:vAlign w:val="center"/>
                </w:tcPr>
                <w:p w14:paraId="17382A5B">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829" w:type="dxa"/>
                  <w:tcBorders>
                    <w:top w:val="single" w:color="000000" w:sz="4" w:space="0"/>
                    <w:left w:val="single" w:color="000000" w:sz="4" w:space="0"/>
                    <w:bottom w:val="single" w:color="000000" w:sz="4" w:space="0"/>
                    <w:right w:val="single" w:color="000000" w:sz="4" w:space="0"/>
                  </w:tcBorders>
                  <w:vAlign w:val="center"/>
                </w:tcPr>
                <w:p w14:paraId="05AE9EC8">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819" w:type="dxa"/>
                  <w:tcBorders>
                    <w:top w:val="single" w:color="000000" w:sz="4" w:space="0"/>
                    <w:left w:val="single" w:color="000000" w:sz="4" w:space="0"/>
                    <w:bottom w:val="single" w:color="000000" w:sz="4" w:space="0"/>
                    <w:right w:val="single" w:color="000000" w:sz="4" w:space="0"/>
                  </w:tcBorders>
                  <w:vAlign w:val="center"/>
                </w:tcPr>
                <w:p w14:paraId="1ED8A96A">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r>
            <w:tr w14:paraId="49BA8294">
              <w:tblPrEx>
                <w:tblCellMar>
                  <w:top w:w="0" w:type="dxa"/>
                  <w:left w:w="108" w:type="dxa"/>
                  <w:bottom w:w="0" w:type="dxa"/>
                  <w:right w:w="108" w:type="dxa"/>
                </w:tblCellMar>
              </w:tblPrEx>
              <w:trPr>
                <w:trHeight w:val="600" w:hRule="atLeast"/>
              </w:trPr>
              <w:tc>
                <w:tcPr>
                  <w:tcW w:w="1921" w:type="dxa"/>
                  <w:tcBorders>
                    <w:top w:val="single" w:color="000000" w:sz="4" w:space="0"/>
                    <w:left w:val="single" w:color="000000" w:sz="4" w:space="0"/>
                    <w:bottom w:val="single" w:color="000000" w:sz="4" w:space="0"/>
                    <w:right w:val="single" w:color="000000" w:sz="4" w:space="0"/>
                  </w:tcBorders>
                  <w:vAlign w:val="center"/>
                </w:tcPr>
                <w:p w14:paraId="32DF30A6">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vAlign w:val="center"/>
                </w:tcPr>
                <w:p w14:paraId="12F97B43">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w:t>
                  </w:r>
                </w:p>
              </w:tc>
              <w:tc>
                <w:tcPr>
                  <w:tcW w:w="830" w:type="dxa"/>
                  <w:tcBorders>
                    <w:top w:val="single" w:color="000000" w:sz="4" w:space="0"/>
                    <w:left w:val="single" w:color="000000" w:sz="4" w:space="0"/>
                    <w:bottom w:val="single" w:color="000000" w:sz="4" w:space="0"/>
                    <w:right w:val="single" w:color="000000" w:sz="4" w:space="0"/>
                  </w:tcBorders>
                  <w:vAlign w:val="center"/>
                </w:tcPr>
                <w:p w14:paraId="2937C74A">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2.5</w:t>
                  </w:r>
                </w:p>
              </w:tc>
              <w:tc>
                <w:tcPr>
                  <w:tcW w:w="864" w:type="dxa"/>
                  <w:tcBorders>
                    <w:top w:val="single" w:color="000000" w:sz="4" w:space="0"/>
                    <w:left w:val="single" w:color="000000" w:sz="4" w:space="0"/>
                    <w:bottom w:val="single" w:color="000000" w:sz="4" w:space="0"/>
                    <w:right w:val="single" w:color="000000" w:sz="4" w:space="0"/>
                  </w:tcBorders>
                  <w:vAlign w:val="center"/>
                </w:tcPr>
                <w:p w14:paraId="5F431547">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2.6</w:t>
                  </w:r>
                </w:p>
              </w:tc>
              <w:tc>
                <w:tcPr>
                  <w:tcW w:w="848" w:type="dxa"/>
                  <w:tcBorders>
                    <w:top w:val="single" w:color="000000" w:sz="4" w:space="0"/>
                    <w:left w:val="single" w:color="000000" w:sz="4" w:space="0"/>
                    <w:bottom w:val="single" w:color="000000" w:sz="4" w:space="0"/>
                    <w:right w:val="single" w:color="000000" w:sz="4" w:space="0"/>
                  </w:tcBorders>
                  <w:vAlign w:val="center"/>
                </w:tcPr>
                <w:p w14:paraId="419B50A8">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2.7</w:t>
                  </w:r>
                </w:p>
              </w:tc>
              <w:tc>
                <w:tcPr>
                  <w:tcW w:w="882" w:type="dxa"/>
                  <w:tcBorders>
                    <w:top w:val="single" w:color="000000" w:sz="4" w:space="0"/>
                    <w:left w:val="single" w:color="000000" w:sz="4" w:space="0"/>
                    <w:bottom w:val="single" w:color="000000" w:sz="4" w:space="0"/>
                    <w:right w:val="single" w:color="000000" w:sz="4" w:space="0"/>
                  </w:tcBorders>
                  <w:vAlign w:val="center"/>
                </w:tcPr>
                <w:p w14:paraId="06B66751">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2.8</w:t>
                  </w:r>
                </w:p>
              </w:tc>
              <w:tc>
                <w:tcPr>
                  <w:tcW w:w="829" w:type="dxa"/>
                  <w:tcBorders>
                    <w:top w:val="single" w:color="000000" w:sz="4" w:space="0"/>
                    <w:left w:val="single" w:color="000000" w:sz="4" w:space="0"/>
                    <w:bottom w:val="single" w:color="000000" w:sz="4" w:space="0"/>
                    <w:right w:val="single" w:color="000000" w:sz="4" w:space="0"/>
                  </w:tcBorders>
                  <w:vAlign w:val="center"/>
                </w:tcPr>
                <w:p w14:paraId="4DBCE7F4">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2.9</w:t>
                  </w:r>
                </w:p>
              </w:tc>
              <w:tc>
                <w:tcPr>
                  <w:tcW w:w="819" w:type="dxa"/>
                  <w:tcBorders>
                    <w:top w:val="single" w:color="000000" w:sz="4" w:space="0"/>
                    <w:left w:val="single" w:color="000000" w:sz="4" w:space="0"/>
                    <w:bottom w:val="single" w:color="000000" w:sz="4" w:space="0"/>
                    <w:right w:val="single" w:color="000000" w:sz="4" w:space="0"/>
                  </w:tcBorders>
                  <w:vAlign w:val="center"/>
                </w:tcPr>
                <w:p w14:paraId="375B358E">
                  <w:pPr>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3.0</w:t>
                  </w:r>
                </w:p>
              </w:tc>
            </w:tr>
          </w:tbl>
          <w:p w14:paraId="5D7AC4B6">
            <w:pPr>
              <w:keepNext w:val="0"/>
              <w:keepLines w:val="0"/>
              <w:pageBreakBefore w:val="0"/>
              <w:wordWrap w:val="0"/>
              <w:overflowPunct/>
              <w:topLinePunct w:val="0"/>
              <w:bidi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（2）评标基准价D＝</w:t>
            </w:r>
            <w:r>
              <w:rPr>
                <w:rFonts w:hint="eastAsia" w:ascii="宋体" w:hAnsi="宋体" w:eastAsia="宋体" w:cs="宋体"/>
                <w:snapToGrid w:val="0"/>
                <w:color w:val="auto"/>
                <w:kern w:val="0"/>
                <w:sz w:val="24"/>
                <w:szCs w:val="24"/>
                <w:highlight w:val="none"/>
                <w:lang w:eastAsia="zh-CN"/>
              </w:rPr>
              <w:t>最高投标限价</w:t>
            </w:r>
            <w:r>
              <w:rPr>
                <w:rFonts w:hint="eastAsia" w:ascii="宋体" w:hAnsi="宋体" w:eastAsia="宋体" w:cs="宋体"/>
                <w:snapToGrid w:val="0"/>
                <w:color w:val="auto"/>
                <w:kern w:val="0"/>
                <w:sz w:val="24"/>
                <w:szCs w:val="24"/>
                <w:highlight w:val="none"/>
              </w:rPr>
              <w:t>×（1－n）</w:t>
            </w:r>
          </w:p>
        </w:tc>
      </w:tr>
      <w:tr w14:paraId="3F46B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8" w:type="dxa"/>
            <w:tcBorders>
              <w:top w:val="single" w:color="auto" w:sz="4" w:space="0"/>
              <w:left w:val="single" w:color="auto" w:sz="4" w:space="0"/>
              <w:bottom w:val="single" w:color="auto" w:sz="4" w:space="0"/>
              <w:right w:val="single" w:color="auto" w:sz="4" w:space="0"/>
            </w:tcBorders>
            <w:vAlign w:val="center"/>
          </w:tcPr>
          <w:p w14:paraId="77CA5973">
            <w:pPr>
              <w:pStyle w:val="35"/>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投标报价</w:t>
            </w:r>
          </w:p>
          <w:p w14:paraId="6E92C593">
            <w:pPr>
              <w:pStyle w:val="35"/>
              <w:keepNext w:val="0"/>
              <w:keepLines w:val="0"/>
              <w:pageBreakBefore w:val="0"/>
              <w:wordWrap w:val="0"/>
              <w:overflowPunct/>
              <w:topLinePunct w:val="0"/>
              <w:bidi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得分N</w:t>
            </w:r>
          </w:p>
        </w:tc>
        <w:tc>
          <w:tcPr>
            <w:tcW w:w="8490" w:type="dxa"/>
            <w:gridSpan w:val="2"/>
            <w:tcBorders>
              <w:top w:val="single" w:color="auto" w:sz="4" w:space="0"/>
              <w:left w:val="single" w:color="auto" w:sz="4" w:space="0"/>
              <w:bottom w:val="single" w:color="auto" w:sz="4" w:space="0"/>
              <w:right w:val="single" w:color="auto" w:sz="4" w:space="0"/>
            </w:tcBorders>
            <w:vAlign w:val="center"/>
          </w:tcPr>
          <w:p w14:paraId="56402577">
            <w:pPr>
              <w:keepNext w:val="0"/>
              <w:keepLines w:val="0"/>
              <w:pageBreakBefore w:val="0"/>
              <w:wordWrap w:val="0"/>
              <w:overflowPunct/>
              <w:topLinePunct w:val="0"/>
              <w:bidi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采用内插法计算某投标人的投标报价得分N，即当投标人的投标总价等于评标基准价时得100分，每高于评标基准价一个百分点扣1 分, 每低于评标基准价一个百分点扣0.5分，扣完为止。公式如下：</w:t>
            </w:r>
          </w:p>
          <w:p w14:paraId="5B2D0631">
            <w:pPr>
              <w:keepNext w:val="0"/>
              <w:keepLines w:val="0"/>
              <w:pageBreakBefore w:val="0"/>
              <w:wordWrap w:val="0"/>
              <w:overflowPunct/>
              <w:topLinePunct w:val="0"/>
              <w:bidi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N＝100－（| Di－D | ÷D）×100×E</w:t>
            </w:r>
          </w:p>
          <w:p w14:paraId="344C7CFF">
            <w:pPr>
              <w:keepNext w:val="0"/>
              <w:keepLines w:val="0"/>
              <w:pageBreakBefore w:val="0"/>
              <w:wordWrap w:val="0"/>
              <w:overflowPunct/>
              <w:topLinePunct w:val="0"/>
              <w:bidi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式中：D为评标基准价；Di为某投标人的投标总价；E为扣分因子，当Di＞D时，E＝1 ；当Di＜D时，E＝0.5。</w:t>
            </w:r>
          </w:p>
        </w:tc>
      </w:tr>
    </w:tbl>
    <w:p w14:paraId="7CBBB4CF">
      <w:pPr>
        <w:spacing w:before="38" w:line="360" w:lineRule="auto"/>
        <w:rPr>
          <w:rFonts w:hint="eastAsia" w:ascii="宋体" w:hAnsi="宋体" w:eastAsia="宋体" w:cs="宋体"/>
          <w:b w:val="0"/>
          <w:bCs w:val="0"/>
          <w:color w:val="auto"/>
          <w:spacing w:val="-2"/>
          <w:sz w:val="24"/>
          <w:szCs w:val="24"/>
          <w:highlight w:val="none"/>
        </w:rPr>
      </w:pPr>
      <w:r>
        <w:rPr>
          <w:rFonts w:hint="eastAsia" w:ascii="宋体" w:hAnsi="宋体" w:eastAsia="宋体" w:cs="宋体"/>
          <w:b/>
          <w:bCs/>
          <w:color w:val="auto"/>
          <w:spacing w:val="-2"/>
          <w:sz w:val="24"/>
          <w:szCs w:val="24"/>
          <w:highlight w:val="none"/>
        </w:rPr>
        <w:t xml:space="preserve">15.5.2  </w:t>
      </w:r>
      <w:r>
        <w:rPr>
          <w:rFonts w:hint="eastAsia" w:ascii="宋体" w:hAnsi="宋体" w:eastAsia="宋体" w:cs="宋体"/>
          <w:b w:val="0"/>
          <w:bCs w:val="0"/>
          <w:color w:val="auto"/>
          <w:spacing w:val="-2"/>
          <w:sz w:val="24"/>
          <w:szCs w:val="24"/>
          <w:highlight w:val="none"/>
        </w:rPr>
        <w:t>否决投标说明</w:t>
      </w:r>
      <w:bookmarkEnd w:id="133"/>
      <w:bookmarkEnd w:id="134"/>
      <w:bookmarkEnd w:id="135"/>
      <w:bookmarkEnd w:id="136"/>
    </w:p>
    <w:p w14:paraId="3A60FF67">
      <w:pPr>
        <w:spacing w:before="150" w:line="360" w:lineRule="auto"/>
        <w:ind w:right="195" w:firstLine="460"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详细评审阶段否决投标的全部条件，在本章第四节“否决投标条件</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5"/>
          <w:sz w:val="24"/>
          <w:szCs w:val="24"/>
          <w:highlight w:val="none"/>
        </w:rPr>
        <w:t xml:space="preserve">4 </w:t>
      </w:r>
      <w:r>
        <w:rPr>
          <w:rFonts w:hint="eastAsia" w:ascii="宋体" w:hAnsi="宋体" w:eastAsia="宋体" w:cs="宋体"/>
          <w:color w:val="auto"/>
          <w:spacing w:val="-5"/>
          <w:sz w:val="24"/>
          <w:szCs w:val="24"/>
          <w:highlight w:val="none"/>
        </w:rPr>
        <w:t>条中集</w:t>
      </w:r>
      <w:r>
        <w:rPr>
          <w:rFonts w:hint="eastAsia" w:ascii="宋体" w:hAnsi="宋体" w:eastAsia="宋体" w:cs="宋体"/>
          <w:color w:val="auto"/>
          <w:spacing w:val="-1"/>
          <w:sz w:val="24"/>
          <w:szCs w:val="24"/>
          <w:highlight w:val="none"/>
        </w:rPr>
        <w:t>中列示。投标人有其中所列任何一种情形的，由评标委员会</w:t>
      </w:r>
      <w:r>
        <w:rPr>
          <w:rFonts w:hint="eastAsia" w:ascii="宋体" w:hAnsi="宋体" w:eastAsia="宋体" w:cs="宋体"/>
          <w:color w:val="auto"/>
          <w:spacing w:val="-5"/>
          <w:sz w:val="24"/>
          <w:szCs w:val="24"/>
          <w:highlight w:val="none"/>
        </w:rPr>
        <w:t>否决其投标。评标委员会经评审，认为所有投标都不符合招标文件要求的，可否决所有投标，项目的所有投标被否决的，招标人应依法重新组织招标。</w:t>
      </w:r>
    </w:p>
    <w:p w14:paraId="0C2BBAB9">
      <w:pPr>
        <w:keepNext w:val="0"/>
        <w:keepLines w:val="0"/>
        <w:pageBreakBefore w:val="0"/>
        <w:widowControl/>
        <w:kinsoku w:val="0"/>
        <w:wordWrap/>
        <w:overflowPunct/>
        <w:topLinePunct w:val="0"/>
        <w:autoSpaceDE w:val="0"/>
        <w:autoSpaceDN w:val="0"/>
        <w:bidi w:val="0"/>
        <w:adjustRightInd w:val="0"/>
        <w:snapToGrid w:val="0"/>
        <w:spacing w:before="78" w:line="460" w:lineRule="exact"/>
        <w:ind w:left="496"/>
        <w:textAlignment w:val="baseline"/>
        <w:outlineLvl w:val="2"/>
        <w:rPr>
          <w:rFonts w:hint="eastAsia" w:ascii="宋体" w:hAnsi="宋体" w:eastAsia="宋体" w:cs="宋体"/>
          <w:color w:val="auto"/>
          <w:sz w:val="24"/>
          <w:szCs w:val="24"/>
          <w:highlight w:val="none"/>
        </w:rPr>
      </w:pPr>
      <w:bookmarkStart w:id="137" w:name="bookmark137"/>
      <w:bookmarkEnd w:id="137"/>
      <w:bookmarkStart w:id="138" w:name="_Toc269"/>
      <w:bookmarkStart w:id="139" w:name="_Toc23862"/>
      <w:r>
        <w:rPr>
          <w:rFonts w:hint="eastAsia" w:ascii="宋体" w:hAnsi="宋体" w:eastAsia="宋体" w:cs="宋体"/>
          <w:b/>
          <w:bCs/>
          <w:color w:val="auto"/>
          <w:spacing w:val="-7"/>
          <w:sz w:val="24"/>
          <w:szCs w:val="24"/>
          <w:highlight w:val="none"/>
        </w:rPr>
        <w:t>16</w:t>
      </w:r>
      <w:r>
        <w:rPr>
          <w:rFonts w:hint="eastAsia" w:ascii="宋体" w:hAnsi="宋体" w:eastAsia="宋体" w:cs="宋体"/>
          <w:b/>
          <w:bCs/>
          <w:color w:val="auto"/>
          <w:spacing w:val="-20"/>
          <w:sz w:val="24"/>
          <w:szCs w:val="24"/>
          <w:highlight w:val="none"/>
          <w:lang w:eastAsia="zh-CN"/>
        </w:rPr>
        <w:t>.</w:t>
      </w:r>
      <w:r>
        <w:rPr>
          <w:rFonts w:hint="eastAsia" w:ascii="宋体" w:hAnsi="宋体" w:eastAsia="宋体" w:cs="宋体"/>
          <w:b/>
          <w:bCs/>
          <w:color w:val="auto"/>
          <w:spacing w:val="-7"/>
          <w:sz w:val="24"/>
          <w:szCs w:val="24"/>
          <w:highlight w:val="none"/>
        </w:rPr>
        <w:t>中标候选人公示</w:t>
      </w:r>
      <w:bookmarkEnd w:id="138"/>
      <w:bookmarkEnd w:id="139"/>
    </w:p>
    <w:p w14:paraId="69427072">
      <w:pPr>
        <w:keepNext w:val="0"/>
        <w:keepLines w:val="0"/>
        <w:pageBreakBefore w:val="0"/>
        <w:widowControl/>
        <w:kinsoku w:val="0"/>
        <w:wordWrap/>
        <w:overflowPunct/>
        <w:topLinePunct w:val="0"/>
        <w:autoSpaceDE w:val="0"/>
        <w:autoSpaceDN w:val="0"/>
        <w:bidi w:val="0"/>
        <w:adjustRightInd w:val="0"/>
        <w:snapToGrid w:val="0"/>
        <w:spacing w:before="135" w:line="460" w:lineRule="exact"/>
        <w:ind w:left="2" w:right="105" w:firstLine="494"/>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16.1 </w:t>
      </w:r>
      <w:r>
        <w:rPr>
          <w:rFonts w:hint="eastAsia" w:ascii="宋体" w:hAnsi="宋体" w:eastAsia="宋体" w:cs="宋体"/>
          <w:b w:val="0"/>
          <w:bCs w:val="0"/>
          <w:color w:val="auto"/>
          <w:spacing w:val="1"/>
          <w:sz w:val="24"/>
          <w:szCs w:val="24"/>
          <w:highlight w:val="none"/>
        </w:rPr>
        <w:t>招标人自收到评标委员会提交的书面评标报告和中标候选人名单之日起3日内，将评标结果（即中标候选人名单）、中标候选人投标文件（指商务标书分册）、评标过程（评标专家姓名用代码标记）一并在广东省招标投标监管网（</w:t>
      </w:r>
      <w:r>
        <w:rPr>
          <w:rFonts w:hint="eastAsia" w:ascii="宋体" w:hAnsi="宋体" w:eastAsia="宋体" w:cs="宋体"/>
          <w:b w:val="0"/>
          <w:bCs w:val="0"/>
          <w:color w:val="auto"/>
          <w:spacing w:val="1"/>
          <w:sz w:val="24"/>
          <w:szCs w:val="24"/>
          <w:highlight w:val="none"/>
          <w:lang w:eastAsia="zh-CN"/>
        </w:rPr>
        <w:t>https://www.gdzwfw.gov.cn/ztbjg-portal/#/index</w:t>
      </w:r>
      <w:r>
        <w:rPr>
          <w:rFonts w:hint="eastAsia" w:ascii="宋体" w:hAnsi="宋体" w:eastAsia="宋体" w:cs="宋体"/>
          <w:b w:val="0"/>
          <w:bCs w:val="0"/>
          <w:color w:val="auto"/>
          <w:spacing w:val="1"/>
          <w:sz w:val="24"/>
          <w:szCs w:val="24"/>
          <w:highlight w:val="none"/>
        </w:rPr>
        <w:t>）、全国公共资源交易平台（广东省·韶关市）（https://ygp.gdzwfw.gov.cn/ggzy-portal/#/440200/index）</w:t>
      </w:r>
      <w:r>
        <w:rPr>
          <w:rFonts w:hint="eastAsia" w:ascii="宋体" w:hAnsi="宋体" w:eastAsia="宋体" w:cs="宋体"/>
          <w:b w:val="0"/>
          <w:bCs w:val="0"/>
          <w:color w:val="auto"/>
          <w:spacing w:val="1"/>
          <w:sz w:val="24"/>
          <w:szCs w:val="24"/>
          <w:highlight w:val="none"/>
          <w:lang w:val="en-US" w:eastAsia="zh-CN"/>
        </w:rPr>
        <w:t>公示</w:t>
      </w:r>
      <w:r>
        <w:rPr>
          <w:rFonts w:hint="eastAsia" w:ascii="宋体" w:hAnsi="宋体" w:eastAsia="宋体" w:cs="宋体"/>
          <w:b w:val="0"/>
          <w:bCs w:val="0"/>
          <w:color w:val="auto"/>
          <w:spacing w:val="1"/>
          <w:sz w:val="24"/>
          <w:szCs w:val="24"/>
          <w:highlight w:val="none"/>
        </w:rPr>
        <w:t>，公示期不得少于3天。</w:t>
      </w:r>
    </w:p>
    <w:p w14:paraId="0A0526A4">
      <w:pPr>
        <w:keepNext w:val="0"/>
        <w:keepLines w:val="0"/>
        <w:pageBreakBefore w:val="0"/>
        <w:widowControl/>
        <w:kinsoku w:val="0"/>
        <w:wordWrap/>
        <w:overflowPunct/>
        <w:topLinePunct w:val="0"/>
        <w:autoSpaceDE w:val="0"/>
        <w:autoSpaceDN w:val="0"/>
        <w:bidi w:val="0"/>
        <w:adjustRightInd w:val="0"/>
        <w:snapToGrid w:val="0"/>
        <w:spacing w:before="79" w:line="460" w:lineRule="exact"/>
        <w:ind w:left="12" w:right="42" w:firstLine="48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16.2 </w:t>
      </w:r>
      <w:r>
        <w:rPr>
          <w:rFonts w:hint="eastAsia" w:ascii="宋体" w:hAnsi="宋体" w:eastAsia="宋体" w:cs="宋体"/>
          <w:color w:val="auto"/>
          <w:sz w:val="24"/>
          <w:szCs w:val="24"/>
          <w:highlight w:val="none"/>
        </w:rPr>
        <w:t>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 处理的具体办法和要求，按照《韶关市工程建设项目招标投标活动异议和投诉处理办法》 （韶法审〔2020〕19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01EB73CA">
      <w:pPr>
        <w:keepNext w:val="0"/>
        <w:keepLines w:val="0"/>
        <w:pageBreakBefore w:val="0"/>
        <w:widowControl/>
        <w:kinsoku w:val="0"/>
        <w:wordWrap/>
        <w:overflowPunct/>
        <w:topLinePunct w:val="0"/>
        <w:autoSpaceDE w:val="0"/>
        <w:autoSpaceDN w:val="0"/>
        <w:bidi w:val="0"/>
        <w:adjustRightInd w:val="0"/>
        <w:snapToGrid w:val="0"/>
        <w:spacing w:before="79" w:line="460" w:lineRule="exact"/>
        <w:ind w:left="12" w:right="42" w:firstLine="483"/>
        <w:textAlignment w:val="baseline"/>
        <w:rPr>
          <w:rFonts w:hint="eastAsia" w:ascii="宋体" w:hAnsi="宋体" w:eastAsia="宋体" w:cs="宋体"/>
          <w:color w:val="auto"/>
          <w:spacing w:val="-4"/>
          <w:sz w:val="24"/>
          <w:szCs w:val="24"/>
          <w:highlight w:val="none"/>
        </w:rPr>
      </w:pPr>
      <w:r>
        <w:rPr>
          <w:rFonts w:hint="eastAsia" w:ascii="宋体" w:hAnsi="宋体" w:eastAsia="宋体" w:cs="宋体"/>
          <w:b/>
          <w:bCs/>
          <w:color w:val="auto"/>
          <w:spacing w:val="-9"/>
          <w:sz w:val="24"/>
          <w:szCs w:val="24"/>
          <w:highlight w:val="none"/>
        </w:rPr>
        <w:t>16.3</w:t>
      </w:r>
      <w:r>
        <w:rPr>
          <w:rFonts w:hint="eastAsia" w:ascii="宋体" w:hAnsi="宋体" w:eastAsia="宋体" w:cs="宋体"/>
          <w:b/>
          <w:bCs/>
          <w:color w:val="auto"/>
          <w:spacing w:val="24"/>
          <w:w w:val="101"/>
          <w:sz w:val="24"/>
          <w:szCs w:val="24"/>
          <w:highlight w:val="none"/>
        </w:rPr>
        <w:t xml:space="preserve">  </w:t>
      </w:r>
      <w:r>
        <w:rPr>
          <w:rFonts w:hint="eastAsia" w:ascii="宋体" w:hAnsi="宋体" w:eastAsia="宋体" w:cs="宋体"/>
          <w:color w:val="auto"/>
          <w:spacing w:val="-9"/>
          <w:sz w:val="24"/>
          <w:szCs w:val="24"/>
          <w:highlight w:val="none"/>
        </w:rPr>
        <w:t>中标候选人公示期满无异议（投诉）后，招标人确定第一中标候选人为中标人，</w:t>
      </w:r>
      <w:r>
        <w:rPr>
          <w:rFonts w:hint="eastAsia" w:ascii="宋体" w:hAnsi="宋体" w:eastAsia="宋体" w:cs="宋体"/>
          <w:color w:val="auto"/>
          <w:spacing w:val="-2"/>
          <w:sz w:val="24"/>
          <w:szCs w:val="24"/>
          <w:highlight w:val="none"/>
        </w:rPr>
        <w:t>并在中标人确定之日起7日内向中标人发出中标通知书。在中标通知书发出后5个工作日内，韶关市公共资源交易中心将投标保证金退还给中标候选人以外的</w:t>
      </w:r>
      <w:r>
        <w:rPr>
          <w:rFonts w:hint="eastAsia" w:ascii="宋体" w:hAnsi="宋体" w:eastAsia="宋体" w:cs="宋体"/>
          <w:color w:val="auto"/>
          <w:spacing w:val="-4"/>
          <w:sz w:val="24"/>
          <w:szCs w:val="24"/>
          <w:highlight w:val="none"/>
        </w:rPr>
        <w:t>投标人。</w:t>
      </w:r>
    </w:p>
    <w:p w14:paraId="6A644B07">
      <w:pPr>
        <w:rPr>
          <w:rFonts w:hint="eastAsia" w:ascii="宋体" w:hAnsi="宋体" w:eastAsia="宋体" w:cs="宋体"/>
          <w:color w:val="auto"/>
          <w:highlight w:val="none"/>
        </w:rPr>
      </w:pPr>
    </w:p>
    <w:p w14:paraId="60B902D3">
      <w:pPr>
        <w:spacing w:before="156" w:line="360" w:lineRule="auto"/>
        <w:outlineLvl w:val="1"/>
        <w:rPr>
          <w:rFonts w:hint="eastAsia" w:ascii="宋体" w:hAnsi="宋体" w:eastAsia="宋体" w:cs="宋体"/>
          <w:b/>
          <w:bCs/>
          <w:color w:val="auto"/>
          <w:spacing w:val="-3"/>
          <w:sz w:val="24"/>
          <w:szCs w:val="24"/>
          <w:highlight w:val="none"/>
        </w:rPr>
      </w:pPr>
      <w:bookmarkStart w:id="140" w:name="bookmark138"/>
      <w:bookmarkEnd w:id="140"/>
      <w:bookmarkStart w:id="141" w:name="_Toc28455"/>
      <w:bookmarkStart w:id="142" w:name="_Toc12938"/>
      <w:r>
        <w:rPr>
          <w:rFonts w:hint="eastAsia" w:ascii="宋体" w:hAnsi="宋体" w:eastAsia="宋体" w:cs="宋体"/>
          <w:b/>
          <w:bCs/>
          <w:color w:val="auto"/>
          <w:spacing w:val="-3"/>
          <w:sz w:val="24"/>
          <w:szCs w:val="24"/>
          <w:highlight w:val="none"/>
        </w:rPr>
        <w:t>第四节</w:t>
      </w:r>
      <w:r>
        <w:rPr>
          <w:rFonts w:hint="eastAsia" w:ascii="宋体" w:hAnsi="宋体" w:eastAsia="宋体" w:cs="宋体"/>
          <w:b/>
          <w:bCs/>
          <w:color w:val="auto"/>
          <w:spacing w:val="-3"/>
          <w:sz w:val="24"/>
          <w:szCs w:val="24"/>
          <w:highlight w:val="none"/>
          <w:lang w:val="en-US" w:eastAsia="zh-CN"/>
        </w:rPr>
        <w:t xml:space="preserve">   </w:t>
      </w:r>
      <w:r>
        <w:rPr>
          <w:rFonts w:hint="eastAsia" w:ascii="宋体" w:hAnsi="宋体" w:eastAsia="宋体" w:cs="宋体"/>
          <w:b/>
          <w:bCs/>
          <w:color w:val="auto"/>
          <w:spacing w:val="-3"/>
          <w:sz w:val="24"/>
          <w:szCs w:val="24"/>
          <w:highlight w:val="none"/>
        </w:rPr>
        <w:t>否决投标条件</w:t>
      </w:r>
      <w:bookmarkEnd w:id="141"/>
      <w:bookmarkEnd w:id="142"/>
    </w:p>
    <w:p w14:paraId="0B267E60">
      <w:pPr>
        <w:spacing w:before="78" w:line="360" w:lineRule="auto"/>
        <w:ind w:left="10" w:right="65"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本节所集中列示的否决投标条件，是本章第三节“投标人须知正文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3"/>
          <w:sz w:val="24"/>
          <w:szCs w:val="24"/>
          <w:highlight w:val="none"/>
        </w:rPr>
        <w:t>”的组成部分，</w:t>
      </w:r>
      <w:r>
        <w:rPr>
          <w:rFonts w:hint="eastAsia" w:ascii="宋体" w:hAnsi="宋体" w:eastAsia="宋体" w:cs="宋体"/>
          <w:color w:val="auto"/>
          <w:spacing w:val="-2"/>
          <w:sz w:val="24"/>
          <w:szCs w:val="24"/>
          <w:highlight w:val="none"/>
        </w:rPr>
        <w:t>是对本章第三节所规定的否决投标条件的总</w:t>
      </w:r>
      <w:r>
        <w:rPr>
          <w:rFonts w:hint="eastAsia" w:ascii="宋体" w:hAnsi="宋体" w:eastAsia="宋体" w:cs="宋体"/>
          <w:color w:val="auto"/>
          <w:spacing w:val="-3"/>
          <w:sz w:val="24"/>
          <w:szCs w:val="24"/>
          <w:highlight w:val="none"/>
        </w:rPr>
        <w:t>结和补充。</w:t>
      </w:r>
      <w:r>
        <w:rPr>
          <w:rFonts w:hint="eastAsia" w:ascii="宋体" w:hAnsi="宋体" w:eastAsia="宋体" w:cs="宋体"/>
          <w:b/>
          <w:bCs/>
          <w:color w:val="auto"/>
          <w:spacing w:val="-3"/>
          <w:sz w:val="24"/>
          <w:szCs w:val="24"/>
          <w:highlight w:val="none"/>
        </w:rPr>
        <w:t>投标人未有列入本节情形的，评</w:t>
      </w:r>
      <w:r>
        <w:rPr>
          <w:rFonts w:hint="eastAsia" w:ascii="宋体" w:hAnsi="宋体" w:eastAsia="宋体" w:cs="宋体"/>
          <w:b/>
          <w:bCs/>
          <w:color w:val="auto"/>
          <w:spacing w:val="-2"/>
          <w:sz w:val="24"/>
          <w:szCs w:val="24"/>
          <w:highlight w:val="none"/>
        </w:rPr>
        <w:t>标时一律不得否决其投标。</w:t>
      </w:r>
      <w:r>
        <w:rPr>
          <w:rFonts w:hint="eastAsia" w:ascii="宋体" w:hAnsi="宋体" w:eastAsia="宋体" w:cs="宋体"/>
          <w:color w:val="auto"/>
          <w:spacing w:val="-2"/>
          <w:sz w:val="24"/>
          <w:szCs w:val="24"/>
          <w:highlight w:val="none"/>
        </w:rPr>
        <w:t>本节所称“规定</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”均指招标文件的规</w:t>
      </w:r>
      <w:r>
        <w:rPr>
          <w:rFonts w:hint="eastAsia" w:ascii="宋体" w:hAnsi="宋体" w:eastAsia="宋体" w:cs="宋体"/>
          <w:color w:val="auto"/>
          <w:spacing w:val="-3"/>
          <w:sz w:val="24"/>
          <w:szCs w:val="24"/>
          <w:highlight w:val="none"/>
        </w:rPr>
        <w:t>定。</w:t>
      </w:r>
    </w:p>
    <w:p w14:paraId="4054FE5E">
      <w:pPr>
        <w:spacing w:before="34" w:line="360" w:lineRule="auto"/>
        <w:ind w:left="495"/>
        <w:outlineLvl w:val="2"/>
        <w:rPr>
          <w:rFonts w:hint="eastAsia" w:ascii="宋体" w:hAnsi="宋体" w:eastAsia="宋体" w:cs="宋体"/>
          <w:color w:val="auto"/>
          <w:sz w:val="24"/>
          <w:szCs w:val="24"/>
          <w:highlight w:val="none"/>
        </w:rPr>
      </w:pPr>
      <w:bookmarkStart w:id="143" w:name="_Toc14475"/>
      <w:bookmarkStart w:id="144" w:name="_Toc3255"/>
      <w:bookmarkStart w:id="145" w:name="_Toc8173"/>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lang w:eastAsia="zh-CN"/>
        </w:rPr>
        <w:t>.</w:t>
      </w:r>
      <w:r>
        <w:rPr>
          <w:rFonts w:hint="eastAsia" w:ascii="宋体" w:hAnsi="宋体" w:eastAsia="宋体" w:cs="宋体"/>
          <w:b/>
          <w:bCs/>
          <w:color w:val="auto"/>
          <w:spacing w:val="-8"/>
          <w:sz w:val="24"/>
          <w:szCs w:val="24"/>
          <w:highlight w:val="none"/>
        </w:rPr>
        <w:t>资格评审环节</w:t>
      </w:r>
      <w:bookmarkEnd w:id="143"/>
      <w:bookmarkEnd w:id="144"/>
      <w:bookmarkEnd w:id="145"/>
    </w:p>
    <w:p w14:paraId="3BCC8CC7">
      <w:pPr>
        <w:spacing w:before="34" w:line="360" w:lineRule="auto"/>
        <w:ind w:left="8" w:right="65" w:firstLine="492"/>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投标人有下列情形之一的，评标委员会应否决其投标。被否决的投标人，不进入形</w:t>
      </w:r>
      <w:r>
        <w:rPr>
          <w:rFonts w:hint="eastAsia" w:ascii="宋体" w:hAnsi="宋体" w:eastAsia="宋体" w:cs="宋体"/>
          <w:color w:val="auto"/>
          <w:spacing w:val="-3"/>
          <w:sz w:val="24"/>
          <w:szCs w:val="24"/>
          <w:highlight w:val="none"/>
        </w:rPr>
        <w:t>式评审</w:t>
      </w:r>
      <w:r>
        <w:rPr>
          <w:rFonts w:hint="eastAsia" w:ascii="宋体" w:hAnsi="宋体" w:eastAsia="宋体" w:cs="宋体"/>
          <w:color w:val="auto"/>
          <w:spacing w:val="-2"/>
          <w:sz w:val="24"/>
          <w:szCs w:val="24"/>
          <w:highlight w:val="none"/>
        </w:rPr>
        <w:t>环节。</w:t>
      </w:r>
    </w:p>
    <w:p w14:paraId="5BC7EF20">
      <w:pPr>
        <w:spacing w:before="34" w:line="360" w:lineRule="auto"/>
        <w:ind w:left="8" w:right="65" w:firstLine="492"/>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 xml:space="preserve">（1）有本章第三节第 </w:t>
      </w:r>
      <w:r>
        <w:rPr>
          <w:rFonts w:hint="eastAsia" w:ascii="宋体" w:hAnsi="宋体" w:eastAsia="宋体" w:cs="宋体"/>
          <w:b/>
          <w:bCs/>
          <w:color w:val="auto"/>
          <w:spacing w:val="-2"/>
          <w:sz w:val="24"/>
          <w:szCs w:val="24"/>
          <w:highlight w:val="none"/>
        </w:rPr>
        <w:t>2.4</w:t>
      </w:r>
      <w:r>
        <w:rPr>
          <w:rFonts w:hint="eastAsia" w:ascii="宋体" w:hAnsi="宋体" w:eastAsia="宋体" w:cs="宋体"/>
          <w:color w:val="auto"/>
          <w:spacing w:val="-2"/>
          <w:sz w:val="24"/>
          <w:szCs w:val="24"/>
          <w:highlight w:val="none"/>
        </w:rPr>
        <w:t xml:space="preserve"> 条“禁止投标条款 ”规定的任何一种情形；</w:t>
      </w:r>
    </w:p>
    <w:p w14:paraId="4DA3A82F">
      <w:pPr>
        <w:spacing w:before="34" w:line="360" w:lineRule="auto"/>
        <w:ind w:left="8" w:right="65" w:firstLine="492"/>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（2）投标人资质不符合规定的；</w:t>
      </w:r>
    </w:p>
    <w:p w14:paraId="337CC572">
      <w:pPr>
        <w:spacing w:before="34" w:line="360" w:lineRule="auto"/>
        <w:ind w:left="8" w:right="65" w:firstLine="492"/>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w:t>
      </w:r>
      <w:r>
        <w:rPr>
          <w:rFonts w:hint="eastAsia" w:ascii="宋体" w:hAnsi="宋体" w:eastAsia="宋体" w:cs="宋体"/>
          <w:color w:val="auto"/>
          <w:spacing w:val="-2"/>
          <w:sz w:val="24"/>
          <w:szCs w:val="24"/>
          <w:highlight w:val="none"/>
          <w:lang w:val="en-US" w:eastAsia="zh-CN"/>
        </w:rPr>
        <w:t xml:space="preserve">证（含实时网页查询页，可参考网址 https：//zlaq.mohurd.gov.cn </w:t>
      </w:r>
    </w:p>
    <w:p w14:paraId="666F344B">
      <w:pPr>
        <w:spacing w:before="34" w:line="360" w:lineRule="auto"/>
        <w:ind w:left="8" w:right="65" w:firstLine="492"/>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val="en-US" w:eastAsia="zh-CN"/>
        </w:rPr>
        <w:t>/fwmh/bjxcjgl/fwmh/pages/construction_safety/qyaqscxkz/qyaqscxk）被</w:t>
      </w:r>
      <w:r>
        <w:rPr>
          <w:rFonts w:hint="eastAsia" w:ascii="宋体" w:hAnsi="宋体" w:eastAsia="宋体" w:cs="宋体"/>
          <w:color w:val="auto"/>
          <w:spacing w:val="-2"/>
          <w:sz w:val="24"/>
          <w:szCs w:val="24"/>
          <w:highlight w:val="none"/>
        </w:rPr>
        <w:t>被吊销、暂扣或不在有效期内的；</w:t>
      </w:r>
    </w:p>
    <w:p w14:paraId="27B816BD">
      <w:pPr>
        <w:spacing w:before="153" w:line="360" w:lineRule="auto"/>
        <w:ind w:left="9" w:right="66"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注：投标人已经工商变更，但其企业资质证书、安全生产许可证</w:t>
      </w:r>
      <w:r>
        <w:rPr>
          <w:rFonts w:hint="eastAsia" w:ascii="宋体" w:hAnsi="宋体" w:eastAsia="宋体" w:cs="宋体"/>
          <w:b/>
          <w:bCs/>
          <w:color w:val="auto"/>
          <w:spacing w:val="-5"/>
          <w:sz w:val="24"/>
          <w:szCs w:val="24"/>
          <w:highlight w:val="none"/>
        </w:rPr>
        <w:t>的企业名称未完成</w:t>
      </w:r>
      <w:r>
        <w:rPr>
          <w:rFonts w:hint="eastAsia" w:ascii="宋体" w:hAnsi="宋体" w:eastAsia="宋体" w:cs="宋体"/>
          <w:b/>
          <w:bCs/>
          <w:color w:val="auto"/>
          <w:spacing w:val="-4"/>
          <w:sz w:val="24"/>
          <w:szCs w:val="24"/>
          <w:highlight w:val="none"/>
        </w:rPr>
        <w:t>变更的，不得否决其投标；投标人营业执照、资质证书、安全生产许可证之间登</w:t>
      </w:r>
      <w:r>
        <w:rPr>
          <w:rFonts w:hint="eastAsia" w:ascii="宋体" w:hAnsi="宋体" w:eastAsia="宋体" w:cs="宋体"/>
          <w:b/>
          <w:bCs/>
          <w:color w:val="auto"/>
          <w:spacing w:val="-5"/>
          <w:sz w:val="24"/>
          <w:szCs w:val="24"/>
          <w:highlight w:val="none"/>
        </w:rPr>
        <w:t>记的信</w:t>
      </w:r>
      <w:r>
        <w:rPr>
          <w:rFonts w:hint="eastAsia" w:ascii="宋体" w:hAnsi="宋体" w:eastAsia="宋体" w:cs="宋体"/>
          <w:b/>
          <w:bCs/>
          <w:color w:val="auto"/>
          <w:spacing w:val="-2"/>
          <w:sz w:val="24"/>
          <w:szCs w:val="24"/>
          <w:highlight w:val="none"/>
        </w:rPr>
        <w:t>息不一致，应当允许投标人澄清，不得直接否决其投</w:t>
      </w:r>
      <w:r>
        <w:rPr>
          <w:rFonts w:hint="eastAsia" w:ascii="宋体" w:hAnsi="宋体" w:eastAsia="宋体" w:cs="宋体"/>
          <w:b/>
          <w:bCs/>
          <w:color w:val="auto"/>
          <w:spacing w:val="-3"/>
          <w:sz w:val="24"/>
          <w:szCs w:val="24"/>
          <w:highlight w:val="none"/>
        </w:rPr>
        <w:t>标。</w:t>
      </w:r>
    </w:p>
    <w:p w14:paraId="2CFBA002">
      <w:pPr>
        <w:spacing w:before="32" w:line="360" w:lineRule="auto"/>
        <w:ind w:left="10" w:right="65" w:firstLine="490"/>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（4）拟派项目经理、项目技术负责人、专职安全员的条件不符合规定的；拟派专</w:t>
      </w:r>
      <w:r>
        <w:rPr>
          <w:rFonts w:hint="eastAsia" w:ascii="宋体" w:hAnsi="宋体" w:eastAsia="宋体" w:cs="宋体"/>
          <w:color w:val="auto"/>
          <w:spacing w:val="-2"/>
          <w:sz w:val="24"/>
          <w:szCs w:val="24"/>
          <w:highlight w:val="none"/>
        </w:rPr>
        <w:t>职安全员数量不符合规</w:t>
      </w:r>
      <w:r>
        <w:rPr>
          <w:rFonts w:hint="eastAsia" w:ascii="宋体" w:hAnsi="宋体" w:eastAsia="宋体" w:cs="宋体"/>
          <w:color w:val="auto"/>
          <w:spacing w:val="1"/>
          <w:sz w:val="24"/>
          <w:szCs w:val="24"/>
          <w:highlight w:val="none"/>
        </w:rPr>
        <w:t>定的；技术负责人未在投标文件《项目技术负责人简历表》中签</w:t>
      </w:r>
      <w:r>
        <w:rPr>
          <w:rFonts w:hint="eastAsia" w:ascii="宋体" w:hAnsi="宋体" w:eastAsia="宋体" w:cs="宋体"/>
          <w:color w:val="auto"/>
          <w:spacing w:val="1"/>
          <w:sz w:val="24"/>
          <w:szCs w:val="24"/>
          <w:highlight w:val="none"/>
          <w:lang w:eastAsia="zh-CN"/>
        </w:rPr>
        <w:t>字确认。</w:t>
      </w:r>
    </w:p>
    <w:p w14:paraId="2145D16E">
      <w:pPr>
        <w:spacing w:before="34" w:line="360" w:lineRule="auto"/>
        <w:ind w:left="8" w:right="65" w:firstLine="492"/>
        <w:jc w:val="both"/>
        <w:rPr>
          <w:rFonts w:hint="eastAsia" w:ascii="宋体" w:hAnsi="宋体" w:eastAsia="宋体" w:cs="宋体"/>
          <w:b/>
          <w:bCs/>
          <w:color w:val="auto"/>
          <w:spacing w:val="1"/>
          <w:sz w:val="24"/>
          <w:szCs w:val="24"/>
          <w:highlight w:val="none"/>
        </w:rPr>
      </w:pPr>
      <w:r>
        <w:rPr>
          <w:rFonts w:hint="eastAsia" w:ascii="宋体" w:hAnsi="宋体" w:eastAsia="宋体" w:cs="宋体"/>
          <w:b/>
          <w:bCs/>
          <w:color w:val="auto"/>
          <w:spacing w:val="1"/>
          <w:sz w:val="24"/>
          <w:szCs w:val="24"/>
          <w:highlight w:val="none"/>
          <w:lang w:val="en-US" w:eastAsia="zh-CN"/>
        </w:rPr>
        <w:t>温馨提示：建造师打印电子证书后，应在个人签名处手写本人签名，未手写签名或与签名图像笔迹不一致的，该电子证书无效。</w:t>
      </w:r>
    </w:p>
    <w:p w14:paraId="447728A2">
      <w:pPr>
        <w:spacing w:before="34" w:line="360" w:lineRule="auto"/>
        <w:ind w:left="8" w:right="65" w:firstLine="492"/>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（5）《项目经理简历表》中拟派项目经理与</w:t>
      </w:r>
      <w:r>
        <w:rPr>
          <w:rFonts w:hint="eastAsia" w:ascii="宋体" w:hAnsi="宋体" w:eastAsia="宋体" w:cs="宋体"/>
          <w:color w:val="auto"/>
          <w:spacing w:val="-2"/>
          <w:sz w:val="24"/>
          <w:szCs w:val="24"/>
          <w:highlight w:val="none"/>
        </w:rPr>
        <w:t>《开标一览表》不一致的；拟派的项目经理未在投标文件《项目经理简历表》中签字确认；一级建造师的注册证书不是国家住建部颁发的；二级建造师的电子注册证书不是省级住建厅颁发的；建造师的注册单位</w:t>
      </w:r>
      <w:r>
        <w:rPr>
          <w:rFonts w:hint="eastAsia" w:ascii="宋体" w:hAnsi="宋体" w:eastAsia="宋体" w:cs="宋体"/>
          <w:color w:val="auto"/>
          <w:spacing w:val="-8"/>
          <w:sz w:val="24"/>
          <w:szCs w:val="24"/>
          <w:highlight w:val="none"/>
        </w:rPr>
        <w:t>与投标人不一致的；项目管理班子组成人员的各类证书、证件、证明不在有效期内的（建造师注册证书不在使用有效期内的）；擅</w:t>
      </w:r>
      <w:r>
        <w:rPr>
          <w:rFonts w:hint="eastAsia" w:ascii="宋体" w:hAnsi="宋体" w:eastAsia="宋体" w:cs="宋体"/>
          <w:color w:val="auto"/>
          <w:spacing w:val="-2"/>
          <w:sz w:val="24"/>
          <w:szCs w:val="24"/>
          <w:highlight w:val="none"/>
        </w:rPr>
        <w:t>自修改、遗漏《项</w:t>
      </w:r>
      <w:r>
        <w:rPr>
          <w:rFonts w:hint="eastAsia" w:ascii="宋体" w:hAnsi="宋体" w:eastAsia="宋体" w:cs="宋体"/>
          <w:color w:val="auto"/>
          <w:spacing w:val="-3"/>
          <w:sz w:val="24"/>
          <w:szCs w:val="24"/>
          <w:highlight w:val="none"/>
        </w:rPr>
        <w:t>目经理任职声明》实质性内容的；</w:t>
      </w:r>
    </w:p>
    <w:p w14:paraId="69CDFCEF">
      <w:pPr>
        <w:spacing w:before="1" w:line="360" w:lineRule="auto"/>
        <w:ind w:left="28" w:right="66" w:firstLine="462"/>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注：投标人已经工商变更，但其员工执业资格注册证书的注册单</w:t>
      </w:r>
      <w:r>
        <w:rPr>
          <w:rFonts w:hint="eastAsia" w:ascii="宋体" w:hAnsi="宋体" w:eastAsia="宋体" w:cs="宋体"/>
          <w:b/>
          <w:bCs/>
          <w:color w:val="auto"/>
          <w:spacing w:val="-5"/>
          <w:sz w:val="24"/>
          <w:szCs w:val="24"/>
          <w:highlight w:val="none"/>
        </w:rPr>
        <w:t>位名称未完成变更的，不得否决其投标。</w:t>
      </w:r>
    </w:p>
    <w:p w14:paraId="6B4EB8EF">
      <w:pPr>
        <w:spacing w:before="1" w:line="360" w:lineRule="auto"/>
        <w:ind w:left="28" w:right="66" w:firstLine="462"/>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t>鉴于目前继续教育开展的实际情况，建筑和市政工程施工现场专业人员（例如：施</w:t>
      </w:r>
      <w:bookmarkStart w:id="146" w:name="bookmark139"/>
      <w:bookmarkEnd w:id="146"/>
      <w:r>
        <w:rPr>
          <w:rFonts w:hint="eastAsia" w:ascii="宋体" w:hAnsi="宋体" w:eastAsia="宋体" w:cs="宋体"/>
          <w:b/>
          <w:bCs/>
          <w:color w:val="auto"/>
          <w:spacing w:val="-4"/>
          <w:sz w:val="24"/>
          <w:szCs w:val="24"/>
          <w:highlight w:val="none"/>
        </w:rPr>
        <w:t>工员、质量员、材料员、资料员）的岗位证书或培训证书不审查其证书的有效期。</w:t>
      </w:r>
    </w:p>
    <w:p w14:paraId="73F9F6DF">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（6）招标文件规定不接受联合体投标，但以联合体投标的；</w:t>
      </w:r>
    </w:p>
    <w:p w14:paraId="63690B53">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w:t>
      </w:r>
      <w:r>
        <w:rPr>
          <w:rFonts w:hint="eastAsia" w:ascii="宋体" w:hAnsi="宋体" w:eastAsia="宋体" w:cs="宋体"/>
          <w:bCs/>
          <w:snapToGrid w:val="0"/>
          <w:color w:val="auto"/>
          <w:kern w:val="0"/>
          <w:sz w:val="24"/>
          <w:szCs w:val="24"/>
          <w:highlight w:val="none"/>
          <w:lang w:val="en-US" w:eastAsia="zh-CN"/>
        </w:rPr>
        <w:t>7</w:t>
      </w:r>
      <w:r>
        <w:rPr>
          <w:rFonts w:hint="eastAsia" w:ascii="宋体" w:hAnsi="宋体" w:eastAsia="宋体" w:cs="宋体"/>
          <w:bCs/>
          <w:snapToGrid w:val="0"/>
          <w:color w:val="auto"/>
          <w:kern w:val="0"/>
          <w:sz w:val="24"/>
          <w:szCs w:val="24"/>
          <w:highlight w:val="none"/>
        </w:rPr>
        <w:t>）投标人为外省建筑企业，但未提供“进粤企业和人员诚信信息登记平台 ”企业和拟派人员信息情况打印页或网页截图的。</w:t>
      </w:r>
    </w:p>
    <w:p w14:paraId="3D61A0D2">
      <w:pPr>
        <w:spacing w:before="154" w:line="360" w:lineRule="auto"/>
        <w:ind w:left="477"/>
        <w:outlineLvl w:val="2"/>
        <w:rPr>
          <w:rFonts w:hint="eastAsia" w:ascii="宋体" w:hAnsi="宋体" w:eastAsia="宋体" w:cs="宋体"/>
          <w:color w:val="auto"/>
          <w:sz w:val="24"/>
          <w:szCs w:val="24"/>
          <w:highlight w:val="none"/>
        </w:rPr>
      </w:pPr>
      <w:bookmarkStart w:id="147" w:name="_Toc2721"/>
      <w:bookmarkStart w:id="148" w:name="_Toc12644"/>
      <w:bookmarkStart w:id="149" w:name="_Toc29071"/>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lang w:eastAsia="zh-CN"/>
        </w:rPr>
        <w:t>.</w:t>
      </w:r>
      <w:r>
        <w:rPr>
          <w:rFonts w:hint="eastAsia" w:ascii="宋体" w:hAnsi="宋体" w:eastAsia="宋体" w:cs="宋体"/>
          <w:b/>
          <w:bCs/>
          <w:color w:val="auto"/>
          <w:spacing w:val="-7"/>
          <w:sz w:val="24"/>
          <w:szCs w:val="24"/>
          <w:highlight w:val="none"/>
        </w:rPr>
        <w:t>形式评审环节</w:t>
      </w:r>
      <w:bookmarkEnd w:id="147"/>
      <w:bookmarkEnd w:id="148"/>
      <w:bookmarkEnd w:id="149"/>
    </w:p>
    <w:p w14:paraId="3C324480">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投标人有下列情形之一的，评标委员会应否决其投标。被否决的投标人，不进入响应性评审环节。</w:t>
      </w:r>
    </w:p>
    <w:p w14:paraId="5FC398E9">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（1）各分册没按招标文件规定加盖电子印章；</w:t>
      </w:r>
    </w:p>
    <w:p w14:paraId="0B599191">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（2）本章第三节</w:t>
      </w:r>
      <w:r>
        <w:rPr>
          <w:rFonts w:hint="eastAsia" w:ascii="宋体" w:hAnsi="宋体" w:eastAsia="宋体" w:cs="宋体"/>
          <w:b/>
          <w:bCs w:val="0"/>
          <w:snapToGrid w:val="0"/>
          <w:color w:val="auto"/>
          <w:kern w:val="0"/>
          <w:sz w:val="24"/>
          <w:szCs w:val="24"/>
          <w:highlight w:val="none"/>
        </w:rPr>
        <w:t>第 10.2.2 目、第10.3.2 目、第 10.4.3 目</w:t>
      </w:r>
      <w:r>
        <w:rPr>
          <w:rFonts w:hint="eastAsia" w:ascii="宋体" w:hAnsi="宋体" w:eastAsia="宋体" w:cs="宋体"/>
          <w:bCs/>
          <w:snapToGrid w:val="0"/>
          <w:color w:val="auto"/>
          <w:kern w:val="0"/>
          <w:sz w:val="24"/>
          <w:szCs w:val="24"/>
          <w:highlight w:val="none"/>
        </w:rPr>
        <w:t>中规定的“所有投标人均应提供 ”的组成内容（包括该组成内容的所附资料）中，任何一项有缺漏的；</w:t>
      </w:r>
    </w:p>
    <w:p w14:paraId="30099811">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3）关键字迹模糊、无法辨认，且该种过错将导致评标委员会无法判断投标文件是否响应招标文件实质性要求的；有涂改、行间插字或删除，但未加盖单位章或由投标人的法定代表人或其委托代理人签字确认的；</w:t>
      </w:r>
    </w:p>
    <w:p w14:paraId="0C13693A">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（4）投标文件未按规定签字、盖章的。</w:t>
      </w:r>
    </w:p>
    <w:p w14:paraId="76C898EF">
      <w:pPr>
        <w:spacing w:before="227" w:line="360" w:lineRule="auto"/>
        <w:ind w:left="475"/>
        <w:outlineLvl w:val="2"/>
        <w:rPr>
          <w:rFonts w:hint="eastAsia" w:ascii="宋体" w:hAnsi="宋体" w:eastAsia="宋体" w:cs="宋体"/>
          <w:color w:val="auto"/>
          <w:sz w:val="24"/>
          <w:szCs w:val="24"/>
          <w:highlight w:val="none"/>
        </w:rPr>
      </w:pPr>
      <w:bookmarkStart w:id="150" w:name="_Toc4409"/>
      <w:bookmarkStart w:id="151" w:name="_Toc23230"/>
      <w:bookmarkStart w:id="152" w:name="_Toc26522"/>
      <w:r>
        <w:rPr>
          <w:rFonts w:hint="eastAsia" w:ascii="宋体" w:hAnsi="宋体" w:eastAsia="宋体" w:cs="宋体"/>
          <w:b/>
          <w:bCs/>
          <w:color w:val="auto"/>
          <w:spacing w:val="-6"/>
          <w:sz w:val="24"/>
          <w:szCs w:val="24"/>
          <w:highlight w:val="none"/>
        </w:rPr>
        <w:t>3</w:t>
      </w:r>
      <w:r>
        <w:rPr>
          <w:rFonts w:hint="eastAsia" w:ascii="宋体" w:hAnsi="宋体" w:eastAsia="宋体" w:cs="宋体"/>
          <w:b/>
          <w:bCs/>
          <w:color w:val="auto"/>
          <w:spacing w:val="-24"/>
          <w:sz w:val="24"/>
          <w:szCs w:val="24"/>
          <w:highlight w:val="none"/>
          <w:lang w:eastAsia="zh-CN"/>
        </w:rPr>
        <w:t>.</w:t>
      </w:r>
      <w:r>
        <w:rPr>
          <w:rFonts w:hint="eastAsia" w:ascii="宋体" w:hAnsi="宋体" w:eastAsia="宋体" w:cs="宋体"/>
          <w:b/>
          <w:bCs/>
          <w:color w:val="auto"/>
          <w:spacing w:val="-6"/>
          <w:sz w:val="24"/>
          <w:szCs w:val="24"/>
          <w:highlight w:val="none"/>
        </w:rPr>
        <w:t>响应性评审环节</w:t>
      </w:r>
      <w:bookmarkEnd w:id="150"/>
      <w:bookmarkEnd w:id="151"/>
      <w:bookmarkEnd w:id="152"/>
    </w:p>
    <w:p w14:paraId="196D2770">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投标人有下列情形之一的，评标委员会应否决其投标。被否决的投标人，不进入详细评审阶段。</w:t>
      </w:r>
    </w:p>
    <w:p w14:paraId="21BE2EB5">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（1）承诺的投标有效期短于规定的；质量标准低于规定的；工期超出规定的；擅自修改、遗漏《投标函》《各项承诺一览表》实质性内容的；</w:t>
      </w:r>
    </w:p>
    <w:p w14:paraId="73C90E43">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（2）编制《投标总价》的造价工程师，其注册证书不是住建部门颁发的；其注册单位与投标人（或造价咨询人）不一致的；其注册证书不在有效期内的。</w:t>
      </w:r>
    </w:p>
    <w:p w14:paraId="6F409A41">
      <w:pPr>
        <w:keepNext w:val="0"/>
        <w:keepLines w:val="0"/>
        <w:pageBreakBefore w:val="0"/>
        <w:widowControl w:val="0"/>
        <w:kinsoku w:val="0"/>
        <w:wordWrap/>
        <w:overflowPunct/>
        <w:topLinePunct w:val="0"/>
        <w:autoSpaceDE w:val="0"/>
        <w:autoSpaceDN w:val="0"/>
        <w:bidi w:val="0"/>
        <w:adjustRightInd w:val="0"/>
        <w:snapToGrid w:val="0"/>
        <w:spacing w:before="156" w:line="360" w:lineRule="auto"/>
        <w:ind w:right="200" w:firstLine="480"/>
        <w:jc w:val="both"/>
        <w:textAlignment w:val="baseline"/>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注：投标人（或造价咨询人）已经工商变更，但其员工的执业资格注</w:t>
      </w:r>
      <w:r>
        <w:rPr>
          <w:rFonts w:hint="eastAsia" w:ascii="宋体" w:hAnsi="宋体" w:eastAsia="宋体" w:cs="宋体"/>
          <w:b/>
          <w:bCs/>
          <w:color w:val="auto"/>
          <w:spacing w:val="-5"/>
          <w:sz w:val="24"/>
          <w:szCs w:val="24"/>
          <w:highlight w:val="none"/>
        </w:rPr>
        <w:t>册证书的注册单位名称未完成变更的，不得否决其投标。</w:t>
      </w:r>
    </w:p>
    <w:p w14:paraId="7201A6CB">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（3）投标人委托造价咨询单位编制《投标总价》，但未在《投标总价扉页》“投标人 ”栏目加盖造价咨询人公章的；未提供造价咨询人的营业执照副本彩色扫描件；</w:t>
      </w:r>
    </w:p>
    <w:p w14:paraId="2DF376BC">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4）出现两个或两个以上投标总价的（同一个投标总价大、小写不一致的除外）；投标总价超出最高投标限价的；绿色施工安全防护措施费少于规定的；暂列金额、暂估价未按照招标工程量清单统一报价的；投标总价下浮率超过15%，又未提供相应书面说明和佐证材料或提供的书面说明和佐证材料不能令人信服，被评标委员会认定以低于成本报价竞标的；擅自修改、增减招标工程量清单项目（包括措施项目）的；</w:t>
      </w:r>
    </w:p>
    <w:p w14:paraId="45EEEE01">
      <w:pPr>
        <w:keepNext w:val="0"/>
        <w:keepLines w:val="0"/>
        <w:pageBreakBefore w:val="0"/>
        <w:kinsoku/>
        <w:wordWrap w:val="0"/>
        <w:overflowPunct/>
        <w:topLinePunct w:val="0"/>
        <w:autoSpaceDE/>
        <w:autoSpaceDN/>
        <w:bidi w:val="0"/>
        <w:adjustRightInd w:val="0"/>
        <w:snapToGrid w:val="0"/>
        <w:spacing w:line="430" w:lineRule="exact"/>
        <w:ind w:firstLine="480"/>
        <w:rPr>
          <w:rFonts w:hint="eastAsia" w:ascii="宋体" w:hAnsi="宋体" w:eastAsia="宋体" w:cs="宋体"/>
          <w:b/>
          <w:bCs w:val="0"/>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（5）在施工组织设计评审中，评标委员会认定质量、进度保障措施与国家和省市现行有关规范、规定、标准有重大偏差，</w:t>
      </w:r>
      <w:r>
        <w:rPr>
          <w:rFonts w:hint="eastAsia" w:ascii="宋体" w:hAnsi="宋体" w:eastAsia="宋体" w:cs="宋体"/>
          <w:b/>
          <w:bCs w:val="0"/>
          <w:snapToGrid w:val="0"/>
          <w:color w:val="auto"/>
          <w:kern w:val="0"/>
          <w:sz w:val="24"/>
          <w:szCs w:val="24"/>
          <w:highlight w:val="none"/>
        </w:rPr>
        <w:t>且该种过错将导致工程质量、进度管理目标无法实现的。</w:t>
      </w:r>
    </w:p>
    <w:p w14:paraId="03E588C7">
      <w:pPr>
        <w:spacing w:before="151" w:line="360" w:lineRule="auto"/>
        <w:ind w:left="476"/>
        <w:outlineLvl w:val="2"/>
        <w:rPr>
          <w:rFonts w:hint="eastAsia" w:ascii="宋体" w:hAnsi="宋体" w:eastAsia="宋体" w:cs="宋体"/>
          <w:color w:val="auto"/>
          <w:sz w:val="24"/>
          <w:szCs w:val="24"/>
          <w:highlight w:val="none"/>
        </w:rPr>
      </w:pPr>
      <w:bookmarkStart w:id="153" w:name="_Toc21929"/>
      <w:bookmarkStart w:id="154" w:name="_Toc32585"/>
      <w:bookmarkStart w:id="155" w:name="_Toc29500"/>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29"/>
          <w:sz w:val="24"/>
          <w:szCs w:val="24"/>
          <w:highlight w:val="none"/>
          <w:lang w:eastAsia="zh-CN"/>
        </w:rPr>
        <w:t>.</w:t>
      </w:r>
      <w:r>
        <w:rPr>
          <w:rFonts w:hint="eastAsia" w:ascii="宋体" w:hAnsi="宋体" w:eastAsia="宋体" w:cs="宋体"/>
          <w:b/>
          <w:bCs/>
          <w:color w:val="auto"/>
          <w:spacing w:val="-11"/>
          <w:sz w:val="24"/>
          <w:szCs w:val="24"/>
          <w:highlight w:val="none"/>
        </w:rPr>
        <w:t>其他</w:t>
      </w:r>
      <w:bookmarkEnd w:id="153"/>
      <w:bookmarkEnd w:id="154"/>
      <w:bookmarkEnd w:id="155"/>
    </w:p>
    <w:p w14:paraId="142631E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在任何评标环节（或阶段），投标人有下列情形之一的，评标委员会应否决其投标。被否决的投标人，不进入下一环节（或阶段）。</w:t>
      </w:r>
    </w:p>
    <w:p w14:paraId="4961BB9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（1）不按评标委员会要求澄清、说明或补正的；</w:t>
      </w:r>
    </w:p>
    <w:p w14:paraId="1821FBB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（2）有下列情形之一，被评标委员会认定属于串通投标的：</w:t>
      </w:r>
    </w:p>
    <w:p w14:paraId="3A8DC5B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①不同投标人的投标文件两处以上（含两处）错、漏一致；</w:t>
      </w:r>
    </w:p>
    <w:p w14:paraId="211E3B6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②不同投标人的投标总价相近且各分项报价、综合单价分析表内容混乱不能相互对应、乱调乱压或乱抬的，而在询标时没有合理的解释或者不能提供计算依据和报价依据；</w:t>
      </w:r>
    </w:p>
    <w:p w14:paraId="77C4F9C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③不同投标人的投标各项报价存在异常一致或者呈规律性变化；</w:t>
      </w:r>
    </w:p>
    <w:p w14:paraId="4873331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④不同投标人的投标文件由同一单位或者同一个人编制；</w:t>
      </w:r>
    </w:p>
    <w:p w14:paraId="24126B0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⑤不同投标人的投标文件中投标资料（包括电子资料）相互混装或项目班子成员出现同一人；</w:t>
      </w:r>
    </w:p>
    <w:p w14:paraId="16CC44F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⑥不同投标人的投标文件由同一电脑编制或同一台附属设备打印，或投标报价用同一个预算编制软件密码锁制作或出自同一电子文档；</w:t>
      </w:r>
    </w:p>
    <w:p w14:paraId="61E875F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⑦不同投标人的投标保证由同一企业或同一账户资金缴纳；</w:t>
      </w:r>
    </w:p>
    <w:p w14:paraId="15D293D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⑧不同投标人委托同一个人或注册在同一家企业的注册人员或同一家企业为其投标提供投标咨询、商务报价、技术咨询（招标项目本身要求采用专有技术的除外）等服务。</w:t>
      </w:r>
    </w:p>
    <w:p w14:paraId="7C1BB095">
      <w:pPr>
        <w:rPr>
          <w:rFonts w:hint="eastAsia" w:ascii="宋体" w:hAnsi="宋体" w:eastAsia="宋体" w:cs="宋体"/>
          <w:b/>
          <w:bCs/>
          <w:color w:val="auto"/>
          <w:spacing w:val="-3"/>
          <w:sz w:val="24"/>
          <w:szCs w:val="24"/>
          <w:highlight w:val="none"/>
        </w:rPr>
      </w:pPr>
      <w:bookmarkStart w:id="156" w:name="bookmark57"/>
      <w:bookmarkEnd w:id="156"/>
      <w:bookmarkStart w:id="157" w:name="_Toc20000"/>
      <w:r>
        <w:rPr>
          <w:rFonts w:hint="eastAsia" w:ascii="宋体" w:hAnsi="宋体" w:eastAsia="宋体" w:cs="宋体"/>
          <w:b/>
          <w:bCs/>
          <w:color w:val="auto"/>
          <w:spacing w:val="-3"/>
          <w:sz w:val="24"/>
          <w:szCs w:val="24"/>
          <w:highlight w:val="none"/>
        </w:rPr>
        <w:br w:type="page"/>
      </w:r>
    </w:p>
    <w:p w14:paraId="14A35C89">
      <w:pPr>
        <w:spacing w:before="78" w:line="360" w:lineRule="auto"/>
        <w:jc w:val="center"/>
        <w:outlineLvl w:val="0"/>
        <w:rPr>
          <w:rFonts w:hint="eastAsia" w:ascii="宋体" w:hAnsi="宋体" w:eastAsia="宋体" w:cs="宋体"/>
          <w:b/>
          <w:bCs/>
          <w:color w:val="auto"/>
          <w:spacing w:val="-3"/>
          <w:sz w:val="32"/>
          <w:szCs w:val="32"/>
          <w:highlight w:val="none"/>
        </w:rPr>
      </w:pPr>
      <w:bookmarkStart w:id="158" w:name="_Toc15281"/>
      <w:r>
        <w:rPr>
          <w:rFonts w:hint="eastAsia" w:ascii="宋体" w:hAnsi="宋体" w:eastAsia="宋体" w:cs="宋体"/>
          <w:b/>
          <w:bCs/>
          <w:color w:val="auto"/>
          <w:spacing w:val="-3"/>
          <w:sz w:val="32"/>
          <w:szCs w:val="32"/>
          <w:highlight w:val="none"/>
        </w:rPr>
        <w:t>第二章</w:t>
      </w:r>
      <w:r>
        <w:rPr>
          <w:rFonts w:hint="eastAsia" w:ascii="宋体" w:hAnsi="宋体" w:eastAsia="宋体" w:cs="宋体"/>
          <w:b/>
          <w:bCs/>
          <w:color w:val="auto"/>
          <w:spacing w:val="-3"/>
          <w:sz w:val="32"/>
          <w:szCs w:val="32"/>
          <w:highlight w:val="none"/>
          <w:lang w:val="en-US" w:eastAsia="zh-CN"/>
        </w:rPr>
        <w:t xml:space="preserve">   </w:t>
      </w:r>
      <w:r>
        <w:rPr>
          <w:rFonts w:hint="eastAsia" w:ascii="宋体" w:hAnsi="宋体" w:eastAsia="宋体" w:cs="宋体"/>
          <w:b/>
          <w:bCs/>
          <w:color w:val="auto"/>
          <w:spacing w:val="-3"/>
          <w:sz w:val="32"/>
          <w:szCs w:val="32"/>
          <w:highlight w:val="none"/>
        </w:rPr>
        <w:t>中标人须知</w:t>
      </w:r>
      <w:bookmarkEnd w:id="157"/>
      <w:bookmarkEnd w:id="158"/>
    </w:p>
    <w:p w14:paraId="7ABB6E1B">
      <w:pPr>
        <w:keepNext w:val="0"/>
        <w:keepLines w:val="0"/>
        <w:pageBreakBefore w:val="0"/>
        <w:kinsoku w:val="0"/>
        <w:wordWrap/>
        <w:overflowPunct/>
        <w:topLinePunct w:val="0"/>
        <w:autoSpaceDE w:val="0"/>
        <w:autoSpaceDN w:val="0"/>
        <w:bidi w:val="0"/>
        <w:adjustRightInd w:val="0"/>
        <w:snapToGrid w:val="0"/>
        <w:spacing w:before="151" w:line="430" w:lineRule="exact"/>
        <w:ind w:left="476"/>
        <w:textAlignment w:val="baseline"/>
        <w:outlineLvl w:val="2"/>
        <w:rPr>
          <w:rFonts w:hint="eastAsia" w:ascii="宋体" w:hAnsi="宋体" w:eastAsia="宋体" w:cs="宋体"/>
          <w:b/>
          <w:bCs/>
          <w:color w:val="auto"/>
          <w:spacing w:val="-11"/>
          <w:sz w:val="24"/>
          <w:szCs w:val="24"/>
          <w:highlight w:val="none"/>
        </w:rPr>
      </w:pPr>
      <w:bookmarkStart w:id="159" w:name="_Toc3664"/>
      <w:bookmarkStart w:id="160" w:name="_Toc11992"/>
      <w:r>
        <w:rPr>
          <w:rFonts w:hint="eastAsia" w:ascii="宋体" w:hAnsi="宋体" w:eastAsia="宋体" w:cs="宋体"/>
          <w:b/>
          <w:bCs/>
          <w:color w:val="auto"/>
          <w:spacing w:val="-11"/>
          <w:sz w:val="24"/>
          <w:szCs w:val="24"/>
          <w:highlight w:val="none"/>
        </w:rPr>
        <w:t>1</w:t>
      </w:r>
      <w:r>
        <w:rPr>
          <w:rFonts w:hint="eastAsia" w:ascii="宋体" w:hAnsi="宋体" w:eastAsia="宋体" w:cs="宋体"/>
          <w:b/>
          <w:bCs/>
          <w:color w:val="auto"/>
          <w:spacing w:val="-11"/>
          <w:sz w:val="24"/>
          <w:szCs w:val="24"/>
          <w:highlight w:val="none"/>
          <w:lang w:eastAsia="zh-CN"/>
        </w:rPr>
        <w:t>.</w:t>
      </w:r>
      <w:r>
        <w:rPr>
          <w:rFonts w:hint="eastAsia" w:ascii="宋体" w:hAnsi="宋体" w:eastAsia="宋体" w:cs="宋体"/>
          <w:b/>
          <w:bCs/>
          <w:color w:val="auto"/>
          <w:spacing w:val="-11"/>
          <w:sz w:val="24"/>
          <w:szCs w:val="24"/>
          <w:highlight w:val="none"/>
        </w:rPr>
        <w:t>中标通知书</w:t>
      </w:r>
      <w:bookmarkEnd w:id="159"/>
      <w:bookmarkEnd w:id="160"/>
    </w:p>
    <w:p w14:paraId="08803ED5">
      <w:pPr>
        <w:keepNext w:val="0"/>
        <w:keepLines w:val="0"/>
        <w:pageBreakBefore w:val="0"/>
        <w:kinsoku w:val="0"/>
        <w:wordWrap/>
        <w:overflowPunct/>
        <w:topLinePunct w:val="0"/>
        <w:autoSpaceDE w:val="0"/>
        <w:autoSpaceDN w:val="0"/>
        <w:bidi w:val="0"/>
        <w:adjustRightInd w:val="0"/>
        <w:snapToGrid w:val="0"/>
        <w:spacing w:before="152" w:line="430" w:lineRule="exact"/>
        <w:ind w:left="17" w:firstLine="559"/>
        <w:jc w:val="both"/>
        <w:textAlignment w:val="baseline"/>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招标人确定第一中标候选人为中标人，并在中标人确定之日起7日内向中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14:paraId="519103F5">
      <w:pPr>
        <w:keepNext w:val="0"/>
        <w:keepLines w:val="0"/>
        <w:pageBreakBefore w:val="0"/>
        <w:kinsoku w:val="0"/>
        <w:wordWrap/>
        <w:overflowPunct/>
        <w:topLinePunct w:val="0"/>
        <w:autoSpaceDE w:val="0"/>
        <w:autoSpaceDN w:val="0"/>
        <w:bidi w:val="0"/>
        <w:adjustRightInd w:val="0"/>
        <w:snapToGrid w:val="0"/>
        <w:spacing w:before="151" w:line="430" w:lineRule="exact"/>
        <w:ind w:left="476"/>
        <w:textAlignment w:val="baseline"/>
        <w:outlineLvl w:val="2"/>
        <w:rPr>
          <w:rFonts w:hint="eastAsia" w:ascii="宋体" w:hAnsi="宋体" w:eastAsia="宋体" w:cs="宋体"/>
          <w:b/>
          <w:bCs/>
          <w:color w:val="auto"/>
          <w:spacing w:val="-11"/>
          <w:sz w:val="24"/>
          <w:szCs w:val="24"/>
          <w:highlight w:val="none"/>
        </w:rPr>
      </w:pPr>
      <w:bookmarkStart w:id="161" w:name="_Toc7161"/>
      <w:bookmarkStart w:id="162" w:name="_Toc11553"/>
      <w:r>
        <w:rPr>
          <w:rFonts w:hint="eastAsia" w:ascii="宋体" w:hAnsi="宋体" w:eastAsia="宋体" w:cs="宋体"/>
          <w:b/>
          <w:bCs/>
          <w:color w:val="auto"/>
          <w:spacing w:val="-11"/>
          <w:sz w:val="24"/>
          <w:szCs w:val="24"/>
          <w:highlight w:val="none"/>
        </w:rPr>
        <w:t>2</w:t>
      </w:r>
      <w:r>
        <w:rPr>
          <w:rFonts w:hint="eastAsia" w:ascii="宋体" w:hAnsi="宋体" w:eastAsia="宋体" w:cs="宋体"/>
          <w:b/>
          <w:bCs/>
          <w:color w:val="auto"/>
          <w:spacing w:val="-11"/>
          <w:sz w:val="24"/>
          <w:szCs w:val="24"/>
          <w:highlight w:val="none"/>
          <w:lang w:eastAsia="zh-CN"/>
        </w:rPr>
        <w:t>.</w:t>
      </w:r>
      <w:r>
        <w:rPr>
          <w:rFonts w:hint="eastAsia" w:ascii="宋体" w:hAnsi="宋体" w:eastAsia="宋体" w:cs="宋体"/>
          <w:b/>
          <w:bCs/>
          <w:color w:val="auto"/>
          <w:spacing w:val="-11"/>
          <w:sz w:val="24"/>
          <w:szCs w:val="24"/>
          <w:highlight w:val="none"/>
        </w:rPr>
        <w:t>中标结果公示</w:t>
      </w:r>
      <w:bookmarkEnd w:id="161"/>
      <w:bookmarkEnd w:id="162"/>
    </w:p>
    <w:p w14:paraId="6C50706A">
      <w:pPr>
        <w:keepNext w:val="0"/>
        <w:keepLines w:val="0"/>
        <w:pageBreakBefore w:val="0"/>
        <w:kinsoku w:val="0"/>
        <w:wordWrap/>
        <w:overflowPunct/>
        <w:topLinePunct w:val="0"/>
        <w:autoSpaceDE w:val="0"/>
        <w:autoSpaceDN w:val="0"/>
        <w:bidi w:val="0"/>
        <w:adjustRightInd w:val="0"/>
        <w:snapToGrid w:val="0"/>
        <w:spacing w:before="152" w:line="430" w:lineRule="exact"/>
        <w:ind w:left="17" w:firstLine="559"/>
        <w:jc w:val="both"/>
        <w:textAlignment w:val="baseline"/>
        <w:rPr>
          <w:rFonts w:hint="eastAsia" w:ascii="宋体" w:hAnsi="宋体" w:eastAsia="宋体" w:cs="宋体"/>
          <w:color w:val="auto"/>
          <w:highlight w:val="none"/>
        </w:rPr>
      </w:pPr>
      <w:r>
        <w:rPr>
          <w:rFonts w:hint="eastAsia" w:ascii="宋体" w:hAnsi="宋体" w:eastAsia="宋体" w:cs="宋体"/>
          <w:color w:val="auto"/>
          <w:spacing w:val="-3"/>
          <w:sz w:val="24"/>
          <w:szCs w:val="24"/>
          <w:highlight w:val="none"/>
        </w:rPr>
        <w:t>中标通知书发出后15日内，招标人应将中标结果在广东省招标投标监管网（</w:t>
      </w:r>
      <w:r>
        <w:rPr>
          <w:rFonts w:hint="eastAsia" w:ascii="宋体" w:hAnsi="宋体" w:eastAsia="宋体" w:cs="宋体"/>
          <w:color w:val="auto"/>
          <w:spacing w:val="-3"/>
          <w:sz w:val="24"/>
          <w:szCs w:val="24"/>
          <w:highlight w:val="none"/>
          <w:lang w:eastAsia="zh-CN"/>
        </w:rPr>
        <w:t>https://www.gdzwfw.gov.cn/ztbjg-portal/#/index</w:t>
      </w:r>
      <w:r>
        <w:rPr>
          <w:rFonts w:hint="eastAsia" w:ascii="宋体" w:hAnsi="宋体" w:eastAsia="宋体" w:cs="宋体"/>
          <w:color w:val="auto"/>
          <w:spacing w:val="-3"/>
          <w:sz w:val="24"/>
          <w:szCs w:val="24"/>
          <w:highlight w:val="none"/>
        </w:rPr>
        <w:t>）及全国公共资源交易平台（广东省·韶关市）（https://ygp.gdzwfw.gov.cn/ggzy-portal/#/440200/index）进行公示。</w:t>
      </w:r>
    </w:p>
    <w:p w14:paraId="182CD1E0">
      <w:pPr>
        <w:keepNext w:val="0"/>
        <w:keepLines w:val="0"/>
        <w:pageBreakBefore w:val="0"/>
        <w:kinsoku w:val="0"/>
        <w:wordWrap/>
        <w:overflowPunct/>
        <w:topLinePunct w:val="0"/>
        <w:autoSpaceDE w:val="0"/>
        <w:autoSpaceDN w:val="0"/>
        <w:bidi w:val="0"/>
        <w:adjustRightInd w:val="0"/>
        <w:snapToGrid w:val="0"/>
        <w:spacing w:before="151" w:line="430" w:lineRule="exact"/>
        <w:ind w:left="476"/>
        <w:textAlignment w:val="baseline"/>
        <w:outlineLvl w:val="2"/>
        <w:rPr>
          <w:rFonts w:hint="eastAsia" w:ascii="宋体" w:hAnsi="宋体" w:eastAsia="宋体" w:cs="宋体"/>
          <w:b/>
          <w:bCs/>
          <w:color w:val="auto"/>
          <w:spacing w:val="-11"/>
          <w:sz w:val="24"/>
          <w:szCs w:val="24"/>
          <w:highlight w:val="none"/>
        </w:rPr>
      </w:pPr>
      <w:bookmarkStart w:id="163" w:name="_Toc15464"/>
      <w:bookmarkStart w:id="164" w:name="_Toc16915"/>
      <w:r>
        <w:rPr>
          <w:rFonts w:hint="eastAsia" w:ascii="宋体" w:hAnsi="宋体" w:eastAsia="宋体" w:cs="宋体"/>
          <w:b/>
          <w:bCs/>
          <w:color w:val="auto"/>
          <w:spacing w:val="-11"/>
          <w:sz w:val="24"/>
          <w:szCs w:val="24"/>
          <w:highlight w:val="none"/>
        </w:rPr>
        <w:t>3</w:t>
      </w:r>
      <w:r>
        <w:rPr>
          <w:rFonts w:hint="eastAsia" w:ascii="宋体" w:hAnsi="宋体" w:eastAsia="宋体" w:cs="宋体"/>
          <w:b/>
          <w:bCs/>
          <w:color w:val="auto"/>
          <w:spacing w:val="-11"/>
          <w:sz w:val="24"/>
          <w:szCs w:val="24"/>
          <w:highlight w:val="none"/>
          <w:lang w:eastAsia="zh-CN"/>
        </w:rPr>
        <w:t>.</w:t>
      </w:r>
      <w:r>
        <w:rPr>
          <w:rFonts w:hint="eastAsia" w:ascii="宋体" w:hAnsi="宋体" w:eastAsia="宋体" w:cs="宋体"/>
          <w:b/>
          <w:bCs/>
          <w:color w:val="auto"/>
          <w:spacing w:val="-11"/>
          <w:sz w:val="24"/>
          <w:szCs w:val="24"/>
          <w:highlight w:val="none"/>
        </w:rPr>
        <w:t>履约保证</w:t>
      </w:r>
      <w:bookmarkEnd w:id="163"/>
      <w:bookmarkEnd w:id="164"/>
    </w:p>
    <w:p w14:paraId="624914C2">
      <w:pPr>
        <w:keepNext w:val="0"/>
        <w:keepLines w:val="0"/>
        <w:pageBreakBefore w:val="0"/>
        <w:widowControl/>
        <w:kinsoku w:val="0"/>
        <w:wordWrap/>
        <w:overflowPunct/>
        <w:topLinePunct w:val="0"/>
        <w:autoSpaceDE w:val="0"/>
        <w:autoSpaceDN w:val="0"/>
        <w:bidi w:val="0"/>
        <w:adjustRightInd w:val="0"/>
        <w:snapToGrid w:val="0"/>
        <w:spacing w:before="153" w:line="430" w:lineRule="exact"/>
        <w:ind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b/>
          <w:bCs/>
          <w:color w:val="auto"/>
          <w:spacing w:val="17"/>
          <w:sz w:val="24"/>
          <w:szCs w:val="24"/>
          <w:highlight w:val="none"/>
        </w:rPr>
        <w:t xml:space="preserve"> </w:t>
      </w:r>
      <w:r>
        <w:rPr>
          <w:rFonts w:hint="eastAsia" w:ascii="宋体" w:hAnsi="宋体" w:eastAsia="宋体" w:cs="宋体"/>
          <w:color w:val="auto"/>
          <w:spacing w:val="-3"/>
          <w:sz w:val="24"/>
          <w:szCs w:val="24"/>
          <w:highlight w:val="none"/>
        </w:rPr>
        <w:t>中标人须在领取中标通知书之日起</w:t>
      </w:r>
      <w:r>
        <w:rPr>
          <w:rFonts w:hint="eastAsia" w:ascii="宋体" w:hAnsi="宋体" w:eastAsia="宋体" w:cs="宋体"/>
          <w:color w:val="auto"/>
          <w:spacing w:val="-3"/>
          <w:sz w:val="24"/>
          <w:szCs w:val="24"/>
          <w:highlight w:val="none"/>
          <w:u w:val="single"/>
          <w:lang w:val="en-US" w:eastAsia="zh-CN"/>
        </w:rPr>
        <w:t xml:space="preserve"> 10 </w:t>
      </w:r>
      <w:r>
        <w:rPr>
          <w:rFonts w:hint="eastAsia" w:ascii="宋体" w:hAnsi="宋体" w:eastAsia="宋体" w:cs="宋体"/>
          <w:color w:val="auto"/>
          <w:spacing w:val="-3"/>
          <w:sz w:val="24"/>
          <w:szCs w:val="24"/>
          <w:highlight w:val="none"/>
        </w:rPr>
        <w:t>个工作日内、签订合同前向招标人提交金额</w:t>
      </w:r>
      <w:r>
        <w:rPr>
          <w:rFonts w:hint="eastAsia" w:ascii="宋体" w:hAnsi="宋体" w:eastAsia="宋体" w:cs="宋体"/>
          <w:color w:val="auto"/>
          <w:spacing w:val="-1"/>
          <w:position w:val="2"/>
          <w:sz w:val="24"/>
          <w:szCs w:val="24"/>
          <w:highlight w:val="none"/>
        </w:rPr>
        <w:t>为中标价</w:t>
      </w:r>
      <w:r>
        <w:rPr>
          <w:rFonts w:hint="eastAsia" w:ascii="宋体" w:hAnsi="宋体" w:eastAsia="宋体" w:cs="宋体"/>
          <w:color w:val="auto"/>
          <w:spacing w:val="-1"/>
          <w:position w:val="2"/>
          <w:sz w:val="24"/>
          <w:szCs w:val="24"/>
          <w:highlight w:val="none"/>
          <w:u w:val="single"/>
          <w:lang w:val="en-US" w:eastAsia="zh-CN"/>
        </w:rPr>
        <w:t xml:space="preserve"> 3</w:t>
      </w:r>
      <w:r>
        <w:rPr>
          <w:rFonts w:hint="eastAsia" w:ascii="宋体" w:hAnsi="宋体" w:eastAsia="宋体" w:cs="宋体"/>
          <w:color w:val="auto"/>
          <w:spacing w:val="-1"/>
          <w:position w:val="2"/>
          <w:sz w:val="24"/>
          <w:szCs w:val="24"/>
          <w:highlight w:val="none"/>
          <w:u w:val="single"/>
        </w:rPr>
        <w:t>%</w:t>
      </w:r>
      <w:r>
        <w:rPr>
          <w:rFonts w:hint="eastAsia" w:ascii="宋体" w:hAnsi="宋体" w:eastAsia="宋体" w:cs="宋体"/>
          <w:color w:val="auto"/>
          <w:spacing w:val="-1"/>
          <w:position w:val="2"/>
          <w:sz w:val="24"/>
          <w:szCs w:val="24"/>
          <w:highlight w:val="none"/>
          <w:u w:val="single"/>
          <w:lang w:val="en-US" w:eastAsia="zh-CN"/>
        </w:rPr>
        <w:t xml:space="preserve"> </w:t>
      </w:r>
      <w:r>
        <w:rPr>
          <w:rFonts w:hint="eastAsia" w:ascii="宋体" w:hAnsi="宋体" w:eastAsia="宋体" w:cs="宋体"/>
          <w:color w:val="auto"/>
          <w:spacing w:val="-1"/>
          <w:position w:val="2"/>
          <w:sz w:val="24"/>
          <w:szCs w:val="24"/>
          <w:highlight w:val="none"/>
        </w:rPr>
        <w:t>的履约保证。</w:t>
      </w:r>
    </w:p>
    <w:p w14:paraId="77A3437C">
      <w:pPr>
        <w:keepNext w:val="0"/>
        <w:keepLines w:val="0"/>
        <w:pageBreakBefore w:val="0"/>
        <w:widowControl w:val="0"/>
        <w:kinsoku w:val="0"/>
        <w:wordWrap/>
        <w:overflowPunct/>
        <w:topLinePunct w:val="0"/>
        <w:autoSpaceDE w:val="0"/>
        <w:autoSpaceDN w:val="0"/>
        <w:bidi w:val="0"/>
        <w:adjustRightInd w:val="0"/>
        <w:snapToGrid w:val="0"/>
        <w:spacing w:before="89" w:line="430" w:lineRule="exact"/>
        <w:ind w:left="12" w:right="108" w:firstLine="473"/>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3.2</w:t>
      </w:r>
      <w:r>
        <w:rPr>
          <w:rFonts w:hint="eastAsia" w:ascii="宋体" w:hAnsi="宋体" w:eastAsia="宋体" w:cs="宋体"/>
          <w:b/>
          <w:bCs/>
          <w:color w:val="auto"/>
          <w:spacing w:val="1"/>
          <w:sz w:val="24"/>
          <w:szCs w:val="24"/>
          <w:highlight w:val="none"/>
          <w:lang w:val="en-US" w:eastAsia="zh-CN"/>
        </w:rPr>
        <w:t xml:space="preserve"> </w:t>
      </w:r>
      <w:r>
        <w:rPr>
          <w:rFonts w:hint="eastAsia" w:ascii="宋体" w:hAnsi="宋体" w:eastAsia="宋体" w:cs="宋体"/>
          <w:color w:val="auto"/>
          <w:spacing w:val="-1"/>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rPr>
        <w:t>。商业保函、银行保函或保险合同（或保险单）的</w:t>
      </w:r>
      <w:r>
        <w:rPr>
          <w:rFonts w:hint="eastAsia" w:ascii="宋体" w:hAnsi="宋体" w:eastAsia="宋体" w:cs="宋体"/>
          <w:color w:val="auto"/>
          <w:spacing w:val="-1"/>
          <w:sz w:val="24"/>
          <w:szCs w:val="24"/>
          <w:highlight w:val="none"/>
        </w:rPr>
        <w:t>有效期应当自合同生效之日起至项目通过竣工验收之日后</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
          <w:sz w:val="24"/>
          <w:szCs w:val="24"/>
          <w:highlight w:val="none"/>
        </w:rPr>
        <w:t>28 天止。</w:t>
      </w:r>
    </w:p>
    <w:p w14:paraId="31D980E2">
      <w:pPr>
        <w:keepNext w:val="0"/>
        <w:keepLines w:val="0"/>
        <w:pageBreakBefore w:val="0"/>
        <w:widowControl w:val="0"/>
        <w:kinsoku w:val="0"/>
        <w:wordWrap/>
        <w:overflowPunct/>
        <w:topLinePunct w:val="0"/>
        <w:autoSpaceDE w:val="0"/>
        <w:autoSpaceDN w:val="0"/>
        <w:bidi w:val="0"/>
        <w:adjustRightInd w:val="0"/>
        <w:snapToGrid w:val="0"/>
        <w:spacing w:before="145" w:line="430" w:lineRule="exact"/>
        <w:ind w:left="12" w:right="108" w:firstLine="47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3.3</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4"/>
          <w:sz w:val="24"/>
          <w:szCs w:val="24"/>
          <w:highlight w:val="none"/>
        </w:rPr>
        <w:t>中标人在领取中标通知书之日起10个工</w:t>
      </w:r>
      <w:r>
        <w:rPr>
          <w:rFonts w:hint="eastAsia" w:ascii="宋体" w:hAnsi="宋体" w:eastAsia="宋体" w:cs="宋体"/>
          <w:color w:val="auto"/>
          <w:spacing w:val="-5"/>
          <w:sz w:val="24"/>
          <w:szCs w:val="24"/>
          <w:highlight w:val="none"/>
        </w:rPr>
        <w:t>作日内仍未提交履约保证的，招标人发</w:t>
      </w:r>
      <w:r>
        <w:rPr>
          <w:rFonts w:hint="eastAsia" w:ascii="宋体" w:hAnsi="宋体" w:eastAsia="宋体" w:cs="宋体"/>
          <w:color w:val="auto"/>
          <w:spacing w:val="1"/>
          <w:sz w:val="24"/>
          <w:szCs w:val="24"/>
          <w:highlight w:val="none"/>
        </w:rPr>
        <w:t>出第一次提醒函；在领取中标通知书之日起15个工作日内仍未提交的</w:t>
      </w:r>
      <w:r>
        <w:rPr>
          <w:rFonts w:hint="eastAsia" w:ascii="宋体" w:hAnsi="宋体" w:eastAsia="宋体" w:cs="宋体"/>
          <w:color w:val="auto"/>
          <w:sz w:val="24"/>
          <w:szCs w:val="24"/>
          <w:highlight w:val="none"/>
        </w:rPr>
        <w:t>，招标人发出第</w:t>
      </w:r>
      <w:r>
        <w:rPr>
          <w:rFonts w:hint="eastAsia" w:ascii="宋体" w:hAnsi="宋体" w:eastAsia="宋体" w:cs="宋体"/>
          <w:color w:val="auto"/>
          <w:spacing w:val="1"/>
          <w:sz w:val="24"/>
          <w:szCs w:val="24"/>
          <w:highlight w:val="none"/>
        </w:rPr>
        <w:t>二次提醒函；在领取中标通知书之日起20个工作日内仍未提交的，视其放弃中标。并</w:t>
      </w:r>
      <w:r>
        <w:rPr>
          <w:rFonts w:hint="eastAsia"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rPr>
        <w:t>保函、银行保函或保险合同。</w:t>
      </w:r>
    </w:p>
    <w:p w14:paraId="638D6BC2">
      <w:pPr>
        <w:keepNext w:val="0"/>
        <w:keepLines w:val="0"/>
        <w:pageBreakBefore w:val="0"/>
        <w:widowControl w:val="0"/>
        <w:kinsoku w:val="0"/>
        <w:wordWrap/>
        <w:overflowPunct/>
        <w:topLinePunct w:val="0"/>
        <w:autoSpaceDE w:val="0"/>
        <w:autoSpaceDN w:val="0"/>
        <w:bidi w:val="0"/>
        <w:adjustRightInd w:val="0"/>
        <w:snapToGrid w:val="0"/>
        <w:spacing w:before="152" w:line="430" w:lineRule="exact"/>
        <w:ind w:left="12" w:right="108" w:firstLine="47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3.4 </w:t>
      </w:r>
      <w:r>
        <w:rPr>
          <w:rFonts w:hint="eastAsia" w:ascii="宋体" w:hAnsi="宋体" w:eastAsia="宋体" w:cs="宋体"/>
          <w:color w:val="auto"/>
          <w:sz w:val="24"/>
          <w:szCs w:val="24"/>
          <w:highlight w:val="none"/>
        </w:rPr>
        <w:t>在工程实施过程中，如果承包人（即招标阶段的中标人，下同）由于自身的资</w:t>
      </w:r>
      <w:r>
        <w:rPr>
          <w:rFonts w:hint="eastAsia" w:ascii="宋体" w:hAnsi="宋体" w:eastAsia="宋体" w:cs="宋体"/>
          <w:color w:val="auto"/>
          <w:spacing w:val="-2"/>
          <w:sz w:val="24"/>
          <w:szCs w:val="24"/>
          <w:highlight w:val="none"/>
        </w:rPr>
        <w:t>金、技术、质量、非不可抗力等原因给发包人（即招标阶段的招标人，下同）造成经济</w:t>
      </w:r>
      <w:r>
        <w:rPr>
          <w:rFonts w:hint="eastAsia" w:ascii="宋体" w:hAnsi="宋体" w:eastAsia="宋体" w:cs="宋体"/>
          <w:color w:val="auto"/>
          <w:spacing w:val="-1"/>
          <w:sz w:val="24"/>
          <w:szCs w:val="24"/>
          <w:highlight w:val="none"/>
        </w:rPr>
        <w:t>损失，发包人有权扣划相应金额的履约保证。</w:t>
      </w:r>
    </w:p>
    <w:p w14:paraId="757A2757">
      <w:pPr>
        <w:keepNext w:val="0"/>
        <w:keepLines w:val="0"/>
        <w:pageBreakBefore w:val="0"/>
        <w:widowControl w:val="0"/>
        <w:kinsoku w:val="0"/>
        <w:wordWrap/>
        <w:overflowPunct/>
        <w:topLinePunct w:val="0"/>
        <w:autoSpaceDE w:val="0"/>
        <w:autoSpaceDN w:val="0"/>
        <w:bidi w:val="0"/>
        <w:adjustRightInd w:val="0"/>
        <w:snapToGrid w:val="0"/>
        <w:spacing w:before="154" w:line="430" w:lineRule="exact"/>
        <w:ind w:left="486"/>
        <w:textAlignment w:val="baseline"/>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 xml:space="preserve">3.5 </w:t>
      </w:r>
      <w:r>
        <w:rPr>
          <w:rFonts w:hint="eastAsia" w:ascii="宋体" w:hAnsi="宋体" w:eastAsia="宋体" w:cs="宋体"/>
          <w:color w:val="auto"/>
          <w:sz w:val="24"/>
          <w:szCs w:val="24"/>
          <w:highlight w:val="none"/>
        </w:rPr>
        <w:t>项目通过竣工验收之日后</w:t>
      </w:r>
      <w:r>
        <w:rPr>
          <w:rFonts w:hint="eastAsia" w:ascii="宋体" w:hAnsi="宋体" w:eastAsia="宋体" w:cs="宋体"/>
          <w:color w:val="auto"/>
          <w:spacing w:val="-55"/>
          <w:sz w:val="24"/>
          <w:szCs w:val="24"/>
          <w:highlight w:val="none"/>
          <w:u w:val="single"/>
        </w:rPr>
        <w:t xml:space="preserve"> </w:t>
      </w:r>
      <w:r>
        <w:rPr>
          <w:rFonts w:hint="eastAsia" w:ascii="宋体" w:hAnsi="宋体" w:eastAsia="宋体" w:cs="宋体"/>
          <w:color w:val="auto"/>
          <w:sz w:val="24"/>
          <w:szCs w:val="24"/>
          <w:highlight w:val="none"/>
          <w:u w:val="single"/>
        </w:rPr>
        <w:t xml:space="preserve">28 </w:t>
      </w:r>
      <w:r>
        <w:rPr>
          <w:rFonts w:hint="eastAsia" w:ascii="宋体" w:hAnsi="宋体" w:eastAsia="宋体" w:cs="宋体"/>
          <w:color w:val="auto"/>
          <w:sz w:val="24"/>
          <w:szCs w:val="24"/>
          <w:highlight w:val="none"/>
        </w:rPr>
        <w:t>天内，发包人将履</w:t>
      </w:r>
      <w:r>
        <w:rPr>
          <w:rFonts w:hint="eastAsia" w:ascii="宋体" w:hAnsi="宋体" w:eastAsia="宋体" w:cs="宋体"/>
          <w:color w:val="auto"/>
          <w:spacing w:val="-1"/>
          <w:sz w:val="24"/>
          <w:szCs w:val="24"/>
          <w:highlight w:val="none"/>
        </w:rPr>
        <w:t>约保证退还给承包人。</w:t>
      </w:r>
    </w:p>
    <w:p w14:paraId="059718AD">
      <w:pPr>
        <w:keepNext w:val="0"/>
        <w:keepLines w:val="0"/>
        <w:pageBreakBefore w:val="0"/>
        <w:kinsoku w:val="0"/>
        <w:wordWrap/>
        <w:overflowPunct/>
        <w:topLinePunct w:val="0"/>
        <w:autoSpaceDE w:val="0"/>
        <w:autoSpaceDN w:val="0"/>
        <w:bidi w:val="0"/>
        <w:adjustRightInd w:val="0"/>
        <w:snapToGrid w:val="0"/>
        <w:spacing w:before="151" w:line="430" w:lineRule="exact"/>
        <w:ind w:left="476"/>
        <w:textAlignment w:val="baseline"/>
        <w:outlineLvl w:val="2"/>
        <w:rPr>
          <w:rFonts w:hint="eastAsia" w:ascii="宋体" w:hAnsi="宋体" w:eastAsia="宋体" w:cs="宋体"/>
          <w:b/>
          <w:bCs/>
          <w:color w:val="auto"/>
          <w:spacing w:val="-11"/>
          <w:sz w:val="24"/>
          <w:szCs w:val="24"/>
          <w:highlight w:val="none"/>
        </w:rPr>
      </w:pPr>
      <w:bookmarkStart w:id="165" w:name="_Toc20161"/>
      <w:bookmarkStart w:id="166" w:name="_Toc8851"/>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11"/>
          <w:sz w:val="24"/>
          <w:szCs w:val="24"/>
          <w:highlight w:val="none"/>
          <w:lang w:eastAsia="zh-CN"/>
        </w:rPr>
        <w:t>.</w:t>
      </w:r>
      <w:r>
        <w:rPr>
          <w:rFonts w:hint="eastAsia" w:ascii="宋体" w:hAnsi="宋体" w:eastAsia="宋体" w:cs="宋体"/>
          <w:b/>
          <w:bCs/>
          <w:color w:val="auto"/>
          <w:spacing w:val="-11"/>
          <w:sz w:val="24"/>
          <w:szCs w:val="24"/>
          <w:highlight w:val="none"/>
        </w:rPr>
        <w:t>合同订立</w:t>
      </w:r>
      <w:bookmarkEnd w:id="165"/>
      <w:bookmarkEnd w:id="166"/>
    </w:p>
    <w:p w14:paraId="067C291F">
      <w:pPr>
        <w:keepNext w:val="0"/>
        <w:keepLines w:val="0"/>
        <w:pageBreakBefore w:val="0"/>
        <w:kinsoku w:val="0"/>
        <w:wordWrap/>
        <w:overflowPunct/>
        <w:topLinePunct w:val="0"/>
        <w:autoSpaceDE w:val="0"/>
        <w:autoSpaceDN w:val="0"/>
        <w:bidi w:val="0"/>
        <w:adjustRightInd w:val="0"/>
        <w:snapToGrid w:val="0"/>
        <w:spacing w:before="150" w:line="430" w:lineRule="exact"/>
        <w:ind w:left="13" w:right="108" w:firstLine="47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color w:val="auto"/>
          <w:sz w:val="24"/>
          <w:szCs w:val="24"/>
          <w:highlight w:val="none"/>
        </w:rPr>
        <w:t>招标人应当自中标通知书发出之日起</w:t>
      </w:r>
      <w:r>
        <w:rPr>
          <w:rFonts w:hint="eastAsia" w:ascii="宋体" w:hAnsi="宋体" w:eastAsia="宋体" w:cs="宋体"/>
          <w:color w:val="auto"/>
          <w:sz w:val="24"/>
          <w:szCs w:val="24"/>
          <w:highlight w:val="none"/>
          <w:u w:val="single"/>
          <w:lang w:val="en-US" w:eastAsia="zh-CN"/>
        </w:rPr>
        <w:t xml:space="preserve"> 30 </w:t>
      </w:r>
      <w:r>
        <w:rPr>
          <w:rFonts w:hint="eastAsia" w:ascii="宋体" w:hAnsi="宋体" w:eastAsia="宋体" w:cs="宋体"/>
          <w:color w:val="auto"/>
          <w:sz w:val="24"/>
          <w:szCs w:val="24"/>
          <w:highlight w:val="none"/>
        </w:rPr>
        <w:t>日内，按照招标文件、中标人的投标</w:t>
      </w:r>
      <w:r>
        <w:rPr>
          <w:rFonts w:hint="eastAsia" w:ascii="宋体" w:hAnsi="宋体" w:eastAsia="宋体" w:cs="宋体"/>
          <w:color w:val="auto"/>
          <w:spacing w:val="-1"/>
          <w:sz w:val="24"/>
          <w:szCs w:val="24"/>
          <w:highlight w:val="none"/>
        </w:rPr>
        <w:t>文件与中标人订立书面合同。</w:t>
      </w:r>
    </w:p>
    <w:p w14:paraId="3B892D71">
      <w:pPr>
        <w:keepNext w:val="0"/>
        <w:keepLines w:val="0"/>
        <w:pageBreakBefore w:val="0"/>
        <w:kinsoku w:val="0"/>
        <w:wordWrap/>
        <w:overflowPunct/>
        <w:topLinePunct w:val="0"/>
        <w:autoSpaceDE w:val="0"/>
        <w:autoSpaceDN w:val="0"/>
        <w:bidi w:val="0"/>
        <w:adjustRightInd w:val="0"/>
        <w:snapToGrid w:val="0"/>
        <w:spacing w:before="150" w:line="430" w:lineRule="exact"/>
        <w:ind w:left="13" w:right="108" w:firstLine="474"/>
        <w:textAlignment w:val="baseline"/>
        <w:rPr>
          <w:rFonts w:hint="eastAsia" w:ascii="宋体" w:hAnsi="宋体" w:eastAsia="宋体" w:cs="宋体"/>
          <w:b w:val="0"/>
          <w:bCs w:val="0"/>
          <w:color w:val="auto"/>
          <w:sz w:val="24"/>
          <w:szCs w:val="24"/>
          <w:highlight w:val="none"/>
        </w:rPr>
      </w:pPr>
      <w:bookmarkStart w:id="167" w:name="_Toc24043"/>
      <w:r>
        <w:rPr>
          <w:rFonts w:hint="eastAsia" w:ascii="宋体" w:hAnsi="宋体" w:eastAsia="宋体" w:cs="宋体"/>
          <w:b/>
          <w:bCs/>
          <w:color w:val="auto"/>
          <w:sz w:val="24"/>
          <w:szCs w:val="24"/>
          <w:highlight w:val="none"/>
        </w:rPr>
        <w:t xml:space="preserve">4.2  </w:t>
      </w:r>
      <w:r>
        <w:rPr>
          <w:rFonts w:hint="eastAsia" w:ascii="宋体" w:hAnsi="宋体" w:eastAsia="宋体" w:cs="宋体"/>
          <w:b w:val="0"/>
          <w:bCs w:val="0"/>
          <w:color w:val="auto"/>
          <w:sz w:val="24"/>
          <w:szCs w:val="24"/>
          <w:highlight w:val="none"/>
        </w:rPr>
        <w:t>不正常报价的梳理和确认</w:t>
      </w:r>
      <w:bookmarkEnd w:id="167"/>
    </w:p>
    <w:p w14:paraId="345DBEC2">
      <w:pPr>
        <w:keepNext w:val="0"/>
        <w:keepLines w:val="0"/>
        <w:pageBreakBefore w:val="0"/>
        <w:kinsoku w:val="0"/>
        <w:wordWrap/>
        <w:overflowPunct/>
        <w:topLinePunct w:val="0"/>
        <w:autoSpaceDE w:val="0"/>
        <w:autoSpaceDN w:val="0"/>
        <w:bidi w:val="0"/>
        <w:adjustRightInd w:val="0"/>
        <w:snapToGrid w:val="0"/>
        <w:spacing w:before="154" w:line="430" w:lineRule="exact"/>
        <w:ind w:left="14" w:right="64" w:firstLine="47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4.2.1 合同订立期间，在不改变中标人的投标总价的前提下，招标人应对中标人的</w:t>
      </w:r>
      <w:r>
        <w:rPr>
          <w:rFonts w:hint="eastAsia" w:ascii="宋体" w:hAnsi="宋体" w:eastAsia="宋体" w:cs="宋体"/>
          <w:b/>
          <w:bCs/>
          <w:color w:val="auto"/>
          <w:spacing w:val="-3"/>
          <w:sz w:val="24"/>
          <w:szCs w:val="24"/>
          <w:highlight w:val="none"/>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rPr>
        <w:t>招标人不具备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w:t>
      </w:r>
      <w:r>
        <w:rPr>
          <w:rFonts w:hint="eastAsia" w:ascii="宋体" w:hAnsi="宋体" w:eastAsia="宋体" w:cs="宋体"/>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的造价咨询单位实施。</w:t>
      </w:r>
    </w:p>
    <w:p w14:paraId="33F1EBE7">
      <w:pPr>
        <w:keepNext w:val="0"/>
        <w:keepLines w:val="0"/>
        <w:pageBreakBefore w:val="0"/>
        <w:kinsoku w:val="0"/>
        <w:wordWrap/>
        <w:overflowPunct/>
        <w:topLinePunct w:val="0"/>
        <w:autoSpaceDE w:val="0"/>
        <w:autoSpaceDN w:val="0"/>
        <w:bidi w:val="0"/>
        <w:adjustRightInd w:val="0"/>
        <w:snapToGrid w:val="0"/>
        <w:spacing w:before="121" w:line="430" w:lineRule="exact"/>
        <w:ind w:left="14" w:right="65" w:firstLine="47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4.2.2  </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14:paraId="57D795C2">
      <w:pPr>
        <w:keepNext w:val="0"/>
        <w:keepLines w:val="0"/>
        <w:pageBreakBefore w:val="0"/>
        <w:kinsoku w:val="0"/>
        <w:wordWrap/>
        <w:overflowPunct/>
        <w:topLinePunct w:val="0"/>
        <w:autoSpaceDE w:val="0"/>
        <w:autoSpaceDN w:val="0"/>
        <w:bidi w:val="0"/>
        <w:adjustRightInd w:val="0"/>
        <w:snapToGrid w:val="0"/>
        <w:spacing w:before="157" w:line="430" w:lineRule="exact"/>
        <w:ind w:left="12" w:right="66" w:firstLine="47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4.2.3  </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14:paraId="4EA5EB9B">
      <w:pPr>
        <w:keepNext w:val="0"/>
        <w:keepLines w:val="0"/>
        <w:pageBreakBefore w:val="0"/>
        <w:kinsoku w:val="0"/>
        <w:wordWrap/>
        <w:overflowPunct/>
        <w:topLinePunct w:val="0"/>
        <w:autoSpaceDE w:val="0"/>
        <w:autoSpaceDN w:val="0"/>
        <w:bidi w:val="0"/>
        <w:adjustRightInd w:val="0"/>
        <w:snapToGrid w:val="0"/>
        <w:spacing w:before="121" w:line="430" w:lineRule="exact"/>
        <w:ind w:firstLine="49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4.2.4  </w:t>
      </w:r>
      <w:r>
        <w:rPr>
          <w:rFonts w:hint="eastAsia" w:ascii="宋体" w:hAnsi="宋体" w:eastAsia="宋体" w:cs="宋体"/>
          <w:color w:val="auto"/>
          <w:spacing w:val="2"/>
          <w:sz w:val="24"/>
          <w:szCs w:val="24"/>
          <w:highlight w:val="none"/>
        </w:rPr>
        <w:t>不平衡报价的认定。经修正算术性错误后的中标人已标价工程量清单中，</w:t>
      </w:r>
      <w:r>
        <w:rPr>
          <w:rFonts w:hint="eastAsia" w:ascii="宋体" w:hAnsi="宋体" w:eastAsia="宋体" w:cs="宋体"/>
          <w:color w:val="auto"/>
          <w:spacing w:val="2"/>
          <w:sz w:val="24"/>
          <w:szCs w:val="24"/>
          <w:highlight w:val="none"/>
          <w:u w:val="single"/>
        </w:rPr>
        <w:t>对于投标报价中综合单价相对</w:t>
      </w:r>
      <w:r>
        <w:rPr>
          <w:rFonts w:hint="eastAsia" w:ascii="宋体" w:hAnsi="宋体" w:eastAsia="宋体" w:cs="宋体"/>
          <w:color w:val="auto"/>
          <w:spacing w:val="2"/>
          <w:sz w:val="24"/>
          <w:szCs w:val="24"/>
          <w:highlight w:val="none"/>
          <w:u w:val="single"/>
          <w:lang w:eastAsia="zh-CN"/>
        </w:rPr>
        <w:t>最高投标限价</w:t>
      </w:r>
      <w:r>
        <w:rPr>
          <w:rFonts w:hint="eastAsia" w:ascii="宋体" w:hAnsi="宋体" w:eastAsia="宋体" w:cs="宋体"/>
          <w:color w:val="auto"/>
          <w:spacing w:val="2"/>
          <w:sz w:val="24"/>
          <w:szCs w:val="24"/>
          <w:highlight w:val="none"/>
          <w:u w:val="single"/>
        </w:rPr>
        <w:t>《分部分项工程和单价措施项目清单与计价表》中对应综合单价的偏差大于±15%</w:t>
      </w:r>
      <w:r>
        <w:rPr>
          <w:rFonts w:hint="eastAsia" w:ascii="宋体" w:hAnsi="宋体" w:eastAsia="宋体" w:cs="宋体"/>
          <w:color w:val="auto"/>
          <w:spacing w:val="2"/>
          <w:sz w:val="24"/>
          <w:szCs w:val="24"/>
          <w:highlight w:val="none"/>
        </w:rPr>
        <w:t>的清</w:t>
      </w:r>
      <w:r>
        <w:rPr>
          <w:rFonts w:hint="eastAsia" w:ascii="宋体" w:hAnsi="宋体" w:eastAsia="宋体" w:cs="宋体"/>
          <w:color w:val="auto"/>
          <w:spacing w:val="-3"/>
          <w:sz w:val="24"/>
          <w:szCs w:val="24"/>
          <w:highlight w:val="none"/>
        </w:rPr>
        <w:t>单项目，视为不平衡报价项目。</w:t>
      </w:r>
    </w:p>
    <w:p w14:paraId="5ACB2CAF">
      <w:pPr>
        <w:keepNext w:val="0"/>
        <w:keepLines w:val="0"/>
        <w:pageBreakBefore w:val="0"/>
        <w:kinsoku w:val="0"/>
        <w:wordWrap/>
        <w:overflowPunct/>
        <w:topLinePunct w:val="0"/>
        <w:autoSpaceDE w:val="0"/>
        <w:autoSpaceDN w:val="0"/>
        <w:bidi w:val="0"/>
        <w:adjustRightInd w:val="0"/>
        <w:snapToGrid w:val="0"/>
        <w:spacing w:before="146" w:line="430" w:lineRule="exact"/>
        <w:ind w:left="10" w:right="65" w:firstLine="478"/>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4.2.5 </w:t>
      </w:r>
      <w:r>
        <w:rPr>
          <w:rFonts w:hint="eastAsia" w:ascii="宋体" w:hAnsi="宋体" w:eastAsia="宋体" w:cs="宋体"/>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53EF9B25">
      <w:pPr>
        <w:keepNext w:val="0"/>
        <w:keepLines w:val="0"/>
        <w:pageBreakBefore w:val="0"/>
        <w:kinsoku w:val="0"/>
        <w:wordWrap/>
        <w:overflowPunct/>
        <w:topLinePunct w:val="0"/>
        <w:autoSpaceDE w:val="0"/>
        <w:autoSpaceDN w:val="0"/>
        <w:bidi w:val="0"/>
        <w:adjustRightInd w:val="0"/>
        <w:snapToGrid w:val="0"/>
        <w:spacing w:before="34" w:line="430" w:lineRule="exact"/>
        <w:ind w:left="12" w:right="65" w:firstLine="47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4.2.6 合同履行过程中，被认定为错漏项的清单项目，结算时按照第三章“拟签订</w:t>
      </w:r>
      <w:r>
        <w:rPr>
          <w:rFonts w:hint="eastAsia" w:ascii="宋体" w:hAnsi="宋体" w:eastAsia="宋体" w:cs="宋体"/>
          <w:b/>
          <w:bCs/>
          <w:color w:val="auto"/>
          <w:spacing w:val="-6"/>
          <w:sz w:val="24"/>
          <w:szCs w:val="24"/>
          <w:highlight w:val="none"/>
        </w:rPr>
        <w:t>合同的主要条款</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6"/>
          <w:sz w:val="24"/>
          <w:szCs w:val="24"/>
          <w:highlight w:val="none"/>
        </w:rPr>
        <w:t>”规定处理。</w:t>
      </w:r>
    </w:p>
    <w:p w14:paraId="78587A2C">
      <w:pPr>
        <w:keepNext w:val="0"/>
        <w:keepLines w:val="0"/>
        <w:pageBreakBefore w:val="0"/>
        <w:kinsoku w:val="0"/>
        <w:wordWrap/>
        <w:overflowPunct/>
        <w:topLinePunct w:val="0"/>
        <w:autoSpaceDE w:val="0"/>
        <w:autoSpaceDN w:val="0"/>
        <w:bidi w:val="0"/>
        <w:adjustRightInd w:val="0"/>
        <w:snapToGrid w:val="0"/>
        <w:spacing w:before="33" w:line="430" w:lineRule="exact"/>
        <w:ind w:left="12" w:right="38" w:firstLine="476"/>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4.2.7  合同履行过程中，合同约定的调</w:t>
      </w:r>
      <w:r>
        <w:rPr>
          <w:rFonts w:hint="eastAsia" w:ascii="宋体" w:hAnsi="宋体" w:eastAsia="宋体" w:cs="宋体"/>
          <w:b/>
          <w:bCs/>
          <w:color w:val="auto"/>
          <w:spacing w:val="-1"/>
          <w:sz w:val="24"/>
          <w:szCs w:val="24"/>
          <w:highlight w:val="none"/>
        </w:rPr>
        <w:t>整因素（如工程量偏差、工程变更、项目特</w:t>
      </w:r>
      <w:r>
        <w:rPr>
          <w:rFonts w:hint="eastAsia" w:ascii="宋体" w:hAnsi="宋体" w:eastAsia="宋体" w:cs="宋体"/>
          <w:b/>
          <w:bCs/>
          <w:color w:val="auto"/>
          <w:spacing w:val="-4"/>
          <w:sz w:val="24"/>
          <w:szCs w:val="24"/>
          <w:highlight w:val="none"/>
        </w:rPr>
        <w:t>征不符、招标工程量清单缺项等）出现时，被认定为不平衡报价的清单项目以及</w:t>
      </w:r>
      <w:r>
        <w:rPr>
          <w:rFonts w:hint="eastAsia" w:ascii="宋体" w:hAnsi="宋体" w:eastAsia="宋体" w:cs="宋体"/>
          <w:b/>
          <w:bCs/>
          <w:color w:val="auto"/>
          <w:spacing w:val="-5"/>
          <w:sz w:val="24"/>
          <w:szCs w:val="24"/>
          <w:highlight w:val="none"/>
        </w:rPr>
        <w:t>采用被</w:t>
      </w:r>
      <w:r>
        <w:rPr>
          <w:rFonts w:hint="eastAsia" w:ascii="宋体" w:hAnsi="宋体" w:eastAsia="宋体" w:cs="宋体"/>
          <w:b/>
          <w:bCs/>
          <w:color w:val="auto"/>
          <w:spacing w:val="-3"/>
          <w:sz w:val="24"/>
          <w:szCs w:val="24"/>
          <w:highlight w:val="none"/>
        </w:rPr>
        <w:t>认定为不平衡报价的清单项目的价格作为取价（或参照取</w:t>
      </w:r>
      <w:r>
        <w:rPr>
          <w:rFonts w:hint="eastAsia" w:ascii="宋体" w:hAnsi="宋体" w:eastAsia="宋体" w:cs="宋体"/>
          <w:b/>
          <w:bCs/>
          <w:color w:val="auto"/>
          <w:spacing w:val="-4"/>
          <w:sz w:val="24"/>
          <w:szCs w:val="24"/>
          <w:highlight w:val="none"/>
        </w:rPr>
        <w:t>价）依据的变更、新增项目，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3"/>
          <w:sz w:val="24"/>
          <w:szCs w:val="24"/>
          <w:highlight w:val="none"/>
        </w:rPr>
        <w:t>按照第三章“拟签订合同的主要条款</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”有关规定调整</w:t>
      </w:r>
      <w:r>
        <w:rPr>
          <w:rFonts w:hint="eastAsia" w:ascii="宋体" w:hAnsi="宋体" w:eastAsia="宋体" w:cs="宋体"/>
          <w:b/>
          <w:bCs/>
          <w:color w:val="auto"/>
          <w:spacing w:val="-4"/>
          <w:sz w:val="24"/>
          <w:szCs w:val="24"/>
          <w:highlight w:val="none"/>
        </w:rPr>
        <w:t>合同价款。</w:t>
      </w:r>
    </w:p>
    <w:p w14:paraId="7B24C968">
      <w:pPr>
        <w:keepNext w:val="0"/>
        <w:keepLines w:val="0"/>
        <w:pageBreakBefore w:val="0"/>
        <w:kinsoku w:val="0"/>
        <w:wordWrap/>
        <w:overflowPunct/>
        <w:topLinePunct w:val="0"/>
        <w:autoSpaceDE w:val="0"/>
        <w:autoSpaceDN w:val="0"/>
        <w:bidi w:val="0"/>
        <w:adjustRightInd w:val="0"/>
        <w:snapToGrid w:val="0"/>
        <w:spacing w:before="120" w:line="430" w:lineRule="exact"/>
        <w:ind w:left="11" w:right="28" w:firstLine="476"/>
        <w:textAlignment w:val="baseline"/>
        <w:rPr>
          <w:rFonts w:hint="eastAsia" w:ascii="宋体" w:hAnsi="宋体" w:eastAsia="宋体" w:cs="宋体"/>
          <w:b/>
          <w:bCs/>
          <w:color w:val="auto"/>
          <w:spacing w:val="-4"/>
          <w:sz w:val="24"/>
          <w:szCs w:val="24"/>
          <w:highlight w:val="none"/>
        </w:rPr>
      </w:pPr>
      <w:bookmarkStart w:id="168" w:name="_Toc17784"/>
      <w:r>
        <w:rPr>
          <w:rFonts w:hint="eastAsia" w:ascii="宋体" w:hAnsi="宋体" w:eastAsia="宋体" w:cs="宋体"/>
          <w:b/>
          <w:bCs/>
          <w:color w:val="auto"/>
          <w:spacing w:val="-4"/>
          <w:sz w:val="24"/>
          <w:szCs w:val="24"/>
          <w:highlight w:val="none"/>
        </w:rPr>
        <w:t xml:space="preserve">4.3  </w:t>
      </w:r>
      <w:r>
        <w:rPr>
          <w:rFonts w:hint="eastAsia" w:ascii="宋体" w:hAnsi="宋体" w:eastAsia="宋体" w:cs="宋体"/>
          <w:b w:val="0"/>
          <w:bCs w:val="0"/>
          <w:color w:val="auto"/>
          <w:spacing w:val="-4"/>
          <w:sz w:val="24"/>
          <w:szCs w:val="24"/>
          <w:highlight w:val="none"/>
        </w:rPr>
        <w:t>本招标项目合同计价方式为：</w:t>
      </w:r>
      <w:r>
        <w:rPr>
          <w:rFonts w:hint="eastAsia" w:ascii="宋体" w:hAnsi="宋体" w:eastAsia="宋体" w:cs="宋体"/>
          <w:b w:val="0"/>
          <w:bCs w:val="0"/>
          <w:color w:val="auto"/>
          <w:spacing w:val="-4"/>
          <w:sz w:val="24"/>
          <w:szCs w:val="24"/>
          <w:highlight w:val="none"/>
          <w:u w:val="single"/>
          <w:lang w:val="en-US" w:eastAsia="zh-CN"/>
        </w:rPr>
        <w:t xml:space="preserve"> </w:t>
      </w:r>
      <w:r>
        <w:rPr>
          <w:rFonts w:hint="eastAsia" w:ascii="宋体" w:hAnsi="宋体" w:eastAsia="宋体" w:cs="宋体"/>
          <w:b w:val="0"/>
          <w:bCs w:val="0"/>
          <w:color w:val="auto"/>
          <w:spacing w:val="-4"/>
          <w:sz w:val="24"/>
          <w:szCs w:val="24"/>
          <w:highlight w:val="none"/>
          <w:u w:val="single"/>
          <w:lang w:eastAsia="zh-CN"/>
        </w:rPr>
        <w:t>单</w:t>
      </w:r>
      <w:r>
        <w:rPr>
          <w:rFonts w:hint="eastAsia" w:ascii="宋体" w:hAnsi="宋体" w:eastAsia="宋体" w:cs="宋体"/>
          <w:b w:val="0"/>
          <w:bCs w:val="0"/>
          <w:color w:val="auto"/>
          <w:spacing w:val="-4"/>
          <w:sz w:val="24"/>
          <w:szCs w:val="24"/>
          <w:highlight w:val="none"/>
          <w:u w:val="single"/>
        </w:rPr>
        <w:t>价</w:t>
      </w:r>
      <w:r>
        <w:rPr>
          <w:rFonts w:hint="eastAsia" w:ascii="宋体" w:hAnsi="宋体" w:eastAsia="宋体" w:cs="宋体"/>
          <w:b w:val="0"/>
          <w:bCs w:val="0"/>
          <w:color w:val="auto"/>
          <w:spacing w:val="-4"/>
          <w:sz w:val="24"/>
          <w:szCs w:val="24"/>
          <w:highlight w:val="none"/>
          <w:u w:val="single"/>
          <w:lang w:val="en-US" w:eastAsia="zh-CN"/>
        </w:rPr>
        <w:t xml:space="preserve"> </w:t>
      </w:r>
      <w:r>
        <w:rPr>
          <w:rFonts w:hint="eastAsia" w:ascii="宋体" w:hAnsi="宋体" w:eastAsia="宋体" w:cs="宋体"/>
          <w:b w:val="0"/>
          <w:bCs w:val="0"/>
          <w:color w:val="auto"/>
          <w:spacing w:val="-4"/>
          <w:sz w:val="24"/>
          <w:szCs w:val="24"/>
          <w:highlight w:val="none"/>
        </w:rPr>
        <w:t>合同。</w:t>
      </w:r>
      <w:bookmarkEnd w:id="168"/>
    </w:p>
    <w:p w14:paraId="366BF202">
      <w:pPr>
        <w:keepNext w:val="0"/>
        <w:keepLines w:val="0"/>
        <w:pageBreakBefore w:val="0"/>
        <w:kinsoku w:val="0"/>
        <w:wordWrap/>
        <w:overflowPunct/>
        <w:topLinePunct w:val="0"/>
        <w:autoSpaceDE w:val="0"/>
        <w:autoSpaceDN w:val="0"/>
        <w:bidi w:val="0"/>
        <w:adjustRightInd w:val="0"/>
        <w:snapToGrid w:val="0"/>
        <w:spacing w:before="120" w:line="430" w:lineRule="exact"/>
        <w:ind w:left="11" w:right="28" w:firstLine="47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 xml:space="preserve">4.4  </w:t>
      </w:r>
      <w:r>
        <w:rPr>
          <w:rFonts w:hint="eastAsia" w:ascii="宋体" w:hAnsi="宋体" w:eastAsia="宋体" w:cs="宋体"/>
          <w:color w:val="auto"/>
          <w:spacing w:val="-4"/>
          <w:sz w:val="24"/>
          <w:szCs w:val="24"/>
          <w:highlight w:val="none"/>
        </w:rPr>
        <w:t>合同的标的、质量、履行期限条款和合同的价款、单</w:t>
      </w:r>
      <w:r>
        <w:rPr>
          <w:rFonts w:hint="eastAsia" w:ascii="宋体" w:hAnsi="宋体" w:eastAsia="宋体" w:cs="宋体"/>
          <w:color w:val="auto"/>
          <w:spacing w:val="-5"/>
          <w:sz w:val="24"/>
          <w:szCs w:val="24"/>
          <w:highlight w:val="none"/>
        </w:rPr>
        <w:t>价、比例条款等主要条款，</w:t>
      </w:r>
      <w:r>
        <w:rPr>
          <w:rFonts w:hint="eastAsia" w:ascii="宋体" w:hAnsi="宋体" w:eastAsia="宋体" w:cs="宋体"/>
          <w:color w:val="auto"/>
          <w:spacing w:val="-2"/>
          <w:sz w:val="24"/>
          <w:szCs w:val="24"/>
          <w:highlight w:val="none"/>
        </w:rPr>
        <w:t>应当与招标文件、中标人的投标文件的内容一致。中标人在签订合同时不得向招标人提出附加条件。</w:t>
      </w:r>
    </w:p>
    <w:p w14:paraId="6B1657A4">
      <w:pPr>
        <w:keepNext w:val="0"/>
        <w:keepLines w:val="0"/>
        <w:pageBreakBefore w:val="0"/>
        <w:kinsoku w:val="0"/>
        <w:wordWrap/>
        <w:overflowPunct/>
        <w:topLinePunct w:val="0"/>
        <w:autoSpaceDE w:val="0"/>
        <w:autoSpaceDN w:val="0"/>
        <w:bidi w:val="0"/>
        <w:adjustRightInd w:val="0"/>
        <w:snapToGrid w:val="0"/>
        <w:spacing w:before="158" w:line="430" w:lineRule="exact"/>
        <w:ind w:left="12" w:right="91" w:firstLine="47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4.5  </w:t>
      </w:r>
      <w:r>
        <w:rPr>
          <w:rFonts w:hint="eastAsia" w:ascii="宋体" w:hAnsi="宋体" w:eastAsia="宋体" w:cs="宋体"/>
          <w:color w:val="auto"/>
          <w:spacing w:val="-3"/>
          <w:sz w:val="24"/>
          <w:szCs w:val="24"/>
          <w:highlight w:val="none"/>
        </w:rPr>
        <w:t>若中标人在领取中标通知书之日起</w:t>
      </w:r>
      <w:r>
        <w:rPr>
          <w:rFonts w:hint="eastAsia" w:ascii="宋体" w:hAnsi="宋体" w:eastAsia="宋体" w:cs="宋体"/>
          <w:color w:val="auto"/>
          <w:spacing w:val="-4"/>
          <w:sz w:val="24"/>
          <w:szCs w:val="24"/>
          <w:highlight w:val="none"/>
        </w:rPr>
        <w:t>30天内仍未签订合同，招标人发出第一次提</w:t>
      </w:r>
      <w:r>
        <w:rPr>
          <w:rFonts w:hint="eastAsia" w:ascii="宋体" w:hAnsi="宋体" w:eastAsia="宋体" w:cs="宋体"/>
          <w:color w:val="auto"/>
          <w:spacing w:val="1"/>
          <w:sz w:val="24"/>
          <w:szCs w:val="24"/>
          <w:highlight w:val="none"/>
        </w:rPr>
        <w:t>醒函；在领取中标通知书之日起40天内仍未签订，招标人发出第二次提醒函；在</w:t>
      </w:r>
      <w:r>
        <w:rPr>
          <w:rFonts w:hint="eastAsia" w:ascii="宋体" w:hAnsi="宋体" w:eastAsia="宋体" w:cs="宋体"/>
          <w:color w:val="auto"/>
          <w:sz w:val="24"/>
          <w:szCs w:val="24"/>
          <w:highlight w:val="none"/>
        </w:rPr>
        <w:t>领取</w:t>
      </w:r>
      <w:r>
        <w:rPr>
          <w:rFonts w:hint="eastAsia" w:ascii="宋体" w:hAnsi="宋体" w:eastAsia="宋体" w:cs="宋体"/>
          <w:color w:val="auto"/>
          <w:spacing w:val="-1"/>
          <w:sz w:val="24"/>
          <w:szCs w:val="24"/>
          <w:highlight w:val="none"/>
        </w:rPr>
        <w:t>中标通知书之日起</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45 天内仍未签订，视其放弃中标。</w:t>
      </w:r>
    </w:p>
    <w:p w14:paraId="33D73EF5">
      <w:pPr>
        <w:keepNext w:val="0"/>
        <w:keepLines w:val="0"/>
        <w:pageBreakBefore w:val="0"/>
        <w:kinsoku w:val="0"/>
        <w:wordWrap/>
        <w:overflowPunct/>
        <w:topLinePunct w:val="0"/>
        <w:autoSpaceDE w:val="0"/>
        <w:autoSpaceDN w:val="0"/>
        <w:bidi w:val="0"/>
        <w:adjustRightInd w:val="0"/>
        <w:snapToGrid w:val="0"/>
        <w:spacing w:before="155" w:line="430" w:lineRule="exact"/>
        <w:ind w:left="12" w:right="82" w:firstLine="474"/>
        <w:textAlignment w:val="baseline"/>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 xml:space="preserve">4.6  </w:t>
      </w:r>
      <w:r>
        <w:rPr>
          <w:rFonts w:hint="eastAsia" w:ascii="宋体" w:hAnsi="宋体" w:eastAsia="宋体" w:cs="宋体"/>
          <w:color w:val="auto"/>
          <w:sz w:val="24"/>
          <w:szCs w:val="24"/>
          <w:highlight w:val="none"/>
        </w:rPr>
        <w:t>在书面合同订立之日起2个工作日内，由中标人或招标代理机构将合同上传至</w:t>
      </w:r>
      <w:r>
        <w:rPr>
          <w:rFonts w:hint="eastAsia" w:ascii="宋体" w:hAnsi="宋体" w:eastAsia="宋体" w:cs="宋体"/>
          <w:color w:val="auto"/>
          <w:spacing w:val="-2"/>
          <w:sz w:val="24"/>
          <w:szCs w:val="24"/>
          <w:highlight w:val="none"/>
        </w:rPr>
        <w:t>建设工程交易系统，并发起退还投标保证的申请。韶关市公共资源交易中心在收到申请之日起3个工作日内，将投标保证金退还给中标人和其他中标候选人。</w:t>
      </w:r>
    </w:p>
    <w:p w14:paraId="4CF6970F">
      <w:pPr>
        <w:keepNext w:val="0"/>
        <w:keepLines w:val="0"/>
        <w:pageBreakBefore w:val="0"/>
        <w:kinsoku w:val="0"/>
        <w:wordWrap/>
        <w:overflowPunct/>
        <w:topLinePunct w:val="0"/>
        <w:autoSpaceDE w:val="0"/>
        <w:autoSpaceDN w:val="0"/>
        <w:bidi w:val="0"/>
        <w:adjustRightInd w:val="0"/>
        <w:snapToGrid w:val="0"/>
        <w:spacing w:before="151" w:afterAutospacing="0" w:line="430" w:lineRule="exact"/>
        <w:ind w:left="476"/>
        <w:textAlignment w:val="baseline"/>
        <w:outlineLvl w:val="2"/>
        <w:rPr>
          <w:rFonts w:hint="eastAsia" w:ascii="宋体" w:hAnsi="宋体" w:eastAsia="宋体" w:cs="宋体"/>
          <w:b/>
          <w:bCs/>
          <w:color w:val="auto"/>
          <w:spacing w:val="-11"/>
          <w:sz w:val="24"/>
          <w:szCs w:val="24"/>
          <w:highlight w:val="none"/>
        </w:rPr>
      </w:pPr>
      <w:bookmarkStart w:id="169" w:name="_Toc23772"/>
      <w:bookmarkStart w:id="170" w:name="_Toc10011"/>
      <w:r>
        <w:rPr>
          <w:rFonts w:hint="eastAsia" w:ascii="宋体" w:hAnsi="宋体" w:eastAsia="宋体" w:cs="宋体"/>
          <w:b/>
          <w:bCs/>
          <w:color w:val="auto"/>
          <w:spacing w:val="-11"/>
          <w:sz w:val="24"/>
          <w:szCs w:val="24"/>
          <w:highlight w:val="none"/>
        </w:rPr>
        <w:t>5</w:t>
      </w:r>
      <w:r>
        <w:rPr>
          <w:rFonts w:hint="eastAsia" w:ascii="宋体" w:hAnsi="宋体" w:eastAsia="宋体" w:cs="宋体"/>
          <w:b/>
          <w:bCs/>
          <w:color w:val="auto"/>
          <w:spacing w:val="-11"/>
          <w:sz w:val="24"/>
          <w:szCs w:val="24"/>
          <w:highlight w:val="none"/>
          <w:lang w:eastAsia="zh-CN"/>
        </w:rPr>
        <w:t>.</w:t>
      </w:r>
      <w:r>
        <w:rPr>
          <w:rFonts w:hint="eastAsia" w:ascii="宋体" w:hAnsi="宋体" w:eastAsia="宋体" w:cs="宋体"/>
          <w:b/>
          <w:bCs/>
          <w:color w:val="auto"/>
          <w:spacing w:val="-11"/>
          <w:sz w:val="24"/>
          <w:szCs w:val="24"/>
          <w:highlight w:val="none"/>
        </w:rPr>
        <w:t>放弃中标的处理</w:t>
      </w:r>
      <w:bookmarkEnd w:id="169"/>
      <w:bookmarkEnd w:id="170"/>
    </w:p>
    <w:p w14:paraId="24AE777F">
      <w:pPr>
        <w:keepNext w:val="0"/>
        <w:keepLines w:val="0"/>
        <w:pageBreakBefore w:val="0"/>
        <w:kinsoku w:val="0"/>
        <w:wordWrap/>
        <w:overflowPunct/>
        <w:topLinePunct w:val="0"/>
        <w:autoSpaceDE w:val="0"/>
        <w:autoSpaceDN w:val="0"/>
        <w:bidi w:val="0"/>
        <w:adjustRightInd w:val="0"/>
        <w:snapToGrid w:val="0"/>
        <w:spacing w:beforeAutospacing="0" w:line="430" w:lineRule="exact"/>
        <w:ind w:left="12" w:right="91" w:firstLine="477"/>
        <w:textAlignment w:val="baseline"/>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5.1</w:t>
      </w:r>
      <w:r>
        <w:rPr>
          <w:rFonts w:hint="eastAsia" w:ascii="宋体" w:hAnsi="宋体" w:eastAsia="宋体" w:cs="宋体"/>
          <w:b/>
          <w:bCs/>
          <w:color w:val="auto"/>
          <w:spacing w:val="19"/>
          <w:w w:val="101"/>
          <w:sz w:val="24"/>
          <w:szCs w:val="24"/>
          <w:highlight w:val="none"/>
        </w:rPr>
        <w:t xml:space="preserve">  </w:t>
      </w:r>
      <w:r>
        <w:rPr>
          <w:rFonts w:hint="eastAsia" w:ascii="宋体" w:hAnsi="宋体" w:eastAsia="宋体" w:cs="宋体"/>
          <w:color w:val="auto"/>
          <w:spacing w:val="-1"/>
          <w:sz w:val="24"/>
          <w:szCs w:val="24"/>
          <w:highlight w:val="none"/>
        </w:rPr>
        <w:t>中标人无正当理由放弃中标的，取消其中标资格，其投标保证不予退还，给招</w:t>
      </w:r>
      <w:r>
        <w:rPr>
          <w:rFonts w:hint="eastAsia" w:ascii="宋体" w:hAnsi="宋体" w:eastAsia="宋体" w:cs="宋体"/>
          <w:color w:val="auto"/>
          <w:spacing w:val="-2"/>
          <w:sz w:val="24"/>
          <w:szCs w:val="24"/>
          <w:highlight w:val="none"/>
        </w:rPr>
        <w:t>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招标人重新招标的，招标人可不接受该弃标人再次投标。同时，</w:t>
      </w:r>
      <w:r>
        <w:rPr>
          <w:rFonts w:hint="eastAsia" w:ascii="宋体" w:hAnsi="宋体" w:eastAsia="宋体" w:cs="宋体"/>
          <w:b/>
          <w:bCs/>
          <w:color w:val="auto"/>
          <w:spacing w:val="-2"/>
          <w:sz w:val="24"/>
          <w:szCs w:val="24"/>
          <w:highlight w:val="none"/>
        </w:rPr>
        <w:t>招</w:t>
      </w:r>
      <w:r>
        <w:rPr>
          <w:rFonts w:hint="eastAsia" w:ascii="宋体" w:hAnsi="宋体" w:eastAsia="宋体" w:cs="宋体"/>
          <w:b/>
          <w:bCs/>
          <w:color w:val="auto"/>
          <w:spacing w:val="-3"/>
          <w:sz w:val="24"/>
          <w:szCs w:val="24"/>
          <w:highlight w:val="none"/>
        </w:rPr>
        <w:t>标人应将该弃标人的失信行为向行政监督部门报告。</w:t>
      </w:r>
    </w:p>
    <w:p w14:paraId="7B942D69">
      <w:pPr>
        <w:keepNext w:val="0"/>
        <w:keepLines w:val="0"/>
        <w:pageBreakBefore w:val="0"/>
        <w:kinsoku w:val="0"/>
        <w:wordWrap/>
        <w:overflowPunct/>
        <w:topLinePunct w:val="0"/>
        <w:autoSpaceDE w:val="0"/>
        <w:autoSpaceDN w:val="0"/>
        <w:bidi w:val="0"/>
        <w:adjustRightInd w:val="0"/>
        <w:snapToGrid w:val="0"/>
        <w:spacing w:before="79" w:line="430" w:lineRule="exact"/>
        <w:ind w:left="10" w:right="91" w:firstLine="479"/>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5"/>
          <w:sz w:val="24"/>
          <w:szCs w:val="24"/>
          <w:highlight w:val="none"/>
        </w:rPr>
        <w:t>5.2</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5"/>
          <w:sz w:val="24"/>
          <w:szCs w:val="24"/>
          <w:highlight w:val="none"/>
        </w:rPr>
        <w:t>中标人因不可抗力提出不能履行合同的，须在领取中标通知书之日起10天</w:t>
      </w:r>
      <w:r>
        <w:rPr>
          <w:rFonts w:hint="eastAsia" w:ascii="宋体" w:hAnsi="宋体" w:eastAsia="宋体" w:cs="宋体"/>
          <w:color w:val="auto"/>
          <w:spacing w:val="-6"/>
          <w:sz w:val="24"/>
          <w:szCs w:val="24"/>
          <w:highlight w:val="none"/>
        </w:rPr>
        <w:t>内提</w:t>
      </w:r>
      <w:r>
        <w:rPr>
          <w:rFonts w:hint="eastAsia" w:ascii="宋体" w:hAnsi="宋体" w:eastAsia="宋体" w:cs="宋体"/>
          <w:color w:val="auto"/>
          <w:spacing w:val="-2"/>
          <w:sz w:val="24"/>
          <w:szCs w:val="24"/>
          <w:highlight w:val="none"/>
        </w:rPr>
        <w:t>供有关证明文件或资料，其投标保证予以退还，招标人可按照评标委员会提出的中标候选人名单排序依次确定其他中标候选人为中标人。如果招标人认为其他中标候选人的条</w:t>
      </w:r>
      <w:bookmarkStart w:id="171" w:name="bookmark84"/>
      <w:bookmarkEnd w:id="171"/>
      <w:r>
        <w:rPr>
          <w:rFonts w:hint="eastAsia" w:ascii="宋体" w:hAnsi="宋体" w:eastAsia="宋体" w:cs="宋体"/>
          <w:color w:val="auto"/>
          <w:spacing w:val="-2"/>
          <w:sz w:val="24"/>
          <w:szCs w:val="24"/>
          <w:highlight w:val="none"/>
        </w:rPr>
        <w:t>件明显不利于招标人的，也可以重新招标</w:t>
      </w:r>
      <w:r>
        <w:rPr>
          <w:rFonts w:hint="eastAsia" w:ascii="宋体" w:hAnsi="宋体" w:eastAsia="宋体" w:cs="宋体"/>
          <w:color w:val="auto"/>
          <w:spacing w:val="-1"/>
          <w:sz w:val="24"/>
          <w:szCs w:val="24"/>
          <w:highlight w:val="none"/>
        </w:rPr>
        <w:t>。</w:t>
      </w:r>
    </w:p>
    <w:p w14:paraId="7EA2CBD2">
      <w:pPr>
        <w:pStyle w:val="27"/>
        <w:rPr>
          <w:rFonts w:hint="eastAsia" w:ascii="宋体" w:hAnsi="宋体" w:eastAsia="宋体" w:cs="宋体"/>
          <w:color w:val="auto"/>
          <w:highlight w:val="none"/>
          <w:lang w:val="en-US" w:eastAsia="zh-CN"/>
        </w:rPr>
      </w:pPr>
    </w:p>
    <w:p w14:paraId="4F0AD2BE">
      <w:pPr>
        <w:rPr>
          <w:rFonts w:hint="eastAsia" w:ascii="宋体" w:hAnsi="宋体" w:eastAsia="宋体" w:cs="宋体"/>
          <w:color w:val="auto"/>
          <w:highlight w:val="none"/>
          <w:lang w:val="en-US" w:eastAsia="zh-CN"/>
        </w:rPr>
      </w:pPr>
    </w:p>
    <w:p w14:paraId="458EF052">
      <w:pPr>
        <w:rPr>
          <w:rFonts w:hint="eastAsia" w:ascii="宋体" w:hAnsi="宋体" w:eastAsia="宋体" w:cs="宋体"/>
          <w:b/>
          <w:bCs/>
          <w:color w:val="auto"/>
          <w:spacing w:val="-3"/>
          <w:sz w:val="24"/>
          <w:szCs w:val="24"/>
          <w:highlight w:val="none"/>
        </w:rPr>
      </w:pPr>
      <w:bookmarkStart w:id="172" w:name="bookmark86"/>
      <w:bookmarkEnd w:id="172"/>
      <w:bookmarkStart w:id="173" w:name="_Toc24083"/>
      <w:bookmarkStart w:id="174" w:name="_Toc30637"/>
      <w:r>
        <w:rPr>
          <w:rFonts w:hint="eastAsia" w:ascii="宋体" w:hAnsi="宋体" w:eastAsia="宋体" w:cs="宋体"/>
          <w:b/>
          <w:bCs/>
          <w:color w:val="auto"/>
          <w:spacing w:val="-3"/>
          <w:sz w:val="24"/>
          <w:szCs w:val="24"/>
          <w:highlight w:val="none"/>
        </w:rPr>
        <w:br w:type="page"/>
      </w:r>
    </w:p>
    <w:p w14:paraId="5CA66562">
      <w:pPr>
        <w:spacing w:before="78" w:line="360" w:lineRule="auto"/>
        <w:ind w:left="2923"/>
        <w:outlineLvl w:val="0"/>
        <w:rPr>
          <w:rFonts w:hint="eastAsia" w:ascii="宋体" w:hAnsi="宋体" w:eastAsia="宋体" w:cs="宋体"/>
          <w:color w:val="auto"/>
          <w:highlight w:val="none"/>
        </w:rPr>
      </w:pPr>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b/>
          <w:bCs/>
          <w:color w:val="auto"/>
          <w:spacing w:val="-3"/>
          <w:sz w:val="24"/>
          <w:szCs w:val="24"/>
          <w:highlight w:val="none"/>
        </w:rPr>
        <w:t>拟签订合同的主要条款</w:t>
      </w:r>
      <w:bookmarkEnd w:id="173"/>
      <w:bookmarkEnd w:id="174"/>
    </w:p>
    <w:p w14:paraId="4D41C019">
      <w:pPr>
        <w:spacing w:before="151" w:line="360" w:lineRule="auto"/>
        <w:ind w:left="476"/>
        <w:outlineLvl w:val="2"/>
        <w:rPr>
          <w:rFonts w:hint="eastAsia" w:ascii="宋体" w:hAnsi="宋体" w:eastAsia="宋体" w:cs="宋体"/>
          <w:b/>
          <w:bCs/>
          <w:color w:val="auto"/>
          <w:spacing w:val="-11"/>
          <w:sz w:val="24"/>
          <w:szCs w:val="24"/>
          <w:highlight w:val="none"/>
        </w:rPr>
      </w:pPr>
      <w:bookmarkStart w:id="175" w:name="_Toc9967"/>
      <w:bookmarkStart w:id="176" w:name="_Toc20515"/>
      <w:r>
        <w:rPr>
          <w:rFonts w:hint="eastAsia" w:ascii="宋体" w:hAnsi="宋体" w:eastAsia="宋体" w:cs="宋体"/>
          <w:b/>
          <w:bCs/>
          <w:color w:val="auto"/>
          <w:spacing w:val="-11"/>
          <w:sz w:val="24"/>
          <w:szCs w:val="24"/>
          <w:highlight w:val="none"/>
        </w:rPr>
        <w:t>1</w:t>
      </w:r>
      <w:r>
        <w:rPr>
          <w:rFonts w:hint="eastAsia" w:ascii="宋体" w:hAnsi="宋体" w:eastAsia="宋体" w:cs="宋体"/>
          <w:b/>
          <w:bCs/>
          <w:color w:val="auto"/>
          <w:spacing w:val="-11"/>
          <w:sz w:val="24"/>
          <w:szCs w:val="24"/>
          <w:highlight w:val="none"/>
          <w:lang w:eastAsia="zh-CN"/>
        </w:rPr>
        <w:t>.</w:t>
      </w:r>
      <w:r>
        <w:rPr>
          <w:rFonts w:hint="eastAsia" w:ascii="宋体" w:hAnsi="宋体" w:eastAsia="宋体" w:cs="宋体"/>
          <w:b/>
          <w:bCs/>
          <w:color w:val="auto"/>
          <w:spacing w:val="-11"/>
          <w:sz w:val="24"/>
          <w:szCs w:val="24"/>
          <w:highlight w:val="none"/>
        </w:rPr>
        <w:t>工程承包方式</w:t>
      </w:r>
      <w:bookmarkEnd w:id="175"/>
      <w:bookmarkEnd w:id="176"/>
    </w:p>
    <w:p w14:paraId="05B44BAF">
      <w:pPr>
        <w:widowControl w:val="0"/>
        <w:kinsoku/>
        <w:wordWrap w:val="0"/>
        <w:autoSpaceDE/>
        <w:autoSpaceDN/>
        <w:adjustRightInd w:val="0"/>
        <w:snapToGrid w:val="0"/>
        <w:spacing w:line="360" w:lineRule="auto"/>
        <w:ind w:firstLine="560"/>
        <w:jc w:val="both"/>
        <w:textAlignment w:val="auto"/>
        <w:rPr>
          <w:rFonts w:hint="eastAsia" w:ascii="宋体" w:hAnsi="宋体" w:eastAsia="宋体" w:cs="宋体"/>
          <w:b w:val="0"/>
          <w:bCs w:val="0"/>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 xml:space="preserve">1.1  </w:t>
      </w:r>
      <w:r>
        <w:rPr>
          <w:rFonts w:hint="eastAsia" w:ascii="宋体" w:hAnsi="宋体" w:eastAsia="宋体" w:cs="宋体"/>
          <w:b w:val="0"/>
          <w:bCs w:val="0"/>
          <w:snapToGrid w:val="0"/>
          <w:color w:val="auto"/>
          <w:kern w:val="0"/>
          <w:sz w:val="24"/>
          <w:szCs w:val="20"/>
          <w:highlight w:val="none"/>
          <w:lang w:eastAsia="zh-CN"/>
        </w:rPr>
        <w:t>承包人以中标价按包工包料、包质量、包安全包文明施工、包工期方式总承包施工，不允许转包和违法分包，如果确需分包须与发包人协商，在得到发包人和监理单位同意后报建设行政主管部门备案。</w:t>
      </w:r>
    </w:p>
    <w:p w14:paraId="6B046265">
      <w:pPr>
        <w:widowControl w:val="0"/>
        <w:kinsoku/>
        <w:wordWrap w:val="0"/>
        <w:autoSpaceDE/>
        <w:autoSpaceDN/>
        <w:adjustRightInd w:val="0"/>
        <w:snapToGrid w:val="0"/>
        <w:spacing w:line="360" w:lineRule="auto"/>
        <w:ind w:firstLine="560"/>
        <w:jc w:val="both"/>
        <w:textAlignment w:val="auto"/>
        <w:rPr>
          <w:rFonts w:hint="eastAsia" w:ascii="宋体" w:hAnsi="宋体" w:eastAsia="宋体" w:cs="宋体"/>
          <w:b/>
          <w:bCs/>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 xml:space="preserve">1.1.1  </w:t>
      </w:r>
      <w:r>
        <w:rPr>
          <w:rFonts w:hint="eastAsia" w:ascii="宋体" w:hAnsi="宋体" w:eastAsia="宋体" w:cs="宋体"/>
          <w:b w:val="0"/>
          <w:bCs w:val="0"/>
          <w:snapToGrid w:val="0"/>
          <w:color w:val="auto"/>
          <w:kern w:val="0"/>
          <w:sz w:val="24"/>
          <w:szCs w:val="20"/>
          <w:highlight w:val="none"/>
          <w:lang w:eastAsia="zh-CN"/>
        </w:rPr>
        <w:t>包工包料：材料符合招标文件要求并报验使用；办理用工保险。</w:t>
      </w:r>
    </w:p>
    <w:p w14:paraId="77D5700E">
      <w:pPr>
        <w:widowControl w:val="0"/>
        <w:kinsoku/>
        <w:wordWrap w:val="0"/>
        <w:autoSpaceDE/>
        <w:autoSpaceDN/>
        <w:adjustRightInd w:val="0"/>
        <w:snapToGrid w:val="0"/>
        <w:spacing w:line="360" w:lineRule="auto"/>
        <w:ind w:firstLine="560"/>
        <w:jc w:val="both"/>
        <w:textAlignment w:val="auto"/>
        <w:rPr>
          <w:rFonts w:hint="eastAsia" w:ascii="宋体" w:hAnsi="宋体" w:eastAsia="宋体" w:cs="宋体"/>
          <w:b/>
          <w:bCs/>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 xml:space="preserve">1.1.2  </w:t>
      </w:r>
      <w:r>
        <w:rPr>
          <w:rFonts w:hint="eastAsia" w:ascii="宋体" w:hAnsi="宋体" w:eastAsia="宋体" w:cs="宋体"/>
          <w:b w:val="0"/>
          <w:bCs w:val="0"/>
          <w:snapToGrid w:val="0"/>
          <w:color w:val="auto"/>
          <w:kern w:val="0"/>
          <w:sz w:val="24"/>
          <w:szCs w:val="20"/>
          <w:highlight w:val="none"/>
          <w:lang w:eastAsia="zh-CN"/>
        </w:rPr>
        <w:t>包质量：符合招标文件要求。</w:t>
      </w:r>
    </w:p>
    <w:p w14:paraId="5EB60CFE">
      <w:pPr>
        <w:widowControl w:val="0"/>
        <w:kinsoku/>
        <w:wordWrap w:val="0"/>
        <w:autoSpaceDE/>
        <w:autoSpaceDN/>
        <w:adjustRightInd w:val="0"/>
        <w:snapToGrid w:val="0"/>
        <w:spacing w:line="360" w:lineRule="auto"/>
        <w:ind w:firstLine="560"/>
        <w:jc w:val="both"/>
        <w:textAlignment w:val="auto"/>
        <w:rPr>
          <w:rFonts w:hint="eastAsia" w:ascii="宋体" w:hAnsi="宋体" w:eastAsia="宋体" w:cs="宋体"/>
          <w:b/>
          <w:bCs/>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 xml:space="preserve">1.1.3  </w:t>
      </w:r>
      <w:r>
        <w:rPr>
          <w:rFonts w:hint="eastAsia" w:ascii="宋体" w:hAnsi="宋体" w:eastAsia="宋体" w:cs="宋体"/>
          <w:b w:val="0"/>
          <w:bCs w:val="0"/>
          <w:snapToGrid w:val="0"/>
          <w:color w:val="auto"/>
          <w:kern w:val="0"/>
          <w:sz w:val="24"/>
          <w:szCs w:val="20"/>
          <w:highlight w:val="none"/>
          <w:lang w:eastAsia="zh-CN"/>
        </w:rPr>
        <w:t>包安全包文明施工：符合招标文件要求。</w:t>
      </w:r>
    </w:p>
    <w:p w14:paraId="533910C6">
      <w:pPr>
        <w:widowControl w:val="0"/>
        <w:kinsoku/>
        <w:wordWrap w:val="0"/>
        <w:autoSpaceDE/>
        <w:autoSpaceDN/>
        <w:adjustRightInd w:val="0"/>
        <w:snapToGrid w:val="0"/>
        <w:spacing w:line="360" w:lineRule="auto"/>
        <w:ind w:firstLine="560"/>
        <w:jc w:val="both"/>
        <w:textAlignment w:val="auto"/>
        <w:rPr>
          <w:rFonts w:hint="eastAsia" w:ascii="宋体" w:hAnsi="宋体" w:eastAsia="宋体" w:cs="宋体"/>
          <w:b/>
          <w:bCs/>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 xml:space="preserve">1.1.4  </w:t>
      </w:r>
      <w:r>
        <w:rPr>
          <w:rFonts w:hint="eastAsia" w:ascii="宋体" w:hAnsi="宋体" w:eastAsia="宋体" w:cs="宋体"/>
          <w:b w:val="0"/>
          <w:bCs w:val="0"/>
          <w:snapToGrid w:val="0"/>
          <w:color w:val="auto"/>
          <w:kern w:val="0"/>
          <w:sz w:val="24"/>
          <w:szCs w:val="20"/>
          <w:highlight w:val="none"/>
          <w:lang w:eastAsia="zh-CN"/>
        </w:rPr>
        <w:t>包工期：本招标项目施工必须在招标工期内完成。</w:t>
      </w:r>
    </w:p>
    <w:p w14:paraId="25761558">
      <w:pPr>
        <w:spacing w:before="151" w:line="360" w:lineRule="auto"/>
        <w:ind w:left="476"/>
        <w:outlineLvl w:val="2"/>
        <w:rPr>
          <w:rFonts w:hint="eastAsia" w:ascii="宋体" w:hAnsi="宋体" w:eastAsia="宋体" w:cs="宋体"/>
          <w:b/>
          <w:bCs/>
          <w:color w:val="auto"/>
          <w:spacing w:val="-11"/>
          <w:sz w:val="24"/>
          <w:szCs w:val="24"/>
          <w:highlight w:val="none"/>
        </w:rPr>
      </w:pPr>
      <w:bookmarkStart w:id="177" w:name="bookmark88"/>
      <w:bookmarkEnd w:id="177"/>
      <w:bookmarkStart w:id="178" w:name="_Toc4294"/>
      <w:bookmarkStart w:id="179" w:name="_Toc29857"/>
      <w:r>
        <w:rPr>
          <w:rFonts w:hint="eastAsia" w:ascii="宋体" w:hAnsi="宋体" w:eastAsia="宋体" w:cs="宋体"/>
          <w:b/>
          <w:bCs/>
          <w:color w:val="auto"/>
          <w:spacing w:val="-11"/>
          <w:sz w:val="24"/>
          <w:szCs w:val="24"/>
          <w:highlight w:val="none"/>
        </w:rPr>
        <w:t>2</w:t>
      </w:r>
      <w:r>
        <w:rPr>
          <w:rFonts w:hint="eastAsia" w:ascii="宋体" w:hAnsi="宋体" w:eastAsia="宋体" w:cs="宋体"/>
          <w:b/>
          <w:bCs/>
          <w:color w:val="auto"/>
          <w:spacing w:val="-11"/>
          <w:sz w:val="24"/>
          <w:szCs w:val="24"/>
          <w:highlight w:val="none"/>
          <w:lang w:eastAsia="zh-CN"/>
        </w:rPr>
        <w:t>.</w:t>
      </w:r>
      <w:r>
        <w:rPr>
          <w:rFonts w:hint="eastAsia" w:ascii="宋体" w:hAnsi="宋体" w:eastAsia="宋体" w:cs="宋体"/>
          <w:b/>
          <w:bCs/>
          <w:color w:val="auto"/>
          <w:spacing w:val="-11"/>
          <w:sz w:val="24"/>
          <w:szCs w:val="24"/>
          <w:highlight w:val="none"/>
        </w:rPr>
        <w:t>工程结算原则</w:t>
      </w:r>
      <w:bookmarkEnd w:id="178"/>
      <w:bookmarkEnd w:id="179"/>
    </w:p>
    <w:p w14:paraId="2CD21E78">
      <w:pPr>
        <w:spacing w:before="155" w:line="360" w:lineRule="auto"/>
        <w:ind w:left="12" w:right="231" w:firstLine="476"/>
        <w:rPr>
          <w:rFonts w:hint="eastAsia" w:ascii="宋体" w:hAnsi="宋体" w:eastAsia="宋体" w:cs="宋体"/>
          <w:b w:val="0"/>
          <w:bCs w:val="0"/>
          <w:color w:val="auto"/>
          <w:spacing w:val="2"/>
          <w:sz w:val="24"/>
          <w:szCs w:val="24"/>
          <w:highlight w:val="none"/>
        </w:rPr>
      </w:pPr>
      <w:bookmarkStart w:id="180" w:name="_Toc15115"/>
      <w:r>
        <w:rPr>
          <w:rFonts w:hint="eastAsia" w:ascii="宋体" w:hAnsi="宋体" w:eastAsia="宋体" w:cs="宋体"/>
          <w:b/>
          <w:bCs/>
          <w:color w:val="auto"/>
          <w:spacing w:val="2"/>
          <w:sz w:val="24"/>
          <w:szCs w:val="24"/>
          <w:highlight w:val="none"/>
        </w:rPr>
        <w:t xml:space="preserve">2.1 </w:t>
      </w:r>
      <w:r>
        <w:rPr>
          <w:rFonts w:hint="eastAsia" w:ascii="宋体" w:hAnsi="宋体" w:eastAsia="宋体" w:cs="宋体"/>
          <w:b w:val="0"/>
          <w:bCs w:val="0"/>
          <w:color w:val="auto"/>
          <w:spacing w:val="2"/>
          <w:sz w:val="24"/>
          <w:szCs w:val="24"/>
          <w:highlight w:val="none"/>
        </w:rPr>
        <w:t>承包人的投标总价为中标价，即为签约合同价。</w:t>
      </w:r>
      <w:bookmarkEnd w:id="180"/>
    </w:p>
    <w:p w14:paraId="4B37BDBD">
      <w:pPr>
        <w:spacing w:before="155" w:line="360" w:lineRule="auto"/>
        <w:ind w:left="12" w:right="231"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2.2 </w:t>
      </w:r>
      <w:r>
        <w:rPr>
          <w:rFonts w:hint="eastAsia" w:ascii="宋体" w:hAnsi="宋体" w:eastAsia="宋体" w:cs="宋体"/>
          <w:color w:val="auto"/>
          <w:spacing w:val="2"/>
          <w:sz w:val="24"/>
          <w:szCs w:val="24"/>
          <w:highlight w:val="none"/>
        </w:rPr>
        <w:t>招标工程量清单标明的工程量是投标人投标报价的</w:t>
      </w:r>
      <w:r>
        <w:rPr>
          <w:rFonts w:hint="eastAsia" w:ascii="宋体" w:hAnsi="宋体" w:eastAsia="宋体" w:cs="宋体"/>
          <w:color w:val="auto"/>
          <w:spacing w:val="1"/>
          <w:sz w:val="24"/>
          <w:szCs w:val="24"/>
          <w:highlight w:val="none"/>
        </w:rPr>
        <w:t>共同基础，竣工结算的工程</w:t>
      </w:r>
      <w:r>
        <w:rPr>
          <w:rFonts w:hint="eastAsia" w:ascii="宋体" w:hAnsi="宋体" w:eastAsia="宋体" w:cs="宋体"/>
          <w:color w:val="auto"/>
          <w:spacing w:val="-5"/>
          <w:sz w:val="24"/>
          <w:szCs w:val="24"/>
          <w:highlight w:val="none"/>
        </w:rPr>
        <w:t>量按《建设工程工程量清单计价规范》（GB50500—2013）对工程计量的规定进行计量，</w:t>
      </w:r>
      <w:r>
        <w:rPr>
          <w:rFonts w:hint="eastAsia" w:ascii="宋体" w:hAnsi="宋体" w:eastAsia="宋体" w:cs="宋体"/>
          <w:color w:val="auto"/>
          <w:spacing w:val="-2"/>
          <w:sz w:val="24"/>
          <w:szCs w:val="24"/>
          <w:highlight w:val="none"/>
        </w:rPr>
        <w:t>必须以承包人完成合同工程应予计量的工程量确定。施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rPr>
        <w:t>的工程量，发包人不予计量。</w:t>
      </w:r>
    </w:p>
    <w:p w14:paraId="08E0EC5A">
      <w:pPr>
        <w:keepNext w:val="0"/>
        <w:keepLines w:val="0"/>
        <w:pageBreakBefore w:val="0"/>
        <w:widowControl w:val="0"/>
        <w:kinsoku w:val="0"/>
        <w:wordWrap/>
        <w:overflowPunct/>
        <w:topLinePunct w:val="0"/>
        <w:autoSpaceDE w:val="0"/>
        <w:autoSpaceDN w:val="0"/>
        <w:bidi w:val="0"/>
        <w:adjustRightInd w:val="0"/>
        <w:snapToGrid w:val="0"/>
        <w:spacing w:before="38" w:line="360" w:lineRule="auto"/>
        <w:ind w:left="12" w:right="183" w:firstLine="47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2.3  </w:t>
      </w:r>
      <w:r>
        <w:rPr>
          <w:rFonts w:hint="eastAsia" w:ascii="宋体" w:hAnsi="宋体" w:eastAsia="宋体" w:cs="宋体"/>
          <w:color w:val="auto"/>
          <w:sz w:val="24"/>
          <w:szCs w:val="24"/>
          <w:highlight w:val="none"/>
        </w:rPr>
        <w:t>施工合同履行期间，若出现下列情形的，发、承包双方应当按照以下规定调整</w:t>
      </w:r>
      <w:r>
        <w:rPr>
          <w:rFonts w:hint="eastAsia" w:ascii="宋体" w:hAnsi="宋体" w:eastAsia="宋体" w:cs="宋体"/>
          <w:color w:val="auto"/>
          <w:spacing w:val="-3"/>
          <w:sz w:val="24"/>
          <w:szCs w:val="24"/>
          <w:highlight w:val="none"/>
        </w:rPr>
        <w:t>合同价款：</w:t>
      </w:r>
    </w:p>
    <w:p w14:paraId="62A89E2F">
      <w:pPr>
        <w:keepNext w:val="0"/>
        <w:keepLines w:val="0"/>
        <w:pageBreakBefore w:val="0"/>
        <w:widowControl w:val="0"/>
        <w:kinsoku w:val="0"/>
        <w:wordWrap/>
        <w:overflowPunct/>
        <w:topLinePunct w:val="0"/>
        <w:autoSpaceDE w:val="0"/>
        <w:autoSpaceDN w:val="0"/>
        <w:bidi w:val="0"/>
        <w:adjustRightInd w:val="0"/>
        <w:snapToGrid w:val="0"/>
        <w:spacing w:before="227" w:line="360" w:lineRule="auto"/>
        <w:ind w:left="487"/>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2.3.1  </w:t>
      </w:r>
      <w:r>
        <w:rPr>
          <w:rFonts w:hint="eastAsia" w:ascii="宋体" w:hAnsi="宋体" w:eastAsia="宋体" w:cs="宋体"/>
          <w:color w:val="auto"/>
          <w:spacing w:val="-1"/>
          <w:sz w:val="24"/>
          <w:szCs w:val="24"/>
          <w:highlight w:val="none"/>
        </w:rPr>
        <w:t>法律法规变化</w:t>
      </w:r>
    </w:p>
    <w:p w14:paraId="11A359C6">
      <w:pPr>
        <w:keepNext w:val="0"/>
        <w:keepLines w:val="0"/>
        <w:pageBreakBefore w:val="0"/>
        <w:widowControl w:val="0"/>
        <w:kinsoku w:val="0"/>
        <w:wordWrap/>
        <w:overflowPunct/>
        <w:topLinePunct w:val="0"/>
        <w:autoSpaceDE w:val="0"/>
        <w:autoSpaceDN w:val="0"/>
        <w:bidi w:val="0"/>
        <w:adjustRightInd w:val="0"/>
        <w:snapToGrid w:val="0"/>
        <w:spacing w:before="156" w:line="360" w:lineRule="auto"/>
        <w:ind w:left="10" w:right="183"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2.3.1.1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基准日之后，因国家法律、法规、规章和政策发生变化引起工程造价增减变</w:t>
      </w:r>
      <w:r>
        <w:rPr>
          <w:rFonts w:hint="eastAsia" w:ascii="宋体" w:hAnsi="宋体" w:eastAsia="宋体" w:cs="宋体"/>
          <w:color w:val="auto"/>
          <w:spacing w:val="-2"/>
          <w:sz w:val="24"/>
          <w:szCs w:val="24"/>
          <w:highlight w:val="none"/>
        </w:rPr>
        <w:t>化时，发、承包双方应按照省级建设主管部门（或省级行业主管部门）或其授权的工程</w:t>
      </w:r>
      <w:r>
        <w:rPr>
          <w:rFonts w:hint="eastAsia" w:ascii="宋体" w:hAnsi="宋体" w:eastAsia="宋体" w:cs="宋体"/>
          <w:color w:val="auto"/>
          <w:spacing w:val="-1"/>
          <w:sz w:val="24"/>
          <w:szCs w:val="24"/>
          <w:highlight w:val="none"/>
        </w:rPr>
        <w:t>造价管理机构据此发布的最新规定调整合同价款。</w:t>
      </w:r>
    </w:p>
    <w:p w14:paraId="61FA8F8A">
      <w:pPr>
        <w:keepNext w:val="0"/>
        <w:keepLines w:val="0"/>
        <w:pageBreakBefore w:val="0"/>
        <w:widowControl w:val="0"/>
        <w:kinsoku w:val="0"/>
        <w:wordWrap/>
        <w:overflowPunct/>
        <w:topLinePunct w:val="0"/>
        <w:autoSpaceDE w:val="0"/>
        <w:autoSpaceDN w:val="0"/>
        <w:bidi w:val="0"/>
        <w:adjustRightInd w:val="0"/>
        <w:snapToGrid w:val="0"/>
        <w:spacing w:before="157" w:line="360" w:lineRule="auto"/>
        <w:ind w:left="12" w:right="183" w:firstLine="479"/>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注：本招标文件所称“基准日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11"/>
          <w:sz w:val="24"/>
          <w:szCs w:val="24"/>
          <w:highlight w:val="none"/>
        </w:rPr>
        <w:t>”，均指投标文</w:t>
      </w:r>
      <w:r>
        <w:rPr>
          <w:rFonts w:hint="eastAsia" w:ascii="宋体" w:hAnsi="宋体" w:eastAsia="宋体" w:cs="宋体"/>
          <w:b/>
          <w:bCs/>
          <w:color w:val="auto"/>
          <w:spacing w:val="-12"/>
          <w:sz w:val="24"/>
          <w:szCs w:val="24"/>
          <w:highlight w:val="none"/>
        </w:rPr>
        <w:t>件递交截止时间（见第一章第二节“重</w:t>
      </w:r>
      <w:r>
        <w:rPr>
          <w:rFonts w:hint="eastAsia" w:ascii="宋体" w:hAnsi="宋体" w:eastAsia="宋体" w:cs="宋体"/>
          <w:b/>
          <w:bCs/>
          <w:color w:val="auto"/>
          <w:spacing w:val="-5"/>
          <w:sz w:val="24"/>
          <w:szCs w:val="24"/>
          <w:highlight w:val="none"/>
        </w:rPr>
        <w:t>要事项时间地点一览表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”）前28天。</w:t>
      </w:r>
    </w:p>
    <w:p w14:paraId="262B7042">
      <w:pPr>
        <w:keepNext w:val="0"/>
        <w:keepLines w:val="0"/>
        <w:pageBreakBefore w:val="0"/>
        <w:widowControl w:val="0"/>
        <w:kinsoku w:val="0"/>
        <w:wordWrap/>
        <w:overflowPunct/>
        <w:topLinePunct w:val="0"/>
        <w:autoSpaceDE w:val="0"/>
        <w:autoSpaceDN w:val="0"/>
        <w:bidi w:val="0"/>
        <w:adjustRightInd w:val="0"/>
        <w:snapToGrid w:val="0"/>
        <w:spacing w:before="33" w:line="360" w:lineRule="auto"/>
        <w:ind w:left="11"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2.3.1.2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1"/>
          <w:sz w:val="24"/>
          <w:szCs w:val="24"/>
          <w:highlight w:val="none"/>
        </w:rPr>
        <w:t>因承包人原因导致工程延误，本章第</w:t>
      </w:r>
      <w:r>
        <w:rPr>
          <w:rFonts w:hint="eastAsia" w:ascii="宋体" w:hAnsi="宋体" w:eastAsia="宋体" w:cs="宋体"/>
          <w:b/>
          <w:bCs/>
          <w:color w:val="auto"/>
          <w:spacing w:val="1"/>
          <w:sz w:val="24"/>
          <w:szCs w:val="24"/>
          <w:highlight w:val="none"/>
        </w:rPr>
        <w:t>2</w:t>
      </w:r>
      <w:r>
        <w:rPr>
          <w:rFonts w:hint="eastAsia" w:ascii="宋体" w:hAnsi="宋体" w:eastAsia="宋体" w:cs="宋体"/>
          <w:b/>
          <w:bCs/>
          <w:color w:val="auto"/>
          <w:sz w:val="24"/>
          <w:szCs w:val="24"/>
          <w:highlight w:val="none"/>
        </w:rPr>
        <w:t>.3.1.1</w:t>
      </w:r>
      <w:r>
        <w:rPr>
          <w:rFonts w:hint="eastAsia" w:ascii="宋体" w:hAnsi="宋体" w:eastAsia="宋体" w:cs="宋体"/>
          <w:color w:val="auto"/>
          <w:sz w:val="24"/>
          <w:szCs w:val="24"/>
          <w:highlight w:val="none"/>
        </w:rPr>
        <w:t>子目中的法定机构根据国家法</w:t>
      </w:r>
      <w:r>
        <w:rPr>
          <w:rFonts w:hint="eastAsia" w:ascii="宋体" w:hAnsi="宋体" w:eastAsia="宋体" w:cs="宋体"/>
          <w:color w:val="auto"/>
          <w:spacing w:val="-3"/>
          <w:sz w:val="24"/>
          <w:szCs w:val="24"/>
          <w:highlight w:val="none"/>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rPr>
        <w:t>合同价款调减的予以调整。</w:t>
      </w:r>
    </w:p>
    <w:p w14:paraId="154A86DD">
      <w:pPr>
        <w:keepNext w:val="0"/>
        <w:keepLines w:val="0"/>
        <w:pageBreakBefore w:val="0"/>
        <w:widowControl w:val="0"/>
        <w:kinsoku w:val="0"/>
        <w:wordWrap/>
        <w:overflowPunct/>
        <w:topLinePunct w:val="0"/>
        <w:autoSpaceDE w:val="0"/>
        <w:autoSpaceDN w:val="0"/>
        <w:bidi w:val="0"/>
        <w:adjustRightInd w:val="0"/>
        <w:snapToGrid w:val="0"/>
        <w:spacing w:before="155" w:line="360" w:lineRule="auto"/>
        <w:ind w:left="487"/>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2.3.2  </w:t>
      </w:r>
      <w:r>
        <w:rPr>
          <w:rFonts w:hint="eastAsia" w:ascii="宋体" w:hAnsi="宋体" w:eastAsia="宋体" w:cs="宋体"/>
          <w:color w:val="auto"/>
          <w:spacing w:val="-1"/>
          <w:sz w:val="24"/>
          <w:szCs w:val="24"/>
          <w:highlight w:val="none"/>
        </w:rPr>
        <w:t>工程量偏差或变化</w:t>
      </w:r>
    </w:p>
    <w:p w14:paraId="4E9F6755">
      <w:pPr>
        <w:keepNext w:val="0"/>
        <w:keepLines w:val="0"/>
        <w:pageBreakBefore w:val="0"/>
        <w:widowControl w:val="0"/>
        <w:kinsoku w:val="0"/>
        <w:wordWrap/>
        <w:overflowPunct/>
        <w:topLinePunct w:val="0"/>
        <w:autoSpaceDE w:val="0"/>
        <w:autoSpaceDN w:val="0"/>
        <w:bidi w:val="0"/>
        <w:adjustRightInd w:val="0"/>
        <w:snapToGrid w:val="0"/>
        <w:spacing w:before="158" w:line="360" w:lineRule="auto"/>
        <w:ind w:left="10" w:right="183"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2.3.2.1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合同履行期间，当应予计算的实际工程量与招标工程量清单出现偏差或因工程变更引起已标价工程量清单项目的工程数量发生变化时，工程量偏差或变化在15%以</w:t>
      </w:r>
      <w:r>
        <w:rPr>
          <w:rFonts w:hint="eastAsia" w:ascii="宋体" w:hAnsi="宋体" w:eastAsia="宋体" w:cs="宋体"/>
          <w:color w:val="auto"/>
          <w:spacing w:val="-4"/>
          <w:sz w:val="24"/>
          <w:szCs w:val="24"/>
          <w:highlight w:val="none"/>
        </w:rPr>
        <w:t>内（含15%）的，其综合单价不予调整；工程量偏差或变化超过15%的，按照以下规定</w:t>
      </w:r>
      <w:r>
        <w:rPr>
          <w:rFonts w:hint="eastAsia" w:ascii="宋体" w:hAnsi="宋体" w:eastAsia="宋体" w:cs="宋体"/>
          <w:color w:val="auto"/>
          <w:spacing w:val="-3"/>
          <w:sz w:val="24"/>
          <w:szCs w:val="24"/>
          <w:highlight w:val="none"/>
        </w:rPr>
        <w:t>调整：</w:t>
      </w:r>
    </w:p>
    <w:p w14:paraId="77C38A57">
      <w:pPr>
        <w:keepNext w:val="0"/>
        <w:keepLines w:val="0"/>
        <w:pageBreakBefore w:val="0"/>
        <w:widowControl w:val="0"/>
        <w:kinsoku w:val="0"/>
        <w:wordWrap/>
        <w:overflowPunct/>
        <w:topLinePunct w:val="0"/>
        <w:autoSpaceDE w:val="0"/>
        <w:autoSpaceDN w:val="0"/>
        <w:bidi w:val="0"/>
        <w:adjustRightInd w:val="0"/>
        <w:snapToGrid w:val="0"/>
        <w:spacing w:before="78" w:line="360" w:lineRule="auto"/>
        <w:ind w:left="12" w:firstLine="478"/>
        <w:jc w:val="both"/>
        <w:textAlignment w:val="baseline"/>
        <w:rPr>
          <w:rFonts w:hint="eastAsia" w:ascii="宋体" w:hAnsi="宋体" w:eastAsia="宋体" w:cs="宋体"/>
          <w:color w:val="auto"/>
          <w:sz w:val="24"/>
          <w:szCs w:val="24"/>
          <w:highlight w:val="none"/>
        </w:rPr>
      </w:pPr>
      <w:bookmarkStart w:id="181" w:name="bookmark142"/>
      <w:bookmarkEnd w:id="181"/>
      <w:r>
        <w:rPr>
          <w:rFonts w:hint="eastAsia" w:ascii="宋体" w:hAnsi="宋体" w:eastAsia="宋体" w:cs="宋体"/>
          <w:color w:val="auto"/>
          <w:spacing w:val="-3"/>
          <w:sz w:val="24"/>
          <w:szCs w:val="24"/>
          <w:highlight w:val="none"/>
        </w:rPr>
        <w:t>对于合理报价的清单项目，当工程量增加超过15%时，增加部分的工程量的综合单</w:t>
      </w:r>
      <w:r>
        <w:rPr>
          <w:rFonts w:hint="eastAsia" w:ascii="宋体" w:hAnsi="宋体" w:eastAsia="宋体" w:cs="宋体"/>
          <w:color w:val="auto"/>
          <w:spacing w:val="-7"/>
          <w:sz w:val="24"/>
          <w:szCs w:val="24"/>
          <w:highlight w:val="none"/>
        </w:rPr>
        <w:t>价以</w:t>
      </w:r>
      <w:r>
        <w:rPr>
          <w:rFonts w:hint="eastAsia" w:ascii="宋体" w:hAnsi="宋体" w:eastAsia="宋体" w:cs="宋体"/>
          <w:color w:val="auto"/>
          <w:spacing w:val="-3"/>
          <w:sz w:val="24"/>
          <w:szCs w:val="24"/>
          <w:highlight w:val="none"/>
        </w:rPr>
        <w:t>投标报价《分部分项工程和单价措施项目清单与计价表》中综合单价为基价调低3%；当工程量减少超过15%时，减少后剩余部分的工程量的综合单价以投标报价《分部分项工程和单价措施项目清单与计价表》中综合单价为基价调高3%</w:t>
      </w:r>
      <w:r>
        <w:rPr>
          <w:rFonts w:hint="eastAsia" w:ascii="宋体" w:hAnsi="宋体" w:eastAsia="宋体" w:cs="宋体"/>
          <w:color w:val="auto"/>
          <w:spacing w:val="-1"/>
          <w:sz w:val="24"/>
          <w:szCs w:val="24"/>
          <w:highlight w:val="none"/>
        </w:rPr>
        <w:t>。</w:t>
      </w:r>
    </w:p>
    <w:p w14:paraId="5BBC6D71">
      <w:pPr>
        <w:spacing w:before="97" w:line="360" w:lineRule="auto"/>
        <w:ind w:left="13" w:right="179"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对于按照第二章“</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 条被认定为不平衡报价的清单项目，其综合</w:t>
      </w:r>
      <w:r>
        <w:rPr>
          <w:rFonts w:hint="eastAsia" w:ascii="宋体" w:hAnsi="宋体" w:eastAsia="宋体" w:cs="宋体"/>
          <w:b/>
          <w:bCs/>
          <w:color w:val="auto"/>
          <w:spacing w:val="-3"/>
          <w:sz w:val="24"/>
          <w:szCs w:val="24"/>
          <w:highlight w:val="none"/>
        </w:rPr>
        <w:t>单价按照以下方法调整：</w:t>
      </w:r>
    </w:p>
    <w:p w14:paraId="34CA8CDB">
      <w:pPr>
        <w:spacing w:before="36" w:line="360" w:lineRule="auto"/>
        <w:ind w:firstLine="462"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u w:val="single"/>
        </w:rPr>
        <w:t>以</w:t>
      </w:r>
      <w:r>
        <w:rPr>
          <w:rFonts w:hint="eastAsia" w:ascii="宋体" w:hAnsi="宋体" w:eastAsia="宋体" w:cs="宋体"/>
          <w:b/>
          <w:bCs/>
          <w:color w:val="auto"/>
          <w:spacing w:val="-5"/>
          <w:sz w:val="24"/>
          <w:szCs w:val="24"/>
          <w:highlight w:val="none"/>
          <w:u w:val="single"/>
          <w:lang w:val="en-US" w:eastAsia="zh-CN"/>
        </w:rPr>
        <w:t>最高投标限价</w:t>
      </w:r>
      <w:r>
        <w:rPr>
          <w:rFonts w:hint="eastAsia" w:ascii="宋体" w:hAnsi="宋体" w:eastAsia="宋体" w:cs="宋体"/>
          <w:b/>
          <w:bCs/>
          <w:color w:val="auto"/>
          <w:spacing w:val="-5"/>
          <w:sz w:val="24"/>
          <w:szCs w:val="24"/>
          <w:highlight w:val="none"/>
          <w:u w:val="single"/>
        </w:rPr>
        <w:t>中《分部分项工程和单价措施项目清单与计价表》子目相对应综合单</w:t>
      </w:r>
      <w:r>
        <w:rPr>
          <w:rFonts w:hint="eastAsia" w:ascii="宋体" w:hAnsi="宋体" w:eastAsia="宋体" w:cs="宋体"/>
          <w:b/>
          <w:bCs/>
          <w:color w:val="auto"/>
          <w:spacing w:val="-3"/>
          <w:sz w:val="24"/>
          <w:szCs w:val="24"/>
          <w:highlight w:val="none"/>
          <w:u w:val="single"/>
        </w:rPr>
        <w:t>价×（1-中标下浮率）</w:t>
      </w:r>
      <w:r>
        <w:rPr>
          <w:rFonts w:hint="eastAsia" w:ascii="宋体" w:hAnsi="宋体" w:eastAsia="宋体" w:cs="宋体"/>
          <w:b/>
          <w:bCs/>
          <w:color w:val="auto"/>
          <w:spacing w:val="-3"/>
          <w:sz w:val="24"/>
          <w:szCs w:val="24"/>
          <w:highlight w:val="none"/>
        </w:rPr>
        <w:t>。</w:t>
      </w:r>
    </w:p>
    <w:p w14:paraId="40B43F4D">
      <w:pPr>
        <w:spacing w:before="36" w:line="360" w:lineRule="auto"/>
        <w:ind w:firstLine="462" w:firstLineChars="200"/>
        <w:rPr>
          <w:rFonts w:hint="eastAsia" w:ascii="宋体" w:hAnsi="宋体" w:eastAsia="宋体" w:cs="宋体"/>
          <w:b/>
          <w:bCs/>
          <w:color w:val="auto"/>
          <w:spacing w:val="-5"/>
          <w:sz w:val="24"/>
          <w:szCs w:val="24"/>
          <w:highlight w:val="none"/>
          <w:u w:val="single"/>
        </w:rPr>
      </w:pPr>
      <w:bookmarkStart w:id="182" w:name="_Toc18478"/>
      <w:bookmarkStart w:id="183" w:name="_Toc12035"/>
      <w:bookmarkStart w:id="184" w:name="_Toc13345"/>
      <w:r>
        <w:rPr>
          <w:rFonts w:hint="eastAsia" w:ascii="宋体" w:hAnsi="宋体" w:eastAsia="宋体" w:cs="宋体"/>
          <w:b/>
          <w:bCs/>
          <w:color w:val="auto"/>
          <w:spacing w:val="-5"/>
          <w:sz w:val="24"/>
          <w:szCs w:val="24"/>
          <w:highlight w:val="none"/>
          <w:u w:val="single"/>
        </w:rPr>
        <w:t>中标下浮率=[1-（中标价-中标绿色施工安全防护措施费-暂列金额-暂估价）/（</w:t>
      </w:r>
      <w:bookmarkEnd w:id="182"/>
      <w:bookmarkEnd w:id="183"/>
      <w:bookmarkStart w:id="185" w:name="_Toc13602"/>
      <w:bookmarkStart w:id="186" w:name="_Toc15512"/>
      <w:r>
        <w:rPr>
          <w:rFonts w:hint="eastAsia" w:ascii="宋体" w:hAnsi="宋体" w:eastAsia="宋体" w:cs="宋体"/>
          <w:b/>
          <w:bCs/>
          <w:color w:val="auto"/>
          <w:spacing w:val="-5"/>
          <w:sz w:val="24"/>
          <w:szCs w:val="24"/>
          <w:highlight w:val="none"/>
          <w:u w:val="single"/>
          <w:lang w:eastAsia="zh-CN"/>
        </w:rPr>
        <w:t>最高投标限价</w:t>
      </w:r>
      <w:r>
        <w:rPr>
          <w:rFonts w:hint="eastAsia" w:ascii="宋体" w:hAnsi="宋体" w:eastAsia="宋体" w:cs="宋体"/>
          <w:b/>
          <w:bCs/>
          <w:color w:val="auto"/>
          <w:spacing w:val="-5"/>
          <w:sz w:val="24"/>
          <w:szCs w:val="24"/>
          <w:highlight w:val="none"/>
          <w:u w:val="single"/>
        </w:rPr>
        <w:t>-控制价绿色施工安全防护措施费-暂列金额-暂估价）]×100%</w:t>
      </w:r>
      <w:bookmarkEnd w:id="184"/>
      <w:bookmarkEnd w:id="185"/>
      <w:bookmarkEnd w:id="186"/>
    </w:p>
    <w:p w14:paraId="14DDE0EB">
      <w:pPr>
        <w:spacing w:before="123" w:line="360" w:lineRule="auto"/>
        <w:ind w:left="10" w:right="116" w:firstLine="48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若修正后的该部分《分部分项工程和单价措施项目清单与计价表》总金额大于原投</w:t>
      </w:r>
      <w:r>
        <w:rPr>
          <w:rFonts w:hint="eastAsia" w:ascii="宋体" w:hAnsi="宋体" w:eastAsia="宋体" w:cs="宋体"/>
          <w:color w:val="auto"/>
          <w:spacing w:val="-1"/>
          <w:sz w:val="24"/>
          <w:szCs w:val="24"/>
          <w:highlight w:val="none"/>
        </w:rPr>
        <w:t>标报价中的该部分总金额，则从投标报价需</w:t>
      </w:r>
      <w:r>
        <w:rPr>
          <w:rFonts w:hint="eastAsia" w:ascii="宋体" w:hAnsi="宋体" w:eastAsia="宋体" w:cs="宋体"/>
          <w:color w:val="auto"/>
          <w:spacing w:val="-2"/>
          <w:sz w:val="24"/>
          <w:szCs w:val="24"/>
          <w:highlight w:val="none"/>
        </w:rPr>
        <w:t>调高的综合单价中选择偏离最大的清单开始</w:t>
      </w:r>
      <w:r>
        <w:rPr>
          <w:rFonts w:hint="eastAsia" w:ascii="宋体" w:hAnsi="宋体" w:eastAsia="宋体" w:cs="宋体"/>
          <w:color w:val="auto"/>
          <w:spacing w:val="-1"/>
          <w:sz w:val="24"/>
          <w:szCs w:val="24"/>
          <w:highlight w:val="none"/>
        </w:rPr>
        <w:t>调整，调整幅度逐步减少，直至修正后的该</w:t>
      </w:r>
      <w:r>
        <w:rPr>
          <w:rFonts w:hint="eastAsia" w:ascii="宋体" w:hAnsi="宋体" w:eastAsia="宋体" w:cs="宋体"/>
          <w:color w:val="auto"/>
          <w:spacing w:val="-2"/>
          <w:sz w:val="24"/>
          <w:szCs w:val="24"/>
          <w:highlight w:val="none"/>
        </w:rPr>
        <w:t>部分《分部分项工程和单价措施项目清单与</w:t>
      </w:r>
      <w:r>
        <w:rPr>
          <w:rFonts w:hint="eastAsia" w:ascii="宋体" w:hAnsi="宋体" w:eastAsia="宋体" w:cs="宋体"/>
          <w:color w:val="auto"/>
          <w:spacing w:val="-1"/>
          <w:sz w:val="24"/>
          <w:szCs w:val="24"/>
          <w:highlight w:val="none"/>
        </w:rPr>
        <w:t>计价表》总金额与原投标报价中的该部分总</w:t>
      </w:r>
      <w:r>
        <w:rPr>
          <w:rFonts w:hint="eastAsia" w:ascii="宋体" w:hAnsi="宋体" w:eastAsia="宋体" w:cs="宋体"/>
          <w:color w:val="auto"/>
          <w:spacing w:val="-2"/>
          <w:sz w:val="24"/>
          <w:szCs w:val="24"/>
          <w:highlight w:val="none"/>
        </w:rPr>
        <w:t>金额一致；若修正后的该部分《分部分项工</w:t>
      </w:r>
      <w:r>
        <w:rPr>
          <w:rFonts w:hint="eastAsia" w:ascii="宋体" w:hAnsi="宋体" w:eastAsia="宋体" w:cs="宋体"/>
          <w:color w:val="auto"/>
          <w:spacing w:val="-1"/>
          <w:sz w:val="24"/>
          <w:szCs w:val="24"/>
          <w:highlight w:val="none"/>
        </w:rPr>
        <w:t>程和单价措施项目清单与计价表》总金额小</w:t>
      </w:r>
      <w:r>
        <w:rPr>
          <w:rFonts w:hint="eastAsia" w:ascii="宋体" w:hAnsi="宋体" w:eastAsia="宋体" w:cs="宋体"/>
          <w:color w:val="auto"/>
          <w:spacing w:val="-2"/>
          <w:sz w:val="24"/>
          <w:szCs w:val="24"/>
          <w:highlight w:val="none"/>
        </w:rPr>
        <w:t>于原投标报价中的该部分总金额，则从投标</w:t>
      </w:r>
      <w:r>
        <w:rPr>
          <w:rFonts w:hint="eastAsia" w:ascii="宋体" w:hAnsi="宋体" w:eastAsia="宋体" w:cs="宋体"/>
          <w:color w:val="auto"/>
          <w:spacing w:val="-1"/>
          <w:sz w:val="24"/>
          <w:szCs w:val="24"/>
          <w:highlight w:val="none"/>
        </w:rPr>
        <w:t>报价需调低的综合单价中选择偏离最大的清</w:t>
      </w:r>
      <w:r>
        <w:rPr>
          <w:rFonts w:hint="eastAsia" w:ascii="宋体" w:hAnsi="宋体" w:eastAsia="宋体" w:cs="宋体"/>
          <w:color w:val="auto"/>
          <w:spacing w:val="-2"/>
          <w:sz w:val="24"/>
          <w:szCs w:val="24"/>
          <w:highlight w:val="none"/>
        </w:rPr>
        <w:t>单开始调整，调整幅度逐步减少，直至修正</w:t>
      </w:r>
      <w:r>
        <w:rPr>
          <w:rFonts w:hint="eastAsia" w:ascii="宋体" w:hAnsi="宋体" w:eastAsia="宋体" w:cs="宋体"/>
          <w:color w:val="auto"/>
          <w:spacing w:val="-1"/>
          <w:sz w:val="24"/>
          <w:szCs w:val="24"/>
          <w:highlight w:val="none"/>
        </w:rPr>
        <w:t>后的该部分《分部分项工程和单价措施项目</w:t>
      </w:r>
      <w:r>
        <w:rPr>
          <w:rFonts w:hint="eastAsia" w:ascii="宋体" w:hAnsi="宋体" w:eastAsia="宋体" w:cs="宋体"/>
          <w:color w:val="auto"/>
          <w:spacing w:val="-2"/>
          <w:sz w:val="24"/>
          <w:szCs w:val="24"/>
          <w:highlight w:val="none"/>
        </w:rPr>
        <w:t>清单与计价表》总金额与原投标报价中的该</w:t>
      </w:r>
      <w:r>
        <w:rPr>
          <w:rFonts w:hint="eastAsia" w:ascii="宋体" w:hAnsi="宋体" w:eastAsia="宋体" w:cs="宋体"/>
          <w:color w:val="auto"/>
          <w:spacing w:val="-12"/>
          <w:sz w:val="24"/>
          <w:szCs w:val="24"/>
          <w:highlight w:val="none"/>
        </w:rPr>
        <w:t>部分总金额一致。修正后的总造价应与总中标价保持一致，形成《不平衡报价修正报告》，</w:t>
      </w:r>
      <w:r>
        <w:rPr>
          <w:rFonts w:hint="eastAsia" w:ascii="宋体" w:hAnsi="宋体" w:eastAsia="宋体" w:cs="宋体"/>
          <w:color w:val="auto"/>
          <w:spacing w:val="-1"/>
          <w:sz w:val="24"/>
          <w:szCs w:val="24"/>
          <w:highlight w:val="none"/>
        </w:rPr>
        <w:t>并由招标人和中标人共同签章确认。</w:t>
      </w:r>
    </w:p>
    <w:p w14:paraId="7A7C0ED1">
      <w:pPr>
        <w:keepNext w:val="0"/>
        <w:keepLines w:val="0"/>
        <w:pageBreakBefore w:val="0"/>
        <w:widowControl w:val="0"/>
        <w:kinsoku w:val="0"/>
        <w:wordWrap/>
        <w:overflowPunct/>
        <w:topLinePunct w:val="0"/>
        <w:autoSpaceDE w:val="0"/>
        <w:autoSpaceDN w:val="0"/>
        <w:bidi w:val="0"/>
        <w:adjustRightInd w:val="0"/>
        <w:snapToGrid w:val="0"/>
        <w:spacing w:before="129" w:line="360" w:lineRule="auto"/>
        <w:ind w:left="12" w:right="179"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2.3.2.2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如果工程量出现本章第</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1"/>
          <w:sz w:val="24"/>
          <w:szCs w:val="24"/>
          <w:highlight w:val="none"/>
        </w:rPr>
        <w:t>2.3.2.1</w:t>
      </w:r>
      <w:r>
        <w:rPr>
          <w:rFonts w:hint="eastAsia" w:ascii="宋体" w:hAnsi="宋体" w:eastAsia="宋体" w:cs="宋体"/>
          <w:color w:val="auto"/>
          <w:spacing w:val="1"/>
          <w:sz w:val="24"/>
          <w:szCs w:val="24"/>
          <w:highlight w:val="none"/>
        </w:rPr>
        <w:t>子目的变化，且该变化引起相关措施项目相</w:t>
      </w:r>
      <w:r>
        <w:rPr>
          <w:rFonts w:hint="eastAsia" w:ascii="宋体" w:hAnsi="宋体" w:eastAsia="宋体" w:cs="宋体"/>
          <w:color w:val="auto"/>
          <w:spacing w:val="-2"/>
          <w:sz w:val="24"/>
          <w:szCs w:val="24"/>
          <w:highlight w:val="none"/>
        </w:rPr>
        <w:t>应发生变化时，按系数或单一总价方式计价的，工程量增加的措施项目费调增，工程量</w:t>
      </w:r>
      <w:r>
        <w:rPr>
          <w:rFonts w:hint="eastAsia" w:ascii="宋体" w:hAnsi="宋体" w:eastAsia="宋体" w:cs="宋体"/>
          <w:color w:val="auto"/>
          <w:spacing w:val="-1"/>
          <w:sz w:val="24"/>
          <w:szCs w:val="24"/>
          <w:highlight w:val="none"/>
        </w:rPr>
        <w:t>减少的措施项目费调减。</w:t>
      </w:r>
    </w:p>
    <w:p w14:paraId="15D2F043">
      <w:pPr>
        <w:keepNext w:val="0"/>
        <w:keepLines w:val="0"/>
        <w:pageBreakBefore w:val="0"/>
        <w:widowControl w:val="0"/>
        <w:kinsoku w:val="0"/>
        <w:wordWrap/>
        <w:overflowPunct/>
        <w:topLinePunct w:val="0"/>
        <w:autoSpaceDE w:val="0"/>
        <w:autoSpaceDN w:val="0"/>
        <w:bidi w:val="0"/>
        <w:adjustRightInd w:val="0"/>
        <w:snapToGrid w:val="0"/>
        <w:spacing w:before="154" w:line="360" w:lineRule="auto"/>
        <w:ind w:left="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工程变更</w:t>
      </w:r>
    </w:p>
    <w:p w14:paraId="13DF1C47">
      <w:pPr>
        <w:keepNext w:val="0"/>
        <w:keepLines w:val="0"/>
        <w:pageBreakBefore w:val="0"/>
        <w:widowControl w:val="0"/>
        <w:kinsoku w:val="0"/>
        <w:wordWrap/>
        <w:overflowPunct/>
        <w:topLinePunct w:val="0"/>
        <w:autoSpaceDE w:val="0"/>
        <w:autoSpaceDN w:val="0"/>
        <w:bidi w:val="0"/>
        <w:adjustRightInd w:val="0"/>
        <w:snapToGrid w:val="0"/>
        <w:spacing w:before="153" w:line="360" w:lineRule="auto"/>
        <w:ind w:left="19" w:right="179" w:firstLine="468"/>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合同履行期间，因工程变更引起已标价工程量清单项目发生变化时，按照以下规定调整：</w:t>
      </w:r>
    </w:p>
    <w:p w14:paraId="57D31B1F">
      <w:pPr>
        <w:keepNext w:val="0"/>
        <w:keepLines w:val="0"/>
        <w:pageBreakBefore w:val="0"/>
        <w:widowControl w:val="0"/>
        <w:numPr>
          <w:ilvl w:val="0"/>
          <w:numId w:val="2"/>
        </w:numPr>
        <w:kinsoku w:val="0"/>
        <w:wordWrap/>
        <w:overflowPunct/>
        <w:topLinePunct w:val="0"/>
        <w:autoSpaceDE w:val="0"/>
        <w:autoSpaceDN w:val="0"/>
        <w:bidi w:val="0"/>
        <w:adjustRightInd w:val="0"/>
        <w:snapToGrid w:val="0"/>
        <w:spacing w:before="78" w:line="360" w:lineRule="auto"/>
        <w:ind w:firstLine="242" w:firstLineChars="100"/>
        <w:textAlignment w:val="baseline"/>
        <w:rPr>
          <w:rFonts w:hint="eastAsia" w:ascii="宋体" w:hAnsi="宋体" w:eastAsia="宋体" w:cs="宋体"/>
          <w:b/>
          <w:bCs/>
          <w:color w:val="auto"/>
          <w:spacing w:val="-2"/>
          <w:sz w:val="24"/>
          <w:szCs w:val="24"/>
          <w:highlight w:val="none"/>
        </w:rPr>
      </w:pPr>
      <w:r>
        <w:rPr>
          <w:rFonts w:hint="eastAsia" w:ascii="宋体" w:hAnsi="宋体" w:eastAsia="宋体" w:cs="宋体"/>
          <w:color w:val="auto"/>
          <w:spacing w:val="1"/>
          <w:sz w:val="24"/>
          <w:szCs w:val="24"/>
          <w:highlight w:val="none"/>
        </w:rPr>
        <w:t>已标价工程量清单中有适用于变更工程项目的，采用该项目的单价。</w:t>
      </w:r>
      <w:r>
        <w:rPr>
          <w:rFonts w:hint="eastAsia" w:ascii="宋体" w:hAnsi="宋体" w:eastAsia="宋体" w:cs="宋体"/>
          <w:b/>
          <w:bCs/>
          <w:color w:val="auto"/>
          <w:spacing w:val="1"/>
          <w:sz w:val="24"/>
          <w:szCs w:val="24"/>
          <w:highlight w:val="none"/>
        </w:rPr>
        <w:t>但如果</w:t>
      </w:r>
      <w:bookmarkStart w:id="187" w:name="bookmark143"/>
      <w:bookmarkEnd w:id="187"/>
      <w:r>
        <w:rPr>
          <w:rFonts w:hint="eastAsia" w:ascii="宋体" w:hAnsi="宋体" w:eastAsia="宋体" w:cs="宋体"/>
          <w:b/>
          <w:bCs/>
          <w:color w:val="auto"/>
          <w:spacing w:val="-7"/>
          <w:sz w:val="24"/>
          <w:szCs w:val="24"/>
          <w:highlight w:val="none"/>
        </w:rPr>
        <w:t>被采用的项目属于按照第二章“中标人须知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7"/>
          <w:sz w:val="24"/>
          <w:szCs w:val="24"/>
          <w:highlight w:val="none"/>
        </w:rPr>
        <w:t>”第</w:t>
      </w:r>
      <w:r>
        <w:rPr>
          <w:rFonts w:hint="eastAsia" w:ascii="宋体" w:hAnsi="宋体" w:eastAsia="宋体" w:cs="宋体"/>
          <w:b/>
          <w:bCs/>
          <w:color w:val="auto"/>
          <w:spacing w:val="-8"/>
          <w:sz w:val="24"/>
          <w:szCs w:val="24"/>
          <w:highlight w:val="none"/>
        </w:rPr>
        <w:t>4.2条被认定为不平衡报价的清单项目，</w:t>
      </w:r>
      <w:r>
        <w:rPr>
          <w:rFonts w:hint="eastAsia" w:ascii="宋体" w:hAnsi="宋体" w:eastAsia="宋体" w:cs="宋体"/>
          <w:b/>
          <w:bCs/>
          <w:color w:val="auto"/>
          <w:spacing w:val="-2"/>
          <w:sz w:val="24"/>
          <w:szCs w:val="24"/>
          <w:highlight w:val="none"/>
        </w:rPr>
        <w:t>变更工程项目的单价按照</w:t>
      </w:r>
      <w:r>
        <w:rPr>
          <w:rFonts w:hint="eastAsia" w:ascii="宋体" w:hAnsi="宋体" w:eastAsia="宋体" w:cs="宋体"/>
          <w:b/>
          <w:bCs/>
          <w:color w:val="auto"/>
          <w:spacing w:val="-7"/>
          <w:sz w:val="24"/>
          <w:szCs w:val="24"/>
          <w:highlight w:val="none"/>
        </w:rPr>
        <w:t>本章2.3.2.1的</w:t>
      </w:r>
      <w:r>
        <w:rPr>
          <w:rFonts w:hint="eastAsia" w:ascii="宋体" w:hAnsi="宋体" w:eastAsia="宋体" w:cs="宋体"/>
          <w:b/>
          <w:bCs/>
          <w:color w:val="auto"/>
          <w:spacing w:val="-2"/>
          <w:sz w:val="24"/>
          <w:szCs w:val="24"/>
          <w:highlight w:val="none"/>
        </w:rPr>
        <w:t>方法调整。</w:t>
      </w:r>
    </w:p>
    <w:p w14:paraId="32402804">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78" w:line="360" w:lineRule="auto"/>
        <w:ind w:firstLine="237"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2</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已标价工程量清单中没有适用但有类似于变更工程项目的，可在合理范围内</w:t>
      </w:r>
      <w:r>
        <w:rPr>
          <w:rFonts w:hint="eastAsia" w:ascii="宋体" w:hAnsi="宋体" w:eastAsia="宋体" w:cs="宋体"/>
          <w:color w:val="auto"/>
          <w:spacing w:val="-3"/>
          <w:sz w:val="24"/>
          <w:szCs w:val="24"/>
          <w:highlight w:val="none"/>
        </w:rPr>
        <w:t>参照类似项目的单价。</w:t>
      </w:r>
      <w:r>
        <w:rPr>
          <w:rFonts w:hint="eastAsia" w:ascii="宋体" w:hAnsi="宋体" w:eastAsia="宋体" w:cs="宋体"/>
          <w:b/>
          <w:bCs/>
          <w:color w:val="auto"/>
          <w:spacing w:val="-3"/>
          <w:sz w:val="24"/>
          <w:szCs w:val="24"/>
          <w:highlight w:val="none"/>
        </w:rPr>
        <w:t>但如果被参考的类似项目属于按照第二章“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pacing w:val="-4"/>
          <w:sz w:val="24"/>
          <w:szCs w:val="24"/>
          <w:highlight w:val="none"/>
        </w:rPr>
        <w:t>条被认定为不平衡报价的清单项目，变更工程项目的单价按照本章</w:t>
      </w:r>
      <w:r>
        <w:rPr>
          <w:rFonts w:hint="eastAsia" w:ascii="宋体" w:hAnsi="宋体" w:eastAsia="宋体" w:cs="宋体"/>
          <w:b/>
          <w:bCs/>
          <w:color w:val="auto"/>
          <w:spacing w:val="-4"/>
          <w:sz w:val="24"/>
          <w:szCs w:val="24"/>
          <w:highlight w:val="none"/>
          <w:lang w:val="en-US" w:eastAsia="zh-CN"/>
        </w:rPr>
        <w:t xml:space="preserve"> </w:t>
      </w:r>
      <w:r>
        <w:rPr>
          <w:rFonts w:hint="eastAsia" w:ascii="宋体" w:hAnsi="宋体" w:eastAsia="宋体" w:cs="宋体"/>
          <w:b/>
          <w:bCs/>
          <w:color w:val="auto"/>
          <w:spacing w:val="-4"/>
          <w:sz w:val="24"/>
          <w:szCs w:val="24"/>
          <w:highlight w:val="none"/>
        </w:rPr>
        <w:t>2.3.2.1</w:t>
      </w:r>
      <w:r>
        <w:rPr>
          <w:rFonts w:hint="eastAsia" w:ascii="宋体" w:hAnsi="宋体" w:eastAsia="宋体" w:cs="宋体"/>
          <w:b/>
          <w:bCs/>
          <w:color w:val="auto"/>
          <w:spacing w:val="-4"/>
          <w:sz w:val="24"/>
          <w:szCs w:val="24"/>
          <w:highlight w:val="none"/>
          <w:lang w:val="en-US" w:eastAsia="zh-CN"/>
        </w:rPr>
        <w:t xml:space="preserve"> </w:t>
      </w:r>
      <w:r>
        <w:rPr>
          <w:rFonts w:hint="eastAsia" w:ascii="宋体" w:hAnsi="宋体" w:eastAsia="宋体" w:cs="宋体"/>
          <w:b/>
          <w:bCs/>
          <w:color w:val="auto"/>
          <w:spacing w:val="-4"/>
          <w:sz w:val="24"/>
          <w:szCs w:val="24"/>
          <w:highlight w:val="none"/>
        </w:rPr>
        <w:t>的方法调整。</w:t>
      </w:r>
    </w:p>
    <w:p w14:paraId="6F62DBDE">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38" w:line="360" w:lineRule="auto"/>
        <w:ind w:right="81" w:rightChars="0" w:firstLine="242" w:firstLineChars="100"/>
        <w:jc w:val="both"/>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已标价工程量清单中没有适用也没有类似于变更工程项目的，由承包人根据</w:t>
      </w:r>
      <w:r>
        <w:rPr>
          <w:rFonts w:hint="eastAsia" w:ascii="宋体" w:hAnsi="宋体" w:eastAsia="宋体" w:cs="宋体"/>
          <w:color w:val="auto"/>
          <w:spacing w:val="-2"/>
          <w:sz w:val="24"/>
          <w:szCs w:val="24"/>
          <w:highlight w:val="none"/>
        </w:rPr>
        <w:t>变更工程资料、计量规则、计价办法、施工当月项目所在地工程造价管理机构发布的价格信息和中标下浮率提出变更工程项目的单价，报发包人确认后调整。中标下浮率的计算公式如下：</w:t>
      </w:r>
    </w:p>
    <w:p w14:paraId="1D381FF0">
      <w:pPr>
        <w:keepNext w:val="0"/>
        <w:keepLines w:val="0"/>
        <w:pageBreakBefore w:val="0"/>
        <w:widowControl w:val="0"/>
        <w:kinsoku w:val="0"/>
        <w:wordWrap/>
        <w:overflowPunct/>
        <w:topLinePunct w:val="0"/>
        <w:autoSpaceDE w:val="0"/>
        <w:autoSpaceDN w:val="0"/>
        <w:bidi w:val="0"/>
        <w:adjustRightInd w:val="0"/>
        <w:snapToGrid w:val="0"/>
        <w:spacing w:before="126" w:line="360" w:lineRule="auto"/>
        <w:ind w:left="29" w:right="21" w:firstLine="50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中标下浮率=[1-（中标价-中标绿色施工安全防护措施费-暂列</w:t>
      </w:r>
      <w:r>
        <w:rPr>
          <w:rFonts w:hint="eastAsia" w:ascii="宋体" w:hAnsi="宋体" w:eastAsia="宋体" w:cs="宋体"/>
          <w:b/>
          <w:bCs/>
          <w:color w:val="auto"/>
          <w:spacing w:val="-3"/>
          <w:sz w:val="24"/>
          <w:szCs w:val="24"/>
          <w:highlight w:val="none"/>
        </w:rPr>
        <w:t>金额-暂估价）/（</w:t>
      </w:r>
      <w:r>
        <w:rPr>
          <w:rFonts w:hint="eastAsia" w:ascii="宋体" w:hAnsi="宋体" w:eastAsia="宋体" w:cs="宋体"/>
          <w:b/>
          <w:bCs/>
          <w:color w:val="auto"/>
          <w:spacing w:val="-3"/>
          <w:sz w:val="24"/>
          <w:szCs w:val="24"/>
          <w:highlight w:val="none"/>
          <w:lang w:eastAsia="zh-CN"/>
        </w:rPr>
        <w:t>最高投标限价</w:t>
      </w:r>
      <w:r>
        <w:rPr>
          <w:rFonts w:hint="eastAsia" w:ascii="宋体" w:hAnsi="宋体" w:eastAsia="宋体" w:cs="宋体"/>
          <w:b/>
          <w:bCs/>
          <w:color w:val="auto"/>
          <w:spacing w:val="-3"/>
          <w:sz w:val="24"/>
          <w:szCs w:val="24"/>
          <w:highlight w:val="none"/>
        </w:rPr>
        <w:t>-控制价绿色施工安全防护措施费-暂列金额-暂估价）]×100%</w:t>
      </w:r>
    </w:p>
    <w:p w14:paraId="3662904A">
      <w:pPr>
        <w:numPr>
          <w:ilvl w:val="0"/>
          <w:numId w:val="0"/>
        </w:numPr>
        <w:spacing w:before="156" w:line="360" w:lineRule="auto"/>
        <w:ind w:right="81" w:rightChars="0" w:firstLine="242" w:firstLineChars="100"/>
        <w:rPr>
          <w:rFonts w:hint="eastAsia" w:ascii="宋体" w:hAnsi="宋体" w:eastAsia="宋体" w:cs="宋体"/>
          <w:color w:val="auto"/>
          <w:spacing w:val="1"/>
          <w:sz w:val="24"/>
          <w:szCs w:val="24"/>
          <w:highlight w:val="none"/>
          <w:lang w:eastAsia="zh-CN"/>
        </w:rPr>
      </w:pPr>
      <w:r>
        <w:rPr>
          <w:rFonts w:hint="eastAsia" w:ascii="宋体" w:hAnsi="宋体" w:eastAsia="宋体" w:cs="宋体"/>
          <w:snapToGrid w:val="0"/>
          <w:color w:val="auto"/>
          <w:spacing w:val="1"/>
          <w:sz w:val="24"/>
          <w:szCs w:val="24"/>
          <w:highlight w:val="none"/>
          <w:lang w:val="en-US" w:eastAsia="zh-CN" w:bidi="ar-SA"/>
        </w:rPr>
        <w:t>（4）</w:t>
      </w:r>
      <w:r>
        <w:rPr>
          <w:rFonts w:hint="eastAsia" w:ascii="宋体" w:hAnsi="宋体" w:eastAsia="宋体" w:cs="宋体"/>
          <w:color w:val="auto"/>
          <w:spacing w:val="1"/>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依次参考佛山、清远、河源、肇庆、东莞等广东省内地区信息价、厂商询价、市场调查等取得有合法依据的市场价格提出变更工程项目的单价，报发包人确认后调整（采用同等四类地区信息价的不下浮，若同等四类城市均没有信息价需采用其他城市信息价、厂商询价或市场调查的则按80%执行）。</w:t>
      </w:r>
    </w:p>
    <w:p w14:paraId="1BAB340A">
      <w:pPr>
        <w:numPr>
          <w:ilvl w:val="0"/>
          <w:numId w:val="0"/>
        </w:numPr>
        <w:spacing w:before="156" w:line="360" w:lineRule="auto"/>
        <w:ind w:left="7" w:leftChars="0" w:right="81" w:rightChars="0" w:firstLine="477" w:firstLineChars="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2.3.3.2</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工程变更引起施工方案改变并使措施项目发生变化时，承包人提出调整措施</w:t>
      </w:r>
      <w:r>
        <w:rPr>
          <w:rFonts w:hint="eastAsia" w:ascii="宋体" w:hAnsi="宋体" w:eastAsia="宋体" w:cs="宋体"/>
          <w:color w:val="auto"/>
          <w:spacing w:val="-2"/>
          <w:sz w:val="24"/>
          <w:szCs w:val="24"/>
          <w:highlight w:val="none"/>
        </w:rPr>
        <w:t>项目费的，应事先将拟实施的方案提交发包人确认，并应详细说明与原方案措施项目相比的变化情况。拟实施的方案经发、承包双方确认后执行，并按照本章下列规定调整措施项目费：</w:t>
      </w:r>
    </w:p>
    <w:p w14:paraId="0C73AE88">
      <w:pPr>
        <w:spacing w:before="152" w:line="360" w:lineRule="auto"/>
        <w:ind w:left="49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（1）绿色施工安全防护措施费应按照实际发生变化的措施项目计算。</w:t>
      </w:r>
    </w:p>
    <w:p w14:paraId="7FA6EA9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（2）采用单价计算的措施项目费，应按照实际发生变化的措施项目，按本章</w:t>
      </w:r>
      <w:r>
        <w:rPr>
          <w:rFonts w:hint="eastAsia" w:ascii="宋体" w:hAnsi="宋体" w:eastAsia="宋体" w:cs="宋体"/>
          <w:color w:val="auto"/>
          <w:sz w:val="24"/>
          <w:szCs w:val="24"/>
          <w:highlight w:val="none"/>
          <w:lang w:eastAsia="zh-CN"/>
        </w:rPr>
        <w:t>第</w:t>
      </w:r>
      <w:r>
        <w:rPr>
          <w:rFonts w:hint="eastAsia" w:ascii="宋体" w:hAnsi="宋体" w:eastAsia="宋体" w:cs="宋体"/>
          <w:b/>
          <w:bCs/>
          <w:color w:val="auto"/>
          <w:sz w:val="24"/>
          <w:szCs w:val="24"/>
          <w:highlight w:val="none"/>
        </w:rPr>
        <w:t>2.3.3.1</w:t>
      </w:r>
      <w:r>
        <w:rPr>
          <w:rFonts w:hint="eastAsia" w:ascii="宋体" w:hAnsi="宋体" w:eastAsia="宋体" w:cs="宋体"/>
          <w:color w:val="auto"/>
          <w:sz w:val="24"/>
          <w:szCs w:val="24"/>
          <w:highlight w:val="none"/>
        </w:rPr>
        <w:t>子目的规定确定单价。</w:t>
      </w:r>
    </w:p>
    <w:p w14:paraId="04BC0264">
      <w:pPr>
        <w:spacing w:before="154" w:line="360" w:lineRule="auto"/>
        <w:ind w:left="8"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（3）按总价或系数计算的措施项目费，应按照实际发生变化的措施项目费调整并</w:t>
      </w:r>
      <w:r>
        <w:rPr>
          <w:rFonts w:hint="eastAsia" w:ascii="宋体" w:hAnsi="宋体" w:eastAsia="宋体" w:cs="宋体"/>
          <w:color w:val="auto"/>
          <w:spacing w:val="-3"/>
          <w:sz w:val="24"/>
          <w:szCs w:val="24"/>
          <w:highlight w:val="none"/>
        </w:rPr>
        <w:t>考虑中标下浮率因素，即调整金额</w:t>
      </w:r>
      <w:r>
        <w:rPr>
          <w:rFonts w:hint="eastAsia" w:ascii="宋体" w:hAnsi="宋体" w:eastAsia="宋体" w:cs="宋体"/>
          <w:color w:val="auto"/>
          <w:spacing w:val="-3"/>
          <w:sz w:val="24"/>
          <w:szCs w:val="24"/>
          <w:highlight w:val="none"/>
          <w:lang w:val="en-US" w:eastAsia="zh-CN"/>
        </w:rPr>
        <w:t>=</w:t>
      </w:r>
      <w:r>
        <w:rPr>
          <w:rFonts w:hint="eastAsia" w:ascii="宋体" w:hAnsi="宋体" w:eastAsia="宋体" w:cs="宋体"/>
          <w:color w:val="auto"/>
          <w:spacing w:val="-3"/>
          <w:sz w:val="24"/>
          <w:szCs w:val="24"/>
          <w:highlight w:val="none"/>
        </w:rPr>
        <w:t>按照实际变化调整后的金额×（1-中标下浮率）。</w:t>
      </w:r>
    </w:p>
    <w:p w14:paraId="654772FA">
      <w:pPr>
        <w:spacing w:before="157" w:line="360" w:lineRule="auto"/>
        <w:ind w:left="21" w:right="81" w:firstLine="762" w:firstLineChars="32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如果承包人未事先将拟实施的方案提交发包人确认，视为工程变更不引起措施项目费的调整或承包人放弃调整措施项目费的权利。</w:t>
      </w:r>
    </w:p>
    <w:p w14:paraId="18F0F00E">
      <w:pPr>
        <w:spacing w:before="35" w:line="360" w:lineRule="auto"/>
        <w:ind w:right="81"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当因非承包人原因，发包人提出的工程变更删减了合同中的某项原定工作或</w:t>
      </w:r>
      <w:r>
        <w:rPr>
          <w:rFonts w:hint="eastAsia" w:ascii="宋体" w:hAnsi="宋体" w:eastAsia="宋体" w:cs="宋体"/>
          <w:color w:val="auto"/>
          <w:spacing w:val="-2"/>
          <w:sz w:val="24"/>
          <w:szCs w:val="24"/>
          <w:highlight w:val="none"/>
        </w:rPr>
        <w:t>工程，致使承包人发生的费用或（和）得到的收益不能被包括在其他已支付或应支付的项目中，也未被包含在任何替代的工作或工程中时，承包人有权提出并应得到合理的费用及利润补偿。</w:t>
      </w:r>
    </w:p>
    <w:p w14:paraId="585E7C8E">
      <w:pPr>
        <w:spacing w:before="155" w:line="36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2.3.4  </w:t>
      </w:r>
      <w:r>
        <w:rPr>
          <w:rFonts w:hint="eastAsia" w:ascii="宋体" w:hAnsi="宋体" w:eastAsia="宋体" w:cs="宋体"/>
          <w:color w:val="auto"/>
          <w:spacing w:val="-1"/>
          <w:sz w:val="24"/>
          <w:szCs w:val="24"/>
          <w:highlight w:val="none"/>
        </w:rPr>
        <w:t>项目特征不符</w:t>
      </w:r>
    </w:p>
    <w:p w14:paraId="7CE5BBEA">
      <w:pPr>
        <w:spacing w:before="78" w:line="360" w:lineRule="auto"/>
        <w:ind w:left="8" w:right="108" w:firstLine="480"/>
        <w:jc w:val="both"/>
        <w:rPr>
          <w:rFonts w:hint="eastAsia" w:ascii="宋体" w:hAnsi="宋体" w:eastAsia="宋体" w:cs="宋体"/>
          <w:color w:val="auto"/>
          <w:sz w:val="24"/>
          <w:szCs w:val="24"/>
          <w:highlight w:val="none"/>
        </w:rPr>
      </w:pPr>
      <w:bookmarkStart w:id="188" w:name="bookmark144"/>
      <w:bookmarkEnd w:id="188"/>
      <w:r>
        <w:rPr>
          <w:rFonts w:hint="eastAsia" w:ascii="宋体" w:hAnsi="宋体" w:eastAsia="宋体" w:cs="宋体"/>
          <w:color w:val="auto"/>
          <w:spacing w:val="-2"/>
          <w:sz w:val="24"/>
          <w:szCs w:val="24"/>
          <w:highlight w:val="none"/>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rPr>
        <w:t>程造价增减变化的，应按照实际施工的项目特征，并按本章第</w:t>
      </w:r>
      <w:r>
        <w:rPr>
          <w:rFonts w:hint="eastAsia" w:ascii="宋体" w:hAnsi="宋体" w:eastAsia="宋体" w:cs="宋体"/>
          <w:b/>
          <w:bCs/>
          <w:color w:val="auto"/>
          <w:sz w:val="24"/>
          <w:szCs w:val="24"/>
          <w:highlight w:val="none"/>
        </w:rPr>
        <w:t>2.3.3</w:t>
      </w:r>
      <w:r>
        <w:rPr>
          <w:rFonts w:hint="eastAsia" w:ascii="宋体" w:hAnsi="宋体" w:eastAsia="宋体" w:cs="宋体"/>
          <w:color w:val="auto"/>
          <w:sz w:val="24"/>
          <w:szCs w:val="24"/>
          <w:highlight w:val="none"/>
        </w:rPr>
        <w:t>目相</w:t>
      </w:r>
      <w:r>
        <w:rPr>
          <w:rFonts w:hint="eastAsia" w:ascii="宋体" w:hAnsi="宋体" w:eastAsia="宋体" w:cs="宋体"/>
          <w:color w:val="auto"/>
          <w:spacing w:val="-1"/>
          <w:sz w:val="24"/>
          <w:szCs w:val="24"/>
          <w:highlight w:val="none"/>
        </w:rPr>
        <w:t>关条款的规定重新确定相应工程量清单项目的综合单价，并调整合同价款。</w:t>
      </w:r>
    </w:p>
    <w:p w14:paraId="073F9068">
      <w:pPr>
        <w:spacing w:before="38" w:line="360"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2.3.5  </w:t>
      </w:r>
      <w:r>
        <w:rPr>
          <w:rFonts w:hint="eastAsia" w:ascii="宋体" w:hAnsi="宋体" w:eastAsia="宋体" w:cs="宋体"/>
          <w:color w:val="auto"/>
          <w:spacing w:val="-1"/>
          <w:sz w:val="24"/>
          <w:szCs w:val="24"/>
          <w:highlight w:val="none"/>
        </w:rPr>
        <w:t>招标工程量清单缺项</w:t>
      </w:r>
    </w:p>
    <w:p w14:paraId="4A30DBE6">
      <w:pPr>
        <w:spacing w:before="152" w:line="360" w:lineRule="auto"/>
        <w:ind w:left="9" w:right="56"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2.3.5.1</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合同履行期间，由于招标</w:t>
      </w:r>
      <w:r>
        <w:rPr>
          <w:rFonts w:hint="eastAsia" w:ascii="宋体" w:hAnsi="宋体" w:eastAsia="宋体" w:cs="宋体"/>
          <w:color w:val="auto"/>
          <w:spacing w:val="-2"/>
          <w:sz w:val="24"/>
          <w:szCs w:val="24"/>
          <w:highlight w:val="none"/>
        </w:rPr>
        <w:t>工程量清单中缺项，新增分部分项工程清单项目，</w:t>
      </w:r>
      <w:r>
        <w:rPr>
          <w:rFonts w:hint="eastAsia" w:ascii="宋体" w:hAnsi="宋体" w:eastAsia="宋体" w:cs="宋体"/>
          <w:color w:val="auto"/>
          <w:spacing w:val="-1"/>
          <w:sz w:val="24"/>
          <w:szCs w:val="24"/>
          <w:highlight w:val="none"/>
        </w:rPr>
        <w:t>应按照本章第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b/>
          <w:bCs/>
          <w:color w:val="auto"/>
          <w:spacing w:val="-1"/>
          <w:sz w:val="24"/>
          <w:szCs w:val="24"/>
          <w:highlight w:val="none"/>
        </w:rPr>
        <w:t>2.3.3.1</w:t>
      </w:r>
      <w:r>
        <w:rPr>
          <w:rFonts w:hint="eastAsia" w:ascii="宋体" w:hAnsi="宋体" w:eastAsia="宋体" w:cs="宋体"/>
          <w:color w:val="auto"/>
          <w:spacing w:val="-1"/>
          <w:sz w:val="24"/>
          <w:szCs w:val="24"/>
          <w:highlight w:val="none"/>
        </w:rPr>
        <w:t>子目的规定确定单价，并调整合同价款。</w:t>
      </w:r>
    </w:p>
    <w:p w14:paraId="64B62F99">
      <w:pPr>
        <w:spacing w:before="157" w:line="360"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新增分部分项工程清单项目后，引起</w:t>
      </w:r>
      <w:r>
        <w:rPr>
          <w:rFonts w:hint="eastAsia" w:ascii="宋体" w:hAnsi="宋体" w:eastAsia="宋体" w:cs="宋体"/>
          <w:color w:val="auto"/>
          <w:spacing w:val="-2"/>
          <w:sz w:val="24"/>
          <w:szCs w:val="24"/>
          <w:highlight w:val="none"/>
        </w:rPr>
        <w:t>措施项目发生变化的，应按照本章第</w:t>
      </w:r>
      <w:r>
        <w:rPr>
          <w:rFonts w:hint="eastAsia" w:ascii="宋体" w:hAnsi="宋体" w:eastAsia="宋体" w:cs="宋体"/>
          <w:b/>
          <w:bCs/>
          <w:color w:val="auto"/>
          <w:spacing w:val="-2"/>
          <w:sz w:val="24"/>
          <w:szCs w:val="24"/>
          <w:highlight w:val="none"/>
        </w:rPr>
        <w:t>2.</w:t>
      </w:r>
      <w:r>
        <w:rPr>
          <w:rFonts w:hint="eastAsia" w:ascii="宋体" w:hAnsi="宋体" w:eastAsia="宋体" w:cs="宋体"/>
          <w:b/>
          <w:bCs/>
          <w:color w:val="auto"/>
          <w:sz w:val="24"/>
          <w:szCs w:val="24"/>
          <w:highlight w:val="none"/>
        </w:rPr>
        <w:t xml:space="preserve">3.3.2 </w:t>
      </w:r>
      <w:r>
        <w:rPr>
          <w:rFonts w:hint="eastAsia" w:ascii="宋体" w:hAnsi="宋体" w:eastAsia="宋体" w:cs="宋体"/>
          <w:color w:val="auto"/>
          <w:sz w:val="24"/>
          <w:szCs w:val="24"/>
          <w:highlight w:val="none"/>
        </w:rPr>
        <w:t>子目的规定，在承包人提交的实施方案被发包人批准后调整</w:t>
      </w:r>
      <w:r>
        <w:rPr>
          <w:rFonts w:hint="eastAsia" w:ascii="宋体" w:hAnsi="宋体" w:eastAsia="宋体" w:cs="宋体"/>
          <w:color w:val="auto"/>
          <w:spacing w:val="-1"/>
          <w:sz w:val="24"/>
          <w:szCs w:val="24"/>
          <w:highlight w:val="none"/>
        </w:rPr>
        <w:t>合同价款。</w:t>
      </w:r>
    </w:p>
    <w:p w14:paraId="501ED816">
      <w:pPr>
        <w:spacing w:before="156" w:line="360" w:lineRule="auto"/>
        <w:ind w:left="13" w:right="108" w:firstLine="471"/>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4"/>
          <w:sz w:val="24"/>
          <w:szCs w:val="24"/>
          <w:highlight w:val="none"/>
        </w:rPr>
        <w:t>2.3.5.3</w:t>
      </w:r>
      <w:r>
        <w:rPr>
          <w:rFonts w:hint="eastAsia" w:ascii="宋体" w:hAnsi="宋体" w:eastAsia="宋体" w:cs="宋体"/>
          <w:b/>
          <w:bCs/>
          <w:color w:val="auto"/>
          <w:spacing w:val="-4"/>
          <w:sz w:val="24"/>
          <w:szCs w:val="24"/>
          <w:highlight w:val="none"/>
        </w:rPr>
        <w:fldChar w:fldCharType="end"/>
      </w:r>
      <w:r>
        <w:rPr>
          <w:rFonts w:hint="eastAsia" w:ascii="宋体" w:hAnsi="宋体" w:eastAsia="宋体" w:cs="宋体"/>
          <w:b/>
          <w:bCs/>
          <w:color w:val="auto"/>
          <w:spacing w:val="22"/>
          <w:w w:val="101"/>
          <w:sz w:val="24"/>
          <w:szCs w:val="24"/>
          <w:highlight w:val="none"/>
        </w:rPr>
        <w:t xml:space="preserve">  </w:t>
      </w:r>
      <w:r>
        <w:rPr>
          <w:rFonts w:hint="eastAsia" w:ascii="宋体" w:hAnsi="宋体" w:eastAsia="宋体" w:cs="宋体"/>
          <w:color w:val="auto"/>
          <w:spacing w:val="-4"/>
          <w:sz w:val="24"/>
          <w:szCs w:val="24"/>
          <w:highlight w:val="none"/>
        </w:rPr>
        <w:t>由于招标工程量清单中措施项目缺项，承包人应将新增措施项目实施方案提</w:t>
      </w:r>
      <w:r>
        <w:rPr>
          <w:rFonts w:hint="eastAsia" w:ascii="宋体" w:hAnsi="宋体" w:eastAsia="宋体" w:cs="宋体"/>
          <w:color w:val="auto"/>
          <w:spacing w:val="-1"/>
          <w:sz w:val="24"/>
          <w:szCs w:val="24"/>
          <w:highlight w:val="none"/>
        </w:rPr>
        <w:t>交发包人批准后，按照本章第</w:t>
      </w:r>
      <w:r>
        <w:rPr>
          <w:rFonts w:hint="eastAsia" w:ascii="宋体" w:hAnsi="宋体" w:eastAsia="宋体" w:cs="宋体"/>
          <w:color w:val="auto"/>
          <w:spacing w:val="-36"/>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 xml:space="preserve">2.3.3.2 </w:t>
      </w:r>
      <w:r>
        <w:rPr>
          <w:rFonts w:hint="eastAsia" w:ascii="宋体" w:hAnsi="宋体" w:eastAsia="宋体" w:cs="宋体"/>
          <w:color w:val="auto"/>
          <w:spacing w:val="-1"/>
          <w:sz w:val="24"/>
          <w:szCs w:val="24"/>
          <w:highlight w:val="none"/>
        </w:rPr>
        <w:t>子目的规定调整合同价款。</w:t>
      </w:r>
    </w:p>
    <w:p w14:paraId="117C540D">
      <w:pPr>
        <w:wordWrap w:val="0"/>
        <w:adjustRightInd w:val="0"/>
        <w:snapToGrid w:val="0"/>
        <w:spacing w:line="360" w:lineRule="auto"/>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2.3.6</w:t>
      </w:r>
      <w:r>
        <w:rPr>
          <w:rFonts w:hint="eastAsia" w:ascii="宋体" w:hAnsi="宋体" w:eastAsia="宋体" w:cs="宋体"/>
          <w:bCs/>
          <w:snapToGrid w:val="0"/>
          <w:color w:val="auto"/>
          <w:kern w:val="0"/>
          <w:sz w:val="24"/>
          <w:szCs w:val="24"/>
          <w:highlight w:val="none"/>
        </w:rPr>
        <w:t xml:space="preserve"> 物价变化</w:t>
      </w:r>
    </w:p>
    <w:p w14:paraId="474B3D89">
      <w:pPr>
        <w:wordWrap w:val="0"/>
        <w:adjustRightInd w:val="0"/>
        <w:snapToGrid w:val="0"/>
        <w:spacing w:line="360" w:lineRule="auto"/>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2.3.6.1</w:t>
      </w:r>
      <w:r>
        <w:rPr>
          <w:rFonts w:hint="eastAsia" w:ascii="宋体" w:hAnsi="宋体" w:eastAsia="宋体" w:cs="宋体"/>
          <w:bCs/>
          <w:snapToGrid w:val="0"/>
          <w:color w:val="auto"/>
          <w:kern w:val="0"/>
          <w:sz w:val="24"/>
          <w:szCs w:val="24"/>
          <w:highlight w:val="none"/>
        </w:rPr>
        <w:t xml:space="preserve"> 合同履行期间，项目所在地工程造价管理机构发布的动态人工调整系数发生变化时，如果承包人投标报价中人工费（</w:t>
      </w:r>
      <w:r>
        <w:rPr>
          <w:rFonts w:hint="eastAsia" w:ascii="宋体" w:hAnsi="宋体" w:eastAsia="宋体" w:cs="宋体"/>
          <w:snapToGrid w:val="0"/>
          <w:color w:val="auto"/>
          <w:kern w:val="0"/>
          <w:sz w:val="24"/>
          <w:szCs w:val="24"/>
          <w:highlight w:val="none"/>
        </w:rPr>
        <w:t>以下简称“中标人工费”</w:t>
      </w:r>
      <w:r>
        <w:rPr>
          <w:rFonts w:hint="eastAsia" w:ascii="宋体" w:hAnsi="宋体" w:eastAsia="宋体" w:cs="宋体"/>
          <w:bCs/>
          <w:snapToGrid w:val="0"/>
          <w:color w:val="auto"/>
          <w:kern w:val="0"/>
          <w:sz w:val="24"/>
          <w:szCs w:val="24"/>
          <w:highlight w:val="none"/>
        </w:rPr>
        <w:t>）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270E0DE7">
      <w:pPr>
        <w:wordWrap w:val="0"/>
        <w:adjustRightInd w:val="0"/>
        <w:snapToGrid w:val="0"/>
        <w:spacing w:line="360" w:lineRule="auto"/>
        <w:ind w:firstLine="480" w:firstLineChars="200"/>
        <w:jc w:val="center"/>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结算人工费＝中标人工费×F</w:t>
      </w:r>
      <w:r>
        <w:rPr>
          <w:rFonts w:hint="eastAsia" w:ascii="宋体" w:hAnsi="宋体" w:eastAsia="宋体" w:cs="宋体"/>
          <w:bCs/>
          <w:snapToGrid w:val="0"/>
          <w:color w:val="auto"/>
          <w:kern w:val="0"/>
          <w:sz w:val="24"/>
          <w:szCs w:val="24"/>
          <w:highlight w:val="none"/>
          <w:vertAlign w:val="subscript"/>
        </w:rPr>
        <w:t>1</w:t>
      </w:r>
    </w:p>
    <w:p w14:paraId="2FB59307">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式中，F</w:t>
      </w:r>
      <w:r>
        <w:rPr>
          <w:rFonts w:hint="eastAsia" w:ascii="宋体" w:hAnsi="宋体" w:eastAsia="宋体" w:cs="宋体"/>
          <w:bCs/>
          <w:snapToGrid w:val="0"/>
          <w:color w:val="auto"/>
          <w:kern w:val="0"/>
          <w:sz w:val="24"/>
          <w:szCs w:val="24"/>
          <w:highlight w:val="none"/>
          <w:vertAlign w:val="subscript"/>
        </w:rPr>
        <w:t>1</w:t>
      </w:r>
      <w:r>
        <w:rPr>
          <w:rFonts w:hint="eastAsia" w:ascii="宋体" w:hAnsi="宋体" w:eastAsia="宋体" w:cs="宋体"/>
          <w:bCs/>
          <w:snapToGrid w:val="0"/>
          <w:color w:val="auto"/>
          <w:kern w:val="0"/>
          <w:sz w:val="24"/>
          <w:szCs w:val="24"/>
          <w:highlight w:val="none"/>
        </w:rPr>
        <w:t>为施工当月项目所在地工程造价管理机构发布的动态人工调整系数。</w:t>
      </w:r>
    </w:p>
    <w:p w14:paraId="5B993ECC">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2.3.6.2</w:t>
      </w:r>
      <w:r>
        <w:rPr>
          <w:rFonts w:hint="eastAsia" w:ascii="宋体" w:hAnsi="宋体" w:eastAsia="宋体" w:cs="宋体"/>
          <w:snapToGrid w:val="0"/>
          <w:color w:val="auto"/>
          <w:kern w:val="0"/>
          <w:sz w:val="24"/>
          <w:szCs w:val="24"/>
          <w:highlight w:val="none"/>
        </w:rPr>
        <w:t xml:space="preserve"> 本招标项目约定，材料、工程设备单价涨跌风险幅度值A为</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合同履行期间，当《承包人提供主要材料和工程设备一览表》（详见招标工程量清单）中的材料、工程设备单价涨跌幅度等于或低于A值时，该材料、工程设备单价不予调整；超过A值时，其超过部分可以调整。相关费用按有关规定进行相应调整。</w:t>
      </w:r>
    </w:p>
    <w:p w14:paraId="113C2B75">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a</w:t>
      </w:r>
      <w:r>
        <w:rPr>
          <w:rFonts w:hint="eastAsia" w:ascii="宋体" w:hAnsi="宋体" w:eastAsia="宋体" w:cs="宋体"/>
          <w:snapToGrid w:val="0"/>
          <w:color w:val="auto"/>
          <w:kern w:val="0"/>
          <w:sz w:val="24"/>
          <w:szCs w:val="24"/>
          <w:highlight w:val="none"/>
        </w:rPr>
        <w:t>．如果承包人投标报价中材料、工程设备单价（以下简称“中标单价”）低于基准日当月项目所在地工程造价管理机构发布的对应材料、工程设备单价（以下简称“基准单价”），该材料、工程设备的结算单价调整公式为：</w:t>
      </w:r>
    </w:p>
    <w:p w14:paraId="2B160A12">
      <w:pPr>
        <w:wordWrap w:val="0"/>
        <w:adjustRightInd w:val="0"/>
        <w:snapToGrid w:val="0"/>
        <w:spacing w:before="360" w:beforeLines="150" w:after="240" w:afterLines="100"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a</w:t>
      </w: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25" o:spt="75" type="#_x0000_t75" style="height:33.95pt;width:200.95pt;" o:ole="t" filled="f" stroked="f" coordsize="21600,21600">
            <v:path/>
            <v:fill on="f" focussize="0,0"/>
            <v:stroke on="f"/>
            <v:imagedata r:id="rId9" o:title=""/>
            <o:lock v:ext="edit" grouping="f" rotation="f" text="f" aspectratio="t"/>
            <w10:wrap type="none"/>
            <w10:anchorlock/>
          </v:shape>
          <o:OLEObject Type="Embed" ProgID="Equation.KSEE3" ShapeID="_x0000_i1025" DrawAspect="Content" ObjectID="_1468075725" r:id="rId8">
            <o:LockedField>false</o:LockedField>
          </o:OLEObject>
        </w:object>
      </w:r>
    </w:p>
    <w:p w14:paraId="04C53B96">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6" o:spt="75" type="#_x0000_t75" style="height:33.95pt;width:198.95pt;" o:ole="t" filled="f" stroked="f" coordsize="21600,21600">
            <v:path/>
            <v:fill on="f" focussize="0,0"/>
            <v:stroke on="f"/>
            <v:imagedata r:id="rId11" o:title=""/>
            <o:lock v:ext="edit" grouping="f" rotation="f" text="f" aspectratio="t"/>
            <w10:wrap type="none"/>
            <w10:anchorlock/>
          </v:shape>
          <o:OLEObject Type="Embed" ProgID="Equation.KSEE3" ShapeID="_x0000_i1026" DrawAspect="Content" ObjectID="_1468075726" r:id="rId10">
            <o:LockedField>false</o:LockedField>
          </o:OLEObject>
        </w:object>
      </w:r>
    </w:p>
    <w:p w14:paraId="3842ABDD">
      <w:pPr>
        <w:wordWrap w:val="0"/>
        <w:adjustRightInd w:val="0"/>
        <w:snapToGrid w:val="0"/>
        <w:spacing w:before="360" w:beforeLines="150" w:after="240" w:afterLines="100"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27" o:spt="75" type="#_x0000_t75" style="height:33.95pt;width:198.95pt;" o:ole="t" filled="f" stroked="f" coordsize="21600,21600">
            <v:path/>
            <v:fill on="f" focussize="0,0"/>
            <v:stroke on="f"/>
            <v:imagedata r:id="rId13" o:title=""/>
            <o:lock v:ext="edit" grouping="f" rotation="f" text="f" aspectratio="t"/>
            <w10:wrap type="none"/>
            <w10:anchorlock/>
          </v:shape>
          <o:OLEObject Type="Embed" ProgID="Equation.KSEE3" ShapeID="_x0000_i1027" DrawAspect="Content" ObjectID="_1468075727" r:id="rId12">
            <o:LockedField>false</o:LockedField>
          </o:OLEObject>
        </w:object>
      </w:r>
    </w:p>
    <w:p w14:paraId="4FF1F9FA">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8" o:spt="75" type="#_x0000_t75" style="height:33.95pt;width:200.95pt;" o:ole="t" filled="f" stroked="f" coordsize="21600,21600">
            <v:path/>
            <v:fill on="f" focussize="0,0"/>
            <v:stroke on="f"/>
            <v:imagedata r:id="rId15" o:title=""/>
            <o:lock v:ext="edit" grouping="f" rotation="f" text="f" aspectratio="t"/>
            <w10:wrap type="none"/>
            <w10:anchorlock/>
          </v:shape>
          <o:OLEObject Type="Embed" ProgID="Equation.KSEE3" ShapeID="_x0000_i1028" DrawAspect="Content" ObjectID="_1468075728" r:id="rId14">
            <o:LockedField>false</o:LockedField>
          </o:OLEObject>
        </w:object>
      </w:r>
    </w:p>
    <w:p w14:paraId="542CF11A">
      <w:pPr>
        <w:wordWrap w:val="0"/>
        <w:adjustRightInd w:val="0"/>
        <w:snapToGrid w:val="0"/>
        <w:spacing w:before="360" w:beforeLines="150" w:after="240" w:afterLines="100"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29" o:spt="75" type="#_x0000_t75" style="height:33.95pt;width:200.95pt;" o:ole="t" filled="f" stroked="f" coordsize="21600,21600">
            <v:path/>
            <v:fill on="f" focussize="0,0"/>
            <v:stroke on="f"/>
            <v:imagedata r:id="rId17" o:title=""/>
            <o:lock v:ext="edit" grouping="f" rotation="f" text="f" aspectratio="t"/>
            <w10:wrap type="none"/>
            <w10:anchorlock/>
          </v:shape>
          <o:OLEObject Type="Embed" ProgID="Equation.KSEE3" ShapeID="_x0000_i1029" DrawAspect="Content" ObjectID="_1468075729" r:id="rId16">
            <o:LockedField>false</o:LockedField>
          </o:OLEObject>
        </w:object>
      </w:r>
    </w:p>
    <w:p w14:paraId="3B2DE2A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0" o:spt="75" type="#_x0000_t75" style="height:33.95pt;width:200.95pt;" o:ole="t" filled="f" o:preferrelative="t" stroked="f" coordsize="21600,21600">
            <v:path/>
            <v:fill on="f" focussize="0,0"/>
            <v:stroke on="f"/>
            <v:imagedata r:id="rId19" o:title=""/>
            <o:lock v:ext="edit" grouping="f" rotation="f" text="f" aspectratio="t"/>
            <w10:wrap type="none"/>
            <w10:anchorlock/>
          </v:shape>
          <o:OLEObject Type="Embed" ProgID="Equation.KSEE3" ShapeID="_x0000_i1030" DrawAspect="Content" ObjectID="_1468075730" r:id="rId18">
            <o:LockedField>false</o:LockedField>
          </o:OLEObject>
        </w:object>
      </w:r>
    </w:p>
    <w:p w14:paraId="754886E0">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以上公式中，</w:t>
      </w:r>
      <w:r>
        <w:rPr>
          <w:rFonts w:hint="eastAsia" w:ascii="宋体" w:hAnsi="宋体" w:eastAsia="宋体" w:cs="宋体"/>
          <w:bCs/>
          <w:snapToGrid w:val="0"/>
          <w:color w:val="auto"/>
          <w:kern w:val="0"/>
          <w:sz w:val="24"/>
          <w:szCs w:val="24"/>
          <w:highlight w:val="none"/>
        </w:rPr>
        <w:t>F</w:t>
      </w:r>
      <w:r>
        <w:rPr>
          <w:rFonts w:hint="eastAsia" w:ascii="宋体" w:hAnsi="宋体" w:eastAsia="宋体" w:cs="宋体"/>
          <w:bCs/>
          <w:snapToGrid w:val="0"/>
          <w:color w:val="auto"/>
          <w:kern w:val="0"/>
          <w:sz w:val="24"/>
          <w:szCs w:val="24"/>
          <w:highlight w:val="none"/>
          <w:vertAlign w:val="subscript"/>
        </w:rPr>
        <w:t>1</w:t>
      </w:r>
      <w:r>
        <w:rPr>
          <w:rFonts w:hint="eastAsia" w:ascii="宋体" w:hAnsi="宋体" w:eastAsia="宋体" w:cs="宋体"/>
          <w:bCs/>
          <w:snapToGrid w:val="0"/>
          <w:color w:val="auto"/>
          <w:kern w:val="0"/>
          <w:sz w:val="24"/>
          <w:szCs w:val="24"/>
          <w:highlight w:val="none"/>
        </w:rPr>
        <w:t>为中标单价；F</w:t>
      </w:r>
      <w:r>
        <w:rPr>
          <w:rFonts w:hint="eastAsia" w:ascii="宋体" w:hAnsi="宋体" w:eastAsia="宋体" w:cs="宋体"/>
          <w:bCs/>
          <w:snapToGrid w:val="0"/>
          <w:color w:val="auto"/>
          <w:kern w:val="0"/>
          <w:sz w:val="24"/>
          <w:szCs w:val="24"/>
          <w:highlight w:val="none"/>
          <w:vertAlign w:val="subscript"/>
        </w:rPr>
        <w:t>0</w:t>
      </w:r>
      <w:r>
        <w:rPr>
          <w:rFonts w:hint="eastAsia" w:ascii="宋体" w:hAnsi="宋体" w:eastAsia="宋体" w:cs="宋体"/>
          <w:bCs/>
          <w:snapToGrid w:val="0"/>
          <w:color w:val="auto"/>
          <w:kern w:val="0"/>
          <w:sz w:val="24"/>
          <w:szCs w:val="24"/>
          <w:highlight w:val="none"/>
        </w:rPr>
        <w:t>为基准单价； F</w:t>
      </w:r>
      <w:r>
        <w:rPr>
          <w:rFonts w:hint="eastAsia" w:ascii="宋体" w:hAnsi="宋体" w:eastAsia="宋体" w:cs="宋体"/>
          <w:bCs/>
          <w:snapToGrid w:val="0"/>
          <w:color w:val="auto"/>
          <w:kern w:val="0"/>
          <w:sz w:val="24"/>
          <w:szCs w:val="24"/>
          <w:highlight w:val="none"/>
          <w:vertAlign w:val="subscript"/>
        </w:rPr>
        <w:t>2</w:t>
      </w:r>
      <w:r>
        <w:rPr>
          <w:rFonts w:hint="eastAsia" w:ascii="宋体" w:hAnsi="宋体" w:eastAsia="宋体" w:cs="宋体"/>
          <w:bCs/>
          <w:snapToGrid w:val="0"/>
          <w:color w:val="auto"/>
          <w:kern w:val="0"/>
          <w:sz w:val="24"/>
          <w:szCs w:val="24"/>
          <w:highlight w:val="none"/>
        </w:rPr>
        <w:t>为施工当月项目所在地工程造价管理机构发布的材料、工程设备单价；A为合同约定的材料、工程设备单价涨跌风险幅度值。</w:t>
      </w:r>
    </w:p>
    <w:p w14:paraId="73BBEA5A">
      <w:pPr>
        <w:wordWrap w:val="0"/>
        <w:adjustRightInd w:val="0"/>
        <w:snapToGrid w:val="0"/>
        <w:spacing w:line="360" w:lineRule="auto"/>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2.3.6.3</w:t>
      </w:r>
      <w:r>
        <w:rPr>
          <w:rFonts w:hint="eastAsia" w:ascii="宋体" w:hAnsi="宋体" w:eastAsia="宋体" w:cs="宋体"/>
          <w:snapToGrid w:val="0"/>
          <w:color w:val="auto"/>
          <w:kern w:val="0"/>
          <w:sz w:val="24"/>
          <w:szCs w:val="24"/>
          <w:highlight w:val="none"/>
        </w:rPr>
        <w:t xml:space="preserve"> 合同履行期间，当《发包人提供材料和工程设备一览表》（详见招标工程量清单）中的材料、工程设备单价发生变化时，由发包人按照实际变化调整，并列入合同价款。</w:t>
      </w:r>
    </w:p>
    <w:p w14:paraId="03AC2041">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2.3.6.4</w:t>
      </w:r>
      <w:r>
        <w:rPr>
          <w:rFonts w:hint="eastAsia" w:ascii="宋体" w:hAnsi="宋体" w:eastAsia="宋体" w:cs="宋体"/>
          <w:snapToGrid w:val="0"/>
          <w:color w:val="auto"/>
          <w:kern w:val="0"/>
          <w:sz w:val="24"/>
          <w:szCs w:val="24"/>
          <w:highlight w:val="none"/>
        </w:rPr>
        <w:t xml:space="preserve"> 本招标项目约定，施工机具台班单价涨跌风险幅度值B为</w:t>
      </w:r>
      <w:r>
        <w:rPr>
          <w:rFonts w:hint="eastAsia" w:ascii="宋体" w:hAnsi="宋体" w:eastAsia="宋体" w:cs="宋体"/>
          <w:snapToGrid w:val="0"/>
          <w:color w:val="auto"/>
          <w:kern w:val="0"/>
          <w:sz w:val="24"/>
          <w:szCs w:val="24"/>
          <w:highlight w:val="none"/>
          <w:u w:val="single"/>
        </w:rPr>
        <w:t>10%</w:t>
      </w:r>
      <w:r>
        <w:rPr>
          <w:rFonts w:hint="eastAsia" w:ascii="宋体" w:hAnsi="宋体" w:eastAsia="宋体" w:cs="宋体"/>
          <w:snapToGrid w:val="0"/>
          <w:color w:val="auto"/>
          <w:kern w:val="0"/>
          <w:sz w:val="24"/>
          <w:szCs w:val="24"/>
          <w:highlight w:val="none"/>
        </w:rPr>
        <w:t>。合同履行期间，当施工机具台班单价涨跌幅度等于或低于B值时，该施工机具台班单价不予调整；超过B值时，其超过部分可以调整。相关费用按有关规定进行相应调整。</w:t>
      </w:r>
    </w:p>
    <w:p w14:paraId="35BB542C">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a</w:t>
      </w:r>
      <w:r>
        <w:rPr>
          <w:rFonts w:hint="eastAsia" w:ascii="宋体" w:hAnsi="宋体" w:eastAsia="宋体" w:cs="宋体"/>
          <w:snapToGrid w:val="0"/>
          <w:color w:val="auto"/>
          <w:kern w:val="0"/>
          <w:sz w:val="24"/>
          <w:szCs w:val="24"/>
          <w:highlight w:val="none"/>
        </w:rPr>
        <w:t>．如果承包人投标报价中施工机具台班单价（以下简称“中标单价”）低于基准日当月项目所在地工程造价管理机构发布的对应施工机具台班单价（以下简称“基准单价”），该施工机具台班的结算单价调整公式为：</w:t>
      </w:r>
    </w:p>
    <w:p w14:paraId="1576ECC9">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21" o:title=""/>
            <o:lock v:ext="edit" grouping="f" rotation="f" text="f" aspectratio="t"/>
            <w10:wrap type="none"/>
            <w10:anchorlock/>
          </v:shape>
          <o:OLEObject Type="Embed" ProgID="Equation.KSEE3" ShapeID="_x0000_i1031" DrawAspect="Content" ObjectID="_1468075731" r:id="rId20">
            <o:LockedField>false</o:LockedField>
          </o:OLEObject>
        </w:object>
      </w:r>
    </w:p>
    <w:p w14:paraId="58770FAC">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23" o:title=""/>
            <o:lock v:ext="edit" grouping="f" rotation="f" text="f" aspectratio="t"/>
            <w10:wrap type="none"/>
            <w10:anchorlock/>
          </v:shape>
          <o:OLEObject Type="Embed" ProgID="Equation.KSEE3" ShapeID="_x0000_i1032" DrawAspect="Content" ObjectID="_1468075732" r:id="rId22">
            <o:LockedField>false</o:LockedField>
          </o:OLEObject>
        </w:object>
      </w:r>
    </w:p>
    <w:p w14:paraId="63E8C5A0">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14:paraId="7C006B3B">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25" o:title=""/>
            <o:lock v:ext="edit" grouping="f" rotation="f" text="f" aspectratio="t"/>
            <w10:wrap type="none"/>
            <w10:anchorlock/>
          </v:shape>
          <o:OLEObject Type="Embed" ProgID="Equation.KSEE3" ShapeID="_x0000_i1033" DrawAspect="Content" ObjectID="_1468075733" r:id="rId24">
            <o:LockedField>false</o:LockedField>
          </o:OLEObject>
        </w:object>
      </w:r>
    </w:p>
    <w:p w14:paraId="25F44FE8">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27" o:title=""/>
            <o:lock v:ext="edit" grouping="f" rotation="f" text="f" aspectratio="t"/>
            <w10:wrap type="none"/>
            <w10:anchorlock/>
          </v:shape>
          <o:OLEObject Type="Embed" ProgID="Equation.KSEE3" ShapeID="_x0000_i1034" DrawAspect="Content" ObjectID="_1468075734" r:id="rId26">
            <o:LockedField>false</o:LockedField>
          </o:OLEObject>
        </w:object>
      </w:r>
    </w:p>
    <w:p w14:paraId="09F782DE">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14:paraId="60F5D8A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29" o:title=""/>
            <o:lock v:ext="edit" grouping="f" rotation="f" text="f" aspectratio="t"/>
            <w10:wrap type="none"/>
            <w10:anchorlock/>
          </v:shape>
          <o:OLEObject Type="Embed" ProgID="Equation.KSEE3" ShapeID="_x0000_i1035" DrawAspect="Content" ObjectID="_1468075735" r:id="rId28">
            <o:LockedField>false</o:LockedField>
          </o:OLEObject>
        </w:object>
      </w:r>
    </w:p>
    <w:p w14:paraId="21E54D10">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31" o:title=""/>
            <o:lock v:ext="edit" grouping="f" rotation="f" text="f" aspectratio="t"/>
            <w10:wrap type="none"/>
            <w10:anchorlock/>
          </v:shape>
          <o:OLEObject Type="Embed" ProgID="Equation.KSEE3" ShapeID="_x0000_i1036" DrawAspect="Content" ObjectID="_1468075736" r:id="rId30">
            <o:LockedField>false</o:LockedField>
          </o:OLEObject>
        </w:object>
      </w:r>
    </w:p>
    <w:p w14:paraId="4F229B4F">
      <w:pPr>
        <w:spacing w:before="39" w:line="360" w:lineRule="auto"/>
        <w:ind w:left="484"/>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以上公式中，</w:t>
      </w:r>
      <w:r>
        <w:rPr>
          <w:rFonts w:hint="eastAsia" w:ascii="宋体" w:hAnsi="宋体" w:eastAsia="宋体" w:cs="宋体"/>
          <w:bCs/>
          <w:snapToGrid w:val="0"/>
          <w:color w:val="auto"/>
          <w:kern w:val="0"/>
          <w:sz w:val="24"/>
          <w:szCs w:val="24"/>
          <w:highlight w:val="none"/>
        </w:rPr>
        <w:t>F</w:t>
      </w:r>
      <w:r>
        <w:rPr>
          <w:rFonts w:hint="eastAsia" w:ascii="宋体" w:hAnsi="宋体" w:eastAsia="宋体" w:cs="宋体"/>
          <w:bCs/>
          <w:snapToGrid w:val="0"/>
          <w:color w:val="auto"/>
          <w:kern w:val="0"/>
          <w:sz w:val="24"/>
          <w:szCs w:val="24"/>
          <w:highlight w:val="none"/>
          <w:vertAlign w:val="subscript"/>
        </w:rPr>
        <w:t>1</w:t>
      </w:r>
      <w:r>
        <w:rPr>
          <w:rFonts w:hint="eastAsia" w:ascii="宋体" w:hAnsi="宋体" w:eastAsia="宋体" w:cs="宋体"/>
          <w:bCs/>
          <w:snapToGrid w:val="0"/>
          <w:color w:val="auto"/>
          <w:kern w:val="0"/>
          <w:sz w:val="24"/>
          <w:szCs w:val="24"/>
          <w:highlight w:val="none"/>
        </w:rPr>
        <w:t>为中标单价；F</w:t>
      </w:r>
      <w:r>
        <w:rPr>
          <w:rFonts w:hint="eastAsia" w:ascii="宋体" w:hAnsi="宋体" w:eastAsia="宋体" w:cs="宋体"/>
          <w:bCs/>
          <w:snapToGrid w:val="0"/>
          <w:color w:val="auto"/>
          <w:kern w:val="0"/>
          <w:sz w:val="24"/>
          <w:szCs w:val="24"/>
          <w:highlight w:val="none"/>
          <w:vertAlign w:val="subscript"/>
        </w:rPr>
        <w:t>0</w:t>
      </w:r>
      <w:r>
        <w:rPr>
          <w:rFonts w:hint="eastAsia" w:ascii="宋体" w:hAnsi="宋体" w:eastAsia="宋体" w:cs="宋体"/>
          <w:bCs/>
          <w:snapToGrid w:val="0"/>
          <w:color w:val="auto"/>
          <w:kern w:val="0"/>
          <w:sz w:val="24"/>
          <w:szCs w:val="24"/>
          <w:highlight w:val="none"/>
        </w:rPr>
        <w:t>为基准单价；F</w:t>
      </w:r>
      <w:r>
        <w:rPr>
          <w:rFonts w:hint="eastAsia" w:ascii="宋体" w:hAnsi="宋体" w:eastAsia="宋体" w:cs="宋体"/>
          <w:bCs/>
          <w:snapToGrid w:val="0"/>
          <w:color w:val="auto"/>
          <w:kern w:val="0"/>
          <w:sz w:val="24"/>
          <w:szCs w:val="24"/>
          <w:highlight w:val="none"/>
          <w:vertAlign w:val="subscript"/>
        </w:rPr>
        <w:t>2</w:t>
      </w:r>
      <w:r>
        <w:rPr>
          <w:rFonts w:hint="eastAsia" w:ascii="宋体" w:hAnsi="宋体" w:eastAsia="宋体" w:cs="宋体"/>
          <w:bCs/>
          <w:snapToGrid w:val="0"/>
          <w:color w:val="auto"/>
          <w:kern w:val="0"/>
          <w:sz w:val="24"/>
          <w:szCs w:val="24"/>
          <w:highlight w:val="none"/>
        </w:rPr>
        <w:t>为施工当月项目所在地工程造价管理机构发布的施工机具台班单价；B为合同约定的施工机具台班单价涨跌风险幅度值。</w:t>
      </w:r>
    </w:p>
    <w:p w14:paraId="4E5202D2">
      <w:pPr>
        <w:spacing w:before="39" w:line="36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2.3.7  </w:t>
      </w:r>
      <w:r>
        <w:rPr>
          <w:rFonts w:hint="eastAsia" w:ascii="宋体" w:hAnsi="宋体" w:eastAsia="宋体" w:cs="宋体"/>
          <w:color w:val="auto"/>
          <w:spacing w:val="-1"/>
          <w:sz w:val="24"/>
          <w:szCs w:val="24"/>
          <w:highlight w:val="none"/>
        </w:rPr>
        <w:t>暂估价和暂列金额</w:t>
      </w:r>
    </w:p>
    <w:p w14:paraId="2C045B34">
      <w:pPr>
        <w:spacing w:before="154" w:line="360" w:lineRule="auto"/>
        <w:ind w:left="7" w:right="57"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2.3.7.1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暂估价项目按第一章第三节“投标人须知正文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2"/>
          <w:sz w:val="24"/>
          <w:szCs w:val="24"/>
          <w:highlight w:val="none"/>
        </w:rPr>
        <w:t xml:space="preserve">8.5 </w:t>
      </w:r>
      <w:r>
        <w:rPr>
          <w:rFonts w:hint="eastAsia" w:ascii="宋体" w:hAnsi="宋体" w:eastAsia="宋体" w:cs="宋体"/>
          <w:color w:val="auto"/>
          <w:spacing w:val="-2"/>
          <w:sz w:val="24"/>
          <w:szCs w:val="24"/>
          <w:highlight w:val="none"/>
        </w:rPr>
        <w:t>条</w:t>
      </w:r>
      <w:r>
        <w:rPr>
          <w:rFonts w:hint="eastAsia" w:ascii="宋体" w:hAnsi="宋体" w:eastAsia="宋体" w:cs="宋体"/>
          <w:color w:val="auto"/>
          <w:spacing w:val="-3"/>
          <w:sz w:val="24"/>
          <w:szCs w:val="24"/>
          <w:highlight w:val="none"/>
        </w:rPr>
        <w:t>的规定确定专业工</w:t>
      </w:r>
      <w:r>
        <w:rPr>
          <w:rFonts w:hint="eastAsia" w:ascii="宋体" w:hAnsi="宋体" w:eastAsia="宋体" w:cs="宋体"/>
          <w:color w:val="auto"/>
          <w:spacing w:val="-1"/>
          <w:sz w:val="24"/>
          <w:szCs w:val="24"/>
          <w:highlight w:val="none"/>
        </w:rPr>
        <w:t>程承包人（或材料供应商、工程设备供应商）后，将专业工</w:t>
      </w:r>
      <w:r>
        <w:rPr>
          <w:rFonts w:hint="eastAsia" w:ascii="宋体" w:hAnsi="宋体" w:eastAsia="宋体" w:cs="宋体"/>
          <w:color w:val="auto"/>
          <w:spacing w:val="-2"/>
          <w:sz w:val="24"/>
          <w:szCs w:val="24"/>
          <w:highlight w:val="none"/>
        </w:rPr>
        <w:t>程合同价款（或材料单价、</w:t>
      </w:r>
      <w:r>
        <w:rPr>
          <w:rFonts w:hint="eastAsia" w:ascii="宋体" w:hAnsi="宋体" w:eastAsia="宋体" w:cs="宋体"/>
          <w:color w:val="auto"/>
          <w:spacing w:val="-1"/>
          <w:sz w:val="24"/>
          <w:szCs w:val="24"/>
          <w:highlight w:val="none"/>
        </w:rPr>
        <w:t>工程设备单价）取代相应暂估价，并调整合同价款。</w:t>
      </w:r>
    </w:p>
    <w:p w14:paraId="03378613">
      <w:pPr>
        <w:spacing w:before="153" w:line="360" w:lineRule="auto"/>
        <w:ind w:left="8" w:right="2" w:firstLine="47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结算时暂估价（若有）中所列的材料（设备）数量按实际发生数量计算；中标人须提供材料（设备）的发票及购销合同，以实际采购单价为结算价，但不得高于本次招标工程量清单中的材料（设备）单价。</w:t>
      </w:r>
    </w:p>
    <w:p w14:paraId="5B2A3190">
      <w:pPr>
        <w:spacing w:before="153" w:line="360" w:lineRule="auto"/>
        <w:ind w:left="8" w:right="2" w:firstLine="476"/>
        <w:rPr>
          <w:rFonts w:hint="eastAsia" w:ascii="宋体" w:hAnsi="宋体" w:eastAsia="宋体" w:cs="宋体"/>
          <w:color w:val="auto"/>
          <w:spacing w:val="-2"/>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8"/>
          <w:sz w:val="24"/>
          <w:szCs w:val="24"/>
          <w:highlight w:val="none"/>
        </w:rPr>
        <w:t>2.3.7.2</w:t>
      </w:r>
      <w:r>
        <w:rPr>
          <w:rFonts w:hint="eastAsia" w:ascii="宋体" w:hAnsi="宋体" w:eastAsia="宋体" w:cs="宋体"/>
          <w:b/>
          <w:bCs/>
          <w:color w:val="auto"/>
          <w:spacing w:val="-8"/>
          <w:sz w:val="24"/>
          <w:szCs w:val="24"/>
          <w:highlight w:val="none"/>
        </w:rPr>
        <w:fldChar w:fldCharType="end"/>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暂列金额由发包人掌握和使用。暂列金额项目若有发</w:t>
      </w:r>
      <w:r>
        <w:rPr>
          <w:rFonts w:hint="eastAsia" w:ascii="宋体" w:hAnsi="宋体" w:eastAsia="宋体" w:cs="宋体"/>
          <w:color w:val="auto"/>
          <w:spacing w:val="-9"/>
          <w:sz w:val="24"/>
          <w:szCs w:val="24"/>
          <w:highlight w:val="none"/>
        </w:rPr>
        <w:t>生，按第一章第三节“投</w:t>
      </w:r>
      <w:r>
        <w:rPr>
          <w:rFonts w:hint="eastAsia" w:ascii="宋体" w:hAnsi="宋体" w:eastAsia="宋体" w:cs="宋体"/>
          <w:color w:val="auto"/>
          <w:spacing w:val="-5"/>
          <w:sz w:val="24"/>
          <w:szCs w:val="24"/>
          <w:highlight w:val="none"/>
        </w:rPr>
        <w:t>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5"/>
          <w:sz w:val="24"/>
          <w:szCs w:val="24"/>
          <w:highlight w:val="none"/>
        </w:rPr>
        <w:t xml:space="preserve">8.6 </w:t>
      </w:r>
      <w:r>
        <w:rPr>
          <w:rFonts w:hint="eastAsia" w:ascii="宋体" w:hAnsi="宋体" w:eastAsia="宋体" w:cs="宋体"/>
          <w:color w:val="auto"/>
          <w:spacing w:val="-5"/>
          <w:sz w:val="24"/>
          <w:szCs w:val="24"/>
          <w:highlight w:val="none"/>
        </w:rPr>
        <w:t>条的规定确定材料供应商（或工程设备供</w:t>
      </w:r>
      <w:r>
        <w:rPr>
          <w:rFonts w:hint="eastAsia" w:ascii="宋体" w:hAnsi="宋体" w:eastAsia="宋体" w:cs="宋体"/>
          <w:color w:val="auto"/>
          <w:spacing w:val="-6"/>
          <w:sz w:val="24"/>
          <w:szCs w:val="24"/>
          <w:highlight w:val="none"/>
        </w:rPr>
        <w:t>应商、服务供应商）后，</w:t>
      </w:r>
      <w:r>
        <w:rPr>
          <w:rFonts w:hint="eastAsia" w:ascii="宋体" w:hAnsi="宋体" w:eastAsia="宋体" w:cs="宋体"/>
          <w:color w:val="auto"/>
          <w:spacing w:val="-2"/>
          <w:sz w:val="24"/>
          <w:szCs w:val="24"/>
          <w:highlight w:val="none"/>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auto"/>
          <w:spacing w:val="-1"/>
          <w:sz w:val="24"/>
          <w:szCs w:val="24"/>
          <w:highlight w:val="none"/>
        </w:rPr>
        <w:t>现场签证确认等的费</w:t>
      </w:r>
      <w:r>
        <w:rPr>
          <w:rFonts w:hint="eastAsia" w:ascii="宋体" w:hAnsi="宋体" w:eastAsia="宋体" w:cs="宋体"/>
          <w:color w:val="auto"/>
          <w:spacing w:val="-2"/>
          <w:sz w:val="24"/>
          <w:szCs w:val="24"/>
          <w:highlight w:val="none"/>
        </w:rPr>
        <w:t>用后，余额（若有）归发包人所有。</w:t>
      </w:r>
    </w:p>
    <w:p w14:paraId="56F18990">
      <w:pPr>
        <w:spacing w:before="153" w:line="360" w:lineRule="auto"/>
        <w:ind w:left="8" w:right="2" w:firstLine="476"/>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暂列金额用于以下情形：（1）施工合同签订时尚未确定或者不可预见的所需材料、设备、服务的采购，施工中可能发生的工程变更、合同约定调整因素出现时的工程价款调整以及发生的索赔、现场签证确认等的费用。（2）国家政策性人工价差调整；（3）当合同履行期间，因人工、材料、工程设备、机械台班价格波动影响合同价款时，引起工程所在地工程造价管理机构发布的价格信息中材料、工程设备价格（指钢材、管材及配件、商品砼、水泥、砂、石，或经双方认可的其它主要材料及工程设备）变化超过5%或施工机械使用费变化超过10%时，招标人或中标人材料价格可调整5%以外的部分、施工机械使用费可调整10%以外的部分。（4）征拆后地表以下构筑物清运费用，预算未包含相关费用，结算时根据实际工程量在暂列金额中计算。（5）交通组织疏解费用按交警审批后的方案实施，结算时根据实际工程量在暂列金额中计算。（6）施工合同签订时尚未确定或者不可预见的所需材料、设备、服务的采购。结算时按实际发生根据本章“3．工程付款办法”有关条款进行结算。</w:t>
      </w:r>
    </w:p>
    <w:p w14:paraId="59CFE160">
      <w:pPr>
        <w:spacing w:line="360" w:lineRule="auto"/>
        <w:ind w:firstLine="482" w:firstLineChars="200"/>
        <w:rPr>
          <w:rFonts w:hint="eastAsia" w:ascii="宋体" w:hAnsi="宋体" w:eastAsia="宋体" w:cs="宋体"/>
          <w:b/>
          <w:bCs/>
          <w:color w:val="auto"/>
          <w:sz w:val="24"/>
          <w:szCs w:val="24"/>
          <w:highlight w:val="none"/>
        </w:rPr>
      </w:pPr>
    </w:p>
    <w:p w14:paraId="42E44E10">
      <w:pPr>
        <w:spacing w:line="360" w:lineRule="auto"/>
        <w:ind w:firstLine="482" w:firstLineChars="200"/>
        <w:rPr>
          <w:rFonts w:hint="eastAsia" w:ascii="宋体" w:hAnsi="宋体" w:eastAsia="宋体" w:cs="宋体"/>
          <w:strike w:val="0"/>
          <w:color w:val="auto"/>
          <w:sz w:val="24"/>
          <w:szCs w:val="24"/>
          <w:highlight w:val="none"/>
        </w:rPr>
      </w:pPr>
      <w:r>
        <w:rPr>
          <w:rFonts w:hint="eastAsia" w:ascii="宋体" w:hAnsi="宋体" w:eastAsia="宋体" w:cs="宋体"/>
          <w:b/>
          <w:bCs/>
          <w:color w:val="auto"/>
          <w:sz w:val="24"/>
          <w:szCs w:val="24"/>
          <w:highlight w:val="none"/>
        </w:rPr>
        <w:t>2.3.8</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预算包干费:</w:t>
      </w:r>
      <w:r>
        <w:rPr>
          <w:rFonts w:hint="eastAsia" w:ascii="宋体" w:hAnsi="宋体" w:eastAsia="宋体" w:cs="宋体"/>
          <w:strike w:val="0"/>
          <w:dstrike w:val="0"/>
          <w:color w:val="auto"/>
          <w:sz w:val="24"/>
          <w:szCs w:val="24"/>
          <w:highlight w:val="none"/>
        </w:rPr>
        <w:t>1.房屋建筑与装饰工程预算包干费按分部分项的人工费与施工机具费之和的7%计算，预算包干内容包括：施工雨水、污水的排除；因地形影响造成的场内料具二次运输；20米高以下的工程用水加压措施；施工材料堆放场地的整理；机电安装后的补洞(槽)工料费；工程成品保护费；施工中的临时停水停电；基础埋深2米以内挖土方的塌方；日间照明施工增加费(不包括地下室和特殊工程)；完工清场后的垃圾外运等。2.市政工程预算包干费</w:t>
      </w:r>
      <w:r>
        <w:rPr>
          <w:rFonts w:hint="eastAsia" w:ascii="宋体" w:hAnsi="宋体" w:eastAsia="宋体" w:cs="宋体"/>
          <w:strike w:val="0"/>
          <w:color w:val="auto"/>
          <w:sz w:val="24"/>
          <w:szCs w:val="24"/>
          <w:highlight w:val="none"/>
        </w:rPr>
        <w:t>按分部分项的人工费与施工机具费之和的6%计算，预算包干包括：施工雨(污)水的排除、因地形影响造成的场内料具二次运输、施工材料堆放场地的整理、施工中的临时停水停电、基础埋深2m以内挖土方的塌方、日间照明施工增加费(不包括地下室和特殊工程)、完工清场后的垃圾外运、地上(地下)设施，建筑物的临时保护设施费和二次加工基地设施费、雨季施工增加费、己完工程及设备保护等，包干的内容不再依据方案或签证计算费用。</w:t>
      </w:r>
      <w:r>
        <w:rPr>
          <w:rFonts w:hint="eastAsia" w:ascii="宋体" w:hAnsi="宋体" w:eastAsia="宋体" w:cs="宋体"/>
          <w:strike w:val="0"/>
          <w:dstrike w:val="0"/>
          <w:color w:val="auto"/>
          <w:sz w:val="24"/>
          <w:szCs w:val="24"/>
          <w:highlight w:val="none"/>
        </w:rPr>
        <w:t>3.园林绿化工程预算包干费按分部分项的人工费与施工机具费之和的6%计算，预算包干内容包括：施工雨(污)水的排除；场内料具二次运输；树穴内的泥浆清除；工程用水加压措施；施工材料堆放场地的整理；工程成品的保护；施工中的临时停水停电；日间施工照明增加费；完工后的场地清理。4.安装工程预算包干费按分部分项的人工费与施工机具费之和的10%计算，预算包干内容包括：施工雨(污)水的排除、因地形影响造成的场内料具二次运输、20m高以下的工程用水加压措施、施工材料堆放场地的整理、机电安装后的补洞(槽)工料费、工程成品保护费、施工中的临时停水停电、基础埋深2m以内挖土方的塌方、日间照明施工增加费(不包括地下室和特殊工程)、完工清场后的垃圾外运等。</w:t>
      </w:r>
      <w:r>
        <w:rPr>
          <w:rFonts w:hint="eastAsia" w:ascii="宋体" w:hAnsi="宋体" w:eastAsia="宋体" w:cs="宋体"/>
          <w:strike w:val="0"/>
          <w:color w:val="auto"/>
          <w:sz w:val="24"/>
          <w:szCs w:val="24"/>
          <w:highlight w:val="none"/>
        </w:rPr>
        <w:t>对于以上预算包干内容，承包人不得提出额外付款或延长工期等要求。对此类要求，发包人不作任何考虑及答复。</w:t>
      </w:r>
    </w:p>
    <w:p w14:paraId="6821AEE5">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2.3.9</w:t>
      </w:r>
      <w:r>
        <w:rPr>
          <w:rFonts w:hint="eastAsia" w:ascii="宋体" w:hAnsi="宋体" w:eastAsia="宋体" w:cs="宋体"/>
          <w:color w:val="auto"/>
          <w:sz w:val="24"/>
          <w:szCs w:val="24"/>
          <w:highlight w:val="none"/>
        </w:rPr>
        <w:t xml:space="preserve">  其余事项（如不可抗力、索赔、现场签证等）的调整原则按照《建设工程工程量清单计价规范》（GB50500—2013）有关规定执行。</w:t>
      </w:r>
    </w:p>
    <w:p w14:paraId="00CCB0F3">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2.4</w:t>
      </w:r>
      <w:r>
        <w:rPr>
          <w:rFonts w:hint="eastAsia" w:ascii="宋体" w:hAnsi="宋体" w:eastAsia="宋体" w:cs="宋体"/>
          <w:color w:val="auto"/>
          <w:sz w:val="24"/>
          <w:szCs w:val="24"/>
          <w:highlight w:val="none"/>
        </w:rPr>
        <w:t xml:space="preserve">  凡将引起合同价款调增的事项，承包人必须于拟实施 14 天前，将详细的报价书（含拟实施项目名称、变更部位、理由、预计造价等）报监理单位审核和发包人批准后方可实施。</w:t>
      </w:r>
    </w:p>
    <w:p w14:paraId="68F139CA">
      <w:pPr>
        <w:spacing w:before="153" w:line="360" w:lineRule="auto"/>
        <w:ind w:left="9" w:right="102"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承包人不得以不完全了解现场情况为理由，提出额外付</w:t>
      </w:r>
      <w:r>
        <w:rPr>
          <w:rFonts w:hint="eastAsia" w:ascii="宋体" w:hAnsi="宋体" w:eastAsia="宋体" w:cs="宋体"/>
          <w:color w:val="auto"/>
          <w:sz w:val="24"/>
          <w:szCs w:val="24"/>
          <w:highlight w:val="none"/>
        </w:rPr>
        <w:t>款或延长工期等要求。</w:t>
      </w:r>
      <w:r>
        <w:rPr>
          <w:rFonts w:hint="eastAsia" w:ascii="宋体" w:hAnsi="宋体" w:eastAsia="宋体" w:cs="宋体"/>
          <w:color w:val="auto"/>
          <w:spacing w:val="-1"/>
          <w:sz w:val="24"/>
          <w:szCs w:val="24"/>
          <w:highlight w:val="none"/>
        </w:rPr>
        <w:t>对此类要求，发包人不作任何考虑及答复。</w:t>
      </w:r>
    </w:p>
    <w:p w14:paraId="22D34F7A">
      <w:pPr>
        <w:spacing w:before="154" w:line="360" w:lineRule="auto"/>
        <w:ind w:left="10" w:right="63"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2.6 </w:t>
      </w:r>
      <w:r>
        <w:rPr>
          <w:rFonts w:hint="eastAsia" w:ascii="宋体" w:hAnsi="宋体" w:eastAsia="宋体" w:cs="宋体"/>
          <w:color w:val="auto"/>
          <w:spacing w:val="2"/>
          <w:sz w:val="24"/>
          <w:szCs w:val="24"/>
          <w:highlight w:val="none"/>
        </w:rPr>
        <w:t>承包人已标价工程量清单中漏报、错报或少报的清单项目</w:t>
      </w:r>
      <w:r>
        <w:rPr>
          <w:rFonts w:hint="eastAsia" w:ascii="宋体" w:hAnsi="宋体" w:eastAsia="宋体" w:cs="宋体"/>
          <w:color w:val="auto"/>
          <w:spacing w:val="1"/>
          <w:sz w:val="24"/>
          <w:szCs w:val="24"/>
          <w:highlight w:val="none"/>
        </w:rPr>
        <w:t>，其价格均视为已经</w:t>
      </w:r>
      <w:r>
        <w:rPr>
          <w:rFonts w:hint="eastAsia" w:ascii="宋体" w:hAnsi="宋体" w:eastAsia="宋体" w:cs="宋体"/>
          <w:color w:val="auto"/>
          <w:spacing w:val="-1"/>
          <w:sz w:val="24"/>
          <w:szCs w:val="24"/>
          <w:highlight w:val="none"/>
        </w:rPr>
        <w:t>包含在其它清单项目中，竣工结算时不得重新组价和调整。</w:t>
      </w:r>
    </w:p>
    <w:p w14:paraId="1FF42BFA">
      <w:pPr>
        <w:spacing w:before="155" w:line="360" w:lineRule="auto"/>
        <w:ind w:left="12" w:right="65"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  </w:t>
      </w:r>
      <w:r>
        <w:rPr>
          <w:rFonts w:hint="eastAsia" w:ascii="宋体" w:hAnsi="宋体" w:eastAsia="宋体" w:cs="宋体"/>
          <w:color w:val="auto"/>
          <w:sz w:val="24"/>
          <w:szCs w:val="24"/>
          <w:highlight w:val="none"/>
        </w:rPr>
        <w:t>项目完工后，发、承包双方和受其委托具备相应资质的工程造价咨询单位必须</w:t>
      </w:r>
      <w:r>
        <w:rPr>
          <w:rFonts w:hint="eastAsia" w:ascii="宋体" w:hAnsi="宋体" w:eastAsia="宋体" w:cs="宋体"/>
          <w:color w:val="auto"/>
          <w:spacing w:val="-1"/>
          <w:sz w:val="24"/>
          <w:szCs w:val="24"/>
          <w:highlight w:val="none"/>
        </w:rPr>
        <w:t>按照《建设工程工程量清单计价规范》（GB50500—2013）和国家、省、市的有关规定</w:t>
      </w:r>
      <w:r>
        <w:rPr>
          <w:rFonts w:hint="eastAsia" w:ascii="宋体" w:hAnsi="宋体" w:eastAsia="宋体" w:cs="宋体"/>
          <w:color w:val="auto"/>
          <w:spacing w:val="-2"/>
          <w:sz w:val="24"/>
          <w:szCs w:val="24"/>
          <w:highlight w:val="none"/>
        </w:rPr>
        <w:t>办理竣工结算。</w:t>
      </w:r>
    </w:p>
    <w:p w14:paraId="7721A8A6">
      <w:pPr>
        <w:spacing w:before="152" w:line="360" w:lineRule="auto"/>
        <w:ind w:left="8" w:right="38" w:firstLine="55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2.8  </w:t>
      </w:r>
      <w:r>
        <w:rPr>
          <w:rFonts w:hint="eastAsia" w:ascii="宋体" w:hAnsi="宋体" w:eastAsia="宋体" w:cs="宋体"/>
          <w:color w:val="auto"/>
          <w:spacing w:val="-1"/>
          <w:sz w:val="24"/>
          <w:szCs w:val="24"/>
          <w:highlight w:val="none"/>
        </w:rPr>
        <w:t>承包人已标价工程量清单中没有的材料（或工程设备</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承包人在使</w:t>
      </w:r>
      <w:r>
        <w:rPr>
          <w:rFonts w:hint="eastAsia" w:ascii="宋体" w:hAnsi="宋体" w:eastAsia="宋体" w:cs="宋体"/>
          <w:color w:val="auto"/>
          <w:spacing w:val="-2"/>
          <w:sz w:val="24"/>
          <w:szCs w:val="24"/>
          <w:highlight w:val="none"/>
        </w:rPr>
        <w:t>用前必须</w:t>
      </w:r>
      <w:r>
        <w:rPr>
          <w:rFonts w:hint="eastAsia" w:ascii="宋体" w:hAnsi="宋体" w:eastAsia="宋体" w:cs="宋体"/>
          <w:color w:val="auto"/>
          <w:spacing w:val="-1"/>
          <w:sz w:val="24"/>
          <w:szCs w:val="24"/>
          <w:highlight w:val="none"/>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rPr>
        <w:t>包人审定并确定价格后，承包人方可采购和</w:t>
      </w:r>
      <w:r>
        <w:rPr>
          <w:rFonts w:hint="eastAsia" w:ascii="宋体" w:hAnsi="宋体" w:eastAsia="宋体" w:cs="宋体"/>
          <w:color w:val="auto"/>
          <w:spacing w:val="-1"/>
          <w:sz w:val="24"/>
          <w:szCs w:val="24"/>
          <w:highlight w:val="none"/>
        </w:rPr>
        <w:t>使用。如果在交货验收和使用过程中发现货</w:t>
      </w:r>
      <w:r>
        <w:rPr>
          <w:rFonts w:hint="eastAsia" w:ascii="宋体" w:hAnsi="宋体" w:eastAsia="宋体" w:cs="宋体"/>
          <w:color w:val="auto"/>
          <w:spacing w:val="-2"/>
          <w:sz w:val="24"/>
          <w:szCs w:val="24"/>
          <w:highlight w:val="none"/>
        </w:rPr>
        <w:t>不对板，监理单位和发包人有权拒用，并要</w:t>
      </w:r>
      <w:r>
        <w:rPr>
          <w:rFonts w:hint="eastAsia" w:ascii="宋体" w:hAnsi="宋体" w:eastAsia="宋体" w:cs="宋体"/>
          <w:color w:val="auto"/>
          <w:spacing w:val="-1"/>
          <w:sz w:val="24"/>
          <w:szCs w:val="24"/>
          <w:highlight w:val="none"/>
        </w:rPr>
        <w:t>求承包人立即进行更换。更换后的材料（或</w:t>
      </w:r>
      <w:r>
        <w:rPr>
          <w:rFonts w:hint="eastAsia" w:ascii="宋体" w:hAnsi="宋体" w:eastAsia="宋体" w:cs="宋体"/>
          <w:color w:val="auto"/>
          <w:spacing w:val="-2"/>
          <w:sz w:val="24"/>
          <w:szCs w:val="24"/>
          <w:highlight w:val="none"/>
        </w:rPr>
        <w:t>工程设备）应再次进行检查和检验。由此增</w:t>
      </w:r>
      <w:r>
        <w:rPr>
          <w:rFonts w:hint="eastAsia" w:ascii="宋体" w:hAnsi="宋体" w:eastAsia="宋体" w:cs="宋体"/>
          <w:color w:val="auto"/>
          <w:spacing w:val="-1"/>
          <w:sz w:val="24"/>
          <w:szCs w:val="24"/>
          <w:highlight w:val="none"/>
        </w:rPr>
        <w:t>加的费用和（或）工期延误由承包人承担。</w:t>
      </w:r>
    </w:p>
    <w:p w14:paraId="0ACC0B0A">
      <w:pPr>
        <w:spacing w:before="152" w:line="360" w:lineRule="auto"/>
        <w:ind w:left="8" w:right="38" w:firstLine="559"/>
        <w:rPr>
          <w:rFonts w:hint="eastAsia" w:ascii="宋体" w:hAnsi="宋体" w:eastAsia="宋体" w:cs="宋体"/>
          <w:b w:val="0"/>
          <w:bCs w:val="0"/>
          <w:color w:val="auto"/>
          <w:spacing w:val="-1"/>
          <w:sz w:val="24"/>
          <w:szCs w:val="24"/>
          <w:highlight w:val="none"/>
        </w:rPr>
      </w:pPr>
      <w:r>
        <w:rPr>
          <w:rFonts w:hint="eastAsia" w:ascii="宋体" w:hAnsi="宋体" w:eastAsia="宋体" w:cs="宋体"/>
          <w:b/>
          <w:bCs/>
          <w:color w:val="auto"/>
          <w:spacing w:val="-1"/>
          <w:sz w:val="24"/>
          <w:szCs w:val="24"/>
          <w:highlight w:val="none"/>
        </w:rPr>
        <w:t>2.9 暂估价的结算原则：</w:t>
      </w:r>
      <w:r>
        <w:rPr>
          <w:rFonts w:hint="eastAsia" w:ascii="宋体" w:hAnsi="宋体" w:eastAsia="宋体" w:cs="宋体"/>
          <w:b w:val="0"/>
          <w:bCs w:val="0"/>
          <w:color w:val="auto"/>
          <w:spacing w:val="-1"/>
          <w:sz w:val="24"/>
          <w:szCs w:val="24"/>
          <w:highlight w:val="none"/>
        </w:rPr>
        <w:t>本工程暂估价为招标人在工程量清单中提供的用于支付必然发生但暂时不能确定价格的材料、工程设备的单价以及专业工程的金额。材料暂估价结算时提供购买发票、转账凭证、合同等佐证依据，其结算原则按本章“2.工程结算原则”有关条款进行结算。各部分暂估价的结算价不得超过暂估价。</w:t>
      </w:r>
    </w:p>
    <w:p w14:paraId="18C027B7">
      <w:pPr>
        <w:spacing w:before="152" w:line="360" w:lineRule="auto"/>
        <w:ind w:left="8" w:right="38" w:firstLine="55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2.10</w:t>
      </w:r>
      <w:r>
        <w:rPr>
          <w:rFonts w:hint="eastAsia" w:ascii="宋体" w:hAnsi="宋体" w:eastAsia="宋体" w:cs="宋体"/>
          <w:b/>
          <w:bCs/>
          <w:color w:val="auto"/>
          <w:spacing w:val="-1"/>
          <w:sz w:val="24"/>
          <w:szCs w:val="24"/>
          <w:highlight w:val="none"/>
          <w:lang w:val="en-US" w:eastAsia="zh-CN"/>
        </w:rPr>
        <w:t xml:space="preserve"> </w:t>
      </w:r>
      <w:r>
        <w:rPr>
          <w:rFonts w:hint="eastAsia" w:ascii="宋体" w:hAnsi="宋体" w:eastAsia="宋体" w:cs="宋体"/>
          <w:color w:val="auto"/>
          <w:spacing w:val="-1"/>
          <w:sz w:val="24"/>
          <w:szCs w:val="24"/>
          <w:highlight w:val="none"/>
        </w:rPr>
        <w:t>暂列金额的结算原则：暂列金额由发包人掌握使用，工程合同履行期间，由于发包人的要求（注：必须要有发包人的书面通知）导致发生设计变更或合同约定调整因素出现时的工程价款调整以及发生的索赔、现场签证等，其工程量按实调整，其造价调整按本章“2工程结算原则”有关条款进行调整。暂列金额如有余额归发包人。</w:t>
      </w:r>
    </w:p>
    <w:p w14:paraId="6000B375">
      <w:pPr>
        <w:spacing w:before="152" w:line="360" w:lineRule="auto"/>
        <w:ind w:left="8" w:right="38" w:firstLine="55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2.11 </w:t>
      </w:r>
      <w:r>
        <w:rPr>
          <w:rFonts w:hint="eastAsia" w:ascii="宋体" w:hAnsi="宋体" w:eastAsia="宋体" w:cs="宋体"/>
          <w:color w:val="auto"/>
          <w:spacing w:val="-1"/>
          <w:sz w:val="24"/>
          <w:szCs w:val="24"/>
          <w:highlight w:val="none"/>
        </w:rPr>
        <w:t>项目实施过程中涉及工程造价控制、计量、价差调整等事项，最终以财政局投资评审中心的审定意见为准。</w:t>
      </w:r>
    </w:p>
    <w:p w14:paraId="605DD730">
      <w:pPr>
        <w:spacing w:before="151" w:line="360" w:lineRule="auto"/>
        <w:ind w:left="476"/>
        <w:outlineLvl w:val="2"/>
        <w:rPr>
          <w:rFonts w:hint="eastAsia" w:ascii="宋体" w:hAnsi="宋体" w:eastAsia="宋体" w:cs="宋体"/>
          <w:b/>
          <w:bCs/>
          <w:color w:val="auto"/>
          <w:spacing w:val="-11"/>
          <w:sz w:val="24"/>
          <w:szCs w:val="24"/>
          <w:highlight w:val="none"/>
        </w:rPr>
      </w:pPr>
      <w:bookmarkStart w:id="189" w:name="_Toc1816"/>
      <w:bookmarkStart w:id="190" w:name="_Toc14772"/>
      <w:bookmarkStart w:id="191" w:name="_Toc10496"/>
      <w:r>
        <w:rPr>
          <w:rFonts w:hint="eastAsia" w:ascii="宋体" w:hAnsi="宋体" w:eastAsia="宋体" w:cs="宋体"/>
          <w:b/>
          <w:bCs/>
          <w:color w:val="auto"/>
          <w:spacing w:val="-11"/>
          <w:sz w:val="24"/>
          <w:szCs w:val="24"/>
          <w:highlight w:val="none"/>
        </w:rPr>
        <w:t>3. 工程付款办法</w:t>
      </w:r>
      <w:bookmarkEnd w:id="189"/>
      <w:bookmarkEnd w:id="190"/>
    </w:p>
    <w:p w14:paraId="603F003E">
      <w:pPr>
        <w:keepNext w:val="0"/>
        <w:keepLines w:val="0"/>
        <w:pageBreakBefore w:val="0"/>
        <w:kinsoku/>
        <w:overflowPunct/>
        <w:autoSpaceDE/>
        <w:autoSpaceDN/>
        <w:bidi w:val="0"/>
        <w:snapToGrid w:val="0"/>
        <w:spacing w:line="360" w:lineRule="auto"/>
        <w:ind w:firstLine="472" w:firstLineChars="196"/>
        <w:rPr>
          <w:rStyle w:val="48"/>
          <w:rFonts w:hint="eastAsia" w:ascii="宋体" w:hAnsi="宋体" w:eastAsia="宋体" w:cs="宋体"/>
          <w:b w:val="0"/>
          <w:bCs w:val="0"/>
          <w:color w:val="auto"/>
          <w:kern w:val="1"/>
          <w:sz w:val="24"/>
          <w:szCs w:val="24"/>
          <w:highlight w:val="none"/>
        </w:rPr>
      </w:pPr>
      <w:r>
        <w:rPr>
          <w:rStyle w:val="48"/>
          <w:rFonts w:hint="eastAsia" w:ascii="宋体" w:hAnsi="宋体" w:eastAsia="宋体" w:cs="宋体"/>
          <w:b/>
          <w:bCs/>
          <w:color w:val="auto"/>
          <w:kern w:val="0"/>
          <w:sz w:val="24"/>
          <w:szCs w:val="24"/>
          <w:highlight w:val="none"/>
          <w:lang w:val="en-US" w:eastAsia="zh-CN" w:bidi="ar-SA"/>
        </w:rPr>
        <w:t>3.1</w:t>
      </w:r>
      <w:r>
        <w:rPr>
          <w:rStyle w:val="48"/>
          <w:rFonts w:hint="eastAsia" w:ascii="宋体" w:hAnsi="宋体" w:eastAsia="宋体" w:cs="宋体"/>
          <w:b w:val="0"/>
          <w:bCs w:val="0"/>
          <w:color w:val="auto"/>
          <w:kern w:val="0"/>
          <w:sz w:val="24"/>
          <w:szCs w:val="24"/>
          <w:highlight w:val="none"/>
          <w:lang w:val="en-US" w:eastAsia="zh-CN" w:bidi="ar-SA"/>
        </w:rPr>
        <w:t xml:space="preserve"> </w:t>
      </w:r>
      <w:r>
        <w:rPr>
          <w:rStyle w:val="48"/>
          <w:rFonts w:hint="eastAsia" w:ascii="宋体" w:hAnsi="宋体" w:eastAsia="宋体" w:cs="宋体"/>
          <w:b w:val="0"/>
          <w:bCs w:val="0"/>
          <w:color w:val="auto"/>
          <w:kern w:val="1"/>
          <w:sz w:val="24"/>
          <w:szCs w:val="24"/>
          <w:highlight w:val="none"/>
        </w:rPr>
        <w:t>本</w:t>
      </w:r>
      <w:r>
        <w:rPr>
          <w:rStyle w:val="48"/>
          <w:rFonts w:hint="eastAsia" w:ascii="宋体" w:hAnsi="宋体" w:eastAsia="宋体" w:cs="宋体"/>
          <w:b w:val="0"/>
          <w:bCs w:val="0"/>
          <w:color w:val="auto"/>
          <w:kern w:val="1"/>
          <w:sz w:val="24"/>
          <w:szCs w:val="24"/>
          <w:highlight w:val="none"/>
          <w:lang w:val="en-US" w:eastAsia="zh-CN"/>
        </w:rPr>
        <w:t>招标</w:t>
      </w:r>
      <w:r>
        <w:rPr>
          <w:rStyle w:val="48"/>
          <w:rFonts w:hint="eastAsia" w:ascii="宋体" w:hAnsi="宋体" w:eastAsia="宋体" w:cs="宋体"/>
          <w:b w:val="0"/>
          <w:bCs w:val="0"/>
          <w:color w:val="auto"/>
          <w:kern w:val="1"/>
          <w:sz w:val="24"/>
          <w:szCs w:val="24"/>
          <w:highlight w:val="none"/>
        </w:rPr>
        <w:t>项目</w:t>
      </w:r>
      <w:r>
        <w:rPr>
          <w:rStyle w:val="48"/>
          <w:rFonts w:hint="eastAsia" w:ascii="宋体" w:hAnsi="宋体" w:eastAsia="宋体" w:cs="宋体"/>
          <w:b w:val="0"/>
          <w:bCs w:val="0"/>
          <w:color w:val="auto"/>
          <w:kern w:val="1"/>
          <w:sz w:val="24"/>
          <w:szCs w:val="24"/>
          <w:highlight w:val="none"/>
          <w:u w:val="single"/>
          <w:lang w:val="en-US" w:eastAsia="zh-CN"/>
        </w:rPr>
        <w:t xml:space="preserve"> </w:t>
      </w:r>
      <w:r>
        <w:rPr>
          <w:rStyle w:val="48"/>
          <w:rFonts w:hint="eastAsia" w:ascii="宋体" w:hAnsi="宋体" w:eastAsia="宋体" w:cs="宋体"/>
          <w:b w:val="0"/>
          <w:bCs w:val="0"/>
          <w:color w:val="auto"/>
          <w:kern w:val="1"/>
          <w:sz w:val="24"/>
          <w:szCs w:val="24"/>
          <w:highlight w:val="none"/>
          <w:u w:val="single"/>
        </w:rPr>
        <w:t>支付</w:t>
      </w:r>
      <w:r>
        <w:rPr>
          <w:rStyle w:val="48"/>
          <w:rFonts w:hint="eastAsia" w:ascii="宋体" w:hAnsi="宋体" w:eastAsia="宋体" w:cs="宋体"/>
          <w:b w:val="0"/>
          <w:bCs w:val="0"/>
          <w:color w:val="auto"/>
          <w:kern w:val="1"/>
          <w:sz w:val="24"/>
          <w:szCs w:val="24"/>
          <w:highlight w:val="none"/>
          <w:u w:val="single"/>
          <w:lang w:val="en-US" w:eastAsia="zh-CN"/>
        </w:rPr>
        <w:t xml:space="preserve"> </w:t>
      </w:r>
      <w:r>
        <w:rPr>
          <w:rStyle w:val="48"/>
          <w:rFonts w:hint="eastAsia" w:ascii="宋体" w:hAnsi="宋体" w:eastAsia="宋体" w:cs="宋体"/>
          <w:b w:val="0"/>
          <w:bCs w:val="0"/>
          <w:color w:val="auto"/>
          <w:kern w:val="1"/>
          <w:sz w:val="24"/>
          <w:szCs w:val="24"/>
          <w:highlight w:val="none"/>
        </w:rPr>
        <w:t>施工预付款。</w:t>
      </w:r>
    </w:p>
    <w:p w14:paraId="01633FDB">
      <w:pPr>
        <w:keepNext w:val="0"/>
        <w:keepLines w:val="0"/>
        <w:pageBreakBefore w:val="0"/>
        <w:kinsoku/>
        <w:overflowPunct/>
        <w:autoSpaceDE/>
        <w:autoSpaceDN/>
        <w:bidi w:val="0"/>
        <w:snapToGrid w:val="0"/>
        <w:spacing w:line="360" w:lineRule="auto"/>
        <w:ind w:firstLine="482" w:firstLineChars="200"/>
        <w:rPr>
          <w:rStyle w:val="48"/>
          <w:rFonts w:hint="eastAsia" w:ascii="宋体" w:hAnsi="宋体" w:eastAsia="宋体" w:cs="宋体"/>
          <w:b w:val="0"/>
          <w:bCs w:val="0"/>
          <w:color w:val="auto"/>
          <w:kern w:val="0"/>
          <w:sz w:val="24"/>
          <w:szCs w:val="24"/>
          <w:highlight w:val="none"/>
        </w:rPr>
      </w:pPr>
      <w:r>
        <w:rPr>
          <w:rStyle w:val="48"/>
          <w:rFonts w:hint="eastAsia" w:ascii="宋体" w:hAnsi="宋体" w:eastAsia="宋体" w:cs="宋体"/>
          <w:b/>
          <w:bCs/>
          <w:color w:val="auto"/>
          <w:kern w:val="0"/>
          <w:sz w:val="24"/>
          <w:szCs w:val="24"/>
          <w:highlight w:val="none"/>
          <w:lang w:val="en-US" w:eastAsia="zh-CN" w:bidi="ar-SA"/>
        </w:rPr>
        <w:t>3.2</w:t>
      </w:r>
      <w:r>
        <w:rPr>
          <w:rStyle w:val="48"/>
          <w:rFonts w:hint="eastAsia" w:ascii="宋体" w:hAnsi="宋体" w:eastAsia="宋体" w:cs="宋体"/>
          <w:b w:val="0"/>
          <w:bCs w:val="0"/>
          <w:color w:val="auto"/>
          <w:kern w:val="1"/>
          <w:sz w:val="24"/>
          <w:szCs w:val="24"/>
          <w:highlight w:val="none"/>
        </w:rPr>
        <w:t xml:space="preserve"> </w:t>
      </w:r>
      <w:r>
        <w:rPr>
          <w:rStyle w:val="48"/>
          <w:rFonts w:hint="eastAsia" w:ascii="宋体" w:hAnsi="宋体" w:eastAsia="宋体" w:cs="宋体"/>
          <w:b w:val="0"/>
          <w:bCs w:val="0"/>
          <w:color w:val="auto"/>
          <w:kern w:val="0"/>
          <w:sz w:val="24"/>
          <w:szCs w:val="24"/>
          <w:highlight w:val="none"/>
        </w:rPr>
        <w:t>施工预付款必须专用于合同工程，并按以下原则支付和抵扣：</w:t>
      </w:r>
    </w:p>
    <w:p w14:paraId="696E77EC">
      <w:pPr>
        <w:keepNext w:val="0"/>
        <w:keepLines w:val="0"/>
        <w:pageBreakBefore w:val="0"/>
        <w:kinsoku/>
        <w:overflowPunct/>
        <w:autoSpaceDE/>
        <w:autoSpaceDN/>
        <w:bidi w:val="0"/>
        <w:snapToGrid w:val="0"/>
        <w:spacing w:line="360" w:lineRule="auto"/>
        <w:ind w:firstLine="480" w:firstLineChars="200"/>
        <w:rPr>
          <w:rStyle w:val="48"/>
          <w:rFonts w:hint="eastAsia" w:ascii="宋体" w:hAnsi="宋体" w:eastAsia="宋体" w:cs="宋体"/>
          <w:b w:val="0"/>
          <w:bCs w:val="0"/>
          <w:color w:val="auto"/>
          <w:kern w:val="0"/>
          <w:sz w:val="24"/>
          <w:szCs w:val="24"/>
          <w:highlight w:val="none"/>
        </w:rPr>
      </w:pPr>
      <w:r>
        <w:rPr>
          <w:rStyle w:val="48"/>
          <w:rFonts w:hint="eastAsia" w:ascii="宋体" w:hAnsi="宋体" w:eastAsia="宋体" w:cs="宋体"/>
          <w:b w:val="0"/>
          <w:bCs w:val="0"/>
          <w:color w:val="auto"/>
          <w:kern w:val="0"/>
          <w:sz w:val="24"/>
          <w:szCs w:val="24"/>
          <w:highlight w:val="none"/>
        </w:rPr>
        <w:t>3.2.1 施工预付款支付比例为：按施工合同价的</w:t>
      </w:r>
      <w:r>
        <w:rPr>
          <w:rStyle w:val="48"/>
          <w:rFonts w:hint="eastAsia" w:ascii="宋体" w:hAnsi="宋体" w:eastAsia="宋体" w:cs="宋体"/>
          <w:b w:val="0"/>
          <w:bCs w:val="0"/>
          <w:color w:val="auto"/>
          <w:kern w:val="0"/>
          <w:sz w:val="24"/>
          <w:szCs w:val="24"/>
          <w:highlight w:val="none"/>
          <w:u w:val="single"/>
        </w:rPr>
        <w:t xml:space="preserve"> </w:t>
      </w:r>
      <w:r>
        <w:rPr>
          <w:rStyle w:val="48"/>
          <w:rFonts w:hint="eastAsia" w:ascii="宋体" w:hAnsi="宋体" w:eastAsia="宋体" w:cs="宋体"/>
          <w:b/>
          <w:bCs/>
          <w:color w:val="auto"/>
          <w:kern w:val="0"/>
          <w:sz w:val="24"/>
          <w:szCs w:val="24"/>
          <w:highlight w:val="none"/>
          <w:u w:val="single"/>
          <w:lang w:val="en-US" w:eastAsia="zh-CN"/>
        </w:rPr>
        <w:t>3</w:t>
      </w:r>
      <w:r>
        <w:rPr>
          <w:rStyle w:val="48"/>
          <w:rFonts w:hint="eastAsia" w:ascii="宋体" w:hAnsi="宋体" w:eastAsia="宋体" w:cs="宋体"/>
          <w:b/>
          <w:bCs/>
          <w:color w:val="auto"/>
          <w:kern w:val="0"/>
          <w:sz w:val="24"/>
          <w:szCs w:val="24"/>
          <w:highlight w:val="none"/>
          <w:u w:val="single"/>
        </w:rPr>
        <w:t>0%</w:t>
      </w:r>
      <w:r>
        <w:rPr>
          <w:rStyle w:val="48"/>
          <w:rFonts w:hint="eastAsia" w:ascii="宋体" w:hAnsi="宋体" w:eastAsia="宋体" w:cs="宋体"/>
          <w:b w:val="0"/>
          <w:bCs w:val="0"/>
          <w:color w:val="auto"/>
          <w:kern w:val="0"/>
          <w:sz w:val="24"/>
          <w:szCs w:val="24"/>
          <w:highlight w:val="none"/>
          <w:u w:val="single"/>
        </w:rPr>
        <w:t xml:space="preserve"> </w:t>
      </w:r>
      <w:r>
        <w:rPr>
          <w:rStyle w:val="48"/>
          <w:rFonts w:hint="eastAsia" w:ascii="宋体" w:hAnsi="宋体" w:eastAsia="宋体" w:cs="宋体"/>
          <w:b w:val="0"/>
          <w:bCs w:val="0"/>
          <w:color w:val="auto"/>
          <w:kern w:val="0"/>
          <w:sz w:val="24"/>
          <w:szCs w:val="24"/>
          <w:highlight w:val="none"/>
        </w:rPr>
        <w:t>支付</w:t>
      </w:r>
      <w:r>
        <w:rPr>
          <w:rStyle w:val="48"/>
          <w:rFonts w:hint="eastAsia" w:ascii="宋体" w:hAnsi="宋体" w:eastAsia="宋体" w:cs="宋体"/>
          <w:b w:val="0"/>
          <w:bCs w:val="0"/>
          <w:color w:val="auto"/>
          <w:kern w:val="0"/>
          <w:sz w:val="24"/>
          <w:szCs w:val="24"/>
          <w:highlight w:val="none"/>
          <w:lang w:eastAsia="zh-CN"/>
        </w:rPr>
        <w:t>（暂列金除外）</w:t>
      </w:r>
      <w:r>
        <w:rPr>
          <w:rStyle w:val="48"/>
          <w:rFonts w:hint="eastAsia" w:ascii="宋体" w:hAnsi="宋体" w:eastAsia="宋体" w:cs="宋体"/>
          <w:b w:val="0"/>
          <w:bCs w:val="0"/>
          <w:color w:val="auto"/>
          <w:kern w:val="0"/>
          <w:sz w:val="24"/>
          <w:szCs w:val="24"/>
          <w:highlight w:val="none"/>
        </w:rPr>
        <w:t>。</w:t>
      </w:r>
    </w:p>
    <w:p w14:paraId="62E740AA">
      <w:pPr>
        <w:keepNext w:val="0"/>
        <w:keepLines w:val="0"/>
        <w:pageBreakBefore w:val="0"/>
        <w:kinsoku/>
        <w:overflowPunct/>
        <w:autoSpaceDE/>
        <w:autoSpaceDN/>
        <w:bidi w:val="0"/>
        <w:snapToGrid w:val="0"/>
        <w:spacing w:line="360" w:lineRule="auto"/>
        <w:ind w:firstLine="480" w:firstLineChars="200"/>
        <w:rPr>
          <w:rStyle w:val="48"/>
          <w:rFonts w:hint="eastAsia" w:ascii="宋体" w:hAnsi="宋体" w:eastAsia="宋体" w:cs="宋体"/>
          <w:b w:val="0"/>
          <w:bCs w:val="0"/>
          <w:color w:val="auto"/>
          <w:kern w:val="0"/>
          <w:sz w:val="24"/>
          <w:szCs w:val="24"/>
          <w:highlight w:val="none"/>
        </w:rPr>
      </w:pPr>
      <w:r>
        <w:rPr>
          <w:rStyle w:val="48"/>
          <w:rFonts w:hint="eastAsia" w:ascii="宋体" w:hAnsi="宋体" w:eastAsia="宋体" w:cs="宋体"/>
          <w:b w:val="0"/>
          <w:bCs w:val="0"/>
          <w:color w:val="auto"/>
          <w:kern w:val="0"/>
          <w:sz w:val="24"/>
          <w:szCs w:val="24"/>
          <w:highlight w:val="none"/>
        </w:rPr>
        <w:t>3.2.2 本招标项目</w:t>
      </w:r>
      <w:r>
        <w:rPr>
          <w:rStyle w:val="48"/>
          <w:rFonts w:hint="eastAsia" w:ascii="宋体" w:hAnsi="宋体" w:eastAsia="宋体" w:cs="宋体"/>
          <w:b/>
          <w:bCs/>
          <w:color w:val="auto"/>
          <w:kern w:val="0"/>
          <w:sz w:val="24"/>
          <w:szCs w:val="24"/>
          <w:highlight w:val="none"/>
          <w:u w:val="single"/>
          <w:lang w:val="en-US" w:eastAsia="zh-CN"/>
        </w:rPr>
        <w:t xml:space="preserve"> </w:t>
      </w:r>
      <w:r>
        <w:rPr>
          <w:rStyle w:val="48"/>
          <w:rFonts w:hint="eastAsia" w:ascii="宋体" w:hAnsi="宋体" w:eastAsia="宋体" w:cs="宋体"/>
          <w:b/>
          <w:bCs/>
          <w:color w:val="auto"/>
          <w:kern w:val="0"/>
          <w:sz w:val="24"/>
          <w:szCs w:val="24"/>
          <w:highlight w:val="none"/>
          <w:u w:val="single"/>
        </w:rPr>
        <w:t>要求</w:t>
      </w:r>
      <w:r>
        <w:rPr>
          <w:rStyle w:val="48"/>
          <w:rFonts w:hint="eastAsia" w:ascii="宋体" w:hAnsi="宋体" w:eastAsia="宋体" w:cs="宋体"/>
          <w:b/>
          <w:bCs/>
          <w:color w:val="auto"/>
          <w:kern w:val="0"/>
          <w:sz w:val="24"/>
          <w:szCs w:val="24"/>
          <w:highlight w:val="none"/>
          <w:u w:val="single"/>
          <w:lang w:val="en-US" w:eastAsia="zh-CN"/>
        </w:rPr>
        <w:t xml:space="preserve"> </w:t>
      </w:r>
      <w:r>
        <w:rPr>
          <w:rStyle w:val="48"/>
          <w:rFonts w:hint="eastAsia" w:ascii="宋体" w:hAnsi="宋体" w:eastAsia="宋体" w:cs="宋体"/>
          <w:b w:val="0"/>
          <w:bCs w:val="0"/>
          <w:color w:val="auto"/>
          <w:kern w:val="0"/>
          <w:sz w:val="24"/>
          <w:szCs w:val="24"/>
          <w:highlight w:val="none"/>
        </w:rPr>
        <w:t>承包人提供与预付款等额的预付款保函，且预付款保函期限原则上不少于总工期的一半，且承包单位的预付款保函有效期应保证在扣回预付款前有效，未扣回预付款但保函过期的承包人应重新开具预付款保函。</w:t>
      </w:r>
    </w:p>
    <w:p w14:paraId="0322EE4E">
      <w:pPr>
        <w:keepNext w:val="0"/>
        <w:keepLines w:val="0"/>
        <w:pageBreakBefore w:val="0"/>
        <w:kinsoku/>
        <w:overflowPunct/>
        <w:autoSpaceDE/>
        <w:autoSpaceDN/>
        <w:bidi w:val="0"/>
        <w:snapToGrid w:val="0"/>
        <w:spacing w:line="360" w:lineRule="auto"/>
        <w:ind w:firstLine="480" w:firstLineChars="200"/>
        <w:rPr>
          <w:rStyle w:val="48"/>
          <w:rFonts w:hint="eastAsia" w:ascii="宋体" w:hAnsi="宋体" w:eastAsia="宋体" w:cs="宋体"/>
          <w:b w:val="0"/>
          <w:bCs w:val="0"/>
          <w:color w:val="auto"/>
          <w:kern w:val="0"/>
          <w:sz w:val="24"/>
          <w:szCs w:val="24"/>
          <w:highlight w:val="none"/>
        </w:rPr>
      </w:pPr>
      <w:r>
        <w:rPr>
          <w:rStyle w:val="48"/>
          <w:rFonts w:hint="eastAsia" w:ascii="宋体" w:hAnsi="宋体" w:eastAsia="宋体" w:cs="宋体"/>
          <w:b w:val="0"/>
          <w:bCs w:val="0"/>
          <w:color w:val="auto"/>
          <w:kern w:val="0"/>
          <w:sz w:val="24"/>
          <w:szCs w:val="24"/>
          <w:highlight w:val="none"/>
        </w:rPr>
        <w:t>3.2.3 承包人应在签订合同后，</w:t>
      </w:r>
      <w:r>
        <w:rPr>
          <w:rFonts w:hint="eastAsia" w:ascii="宋体" w:hAnsi="宋体" w:eastAsia="宋体" w:cs="宋体"/>
          <w:b/>
          <w:bCs/>
          <w:snapToGrid w:val="0"/>
          <w:color w:val="auto"/>
          <w:kern w:val="0"/>
          <w:sz w:val="24"/>
          <w:szCs w:val="20"/>
          <w:highlight w:val="none"/>
        </w:rPr>
        <w:t>在提供符合要求的预付款保函或预付款保险及</w:t>
      </w:r>
      <w:r>
        <w:rPr>
          <w:rStyle w:val="48"/>
          <w:rFonts w:hint="eastAsia" w:ascii="宋体" w:hAnsi="宋体" w:eastAsia="宋体" w:cs="宋体"/>
          <w:b w:val="0"/>
          <w:bCs w:val="0"/>
          <w:color w:val="auto"/>
          <w:kern w:val="0"/>
          <w:sz w:val="24"/>
          <w:szCs w:val="24"/>
          <w:highlight w:val="none"/>
        </w:rPr>
        <w:t>在具备施工条件的前提下，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14:paraId="6BA9B174">
      <w:pPr>
        <w:pStyle w:val="51"/>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baseline"/>
        <w:rPr>
          <w:rStyle w:val="48"/>
          <w:rFonts w:hint="eastAsia" w:ascii="宋体" w:hAnsi="宋体" w:eastAsia="宋体" w:cs="宋体"/>
          <w:b w:val="0"/>
          <w:bCs w:val="0"/>
          <w:color w:val="auto"/>
          <w:sz w:val="24"/>
          <w:szCs w:val="24"/>
          <w:highlight w:val="none"/>
        </w:rPr>
      </w:pPr>
      <w:r>
        <w:rPr>
          <w:rStyle w:val="48"/>
          <w:rFonts w:hint="eastAsia" w:ascii="宋体" w:hAnsi="宋体" w:eastAsia="宋体" w:cs="宋体"/>
          <w:b w:val="0"/>
          <w:bCs w:val="0"/>
          <w:color w:val="auto"/>
          <w:sz w:val="24"/>
          <w:szCs w:val="24"/>
          <w:highlight w:val="none"/>
        </w:rPr>
        <w:t>3.2.4 发包人没有按时支付预付款的，承包人可催告发包人支付；发包人在付款期满后的7天内仍未支付的，承包人可在付款期满后的第8天起暂停施工。发包人应向承包人支付应付款的利息（从付款期满后之日起计算，利率按同期银行贷款利率计算），并承担违约责任。</w:t>
      </w:r>
    </w:p>
    <w:p w14:paraId="61AFF13D">
      <w:pPr>
        <w:pStyle w:val="51"/>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baseline"/>
        <w:rPr>
          <w:rStyle w:val="48"/>
          <w:rFonts w:hint="eastAsia" w:ascii="宋体" w:hAnsi="宋体" w:eastAsia="宋体" w:cs="宋体"/>
          <w:b w:val="0"/>
          <w:bCs w:val="0"/>
          <w:color w:val="auto"/>
          <w:sz w:val="24"/>
          <w:szCs w:val="24"/>
          <w:highlight w:val="none"/>
        </w:rPr>
      </w:pPr>
      <w:r>
        <w:rPr>
          <w:rStyle w:val="48"/>
          <w:rFonts w:hint="eastAsia" w:ascii="宋体" w:hAnsi="宋体" w:eastAsia="宋体" w:cs="宋体"/>
          <w:b w:val="0"/>
          <w:bCs w:val="0"/>
          <w:color w:val="auto"/>
          <w:sz w:val="24"/>
          <w:szCs w:val="24"/>
          <w:highlight w:val="none"/>
        </w:rPr>
        <w:t>3.2.</w:t>
      </w:r>
      <w:r>
        <w:rPr>
          <w:rStyle w:val="48"/>
          <w:rFonts w:hint="eastAsia" w:ascii="宋体" w:hAnsi="宋体" w:eastAsia="宋体" w:cs="宋体"/>
          <w:b w:val="0"/>
          <w:bCs w:val="0"/>
          <w:color w:val="auto"/>
          <w:sz w:val="24"/>
          <w:szCs w:val="24"/>
          <w:highlight w:val="none"/>
          <w:lang w:val="en-US" w:eastAsia="zh-CN"/>
        </w:rPr>
        <w:t>5</w:t>
      </w:r>
      <w:r>
        <w:rPr>
          <w:rStyle w:val="48"/>
          <w:rFonts w:hint="eastAsia" w:ascii="宋体" w:hAnsi="宋体" w:eastAsia="宋体" w:cs="宋体"/>
          <w:b w:val="0"/>
          <w:bCs w:val="0"/>
          <w:color w:val="auto"/>
          <w:sz w:val="24"/>
          <w:szCs w:val="24"/>
          <w:highlight w:val="none"/>
        </w:rPr>
        <w:t xml:space="preserve"> </w:t>
      </w:r>
      <w:r>
        <w:rPr>
          <w:rFonts w:hint="eastAsia" w:ascii="宋体" w:hAnsi="宋体" w:eastAsia="宋体" w:cs="宋体"/>
          <w:b w:val="0"/>
          <w:bCs w:val="0"/>
          <w:caps w:val="0"/>
          <w:smallCaps w:val="0"/>
          <w:snapToGrid w:val="0"/>
          <w:color w:val="auto"/>
          <w:spacing w:val="0"/>
          <w:kern w:val="0"/>
          <w:sz w:val="24"/>
          <w:szCs w:val="24"/>
          <w:highlight w:val="none"/>
          <w:u w:val="none" w:color="auto"/>
        </w:rPr>
        <w:t>预付款应从每支付期应支付给承包人的工程进度款中</w:t>
      </w:r>
      <w:r>
        <w:rPr>
          <w:rFonts w:hint="eastAsia" w:ascii="宋体" w:hAnsi="宋体" w:eastAsia="宋体" w:cs="宋体"/>
          <w:b w:val="0"/>
          <w:bCs w:val="0"/>
          <w:caps w:val="0"/>
          <w:smallCaps w:val="0"/>
          <w:snapToGrid w:val="0"/>
          <w:color w:val="auto"/>
          <w:spacing w:val="0"/>
          <w:kern w:val="0"/>
          <w:sz w:val="24"/>
          <w:szCs w:val="24"/>
          <w:highlight w:val="none"/>
          <w:u w:val="none" w:color="auto"/>
          <w:lang w:val="en-US" w:eastAsia="zh-CN"/>
        </w:rPr>
        <w:t>按比例</w:t>
      </w:r>
      <w:r>
        <w:rPr>
          <w:rFonts w:hint="eastAsia" w:ascii="宋体" w:hAnsi="宋体" w:eastAsia="宋体" w:cs="宋体"/>
          <w:b w:val="0"/>
          <w:bCs w:val="0"/>
          <w:caps w:val="0"/>
          <w:smallCaps w:val="0"/>
          <w:snapToGrid w:val="0"/>
          <w:color w:val="auto"/>
          <w:spacing w:val="0"/>
          <w:kern w:val="0"/>
          <w:sz w:val="24"/>
          <w:szCs w:val="24"/>
          <w:highlight w:val="none"/>
          <w:u w:val="none" w:color="auto"/>
        </w:rPr>
        <w:t>扣回，</w:t>
      </w:r>
      <w:r>
        <w:rPr>
          <w:rFonts w:hint="eastAsia" w:ascii="宋体" w:hAnsi="宋体" w:eastAsia="宋体" w:cs="宋体"/>
          <w:b w:val="0"/>
          <w:bCs/>
          <w:snapToGrid w:val="0"/>
          <w:color w:val="auto"/>
          <w:kern w:val="0"/>
          <w:sz w:val="24"/>
          <w:szCs w:val="24"/>
          <w:highlight w:val="none"/>
        </w:rPr>
        <w:t>扣回比例为每月的工程进度款的</w:t>
      </w:r>
      <w:r>
        <w:rPr>
          <w:rFonts w:hint="eastAsia" w:ascii="宋体" w:hAnsi="宋体" w:eastAsia="宋体" w:cs="宋体"/>
          <w:b w:val="0"/>
          <w:bCs/>
          <w:snapToGrid w:val="0"/>
          <w:color w:val="auto"/>
          <w:kern w:val="0"/>
          <w:sz w:val="24"/>
          <w:szCs w:val="24"/>
          <w:highlight w:val="none"/>
          <w:lang w:val="en-US" w:eastAsia="zh-CN"/>
        </w:rPr>
        <w:t>40</w:t>
      </w:r>
      <w:r>
        <w:rPr>
          <w:rFonts w:hint="eastAsia" w:ascii="宋体" w:hAnsi="宋体" w:eastAsia="宋体" w:cs="宋体"/>
          <w:b w:val="0"/>
          <w:bCs/>
          <w:snapToGrid w:val="0"/>
          <w:color w:val="auto"/>
          <w:kern w:val="0"/>
          <w:sz w:val="24"/>
          <w:szCs w:val="24"/>
          <w:highlight w:val="none"/>
        </w:rPr>
        <w:t>%</w:t>
      </w:r>
      <w:r>
        <w:rPr>
          <w:rFonts w:hint="eastAsia" w:ascii="宋体" w:hAnsi="宋体" w:eastAsia="宋体" w:cs="宋体"/>
          <w:b w:val="0"/>
          <w:bCs/>
          <w:snapToGrid w:val="0"/>
          <w:color w:val="auto"/>
          <w:kern w:val="0"/>
          <w:sz w:val="24"/>
          <w:szCs w:val="24"/>
          <w:highlight w:val="none"/>
          <w:lang w:eastAsia="zh-CN"/>
        </w:rPr>
        <w:t>，</w:t>
      </w:r>
      <w:r>
        <w:rPr>
          <w:rFonts w:hint="eastAsia" w:ascii="宋体" w:hAnsi="宋体" w:eastAsia="宋体" w:cs="宋体"/>
          <w:b w:val="0"/>
          <w:bCs w:val="0"/>
          <w:caps w:val="0"/>
          <w:smallCaps w:val="0"/>
          <w:snapToGrid w:val="0"/>
          <w:color w:val="auto"/>
          <w:spacing w:val="0"/>
          <w:kern w:val="0"/>
          <w:sz w:val="24"/>
          <w:szCs w:val="24"/>
          <w:highlight w:val="none"/>
          <w:u w:val="none" w:color="auto"/>
        </w:rPr>
        <w:t>直到扣回的金额达到合同约定的预付款金额为止</w:t>
      </w:r>
      <w:r>
        <w:rPr>
          <w:rFonts w:hint="eastAsia" w:ascii="宋体" w:hAnsi="宋体" w:eastAsia="宋体" w:cs="宋体"/>
          <w:b w:val="0"/>
          <w:bCs w:val="0"/>
          <w:caps w:val="0"/>
          <w:smallCaps w:val="0"/>
          <w:snapToGrid w:val="0"/>
          <w:color w:val="auto"/>
          <w:spacing w:val="0"/>
          <w:kern w:val="0"/>
          <w:sz w:val="24"/>
          <w:szCs w:val="24"/>
          <w:highlight w:val="none"/>
          <w:u w:val="none" w:color="auto"/>
          <w:lang w:eastAsia="zh-CN"/>
        </w:rPr>
        <w:t>。</w:t>
      </w:r>
    </w:p>
    <w:p w14:paraId="4737849E">
      <w:pPr>
        <w:pStyle w:val="51"/>
        <w:keepNext w:val="0"/>
        <w:keepLines w:val="0"/>
        <w:pageBreakBefore w:val="0"/>
        <w:kinsoku/>
        <w:overflowPunct/>
        <w:autoSpaceDE/>
        <w:autoSpaceDN/>
        <w:bidi w:val="0"/>
        <w:snapToGrid w:val="0"/>
        <w:spacing w:line="360" w:lineRule="auto"/>
        <w:ind w:firstLine="482" w:firstLineChars="200"/>
        <w:rPr>
          <w:rStyle w:val="48"/>
          <w:rFonts w:hint="eastAsia" w:ascii="宋体" w:hAnsi="宋体" w:eastAsia="宋体" w:cs="宋体"/>
          <w:b w:val="0"/>
          <w:bCs w:val="0"/>
          <w:color w:val="auto"/>
          <w:kern w:val="1"/>
          <w:sz w:val="24"/>
          <w:szCs w:val="24"/>
          <w:highlight w:val="none"/>
        </w:rPr>
      </w:pPr>
      <w:r>
        <w:rPr>
          <w:rStyle w:val="48"/>
          <w:rFonts w:hint="eastAsia" w:ascii="宋体" w:hAnsi="宋体" w:eastAsia="宋体" w:cs="宋体"/>
          <w:b/>
          <w:bCs/>
          <w:color w:val="auto"/>
          <w:sz w:val="24"/>
          <w:szCs w:val="24"/>
          <w:highlight w:val="none"/>
        </w:rPr>
        <w:t>3.3</w:t>
      </w:r>
      <w:r>
        <w:rPr>
          <w:rStyle w:val="48"/>
          <w:rFonts w:hint="eastAsia" w:ascii="宋体" w:hAnsi="宋体" w:eastAsia="宋体" w:cs="宋体"/>
          <w:b w:val="0"/>
          <w:bCs w:val="0"/>
          <w:color w:val="auto"/>
          <w:sz w:val="24"/>
          <w:szCs w:val="24"/>
          <w:highlight w:val="none"/>
          <w:lang w:val="en-US" w:eastAsia="zh-CN"/>
        </w:rPr>
        <w:t xml:space="preserve"> </w:t>
      </w:r>
      <w:r>
        <w:rPr>
          <w:rStyle w:val="48"/>
          <w:rFonts w:hint="eastAsia" w:ascii="宋体" w:hAnsi="宋体" w:eastAsia="宋体" w:cs="宋体"/>
          <w:b w:val="0"/>
          <w:bCs w:val="0"/>
          <w:color w:val="auto"/>
          <w:kern w:val="1"/>
          <w:sz w:val="24"/>
          <w:szCs w:val="24"/>
          <w:highlight w:val="none"/>
        </w:rPr>
        <w:t>施工过程中按月支付工程进度款：承包</w:t>
      </w:r>
      <w:r>
        <w:rPr>
          <w:rStyle w:val="48"/>
          <w:rFonts w:hint="eastAsia" w:ascii="宋体" w:hAnsi="宋体" w:eastAsia="宋体" w:cs="宋体"/>
          <w:b w:val="0"/>
          <w:bCs w:val="0"/>
          <w:color w:val="auto"/>
          <w:kern w:val="1"/>
          <w:sz w:val="24"/>
          <w:szCs w:val="24"/>
          <w:highlight w:val="none"/>
          <w:lang w:eastAsia="zh-CN"/>
        </w:rPr>
        <w:t>人</w:t>
      </w:r>
      <w:r>
        <w:rPr>
          <w:rStyle w:val="48"/>
          <w:rFonts w:hint="eastAsia" w:ascii="宋体" w:hAnsi="宋体" w:eastAsia="宋体" w:cs="宋体"/>
          <w:b w:val="0"/>
          <w:bCs w:val="0"/>
          <w:color w:val="auto"/>
          <w:kern w:val="1"/>
          <w:sz w:val="24"/>
          <w:szCs w:val="24"/>
          <w:highlight w:val="none"/>
        </w:rPr>
        <w:t>每月按工程实际完成工程量</w:t>
      </w:r>
      <w:r>
        <w:rPr>
          <w:rStyle w:val="48"/>
          <w:rFonts w:hint="eastAsia" w:ascii="宋体" w:hAnsi="宋体" w:eastAsia="宋体" w:cs="宋体"/>
          <w:b w:val="0"/>
          <w:bCs w:val="0"/>
          <w:color w:val="auto"/>
          <w:kern w:val="1"/>
          <w:sz w:val="24"/>
          <w:szCs w:val="24"/>
          <w:highlight w:val="none"/>
          <w:lang w:eastAsia="zh-CN"/>
        </w:rPr>
        <w:t>（</w:t>
      </w:r>
      <w:r>
        <w:rPr>
          <w:rStyle w:val="48"/>
          <w:rFonts w:hint="eastAsia" w:ascii="宋体" w:hAnsi="宋体" w:eastAsia="宋体" w:cs="宋体"/>
          <w:b w:val="0"/>
          <w:bCs w:val="0"/>
          <w:color w:val="auto"/>
          <w:kern w:val="1"/>
          <w:sz w:val="24"/>
          <w:szCs w:val="24"/>
          <w:highlight w:val="none"/>
        </w:rPr>
        <w:t>含变更及增加工程</w:t>
      </w:r>
      <w:r>
        <w:rPr>
          <w:rStyle w:val="48"/>
          <w:rFonts w:hint="eastAsia" w:ascii="宋体" w:hAnsi="宋体" w:eastAsia="宋体" w:cs="宋体"/>
          <w:b w:val="0"/>
          <w:bCs w:val="0"/>
          <w:color w:val="auto"/>
          <w:kern w:val="1"/>
          <w:sz w:val="24"/>
          <w:szCs w:val="24"/>
          <w:highlight w:val="none"/>
          <w:lang w:eastAsia="zh-CN"/>
        </w:rPr>
        <w:t>）</w:t>
      </w:r>
      <w:r>
        <w:rPr>
          <w:rStyle w:val="48"/>
          <w:rFonts w:hint="eastAsia" w:ascii="宋体" w:hAnsi="宋体" w:eastAsia="宋体" w:cs="宋体"/>
          <w:b w:val="0"/>
          <w:bCs w:val="0"/>
          <w:color w:val="auto"/>
          <w:kern w:val="1"/>
          <w:sz w:val="24"/>
          <w:szCs w:val="24"/>
          <w:highlight w:val="none"/>
        </w:rPr>
        <w:t>申报，</w:t>
      </w:r>
      <w:r>
        <w:rPr>
          <w:rStyle w:val="48"/>
          <w:rFonts w:hint="eastAsia" w:ascii="宋体" w:hAnsi="宋体" w:eastAsia="宋体" w:cs="宋体"/>
          <w:b w:val="0"/>
          <w:bCs w:val="0"/>
          <w:color w:val="auto"/>
          <w:kern w:val="1"/>
          <w:sz w:val="24"/>
          <w:szCs w:val="24"/>
          <w:highlight w:val="none"/>
          <w:lang w:eastAsia="zh-CN"/>
        </w:rPr>
        <w:t>承包</w:t>
      </w:r>
      <w:r>
        <w:rPr>
          <w:rStyle w:val="48"/>
          <w:rFonts w:hint="eastAsia" w:ascii="宋体" w:hAnsi="宋体" w:eastAsia="宋体" w:cs="宋体"/>
          <w:b w:val="0"/>
          <w:bCs w:val="0"/>
          <w:color w:val="auto"/>
          <w:kern w:val="1"/>
          <w:sz w:val="24"/>
          <w:szCs w:val="24"/>
          <w:highlight w:val="none"/>
        </w:rPr>
        <w:t>人必须将《已完成工程量报表》和《工程付款申请书》于当月</w:t>
      </w:r>
      <w:r>
        <w:rPr>
          <w:rStyle w:val="48"/>
          <w:rFonts w:hint="eastAsia" w:ascii="宋体" w:hAnsi="宋体" w:eastAsia="宋体" w:cs="宋体"/>
          <w:b w:val="0"/>
          <w:bCs w:val="0"/>
          <w:color w:val="auto"/>
          <w:kern w:val="1"/>
          <w:sz w:val="24"/>
          <w:szCs w:val="24"/>
          <w:highlight w:val="none"/>
          <w:lang w:val="en-US" w:eastAsia="zh-CN"/>
        </w:rPr>
        <w:t>26日前</w:t>
      </w:r>
      <w:r>
        <w:rPr>
          <w:rStyle w:val="48"/>
          <w:rFonts w:hint="eastAsia" w:ascii="宋体" w:hAnsi="宋体" w:eastAsia="宋体" w:cs="宋体"/>
          <w:b w:val="0"/>
          <w:bCs w:val="0"/>
          <w:color w:val="auto"/>
          <w:kern w:val="1"/>
          <w:sz w:val="24"/>
          <w:szCs w:val="24"/>
          <w:highlight w:val="none"/>
        </w:rPr>
        <w:t>报监理</w:t>
      </w:r>
      <w:r>
        <w:rPr>
          <w:rStyle w:val="48"/>
          <w:rFonts w:hint="eastAsia" w:ascii="宋体" w:hAnsi="宋体" w:eastAsia="宋体" w:cs="宋体"/>
          <w:b w:val="0"/>
          <w:bCs w:val="0"/>
          <w:color w:val="auto"/>
          <w:kern w:val="1"/>
          <w:sz w:val="24"/>
          <w:szCs w:val="24"/>
          <w:highlight w:val="none"/>
          <w:lang w:eastAsia="zh-CN"/>
        </w:rPr>
        <w:t>单位</w:t>
      </w:r>
      <w:r>
        <w:rPr>
          <w:rStyle w:val="48"/>
          <w:rFonts w:hint="eastAsia" w:ascii="宋体" w:hAnsi="宋体" w:eastAsia="宋体" w:cs="宋体"/>
          <w:b w:val="0"/>
          <w:bCs w:val="0"/>
          <w:color w:val="auto"/>
          <w:kern w:val="1"/>
          <w:sz w:val="24"/>
          <w:szCs w:val="24"/>
          <w:highlight w:val="none"/>
        </w:rPr>
        <w:t>核</w:t>
      </w:r>
      <w:bookmarkStart w:id="192" w:name="_Hlt127094354"/>
      <w:bookmarkEnd w:id="192"/>
      <w:r>
        <w:rPr>
          <w:rStyle w:val="48"/>
          <w:rFonts w:hint="eastAsia" w:ascii="宋体" w:hAnsi="宋体" w:eastAsia="宋体" w:cs="宋体"/>
          <w:b w:val="0"/>
          <w:bCs w:val="0"/>
          <w:color w:val="auto"/>
          <w:kern w:val="1"/>
          <w:sz w:val="24"/>
          <w:szCs w:val="24"/>
          <w:highlight w:val="none"/>
        </w:rPr>
        <w:t>实</w:t>
      </w:r>
      <w:r>
        <w:rPr>
          <w:rStyle w:val="48"/>
          <w:rFonts w:hint="eastAsia" w:ascii="宋体" w:hAnsi="宋体" w:eastAsia="宋体" w:cs="宋体"/>
          <w:b w:val="0"/>
          <w:bCs w:val="0"/>
          <w:color w:val="auto"/>
          <w:kern w:val="1"/>
          <w:sz w:val="24"/>
          <w:szCs w:val="24"/>
          <w:highlight w:val="none"/>
          <w:lang w:eastAsia="zh-CN"/>
        </w:rPr>
        <w:t>。</w:t>
      </w:r>
      <w:r>
        <w:rPr>
          <w:rStyle w:val="48"/>
          <w:rFonts w:hint="eastAsia" w:ascii="宋体" w:hAnsi="宋体" w:eastAsia="宋体" w:cs="宋体"/>
          <w:b w:val="0"/>
          <w:bCs w:val="0"/>
          <w:color w:val="auto"/>
          <w:kern w:val="1"/>
          <w:sz w:val="24"/>
          <w:szCs w:val="24"/>
          <w:highlight w:val="none"/>
        </w:rPr>
        <w:t>经监理</w:t>
      </w:r>
      <w:r>
        <w:rPr>
          <w:rStyle w:val="48"/>
          <w:rFonts w:hint="eastAsia" w:ascii="宋体" w:hAnsi="宋体" w:eastAsia="宋体" w:cs="宋体"/>
          <w:b w:val="0"/>
          <w:bCs w:val="0"/>
          <w:color w:val="auto"/>
          <w:kern w:val="1"/>
          <w:sz w:val="24"/>
          <w:szCs w:val="24"/>
          <w:highlight w:val="none"/>
          <w:lang w:eastAsia="zh-CN"/>
        </w:rPr>
        <w:t>单位审核、发包</w:t>
      </w:r>
      <w:r>
        <w:rPr>
          <w:rStyle w:val="48"/>
          <w:rFonts w:hint="eastAsia" w:ascii="宋体" w:hAnsi="宋体" w:eastAsia="宋体" w:cs="宋体"/>
          <w:b w:val="0"/>
          <w:bCs w:val="0"/>
          <w:color w:val="auto"/>
          <w:kern w:val="1"/>
          <w:sz w:val="24"/>
          <w:szCs w:val="24"/>
          <w:highlight w:val="none"/>
        </w:rPr>
        <w:t>人</w:t>
      </w:r>
      <w:r>
        <w:rPr>
          <w:rStyle w:val="48"/>
          <w:rFonts w:hint="eastAsia" w:ascii="宋体" w:hAnsi="宋体" w:eastAsia="宋体" w:cs="宋体"/>
          <w:b w:val="0"/>
          <w:bCs w:val="0"/>
          <w:color w:val="auto"/>
          <w:kern w:val="1"/>
          <w:sz w:val="24"/>
          <w:szCs w:val="24"/>
          <w:highlight w:val="none"/>
          <w:lang w:eastAsia="zh-CN"/>
        </w:rPr>
        <w:t>审定</w:t>
      </w:r>
      <w:r>
        <w:rPr>
          <w:rStyle w:val="48"/>
          <w:rFonts w:hint="eastAsia" w:ascii="宋体" w:hAnsi="宋体" w:eastAsia="宋体" w:cs="宋体"/>
          <w:b w:val="0"/>
          <w:bCs w:val="0"/>
          <w:color w:val="auto"/>
          <w:kern w:val="1"/>
          <w:sz w:val="24"/>
          <w:szCs w:val="24"/>
          <w:highlight w:val="none"/>
        </w:rPr>
        <w:t>后</w:t>
      </w:r>
      <w:r>
        <w:rPr>
          <w:rStyle w:val="48"/>
          <w:rFonts w:hint="eastAsia" w:ascii="宋体" w:hAnsi="宋体" w:eastAsia="宋体" w:cs="宋体"/>
          <w:b w:val="0"/>
          <w:bCs w:val="0"/>
          <w:color w:val="auto"/>
          <w:kern w:val="1"/>
          <w:sz w:val="24"/>
          <w:szCs w:val="24"/>
          <w:highlight w:val="none"/>
          <w:lang w:eastAsia="zh-CN"/>
        </w:rPr>
        <w:t>的工程进度款（指已经按照合同约定，扣除该支付期内因承包人违约而应扣除的管理费）</w:t>
      </w:r>
      <w:r>
        <w:rPr>
          <w:rStyle w:val="48"/>
          <w:rFonts w:hint="eastAsia" w:ascii="宋体" w:hAnsi="宋体" w:eastAsia="宋体" w:cs="宋体"/>
          <w:b w:val="0"/>
          <w:bCs w:val="0"/>
          <w:color w:val="auto"/>
          <w:kern w:val="1"/>
          <w:sz w:val="24"/>
          <w:szCs w:val="24"/>
          <w:highlight w:val="none"/>
        </w:rPr>
        <w:t>，于申报次月支付。</w:t>
      </w:r>
    </w:p>
    <w:p w14:paraId="534C9E78">
      <w:pPr>
        <w:pStyle w:val="51"/>
        <w:keepNext w:val="0"/>
        <w:keepLines w:val="0"/>
        <w:pageBreakBefore w:val="0"/>
        <w:kinsoku/>
        <w:overflowPunct/>
        <w:autoSpaceDE/>
        <w:autoSpaceDN/>
        <w:bidi w:val="0"/>
        <w:snapToGrid w:val="0"/>
        <w:spacing w:line="360" w:lineRule="auto"/>
        <w:ind w:firstLine="480" w:firstLineChars="200"/>
        <w:rPr>
          <w:rStyle w:val="48"/>
          <w:rFonts w:hint="eastAsia" w:ascii="宋体" w:hAnsi="宋体" w:eastAsia="宋体" w:cs="宋体"/>
          <w:b w:val="0"/>
          <w:bCs w:val="0"/>
          <w:color w:val="auto"/>
          <w:kern w:val="1"/>
          <w:sz w:val="24"/>
          <w:szCs w:val="24"/>
          <w:highlight w:val="none"/>
        </w:rPr>
      </w:pPr>
      <w:r>
        <w:rPr>
          <w:rStyle w:val="48"/>
          <w:rFonts w:hint="eastAsia" w:ascii="宋体" w:hAnsi="宋体" w:eastAsia="宋体" w:cs="宋体"/>
          <w:b w:val="0"/>
          <w:bCs w:val="0"/>
          <w:color w:val="auto"/>
          <w:sz w:val="24"/>
          <w:szCs w:val="24"/>
          <w:highlight w:val="none"/>
          <w:lang w:val="en-US" w:eastAsia="zh-CN"/>
        </w:rPr>
        <w:t>3.3.1</w:t>
      </w:r>
      <w:r>
        <w:rPr>
          <w:rFonts w:hint="eastAsia" w:ascii="宋体" w:hAnsi="宋体" w:eastAsia="宋体" w:cs="宋体"/>
          <w:b w:val="0"/>
          <w:bCs w:val="0"/>
          <w:caps w:val="0"/>
          <w:smallCaps w:val="0"/>
          <w:snapToGrid w:val="0"/>
          <w:color w:val="auto"/>
          <w:spacing w:val="0"/>
          <w:kern w:val="0"/>
          <w:sz w:val="24"/>
          <w:szCs w:val="24"/>
          <w:highlight w:val="none"/>
        </w:rPr>
        <w:t>每月的工程进度款按</w:t>
      </w:r>
      <w:r>
        <w:rPr>
          <w:rFonts w:hint="eastAsia" w:ascii="宋体" w:hAnsi="宋体" w:eastAsia="宋体" w:cs="宋体"/>
          <w:b w:val="0"/>
          <w:bCs w:val="0"/>
          <w:caps w:val="0"/>
          <w:smallCaps w:val="0"/>
          <w:snapToGrid w:val="0"/>
          <w:color w:val="auto"/>
          <w:spacing w:val="0"/>
          <w:kern w:val="0"/>
          <w:sz w:val="24"/>
          <w:szCs w:val="24"/>
          <w:highlight w:val="none"/>
          <w:lang w:eastAsia="zh-CN"/>
        </w:rPr>
        <w:t>工程实际完成工程量</w:t>
      </w:r>
      <w:r>
        <w:rPr>
          <w:rFonts w:hint="eastAsia" w:ascii="宋体" w:hAnsi="宋体" w:eastAsia="宋体" w:cs="宋体"/>
          <w:b w:val="0"/>
          <w:bCs w:val="0"/>
          <w:caps w:val="0"/>
          <w:smallCaps w:val="0"/>
          <w:snapToGrid w:val="0"/>
          <w:color w:val="auto"/>
          <w:spacing w:val="0"/>
          <w:kern w:val="0"/>
          <w:sz w:val="24"/>
          <w:szCs w:val="24"/>
          <w:highlight w:val="none"/>
        </w:rPr>
        <w:t>的</w:t>
      </w:r>
      <w:r>
        <w:rPr>
          <w:rFonts w:hint="eastAsia" w:ascii="宋体" w:hAnsi="宋体" w:eastAsia="宋体" w:cs="宋体"/>
          <w:b/>
          <w:bCs/>
          <w:caps w:val="0"/>
          <w:smallCaps w:val="0"/>
          <w:snapToGrid w:val="0"/>
          <w:color w:val="auto"/>
          <w:spacing w:val="0"/>
          <w:kern w:val="0"/>
          <w:sz w:val="24"/>
          <w:szCs w:val="24"/>
          <w:highlight w:val="none"/>
          <w:u w:val="single" w:color="auto"/>
          <w:lang w:val="en-US" w:eastAsia="zh-CN"/>
        </w:rPr>
        <w:t xml:space="preserve"> 80%</w:t>
      </w:r>
      <w:r>
        <w:rPr>
          <w:rFonts w:hint="eastAsia" w:ascii="宋体" w:hAnsi="宋体" w:eastAsia="宋体" w:cs="宋体"/>
          <w:b/>
          <w:bCs/>
          <w:caps w:val="0"/>
          <w:smallCaps w:val="0"/>
          <w:snapToGrid w:val="0"/>
          <w:color w:val="auto"/>
          <w:spacing w:val="0"/>
          <w:kern w:val="0"/>
          <w:sz w:val="24"/>
          <w:szCs w:val="24"/>
          <w:highlight w:val="none"/>
          <w:u w:val="single"/>
          <w:lang w:val="en-US" w:eastAsia="zh-CN"/>
        </w:rPr>
        <w:t xml:space="preserve"> </w:t>
      </w:r>
      <w:r>
        <w:rPr>
          <w:rFonts w:hint="eastAsia" w:ascii="宋体" w:hAnsi="宋体" w:eastAsia="宋体" w:cs="宋体"/>
          <w:b w:val="0"/>
          <w:bCs w:val="0"/>
          <w:caps w:val="0"/>
          <w:smallCaps w:val="0"/>
          <w:snapToGrid w:val="0"/>
          <w:color w:val="auto"/>
          <w:spacing w:val="0"/>
          <w:kern w:val="0"/>
          <w:sz w:val="24"/>
          <w:szCs w:val="24"/>
          <w:highlight w:val="none"/>
        </w:rPr>
        <w:t>支付，工程</w:t>
      </w:r>
      <w:r>
        <w:rPr>
          <w:rFonts w:hint="eastAsia" w:ascii="宋体" w:hAnsi="宋体" w:eastAsia="宋体" w:cs="宋体"/>
          <w:b w:val="0"/>
          <w:bCs w:val="0"/>
          <w:caps w:val="0"/>
          <w:smallCaps w:val="0"/>
          <w:snapToGrid w:val="0"/>
          <w:color w:val="auto"/>
          <w:spacing w:val="0"/>
          <w:kern w:val="0"/>
          <w:sz w:val="24"/>
          <w:szCs w:val="24"/>
          <w:highlight w:val="none"/>
          <w:lang w:eastAsia="zh-CN"/>
        </w:rPr>
        <w:t>进度</w:t>
      </w:r>
      <w:r>
        <w:rPr>
          <w:rFonts w:hint="eastAsia" w:ascii="宋体" w:hAnsi="宋体" w:eastAsia="宋体" w:cs="宋体"/>
          <w:b w:val="0"/>
          <w:bCs w:val="0"/>
          <w:caps w:val="0"/>
          <w:smallCaps w:val="0"/>
          <w:snapToGrid w:val="0"/>
          <w:color w:val="auto"/>
          <w:spacing w:val="0"/>
          <w:kern w:val="0"/>
          <w:sz w:val="24"/>
          <w:szCs w:val="24"/>
          <w:highlight w:val="none"/>
        </w:rPr>
        <w:t>款中的作业工人工资款项由发包人单独足额拨付到承包人的工资专户</w:t>
      </w:r>
      <w:r>
        <w:rPr>
          <w:rFonts w:hint="eastAsia" w:ascii="宋体" w:hAnsi="宋体" w:eastAsia="宋体" w:cs="宋体"/>
          <w:b w:val="0"/>
          <w:bCs w:val="0"/>
          <w:caps w:val="0"/>
          <w:smallCaps w:val="0"/>
          <w:snapToGrid w:val="0"/>
          <w:color w:val="auto"/>
          <w:spacing w:val="0"/>
          <w:kern w:val="0"/>
          <w:sz w:val="24"/>
          <w:szCs w:val="24"/>
          <w:highlight w:val="none"/>
          <w:lang w:eastAsia="zh-CN"/>
        </w:rPr>
        <w:t>。</w:t>
      </w:r>
    </w:p>
    <w:p w14:paraId="48A223AF">
      <w:pPr>
        <w:keepNext w:val="0"/>
        <w:keepLines w:val="0"/>
        <w:pageBreakBefore w:val="0"/>
        <w:kinsoku/>
        <w:overflowPunct/>
        <w:autoSpaceDE/>
        <w:autoSpaceDN/>
        <w:bidi w:val="0"/>
        <w:snapToGrid w:val="0"/>
        <w:spacing w:line="360" w:lineRule="auto"/>
        <w:ind w:firstLine="482" w:firstLineChars="200"/>
        <w:rPr>
          <w:rStyle w:val="48"/>
          <w:rFonts w:hint="eastAsia" w:ascii="宋体" w:hAnsi="宋体" w:eastAsia="宋体" w:cs="宋体"/>
          <w:b w:val="0"/>
          <w:bCs w:val="0"/>
          <w:color w:val="auto"/>
          <w:kern w:val="1"/>
          <w:sz w:val="24"/>
          <w:szCs w:val="24"/>
          <w:highlight w:val="none"/>
        </w:rPr>
      </w:pPr>
      <w:r>
        <w:rPr>
          <w:rStyle w:val="48"/>
          <w:rFonts w:hint="eastAsia" w:ascii="宋体" w:hAnsi="宋体" w:eastAsia="宋体" w:cs="宋体"/>
          <w:b/>
          <w:bCs/>
          <w:color w:val="auto"/>
          <w:kern w:val="1"/>
          <w:sz w:val="24"/>
          <w:szCs w:val="24"/>
          <w:highlight w:val="none"/>
        </w:rPr>
        <w:t>3.4</w:t>
      </w:r>
      <w:r>
        <w:rPr>
          <w:rStyle w:val="48"/>
          <w:rFonts w:hint="eastAsia" w:ascii="宋体" w:hAnsi="宋体" w:eastAsia="宋体" w:cs="宋体"/>
          <w:b w:val="0"/>
          <w:bCs w:val="0"/>
          <w:color w:val="auto"/>
          <w:kern w:val="1"/>
          <w:sz w:val="24"/>
          <w:szCs w:val="24"/>
          <w:highlight w:val="none"/>
          <w:lang w:val="en-US" w:eastAsia="zh-CN"/>
        </w:rPr>
        <w:t xml:space="preserve"> </w:t>
      </w:r>
      <w:r>
        <w:rPr>
          <w:rFonts w:hint="eastAsia" w:ascii="宋体" w:hAnsi="宋体" w:eastAsia="宋体" w:cs="宋体"/>
          <w:b w:val="0"/>
          <w:bCs w:val="0"/>
          <w:snapToGrid w:val="0"/>
          <w:color w:val="auto"/>
          <w:kern w:val="0"/>
          <w:sz w:val="24"/>
          <w:szCs w:val="24"/>
          <w:highlight w:val="none"/>
        </w:rPr>
        <w:t>措施项目费中的“绿色施工安全防护措施费”拨付按照《广东省建设工程计价依据（2018）》执行，按照项目所在地的建设行政主管部门有关规定支付。发生一般事故及以上等级重大安全事故的，发包人可扣除承包人金额相当于所有“绿色施工安全防护措施费”的工程管理费。</w:t>
      </w:r>
    </w:p>
    <w:p w14:paraId="16EFECB7">
      <w:pPr>
        <w:keepNext w:val="0"/>
        <w:keepLines w:val="0"/>
        <w:pageBreakBefore w:val="0"/>
        <w:kinsoku/>
        <w:overflowPunct/>
        <w:autoSpaceDE/>
        <w:autoSpaceDN/>
        <w:bidi w:val="0"/>
        <w:snapToGrid w:val="0"/>
        <w:spacing w:line="360" w:lineRule="auto"/>
        <w:ind w:firstLine="482" w:firstLineChars="200"/>
        <w:rPr>
          <w:rStyle w:val="48"/>
          <w:rFonts w:hint="eastAsia" w:ascii="宋体" w:hAnsi="宋体" w:eastAsia="宋体" w:cs="宋体"/>
          <w:b w:val="0"/>
          <w:bCs w:val="0"/>
          <w:color w:val="auto"/>
          <w:kern w:val="1"/>
          <w:sz w:val="24"/>
          <w:szCs w:val="24"/>
          <w:highlight w:val="none"/>
        </w:rPr>
      </w:pPr>
      <w:r>
        <w:rPr>
          <w:rStyle w:val="48"/>
          <w:rFonts w:hint="eastAsia" w:ascii="宋体" w:hAnsi="宋体" w:eastAsia="宋体" w:cs="宋体"/>
          <w:b/>
          <w:bCs/>
          <w:color w:val="auto"/>
          <w:kern w:val="1"/>
          <w:sz w:val="24"/>
          <w:szCs w:val="24"/>
          <w:highlight w:val="none"/>
        </w:rPr>
        <w:t>3.5</w:t>
      </w:r>
      <w:r>
        <w:rPr>
          <w:rStyle w:val="48"/>
          <w:rFonts w:hint="eastAsia" w:ascii="宋体" w:hAnsi="宋体" w:eastAsia="宋体" w:cs="宋体"/>
          <w:b w:val="0"/>
          <w:bCs w:val="0"/>
          <w:color w:val="auto"/>
          <w:kern w:val="1"/>
          <w:sz w:val="24"/>
          <w:szCs w:val="24"/>
          <w:highlight w:val="none"/>
          <w:lang w:val="en-US" w:eastAsia="zh-CN"/>
        </w:rPr>
        <w:t xml:space="preserve"> </w:t>
      </w:r>
      <w:r>
        <w:rPr>
          <w:rStyle w:val="48"/>
          <w:rFonts w:hint="eastAsia" w:ascii="宋体" w:hAnsi="宋体" w:eastAsia="宋体" w:cs="宋体"/>
          <w:b w:val="0"/>
          <w:bCs w:val="0"/>
          <w:color w:val="auto"/>
          <w:kern w:val="0"/>
          <w:sz w:val="24"/>
          <w:szCs w:val="24"/>
          <w:highlight w:val="none"/>
        </w:rPr>
        <w:t>变更工程造价必须经监理单位核实，并经发包人核定后方可支付。</w:t>
      </w:r>
    </w:p>
    <w:p w14:paraId="341207CA">
      <w:pPr>
        <w:keepNext w:val="0"/>
        <w:keepLines w:val="0"/>
        <w:pageBreakBefore w:val="0"/>
        <w:kinsoku/>
        <w:overflowPunct/>
        <w:autoSpaceDE/>
        <w:autoSpaceDN/>
        <w:bidi w:val="0"/>
        <w:snapToGrid w:val="0"/>
        <w:spacing w:line="360" w:lineRule="auto"/>
        <w:ind w:firstLine="482" w:firstLineChars="200"/>
        <w:rPr>
          <w:rFonts w:hint="eastAsia" w:ascii="宋体" w:hAnsi="宋体" w:eastAsia="宋体" w:cs="宋体"/>
          <w:b w:val="0"/>
          <w:bCs w:val="0"/>
          <w:caps w:val="0"/>
          <w:smallCaps w:val="0"/>
          <w:snapToGrid w:val="0"/>
          <w:color w:val="auto"/>
          <w:spacing w:val="0"/>
          <w:kern w:val="0"/>
          <w:sz w:val="24"/>
          <w:szCs w:val="24"/>
          <w:highlight w:val="none"/>
          <w:lang w:val="en-US" w:eastAsia="zh-CN"/>
        </w:rPr>
      </w:pPr>
      <w:r>
        <w:rPr>
          <w:rStyle w:val="48"/>
          <w:rFonts w:hint="eastAsia" w:ascii="宋体" w:hAnsi="宋体" w:eastAsia="宋体" w:cs="宋体"/>
          <w:b/>
          <w:bCs/>
          <w:color w:val="auto"/>
          <w:kern w:val="1"/>
          <w:sz w:val="24"/>
          <w:szCs w:val="24"/>
          <w:highlight w:val="none"/>
        </w:rPr>
        <w:t>3.6</w:t>
      </w:r>
      <w:r>
        <w:rPr>
          <w:rStyle w:val="48"/>
          <w:rFonts w:hint="eastAsia" w:ascii="宋体" w:hAnsi="宋体" w:eastAsia="宋体" w:cs="宋体"/>
          <w:b w:val="0"/>
          <w:bCs w:val="0"/>
          <w:color w:val="auto"/>
          <w:kern w:val="1"/>
          <w:sz w:val="24"/>
          <w:szCs w:val="24"/>
          <w:highlight w:val="none"/>
        </w:rPr>
        <w:t xml:space="preserve"> </w:t>
      </w:r>
      <w:r>
        <w:rPr>
          <w:rFonts w:hint="eastAsia" w:ascii="宋体" w:hAnsi="宋体" w:eastAsia="宋体" w:cs="宋体"/>
          <w:b w:val="0"/>
          <w:bCs w:val="0"/>
          <w:caps w:val="0"/>
          <w:smallCaps w:val="0"/>
          <w:snapToGrid w:val="0"/>
          <w:color w:val="auto"/>
          <w:spacing w:val="0"/>
          <w:kern w:val="0"/>
          <w:sz w:val="24"/>
          <w:szCs w:val="24"/>
          <w:highlight w:val="none"/>
          <w:lang w:eastAsia="zh-CN"/>
        </w:rPr>
        <w:t>结算审核完成后，于次月支付至审核价格的</w:t>
      </w:r>
      <w:r>
        <w:rPr>
          <w:rFonts w:hint="eastAsia" w:ascii="宋体" w:hAnsi="宋体" w:eastAsia="宋体" w:cs="宋体"/>
          <w:b/>
          <w:bCs/>
          <w:caps w:val="0"/>
          <w:smallCaps w:val="0"/>
          <w:snapToGrid w:val="0"/>
          <w:color w:val="auto"/>
          <w:spacing w:val="0"/>
          <w:kern w:val="0"/>
          <w:sz w:val="24"/>
          <w:szCs w:val="24"/>
          <w:highlight w:val="none"/>
          <w:u w:val="single"/>
          <w:lang w:eastAsia="zh-CN"/>
        </w:rPr>
        <w:t>97%</w:t>
      </w:r>
      <w:r>
        <w:rPr>
          <w:rFonts w:hint="eastAsia" w:ascii="宋体" w:hAnsi="宋体" w:eastAsia="宋体" w:cs="宋体"/>
          <w:b w:val="0"/>
          <w:bCs w:val="0"/>
          <w:caps w:val="0"/>
          <w:smallCaps w:val="0"/>
          <w:snapToGrid w:val="0"/>
          <w:color w:val="auto"/>
          <w:spacing w:val="0"/>
          <w:kern w:val="0"/>
          <w:sz w:val="24"/>
          <w:szCs w:val="24"/>
          <w:highlight w:val="none"/>
          <w:lang w:eastAsia="zh-CN"/>
        </w:rPr>
        <w:t>，剩余</w:t>
      </w:r>
      <w:r>
        <w:rPr>
          <w:rFonts w:hint="eastAsia" w:ascii="宋体" w:hAnsi="宋体" w:eastAsia="宋体" w:cs="宋体"/>
          <w:b/>
          <w:bCs/>
          <w:caps w:val="0"/>
          <w:smallCaps w:val="0"/>
          <w:snapToGrid w:val="0"/>
          <w:color w:val="auto"/>
          <w:spacing w:val="0"/>
          <w:kern w:val="0"/>
          <w:sz w:val="24"/>
          <w:szCs w:val="24"/>
          <w:highlight w:val="none"/>
          <w:u w:val="single"/>
          <w:lang w:eastAsia="zh-CN"/>
        </w:rPr>
        <w:t>3%</w:t>
      </w:r>
      <w:r>
        <w:rPr>
          <w:rFonts w:hint="eastAsia" w:ascii="宋体" w:hAnsi="宋体" w:eastAsia="宋体" w:cs="宋体"/>
          <w:b/>
          <w:bCs/>
          <w:caps w:val="0"/>
          <w:smallCaps w:val="0"/>
          <w:snapToGrid w:val="0"/>
          <w:color w:val="auto"/>
          <w:spacing w:val="0"/>
          <w:kern w:val="0"/>
          <w:sz w:val="24"/>
          <w:szCs w:val="24"/>
          <w:highlight w:val="none"/>
          <w:u w:val="single"/>
          <w:lang w:val="en-US" w:eastAsia="zh-CN"/>
        </w:rPr>
        <w:t xml:space="preserve"> </w:t>
      </w:r>
      <w:r>
        <w:rPr>
          <w:rFonts w:hint="eastAsia" w:ascii="宋体" w:hAnsi="宋体" w:eastAsia="宋体" w:cs="宋体"/>
          <w:b w:val="0"/>
          <w:bCs w:val="0"/>
          <w:caps w:val="0"/>
          <w:smallCaps w:val="0"/>
          <w:snapToGrid w:val="0"/>
          <w:color w:val="auto"/>
          <w:spacing w:val="0"/>
          <w:kern w:val="0"/>
          <w:sz w:val="24"/>
          <w:szCs w:val="24"/>
          <w:highlight w:val="none"/>
          <w:lang w:eastAsia="zh-CN"/>
        </w:rPr>
        <w:t>转为质量保证金；承包人提交了等额质量保证担保或质量保证保险的，于次月一次性结清合同价格。</w:t>
      </w:r>
    </w:p>
    <w:p w14:paraId="16D1DFA0">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right="0" w:rightChars="0" w:firstLine="482" w:firstLineChars="200"/>
        <w:textAlignment w:val="auto"/>
        <w:rPr>
          <w:rFonts w:hint="eastAsia" w:ascii="宋体" w:hAnsi="宋体" w:eastAsia="宋体" w:cs="宋体"/>
          <w:b/>
          <w:bCs/>
          <w:caps w:val="0"/>
          <w:smallCaps w:val="0"/>
          <w:snapToGrid w:val="0"/>
          <w:color w:val="auto"/>
          <w:spacing w:val="0"/>
          <w:kern w:val="0"/>
          <w:sz w:val="24"/>
          <w:szCs w:val="24"/>
          <w:highlight w:val="none"/>
          <w:u w:val="single"/>
          <w:lang w:val="en-US" w:eastAsia="zh-CN"/>
        </w:rPr>
      </w:pPr>
      <w:r>
        <w:rPr>
          <w:rFonts w:hint="eastAsia" w:ascii="宋体" w:hAnsi="宋体" w:eastAsia="宋体" w:cs="宋体"/>
          <w:b/>
          <w:bCs/>
          <w:caps w:val="0"/>
          <w:smallCaps w:val="0"/>
          <w:snapToGrid w:val="0"/>
          <w:color w:val="auto"/>
          <w:spacing w:val="0"/>
          <w:kern w:val="0"/>
          <w:sz w:val="24"/>
          <w:szCs w:val="24"/>
          <w:highlight w:val="none"/>
          <w:u w:val="single"/>
          <w:lang w:val="en-US" w:eastAsia="zh-CN"/>
        </w:rPr>
        <w:t>注：招标人在前款规定的付款时间为向支付部门提出办理支付申请手续的时间（不含支付部门审核的时间），在规定时间内提出支付申请手续后即视为招标人已经按期支付。</w:t>
      </w:r>
    </w:p>
    <w:p w14:paraId="798DB1D7">
      <w:pPr>
        <w:keepNext w:val="0"/>
        <w:keepLines w:val="0"/>
        <w:pageBreakBefore w:val="0"/>
        <w:kinsoku/>
        <w:overflowPunct/>
        <w:autoSpaceDE/>
        <w:autoSpaceDN/>
        <w:bidi w:val="0"/>
        <w:snapToGrid w:val="0"/>
        <w:spacing w:line="360" w:lineRule="auto"/>
        <w:ind w:firstLine="482" w:firstLineChars="200"/>
        <w:rPr>
          <w:rStyle w:val="48"/>
          <w:rFonts w:hint="eastAsia" w:ascii="宋体" w:hAnsi="宋体" w:eastAsia="宋体" w:cs="宋体"/>
          <w:b w:val="0"/>
          <w:bCs w:val="0"/>
          <w:color w:val="auto"/>
          <w:kern w:val="1"/>
          <w:sz w:val="24"/>
          <w:szCs w:val="24"/>
          <w:highlight w:val="none"/>
          <w:lang w:val="en-US" w:eastAsia="zh-CN"/>
        </w:rPr>
      </w:pPr>
      <w:r>
        <w:rPr>
          <w:rStyle w:val="48"/>
          <w:rFonts w:hint="eastAsia" w:ascii="宋体" w:hAnsi="宋体" w:eastAsia="宋体" w:cs="宋体"/>
          <w:b/>
          <w:bCs/>
          <w:color w:val="auto"/>
          <w:kern w:val="1"/>
          <w:sz w:val="24"/>
          <w:szCs w:val="24"/>
          <w:highlight w:val="none"/>
        </w:rPr>
        <w:t>3.7</w:t>
      </w:r>
      <w:r>
        <w:rPr>
          <w:rStyle w:val="48"/>
          <w:rFonts w:hint="eastAsia" w:ascii="宋体" w:hAnsi="宋体" w:eastAsia="宋体" w:cs="宋体"/>
          <w:b w:val="0"/>
          <w:bCs w:val="0"/>
          <w:color w:val="auto"/>
          <w:kern w:val="1"/>
          <w:sz w:val="24"/>
          <w:szCs w:val="24"/>
          <w:highlight w:val="none"/>
          <w:lang w:val="en-US" w:eastAsia="zh-CN"/>
        </w:rPr>
        <w:t xml:space="preserve"> </w:t>
      </w:r>
      <w:r>
        <w:rPr>
          <w:rFonts w:hint="eastAsia" w:ascii="宋体" w:hAnsi="宋体" w:eastAsia="宋体" w:cs="宋体"/>
          <w:b w:val="0"/>
          <w:bCs w:val="0"/>
          <w:snapToGrid w:val="0"/>
          <w:color w:val="auto"/>
          <w:kern w:val="0"/>
          <w:sz w:val="24"/>
          <w:szCs w:val="24"/>
          <w:highlight w:val="none"/>
        </w:rPr>
        <w:t>本工程缺陷责任期为</w:t>
      </w:r>
      <w:r>
        <w:rPr>
          <w:rFonts w:hint="eastAsia" w:ascii="宋体" w:hAnsi="宋体" w:eastAsia="宋体" w:cs="宋体"/>
          <w:b w:val="0"/>
          <w:bCs w:val="0"/>
          <w:snapToGrid w:val="0"/>
          <w:color w:val="auto"/>
          <w:kern w:val="0"/>
          <w:sz w:val="24"/>
          <w:szCs w:val="24"/>
          <w:highlight w:val="none"/>
          <w:u w:val="single"/>
        </w:rPr>
        <w:t xml:space="preserve"> 2 </w:t>
      </w:r>
      <w:r>
        <w:rPr>
          <w:rFonts w:hint="eastAsia" w:ascii="宋体" w:hAnsi="宋体" w:eastAsia="宋体" w:cs="宋体"/>
          <w:b w:val="0"/>
          <w:bCs w:val="0"/>
          <w:snapToGrid w:val="0"/>
          <w:color w:val="auto"/>
          <w:kern w:val="0"/>
          <w:sz w:val="24"/>
          <w:szCs w:val="24"/>
          <w:highlight w:val="none"/>
        </w:rPr>
        <w:t>年（自通过竣工验收之日起计）。缺陷责任期到期后，承包人向发包人申请退还质量保证金。发包人收到退还申请后，于</w:t>
      </w:r>
      <w:r>
        <w:rPr>
          <w:rFonts w:hint="eastAsia" w:ascii="宋体" w:hAnsi="宋体" w:eastAsia="宋体" w:cs="宋体"/>
          <w:b w:val="0"/>
          <w:bCs w:val="0"/>
          <w:snapToGrid w:val="0"/>
          <w:color w:val="auto"/>
          <w:kern w:val="0"/>
          <w:sz w:val="24"/>
          <w:szCs w:val="24"/>
          <w:highlight w:val="none"/>
          <w:u w:val="single"/>
        </w:rPr>
        <w:t xml:space="preserve"> 14 </w:t>
      </w:r>
      <w:r>
        <w:rPr>
          <w:rFonts w:hint="eastAsia" w:ascii="宋体" w:hAnsi="宋体" w:eastAsia="宋体" w:cs="宋体"/>
          <w:b w:val="0"/>
          <w:bCs w:val="0"/>
          <w:snapToGrid w:val="0"/>
          <w:color w:val="auto"/>
          <w:kern w:val="0"/>
          <w:sz w:val="24"/>
          <w:szCs w:val="24"/>
          <w:highlight w:val="none"/>
        </w:rPr>
        <w:t>天内会同承包人进行核实。经双方核实且均无异议后，发包人在核实之日起</w:t>
      </w:r>
      <w:r>
        <w:rPr>
          <w:rFonts w:hint="eastAsia" w:ascii="宋体" w:hAnsi="宋体" w:eastAsia="宋体" w:cs="宋体"/>
          <w:b w:val="0"/>
          <w:bCs w:val="0"/>
          <w:snapToGrid w:val="0"/>
          <w:color w:val="auto"/>
          <w:kern w:val="0"/>
          <w:sz w:val="24"/>
          <w:szCs w:val="24"/>
          <w:highlight w:val="none"/>
          <w:u w:val="single"/>
        </w:rPr>
        <w:t xml:space="preserve"> 14 </w:t>
      </w:r>
      <w:r>
        <w:rPr>
          <w:rFonts w:hint="eastAsia" w:ascii="宋体" w:hAnsi="宋体" w:eastAsia="宋体" w:cs="宋体"/>
          <w:b w:val="0"/>
          <w:bCs w:val="0"/>
          <w:snapToGrid w:val="0"/>
          <w:color w:val="auto"/>
          <w:kern w:val="0"/>
          <w:sz w:val="24"/>
          <w:szCs w:val="24"/>
          <w:highlight w:val="none"/>
        </w:rPr>
        <w:t>天内将应返保证金（或质量保证担保或质量保证保险）退还承包人。</w:t>
      </w:r>
    </w:p>
    <w:p w14:paraId="10CF4AC9">
      <w:pPr>
        <w:keepNext w:val="0"/>
        <w:keepLines w:val="0"/>
        <w:pageBreakBefore w:val="0"/>
        <w:kinsoku/>
        <w:overflowPunct/>
        <w:autoSpaceDE/>
        <w:autoSpaceDN/>
        <w:bidi w:val="0"/>
        <w:snapToGrid w:val="0"/>
        <w:spacing w:line="360" w:lineRule="auto"/>
        <w:ind w:firstLine="482" w:firstLineChars="200"/>
        <w:rPr>
          <w:rStyle w:val="48"/>
          <w:rFonts w:hint="eastAsia" w:ascii="宋体" w:hAnsi="宋体" w:eastAsia="宋体" w:cs="宋体"/>
          <w:b/>
          <w:bCs/>
          <w:color w:val="auto"/>
          <w:kern w:val="1"/>
          <w:sz w:val="24"/>
          <w:szCs w:val="24"/>
          <w:highlight w:val="none"/>
        </w:rPr>
      </w:pPr>
      <w:r>
        <w:rPr>
          <w:rStyle w:val="48"/>
          <w:rFonts w:hint="eastAsia" w:ascii="宋体" w:hAnsi="宋体" w:eastAsia="宋体" w:cs="宋体"/>
          <w:b/>
          <w:bCs/>
          <w:color w:val="auto"/>
          <w:kern w:val="1"/>
          <w:sz w:val="24"/>
          <w:szCs w:val="24"/>
          <w:highlight w:val="none"/>
        </w:rPr>
        <w:t>3.8</w:t>
      </w:r>
      <w:r>
        <w:rPr>
          <w:rStyle w:val="48"/>
          <w:rFonts w:hint="eastAsia" w:ascii="宋体" w:hAnsi="宋体" w:eastAsia="宋体" w:cs="宋体"/>
          <w:b w:val="0"/>
          <w:bCs w:val="0"/>
          <w:color w:val="auto"/>
          <w:kern w:val="1"/>
          <w:sz w:val="24"/>
          <w:szCs w:val="24"/>
          <w:highlight w:val="none"/>
        </w:rPr>
        <w:t xml:space="preserve"> </w:t>
      </w:r>
      <w:r>
        <w:rPr>
          <w:rFonts w:hint="eastAsia" w:ascii="宋体" w:hAnsi="宋体" w:eastAsia="宋体" w:cs="宋体"/>
          <w:b/>
          <w:bCs/>
          <w:snapToGrid w:val="0"/>
          <w:color w:val="auto"/>
          <w:kern w:val="0"/>
          <w:sz w:val="24"/>
          <w:szCs w:val="24"/>
          <w:highlight w:val="none"/>
        </w:rPr>
        <w:t>发包人每次支付工程款前，承包人均应提供</w:t>
      </w:r>
      <w:r>
        <w:rPr>
          <w:rFonts w:hint="eastAsia" w:ascii="宋体" w:hAnsi="宋体" w:eastAsia="宋体" w:cs="宋体"/>
          <w:b/>
          <w:bCs/>
          <w:snapToGrid w:val="0"/>
          <w:color w:val="auto"/>
          <w:kern w:val="0"/>
          <w:sz w:val="24"/>
          <w:szCs w:val="24"/>
          <w:highlight w:val="none"/>
          <w:lang w:val="en-US" w:eastAsia="zh-CN"/>
        </w:rPr>
        <w:t>符合项目业主单位要求的</w:t>
      </w:r>
      <w:r>
        <w:rPr>
          <w:rFonts w:hint="eastAsia" w:ascii="宋体" w:hAnsi="宋体" w:eastAsia="宋体" w:cs="宋体"/>
          <w:b/>
          <w:bCs/>
          <w:snapToGrid w:val="0"/>
          <w:color w:val="auto"/>
          <w:kern w:val="0"/>
          <w:sz w:val="24"/>
          <w:szCs w:val="24"/>
          <w:highlight w:val="none"/>
        </w:rPr>
        <w:t>有效的增值税发票。如果承包人无法提供符合要求的发票，由此造成的相应损失由承包人承担。</w:t>
      </w:r>
    </w:p>
    <w:p w14:paraId="75FDFA47">
      <w:pPr>
        <w:keepNext w:val="0"/>
        <w:keepLines w:val="0"/>
        <w:pageBreakBefore w:val="0"/>
        <w:kinsoku/>
        <w:overflowPunct/>
        <w:autoSpaceDE/>
        <w:autoSpaceDN/>
        <w:bidi w:val="0"/>
        <w:snapToGrid w:val="0"/>
        <w:spacing w:line="360" w:lineRule="auto"/>
        <w:ind w:firstLine="482" w:firstLineChars="200"/>
        <w:rPr>
          <w:rStyle w:val="48"/>
          <w:rFonts w:hint="eastAsia" w:ascii="宋体" w:hAnsi="宋体" w:eastAsia="宋体" w:cs="宋体"/>
          <w:b w:val="0"/>
          <w:bCs w:val="0"/>
          <w:color w:val="auto"/>
          <w:kern w:val="1"/>
          <w:sz w:val="24"/>
          <w:szCs w:val="24"/>
          <w:highlight w:val="none"/>
          <w:u w:val="single"/>
        </w:rPr>
      </w:pPr>
      <w:r>
        <w:rPr>
          <w:rStyle w:val="48"/>
          <w:rFonts w:hint="eastAsia" w:ascii="宋体" w:hAnsi="宋体" w:eastAsia="宋体" w:cs="宋体"/>
          <w:b/>
          <w:bCs/>
          <w:color w:val="auto"/>
          <w:kern w:val="1"/>
          <w:sz w:val="24"/>
          <w:szCs w:val="24"/>
          <w:highlight w:val="none"/>
        </w:rPr>
        <w:t>3.</w:t>
      </w:r>
      <w:r>
        <w:rPr>
          <w:rStyle w:val="48"/>
          <w:rFonts w:hint="eastAsia" w:ascii="宋体" w:hAnsi="宋体" w:eastAsia="宋体" w:cs="宋体"/>
          <w:b/>
          <w:bCs/>
          <w:color w:val="auto"/>
          <w:kern w:val="1"/>
          <w:sz w:val="24"/>
          <w:szCs w:val="24"/>
          <w:highlight w:val="none"/>
          <w:lang w:val="en-US" w:eastAsia="zh-CN"/>
        </w:rPr>
        <w:t>10</w:t>
      </w:r>
      <w:r>
        <w:rPr>
          <w:rStyle w:val="48"/>
          <w:rFonts w:hint="eastAsia" w:ascii="宋体" w:hAnsi="宋体" w:eastAsia="宋体" w:cs="宋体"/>
          <w:b w:val="0"/>
          <w:bCs w:val="0"/>
          <w:color w:val="auto"/>
          <w:kern w:val="1"/>
          <w:sz w:val="24"/>
          <w:szCs w:val="24"/>
          <w:highlight w:val="none"/>
        </w:rPr>
        <w:t xml:space="preserve"> 暂列金额结算方式</w:t>
      </w:r>
      <w:r>
        <w:rPr>
          <w:rStyle w:val="48"/>
          <w:rFonts w:hint="eastAsia" w:ascii="宋体" w:hAnsi="宋体" w:eastAsia="宋体" w:cs="宋体"/>
          <w:b w:val="0"/>
          <w:bCs w:val="0"/>
          <w:color w:val="auto"/>
          <w:kern w:val="1"/>
          <w:sz w:val="24"/>
          <w:szCs w:val="24"/>
          <w:highlight w:val="none"/>
          <w:lang w:eastAsia="zh-CN"/>
        </w:rPr>
        <w:t>：</w:t>
      </w:r>
      <w:r>
        <w:rPr>
          <w:rStyle w:val="48"/>
          <w:rFonts w:hint="eastAsia" w:ascii="宋体" w:hAnsi="宋体" w:eastAsia="宋体" w:cs="宋体"/>
          <w:b w:val="0"/>
          <w:bCs w:val="0"/>
          <w:color w:val="auto"/>
          <w:kern w:val="1"/>
          <w:sz w:val="24"/>
          <w:szCs w:val="24"/>
          <w:highlight w:val="none"/>
          <w:u w:val="single"/>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暂停拨付。在暂列金额的范围内，最终经发包人委托的全过程造价咨询公司审核、发包人确认后支付至该部分实际完成工程量的80%，结算完成审核后支付至审定造价的97%，剩余3%为工程质量保修金。</w:t>
      </w:r>
    </w:p>
    <w:p w14:paraId="3D50E5AC">
      <w:pPr>
        <w:keepNext w:val="0"/>
        <w:keepLines w:val="0"/>
        <w:pageBreakBefore w:val="0"/>
        <w:kinsoku/>
        <w:overflowPunct/>
        <w:autoSpaceDE/>
        <w:autoSpaceDN/>
        <w:bidi w:val="0"/>
        <w:snapToGrid w:val="0"/>
        <w:spacing w:line="360" w:lineRule="auto"/>
        <w:ind w:firstLine="482" w:firstLineChars="200"/>
        <w:rPr>
          <w:rStyle w:val="48"/>
          <w:rFonts w:hint="eastAsia" w:ascii="宋体" w:hAnsi="宋体" w:eastAsia="宋体" w:cs="宋体"/>
          <w:b w:val="0"/>
          <w:bCs w:val="0"/>
          <w:color w:val="auto"/>
          <w:kern w:val="1"/>
          <w:sz w:val="24"/>
          <w:szCs w:val="24"/>
          <w:highlight w:val="none"/>
          <w:u w:val="single"/>
        </w:rPr>
      </w:pPr>
      <w:r>
        <w:rPr>
          <w:rStyle w:val="48"/>
          <w:rFonts w:hint="eastAsia" w:ascii="宋体" w:hAnsi="宋体" w:eastAsia="宋体" w:cs="宋体"/>
          <w:b/>
          <w:bCs/>
          <w:color w:val="auto"/>
          <w:kern w:val="1"/>
          <w:sz w:val="24"/>
          <w:szCs w:val="24"/>
          <w:highlight w:val="none"/>
        </w:rPr>
        <w:t>3.</w:t>
      </w:r>
      <w:r>
        <w:rPr>
          <w:rStyle w:val="48"/>
          <w:rFonts w:hint="eastAsia" w:ascii="宋体" w:hAnsi="宋体" w:eastAsia="宋体" w:cs="宋体"/>
          <w:b/>
          <w:bCs/>
          <w:color w:val="auto"/>
          <w:kern w:val="1"/>
          <w:sz w:val="24"/>
          <w:szCs w:val="24"/>
          <w:highlight w:val="none"/>
          <w:lang w:val="en-US" w:eastAsia="zh-CN"/>
        </w:rPr>
        <w:t>11</w:t>
      </w:r>
      <w:r>
        <w:rPr>
          <w:rStyle w:val="48"/>
          <w:rFonts w:hint="eastAsia" w:ascii="宋体" w:hAnsi="宋体" w:eastAsia="宋体" w:cs="宋体"/>
          <w:b w:val="0"/>
          <w:bCs w:val="0"/>
          <w:color w:val="auto"/>
          <w:kern w:val="1"/>
          <w:sz w:val="24"/>
          <w:szCs w:val="24"/>
          <w:highlight w:val="none"/>
        </w:rPr>
        <w:t>材料暂估价、专业工程暂估价支付方式：</w:t>
      </w:r>
      <w:r>
        <w:rPr>
          <w:rStyle w:val="48"/>
          <w:rFonts w:hint="eastAsia" w:ascii="宋体" w:hAnsi="宋体" w:eastAsia="宋体" w:cs="宋体"/>
          <w:b w:val="0"/>
          <w:bCs w:val="0"/>
          <w:color w:val="auto"/>
          <w:kern w:val="1"/>
          <w:sz w:val="24"/>
          <w:szCs w:val="24"/>
          <w:highlight w:val="none"/>
          <w:u w:val="single"/>
        </w:rPr>
        <w:t>材料暂估价、专业工程暂估价与每个月的工程进度款一并报送，但需要列明详细项目内容，该部分材料暂估价、专业工程暂估价按该部分实际完成工程量的80%支付，剩余部分待最终结算完成后支付至97%，剩余3%为工程质量保修金。</w:t>
      </w:r>
    </w:p>
    <w:p w14:paraId="4D5718CD">
      <w:pPr>
        <w:spacing w:before="151" w:line="360" w:lineRule="auto"/>
        <w:ind w:left="476"/>
        <w:outlineLvl w:val="2"/>
        <w:rPr>
          <w:rFonts w:hint="eastAsia" w:ascii="宋体" w:hAnsi="宋体" w:eastAsia="宋体" w:cs="宋体"/>
          <w:b/>
          <w:bCs/>
          <w:color w:val="auto"/>
          <w:spacing w:val="-11"/>
          <w:sz w:val="24"/>
          <w:szCs w:val="24"/>
          <w:highlight w:val="none"/>
        </w:rPr>
      </w:pPr>
      <w:bookmarkStart w:id="193" w:name="_Toc24134"/>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11"/>
          <w:sz w:val="24"/>
          <w:szCs w:val="24"/>
          <w:highlight w:val="none"/>
          <w:lang w:eastAsia="zh-CN"/>
        </w:rPr>
        <w:t>.</w:t>
      </w:r>
      <w:r>
        <w:rPr>
          <w:rFonts w:hint="eastAsia" w:ascii="宋体" w:hAnsi="宋体" w:eastAsia="宋体" w:cs="宋体"/>
          <w:b/>
          <w:bCs/>
          <w:color w:val="auto"/>
          <w:spacing w:val="-11"/>
          <w:sz w:val="24"/>
          <w:szCs w:val="24"/>
          <w:highlight w:val="none"/>
        </w:rPr>
        <w:t>其他专用合同条款</w:t>
      </w:r>
      <w:bookmarkEnd w:id="191"/>
      <w:bookmarkEnd w:id="193"/>
    </w:p>
    <w:p w14:paraId="56A8EFF8">
      <w:pPr>
        <w:keepNext w:val="0"/>
        <w:keepLines w:val="0"/>
        <w:pageBreakBefore w:val="0"/>
        <w:kinsoku/>
        <w:overflowPunct/>
        <w:topLinePunct w:val="0"/>
        <w:autoSpaceDE/>
        <w:autoSpaceDN/>
        <w:bidi w:val="0"/>
        <w:snapToGrid w:val="0"/>
        <w:spacing w:line="360" w:lineRule="auto"/>
        <w:ind w:firstLine="480" w:firstLineChars="200"/>
        <w:rPr>
          <w:rFonts w:hint="eastAsia" w:ascii="宋体" w:hAnsi="宋体" w:eastAsia="宋体" w:cs="宋体"/>
          <w:b w:val="0"/>
          <w:snapToGrid w:val="0"/>
          <w:color w:val="auto"/>
          <w:kern w:val="0"/>
          <w:sz w:val="24"/>
          <w:szCs w:val="24"/>
          <w:highlight w:val="none"/>
          <w:u w:val="single"/>
          <w:lang w:val="en-US" w:eastAsia="zh-CN" w:bidi="ar-SA"/>
        </w:rPr>
      </w:pPr>
      <w:r>
        <w:rPr>
          <w:rFonts w:hint="eastAsia" w:ascii="宋体" w:hAnsi="宋体" w:eastAsia="宋体" w:cs="宋体"/>
          <w:b w:val="0"/>
          <w:snapToGrid w:val="0"/>
          <w:color w:val="auto"/>
          <w:kern w:val="0"/>
          <w:sz w:val="24"/>
          <w:szCs w:val="24"/>
          <w:highlight w:val="none"/>
          <w:u w:val="single"/>
          <w:lang w:val="en-US" w:eastAsia="zh-CN" w:bidi="ar-SA"/>
        </w:rPr>
        <w:t>由招标人根据本工程实际情况和地方政策与中标人自行协商签定相关专用合同条款。</w:t>
      </w:r>
    </w:p>
    <w:p w14:paraId="043EBAD5">
      <w:pPr>
        <w:keepNext w:val="0"/>
        <w:keepLines w:val="0"/>
        <w:pageBreakBefore w:val="0"/>
        <w:widowControl/>
        <w:kinsoku/>
        <w:wordWrap w:val="0"/>
        <w:overflowPunct/>
        <w:topLinePunct w:val="0"/>
        <w:autoSpaceDE/>
        <w:autoSpaceDN/>
        <w:bidi w:val="0"/>
        <w:adjustRightInd w:val="0"/>
        <w:snapToGrid w:val="0"/>
        <w:spacing w:line="360" w:lineRule="auto"/>
        <w:ind w:firstLine="482" w:firstLineChars="200"/>
        <w:textAlignment w:val="baseline"/>
        <w:rPr>
          <w:rFonts w:hint="eastAsia" w:ascii="宋体" w:hAnsi="宋体" w:eastAsia="宋体" w:cs="宋体"/>
          <w:b w:val="0"/>
          <w:bCs w:val="0"/>
          <w:snapToGrid w:val="0"/>
          <w:color w:val="auto"/>
          <w:kern w:val="0"/>
          <w:sz w:val="24"/>
          <w:szCs w:val="24"/>
          <w:highlight w:val="none"/>
          <w:lang w:val="en-US" w:eastAsia="zh-CN"/>
        </w:rPr>
      </w:pPr>
      <w:bookmarkStart w:id="194" w:name="_Toc10299"/>
      <w:r>
        <w:rPr>
          <w:rFonts w:hint="eastAsia" w:ascii="宋体" w:hAnsi="宋体" w:eastAsia="宋体" w:cs="宋体"/>
          <w:b/>
          <w:bCs/>
          <w:snapToGrid w:val="0"/>
          <w:color w:val="auto"/>
          <w:kern w:val="0"/>
          <w:sz w:val="24"/>
          <w:szCs w:val="24"/>
          <w:highlight w:val="none"/>
          <w:lang w:val="en-US" w:eastAsia="zh-CN"/>
        </w:rPr>
        <w:t>4.1专业工程分包</w:t>
      </w:r>
      <w:bookmarkEnd w:id="194"/>
    </w:p>
    <w:p w14:paraId="294F445A">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5348063B">
      <w:pPr>
        <w:keepNext w:val="0"/>
        <w:keepLines w:val="0"/>
        <w:pageBreakBefore w:val="0"/>
        <w:widowControl/>
        <w:kinsoku/>
        <w:wordWrap w:val="0"/>
        <w:overflowPunct/>
        <w:topLinePunct w:val="0"/>
        <w:autoSpaceDE/>
        <w:autoSpaceDN/>
        <w:bidi w:val="0"/>
        <w:adjustRightInd w:val="0"/>
        <w:snapToGrid w:val="0"/>
        <w:spacing w:line="360" w:lineRule="auto"/>
        <w:ind w:firstLine="482" w:firstLineChars="200"/>
        <w:textAlignment w:val="baseline"/>
        <w:rPr>
          <w:rFonts w:hint="eastAsia" w:ascii="宋体" w:hAnsi="宋体" w:eastAsia="宋体" w:cs="宋体"/>
          <w:b w:val="0"/>
          <w:bCs w:val="0"/>
          <w:snapToGrid w:val="0"/>
          <w:color w:val="auto"/>
          <w:kern w:val="0"/>
          <w:sz w:val="24"/>
          <w:szCs w:val="24"/>
          <w:highlight w:val="none"/>
          <w:lang w:val="en-US" w:eastAsia="en-US"/>
        </w:rPr>
      </w:pPr>
      <w:bookmarkStart w:id="195" w:name="_Toc4288"/>
      <w:bookmarkStart w:id="196" w:name="_Toc7163"/>
      <w:bookmarkStart w:id="197" w:name="_Toc23958"/>
      <w:bookmarkStart w:id="198" w:name="_Toc15504"/>
      <w:bookmarkStart w:id="199" w:name="_Toc24421"/>
      <w:r>
        <w:rPr>
          <w:rFonts w:hint="eastAsia" w:ascii="宋体" w:hAnsi="宋体" w:eastAsia="宋体" w:cs="宋体"/>
          <w:b/>
          <w:bCs/>
          <w:snapToGrid w:val="0"/>
          <w:color w:val="auto"/>
          <w:kern w:val="0"/>
          <w:sz w:val="24"/>
          <w:szCs w:val="24"/>
          <w:highlight w:val="none"/>
          <w:lang w:val="en-US" w:eastAsia="zh-CN"/>
        </w:rPr>
        <w:t>4.2</w:t>
      </w:r>
      <w:r>
        <w:rPr>
          <w:rFonts w:hint="eastAsia" w:ascii="宋体" w:hAnsi="宋体" w:eastAsia="宋体" w:cs="宋体"/>
          <w:b w:val="0"/>
          <w:bCs w:val="0"/>
          <w:snapToGrid w:val="0"/>
          <w:color w:val="auto"/>
          <w:kern w:val="0"/>
          <w:sz w:val="24"/>
          <w:szCs w:val="24"/>
          <w:highlight w:val="none"/>
          <w:lang w:val="en-US" w:eastAsia="zh-CN"/>
        </w:rPr>
        <w:t xml:space="preserve"> </w:t>
      </w:r>
      <w:r>
        <w:rPr>
          <w:rFonts w:hint="eastAsia" w:ascii="宋体" w:hAnsi="宋体" w:eastAsia="宋体" w:cs="宋体"/>
          <w:b/>
          <w:bCs/>
          <w:snapToGrid w:val="0"/>
          <w:color w:val="auto"/>
          <w:kern w:val="0"/>
          <w:sz w:val="24"/>
          <w:szCs w:val="24"/>
          <w:highlight w:val="none"/>
          <w:lang w:val="en-US" w:eastAsia="en-US"/>
        </w:rPr>
        <w:t>工人工资支付专用账户</w:t>
      </w:r>
      <w:bookmarkEnd w:id="195"/>
      <w:bookmarkEnd w:id="196"/>
      <w:bookmarkEnd w:id="197"/>
      <w:bookmarkEnd w:id="198"/>
      <w:bookmarkEnd w:id="199"/>
    </w:p>
    <w:p w14:paraId="6B2E4E7B">
      <w:pPr>
        <w:keepNext w:val="0"/>
        <w:keepLines w:val="0"/>
        <w:pageBreakBefore w:val="0"/>
        <w:kinsoku/>
        <w:wordWrap w:val="0"/>
        <w:overflowPunct/>
        <w:topLinePunct w:val="0"/>
        <w:bidi w:val="0"/>
        <w:adjustRightInd w:val="0"/>
        <w:snapToGrid w:val="0"/>
        <w:spacing w:line="360" w:lineRule="auto"/>
        <w:ind w:firstLine="482" w:firstLineChars="200"/>
        <w:rPr>
          <w:rFonts w:hint="eastAsia" w:ascii="宋体" w:hAnsi="宋体" w:eastAsia="宋体" w:cs="宋体"/>
          <w:b w:val="0"/>
          <w:bCs w:val="0"/>
          <w:snapToGrid w:val="0"/>
          <w:color w:val="auto"/>
          <w:kern w:val="0"/>
          <w:sz w:val="24"/>
          <w:szCs w:val="24"/>
          <w:highlight w:val="none"/>
          <w:lang w:val="en-US" w:eastAsia="en-US" w:bidi="ar-SA"/>
        </w:rPr>
      </w:pPr>
      <w:r>
        <w:rPr>
          <w:rFonts w:hint="eastAsia" w:ascii="宋体" w:hAnsi="宋体" w:eastAsia="宋体" w:cs="宋体"/>
          <w:b/>
          <w:bCs/>
          <w:snapToGrid w:val="0"/>
          <w:color w:val="auto"/>
          <w:kern w:val="0"/>
          <w:sz w:val="24"/>
          <w:szCs w:val="24"/>
          <w:highlight w:val="none"/>
          <w:lang w:val="en-US" w:eastAsia="zh-CN" w:bidi="ar-SA"/>
        </w:rPr>
        <w:t>4.2</w:t>
      </w:r>
      <w:r>
        <w:rPr>
          <w:rFonts w:hint="eastAsia" w:ascii="宋体" w:hAnsi="宋体" w:eastAsia="宋体" w:cs="宋体"/>
          <w:b/>
          <w:bCs/>
          <w:snapToGrid w:val="0"/>
          <w:color w:val="auto"/>
          <w:kern w:val="0"/>
          <w:sz w:val="24"/>
          <w:szCs w:val="24"/>
          <w:highlight w:val="none"/>
          <w:lang w:val="en-US" w:eastAsia="en-US" w:bidi="ar-SA"/>
        </w:rPr>
        <w:t>.1</w:t>
      </w:r>
      <w:r>
        <w:rPr>
          <w:rFonts w:hint="eastAsia" w:ascii="宋体" w:hAnsi="宋体" w:eastAsia="宋体" w:cs="宋体"/>
          <w:b w:val="0"/>
          <w:bCs w:val="0"/>
          <w:snapToGrid w:val="0"/>
          <w:color w:val="auto"/>
          <w:kern w:val="0"/>
          <w:sz w:val="24"/>
          <w:szCs w:val="24"/>
          <w:highlight w:val="none"/>
          <w:lang w:val="en-US" w:eastAsia="en-US" w:bidi="ar-SA"/>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4C3BE0C1">
      <w:pPr>
        <w:keepNext w:val="0"/>
        <w:keepLines w:val="0"/>
        <w:pageBreakBefore w:val="0"/>
        <w:widowControl/>
        <w:suppressLineNumbers w:val="0"/>
        <w:kinsoku/>
        <w:overflowPunct/>
        <w:topLinePunct w:val="0"/>
        <w:bidi w:val="0"/>
        <w:spacing w:line="360" w:lineRule="auto"/>
        <w:ind w:firstLine="482"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
          <w:bCs/>
          <w:strike w:val="0"/>
          <w:dstrike w:val="0"/>
          <w:snapToGrid w:val="0"/>
          <w:color w:val="auto"/>
          <w:kern w:val="0"/>
          <w:sz w:val="24"/>
          <w:szCs w:val="24"/>
          <w:highlight w:val="none"/>
          <w:lang w:val="en-US" w:eastAsia="zh-CN"/>
        </w:rPr>
        <w:t>4.2</w:t>
      </w:r>
      <w:r>
        <w:rPr>
          <w:rFonts w:hint="eastAsia" w:ascii="宋体" w:hAnsi="宋体" w:eastAsia="宋体" w:cs="宋体"/>
          <w:b/>
          <w:bCs/>
          <w:strike w:val="0"/>
          <w:dstrike w:val="0"/>
          <w:snapToGrid w:val="0"/>
          <w:color w:val="auto"/>
          <w:kern w:val="0"/>
          <w:sz w:val="24"/>
          <w:szCs w:val="24"/>
          <w:highlight w:val="none"/>
        </w:rPr>
        <w:t>.2</w:t>
      </w:r>
      <w:r>
        <w:rPr>
          <w:rFonts w:hint="eastAsia" w:ascii="宋体" w:hAnsi="宋体" w:eastAsia="宋体" w:cs="宋体"/>
          <w:color w:val="auto"/>
          <w:kern w:val="0"/>
          <w:sz w:val="24"/>
          <w:szCs w:val="24"/>
          <w:highlight w:val="none"/>
          <w:lang w:val="en-US" w:eastAsia="zh-CN" w:bidi="ar"/>
        </w:rPr>
        <w:t>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w:t>
      </w:r>
    </w:p>
    <w:p w14:paraId="28329010">
      <w:pPr>
        <w:keepNext w:val="0"/>
        <w:keepLines w:val="0"/>
        <w:pageBreakBefore w:val="0"/>
        <w:widowControl/>
        <w:suppressLineNumbers w:val="0"/>
        <w:kinsoku/>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韶人社规〔2023〕2号)及《韶关市工程建设领域农民工工资保证金管理实施细则》（韶法审〔2023〕19号）规定执行。承包人在签订工程施工承包合同后一个月内必须办妥该事项，并将办妥回执交发包人。</w:t>
      </w:r>
    </w:p>
    <w:p w14:paraId="1995C5E7">
      <w:pPr>
        <w:keepNext w:val="0"/>
        <w:keepLines w:val="0"/>
        <w:pageBreakBefore w:val="0"/>
        <w:widowControl/>
        <w:suppressLineNumbers w:val="0"/>
        <w:kinsoku/>
        <w:overflowPunct/>
        <w:topLinePunct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2倍向发包人支付违约金。</w:t>
      </w:r>
    </w:p>
    <w:p w14:paraId="384C27FA">
      <w:pPr>
        <w:keepNext w:val="0"/>
        <w:keepLines w:val="0"/>
        <w:pageBreakBefore w:val="0"/>
        <w:widowControl/>
        <w:suppressLineNumbers w:val="0"/>
        <w:kinsoku/>
        <w:overflowPunct/>
        <w:topLinePunct w:val="0"/>
        <w:bidi w:val="0"/>
        <w:spacing w:line="360" w:lineRule="auto"/>
        <w:ind w:firstLine="241" w:firstLineChars="100"/>
        <w:jc w:val="left"/>
        <w:rPr>
          <w:rFonts w:hint="eastAsia" w:ascii="宋体" w:hAnsi="宋体" w:eastAsia="宋体" w:cs="宋体"/>
          <w:color w:val="auto"/>
          <w:sz w:val="24"/>
          <w:szCs w:val="24"/>
          <w:highlight w:val="none"/>
        </w:rPr>
      </w:pPr>
      <w:r>
        <w:rPr>
          <w:rFonts w:hint="eastAsia" w:ascii="宋体" w:hAnsi="宋体" w:eastAsia="宋体" w:cs="宋体"/>
          <w:b/>
          <w:bCs/>
          <w:strike w:val="0"/>
          <w:dstrike w:val="0"/>
          <w:snapToGrid w:val="0"/>
          <w:color w:val="auto"/>
          <w:kern w:val="0"/>
          <w:sz w:val="24"/>
          <w:szCs w:val="24"/>
          <w:highlight w:val="none"/>
          <w:lang w:val="en-US" w:eastAsia="zh-CN"/>
        </w:rPr>
        <w:t>4.2</w:t>
      </w:r>
      <w:r>
        <w:rPr>
          <w:rFonts w:hint="eastAsia" w:ascii="宋体" w:hAnsi="宋体" w:eastAsia="宋体" w:cs="宋体"/>
          <w:b/>
          <w:bCs/>
          <w:strike w:val="0"/>
          <w:dstrike w:val="0"/>
          <w:snapToGrid w:val="0"/>
          <w:color w:val="auto"/>
          <w:kern w:val="0"/>
          <w:sz w:val="24"/>
          <w:szCs w:val="24"/>
          <w:highlight w:val="none"/>
        </w:rPr>
        <w:t>.3</w:t>
      </w:r>
      <w:r>
        <w:rPr>
          <w:rFonts w:hint="eastAsia" w:ascii="宋体" w:hAnsi="宋体" w:eastAsia="宋体" w:cs="宋体"/>
          <w:strike w:val="0"/>
          <w:dstrike w:val="0"/>
          <w:snapToGrid w:val="0"/>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bidi="ar"/>
        </w:rPr>
        <w:t>承包人应在工资专户开立后2个工作日内，将开户银行及其账号、开户协议等资料提交给发包人。</w:t>
      </w:r>
    </w:p>
    <w:p w14:paraId="04B66EA1">
      <w:pPr>
        <w:keepNext w:val="0"/>
        <w:keepLines w:val="0"/>
        <w:pageBreakBefore w:val="0"/>
        <w:widowControl/>
        <w:suppressLineNumbers w:val="0"/>
        <w:kinsoku/>
        <w:overflowPunct/>
        <w:topLinePunct w:val="0"/>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（1）用人单位应当在建设项目动工前，在建设项目所在地商业银行设立工人工资支付专用账户。</w:t>
      </w:r>
    </w:p>
    <w:p w14:paraId="407EE36D">
      <w:pPr>
        <w:keepNext w:val="0"/>
        <w:keepLines w:val="0"/>
        <w:pageBreakBefore w:val="0"/>
        <w:widowControl/>
        <w:suppressLineNumbers w:val="0"/>
        <w:kinsoku/>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（2）用人单位应当在用工之日起 15 日内为每一位工人办理个人银行账户。</w:t>
      </w:r>
    </w:p>
    <w:p w14:paraId="109FE268">
      <w:pPr>
        <w:keepNext w:val="0"/>
        <w:keepLines w:val="0"/>
        <w:pageBreakBefore w:val="0"/>
        <w:widowControl/>
        <w:suppressLineNumbers w:val="0"/>
        <w:kinsoku/>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（3）用人单位应当指定专人负责建设项目施工现场台账管理，真实、准确记录工人名册、劳务合同、劳动合同、工程进度、工时台账、劳务承包款和工人工资支付等信息，并保存两年以上备查。</w:t>
      </w:r>
    </w:p>
    <w:p w14:paraId="665D16D9">
      <w:pPr>
        <w:keepNext w:val="0"/>
        <w:keepLines w:val="0"/>
        <w:pageBreakBefore w:val="0"/>
        <w:widowControl/>
        <w:suppressLineNumbers w:val="0"/>
        <w:kinsoku/>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4）用人单位应当按照“及时支付，按实结算”的原则，在规定日期前通过银行工人工资支付专用账户将工人工资直接支付到工人的个人银行账户，并按月将工人工资支付明细表报施工总承包单位和建设单位备案。用人单位未建立、保存用工管理台账，或者伪造相关台账的，按照《广东省劳动保障监察条例》第五十条的规定，由人力资源社会保障部门责令改正，并可处以二千元以上二万元以下的人民币罚款。</w:t>
      </w:r>
    </w:p>
    <w:p w14:paraId="0A21ED57">
      <w:pPr>
        <w:keepNext w:val="0"/>
        <w:keepLines w:val="0"/>
        <w:pageBreakBefore w:val="0"/>
        <w:widowControl/>
        <w:suppressLineNumbers w:val="0"/>
        <w:kinsoku/>
        <w:overflowPunct/>
        <w:topLinePunct w:val="0"/>
        <w:bidi w:val="0"/>
        <w:spacing w:line="360" w:lineRule="auto"/>
        <w:ind w:firstLine="482" w:firstLineChars="20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 xml:space="preserve">4.2.4 </w:t>
      </w:r>
      <w:r>
        <w:rPr>
          <w:rFonts w:hint="eastAsia" w:ascii="宋体" w:hAnsi="宋体" w:eastAsia="宋体" w:cs="宋体"/>
          <w:color w:val="auto"/>
          <w:kern w:val="0"/>
          <w:sz w:val="24"/>
          <w:szCs w:val="24"/>
          <w:highlight w:val="none"/>
          <w:lang w:val="en-US" w:eastAsia="zh-CN" w:bidi="ar"/>
        </w:rPr>
        <w:t>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67006381">
      <w:pPr>
        <w:keepNext w:val="0"/>
        <w:keepLines w:val="0"/>
        <w:pageBreakBefore w:val="0"/>
        <w:widowControl w:val="0"/>
        <w:kinsoku/>
        <w:overflowPunct/>
        <w:topLinePunct w:val="0"/>
        <w:autoSpaceDE/>
        <w:autoSpaceDN/>
        <w:bidi w:val="0"/>
        <w:spacing w:line="360" w:lineRule="auto"/>
        <w:ind w:left="485"/>
        <w:textAlignment w:val="auto"/>
        <w:rPr>
          <w:rFonts w:ascii="宋体" w:hAnsi="宋体" w:eastAsia="宋体" w:cs="宋体"/>
          <w:color w:val="auto"/>
          <w:sz w:val="24"/>
          <w:szCs w:val="24"/>
          <w:highlight w:val="none"/>
        </w:rPr>
      </w:pPr>
      <w:r>
        <w:rPr>
          <w:rFonts w:ascii="Times New Roman" w:hAnsi="Times New Roman" w:eastAsia="Times New Roman" w:cs="Times New Roman"/>
          <w:b/>
          <w:bCs/>
          <w:color w:val="auto"/>
          <w:spacing w:val="-2"/>
          <w:sz w:val="24"/>
          <w:szCs w:val="24"/>
          <w:highlight w:val="none"/>
        </w:rPr>
        <w:t xml:space="preserve">4.3  </w:t>
      </w:r>
      <w:r>
        <w:rPr>
          <w:rFonts w:ascii="宋体" w:hAnsi="宋体" w:eastAsia="宋体" w:cs="宋体"/>
          <w:b/>
          <w:bCs/>
          <w:color w:val="auto"/>
          <w:spacing w:val="-2"/>
          <w:sz w:val="24"/>
          <w:szCs w:val="24"/>
          <w:highlight w:val="none"/>
        </w:rPr>
        <w:t>诚信登记</w:t>
      </w:r>
    </w:p>
    <w:p w14:paraId="350F4B6E">
      <w:pPr>
        <w:keepNext w:val="0"/>
        <w:keepLines w:val="0"/>
        <w:pageBreakBefore w:val="0"/>
        <w:widowControl w:val="0"/>
        <w:kinsoku/>
        <w:overflowPunct/>
        <w:topLinePunct w:val="0"/>
        <w:autoSpaceDE/>
        <w:autoSpaceDN/>
        <w:bidi w:val="0"/>
        <w:spacing w:line="360" w:lineRule="auto"/>
        <w:ind w:left="12" w:firstLine="476"/>
        <w:textAlignment w:val="auto"/>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根据资质管理规定，许可机关应当建立、健全建筑业企业信用档案管理制度，包括</w:t>
      </w:r>
      <w:r>
        <w:rPr>
          <w:rFonts w:ascii="宋体" w:hAnsi="宋体" w:eastAsia="宋体" w:cs="宋体"/>
          <w:color w:val="auto"/>
          <w:spacing w:val="-6"/>
          <w:sz w:val="24"/>
          <w:szCs w:val="24"/>
          <w:highlight w:val="none"/>
        </w:rPr>
        <w:t>企业基本信息、资质、业绩、工程质量和安全、合同履约、社会投诉和违法行为等情况。</w:t>
      </w:r>
    </w:p>
    <w:p w14:paraId="3D15E449">
      <w:pPr>
        <w:spacing w:before="151" w:line="360" w:lineRule="auto"/>
        <w:ind w:left="476"/>
        <w:outlineLvl w:val="2"/>
        <w:rPr>
          <w:rFonts w:hint="eastAsia" w:ascii="宋体" w:hAnsi="宋体" w:eastAsia="宋体" w:cs="宋体"/>
          <w:b/>
          <w:bCs/>
          <w:color w:val="auto"/>
          <w:spacing w:val="-11"/>
          <w:sz w:val="24"/>
          <w:szCs w:val="24"/>
          <w:highlight w:val="none"/>
        </w:rPr>
      </w:pPr>
      <w:bookmarkStart w:id="200" w:name="_Toc13021"/>
      <w:r>
        <w:rPr>
          <w:rFonts w:hint="eastAsia" w:ascii="宋体" w:hAnsi="宋体" w:eastAsia="宋体" w:cs="宋体"/>
          <w:b/>
          <w:bCs/>
          <w:color w:val="auto"/>
          <w:spacing w:val="-11"/>
          <w:sz w:val="24"/>
          <w:szCs w:val="24"/>
          <w:highlight w:val="none"/>
          <w:lang w:val="en-US" w:eastAsia="zh-CN"/>
        </w:rPr>
        <w:t>5.</w:t>
      </w:r>
      <w:r>
        <w:rPr>
          <w:rFonts w:hint="eastAsia" w:ascii="宋体" w:hAnsi="宋体" w:eastAsia="宋体" w:cs="宋体"/>
          <w:b/>
          <w:bCs/>
          <w:color w:val="auto"/>
          <w:spacing w:val="-11"/>
          <w:sz w:val="24"/>
          <w:szCs w:val="24"/>
          <w:highlight w:val="none"/>
        </w:rPr>
        <w:t>工期进度</w:t>
      </w:r>
      <w:bookmarkEnd w:id="200"/>
    </w:p>
    <w:p w14:paraId="3A306A10">
      <w:pPr>
        <w:snapToGrid w:val="0"/>
        <w:spacing w:line="360" w:lineRule="auto"/>
        <w:ind w:firstLine="482" w:firstLineChars="200"/>
        <w:rPr>
          <w:rStyle w:val="48"/>
          <w:rFonts w:hint="eastAsia" w:ascii="宋体" w:hAnsi="宋体" w:eastAsia="宋体" w:cs="宋体"/>
          <w:color w:val="auto"/>
          <w:kern w:val="0"/>
          <w:sz w:val="24"/>
          <w:szCs w:val="24"/>
          <w:highlight w:val="none"/>
        </w:rPr>
      </w:pPr>
      <w:r>
        <w:rPr>
          <w:rStyle w:val="48"/>
          <w:rFonts w:hint="eastAsia" w:ascii="宋体" w:hAnsi="宋体" w:eastAsia="宋体" w:cs="宋体"/>
          <w:b/>
          <w:bCs/>
          <w:color w:val="auto"/>
          <w:kern w:val="0"/>
          <w:sz w:val="24"/>
          <w:szCs w:val="24"/>
          <w:highlight w:val="none"/>
          <w:lang w:val="en-US" w:eastAsia="zh-CN"/>
        </w:rPr>
        <w:t>5</w:t>
      </w:r>
      <w:r>
        <w:rPr>
          <w:rStyle w:val="48"/>
          <w:rFonts w:hint="eastAsia" w:ascii="宋体" w:hAnsi="宋体" w:eastAsia="宋体" w:cs="宋体"/>
          <w:b/>
          <w:bCs/>
          <w:color w:val="auto"/>
          <w:kern w:val="0"/>
          <w:sz w:val="24"/>
          <w:szCs w:val="24"/>
          <w:highlight w:val="none"/>
        </w:rPr>
        <w:t>.1</w:t>
      </w:r>
      <w:r>
        <w:rPr>
          <w:rStyle w:val="48"/>
          <w:rFonts w:hint="eastAsia" w:ascii="宋体" w:hAnsi="宋体" w:eastAsia="宋体" w:cs="宋体"/>
          <w:color w:val="auto"/>
          <w:kern w:val="0"/>
          <w:sz w:val="24"/>
          <w:szCs w:val="24"/>
          <w:highlight w:val="none"/>
          <w:lang w:eastAsia="zh-CN"/>
        </w:rPr>
        <w:t>本工程施工招标工期为</w:t>
      </w:r>
      <w:r>
        <w:rPr>
          <w:rStyle w:val="48"/>
          <w:rFonts w:hint="eastAsia" w:ascii="宋体" w:hAnsi="宋体" w:eastAsia="宋体" w:cs="宋体"/>
          <w:color w:val="auto"/>
          <w:kern w:val="0"/>
          <w:sz w:val="24"/>
          <w:szCs w:val="24"/>
          <w:highlight w:val="none"/>
          <w:u w:val="single"/>
          <w:lang w:val="en-US" w:eastAsia="zh-CN"/>
        </w:rPr>
        <w:t>60个日历天</w:t>
      </w:r>
      <w:r>
        <w:rPr>
          <w:rStyle w:val="48"/>
          <w:rFonts w:hint="eastAsia" w:ascii="宋体" w:hAnsi="宋体" w:eastAsia="宋体" w:cs="宋体"/>
          <w:color w:val="auto"/>
          <w:kern w:val="0"/>
          <w:sz w:val="24"/>
          <w:szCs w:val="24"/>
          <w:highlight w:val="none"/>
          <w:lang w:eastAsia="zh-CN"/>
        </w:rPr>
        <w:t>。</w:t>
      </w:r>
      <w:r>
        <w:rPr>
          <w:rStyle w:val="48"/>
          <w:rFonts w:hint="eastAsia" w:ascii="宋体" w:hAnsi="宋体" w:eastAsia="宋体" w:cs="宋体"/>
          <w:color w:val="auto"/>
          <w:kern w:val="0"/>
          <w:sz w:val="24"/>
          <w:szCs w:val="24"/>
          <w:highlight w:val="none"/>
        </w:rPr>
        <w:t>承包人必须在招标工期内完成本工程招标范围内的全部内容。</w:t>
      </w:r>
    </w:p>
    <w:p w14:paraId="11A4F3DD">
      <w:pPr>
        <w:snapToGrid w:val="0"/>
        <w:spacing w:line="360" w:lineRule="auto"/>
        <w:ind w:firstLine="482" w:firstLineChars="200"/>
        <w:rPr>
          <w:rStyle w:val="48"/>
          <w:rFonts w:hint="eastAsia" w:ascii="宋体" w:hAnsi="宋体" w:eastAsia="宋体" w:cs="宋体"/>
          <w:color w:val="auto"/>
          <w:kern w:val="0"/>
          <w:sz w:val="24"/>
          <w:szCs w:val="24"/>
          <w:highlight w:val="none"/>
        </w:rPr>
      </w:pPr>
      <w:r>
        <w:rPr>
          <w:rStyle w:val="48"/>
          <w:rFonts w:hint="eastAsia" w:ascii="宋体" w:hAnsi="宋体" w:eastAsia="宋体" w:cs="宋体"/>
          <w:b/>
          <w:bCs/>
          <w:color w:val="auto"/>
          <w:kern w:val="0"/>
          <w:sz w:val="24"/>
          <w:szCs w:val="24"/>
          <w:highlight w:val="none"/>
          <w:lang w:val="en-US" w:eastAsia="zh-CN"/>
        </w:rPr>
        <w:t>5</w:t>
      </w:r>
      <w:r>
        <w:rPr>
          <w:rStyle w:val="48"/>
          <w:rFonts w:hint="eastAsia" w:ascii="宋体" w:hAnsi="宋体" w:eastAsia="宋体" w:cs="宋体"/>
          <w:b/>
          <w:bCs/>
          <w:color w:val="auto"/>
          <w:kern w:val="0"/>
          <w:sz w:val="24"/>
          <w:szCs w:val="24"/>
          <w:highlight w:val="none"/>
        </w:rPr>
        <w:t>.2</w:t>
      </w:r>
      <w:r>
        <w:rPr>
          <w:rStyle w:val="48"/>
          <w:rFonts w:hint="eastAsia" w:ascii="宋体" w:hAnsi="宋体" w:eastAsia="宋体" w:cs="宋体"/>
          <w:color w:val="auto"/>
          <w:kern w:val="0"/>
          <w:sz w:val="24"/>
          <w:szCs w:val="24"/>
          <w:highlight w:val="none"/>
        </w:rPr>
        <w:t xml:space="preserve"> 施工工期从承包人收到监理单位签发的开工令之日起计，至竣工验收合格之日止。</w:t>
      </w:r>
    </w:p>
    <w:p w14:paraId="0B0AC0CD">
      <w:pPr>
        <w:pStyle w:val="58"/>
        <w:keepNext w:val="0"/>
        <w:keepLines w:val="0"/>
        <w:pageBreakBefore w:val="0"/>
        <w:kinsoku/>
        <w:overflowPunct/>
        <w:topLinePunct w:val="0"/>
        <w:bidi w:val="0"/>
        <w:spacing w:line="440" w:lineRule="exact"/>
        <w:ind w:firstLine="482" w:firstLineChars="200"/>
        <w:rPr>
          <w:rFonts w:hint="eastAsia" w:ascii="宋体" w:hAnsi="宋体" w:eastAsia="宋体" w:cs="宋体"/>
          <w:b w:val="0"/>
          <w:bCs w:val="0"/>
          <w:strike w:val="0"/>
          <w:dstrike w:val="0"/>
          <w:snapToGrid w:val="0"/>
          <w:color w:val="auto"/>
          <w:kern w:val="0"/>
          <w:sz w:val="24"/>
          <w:szCs w:val="24"/>
          <w:highlight w:val="none"/>
        </w:rPr>
      </w:pPr>
      <w:bookmarkStart w:id="201" w:name="_Toc21792"/>
      <w:r>
        <w:rPr>
          <w:rFonts w:hint="eastAsia" w:ascii="宋体" w:hAnsi="宋体" w:eastAsia="宋体" w:cs="宋体"/>
          <w:b/>
          <w:bCs/>
          <w:strike w:val="0"/>
          <w:dstrike w:val="0"/>
          <w:snapToGrid w:val="0"/>
          <w:color w:val="auto"/>
          <w:kern w:val="0"/>
          <w:sz w:val="24"/>
          <w:szCs w:val="24"/>
          <w:highlight w:val="none"/>
          <w:lang w:val="en-US" w:eastAsia="zh-CN"/>
        </w:rPr>
        <w:t>5.2</w:t>
      </w:r>
      <w:r>
        <w:rPr>
          <w:rFonts w:hint="eastAsia" w:ascii="宋体" w:hAnsi="宋体" w:eastAsia="宋体" w:cs="宋体"/>
          <w:b/>
          <w:bCs/>
          <w:strike w:val="0"/>
          <w:dstrike w:val="0"/>
          <w:snapToGrid w:val="0"/>
          <w:color w:val="auto"/>
          <w:kern w:val="0"/>
          <w:sz w:val="24"/>
          <w:szCs w:val="24"/>
          <w:highlight w:val="none"/>
        </w:rPr>
        <w:t>.3</w:t>
      </w:r>
      <w:r>
        <w:rPr>
          <w:rFonts w:hint="eastAsia" w:ascii="宋体" w:hAnsi="宋体" w:eastAsia="宋体" w:cs="宋体"/>
          <w:b w:val="0"/>
          <w:bCs w:val="0"/>
          <w:strike w:val="0"/>
          <w:dstrike w:val="0"/>
          <w:snapToGrid w:val="0"/>
          <w:color w:val="auto"/>
          <w:kern w:val="0"/>
          <w:sz w:val="24"/>
          <w:szCs w:val="24"/>
          <w:highlight w:val="none"/>
          <w:lang w:val="en-US" w:eastAsia="zh-CN"/>
        </w:rPr>
        <w:t>工期奖罚</w:t>
      </w:r>
    </w:p>
    <w:p w14:paraId="4CA3D718">
      <w:pPr>
        <w:keepNext w:val="0"/>
        <w:keepLines w:val="0"/>
        <w:pageBreakBefore w:val="0"/>
        <w:widowControl/>
        <w:suppressLineNumbers w:val="0"/>
        <w:kinsoku/>
        <w:overflowPunct/>
        <w:topLinePunct w:val="0"/>
        <w:bidi w:val="0"/>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□竣工验收合格交付使用每提前</w:t>
      </w:r>
      <w:r>
        <w:rPr>
          <w:rFonts w:hint="eastAsia" w:ascii="宋体" w:hAnsi="宋体" w:eastAsia="宋体" w:cs="宋体"/>
          <w:color w:val="auto"/>
          <w:kern w:val="0"/>
          <w:sz w:val="24"/>
          <w:szCs w:val="24"/>
          <w:highlight w:val="none"/>
          <w:u w:val="single"/>
          <w:lang w:val="en-US" w:eastAsia="zh-CN" w:bidi="ar"/>
        </w:rPr>
        <w:t xml:space="preserve"> / </w:t>
      </w:r>
      <w:r>
        <w:rPr>
          <w:rFonts w:hint="eastAsia" w:ascii="宋体" w:hAnsi="宋体" w:eastAsia="宋体" w:cs="宋体"/>
          <w:color w:val="auto"/>
          <w:kern w:val="0"/>
          <w:sz w:val="24"/>
          <w:szCs w:val="24"/>
          <w:highlight w:val="none"/>
          <w:lang w:val="en-US" w:eastAsia="zh-CN" w:bidi="ar"/>
        </w:rPr>
        <w:t>天竣工；奖</w:t>
      </w:r>
      <w:r>
        <w:rPr>
          <w:rFonts w:hint="eastAsia" w:ascii="宋体" w:hAnsi="宋体" w:eastAsia="宋体" w:cs="宋体"/>
          <w:color w:val="auto"/>
          <w:kern w:val="0"/>
          <w:sz w:val="24"/>
          <w:szCs w:val="24"/>
          <w:highlight w:val="none"/>
          <w:u w:val="single"/>
          <w:lang w:val="en-US" w:eastAsia="zh-CN" w:bidi="ar"/>
        </w:rPr>
        <w:t xml:space="preserve"> /  </w:t>
      </w:r>
      <w:r>
        <w:rPr>
          <w:rFonts w:hint="eastAsia" w:ascii="宋体" w:hAnsi="宋体" w:eastAsia="宋体" w:cs="宋体"/>
          <w:color w:val="auto"/>
          <w:kern w:val="0"/>
          <w:sz w:val="24"/>
          <w:szCs w:val="24"/>
          <w:highlight w:val="none"/>
          <w:lang w:val="en-US" w:eastAsia="zh-CN" w:bidi="ar"/>
        </w:rPr>
        <w:t>元，奖励金额不超过合同价款的% （一般为 2%～5%）且不超过</w:t>
      </w:r>
      <w:r>
        <w:rPr>
          <w:rFonts w:hint="eastAsia" w:ascii="宋体" w:hAnsi="宋体" w:eastAsia="宋体" w:cs="宋体"/>
          <w:color w:val="auto"/>
          <w:kern w:val="0"/>
          <w:sz w:val="24"/>
          <w:szCs w:val="24"/>
          <w:highlight w:val="none"/>
          <w:u w:val="single"/>
          <w:lang w:val="en-US" w:eastAsia="zh-CN" w:bidi="ar"/>
        </w:rPr>
        <w:t xml:space="preserve">  /  </w:t>
      </w:r>
      <w:r>
        <w:rPr>
          <w:rFonts w:hint="eastAsia" w:ascii="宋体" w:hAnsi="宋体" w:eastAsia="宋体" w:cs="宋体"/>
          <w:color w:val="auto"/>
          <w:kern w:val="0"/>
          <w:sz w:val="24"/>
          <w:szCs w:val="24"/>
          <w:highlight w:val="none"/>
          <w:lang w:val="en-US" w:eastAsia="zh-CN" w:bidi="ar"/>
        </w:rPr>
        <w:t xml:space="preserve">万元。 </w:t>
      </w:r>
    </w:p>
    <w:p w14:paraId="1B50E3FE">
      <w:pPr>
        <w:keepNext w:val="0"/>
        <w:keepLines w:val="0"/>
        <w:pageBreakBefore w:val="0"/>
        <w:widowControl/>
        <w:suppressLineNumbers w:val="0"/>
        <w:kinsoku/>
        <w:overflowPunct/>
        <w:topLinePunct w:val="0"/>
        <w:bidi w:val="0"/>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因承包人原因，工程没有按期竣工时（除自然灾害、流行疾病、业主方通知停工造成的工期顺延外），承包人须在逾期第一天起每天按合同价的1‰向发包人返纳逾期竣工违约金。逾期竣工违约金的最高限额为合同总价的 3%。（开工时间具体以监理发出开工通知为准）</w:t>
      </w:r>
      <w:r>
        <w:rPr>
          <w:rFonts w:hint="eastAsia" w:ascii="宋体" w:hAnsi="宋体" w:eastAsia="宋体" w:cs="宋体"/>
          <w:color w:val="auto"/>
          <w:kern w:val="0"/>
          <w:sz w:val="24"/>
          <w:szCs w:val="24"/>
          <w:highlight w:val="none"/>
          <w:lang w:val="en-US" w:eastAsia="zh-CN" w:bidi="ar"/>
        </w:rPr>
        <w:t xml:space="preserve">。  </w:t>
      </w:r>
    </w:p>
    <w:p w14:paraId="2EC5881B">
      <w:pPr>
        <w:keepNext w:val="0"/>
        <w:keepLines w:val="0"/>
        <w:pageBreakBefore w:val="0"/>
        <w:widowControl/>
        <w:suppressLineNumbers w:val="0"/>
        <w:kinsoku/>
        <w:overflowPunct/>
        <w:topLinePunct w:val="0"/>
        <w:bidi w:val="0"/>
        <w:spacing w:line="440" w:lineRule="exact"/>
        <w:ind w:lef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□按施工合同期约定，因承包人原因延误工期</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天内不处罚， 自第</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天起每延误</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天竣工, 罚</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元。处罚金额不超过合同价款的</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%（一般为 2%～5%）且不超过</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万元，累计延误工期达到</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 xml:space="preserve">天，报请建设行政主管部门作不良行为记录，非承包方原因或不可抗力造成延误的除外。 </w:t>
      </w:r>
    </w:p>
    <w:p w14:paraId="48B27737">
      <w:pPr>
        <w:keepNext w:val="0"/>
        <w:keepLines w:val="0"/>
        <w:pageBreakBefore w:val="0"/>
        <w:widowControl/>
        <w:suppressLineNumbers w:val="0"/>
        <w:kinsoku/>
        <w:overflowPunct/>
        <w:topLinePunct w:val="0"/>
        <w:bidi w:val="0"/>
        <w:spacing w:line="440" w:lineRule="exact"/>
        <w:ind w:firstLine="480" w:firstLineChars="200"/>
        <w:jc w:val="left"/>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lang w:val="en-US" w:eastAsia="zh-CN" w:bidi="ar"/>
        </w:rPr>
        <w:t>□其它说明：/</w:t>
      </w:r>
    </w:p>
    <w:p w14:paraId="2B9A51F4">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r>
        <w:rPr>
          <w:rFonts w:hint="eastAsia" w:ascii="宋体" w:hAnsi="宋体" w:eastAsia="宋体" w:cs="宋体"/>
          <w:b/>
          <w:bCs/>
          <w:color w:val="auto"/>
          <w:spacing w:val="-11"/>
          <w:sz w:val="24"/>
          <w:szCs w:val="24"/>
          <w:highlight w:val="none"/>
          <w:lang w:val="en-US" w:eastAsia="zh-CN"/>
        </w:rPr>
        <w:t>6.项目管理机构</w:t>
      </w:r>
      <w:bookmarkEnd w:id="201"/>
    </w:p>
    <w:p w14:paraId="34803169">
      <w:pPr>
        <w:snapToGrid w:val="0"/>
        <w:spacing w:line="360" w:lineRule="auto"/>
        <w:ind w:firstLine="482" w:firstLineChars="200"/>
        <w:rPr>
          <w:rStyle w:val="48"/>
          <w:rFonts w:hint="eastAsia" w:ascii="宋体" w:hAnsi="宋体" w:eastAsia="宋体" w:cs="宋体"/>
          <w:color w:val="auto"/>
          <w:kern w:val="0"/>
          <w:sz w:val="24"/>
          <w:szCs w:val="24"/>
          <w:highlight w:val="none"/>
        </w:rPr>
      </w:pPr>
      <w:r>
        <w:rPr>
          <w:rStyle w:val="48"/>
          <w:rFonts w:hint="eastAsia" w:ascii="宋体" w:hAnsi="宋体" w:eastAsia="宋体" w:cs="宋体"/>
          <w:b/>
          <w:bCs/>
          <w:color w:val="auto"/>
          <w:kern w:val="0"/>
          <w:sz w:val="24"/>
          <w:szCs w:val="24"/>
          <w:highlight w:val="none"/>
          <w:lang w:val="en-US" w:eastAsia="zh-CN"/>
        </w:rPr>
        <w:t>6</w:t>
      </w:r>
      <w:r>
        <w:rPr>
          <w:rStyle w:val="48"/>
          <w:rFonts w:hint="eastAsia" w:ascii="宋体" w:hAnsi="宋体" w:eastAsia="宋体" w:cs="宋体"/>
          <w:b/>
          <w:bCs/>
          <w:color w:val="auto"/>
          <w:kern w:val="0"/>
          <w:sz w:val="24"/>
          <w:szCs w:val="24"/>
          <w:highlight w:val="none"/>
        </w:rPr>
        <w:t>.1</w:t>
      </w:r>
      <w:r>
        <w:rPr>
          <w:rStyle w:val="48"/>
          <w:rFonts w:hint="eastAsia" w:ascii="宋体" w:hAnsi="宋体" w:eastAsia="宋体" w:cs="宋体"/>
          <w:color w:val="auto"/>
          <w:kern w:val="0"/>
          <w:sz w:val="24"/>
          <w:szCs w:val="24"/>
          <w:highlight w:val="none"/>
        </w:rPr>
        <w:t xml:space="preserve"> 承包人派驻的项目管理班子成员必须为其投标文件确定的人员，否则发包人有权终止合同。</w:t>
      </w:r>
    </w:p>
    <w:p w14:paraId="49A1ECC0">
      <w:pPr>
        <w:snapToGrid w:val="0"/>
        <w:spacing w:line="360" w:lineRule="auto"/>
        <w:ind w:firstLine="482" w:firstLineChars="200"/>
        <w:rPr>
          <w:rStyle w:val="48"/>
          <w:rFonts w:hint="eastAsia" w:ascii="宋体" w:hAnsi="宋体" w:eastAsia="宋体" w:cs="宋体"/>
          <w:b w:val="0"/>
          <w:bCs w:val="0"/>
          <w:color w:val="auto"/>
          <w:kern w:val="0"/>
          <w:sz w:val="24"/>
          <w:szCs w:val="24"/>
          <w:highlight w:val="none"/>
          <w:lang w:val="en-US" w:eastAsia="zh-CN"/>
        </w:rPr>
      </w:pPr>
      <w:bookmarkStart w:id="202" w:name="_Toc32659"/>
      <w:r>
        <w:rPr>
          <w:rStyle w:val="48"/>
          <w:rFonts w:hint="eastAsia" w:ascii="宋体" w:hAnsi="宋体" w:eastAsia="宋体" w:cs="宋体"/>
          <w:b/>
          <w:bCs/>
          <w:color w:val="auto"/>
          <w:kern w:val="0"/>
          <w:sz w:val="24"/>
          <w:szCs w:val="24"/>
          <w:highlight w:val="none"/>
          <w:lang w:val="en-US" w:eastAsia="zh-CN"/>
        </w:rPr>
        <w:t xml:space="preserve">6.2 </w:t>
      </w:r>
      <w:r>
        <w:rPr>
          <w:rStyle w:val="48"/>
          <w:rFonts w:hint="eastAsia" w:ascii="宋体" w:hAnsi="宋体" w:eastAsia="宋体" w:cs="宋体"/>
          <w:b w:val="0"/>
          <w:bCs w:val="0"/>
          <w:color w:val="auto"/>
          <w:kern w:val="0"/>
          <w:sz w:val="24"/>
          <w:szCs w:val="24"/>
          <w:highlight w:val="none"/>
          <w:lang w:val="en-US" w:eastAsia="zh-CN"/>
        </w:rPr>
        <w:t>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bookmarkEnd w:id="202"/>
    </w:p>
    <w:p w14:paraId="4FB3E0FF">
      <w:pPr>
        <w:keepNext w:val="0"/>
        <w:keepLines w:val="0"/>
        <w:pageBreakBefore w:val="0"/>
        <w:widowControl w:val="0"/>
        <w:kinsoku w:val="0"/>
        <w:wordWrap/>
        <w:overflowPunct/>
        <w:topLinePunct w:val="0"/>
        <w:autoSpaceDE w:val="0"/>
        <w:autoSpaceDN w:val="0"/>
        <w:bidi w:val="0"/>
        <w:adjustRightInd w:val="0"/>
        <w:snapToGrid w:val="0"/>
        <w:spacing w:before="151" w:line="360" w:lineRule="auto"/>
        <w:ind w:left="476"/>
        <w:textAlignment w:val="baseline"/>
        <w:outlineLvl w:val="2"/>
        <w:rPr>
          <w:rFonts w:hint="eastAsia" w:ascii="宋体" w:hAnsi="宋体" w:eastAsia="宋体" w:cs="宋体"/>
          <w:b/>
          <w:bCs/>
          <w:color w:val="auto"/>
          <w:spacing w:val="-11"/>
          <w:sz w:val="24"/>
          <w:szCs w:val="24"/>
          <w:highlight w:val="none"/>
          <w:lang w:val="en-US" w:eastAsia="zh-CN"/>
        </w:rPr>
      </w:pPr>
      <w:bookmarkStart w:id="203" w:name="_Toc6509"/>
      <w:r>
        <w:rPr>
          <w:rFonts w:hint="eastAsia" w:ascii="宋体" w:hAnsi="宋体" w:eastAsia="宋体" w:cs="宋体"/>
          <w:b/>
          <w:bCs/>
          <w:color w:val="auto"/>
          <w:spacing w:val="-11"/>
          <w:sz w:val="24"/>
          <w:szCs w:val="24"/>
          <w:highlight w:val="none"/>
          <w:lang w:val="en-US" w:eastAsia="zh-CN"/>
        </w:rPr>
        <w:t>7.现场管理</w:t>
      </w:r>
      <w:bookmarkEnd w:id="203"/>
    </w:p>
    <w:p w14:paraId="23D08B3D">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2" w:firstLineChars="200"/>
        <w:textAlignment w:val="baseline"/>
        <w:rPr>
          <w:rStyle w:val="48"/>
          <w:rFonts w:hint="eastAsia" w:ascii="宋体" w:hAnsi="宋体" w:eastAsia="宋体" w:cs="宋体"/>
          <w:b w:val="0"/>
          <w:bCs w:val="0"/>
          <w:color w:val="auto"/>
          <w:kern w:val="0"/>
          <w:sz w:val="24"/>
          <w:szCs w:val="24"/>
          <w:highlight w:val="none"/>
          <w:lang w:val="en-US" w:eastAsia="zh-CN"/>
        </w:rPr>
      </w:pPr>
      <w:bookmarkStart w:id="204" w:name="_Toc7562"/>
      <w:r>
        <w:rPr>
          <w:rStyle w:val="48"/>
          <w:rFonts w:hint="eastAsia" w:ascii="宋体" w:hAnsi="宋体" w:eastAsia="宋体" w:cs="宋体"/>
          <w:b/>
          <w:bCs/>
          <w:color w:val="auto"/>
          <w:kern w:val="0"/>
          <w:sz w:val="24"/>
          <w:szCs w:val="24"/>
          <w:highlight w:val="none"/>
          <w:lang w:val="en-US" w:eastAsia="zh-CN"/>
        </w:rPr>
        <w:t xml:space="preserve">7.1 </w:t>
      </w:r>
      <w:r>
        <w:rPr>
          <w:rStyle w:val="48"/>
          <w:rFonts w:hint="eastAsia" w:ascii="宋体" w:hAnsi="宋体" w:eastAsia="宋体" w:cs="宋体"/>
          <w:b w:val="0"/>
          <w:bCs w:val="0"/>
          <w:color w:val="auto"/>
          <w:kern w:val="0"/>
          <w:sz w:val="24"/>
          <w:szCs w:val="24"/>
          <w:highlight w:val="none"/>
          <w:lang w:val="en-US" w:eastAsia="zh-CN"/>
        </w:rPr>
        <w:t>承包人在施工期间应严格遵守国家、广东省、韶关市有关绿色施工、文明施工、噪音扬尘、消防爆破、环境卫生、渣土清运、防火和治安保卫等方面的规定，并建立相应规章制度和保障措施。否则由此造成的经济损失和法律责任，均由承包人承担。</w:t>
      </w:r>
      <w:bookmarkEnd w:id="204"/>
    </w:p>
    <w:p w14:paraId="3D71EAFB">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2" w:firstLineChars="200"/>
        <w:textAlignment w:val="baseline"/>
        <w:rPr>
          <w:rStyle w:val="48"/>
          <w:rFonts w:hint="eastAsia" w:ascii="宋体" w:hAnsi="宋体" w:eastAsia="宋体" w:cs="宋体"/>
          <w:color w:val="auto"/>
          <w:kern w:val="0"/>
          <w:sz w:val="24"/>
          <w:szCs w:val="24"/>
          <w:highlight w:val="none"/>
        </w:rPr>
      </w:pPr>
      <w:r>
        <w:rPr>
          <w:rStyle w:val="48"/>
          <w:rFonts w:hint="eastAsia" w:ascii="宋体" w:hAnsi="宋体" w:eastAsia="宋体" w:cs="宋体"/>
          <w:b/>
          <w:bCs/>
          <w:color w:val="auto"/>
          <w:kern w:val="0"/>
          <w:sz w:val="24"/>
          <w:szCs w:val="24"/>
          <w:highlight w:val="none"/>
          <w:lang w:val="en-US" w:eastAsia="zh-CN"/>
        </w:rPr>
        <w:t>7</w:t>
      </w:r>
      <w:r>
        <w:rPr>
          <w:rStyle w:val="48"/>
          <w:rFonts w:hint="eastAsia" w:ascii="宋体" w:hAnsi="宋体" w:eastAsia="宋体" w:cs="宋体"/>
          <w:b/>
          <w:bCs/>
          <w:color w:val="auto"/>
          <w:kern w:val="0"/>
          <w:sz w:val="24"/>
          <w:szCs w:val="24"/>
          <w:highlight w:val="none"/>
        </w:rPr>
        <w:t>.2</w:t>
      </w:r>
      <w:r>
        <w:rPr>
          <w:rStyle w:val="48"/>
          <w:rFonts w:hint="eastAsia" w:ascii="宋体" w:hAnsi="宋体" w:eastAsia="宋体" w:cs="宋体"/>
          <w:color w:val="auto"/>
          <w:kern w:val="0"/>
          <w:sz w:val="24"/>
          <w:szCs w:val="24"/>
          <w:highlight w:val="none"/>
        </w:rPr>
        <w:t xml:space="preserve"> 承包人应按安全施工有关规定，采取严格、科学的安全防护措施，确保施工和人员（包括第三者）的安全，承担由于自身安全防护措施不力所造成的安全事故责任和发生的费用。</w:t>
      </w:r>
    </w:p>
    <w:p w14:paraId="17ED841F">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2" w:firstLineChars="200"/>
        <w:textAlignment w:val="baseline"/>
        <w:rPr>
          <w:rStyle w:val="48"/>
          <w:rFonts w:hint="eastAsia" w:ascii="宋体" w:hAnsi="宋体" w:eastAsia="宋体" w:cs="宋体"/>
          <w:b/>
          <w:bCs/>
          <w:color w:val="auto"/>
          <w:kern w:val="0"/>
          <w:sz w:val="24"/>
          <w:szCs w:val="24"/>
          <w:highlight w:val="none"/>
        </w:rPr>
      </w:pPr>
      <w:r>
        <w:rPr>
          <w:rStyle w:val="48"/>
          <w:rFonts w:hint="eastAsia" w:ascii="宋体" w:hAnsi="宋体" w:eastAsia="宋体" w:cs="宋体"/>
          <w:b/>
          <w:bCs/>
          <w:color w:val="auto"/>
          <w:kern w:val="0"/>
          <w:sz w:val="24"/>
          <w:szCs w:val="24"/>
          <w:highlight w:val="none"/>
          <w:lang w:val="en-US" w:eastAsia="zh-CN"/>
        </w:rPr>
        <w:t>7</w:t>
      </w:r>
      <w:r>
        <w:rPr>
          <w:rStyle w:val="48"/>
          <w:rFonts w:hint="eastAsia" w:ascii="宋体" w:hAnsi="宋体" w:eastAsia="宋体" w:cs="宋体"/>
          <w:b/>
          <w:bCs/>
          <w:color w:val="auto"/>
          <w:kern w:val="0"/>
          <w:sz w:val="24"/>
          <w:szCs w:val="24"/>
          <w:highlight w:val="none"/>
        </w:rPr>
        <w:t>.3</w:t>
      </w:r>
      <w:r>
        <w:rPr>
          <w:rStyle w:val="48"/>
          <w:rFonts w:hint="eastAsia" w:ascii="宋体" w:hAnsi="宋体" w:eastAsia="宋体" w:cs="宋体"/>
          <w:color w:val="auto"/>
          <w:kern w:val="0"/>
          <w:sz w:val="24"/>
          <w:szCs w:val="24"/>
          <w:highlight w:val="none"/>
        </w:rPr>
        <w:t xml:space="preserve"> 为保证施工现场的环境卫生，承包人在本工程施工过程中，所有的车辆必须按发包人规定的行车路线行驶。</w:t>
      </w:r>
    </w:p>
    <w:p w14:paraId="2B0C2B38">
      <w:pPr>
        <w:keepNext w:val="0"/>
        <w:keepLines w:val="0"/>
        <w:pageBreakBefore w:val="0"/>
        <w:widowControl w:val="0"/>
        <w:kinsoku w:val="0"/>
        <w:wordWrap/>
        <w:overflowPunct/>
        <w:topLinePunct w:val="0"/>
        <w:autoSpaceDE w:val="0"/>
        <w:autoSpaceDN w:val="0"/>
        <w:bidi w:val="0"/>
        <w:adjustRightInd w:val="0"/>
        <w:snapToGrid w:val="0"/>
        <w:spacing w:before="151" w:line="360" w:lineRule="auto"/>
        <w:ind w:left="476"/>
        <w:textAlignment w:val="baseline"/>
        <w:outlineLvl w:val="2"/>
        <w:rPr>
          <w:rFonts w:hint="eastAsia" w:ascii="宋体" w:hAnsi="宋体" w:eastAsia="宋体" w:cs="宋体"/>
          <w:b/>
          <w:bCs/>
          <w:color w:val="auto"/>
          <w:spacing w:val="-11"/>
          <w:sz w:val="24"/>
          <w:szCs w:val="24"/>
          <w:highlight w:val="none"/>
          <w:lang w:val="en-US" w:eastAsia="zh-CN"/>
        </w:rPr>
      </w:pPr>
      <w:bookmarkStart w:id="205" w:name="_Toc27064"/>
      <w:r>
        <w:rPr>
          <w:rFonts w:hint="eastAsia" w:ascii="宋体" w:hAnsi="宋体" w:eastAsia="宋体" w:cs="宋体"/>
          <w:b/>
          <w:bCs/>
          <w:color w:val="auto"/>
          <w:spacing w:val="-11"/>
          <w:sz w:val="24"/>
          <w:szCs w:val="24"/>
          <w:highlight w:val="none"/>
          <w:lang w:val="en-US" w:eastAsia="zh-CN"/>
        </w:rPr>
        <w:t>8.监督实施</w:t>
      </w:r>
      <w:bookmarkEnd w:id="205"/>
    </w:p>
    <w:p w14:paraId="03B0C142">
      <w:pPr>
        <w:keepNext w:val="0"/>
        <w:keepLines w:val="0"/>
        <w:pageBreakBefore w:val="0"/>
        <w:widowControl w:val="0"/>
        <w:kinsoku w:val="0"/>
        <w:wordWrap/>
        <w:overflowPunct/>
        <w:topLinePunct w:val="0"/>
        <w:autoSpaceDE w:val="0"/>
        <w:autoSpaceDN w:val="0"/>
        <w:bidi w:val="0"/>
        <w:adjustRightInd w:val="0"/>
        <w:snapToGrid w:val="0"/>
        <w:spacing w:line="360" w:lineRule="auto"/>
        <w:ind w:firstLine="560"/>
        <w:textAlignment w:val="baseline"/>
        <w:rPr>
          <w:rStyle w:val="48"/>
          <w:rFonts w:hint="eastAsia" w:ascii="宋体" w:hAnsi="宋体" w:eastAsia="宋体" w:cs="宋体"/>
          <w:b/>
          <w:bCs/>
          <w:color w:val="auto"/>
          <w:kern w:val="0"/>
          <w:sz w:val="24"/>
          <w:szCs w:val="24"/>
          <w:highlight w:val="none"/>
        </w:rPr>
      </w:pPr>
      <w:r>
        <w:rPr>
          <w:rStyle w:val="48"/>
          <w:rFonts w:hint="eastAsia" w:ascii="宋体" w:hAnsi="宋体" w:eastAsia="宋体" w:cs="宋体"/>
          <w:color w:val="auto"/>
          <w:kern w:val="0"/>
          <w:sz w:val="24"/>
          <w:szCs w:val="24"/>
          <w:highlight w:val="none"/>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70E47E47">
      <w:pPr>
        <w:keepNext w:val="0"/>
        <w:keepLines w:val="0"/>
        <w:pageBreakBefore w:val="0"/>
        <w:widowControl w:val="0"/>
        <w:kinsoku w:val="0"/>
        <w:wordWrap/>
        <w:overflowPunct/>
        <w:topLinePunct w:val="0"/>
        <w:autoSpaceDE w:val="0"/>
        <w:autoSpaceDN w:val="0"/>
        <w:bidi w:val="0"/>
        <w:adjustRightInd w:val="0"/>
        <w:snapToGrid w:val="0"/>
        <w:spacing w:before="151" w:line="360" w:lineRule="auto"/>
        <w:ind w:left="476"/>
        <w:textAlignment w:val="baseline"/>
        <w:outlineLvl w:val="2"/>
        <w:rPr>
          <w:rFonts w:hint="eastAsia" w:ascii="宋体" w:hAnsi="宋体" w:eastAsia="宋体" w:cs="宋体"/>
          <w:b/>
          <w:bCs/>
          <w:color w:val="auto"/>
          <w:spacing w:val="-11"/>
          <w:sz w:val="24"/>
          <w:szCs w:val="24"/>
          <w:highlight w:val="none"/>
          <w:lang w:val="en-US" w:eastAsia="zh-CN"/>
        </w:rPr>
      </w:pPr>
      <w:bookmarkStart w:id="206" w:name="_Toc1523"/>
      <w:r>
        <w:rPr>
          <w:rFonts w:hint="eastAsia" w:ascii="宋体" w:hAnsi="宋体" w:eastAsia="宋体" w:cs="宋体"/>
          <w:b/>
          <w:bCs/>
          <w:color w:val="auto"/>
          <w:spacing w:val="-11"/>
          <w:sz w:val="24"/>
          <w:szCs w:val="24"/>
          <w:highlight w:val="none"/>
          <w:lang w:val="en-US" w:eastAsia="zh-CN"/>
        </w:rPr>
        <w:t>9.主材的采购和使用</w:t>
      </w:r>
      <w:bookmarkEnd w:id="206"/>
    </w:p>
    <w:p w14:paraId="512049C3">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textAlignment w:val="baseline"/>
        <w:rPr>
          <w:rStyle w:val="48"/>
          <w:rFonts w:hint="eastAsia" w:ascii="宋体" w:hAnsi="宋体" w:eastAsia="宋体" w:cs="宋体"/>
          <w:color w:val="auto"/>
          <w:kern w:val="0"/>
          <w:sz w:val="24"/>
          <w:szCs w:val="24"/>
          <w:highlight w:val="none"/>
          <w:lang w:val="en-US" w:eastAsia="zh-CN"/>
        </w:rPr>
      </w:pPr>
      <w:r>
        <w:rPr>
          <w:rStyle w:val="48"/>
          <w:rFonts w:hint="eastAsia" w:ascii="宋体" w:hAnsi="宋体" w:eastAsia="宋体" w:cs="宋体"/>
          <w:color w:val="auto"/>
          <w:kern w:val="0"/>
          <w:sz w:val="24"/>
          <w:szCs w:val="24"/>
          <w:highlight w:val="none"/>
          <w:lang w:val="en-US" w:eastAsia="zh-CN"/>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597D6EEB">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207" w:name="_Toc7133"/>
      <w:r>
        <w:rPr>
          <w:rFonts w:hint="eastAsia" w:ascii="宋体" w:hAnsi="宋体" w:eastAsia="宋体" w:cs="宋体"/>
          <w:b/>
          <w:bCs/>
          <w:color w:val="auto"/>
          <w:spacing w:val="-11"/>
          <w:sz w:val="24"/>
          <w:szCs w:val="24"/>
          <w:highlight w:val="none"/>
          <w:lang w:val="en-US" w:eastAsia="zh-CN"/>
        </w:rPr>
        <w:t>10.竣工资料移交</w:t>
      </w:r>
      <w:bookmarkEnd w:id="207"/>
    </w:p>
    <w:p w14:paraId="5D061CB5">
      <w:pPr>
        <w:widowControl w:val="0"/>
        <w:wordWrap w:val="0"/>
        <w:adjustRightInd w:val="0"/>
        <w:snapToGrid w:val="0"/>
        <w:spacing w:line="360" w:lineRule="auto"/>
        <w:ind w:firstLine="560"/>
        <w:textAlignment w:val="auto"/>
        <w:rPr>
          <w:rStyle w:val="48"/>
          <w:rFonts w:hint="eastAsia" w:ascii="宋体" w:hAnsi="宋体" w:eastAsia="宋体" w:cs="宋体"/>
          <w:b/>
          <w:bCs/>
          <w:color w:val="auto"/>
          <w:kern w:val="0"/>
          <w:sz w:val="24"/>
          <w:szCs w:val="24"/>
          <w:highlight w:val="none"/>
        </w:rPr>
      </w:pPr>
      <w:r>
        <w:rPr>
          <w:rFonts w:hint="eastAsia" w:ascii="宋体" w:hAnsi="宋体" w:eastAsia="宋体" w:cs="宋体"/>
          <w:bCs/>
          <w:snapToGrid w:val="0"/>
          <w:color w:val="auto"/>
          <w:kern w:val="0"/>
          <w:sz w:val="24"/>
          <w:szCs w:val="24"/>
          <w:highlight w:val="none"/>
        </w:rPr>
        <w:t>项目竣工验收时，</w:t>
      </w: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人应向监理单位和</w:t>
      </w:r>
      <w:r>
        <w:rPr>
          <w:rFonts w:hint="eastAsia" w:ascii="宋体" w:hAnsi="宋体" w:eastAsia="宋体" w:cs="宋体"/>
          <w:snapToGrid w:val="0"/>
          <w:color w:val="auto"/>
          <w:kern w:val="0"/>
          <w:sz w:val="24"/>
          <w:szCs w:val="24"/>
          <w:highlight w:val="none"/>
        </w:rPr>
        <w:t>发包</w:t>
      </w:r>
      <w:r>
        <w:rPr>
          <w:rFonts w:hint="eastAsia" w:ascii="宋体" w:hAnsi="宋体" w:eastAsia="宋体" w:cs="宋体"/>
          <w:bCs/>
          <w:snapToGrid w:val="0"/>
          <w:color w:val="auto"/>
          <w:kern w:val="0"/>
          <w:sz w:val="24"/>
          <w:szCs w:val="24"/>
          <w:highlight w:val="none"/>
        </w:rPr>
        <w:t>人提供符合国家档案部门备案要求的，编制成册的竣工图及有关的技术档案资料（含声像档案）一式</w:t>
      </w:r>
      <w:r>
        <w:rPr>
          <w:rFonts w:hint="eastAsia" w:ascii="宋体" w:hAnsi="宋体" w:eastAsia="宋体" w:cs="宋体"/>
          <w:bCs/>
          <w:snapToGrid w:val="0"/>
          <w:color w:val="auto"/>
          <w:kern w:val="0"/>
          <w:sz w:val="24"/>
          <w:szCs w:val="24"/>
          <w:highlight w:val="none"/>
          <w:u w:val="single"/>
        </w:rPr>
        <w:t xml:space="preserve"> 八 </w:t>
      </w:r>
      <w:r>
        <w:rPr>
          <w:rFonts w:hint="eastAsia" w:ascii="宋体" w:hAnsi="宋体" w:eastAsia="宋体" w:cs="宋体"/>
          <w:bCs/>
          <w:snapToGrid w:val="0"/>
          <w:color w:val="auto"/>
          <w:kern w:val="0"/>
          <w:sz w:val="24"/>
          <w:szCs w:val="24"/>
          <w:highlight w:val="none"/>
        </w:rPr>
        <w:t>份。</w:t>
      </w:r>
    </w:p>
    <w:p w14:paraId="7DFBEA26">
      <w:pPr>
        <w:keepNext w:val="0"/>
        <w:keepLines w:val="0"/>
        <w:pageBreakBefore w:val="0"/>
        <w:overflowPunct/>
        <w:bidi w:val="0"/>
        <w:snapToGrid w:val="0"/>
        <w:spacing w:before="151" w:line="450" w:lineRule="exact"/>
        <w:ind w:left="476"/>
        <w:outlineLvl w:val="2"/>
        <w:rPr>
          <w:rFonts w:hint="eastAsia" w:ascii="宋体" w:hAnsi="宋体" w:eastAsia="宋体" w:cs="宋体"/>
          <w:b/>
          <w:bCs/>
          <w:color w:val="auto"/>
          <w:spacing w:val="-11"/>
          <w:sz w:val="24"/>
          <w:szCs w:val="24"/>
          <w:highlight w:val="none"/>
          <w:lang w:val="en-US" w:eastAsia="zh-CN"/>
        </w:rPr>
      </w:pPr>
      <w:bookmarkStart w:id="208" w:name="_Toc9337"/>
      <w:r>
        <w:rPr>
          <w:rFonts w:hint="eastAsia" w:ascii="宋体" w:hAnsi="宋体" w:eastAsia="宋体" w:cs="宋体"/>
          <w:b/>
          <w:bCs/>
          <w:color w:val="auto"/>
          <w:spacing w:val="-11"/>
          <w:sz w:val="24"/>
          <w:szCs w:val="24"/>
          <w:highlight w:val="none"/>
          <w:lang w:val="en-US" w:eastAsia="zh-CN"/>
        </w:rPr>
        <w:t>11.质量保证</w:t>
      </w:r>
      <w:bookmarkEnd w:id="208"/>
    </w:p>
    <w:p w14:paraId="2C5EA7F7">
      <w:pPr>
        <w:keepNext w:val="0"/>
        <w:keepLines w:val="0"/>
        <w:pageBreakBefore w:val="0"/>
        <w:overflowPunct/>
        <w:bidi w:val="0"/>
        <w:snapToGrid w:val="0"/>
        <w:spacing w:line="450" w:lineRule="exact"/>
        <w:ind w:firstLine="560"/>
        <w:rPr>
          <w:rStyle w:val="48"/>
          <w:rFonts w:hint="eastAsia" w:ascii="宋体" w:hAnsi="宋体" w:eastAsia="宋体" w:cs="宋体"/>
          <w:color w:val="auto"/>
          <w:kern w:val="0"/>
          <w:sz w:val="24"/>
          <w:szCs w:val="24"/>
          <w:highlight w:val="none"/>
        </w:rPr>
      </w:pPr>
      <w:r>
        <w:rPr>
          <w:rStyle w:val="48"/>
          <w:rFonts w:hint="eastAsia" w:ascii="宋体" w:hAnsi="宋体" w:eastAsia="宋体" w:cs="宋体"/>
          <w:b/>
          <w:bCs/>
          <w:color w:val="auto"/>
          <w:kern w:val="0"/>
          <w:sz w:val="24"/>
          <w:szCs w:val="24"/>
          <w:highlight w:val="none"/>
          <w:lang w:val="en-US" w:eastAsia="zh-CN"/>
        </w:rPr>
        <w:t>11</w:t>
      </w:r>
      <w:r>
        <w:rPr>
          <w:rStyle w:val="48"/>
          <w:rFonts w:hint="eastAsia" w:ascii="宋体" w:hAnsi="宋体" w:eastAsia="宋体" w:cs="宋体"/>
          <w:b/>
          <w:bCs/>
          <w:color w:val="auto"/>
          <w:kern w:val="0"/>
          <w:sz w:val="24"/>
          <w:szCs w:val="24"/>
          <w:highlight w:val="none"/>
        </w:rPr>
        <w:t>.1</w:t>
      </w:r>
      <w:r>
        <w:rPr>
          <w:rStyle w:val="48"/>
          <w:rFonts w:hint="eastAsia" w:ascii="宋体" w:hAnsi="宋体" w:eastAsia="宋体" w:cs="宋体"/>
          <w:color w:val="auto"/>
          <w:kern w:val="0"/>
          <w:sz w:val="24"/>
          <w:szCs w:val="24"/>
          <w:highlight w:val="none"/>
        </w:rPr>
        <w:t xml:space="preserve"> 本工程缺陷责任期为</w:t>
      </w:r>
      <w:r>
        <w:rPr>
          <w:rStyle w:val="48"/>
          <w:rFonts w:hint="eastAsia" w:ascii="宋体" w:hAnsi="宋体" w:eastAsia="宋体" w:cs="宋体"/>
          <w:color w:val="auto"/>
          <w:kern w:val="0"/>
          <w:sz w:val="24"/>
          <w:szCs w:val="24"/>
          <w:highlight w:val="none"/>
          <w:u w:val="single"/>
          <w:lang w:val="en-US" w:eastAsia="zh-CN"/>
        </w:rPr>
        <w:t xml:space="preserve"> 2 </w:t>
      </w:r>
      <w:r>
        <w:rPr>
          <w:rStyle w:val="48"/>
          <w:rFonts w:hint="eastAsia" w:ascii="宋体" w:hAnsi="宋体" w:eastAsia="宋体" w:cs="宋体"/>
          <w:color w:val="auto"/>
          <w:kern w:val="0"/>
          <w:sz w:val="24"/>
          <w:szCs w:val="24"/>
          <w:highlight w:val="none"/>
        </w:rPr>
        <w:t>年（自通过竣工验收之日起计），在此期间预留金额为结算价</w:t>
      </w:r>
      <w:r>
        <w:rPr>
          <w:rStyle w:val="48"/>
          <w:rFonts w:hint="eastAsia" w:ascii="宋体" w:hAnsi="宋体" w:eastAsia="宋体" w:cs="宋体"/>
          <w:color w:val="auto"/>
          <w:kern w:val="0"/>
          <w:sz w:val="24"/>
          <w:szCs w:val="24"/>
          <w:highlight w:val="none"/>
          <w:u w:val="single"/>
          <w:lang w:val="en-US" w:eastAsia="zh-CN"/>
        </w:rPr>
        <w:t xml:space="preserve"> 3</w:t>
      </w:r>
      <w:r>
        <w:rPr>
          <w:rStyle w:val="48"/>
          <w:rFonts w:hint="eastAsia" w:ascii="宋体" w:hAnsi="宋体" w:eastAsia="宋体" w:cs="宋体"/>
          <w:color w:val="auto"/>
          <w:kern w:val="0"/>
          <w:sz w:val="24"/>
          <w:szCs w:val="24"/>
          <w:highlight w:val="none"/>
          <w:u w:val="single"/>
        </w:rPr>
        <w:t>%</w:t>
      </w:r>
      <w:r>
        <w:rPr>
          <w:rStyle w:val="48"/>
          <w:rFonts w:hint="eastAsia" w:ascii="宋体" w:hAnsi="宋体" w:eastAsia="宋体" w:cs="宋体"/>
          <w:color w:val="auto"/>
          <w:kern w:val="0"/>
          <w:sz w:val="24"/>
          <w:szCs w:val="24"/>
          <w:highlight w:val="none"/>
          <w:u w:val="single"/>
          <w:lang w:val="en-US" w:eastAsia="zh-CN"/>
        </w:rPr>
        <w:t xml:space="preserve"> </w:t>
      </w:r>
      <w:r>
        <w:rPr>
          <w:rStyle w:val="48"/>
          <w:rFonts w:hint="eastAsia" w:ascii="宋体" w:hAnsi="宋体" w:eastAsia="宋体" w:cs="宋体"/>
          <w:color w:val="auto"/>
          <w:kern w:val="0"/>
          <w:sz w:val="24"/>
          <w:szCs w:val="24"/>
          <w:highlight w:val="none"/>
        </w:rPr>
        <w:t>的质量保证。</w:t>
      </w:r>
    </w:p>
    <w:p w14:paraId="198FCC05">
      <w:pPr>
        <w:keepNext w:val="0"/>
        <w:keepLines w:val="0"/>
        <w:pageBreakBefore w:val="0"/>
        <w:overflowPunct/>
        <w:bidi w:val="0"/>
        <w:snapToGrid w:val="0"/>
        <w:spacing w:line="450" w:lineRule="exact"/>
        <w:ind w:firstLine="560"/>
        <w:rPr>
          <w:rStyle w:val="48"/>
          <w:rFonts w:hint="eastAsia" w:ascii="宋体" w:hAnsi="宋体" w:eastAsia="宋体" w:cs="宋体"/>
          <w:color w:val="auto"/>
          <w:kern w:val="0"/>
          <w:sz w:val="24"/>
          <w:szCs w:val="24"/>
          <w:highlight w:val="none"/>
        </w:rPr>
      </w:pPr>
      <w:r>
        <w:rPr>
          <w:rStyle w:val="48"/>
          <w:rFonts w:hint="eastAsia" w:ascii="宋体" w:hAnsi="宋体" w:eastAsia="宋体" w:cs="宋体"/>
          <w:b/>
          <w:bCs/>
          <w:color w:val="auto"/>
          <w:kern w:val="0"/>
          <w:sz w:val="24"/>
          <w:szCs w:val="24"/>
          <w:highlight w:val="none"/>
          <w:lang w:val="en-US" w:eastAsia="zh-CN"/>
        </w:rPr>
        <w:t>11</w:t>
      </w:r>
      <w:r>
        <w:rPr>
          <w:rStyle w:val="48"/>
          <w:rFonts w:hint="eastAsia" w:ascii="宋体" w:hAnsi="宋体" w:eastAsia="宋体" w:cs="宋体"/>
          <w:b/>
          <w:bCs/>
          <w:color w:val="auto"/>
          <w:kern w:val="0"/>
          <w:sz w:val="24"/>
          <w:szCs w:val="24"/>
          <w:highlight w:val="none"/>
        </w:rPr>
        <w:t>.2</w:t>
      </w:r>
      <w:r>
        <w:rPr>
          <w:rStyle w:val="48"/>
          <w:rFonts w:hint="eastAsia" w:ascii="宋体" w:hAnsi="宋体" w:eastAsia="宋体" w:cs="宋体"/>
          <w:color w:val="auto"/>
          <w:kern w:val="0"/>
          <w:sz w:val="24"/>
          <w:szCs w:val="24"/>
          <w:highlight w:val="none"/>
        </w:rPr>
        <w:t xml:space="preserve"> 质量保证的形式包括质量保证金、质量保证担保、质量保证保险三种，由承包人自主选择。</w:t>
      </w:r>
    </w:p>
    <w:p w14:paraId="543229D4">
      <w:pPr>
        <w:keepNext w:val="0"/>
        <w:keepLines w:val="0"/>
        <w:pageBreakBefore w:val="0"/>
        <w:overflowPunct/>
        <w:bidi w:val="0"/>
        <w:snapToGrid w:val="0"/>
        <w:spacing w:line="450" w:lineRule="exact"/>
        <w:ind w:firstLine="560"/>
        <w:rPr>
          <w:rStyle w:val="48"/>
          <w:rFonts w:hint="eastAsia" w:ascii="宋体" w:hAnsi="宋体" w:eastAsia="宋体" w:cs="宋体"/>
          <w:color w:val="auto"/>
          <w:kern w:val="0"/>
          <w:sz w:val="24"/>
          <w:szCs w:val="24"/>
          <w:highlight w:val="none"/>
        </w:rPr>
      </w:pPr>
      <w:r>
        <w:rPr>
          <w:rStyle w:val="48"/>
          <w:rFonts w:hint="eastAsia" w:ascii="宋体" w:hAnsi="宋体" w:eastAsia="宋体" w:cs="宋体"/>
          <w:color w:val="auto"/>
          <w:kern w:val="0"/>
          <w:sz w:val="24"/>
          <w:szCs w:val="24"/>
          <w:highlight w:val="none"/>
        </w:rPr>
        <w:t>（1）采用质量保证金形式的，在结清审定总造价时一次性扣留相应金额作为质量保证金。</w:t>
      </w:r>
    </w:p>
    <w:p w14:paraId="6A531F10">
      <w:pPr>
        <w:keepNext w:val="0"/>
        <w:keepLines w:val="0"/>
        <w:pageBreakBefore w:val="0"/>
        <w:widowControl w:val="0"/>
        <w:wordWrap/>
        <w:overflowPunct/>
        <w:topLinePunct w:val="0"/>
        <w:bidi w:val="0"/>
        <w:snapToGrid w:val="0"/>
        <w:spacing w:line="450" w:lineRule="exact"/>
        <w:ind w:firstLine="560"/>
        <w:textAlignment w:val="baseline"/>
        <w:rPr>
          <w:rStyle w:val="48"/>
          <w:rFonts w:hint="eastAsia" w:ascii="宋体" w:hAnsi="宋体" w:eastAsia="宋体" w:cs="宋体"/>
          <w:color w:val="auto"/>
          <w:kern w:val="0"/>
          <w:sz w:val="24"/>
          <w:szCs w:val="24"/>
          <w:highlight w:val="none"/>
        </w:rPr>
      </w:pPr>
      <w:r>
        <w:rPr>
          <w:rStyle w:val="48"/>
          <w:rFonts w:hint="eastAsia" w:ascii="宋体" w:hAnsi="宋体" w:eastAsia="宋体" w:cs="宋体"/>
          <w:color w:val="auto"/>
          <w:kern w:val="0"/>
          <w:sz w:val="24"/>
          <w:szCs w:val="24"/>
          <w:highlight w:val="none"/>
        </w:rPr>
        <w:t>（2）采用质量保证担保或质量保证保险的，承包人应在竣工验收时向发包人提交有效的</w:t>
      </w:r>
      <w:r>
        <w:rPr>
          <w:rFonts w:hint="eastAsia" w:ascii="宋体" w:hAnsi="宋体" w:eastAsia="宋体" w:cs="宋体"/>
          <w:b w:val="0"/>
          <w:bCs/>
          <w:caps w:val="0"/>
          <w:smallCaps w:val="0"/>
          <w:snapToGrid w:val="0"/>
          <w:color w:val="auto"/>
          <w:spacing w:val="0"/>
          <w:kern w:val="0"/>
          <w:sz w:val="24"/>
          <w:szCs w:val="24"/>
          <w:highlight w:val="none"/>
          <w:lang w:val="en-US" w:eastAsia="zh-CN"/>
        </w:rPr>
        <w:t>商业保函、</w:t>
      </w:r>
      <w:r>
        <w:rPr>
          <w:rStyle w:val="48"/>
          <w:rFonts w:hint="eastAsia" w:ascii="宋体" w:hAnsi="宋体" w:eastAsia="宋体" w:cs="宋体"/>
          <w:color w:val="auto"/>
          <w:kern w:val="0"/>
          <w:sz w:val="24"/>
          <w:szCs w:val="24"/>
          <w:highlight w:val="none"/>
        </w:rPr>
        <w:t>银行保函或保险合同（或保险单）原件，</w:t>
      </w:r>
      <w:r>
        <w:rPr>
          <w:rFonts w:hint="eastAsia" w:ascii="宋体" w:hAnsi="宋体" w:eastAsia="宋体" w:cs="宋体"/>
          <w:b w:val="0"/>
          <w:bCs/>
          <w:caps w:val="0"/>
          <w:smallCaps w:val="0"/>
          <w:snapToGrid w:val="0"/>
          <w:color w:val="auto"/>
          <w:spacing w:val="0"/>
          <w:kern w:val="0"/>
          <w:sz w:val="24"/>
          <w:szCs w:val="24"/>
          <w:highlight w:val="none"/>
          <w:lang w:val="en-US" w:eastAsia="zh-CN"/>
        </w:rPr>
        <w:t>商业保函、</w:t>
      </w:r>
      <w:r>
        <w:rPr>
          <w:rStyle w:val="48"/>
          <w:rFonts w:hint="eastAsia" w:ascii="宋体" w:hAnsi="宋体" w:eastAsia="宋体" w:cs="宋体"/>
          <w:color w:val="auto"/>
          <w:kern w:val="0"/>
          <w:sz w:val="24"/>
          <w:szCs w:val="24"/>
          <w:highlight w:val="none"/>
        </w:rPr>
        <w:t>银行保函或保险合同（或保险单）的有效期不得短于缺陷责任期。</w:t>
      </w:r>
    </w:p>
    <w:p w14:paraId="1F26F235">
      <w:pPr>
        <w:keepNext w:val="0"/>
        <w:keepLines w:val="0"/>
        <w:pageBreakBefore w:val="0"/>
        <w:widowControl w:val="0"/>
        <w:wordWrap/>
        <w:overflowPunct/>
        <w:topLinePunct w:val="0"/>
        <w:bidi w:val="0"/>
        <w:snapToGrid w:val="0"/>
        <w:spacing w:line="450" w:lineRule="exact"/>
        <w:ind w:firstLine="560"/>
        <w:textAlignment w:val="baseline"/>
        <w:rPr>
          <w:rStyle w:val="48"/>
          <w:rFonts w:hint="eastAsia" w:ascii="宋体" w:hAnsi="宋体" w:eastAsia="宋体" w:cs="宋体"/>
          <w:color w:val="auto"/>
          <w:kern w:val="0"/>
          <w:sz w:val="24"/>
          <w:szCs w:val="24"/>
          <w:highlight w:val="none"/>
        </w:rPr>
      </w:pPr>
      <w:r>
        <w:rPr>
          <w:rStyle w:val="48"/>
          <w:rFonts w:hint="eastAsia" w:ascii="宋体" w:hAnsi="宋体" w:eastAsia="宋体" w:cs="宋体"/>
          <w:b/>
          <w:bCs/>
          <w:color w:val="auto"/>
          <w:kern w:val="0"/>
          <w:sz w:val="24"/>
          <w:szCs w:val="24"/>
          <w:highlight w:val="none"/>
          <w:lang w:val="en-US" w:eastAsia="zh-CN"/>
        </w:rPr>
        <w:t>11</w:t>
      </w:r>
      <w:r>
        <w:rPr>
          <w:rStyle w:val="48"/>
          <w:rFonts w:hint="eastAsia" w:ascii="宋体" w:hAnsi="宋体" w:eastAsia="宋体" w:cs="宋体"/>
          <w:b/>
          <w:bCs/>
          <w:color w:val="auto"/>
          <w:kern w:val="0"/>
          <w:sz w:val="24"/>
          <w:szCs w:val="24"/>
          <w:highlight w:val="none"/>
        </w:rPr>
        <w:t>.3</w:t>
      </w:r>
      <w:r>
        <w:rPr>
          <w:rStyle w:val="48"/>
          <w:rFonts w:hint="eastAsia" w:ascii="宋体" w:hAnsi="宋体" w:eastAsia="宋体" w:cs="宋体"/>
          <w:color w:val="auto"/>
          <w:kern w:val="0"/>
          <w:sz w:val="24"/>
          <w:szCs w:val="24"/>
          <w:highlight w:val="none"/>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71411522">
      <w:pPr>
        <w:keepNext w:val="0"/>
        <w:keepLines w:val="0"/>
        <w:pageBreakBefore w:val="0"/>
        <w:widowControl w:val="0"/>
        <w:wordWrap/>
        <w:overflowPunct/>
        <w:topLinePunct w:val="0"/>
        <w:bidi w:val="0"/>
        <w:snapToGrid w:val="0"/>
        <w:spacing w:line="450" w:lineRule="exact"/>
        <w:ind w:firstLine="560"/>
        <w:textAlignment w:val="baseline"/>
        <w:rPr>
          <w:rStyle w:val="48"/>
          <w:rFonts w:hint="eastAsia" w:ascii="宋体" w:hAnsi="宋体" w:eastAsia="宋体" w:cs="宋体"/>
          <w:color w:val="auto"/>
          <w:kern w:val="0"/>
          <w:sz w:val="24"/>
          <w:szCs w:val="24"/>
          <w:highlight w:val="none"/>
        </w:rPr>
      </w:pPr>
      <w:r>
        <w:rPr>
          <w:rStyle w:val="48"/>
          <w:rFonts w:hint="eastAsia" w:ascii="宋体" w:hAnsi="宋体" w:eastAsia="宋体" w:cs="宋体"/>
          <w:color w:val="auto"/>
          <w:kern w:val="0"/>
          <w:sz w:val="24"/>
          <w:szCs w:val="24"/>
          <w:highlight w:val="none"/>
        </w:rPr>
        <w:t>由他人原因造成的缺陷，发包人负责组织维修，承包人不承担费用，且发包人不得从质量保证中扣除费用。</w:t>
      </w:r>
    </w:p>
    <w:p w14:paraId="4D1ACDC1">
      <w:pPr>
        <w:keepNext w:val="0"/>
        <w:keepLines w:val="0"/>
        <w:pageBreakBefore w:val="0"/>
        <w:widowControl w:val="0"/>
        <w:wordWrap/>
        <w:overflowPunct/>
        <w:topLinePunct w:val="0"/>
        <w:bidi w:val="0"/>
        <w:snapToGrid w:val="0"/>
        <w:spacing w:line="450" w:lineRule="exact"/>
        <w:ind w:firstLine="560"/>
        <w:textAlignment w:val="baseline"/>
        <w:rPr>
          <w:rStyle w:val="48"/>
          <w:rFonts w:hint="eastAsia" w:ascii="宋体" w:hAnsi="宋体" w:eastAsia="宋体" w:cs="宋体"/>
          <w:b/>
          <w:bCs/>
          <w:color w:val="auto"/>
          <w:kern w:val="0"/>
          <w:sz w:val="24"/>
          <w:szCs w:val="24"/>
          <w:highlight w:val="none"/>
        </w:rPr>
      </w:pPr>
      <w:r>
        <w:rPr>
          <w:rStyle w:val="48"/>
          <w:rFonts w:hint="eastAsia" w:ascii="宋体" w:hAnsi="宋体" w:eastAsia="宋体" w:cs="宋体"/>
          <w:b/>
          <w:bCs/>
          <w:color w:val="auto"/>
          <w:kern w:val="0"/>
          <w:sz w:val="24"/>
          <w:szCs w:val="24"/>
          <w:highlight w:val="none"/>
          <w:lang w:val="en-US" w:eastAsia="zh-CN"/>
        </w:rPr>
        <w:t>11</w:t>
      </w:r>
      <w:r>
        <w:rPr>
          <w:rStyle w:val="48"/>
          <w:rFonts w:hint="eastAsia" w:ascii="宋体" w:hAnsi="宋体" w:eastAsia="宋体" w:cs="宋体"/>
          <w:b/>
          <w:bCs/>
          <w:color w:val="auto"/>
          <w:kern w:val="0"/>
          <w:sz w:val="24"/>
          <w:szCs w:val="24"/>
          <w:highlight w:val="none"/>
        </w:rPr>
        <w:t>.4</w:t>
      </w:r>
      <w:r>
        <w:rPr>
          <w:rStyle w:val="48"/>
          <w:rFonts w:hint="eastAsia" w:ascii="宋体" w:hAnsi="宋体" w:eastAsia="宋体" w:cs="宋体"/>
          <w:color w:val="auto"/>
          <w:kern w:val="0"/>
          <w:sz w:val="24"/>
          <w:szCs w:val="24"/>
          <w:highlight w:val="none"/>
        </w:rPr>
        <w:t xml:space="preserve"> 缺陷责任期内，承包人应认真履行合同约定的责任。缺陷责任期到期后，承包人向发包人申请退还质量保证，发包人应按照《建设工程质量保证金管理办法》有关规定将质量保证退还给承包人。</w:t>
      </w:r>
    </w:p>
    <w:p w14:paraId="12844079">
      <w:pPr>
        <w:keepNext w:val="0"/>
        <w:keepLines w:val="0"/>
        <w:pageBreakBefore w:val="0"/>
        <w:widowControl w:val="0"/>
        <w:wordWrap/>
        <w:overflowPunct/>
        <w:topLinePunct w:val="0"/>
        <w:bidi w:val="0"/>
        <w:snapToGrid w:val="0"/>
        <w:spacing w:before="151" w:line="450" w:lineRule="exact"/>
        <w:ind w:left="476"/>
        <w:textAlignment w:val="baseline"/>
        <w:outlineLvl w:val="2"/>
        <w:rPr>
          <w:rFonts w:hint="eastAsia" w:ascii="宋体" w:hAnsi="宋体" w:eastAsia="宋体" w:cs="宋体"/>
          <w:b/>
          <w:bCs/>
          <w:color w:val="auto"/>
          <w:spacing w:val="-11"/>
          <w:sz w:val="24"/>
          <w:szCs w:val="24"/>
          <w:highlight w:val="none"/>
          <w:lang w:val="en-US" w:eastAsia="zh-CN"/>
        </w:rPr>
      </w:pPr>
      <w:bookmarkStart w:id="209" w:name="_Toc19723"/>
      <w:r>
        <w:rPr>
          <w:rFonts w:hint="eastAsia" w:ascii="宋体" w:hAnsi="宋体" w:eastAsia="宋体" w:cs="宋体"/>
          <w:b/>
          <w:bCs/>
          <w:color w:val="auto"/>
          <w:spacing w:val="-11"/>
          <w:sz w:val="24"/>
          <w:szCs w:val="24"/>
          <w:highlight w:val="none"/>
          <w:lang w:val="en-US" w:eastAsia="zh-CN"/>
        </w:rPr>
        <w:t>12.不良行为处理</w:t>
      </w:r>
      <w:bookmarkEnd w:id="209"/>
    </w:p>
    <w:p w14:paraId="6FF668D8">
      <w:pPr>
        <w:pStyle w:val="52"/>
        <w:keepNext w:val="0"/>
        <w:keepLines w:val="0"/>
        <w:pageBreakBefore w:val="0"/>
        <w:widowControl w:val="0"/>
        <w:wordWrap/>
        <w:overflowPunct/>
        <w:topLinePunct w:val="0"/>
        <w:bidi w:val="0"/>
        <w:snapToGrid w:val="0"/>
        <w:spacing w:line="450" w:lineRule="exact"/>
        <w:ind w:firstLine="480" w:firstLineChars="200"/>
        <w:jc w:val="left"/>
        <w:textAlignment w:val="baseline"/>
        <w:rPr>
          <w:rStyle w:val="48"/>
          <w:rFonts w:hint="eastAsia" w:ascii="宋体" w:hAnsi="宋体" w:eastAsia="宋体" w:cs="宋体"/>
          <w:color w:val="auto"/>
          <w:kern w:val="0"/>
          <w:sz w:val="24"/>
          <w:szCs w:val="24"/>
          <w:highlight w:val="none"/>
        </w:rPr>
      </w:pPr>
      <w:r>
        <w:rPr>
          <w:rStyle w:val="48"/>
          <w:rFonts w:hint="eastAsia" w:ascii="宋体" w:hAnsi="宋体" w:eastAsia="宋体" w:cs="宋体"/>
          <w:color w:val="auto"/>
          <w:kern w:val="0"/>
          <w:sz w:val="24"/>
          <w:szCs w:val="24"/>
          <w:highlight w:val="none"/>
        </w:rPr>
        <w:t>承包人及其有关人员有下列行为之一的，发包人应及时向建设行政主管部门报告。除按照有关法律、法规进行处罚外，不良行为将计入企业及有关个人诚信档案，并在韶关市住房和城乡建设管理局网站（http://zgj.sg.gov.cn）公示。</w:t>
      </w:r>
    </w:p>
    <w:p w14:paraId="5C2EE838">
      <w:pPr>
        <w:pStyle w:val="52"/>
        <w:keepNext w:val="0"/>
        <w:keepLines w:val="0"/>
        <w:pageBreakBefore w:val="0"/>
        <w:widowControl w:val="0"/>
        <w:wordWrap/>
        <w:overflowPunct/>
        <w:topLinePunct w:val="0"/>
        <w:bidi w:val="0"/>
        <w:snapToGrid w:val="0"/>
        <w:spacing w:line="450" w:lineRule="exact"/>
        <w:ind w:firstLine="480" w:firstLineChars="200"/>
        <w:jc w:val="left"/>
        <w:textAlignment w:val="baseline"/>
        <w:rPr>
          <w:rStyle w:val="48"/>
          <w:rFonts w:hint="eastAsia" w:ascii="宋体" w:hAnsi="宋体" w:eastAsia="宋体" w:cs="宋体"/>
          <w:color w:val="auto"/>
          <w:kern w:val="0"/>
          <w:sz w:val="24"/>
          <w:szCs w:val="24"/>
          <w:highlight w:val="none"/>
        </w:rPr>
      </w:pPr>
      <w:bookmarkStart w:id="210" w:name="_Toc3225"/>
      <w:r>
        <w:rPr>
          <w:rStyle w:val="48"/>
          <w:rFonts w:hint="eastAsia" w:ascii="宋体" w:hAnsi="宋体" w:eastAsia="宋体" w:cs="宋体"/>
          <w:color w:val="auto"/>
          <w:kern w:val="0"/>
          <w:sz w:val="24"/>
          <w:szCs w:val="24"/>
          <w:highlight w:val="none"/>
        </w:rPr>
        <w:t>（1）转包、违法分包或违反投标承诺分包工程的；</w:t>
      </w:r>
      <w:bookmarkEnd w:id="210"/>
    </w:p>
    <w:p w14:paraId="3A9899A8">
      <w:pPr>
        <w:pStyle w:val="52"/>
        <w:keepNext w:val="0"/>
        <w:keepLines w:val="0"/>
        <w:pageBreakBefore w:val="0"/>
        <w:widowControl w:val="0"/>
        <w:wordWrap/>
        <w:overflowPunct/>
        <w:topLinePunct w:val="0"/>
        <w:bidi w:val="0"/>
        <w:snapToGrid w:val="0"/>
        <w:spacing w:line="450" w:lineRule="exact"/>
        <w:ind w:firstLine="480" w:firstLineChars="200"/>
        <w:jc w:val="left"/>
        <w:textAlignment w:val="baseline"/>
        <w:rPr>
          <w:rStyle w:val="48"/>
          <w:rFonts w:hint="eastAsia" w:ascii="宋体" w:hAnsi="宋体" w:eastAsia="宋体" w:cs="宋体"/>
          <w:color w:val="auto"/>
          <w:kern w:val="0"/>
          <w:sz w:val="24"/>
          <w:szCs w:val="24"/>
          <w:highlight w:val="none"/>
        </w:rPr>
      </w:pPr>
      <w:r>
        <w:rPr>
          <w:rStyle w:val="48"/>
          <w:rFonts w:hint="eastAsia" w:ascii="宋体" w:hAnsi="宋体" w:eastAsia="宋体" w:cs="宋体"/>
          <w:color w:val="auto"/>
          <w:kern w:val="0"/>
          <w:sz w:val="24"/>
          <w:szCs w:val="24"/>
          <w:highlight w:val="none"/>
        </w:rPr>
        <w:t>（2）非原参加投标中标的项目经理负责组织施工或在实施过程中擅自更换项目经理的、项目的其他主要管理人员与中标文件确定的人员不相符的；</w:t>
      </w:r>
    </w:p>
    <w:p w14:paraId="34F181E8">
      <w:pPr>
        <w:pStyle w:val="52"/>
        <w:keepNext w:val="0"/>
        <w:keepLines w:val="0"/>
        <w:pageBreakBefore w:val="0"/>
        <w:widowControl w:val="0"/>
        <w:wordWrap/>
        <w:overflowPunct/>
        <w:topLinePunct w:val="0"/>
        <w:bidi w:val="0"/>
        <w:snapToGrid w:val="0"/>
        <w:spacing w:line="450" w:lineRule="exact"/>
        <w:ind w:firstLine="480" w:firstLineChars="200"/>
        <w:jc w:val="left"/>
        <w:textAlignment w:val="baseline"/>
        <w:rPr>
          <w:rStyle w:val="48"/>
          <w:rFonts w:hint="eastAsia" w:ascii="宋体" w:hAnsi="宋体" w:eastAsia="宋体" w:cs="宋体"/>
          <w:color w:val="auto"/>
          <w:kern w:val="0"/>
          <w:sz w:val="24"/>
          <w:szCs w:val="24"/>
          <w:highlight w:val="none"/>
        </w:rPr>
      </w:pPr>
      <w:r>
        <w:rPr>
          <w:rStyle w:val="48"/>
          <w:rFonts w:hint="eastAsia" w:ascii="宋体" w:hAnsi="宋体" w:eastAsia="宋体" w:cs="宋体"/>
          <w:color w:val="auto"/>
          <w:kern w:val="0"/>
          <w:sz w:val="24"/>
          <w:szCs w:val="24"/>
          <w:highlight w:val="none"/>
        </w:rPr>
        <w:t>（3）投标文件确定的大型机械设备没有进入施工现场的；</w:t>
      </w:r>
    </w:p>
    <w:p w14:paraId="090FDFC9">
      <w:pPr>
        <w:pStyle w:val="52"/>
        <w:keepNext w:val="0"/>
        <w:keepLines w:val="0"/>
        <w:pageBreakBefore w:val="0"/>
        <w:widowControl w:val="0"/>
        <w:wordWrap/>
        <w:overflowPunct/>
        <w:topLinePunct w:val="0"/>
        <w:bidi w:val="0"/>
        <w:snapToGrid w:val="0"/>
        <w:spacing w:line="450" w:lineRule="exact"/>
        <w:ind w:firstLine="480" w:firstLineChars="200"/>
        <w:jc w:val="left"/>
        <w:textAlignment w:val="baseline"/>
        <w:rPr>
          <w:rStyle w:val="48"/>
          <w:rFonts w:hint="eastAsia" w:ascii="宋体" w:hAnsi="宋体" w:eastAsia="宋体" w:cs="宋体"/>
          <w:color w:val="auto"/>
          <w:kern w:val="0"/>
          <w:sz w:val="24"/>
          <w:szCs w:val="24"/>
          <w:highlight w:val="none"/>
        </w:rPr>
      </w:pPr>
      <w:r>
        <w:rPr>
          <w:rStyle w:val="48"/>
          <w:rFonts w:hint="eastAsia" w:ascii="宋体" w:hAnsi="宋体" w:eastAsia="宋体" w:cs="宋体"/>
          <w:color w:val="auto"/>
          <w:kern w:val="0"/>
          <w:sz w:val="24"/>
          <w:szCs w:val="24"/>
          <w:highlight w:val="none"/>
        </w:rPr>
        <w:t>（4）与建设单位、监理单位串通，签认虚假工程量或工程造价的；</w:t>
      </w:r>
    </w:p>
    <w:p w14:paraId="02028674">
      <w:pPr>
        <w:pStyle w:val="52"/>
        <w:keepNext w:val="0"/>
        <w:keepLines w:val="0"/>
        <w:pageBreakBefore w:val="0"/>
        <w:widowControl w:val="0"/>
        <w:wordWrap/>
        <w:overflowPunct/>
        <w:topLinePunct w:val="0"/>
        <w:bidi w:val="0"/>
        <w:snapToGrid w:val="0"/>
        <w:spacing w:line="450" w:lineRule="exact"/>
        <w:ind w:firstLine="480" w:firstLineChars="200"/>
        <w:jc w:val="left"/>
        <w:textAlignment w:val="baseline"/>
        <w:rPr>
          <w:rStyle w:val="48"/>
          <w:rFonts w:hint="eastAsia" w:ascii="宋体" w:hAnsi="宋体" w:eastAsia="宋体" w:cs="宋体"/>
          <w:color w:val="auto"/>
          <w:kern w:val="0"/>
          <w:sz w:val="24"/>
          <w:szCs w:val="24"/>
          <w:highlight w:val="none"/>
        </w:rPr>
      </w:pPr>
      <w:r>
        <w:rPr>
          <w:rStyle w:val="48"/>
          <w:rFonts w:hint="eastAsia" w:ascii="宋体" w:hAnsi="宋体" w:eastAsia="宋体" w:cs="宋体"/>
          <w:color w:val="auto"/>
          <w:kern w:val="0"/>
          <w:sz w:val="24"/>
          <w:szCs w:val="24"/>
          <w:highlight w:val="none"/>
        </w:rPr>
        <w:t>（5）项目经理施工现场管理不到位的；</w:t>
      </w:r>
    </w:p>
    <w:p w14:paraId="1DCB028F">
      <w:pPr>
        <w:pStyle w:val="52"/>
        <w:keepNext w:val="0"/>
        <w:keepLines w:val="0"/>
        <w:pageBreakBefore w:val="0"/>
        <w:widowControl w:val="0"/>
        <w:wordWrap/>
        <w:overflowPunct/>
        <w:topLinePunct w:val="0"/>
        <w:bidi w:val="0"/>
        <w:snapToGrid w:val="0"/>
        <w:spacing w:line="450" w:lineRule="exact"/>
        <w:ind w:firstLine="480" w:firstLineChars="200"/>
        <w:jc w:val="left"/>
        <w:textAlignment w:val="baseline"/>
        <w:rPr>
          <w:rStyle w:val="48"/>
          <w:rFonts w:hint="eastAsia" w:ascii="宋体" w:hAnsi="宋体" w:eastAsia="宋体" w:cs="宋体"/>
          <w:color w:val="auto"/>
          <w:kern w:val="0"/>
          <w:sz w:val="24"/>
          <w:szCs w:val="24"/>
          <w:highlight w:val="none"/>
        </w:rPr>
      </w:pPr>
      <w:r>
        <w:rPr>
          <w:rStyle w:val="48"/>
          <w:rFonts w:hint="eastAsia" w:ascii="宋体" w:hAnsi="宋体" w:eastAsia="宋体" w:cs="宋体"/>
          <w:color w:val="auto"/>
          <w:kern w:val="0"/>
          <w:sz w:val="24"/>
          <w:szCs w:val="24"/>
          <w:highlight w:val="none"/>
        </w:rPr>
        <w:t>（6）项目经理在非本人资格证书注册单位从事工程项目施工管理的；</w:t>
      </w:r>
    </w:p>
    <w:p w14:paraId="69DCD248">
      <w:pPr>
        <w:pStyle w:val="52"/>
        <w:keepNext w:val="0"/>
        <w:keepLines w:val="0"/>
        <w:pageBreakBefore w:val="0"/>
        <w:widowControl w:val="0"/>
        <w:wordWrap/>
        <w:overflowPunct/>
        <w:topLinePunct w:val="0"/>
        <w:bidi w:val="0"/>
        <w:snapToGrid w:val="0"/>
        <w:spacing w:line="450" w:lineRule="exact"/>
        <w:ind w:firstLine="480" w:firstLineChars="200"/>
        <w:jc w:val="left"/>
        <w:textAlignment w:val="baseline"/>
        <w:rPr>
          <w:rStyle w:val="48"/>
          <w:rFonts w:hint="eastAsia" w:ascii="宋体" w:hAnsi="宋体" w:eastAsia="宋体" w:cs="宋体"/>
          <w:color w:val="auto"/>
          <w:kern w:val="0"/>
          <w:sz w:val="24"/>
          <w:szCs w:val="24"/>
          <w:highlight w:val="none"/>
        </w:rPr>
      </w:pPr>
      <w:r>
        <w:rPr>
          <w:rStyle w:val="48"/>
          <w:rFonts w:hint="eastAsia" w:ascii="宋体" w:hAnsi="宋体" w:eastAsia="宋体" w:cs="宋体"/>
          <w:color w:val="auto"/>
          <w:kern w:val="0"/>
          <w:sz w:val="24"/>
          <w:szCs w:val="24"/>
          <w:highlight w:val="none"/>
        </w:rPr>
        <w:t>（7）项目经理同时承担超过一项工程项目的；</w:t>
      </w:r>
    </w:p>
    <w:p w14:paraId="011B05DF">
      <w:pPr>
        <w:pStyle w:val="52"/>
        <w:keepNext w:val="0"/>
        <w:keepLines w:val="0"/>
        <w:pageBreakBefore w:val="0"/>
        <w:widowControl w:val="0"/>
        <w:wordWrap/>
        <w:overflowPunct/>
        <w:topLinePunct w:val="0"/>
        <w:bidi w:val="0"/>
        <w:snapToGrid w:val="0"/>
        <w:spacing w:line="450" w:lineRule="exact"/>
        <w:ind w:firstLine="480" w:firstLineChars="200"/>
        <w:jc w:val="left"/>
        <w:textAlignment w:val="baseline"/>
        <w:rPr>
          <w:rStyle w:val="48"/>
          <w:rFonts w:hint="eastAsia" w:ascii="宋体" w:hAnsi="宋体" w:eastAsia="宋体" w:cs="宋体"/>
          <w:b/>
          <w:bCs/>
          <w:color w:val="auto"/>
          <w:kern w:val="0"/>
          <w:sz w:val="24"/>
          <w:szCs w:val="24"/>
          <w:highlight w:val="none"/>
        </w:rPr>
      </w:pPr>
      <w:r>
        <w:rPr>
          <w:rStyle w:val="48"/>
          <w:rFonts w:hint="eastAsia" w:ascii="宋体" w:hAnsi="宋体" w:eastAsia="宋体" w:cs="宋体"/>
          <w:color w:val="auto"/>
          <w:kern w:val="0"/>
          <w:sz w:val="24"/>
          <w:szCs w:val="24"/>
          <w:highlight w:val="none"/>
        </w:rPr>
        <w:t>（8）违反有关法律、法规、规章规定的其它行为。</w:t>
      </w:r>
    </w:p>
    <w:p w14:paraId="4F2D9C3F">
      <w:pPr>
        <w:keepNext w:val="0"/>
        <w:keepLines w:val="0"/>
        <w:pageBreakBefore w:val="0"/>
        <w:widowControl w:val="0"/>
        <w:wordWrap/>
        <w:overflowPunct/>
        <w:topLinePunct w:val="0"/>
        <w:bidi w:val="0"/>
        <w:snapToGrid w:val="0"/>
        <w:spacing w:before="151" w:line="450" w:lineRule="exact"/>
        <w:ind w:left="476"/>
        <w:textAlignment w:val="baseline"/>
        <w:outlineLvl w:val="2"/>
        <w:rPr>
          <w:rFonts w:hint="eastAsia" w:ascii="宋体" w:hAnsi="宋体" w:eastAsia="宋体" w:cs="宋体"/>
          <w:b/>
          <w:bCs/>
          <w:color w:val="auto"/>
          <w:spacing w:val="-11"/>
          <w:sz w:val="24"/>
          <w:szCs w:val="24"/>
          <w:highlight w:val="none"/>
          <w:lang w:val="en-US" w:eastAsia="zh-CN"/>
        </w:rPr>
      </w:pPr>
      <w:bookmarkStart w:id="211" w:name="_Toc26587"/>
      <w:r>
        <w:rPr>
          <w:rFonts w:hint="eastAsia" w:ascii="宋体" w:hAnsi="宋体" w:eastAsia="宋体" w:cs="宋体"/>
          <w:b/>
          <w:bCs/>
          <w:color w:val="auto"/>
          <w:spacing w:val="-11"/>
          <w:sz w:val="24"/>
          <w:szCs w:val="24"/>
          <w:highlight w:val="none"/>
          <w:lang w:val="en-US" w:eastAsia="zh-CN"/>
        </w:rPr>
        <w:t>13.信用评价条款内容</w:t>
      </w:r>
      <w:bookmarkEnd w:id="211"/>
    </w:p>
    <w:p w14:paraId="06A1423D">
      <w:pPr>
        <w:pStyle w:val="54"/>
        <w:keepNext w:val="0"/>
        <w:keepLines w:val="0"/>
        <w:pageBreakBefore w:val="0"/>
        <w:widowControl w:val="0"/>
        <w:wordWrap/>
        <w:overflowPunct/>
        <w:topLinePunct w:val="0"/>
        <w:bidi w:val="0"/>
        <w:snapToGrid w:val="0"/>
        <w:spacing w:line="450" w:lineRule="exact"/>
        <w:ind w:firstLine="560"/>
        <w:textAlignment w:val="baseline"/>
        <w:rPr>
          <w:rStyle w:val="48"/>
          <w:rFonts w:hint="eastAsia" w:ascii="宋体" w:hAnsi="宋体" w:eastAsia="宋体" w:cs="宋体"/>
          <w:b/>
          <w:bCs/>
          <w:color w:val="auto"/>
          <w:sz w:val="24"/>
          <w:szCs w:val="24"/>
          <w:highlight w:val="none"/>
        </w:rPr>
      </w:pPr>
      <w:r>
        <w:rPr>
          <w:rStyle w:val="48"/>
          <w:rFonts w:hint="eastAsia" w:ascii="宋体" w:hAnsi="宋体" w:eastAsia="宋体" w:cs="宋体"/>
          <w:color w:val="auto"/>
          <w:kern w:val="0"/>
          <w:sz w:val="24"/>
          <w:szCs w:val="24"/>
          <w:highlight w:val="none"/>
        </w:rPr>
        <w:t>由招标人决定是否对施工单位的履约情况进行信用评价。若进行信用评价，评价条款由招标人自拟，条款内容可参考人员到位情况、服务配合程度、服务成果质量、项目后期服务及信用评价结果的运用等。</w:t>
      </w:r>
    </w:p>
    <w:p w14:paraId="0D679913">
      <w:pPr>
        <w:keepNext w:val="0"/>
        <w:keepLines w:val="0"/>
        <w:pageBreakBefore w:val="0"/>
        <w:overflowPunct/>
        <w:bidi w:val="0"/>
        <w:snapToGrid w:val="0"/>
        <w:spacing w:before="151" w:line="450" w:lineRule="exact"/>
        <w:ind w:left="476"/>
        <w:outlineLvl w:val="2"/>
        <w:rPr>
          <w:rFonts w:hint="eastAsia" w:ascii="宋体" w:hAnsi="宋体" w:eastAsia="宋体" w:cs="宋体"/>
          <w:b/>
          <w:bCs/>
          <w:color w:val="auto"/>
          <w:spacing w:val="-11"/>
          <w:sz w:val="24"/>
          <w:szCs w:val="24"/>
          <w:highlight w:val="none"/>
          <w:lang w:val="en-US" w:eastAsia="zh-CN"/>
        </w:rPr>
      </w:pPr>
      <w:bookmarkStart w:id="212" w:name="_Toc1735"/>
      <w:r>
        <w:rPr>
          <w:rFonts w:hint="eastAsia" w:ascii="宋体" w:hAnsi="宋体" w:eastAsia="宋体" w:cs="宋体"/>
          <w:b/>
          <w:bCs/>
          <w:color w:val="auto"/>
          <w:spacing w:val="-11"/>
          <w:sz w:val="24"/>
          <w:szCs w:val="24"/>
          <w:highlight w:val="none"/>
          <w:lang w:val="en-US" w:eastAsia="zh-CN"/>
        </w:rPr>
        <w:t>14.其他事项</w:t>
      </w:r>
      <w:bookmarkEnd w:id="212"/>
    </w:p>
    <w:p w14:paraId="16196FDB">
      <w:pPr>
        <w:keepNext w:val="0"/>
        <w:keepLines w:val="0"/>
        <w:pageBreakBefore w:val="0"/>
        <w:overflowPunct/>
        <w:bidi w:val="0"/>
        <w:snapToGrid w:val="0"/>
        <w:spacing w:line="450" w:lineRule="exact"/>
        <w:ind w:firstLine="560"/>
        <w:rPr>
          <w:rStyle w:val="48"/>
          <w:rFonts w:hint="eastAsia" w:ascii="宋体" w:hAnsi="宋体" w:eastAsia="宋体" w:cs="宋体"/>
          <w:b w:val="0"/>
          <w:bCs w:val="0"/>
          <w:color w:val="auto"/>
          <w:kern w:val="0"/>
          <w:sz w:val="24"/>
          <w:szCs w:val="24"/>
          <w:highlight w:val="none"/>
          <w:lang w:val="en-US" w:eastAsia="zh-CN"/>
        </w:rPr>
      </w:pPr>
      <w:bookmarkStart w:id="213" w:name="_Toc6606"/>
      <w:r>
        <w:rPr>
          <w:rStyle w:val="48"/>
          <w:rFonts w:hint="eastAsia" w:ascii="宋体" w:hAnsi="宋体" w:eastAsia="宋体" w:cs="宋体"/>
          <w:b/>
          <w:bCs/>
          <w:color w:val="auto"/>
          <w:kern w:val="0"/>
          <w:sz w:val="24"/>
          <w:szCs w:val="24"/>
          <w:highlight w:val="none"/>
          <w:lang w:val="en-US" w:eastAsia="zh-CN"/>
        </w:rPr>
        <w:t>14.1</w:t>
      </w:r>
      <w:r>
        <w:rPr>
          <w:rStyle w:val="48"/>
          <w:rFonts w:hint="eastAsia" w:ascii="宋体" w:hAnsi="宋体" w:eastAsia="宋体" w:cs="宋体"/>
          <w:b w:val="0"/>
          <w:bCs w:val="0"/>
          <w:color w:val="auto"/>
          <w:kern w:val="0"/>
          <w:sz w:val="24"/>
          <w:szCs w:val="24"/>
          <w:highlight w:val="none"/>
          <w:lang w:val="en-US" w:eastAsia="zh-CN"/>
        </w:rPr>
        <w:t>危险性较大的分部分项工程安全管理约定</w:t>
      </w:r>
      <w:bookmarkEnd w:id="213"/>
    </w:p>
    <w:p w14:paraId="1BF63973">
      <w:pPr>
        <w:pStyle w:val="36"/>
        <w:keepNext w:val="0"/>
        <w:keepLines w:val="0"/>
        <w:pageBreakBefore w:val="0"/>
        <w:overflowPunct/>
        <w:bidi w:val="0"/>
        <w:snapToGrid w:val="0"/>
        <w:spacing w:line="450" w:lineRule="exact"/>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中标人应对建设单位组织的勘察、设计等单位在施工招标文件中列出的危大工程清单进行投标文件回应。对危险性较大的工程必须按《危险性较大的分部分项工程安全管理规定》（中华人民共和国住房和城乡建设部令第37号）的规定编制专项施工方案。同时，中标人必须按照《危险性较大的分部分项工程安全管理规定》的规定和经审批的专项施工方案履行安全职责，严格执行国家、地方政府有关施工安全管理方面的法律、法规及规章制度，同时严格执行招标人制订的本项目安全生产管理方面的规章制度、安全检查程序及施工安全管理要求，以及监理人有关安全工作的指令。</w:t>
      </w:r>
    </w:p>
    <w:p w14:paraId="1E7D5C6B">
      <w:pPr>
        <w:pStyle w:val="36"/>
        <w:keepNext w:val="0"/>
        <w:keepLines w:val="0"/>
        <w:pageBreakBefore w:val="0"/>
        <w:overflowPunct/>
        <w:bidi w:val="0"/>
        <w:snapToGrid w:val="0"/>
        <w:spacing w:line="450" w:lineRule="exact"/>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中标人应根据《危险性较大的分部分项工程安全管理规定》（住房城乡建设部令第37号）、《住房城乡建设部办公厅关于实施&lt;危险性较大的分部分项工程安全管理规定&gt;有关问题的通知》（建办质〔2018〕31号）、《广东省住房和城乡建设厅关于房屋市政工程危险性较大的分部分项工程安全管理的实施细则的通知》(粤建规范〔2019〕2号)和《广东省安全生产委员会办公室广东省住房和城乡建设厅关于&lt;严格落实危险性较大的分部分项工程“六不施工”要求的通知&gt;》（粤安办〔2020〕151号）等有关危险性较大的分部分项工程的法规规定通知，履行建设工程安全生产管理职责。</w:t>
      </w:r>
    </w:p>
    <w:p w14:paraId="5283CBA9">
      <w:pPr>
        <w:pStyle w:val="36"/>
        <w:keepNext w:val="0"/>
        <w:keepLines w:val="0"/>
        <w:pageBreakBefore w:val="0"/>
        <w:widowControl w:val="0"/>
        <w:kinsoku/>
        <w:wordWrap w:val="0"/>
        <w:overflowPunct/>
        <w:topLinePunct w:val="0"/>
        <w:autoSpaceDE/>
        <w:autoSpaceDN/>
        <w:bidi w:val="0"/>
        <w:adjustRightInd w:val="0"/>
        <w:snapToGrid w:val="0"/>
        <w:spacing w:line="450" w:lineRule="exact"/>
        <w:ind w:firstLine="56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w:t>
      </w:r>
      <w:r>
        <w:rPr>
          <w:rFonts w:hint="eastAsia" w:ascii="宋体" w:hAnsi="宋体" w:eastAsia="宋体" w:cs="宋体"/>
          <w:b/>
          <w:bCs/>
          <w:color w:val="auto"/>
          <w:sz w:val="24"/>
          <w:szCs w:val="24"/>
          <w:highlight w:val="none"/>
          <w:shd w:val="clear" w:color="auto" w:fill="FFFFFF"/>
          <w:lang w:val="en-US" w:eastAsia="zh-CN"/>
        </w:rPr>
        <w:t>2</w:t>
      </w:r>
      <w:r>
        <w:rPr>
          <w:rFonts w:hint="eastAsia" w:ascii="宋体" w:hAnsi="宋体" w:eastAsia="宋体" w:cs="宋体"/>
          <w:color w:val="auto"/>
          <w:sz w:val="24"/>
          <w:szCs w:val="24"/>
          <w:highlight w:val="none"/>
          <w:shd w:val="clear" w:color="auto" w:fill="FFFFFF"/>
          <w:lang w:val="en-US" w:eastAsia="zh-CN"/>
        </w:rPr>
        <w:t xml:space="preserve"> </w:t>
      </w:r>
      <w:r>
        <w:rPr>
          <w:rFonts w:hint="eastAsia" w:ascii="宋体" w:hAnsi="宋体" w:eastAsia="宋体" w:cs="宋体"/>
          <w:color w:val="auto"/>
          <w:sz w:val="24"/>
          <w:szCs w:val="24"/>
          <w:highlight w:val="none"/>
          <w:shd w:val="clear" w:color="auto" w:fill="FFFFFF"/>
        </w:rPr>
        <w:t>中标人在工程实施过程中，按照国家、省、市的相关规定制定相关的专项安全施工方案（如高支模、基坑支护、沉井等），编制专项施工方案报监理人、招标人审批后方可开展专项工程的施工。</w:t>
      </w:r>
    </w:p>
    <w:p w14:paraId="529162A8">
      <w:pPr>
        <w:pStyle w:val="36"/>
        <w:keepNext w:val="0"/>
        <w:keepLines w:val="0"/>
        <w:pageBreakBefore w:val="0"/>
        <w:overflowPunct/>
        <w:bidi w:val="0"/>
        <w:snapToGrid w:val="0"/>
        <w:spacing w:line="450" w:lineRule="exact"/>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w:t>
      </w:r>
      <w:r>
        <w:rPr>
          <w:rFonts w:hint="eastAsia" w:ascii="宋体" w:hAnsi="宋体" w:eastAsia="宋体" w:cs="宋体"/>
          <w:b/>
          <w:bCs/>
          <w:color w:val="auto"/>
          <w:sz w:val="24"/>
          <w:szCs w:val="24"/>
          <w:highlight w:val="none"/>
          <w:shd w:val="clear" w:color="auto" w:fill="FFFFFF"/>
          <w:lang w:val="en-US" w:eastAsia="zh-CN"/>
        </w:rPr>
        <w:t xml:space="preserve">3 </w:t>
      </w:r>
      <w:r>
        <w:rPr>
          <w:rFonts w:hint="eastAsia" w:ascii="宋体" w:hAnsi="宋体" w:eastAsia="宋体" w:cs="宋体"/>
          <w:color w:val="auto"/>
          <w:sz w:val="24"/>
          <w:szCs w:val="24"/>
          <w:highlight w:val="none"/>
          <w:shd w:val="clear" w:color="auto" w:fill="FFFFFF"/>
        </w:rPr>
        <w:t>中标人须按照《韶关市建筑垃圾管理条例》（2021年5月1日起施行），将弃土运至招标人指定的场所，否则招标人有权要求中标人无条件将弃土从违约弃土点运至招标人指定的场所并扣除违约金</w:t>
      </w:r>
      <w:r>
        <w:rPr>
          <w:rFonts w:hint="eastAsia" w:ascii="宋体" w:hAnsi="宋体" w:eastAsia="宋体" w:cs="宋体"/>
          <w:color w:val="auto"/>
          <w:sz w:val="24"/>
          <w:szCs w:val="24"/>
          <w:highlight w:val="none"/>
          <w:u w:val="single"/>
          <w:shd w:val="clear" w:color="auto" w:fill="FFFFFF"/>
        </w:rPr>
        <w:t xml:space="preserve"> 5000 元人民币/次</w:t>
      </w:r>
      <w:r>
        <w:rPr>
          <w:rFonts w:hint="eastAsia" w:ascii="宋体" w:hAnsi="宋体" w:eastAsia="宋体" w:cs="宋体"/>
          <w:color w:val="auto"/>
          <w:sz w:val="24"/>
          <w:szCs w:val="24"/>
          <w:highlight w:val="none"/>
          <w:shd w:val="clear" w:color="auto" w:fill="FFFFFF"/>
        </w:rPr>
        <w:t>。中标人对建筑垃圾须按《韶关市建筑垃圾管理条例》（2021年5月1日起施行）的相关规定进行排放和运输，投标人在投标报价时综合考虑在报价内。中标人应在施工现场建立洗车槽和临时排水系统等确保外运车辆（土方运输车辆应符合相关规定）不带泥上路，投标人在投标报价时综合考虑在报价内，招标人不另行支付该部分费用）。建设单位、施工单位应当在施工工地出入口显著位置公示建筑垃圾处理方案主要信息，包括建设工程垃圾种类、产生量、外运处置去向等信息及各相关单位名称、联系人及联系电话等。</w:t>
      </w:r>
    </w:p>
    <w:p w14:paraId="3CE73EAA">
      <w:pPr>
        <w:pStyle w:val="36"/>
        <w:keepNext w:val="0"/>
        <w:keepLines w:val="0"/>
        <w:pageBreakBefore w:val="0"/>
        <w:overflowPunct/>
        <w:bidi w:val="0"/>
        <w:snapToGrid w:val="0"/>
        <w:spacing w:line="450" w:lineRule="exact"/>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 xml:space="preserve">.4 </w:t>
      </w:r>
      <w:r>
        <w:rPr>
          <w:rFonts w:hint="eastAsia" w:ascii="宋体" w:hAnsi="宋体" w:eastAsia="宋体" w:cs="宋体"/>
          <w:color w:val="auto"/>
          <w:sz w:val="24"/>
          <w:szCs w:val="24"/>
          <w:highlight w:val="none"/>
          <w:shd w:val="clear" w:color="auto" w:fill="FFFFFF"/>
        </w:rPr>
        <w:t>工程竣工验收后15日内，中标人应按城建档案馆的要求（质量、数量），将编制成册的施工档案资料（含声像档案和电子档案）提供给招标人、城建档案馆、住建管理局、管养单位及监理单位，并承担档案涉及的所有费用（制作标准和相关要求按城建档案馆的有关规定执行）。中标人提交符合城建档案馆要求的竣工资料经招标人确认签收后，即可办理工程结算手续。</w:t>
      </w:r>
    </w:p>
    <w:p w14:paraId="0BD08F60">
      <w:pPr>
        <w:pStyle w:val="36"/>
        <w:keepNext w:val="0"/>
        <w:keepLines w:val="0"/>
        <w:pageBreakBefore w:val="0"/>
        <w:overflowPunct/>
        <w:bidi w:val="0"/>
        <w:snapToGrid w:val="0"/>
        <w:spacing w:line="450" w:lineRule="exact"/>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.5</w:t>
      </w:r>
      <w:r>
        <w:rPr>
          <w:rFonts w:hint="eastAsia" w:ascii="宋体" w:hAnsi="宋体" w:eastAsia="宋体" w:cs="宋体"/>
          <w:color w:val="auto"/>
          <w:sz w:val="24"/>
          <w:szCs w:val="24"/>
          <w:highlight w:val="none"/>
          <w:shd w:val="clear" w:color="auto" w:fill="FFFFFF"/>
        </w:rPr>
        <w:t>（一）用人单位应当在建设项目动工前，在建设项目所在地</w:t>
      </w:r>
      <w:r>
        <w:rPr>
          <w:rFonts w:hint="eastAsia" w:ascii="宋体" w:hAnsi="宋体" w:eastAsia="宋体" w:cs="宋体"/>
          <w:color w:val="auto"/>
          <w:sz w:val="24"/>
          <w:szCs w:val="24"/>
          <w:highlight w:val="none"/>
          <w:shd w:val="clear" w:color="auto" w:fill="FFFFFF"/>
          <w:lang w:val="en-US" w:eastAsia="zh-CN"/>
        </w:rPr>
        <w:t>符合招标人要求的</w:t>
      </w:r>
      <w:r>
        <w:rPr>
          <w:rFonts w:hint="eastAsia" w:ascii="宋体" w:hAnsi="宋体" w:eastAsia="宋体" w:cs="宋体"/>
          <w:color w:val="auto"/>
          <w:sz w:val="24"/>
          <w:szCs w:val="24"/>
          <w:highlight w:val="none"/>
          <w:shd w:val="clear" w:color="auto" w:fill="FFFFFF"/>
        </w:rPr>
        <w:t>银行设立工人工资支付专用账户。</w:t>
      </w:r>
    </w:p>
    <w:p w14:paraId="1AA5A44F">
      <w:pPr>
        <w:pStyle w:val="36"/>
        <w:keepNext w:val="0"/>
        <w:keepLines w:val="0"/>
        <w:pageBreakBefore w:val="0"/>
        <w:overflowPunct/>
        <w:bidi w:val="0"/>
        <w:snapToGrid w:val="0"/>
        <w:spacing w:line="450" w:lineRule="exact"/>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（二）用人单位应当在用工之日起15日内为每一位工人办理个人银行账户。</w:t>
      </w:r>
    </w:p>
    <w:p w14:paraId="1692426E">
      <w:pPr>
        <w:pStyle w:val="36"/>
        <w:keepNext w:val="0"/>
        <w:keepLines w:val="0"/>
        <w:pageBreakBefore w:val="0"/>
        <w:overflowPunct/>
        <w:bidi w:val="0"/>
        <w:snapToGrid w:val="0"/>
        <w:spacing w:line="450" w:lineRule="exact"/>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（三）用人单位应当指定专人负责建设项目施工现场台账管理，真实、准确记录工人名册、劳务合同、劳动合同、工程进度、工时台账、劳务承包款和工人工资支付等信息，并保存两年以上备查。</w:t>
      </w:r>
    </w:p>
    <w:p w14:paraId="6A4F33CF">
      <w:pPr>
        <w:pStyle w:val="36"/>
        <w:keepNext w:val="0"/>
        <w:keepLines w:val="0"/>
        <w:pageBreakBefore w:val="0"/>
        <w:overflowPunct/>
        <w:bidi w:val="0"/>
        <w:snapToGrid w:val="0"/>
        <w:spacing w:line="450" w:lineRule="exact"/>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四）用人单位应当按照“及时支付，按实结算”的原则，在规定日期前通过银行工人工资支付专用账户将工人工资直接支付到工人的个人银行账户，并按月将工人工资支付明细表报施工总承包单位和建设单位备案。</w:t>
      </w:r>
    </w:p>
    <w:p w14:paraId="44DF6DA5">
      <w:pPr>
        <w:pStyle w:val="36"/>
        <w:keepNext w:val="0"/>
        <w:keepLines w:val="0"/>
        <w:pageBreakBefore w:val="0"/>
        <w:overflowPunct/>
        <w:bidi w:val="0"/>
        <w:snapToGrid w:val="0"/>
        <w:spacing w:line="450" w:lineRule="exact"/>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用人单位未建立、保存用工管理台账，或者伪造相关台账的，按照《广东省劳动保障监察条例》第五十条的规定，由人力资源社会保障部门责令改正，并可处以二千元以上二万元以下的人民币罚款。</w:t>
      </w:r>
    </w:p>
    <w:p w14:paraId="64D74C0D">
      <w:pPr>
        <w:pStyle w:val="36"/>
        <w:keepNext w:val="0"/>
        <w:keepLines w:val="0"/>
        <w:pageBreakBefore w:val="0"/>
        <w:overflowPunct/>
        <w:bidi w:val="0"/>
        <w:snapToGrid w:val="0"/>
        <w:spacing w:line="450" w:lineRule="exact"/>
        <w:ind w:firstLine="480"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val="0"/>
          <w:bCs w:val="0"/>
          <w:snapToGrid w:val="0"/>
          <w:color w:val="auto"/>
          <w:kern w:val="0"/>
          <w:sz w:val="24"/>
          <w:szCs w:val="24"/>
          <w:highlight w:val="none"/>
        </w:rPr>
        <w:t>（五）每次申请工程进度款要提供上期工人工资发放明细表、上期工人工资发放公示等材料，并将应付工程款的30%（且不低于当月应发工人工资的金额）作为工人工资拨入到中标人设立的工人工资支付专用账户。</w:t>
      </w:r>
    </w:p>
    <w:p w14:paraId="581576EA">
      <w:pPr>
        <w:pStyle w:val="36"/>
        <w:keepNext w:val="0"/>
        <w:keepLines w:val="0"/>
        <w:pageBreakBefore w:val="0"/>
        <w:overflowPunct/>
        <w:bidi w:val="0"/>
        <w:snapToGrid w:val="0"/>
        <w:spacing w:line="450" w:lineRule="exact"/>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 xml:space="preserve">.6 </w:t>
      </w:r>
      <w:r>
        <w:rPr>
          <w:rFonts w:hint="eastAsia" w:ascii="宋体" w:hAnsi="宋体" w:eastAsia="宋体" w:cs="宋体"/>
          <w:color w:val="auto"/>
          <w:sz w:val="24"/>
          <w:szCs w:val="24"/>
          <w:highlight w:val="none"/>
          <w:shd w:val="clear" w:color="auto" w:fill="FFFFFF"/>
        </w:rPr>
        <w:t>中标人应做好周边设施（含军用光缆、燃气、供电、供水、排水、排污、人行道、路灯、治安监控、交通电警等）的成品保护并及时与周边设施的权属单位协调解决，如因中标人原因导致上述设施发生损坏，中标人无条件按招标人规定的期限内修复，涉及成品保护费、索赔等一切费用全部由中标人自行解决。</w:t>
      </w:r>
    </w:p>
    <w:p w14:paraId="5D90FA68">
      <w:pPr>
        <w:pStyle w:val="36"/>
        <w:keepNext w:val="0"/>
        <w:keepLines w:val="0"/>
        <w:pageBreakBefore w:val="0"/>
        <w:overflowPunct/>
        <w:bidi w:val="0"/>
        <w:snapToGrid w:val="0"/>
        <w:spacing w:line="450" w:lineRule="exact"/>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.7</w:t>
      </w:r>
      <w:r>
        <w:rPr>
          <w:rFonts w:hint="eastAsia" w:ascii="宋体" w:hAnsi="宋体" w:eastAsia="宋体" w:cs="宋体"/>
          <w:color w:val="auto"/>
          <w:sz w:val="24"/>
          <w:szCs w:val="24"/>
          <w:highlight w:val="none"/>
          <w:shd w:val="clear" w:color="auto" w:fill="FFFFFF"/>
        </w:rPr>
        <w:t>中标人中标后必须按规定及时缴交工人工资保证金、环保噪声排污费等。</w:t>
      </w:r>
    </w:p>
    <w:p w14:paraId="50E38040">
      <w:pPr>
        <w:pStyle w:val="36"/>
        <w:keepNext w:val="0"/>
        <w:keepLines w:val="0"/>
        <w:pageBreakBefore w:val="0"/>
        <w:overflowPunct/>
        <w:bidi w:val="0"/>
        <w:snapToGrid w:val="0"/>
        <w:spacing w:line="450" w:lineRule="exact"/>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w:t>
      </w:r>
      <w:r>
        <w:rPr>
          <w:rFonts w:hint="eastAsia" w:ascii="宋体" w:hAnsi="宋体" w:eastAsia="宋体" w:cs="宋体"/>
          <w:b/>
          <w:bCs/>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工程质量保修期按《中华人民共和国建筑法》、《建设工程质量管理条例》等相关规定实施。</w:t>
      </w:r>
    </w:p>
    <w:p w14:paraId="0C1A48EA">
      <w:pPr>
        <w:pStyle w:val="36"/>
        <w:keepNext w:val="0"/>
        <w:keepLines w:val="0"/>
        <w:pageBreakBefore w:val="0"/>
        <w:overflowPunct/>
        <w:bidi w:val="0"/>
        <w:snapToGrid w:val="0"/>
        <w:spacing w:line="450" w:lineRule="exact"/>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w:t>
      </w:r>
      <w:r>
        <w:rPr>
          <w:rFonts w:hint="eastAsia" w:ascii="宋体" w:hAnsi="宋体" w:eastAsia="宋体" w:cs="宋体"/>
          <w:b/>
          <w:bCs/>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rPr>
        <w:t xml:space="preserve"> 如项目实施过程中发生了工程变更及工程签证，中标人需根据招标人发布的《工程变更管理办法》和《工程签证管理办法》完善工程变更签证相关程序。其纳入变更管理属于需要进一步办理审批的，应按照规定程序办理变更审批手续。因施工单位主要责任造成的工程变更调整原则上不予审批，由施工单位自行承担相关责任和费用</w:t>
      </w:r>
    </w:p>
    <w:p w14:paraId="0E6A54EB">
      <w:pPr>
        <w:pStyle w:val="36"/>
        <w:keepNext w:val="0"/>
        <w:keepLines w:val="0"/>
        <w:pageBreakBefore w:val="0"/>
        <w:overflowPunct/>
        <w:bidi w:val="0"/>
        <w:snapToGrid w:val="0"/>
        <w:spacing w:line="450" w:lineRule="exact"/>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0</w:t>
      </w:r>
      <w:r>
        <w:rPr>
          <w:rFonts w:hint="eastAsia" w:ascii="宋体" w:hAnsi="宋体" w:eastAsia="宋体" w:cs="宋体"/>
          <w:color w:val="auto"/>
          <w:sz w:val="24"/>
          <w:szCs w:val="24"/>
          <w:highlight w:val="none"/>
          <w:shd w:val="clear" w:color="auto" w:fill="FFFFFF"/>
        </w:rPr>
        <w:t xml:space="preserve"> 中标人需按相关规定要求，设置本工程符合相关要求的永久性标牌及规划公示牌，投标人在投标报价时综合考虑在报价内，招标人不另行支付该部分费用。</w:t>
      </w:r>
    </w:p>
    <w:p w14:paraId="4188AD1B">
      <w:pPr>
        <w:pStyle w:val="36"/>
        <w:keepNext w:val="0"/>
        <w:keepLines w:val="0"/>
        <w:pageBreakBefore w:val="0"/>
        <w:overflowPunct/>
        <w:bidi w:val="0"/>
        <w:snapToGrid w:val="0"/>
        <w:spacing w:line="450" w:lineRule="exact"/>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1</w:t>
      </w:r>
      <w:r>
        <w:rPr>
          <w:rFonts w:hint="eastAsia" w:ascii="宋体" w:hAnsi="宋体" w:eastAsia="宋体" w:cs="宋体"/>
          <w:color w:val="auto"/>
          <w:sz w:val="24"/>
          <w:szCs w:val="24"/>
          <w:highlight w:val="none"/>
          <w:shd w:val="clear" w:color="auto" w:fill="FFFFFF"/>
        </w:rPr>
        <w:t xml:space="preserve"> 中标人应在项目所在地住建管理部门办理诚信登记，招标人将严格按住建管理部门诚信登记管理办法对中标人履约情况进行考核。</w:t>
      </w:r>
    </w:p>
    <w:p w14:paraId="771FDD03">
      <w:pPr>
        <w:pStyle w:val="36"/>
        <w:keepNext w:val="0"/>
        <w:keepLines w:val="0"/>
        <w:pageBreakBefore w:val="0"/>
        <w:overflowPunct/>
        <w:bidi w:val="0"/>
        <w:snapToGrid w:val="0"/>
        <w:spacing w:line="450" w:lineRule="exact"/>
        <w:ind w:firstLine="482" w:firstLineChars="200"/>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2</w:t>
      </w:r>
      <w:r>
        <w:rPr>
          <w:rFonts w:hint="eastAsia" w:ascii="宋体" w:hAnsi="宋体" w:eastAsia="宋体" w:cs="宋体"/>
          <w:color w:val="auto"/>
          <w:sz w:val="24"/>
          <w:szCs w:val="24"/>
          <w:highlight w:val="none"/>
          <w:shd w:val="clear" w:color="auto" w:fill="FFFFFF"/>
        </w:rPr>
        <w:t xml:space="preserve"> 中标人应按住房和城乡建设管理局、人力资源和社会保障局等职能部门对用工实名制的相关规定,落实工人及相关软硬件设施要求。</w:t>
      </w:r>
    </w:p>
    <w:p w14:paraId="34E2D7DF">
      <w:pPr>
        <w:pStyle w:val="36"/>
        <w:keepNext w:val="0"/>
        <w:keepLines w:val="0"/>
        <w:pageBreakBefore w:val="0"/>
        <w:overflowPunct/>
        <w:bidi w:val="0"/>
        <w:snapToGrid w:val="0"/>
        <w:spacing w:line="450" w:lineRule="exact"/>
        <w:ind w:firstLine="482" w:firstLineChars="200"/>
        <w:rPr>
          <w:rFonts w:hint="eastAsia" w:ascii="宋体" w:hAnsi="宋体" w:eastAsia="宋体" w:cs="宋体"/>
          <w:b w:val="0"/>
          <w:bCs w:val="0"/>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3</w:t>
      </w:r>
      <w:r>
        <w:rPr>
          <w:rFonts w:hint="eastAsia" w:ascii="宋体" w:hAnsi="宋体" w:eastAsia="宋体" w:cs="宋体"/>
          <w:color w:val="auto"/>
          <w:sz w:val="24"/>
          <w:szCs w:val="24"/>
          <w:highlight w:val="none"/>
          <w:shd w:val="clear" w:color="auto" w:fill="FFFFFF"/>
        </w:rPr>
        <w:t xml:space="preserve"> 如采用银行保函方式缴纳履约保证金，在保函到期前一个月，中标人须主动办理续期手续或提交新的银行保函；如中标人未及时主动办理续期手续或提交新的银行保函，招标人有权按履约保证金金额的扣留进度款（工人工资除外）作为</w:t>
      </w:r>
      <w:r>
        <w:rPr>
          <w:rFonts w:hint="eastAsia" w:ascii="宋体" w:hAnsi="宋体" w:eastAsia="宋体" w:cs="宋体"/>
          <w:b w:val="0"/>
          <w:bCs w:val="0"/>
          <w:color w:val="auto"/>
          <w:sz w:val="24"/>
          <w:szCs w:val="24"/>
          <w:highlight w:val="none"/>
          <w:shd w:val="clear" w:color="auto" w:fill="FFFFFF"/>
        </w:rPr>
        <w:t>履约保证金，直至中标人提交新的银行保函或达到履约保证金退还条件。</w:t>
      </w:r>
    </w:p>
    <w:p w14:paraId="52185987">
      <w:pPr>
        <w:pStyle w:val="36"/>
        <w:keepNext w:val="0"/>
        <w:keepLines w:val="0"/>
        <w:pageBreakBefore w:val="0"/>
        <w:overflowPunct/>
        <w:bidi w:val="0"/>
        <w:snapToGrid w:val="0"/>
        <w:spacing w:line="450" w:lineRule="exact"/>
        <w:ind w:firstLine="482" w:firstLineChars="200"/>
        <w:rPr>
          <w:rFonts w:hint="eastAsia" w:ascii="宋体" w:hAnsi="宋体" w:eastAsia="宋体" w:cs="宋体"/>
          <w:bCs/>
          <w:color w:val="auto"/>
          <w:sz w:val="24"/>
          <w:szCs w:val="24"/>
          <w:highlight w:val="none"/>
          <w:lang w:bidi="ar"/>
        </w:rPr>
      </w:pP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.1</w:t>
      </w:r>
      <w:r>
        <w:rPr>
          <w:rFonts w:hint="eastAsia" w:ascii="宋体" w:hAnsi="宋体" w:eastAsia="宋体" w:cs="宋体"/>
          <w:b/>
          <w:bCs/>
          <w:color w:val="auto"/>
          <w:sz w:val="24"/>
          <w:szCs w:val="24"/>
          <w:highlight w:val="none"/>
          <w:shd w:val="clear" w:color="auto" w:fill="FFFFFF"/>
          <w:lang w:val="en-US" w:eastAsia="zh-CN"/>
        </w:rPr>
        <w:t>4</w:t>
      </w:r>
      <w:r>
        <w:rPr>
          <w:rFonts w:hint="eastAsia" w:ascii="宋体" w:hAnsi="宋体" w:eastAsia="宋体" w:cs="宋体"/>
          <w:b/>
          <w:bCs/>
          <w:color w:val="auto"/>
          <w:sz w:val="24"/>
          <w:szCs w:val="24"/>
          <w:highlight w:val="none"/>
          <w:shd w:val="clear" w:color="auto" w:fill="FFFFFF"/>
        </w:rPr>
        <w:t xml:space="preserve"> </w:t>
      </w:r>
      <w:r>
        <w:rPr>
          <w:rFonts w:hint="eastAsia" w:ascii="宋体" w:hAnsi="宋体" w:eastAsia="宋体" w:cs="宋体"/>
          <w:color w:val="auto"/>
          <w:sz w:val="24"/>
          <w:szCs w:val="24"/>
          <w:highlight w:val="none"/>
          <w:lang w:val="zh-CN"/>
        </w:rPr>
        <w:t>依据人力资源社会保障部等十部门印发的《工程建设领域农民工工资专用账户管理暂行办法》（人社部发〔2021〕53号）</w:t>
      </w:r>
      <w:r>
        <w:rPr>
          <w:rFonts w:hint="eastAsia" w:ascii="宋体" w:hAnsi="宋体" w:eastAsia="宋体" w:cs="宋体"/>
          <w:b w:val="0"/>
          <w:bCs w:val="0"/>
          <w:color w:val="auto"/>
          <w:sz w:val="24"/>
          <w:szCs w:val="24"/>
          <w:highlight w:val="none"/>
          <w:shd w:val="clear" w:color="auto" w:fill="FFFFFF"/>
        </w:rPr>
        <w:t>文件规定，中标人中标后，须到银行设立工人工资支付专用账户，用于支付工人工资。发包人支付工程款时，将按工程款（不含工人工资）和工人工资两部分分开支付，工人工资支付至专用账户。中标人应建立劳动用工管理台</w:t>
      </w:r>
      <w:r>
        <w:rPr>
          <w:rFonts w:hint="eastAsia" w:ascii="宋体" w:hAnsi="宋体" w:eastAsia="宋体" w:cs="宋体"/>
          <w:b w:val="0"/>
          <w:bCs w:val="0"/>
          <w:color w:val="auto"/>
          <w:sz w:val="24"/>
          <w:szCs w:val="24"/>
          <w:highlight w:val="none"/>
          <w:lang w:bidi="ar"/>
        </w:rPr>
        <w:t>账，并按</w:t>
      </w:r>
      <w:r>
        <w:rPr>
          <w:rFonts w:hint="eastAsia" w:ascii="宋体" w:hAnsi="宋体" w:eastAsia="宋体" w:cs="宋体"/>
          <w:bCs/>
          <w:color w:val="auto"/>
          <w:sz w:val="24"/>
          <w:szCs w:val="24"/>
          <w:highlight w:val="none"/>
          <w:lang w:bidi="ar"/>
        </w:rPr>
        <w:t>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w:t>
      </w:r>
    </w:p>
    <w:p w14:paraId="5077F609">
      <w:pPr>
        <w:pStyle w:val="36"/>
        <w:keepNext w:val="0"/>
        <w:keepLines w:val="0"/>
        <w:pageBreakBefore w:val="0"/>
        <w:widowControl w:val="0"/>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bCs/>
          <w:color w:val="auto"/>
          <w:sz w:val="24"/>
          <w:szCs w:val="24"/>
          <w:highlight w:val="none"/>
          <w:lang w:bidi="ar"/>
        </w:rPr>
      </w:pPr>
      <w:r>
        <w:rPr>
          <w:rFonts w:hint="eastAsia" w:ascii="宋体" w:hAnsi="宋体" w:eastAsia="宋体" w:cs="宋体"/>
          <w:color w:val="auto"/>
          <w:sz w:val="24"/>
          <w:szCs w:val="24"/>
          <w:highlight w:val="none"/>
          <w:lang w:val="zh-CN"/>
        </w:rPr>
        <w:t>根据韶关市人力资源和社会保障局</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韶关市住房和城乡建设管理局</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韶关市交通运输局</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韶关市水务局</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韶关市金融工作局</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国家金融监督管理总局韶关监管分局关于印发《韶关市工程建设领域农民工工资保证金管理实施细则》的通知(韶人社</w:t>
      </w:r>
      <w:r>
        <w:rPr>
          <w:rFonts w:hint="eastAsia" w:ascii="宋体" w:hAnsi="宋体" w:eastAsia="宋体" w:cs="宋体"/>
          <w:color w:val="auto"/>
          <w:sz w:val="24"/>
          <w:szCs w:val="24"/>
          <w:highlight w:val="none"/>
          <w:lang w:val="en-US" w:eastAsia="zh-CN"/>
        </w:rPr>
        <w:t>规[</w:t>
      </w:r>
      <w:r>
        <w:rPr>
          <w:rFonts w:hint="eastAsia" w:ascii="宋体" w:hAnsi="宋体" w:eastAsia="宋体" w:cs="宋体"/>
          <w:color w:val="auto"/>
          <w:sz w:val="24"/>
          <w:szCs w:val="24"/>
          <w:highlight w:val="none"/>
          <w:lang w:val="zh-CN"/>
        </w:rPr>
        <w:t>202</w:t>
      </w:r>
      <w:r>
        <w:rPr>
          <w:rFonts w:hint="eastAsia" w:ascii="宋体" w:hAnsi="宋体" w:eastAsia="宋体" w:cs="宋体"/>
          <w:color w:val="auto"/>
          <w:sz w:val="24"/>
          <w:szCs w:val="24"/>
          <w:highlight w:val="none"/>
          <w:lang w:val="en-US" w:eastAsia="zh-CN"/>
        </w:rPr>
        <w:t>3]2</w:t>
      </w:r>
      <w:r>
        <w:rPr>
          <w:rFonts w:hint="eastAsia" w:ascii="宋体" w:hAnsi="宋体" w:eastAsia="宋体" w:cs="宋体"/>
          <w:color w:val="auto"/>
          <w:sz w:val="24"/>
          <w:szCs w:val="24"/>
          <w:highlight w:val="none"/>
          <w:lang w:val="zh-CN"/>
        </w:rPr>
        <w:t>号)</w:t>
      </w:r>
      <w:r>
        <w:rPr>
          <w:rFonts w:hint="eastAsia" w:ascii="宋体" w:hAnsi="宋体" w:eastAsia="宋体" w:cs="宋体"/>
          <w:bCs/>
          <w:color w:val="auto"/>
          <w:sz w:val="24"/>
          <w:szCs w:val="24"/>
          <w:highlight w:val="none"/>
          <w:lang w:bidi="ar"/>
        </w:rPr>
        <w:t>文件规定，中标人中标后，应将工人工资保证金存入银行专用存款账户。逾期未交纳的，招标人将扣留与本项目工人工资保证金等额的工程款（工人工资除外），直至中标人按《韶关市建设领域施工企业工人工资支付保证金管理办法》相关文件要求缴纳工人工资保证金。在中标人未按要求缴纳工人工资保证金期间，招标人扣留的工程款将作为工人工资保证金的预备资金，招标人有权将该部分资金用于处理该项目工人工资拖欠等情况的问题。</w:t>
      </w:r>
    </w:p>
    <w:p w14:paraId="2EF8FC92">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val="0"/>
          <w:bCs w:val="0"/>
          <w:snapToGrid w:val="0"/>
          <w:color w:val="auto"/>
          <w:kern w:val="0"/>
          <w:sz w:val="24"/>
          <w:szCs w:val="24"/>
          <w:highlight w:val="none"/>
        </w:rPr>
        <w:t>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w:t>
      </w:r>
      <w:r>
        <w:rPr>
          <w:rFonts w:hint="eastAsia" w:ascii="宋体" w:hAnsi="宋体" w:eastAsia="宋体" w:cs="宋体"/>
          <w:color w:val="auto"/>
          <w:sz w:val="24"/>
          <w:szCs w:val="24"/>
          <w:highlight w:val="none"/>
          <w:lang w:bidi="ar"/>
        </w:rPr>
        <w:t>所垫付的民工工资2倍向发包人支付违约金。</w:t>
      </w:r>
    </w:p>
    <w:p w14:paraId="1D7CBA6A">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5</w:t>
      </w:r>
      <w:r>
        <w:rPr>
          <w:rFonts w:hint="eastAsia" w:ascii="宋体" w:hAnsi="宋体" w:eastAsia="宋体" w:cs="宋体"/>
          <w:color w:val="auto"/>
          <w:sz w:val="24"/>
          <w:szCs w:val="24"/>
          <w:highlight w:val="none"/>
          <w:lang w:bidi="ar"/>
        </w:rPr>
        <w:t>中标人应当确保施工扬尘污染防治措施费用和用工实名管理费用专款专用，在财务管理中单独列出施工扬尘污染防治措施费用和用工实名管理费用使用清单报招标人备案核查。</w:t>
      </w:r>
    </w:p>
    <w:p w14:paraId="7995511F">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6</w:t>
      </w:r>
      <w:r>
        <w:rPr>
          <w:rFonts w:hint="eastAsia" w:ascii="宋体" w:hAnsi="宋体" w:eastAsia="宋体" w:cs="宋体"/>
          <w:color w:val="auto"/>
          <w:sz w:val="24"/>
          <w:szCs w:val="24"/>
          <w:highlight w:val="none"/>
          <w:lang w:bidi="ar"/>
        </w:rPr>
        <w:t>中标人需按相关规定要求，设置本工程符合相关要求的永久性标牌及规划公示牌，投标人在投标报价时综合考虑在报价内，招标人不另行支付该部分费用。</w:t>
      </w:r>
    </w:p>
    <w:p w14:paraId="44106EBB">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17</w:t>
      </w:r>
      <w:r>
        <w:rPr>
          <w:rFonts w:hint="eastAsia" w:ascii="宋体" w:hAnsi="宋体" w:eastAsia="宋体" w:cs="宋体"/>
          <w:color w:val="auto"/>
          <w:sz w:val="24"/>
          <w:szCs w:val="24"/>
          <w:highlight w:val="none"/>
          <w:lang w:bidi="ar"/>
        </w:rPr>
        <w:t xml:space="preserve"> 中标人须为招标人、监理、全过程造价咨询单位提供现场办公管理的便利。按工程需要配置办公室、会议室、监理休息室及办公家具、生活设施，配备满足工程监理工作需要的办公设备（电脑、打印机、复印机、传真机、办公用品等）。中标人不得以任何理由提出任何费用及补偿要求。</w:t>
      </w:r>
    </w:p>
    <w:p w14:paraId="5814B970">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 xml:space="preserve">18 </w:t>
      </w:r>
      <w:r>
        <w:rPr>
          <w:rFonts w:hint="eastAsia" w:ascii="宋体" w:hAnsi="宋体" w:eastAsia="宋体" w:cs="宋体"/>
          <w:color w:val="auto"/>
          <w:sz w:val="24"/>
          <w:szCs w:val="24"/>
          <w:highlight w:val="none"/>
          <w:lang w:bidi="ar"/>
        </w:rPr>
        <w:t>中标人需在签订合同后5个工作日内向招标人免费提交投标文件副本</w:t>
      </w:r>
      <w:r>
        <w:rPr>
          <w:rFonts w:hint="eastAsia" w:ascii="宋体" w:hAnsi="宋体" w:eastAsia="宋体" w:cs="宋体"/>
          <w:color w:val="auto"/>
          <w:sz w:val="24"/>
          <w:szCs w:val="24"/>
          <w:highlight w:val="none"/>
          <w:lang w:eastAsia="zh-CN" w:bidi="ar"/>
        </w:rPr>
        <w:t>五</w:t>
      </w:r>
      <w:r>
        <w:rPr>
          <w:rFonts w:hint="eastAsia" w:ascii="宋体" w:hAnsi="宋体" w:eastAsia="宋体" w:cs="宋体"/>
          <w:color w:val="auto"/>
          <w:sz w:val="24"/>
          <w:szCs w:val="24"/>
          <w:highlight w:val="none"/>
          <w:lang w:bidi="ar"/>
        </w:rPr>
        <w:t>份。</w:t>
      </w:r>
    </w:p>
    <w:p w14:paraId="047DDDD3">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19</w:t>
      </w:r>
      <w:r>
        <w:rPr>
          <w:rFonts w:hint="eastAsia" w:ascii="宋体" w:hAnsi="宋体" w:eastAsia="宋体" w:cs="宋体"/>
          <w:color w:val="auto"/>
          <w:sz w:val="24"/>
          <w:szCs w:val="24"/>
          <w:highlight w:val="none"/>
          <w:lang w:bidi="ar"/>
        </w:rPr>
        <w:t xml:space="preserve"> 中标人中标后招标人将对项目经理、法人代表或其授权委托人进行廉政谈话。</w:t>
      </w:r>
    </w:p>
    <w:p w14:paraId="0BE6EFD5">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 xml:space="preserve">20 </w:t>
      </w:r>
      <w:r>
        <w:rPr>
          <w:rFonts w:hint="eastAsia" w:ascii="宋体" w:hAnsi="宋体" w:eastAsia="宋体" w:cs="宋体"/>
          <w:color w:val="auto"/>
          <w:sz w:val="24"/>
          <w:szCs w:val="24"/>
          <w:highlight w:val="none"/>
          <w:lang w:bidi="ar"/>
        </w:rPr>
        <w:t>中标人应已详细了解本项目的前期工作，同时也应已勘察施工现场、周围环境、地形、地貌、水文、交通等情况。中标人投标报价应已充分考虑在施工中由于招标人原因造成停工或工期延误等因素所产生的相关费用，招标人不予另计费；中标人不得以不完全了解项目的前期工作及现场情况为理由，提出因外界因素造成停工或工期延误的额外付款要求；对此类要求，招标人不作任何考虑及答复。</w:t>
      </w:r>
    </w:p>
    <w:p w14:paraId="0A62C5E5">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val="en-US" w:eastAsia="zh-CN" w:bidi="ar"/>
        </w:rPr>
        <w:t>14.21</w:t>
      </w:r>
      <w:r>
        <w:rPr>
          <w:rFonts w:hint="eastAsia" w:ascii="宋体" w:hAnsi="宋体" w:eastAsia="宋体" w:cs="宋体"/>
          <w:color w:val="auto"/>
          <w:sz w:val="24"/>
          <w:szCs w:val="24"/>
          <w:highlight w:val="none"/>
          <w:lang w:val="en-US" w:eastAsia="zh-CN" w:bidi="ar"/>
        </w:rPr>
        <w:t xml:space="preserve"> </w:t>
      </w:r>
      <w:r>
        <w:rPr>
          <w:rFonts w:hint="eastAsia" w:ascii="宋体" w:hAnsi="宋体" w:eastAsia="宋体" w:cs="宋体"/>
          <w:color w:val="auto"/>
          <w:sz w:val="24"/>
          <w:szCs w:val="24"/>
          <w:highlight w:val="none"/>
          <w:lang w:bidi="ar"/>
        </w:rPr>
        <w:t>如因招标人原因（自然灾害等不可抗力因素除外），工程不能按期开工，或开工后全部停滞，工期按相关规定予以顺延。停工发生后，若可复工时，中标人应在收到招标人发出的复工通知书后3日内开始复工。</w:t>
      </w:r>
    </w:p>
    <w:p w14:paraId="1AB433A4">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val="en-US" w:eastAsia="zh-CN" w:bidi="ar"/>
        </w:rPr>
        <w:t>14.</w:t>
      </w:r>
      <w:r>
        <w:rPr>
          <w:rFonts w:hint="eastAsia" w:ascii="宋体" w:hAnsi="宋体" w:eastAsia="宋体" w:cs="宋体"/>
          <w:b/>
          <w:bCs/>
          <w:color w:val="auto"/>
          <w:sz w:val="24"/>
          <w:szCs w:val="24"/>
          <w:highlight w:val="none"/>
          <w:lang w:bidi="ar"/>
        </w:rPr>
        <w:t>2</w:t>
      </w:r>
      <w:r>
        <w:rPr>
          <w:rFonts w:hint="eastAsia" w:ascii="宋体" w:hAnsi="宋体" w:eastAsia="宋体" w:cs="宋体"/>
          <w:b/>
          <w:bCs/>
          <w:color w:val="auto"/>
          <w:sz w:val="24"/>
          <w:szCs w:val="24"/>
          <w:highlight w:val="none"/>
          <w:lang w:val="en-US" w:eastAsia="zh-CN" w:bidi="ar"/>
        </w:rPr>
        <w:t>2</w:t>
      </w:r>
      <w:r>
        <w:rPr>
          <w:rFonts w:hint="eastAsia" w:ascii="宋体" w:hAnsi="宋体" w:eastAsia="宋体" w:cs="宋体"/>
          <w:color w:val="auto"/>
          <w:sz w:val="24"/>
          <w:szCs w:val="24"/>
          <w:highlight w:val="none"/>
          <w:lang w:val="en-US" w:eastAsia="zh-CN" w:bidi="ar"/>
        </w:rPr>
        <w:t xml:space="preserve"> </w:t>
      </w:r>
      <w:r>
        <w:rPr>
          <w:rFonts w:hint="eastAsia" w:ascii="宋体" w:hAnsi="宋体" w:eastAsia="宋体" w:cs="宋体"/>
          <w:color w:val="auto"/>
          <w:sz w:val="24"/>
          <w:szCs w:val="24"/>
          <w:highlight w:val="none"/>
          <w:lang w:bidi="ar"/>
        </w:rPr>
        <w:t>中标人须为招标人提供现场管理的交通便利（开工至质保期满）。中标人不得以任何理由提出任何费用及补偿要求。</w:t>
      </w:r>
    </w:p>
    <w:p w14:paraId="3622A144">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.2</w:t>
      </w:r>
      <w:r>
        <w:rPr>
          <w:rFonts w:hint="eastAsia" w:ascii="宋体" w:hAnsi="宋体" w:eastAsia="宋体" w:cs="宋体"/>
          <w:b/>
          <w:bCs/>
          <w:color w:val="auto"/>
          <w:sz w:val="24"/>
          <w:szCs w:val="24"/>
          <w:highlight w:val="none"/>
          <w:lang w:val="en-US" w:eastAsia="zh-CN" w:bidi="ar"/>
        </w:rPr>
        <w:t>3</w:t>
      </w:r>
      <w:r>
        <w:rPr>
          <w:rFonts w:hint="eastAsia" w:ascii="宋体" w:hAnsi="宋体" w:eastAsia="宋体" w:cs="宋体"/>
          <w:color w:val="auto"/>
          <w:sz w:val="24"/>
          <w:szCs w:val="24"/>
          <w:highlight w:val="none"/>
          <w:lang w:val="en-US" w:eastAsia="zh-CN" w:bidi="ar"/>
        </w:rPr>
        <w:t xml:space="preserve"> </w:t>
      </w:r>
      <w:r>
        <w:rPr>
          <w:rFonts w:hint="eastAsia" w:ascii="宋体" w:hAnsi="宋体" w:eastAsia="宋体" w:cs="宋体"/>
          <w:color w:val="auto"/>
          <w:sz w:val="24"/>
          <w:szCs w:val="24"/>
          <w:highlight w:val="none"/>
          <w:lang w:bidi="ar"/>
        </w:rPr>
        <w:t>中标人必须做好施工场地地下地上管线和邻近建筑物、构筑物（包括文物保护建筑）、名树名木（如有）的保护工作。</w:t>
      </w:r>
    </w:p>
    <w:p w14:paraId="44B3C4F5">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.2</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color w:val="auto"/>
          <w:sz w:val="24"/>
          <w:szCs w:val="24"/>
          <w:highlight w:val="none"/>
          <w:lang w:bidi="ar"/>
        </w:rPr>
        <w:t>中标单位必须在中标通知书发出之日起一个月内完成现场临时设施（施工用水用电、围蔽、板房、洗车槽、相关公示牌等）施工，因中标人原因导致逾期的，逾期第壹天起每天按2000元作违约处理。</w:t>
      </w:r>
    </w:p>
    <w:p w14:paraId="42D9FBBB">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.2</w:t>
      </w:r>
      <w:r>
        <w:rPr>
          <w:rFonts w:hint="eastAsia" w:ascii="宋体" w:hAnsi="宋体" w:eastAsia="宋体" w:cs="宋体"/>
          <w:b/>
          <w:bCs/>
          <w:color w:val="auto"/>
          <w:sz w:val="24"/>
          <w:szCs w:val="24"/>
          <w:highlight w:val="none"/>
          <w:lang w:val="en-US" w:eastAsia="zh-CN" w:bidi="ar"/>
        </w:rPr>
        <w:t xml:space="preserve">5 </w:t>
      </w:r>
      <w:r>
        <w:rPr>
          <w:rFonts w:hint="eastAsia" w:ascii="宋体" w:hAnsi="宋体" w:eastAsia="宋体" w:cs="宋体"/>
          <w:color w:val="auto"/>
          <w:sz w:val="24"/>
          <w:szCs w:val="24"/>
          <w:highlight w:val="none"/>
          <w:lang w:bidi="ar"/>
        </w:rPr>
        <w:t>为保证施工现场的环境卫生，中标人在本工程施工过程中，所有的车辆必须按招标人规定的行车路线行驶。并负责施工现场及受施工影响周边道路的卫生。</w:t>
      </w:r>
    </w:p>
    <w:p w14:paraId="6AE0A054">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26</w:t>
      </w:r>
      <w:r>
        <w:rPr>
          <w:rFonts w:hint="eastAsia" w:ascii="宋体" w:hAnsi="宋体" w:eastAsia="宋体" w:cs="宋体"/>
          <w:color w:val="auto"/>
          <w:sz w:val="24"/>
          <w:szCs w:val="24"/>
          <w:highlight w:val="none"/>
          <w:lang w:val="en-US" w:eastAsia="zh-CN" w:bidi="ar"/>
        </w:rPr>
        <w:t xml:space="preserve"> </w:t>
      </w:r>
      <w:r>
        <w:rPr>
          <w:rFonts w:hint="eastAsia" w:ascii="宋体" w:hAnsi="宋体" w:eastAsia="宋体" w:cs="宋体"/>
          <w:color w:val="auto"/>
          <w:sz w:val="24"/>
          <w:szCs w:val="24"/>
          <w:highlight w:val="none"/>
          <w:lang w:bidi="ar"/>
        </w:rPr>
        <w:t>招标人有权根据本项目建设的实际情况调整建设规模或减少建设内容，如出现因特殊原因取消某子项目的建设，则该子项目未完成的工作内容及费用相应扣减，中标人应在投标报价中综合考虑该因素，中标后不得因此向招标人提出额外的费用补偿或索赔</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并且必须按调整后的规模及内容完成工程建设。</w:t>
      </w:r>
    </w:p>
    <w:p w14:paraId="62A4294E">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 xml:space="preserve">27 </w:t>
      </w:r>
      <w:r>
        <w:rPr>
          <w:rFonts w:hint="eastAsia" w:ascii="宋体" w:hAnsi="宋体" w:eastAsia="宋体" w:cs="宋体"/>
          <w:color w:val="auto"/>
          <w:sz w:val="24"/>
          <w:szCs w:val="24"/>
          <w:highlight w:val="none"/>
          <w:lang w:bidi="ar"/>
        </w:rPr>
        <w:t>中标人在施工过程中应及时发现现场缺项漏项变更签证等影响造价的事项，应及时跟招标人报告（书面、微信等），</w:t>
      </w:r>
      <w:r>
        <w:rPr>
          <w:rFonts w:hint="eastAsia" w:ascii="宋体" w:hAnsi="宋体" w:eastAsia="宋体" w:cs="宋体"/>
          <w:color w:val="auto"/>
          <w:sz w:val="24"/>
          <w:szCs w:val="24"/>
          <w:highlight w:val="none"/>
          <w:lang w:eastAsia="zh-CN" w:bidi="ar"/>
        </w:rPr>
        <w:t>并按照招标人的程序确认后才能进行施工，</w:t>
      </w:r>
      <w:r>
        <w:rPr>
          <w:rFonts w:hint="eastAsia" w:ascii="宋体" w:hAnsi="宋体" w:eastAsia="宋体" w:cs="宋体"/>
          <w:color w:val="auto"/>
          <w:sz w:val="24"/>
          <w:szCs w:val="24"/>
          <w:highlight w:val="none"/>
          <w:lang w:bidi="ar"/>
        </w:rPr>
        <w:t>若因中标人不及时报告</w:t>
      </w:r>
      <w:r>
        <w:rPr>
          <w:rFonts w:hint="eastAsia" w:ascii="宋体" w:hAnsi="宋体" w:eastAsia="宋体" w:cs="宋体"/>
          <w:color w:val="auto"/>
          <w:sz w:val="24"/>
          <w:szCs w:val="24"/>
          <w:highlight w:val="none"/>
          <w:lang w:eastAsia="zh-CN" w:bidi="ar"/>
        </w:rPr>
        <w:t>擅自施工，</w:t>
      </w:r>
      <w:r>
        <w:rPr>
          <w:rFonts w:hint="eastAsia" w:ascii="宋体" w:hAnsi="宋体" w:eastAsia="宋体" w:cs="宋体"/>
          <w:color w:val="auto"/>
          <w:sz w:val="24"/>
          <w:szCs w:val="24"/>
          <w:highlight w:val="none"/>
          <w:lang w:bidi="ar"/>
        </w:rPr>
        <w:t>导致的不良后果，由中标人承担。</w:t>
      </w:r>
    </w:p>
    <w:p w14:paraId="6CC764FD">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28</w:t>
      </w:r>
      <w:r>
        <w:rPr>
          <w:rFonts w:hint="eastAsia" w:ascii="宋体" w:hAnsi="宋体" w:eastAsia="宋体" w:cs="宋体"/>
          <w:color w:val="auto"/>
          <w:sz w:val="24"/>
          <w:szCs w:val="24"/>
          <w:highlight w:val="none"/>
          <w:lang w:val="en-US" w:eastAsia="zh-CN" w:bidi="ar"/>
        </w:rPr>
        <w:t xml:space="preserve"> 因项目用地的不可控因素，造成建设用地延期交付，导致产生的费用不予补偿，仅顺延工期。</w:t>
      </w:r>
    </w:p>
    <w:p w14:paraId="08436D12">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 xml:space="preserve">29 </w:t>
      </w:r>
      <w:r>
        <w:rPr>
          <w:rFonts w:hint="eastAsia" w:ascii="宋体" w:hAnsi="宋体" w:eastAsia="宋体" w:cs="宋体"/>
          <w:color w:val="auto"/>
          <w:sz w:val="24"/>
          <w:szCs w:val="24"/>
          <w:highlight w:val="none"/>
          <w:lang w:val="en-US" w:eastAsia="zh-CN" w:bidi="ar"/>
        </w:rPr>
        <w:t>中标人须参与图纸会审并及时提出涉及设计修改或变更方面的相关方案或意见，否则由此造成的后果由中标人自行负责。</w:t>
      </w:r>
    </w:p>
    <w:p w14:paraId="4AC76869">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val="en-US" w:eastAsia="zh-CN" w:bidi="ar"/>
        </w:rPr>
        <w:t>14.30</w:t>
      </w:r>
      <w:r>
        <w:rPr>
          <w:rFonts w:hint="eastAsia" w:ascii="宋体" w:hAnsi="宋体" w:eastAsia="宋体" w:cs="宋体"/>
          <w:color w:val="auto"/>
          <w:sz w:val="24"/>
          <w:szCs w:val="24"/>
          <w:highlight w:val="none"/>
          <w:lang w:val="en-US" w:eastAsia="zh-CN" w:bidi="ar"/>
        </w:rPr>
        <w:t xml:space="preserve"> 对于招标工程量清单、</w:t>
      </w:r>
      <w:r>
        <w:rPr>
          <w:rFonts w:hint="eastAsia" w:hAnsi="宋体" w:cs="宋体"/>
          <w:color w:val="auto"/>
          <w:sz w:val="24"/>
          <w:szCs w:val="24"/>
          <w:highlight w:val="none"/>
          <w:lang w:val="en-US" w:eastAsia="zh-CN" w:bidi="ar"/>
        </w:rPr>
        <w:t>最高投标限价</w:t>
      </w:r>
      <w:r>
        <w:rPr>
          <w:rFonts w:hint="eastAsia" w:ascii="宋体" w:hAnsi="宋体" w:eastAsia="宋体" w:cs="宋体"/>
          <w:color w:val="auto"/>
          <w:sz w:val="24"/>
          <w:szCs w:val="24"/>
          <w:highlight w:val="none"/>
          <w:lang w:val="en-US" w:eastAsia="zh-CN" w:bidi="ar"/>
        </w:rPr>
        <w:t>发生的以下事项，招标人有权在合同签订前按以下原则进行修订：</w:t>
      </w:r>
    </w:p>
    <w:p w14:paraId="05DD1CAC">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val="en-US" w:eastAsia="zh-CN" w:bidi="ar"/>
        </w:rPr>
        <w:t>14.30.1</w:t>
      </w:r>
      <w:r>
        <w:rPr>
          <w:rFonts w:hint="eastAsia" w:ascii="宋体" w:hAnsi="宋体" w:eastAsia="宋体" w:cs="宋体"/>
          <w:color w:val="auto"/>
          <w:sz w:val="24"/>
          <w:szCs w:val="24"/>
          <w:highlight w:val="none"/>
          <w:lang w:val="en-US" w:eastAsia="zh-CN" w:bidi="ar"/>
        </w:rPr>
        <w:t xml:space="preserve"> 招标工程量清单描述有误：招标人有权修正工程量清单描述错误部分，工程量清单综合单价以投标人报价为准。</w:t>
      </w:r>
    </w:p>
    <w:p w14:paraId="4C91A784">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val="en-US" w:eastAsia="zh-CN" w:bidi="ar"/>
        </w:rPr>
        <w:t>14.30.2</w:t>
      </w:r>
      <w:r>
        <w:rPr>
          <w:rFonts w:hint="eastAsia" w:ascii="宋体" w:hAnsi="宋体" w:eastAsia="宋体" w:cs="宋体"/>
          <w:color w:val="auto"/>
          <w:sz w:val="24"/>
          <w:szCs w:val="24"/>
          <w:highlight w:val="none"/>
          <w:lang w:val="en-US" w:eastAsia="zh-CN" w:bidi="ar"/>
        </w:rPr>
        <w:t xml:space="preserve"> 招标工程量计量错误：以实际发生工程量为准，工程量清单综合单价以投标人报价为准。</w:t>
      </w:r>
    </w:p>
    <w:p w14:paraId="74232034">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val="en-US" w:eastAsia="zh-CN" w:bidi="ar"/>
        </w:rPr>
        <w:t>14.30.3</w:t>
      </w:r>
      <w:r>
        <w:rPr>
          <w:rFonts w:hint="eastAsia" w:ascii="宋体" w:hAnsi="宋体" w:eastAsia="宋体" w:cs="宋体"/>
          <w:color w:val="auto"/>
          <w:sz w:val="24"/>
          <w:szCs w:val="24"/>
          <w:highlight w:val="none"/>
          <w:lang w:val="en-US" w:eastAsia="zh-CN" w:bidi="ar"/>
        </w:rPr>
        <w:t xml:space="preserve"> 相同子目综合单价在不同单位工程中单价不一致：以投标报价低价为准。</w:t>
      </w:r>
    </w:p>
    <w:p w14:paraId="4DB6C984">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val="en-US" w:eastAsia="zh-CN" w:bidi="ar"/>
        </w:rPr>
        <w:t xml:space="preserve">14.30.4 </w:t>
      </w:r>
      <w:r>
        <w:rPr>
          <w:rFonts w:hint="eastAsia" w:ascii="宋体" w:hAnsi="宋体" w:eastAsia="宋体" w:cs="宋体"/>
          <w:color w:val="auto"/>
          <w:sz w:val="24"/>
          <w:szCs w:val="24"/>
          <w:highlight w:val="none"/>
          <w:lang w:val="en-US" w:eastAsia="zh-CN" w:bidi="ar"/>
        </w:rPr>
        <w:t>招标工程量清单漏项（图纸有而清单漏项）：按工程量按实计算，综合单价以招标人委托的第三方造价咨询公司按本项目</w:t>
      </w:r>
      <w:r>
        <w:rPr>
          <w:rFonts w:hint="eastAsia" w:hAnsi="宋体" w:cs="宋体"/>
          <w:color w:val="auto"/>
          <w:sz w:val="24"/>
          <w:szCs w:val="24"/>
          <w:highlight w:val="none"/>
          <w:lang w:val="en-US" w:eastAsia="zh-CN" w:bidi="ar"/>
        </w:rPr>
        <w:t>最高投标限价</w:t>
      </w:r>
      <w:r>
        <w:rPr>
          <w:rFonts w:hint="eastAsia" w:ascii="宋体" w:hAnsi="宋体" w:eastAsia="宋体" w:cs="宋体"/>
          <w:color w:val="auto"/>
          <w:sz w:val="24"/>
          <w:szCs w:val="24"/>
          <w:highlight w:val="none"/>
          <w:lang w:val="en-US" w:eastAsia="zh-CN" w:bidi="ar"/>
        </w:rPr>
        <w:t>编制原则编制，并按投标总价下浮率下浮计算。</w:t>
      </w:r>
    </w:p>
    <w:p w14:paraId="210CE8E7">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val="en-US" w:eastAsia="zh-CN" w:bidi="ar"/>
        </w:rPr>
        <w:t>14.31</w:t>
      </w:r>
      <w:r>
        <w:rPr>
          <w:rFonts w:hint="eastAsia" w:ascii="宋体" w:hAnsi="宋体" w:eastAsia="宋体" w:cs="宋体"/>
          <w:color w:val="auto"/>
          <w:sz w:val="24"/>
          <w:szCs w:val="24"/>
          <w:highlight w:val="none"/>
          <w:lang w:val="en-US" w:eastAsia="zh-CN" w:bidi="ar"/>
        </w:rPr>
        <w:t xml:space="preserve"> </w:t>
      </w:r>
      <w:r>
        <w:rPr>
          <w:rFonts w:hint="eastAsia" w:ascii="宋体" w:hAnsi="宋体" w:eastAsia="宋体" w:cs="宋体"/>
          <w:color w:val="auto"/>
          <w:sz w:val="24"/>
          <w:szCs w:val="24"/>
          <w:highlight w:val="none"/>
          <w:lang w:bidi="ar"/>
        </w:rPr>
        <w:t>施工合同签订备案后，承包人应一个月内将安全防护、文明施工措施项目费、工人工资保证金、工程排污费等涉及办理建筑工程施工许可证的缴费项目，缴纳至相应管理部门，办结相关手续，并提供缴费凭据等相关资料复印件给发包人，到商业银行办理安全防护、文明施工措施费及工人工资专用账户，同时承包人应向发包人提供符合韶关市相关行业行政主管部门规定的有效劳务分包合同。</w:t>
      </w:r>
    </w:p>
    <w:p w14:paraId="53BA4416">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val="en-US" w:eastAsia="zh-CN" w:bidi="ar"/>
        </w:rPr>
        <w:t>14</w:t>
      </w:r>
      <w:r>
        <w:rPr>
          <w:rFonts w:hint="eastAsia" w:ascii="宋体" w:hAnsi="宋体" w:eastAsia="宋体" w:cs="宋体"/>
          <w:b/>
          <w:bCs/>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 xml:space="preserve">32 </w:t>
      </w:r>
      <w:r>
        <w:rPr>
          <w:rFonts w:hint="eastAsia" w:ascii="宋体" w:hAnsi="宋体" w:eastAsia="宋体" w:cs="宋体"/>
          <w:color w:val="auto"/>
          <w:sz w:val="24"/>
          <w:szCs w:val="24"/>
          <w:highlight w:val="none"/>
          <w:lang w:bidi="ar"/>
        </w:rPr>
        <w:t>承包人应充分考虑施工对接情况，为本工程的其他参建单位提供工作便利、配合及服务（如水源、电源接口等），并有针对性地组织施工；承包人与为本工程的其他参建单位就协调、配合、服务等不能达成一致的，由监理工程师协调，并遵照监理工程师指令执行；承包人应负责统筹安排本工程范围内的各项工程的协调与配合，确保工程建设有序进行。承包人由此增加的费用应认为已包括在承包人的投标报价之中，发包人不另行支付。</w:t>
      </w:r>
    </w:p>
    <w:p w14:paraId="353467A5">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bidi="ar"/>
        </w:rPr>
      </w:pPr>
      <w:r>
        <w:rPr>
          <w:rFonts w:hint="eastAsia" w:ascii="宋体" w:hAnsi="宋体" w:eastAsia="宋体" w:cs="宋体"/>
          <w:b/>
          <w:bCs/>
          <w:color w:val="auto"/>
          <w:sz w:val="24"/>
          <w:szCs w:val="24"/>
          <w:highlight w:val="none"/>
          <w:lang w:bidi="ar"/>
        </w:rPr>
        <w:t>1</w:t>
      </w:r>
      <w:r>
        <w:rPr>
          <w:rFonts w:hint="eastAsia" w:ascii="宋体" w:hAnsi="宋体" w:eastAsia="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bidi="ar"/>
        </w:rPr>
        <w:t>.</w:t>
      </w:r>
      <w:r>
        <w:rPr>
          <w:rFonts w:hint="eastAsia" w:ascii="宋体" w:hAnsi="宋体" w:eastAsia="宋体" w:cs="宋体"/>
          <w:b/>
          <w:bCs/>
          <w:color w:val="auto"/>
          <w:sz w:val="24"/>
          <w:szCs w:val="24"/>
          <w:highlight w:val="none"/>
          <w:lang w:val="en-US" w:eastAsia="zh-CN" w:bidi="ar"/>
        </w:rPr>
        <w:t xml:space="preserve">33 </w:t>
      </w:r>
      <w:r>
        <w:rPr>
          <w:rFonts w:hint="eastAsia" w:ascii="宋体" w:hAnsi="宋体" w:eastAsia="宋体" w:cs="宋体"/>
          <w:color w:val="auto"/>
          <w:sz w:val="24"/>
          <w:szCs w:val="24"/>
          <w:highlight w:val="none"/>
          <w:lang w:bidi="ar"/>
        </w:rPr>
        <w:t>工程完工后，为了本项目整体竣工验收的需要，承包人必须在发包人的统筹安排下，与为本项目其他工程服务的单位进行协同配合，做好竣工验收的各项工作，交付的工程必须符合各专业工程管养单位的相关要求。</w:t>
      </w:r>
    </w:p>
    <w:p w14:paraId="3B519A5C">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 xml:space="preserve">14.34 </w:t>
      </w:r>
      <w:r>
        <w:rPr>
          <w:rFonts w:hint="eastAsia" w:ascii="宋体" w:hAnsi="宋体" w:eastAsia="宋体" w:cs="宋体"/>
          <w:color w:val="auto"/>
          <w:sz w:val="24"/>
          <w:szCs w:val="24"/>
          <w:highlight w:val="none"/>
          <w:lang w:val="en-US" w:eastAsia="zh-CN" w:bidi="ar"/>
        </w:rPr>
        <w:t>本工程评标专家酬劳由中标人支付，该费用不再另行报价，由投标人在投标报价时综合考虑在内。中标人在领取中标通知书前须向招标代理机构评标专家酬劳。</w:t>
      </w:r>
    </w:p>
    <w:p w14:paraId="15C8F07A">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 xml:space="preserve">14.35 </w:t>
      </w:r>
      <w:r>
        <w:rPr>
          <w:rFonts w:hint="eastAsia" w:ascii="宋体" w:hAnsi="宋体" w:eastAsia="宋体" w:cs="宋体"/>
          <w:color w:val="auto"/>
          <w:sz w:val="24"/>
          <w:szCs w:val="24"/>
          <w:highlight w:val="none"/>
          <w:lang w:val="en-US" w:eastAsia="zh-CN" w:bidi="ar"/>
        </w:rPr>
        <w:t>发包人仅在征地红线范围内提供场地，其他一切场地费用由承包人自行负责（含临时道路），因实施合同工程的需要，承包人须占用场地外的道路及修建场外用地、设施等，均由承包人自行负责。承包人自行办理所需的申请手续，并承担一切所需的费用，承包人须负责保持场内外的临时道路畅通，提供指示牌、警告告示、灯号及所需之交通指导员等一切安全措施以保障行人安全及车辆安全行驶，并承担因其失责引起之所有索偿。基坑开挖期间，承包人须于基坑至工地出入口设置挖运土（石）方的专用便道，便道须作填硬质渣土或浇混凝土路面等加硬处理，以确保雨天仍能安全施工。该费用已包含在合同单价中；超大件和超重件运输所需的一切费用包括但不限于道路和桥梁临时加固改造费用等均由承包人自行负责。</w:t>
      </w:r>
    </w:p>
    <w:p w14:paraId="7BC02A5C">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14.36</w:t>
      </w:r>
      <w:r>
        <w:rPr>
          <w:rFonts w:hint="eastAsia" w:ascii="宋体" w:hAnsi="宋体" w:eastAsia="宋体" w:cs="宋体"/>
          <w:color w:val="auto"/>
          <w:sz w:val="24"/>
          <w:szCs w:val="24"/>
          <w:highlight w:val="none"/>
          <w:lang w:val="en-US" w:eastAsia="zh-CN" w:bidi="ar"/>
        </w:rPr>
        <w:t xml:space="preserve"> 承包人应对所有现场作业、所有施工方法和全部工程的完备性、稳定性和安全性负责，负责施工场地安全保卫工作，防止因工程施工造成的人身伤害和财产损失，提供和维修施工照明、围栏设施及要约标志以满足现场实际需要。</w:t>
      </w:r>
    </w:p>
    <w:p w14:paraId="2AF70A31">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14.37</w:t>
      </w:r>
      <w:r>
        <w:rPr>
          <w:rFonts w:hint="eastAsia" w:ascii="宋体" w:hAnsi="宋体" w:eastAsia="宋体" w:cs="宋体"/>
          <w:color w:val="auto"/>
          <w:sz w:val="24"/>
          <w:szCs w:val="24"/>
          <w:highlight w:val="none"/>
          <w:lang w:val="en-US" w:eastAsia="zh-CN" w:bidi="ar"/>
        </w:rPr>
        <w:t xml:space="preserve"> 遵守国家、广东省及韶关市现行的法律、条例、规定和通知，并办理所需的申请和支付有关的法定费用和税项（包括但不限于营业税及其附加税/增值税及其附加税或其他任何因履行合同需由承包商承担的相关税金）。包括但不限于施工场地交通、余泥排放、环境保护、安全防护、文明施工、施工噪音管理、夜间施工、排水许可、施工爆破许可等的申请及支付有关费用。</w:t>
      </w:r>
    </w:p>
    <w:p w14:paraId="063FC5C3">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14.38</w:t>
      </w:r>
      <w:r>
        <w:rPr>
          <w:rFonts w:hint="eastAsia" w:ascii="宋体" w:hAnsi="宋体" w:eastAsia="宋体" w:cs="宋体"/>
          <w:color w:val="auto"/>
          <w:sz w:val="24"/>
          <w:szCs w:val="24"/>
          <w:highlight w:val="none"/>
          <w:lang w:val="en-US" w:eastAsia="zh-CN" w:bidi="ar"/>
        </w:rPr>
        <w:t xml:space="preserve"> 遵守政府部门有关环境卫生的管理规定，保证施工场地的清洁和交工前施工现场的清理，并承担因自身责任造成的损失和罚款。</w:t>
      </w:r>
    </w:p>
    <w:p w14:paraId="7AA249D9">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14.39</w:t>
      </w:r>
      <w:r>
        <w:rPr>
          <w:rFonts w:hint="eastAsia" w:ascii="宋体" w:hAnsi="宋体" w:eastAsia="宋体" w:cs="宋体"/>
          <w:color w:val="auto"/>
          <w:sz w:val="24"/>
          <w:szCs w:val="24"/>
          <w:highlight w:val="none"/>
          <w:lang w:val="en-US" w:eastAsia="zh-CN" w:bidi="ar"/>
        </w:rPr>
        <w:t xml:space="preserve"> 工程完工后，应按照合同约定提交竣工验收申请报告、竣工图纸和资料及竣工结算文件。本项目的工程竣工图亦须由承包人负责编制及提交，相关费用和利润视作已考虑在合同价款内。</w:t>
      </w:r>
    </w:p>
    <w:p w14:paraId="3C2AFE01">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 xml:space="preserve">14.40 </w:t>
      </w:r>
      <w:r>
        <w:rPr>
          <w:rFonts w:hint="eastAsia" w:ascii="宋体" w:hAnsi="宋体" w:eastAsia="宋体" w:cs="宋体"/>
          <w:color w:val="auto"/>
          <w:sz w:val="24"/>
          <w:szCs w:val="24"/>
          <w:highlight w:val="none"/>
          <w:lang w:val="en-US" w:eastAsia="zh-CN" w:bidi="ar"/>
        </w:rPr>
        <w:t>自行办理本工程施工所需的道路占用手续（包括开路口），负责有关申请及维持占用道路所需的一切费用，并负责本工程的红线外的一切场地使用费用。</w:t>
      </w:r>
    </w:p>
    <w:p w14:paraId="76AC80F6">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14.41</w:t>
      </w:r>
      <w:r>
        <w:rPr>
          <w:rFonts w:hint="eastAsia" w:ascii="宋体" w:hAnsi="宋体" w:eastAsia="宋体" w:cs="宋体"/>
          <w:color w:val="auto"/>
          <w:sz w:val="24"/>
          <w:szCs w:val="24"/>
          <w:highlight w:val="none"/>
          <w:lang w:val="en-US" w:eastAsia="zh-CN" w:bidi="ar"/>
        </w:rPr>
        <w:t xml:space="preserve"> 对于承包人或其指定分包人所雇用的工人或任何其它人员的伤亡或赔偿，承包人应保证发包人免负该等责任，且保证发包人不负担涉及这类伤亡与赔偿或与此有关的索赔和诉讼，损害赔偿、诉讼费、赔偿费及其它费用均由承包人自行负责，另承包人由于伤亡事故而造成本工程停工的，发包人将不予顺延工期，其所有损失由承包人自负。但由于发包人或监理工程师的行为失误所造成的伤亡除外。</w:t>
      </w:r>
    </w:p>
    <w:p w14:paraId="51463F01">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 xml:space="preserve">14.42 </w:t>
      </w:r>
      <w:r>
        <w:rPr>
          <w:rFonts w:hint="eastAsia" w:ascii="宋体" w:hAnsi="宋体" w:eastAsia="宋体" w:cs="宋体"/>
          <w:color w:val="auto"/>
          <w:sz w:val="24"/>
          <w:szCs w:val="24"/>
          <w:highlight w:val="none"/>
          <w:lang w:val="en-US" w:eastAsia="zh-CN" w:bidi="ar"/>
        </w:rPr>
        <w:t>应发包人要求对所有隐蔽工程施工进行录像并刻录成光盘，于工程验收时一并提交。</w:t>
      </w:r>
    </w:p>
    <w:p w14:paraId="28F2AA3A">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14.43</w:t>
      </w:r>
      <w:r>
        <w:rPr>
          <w:rFonts w:hint="eastAsia" w:ascii="宋体" w:hAnsi="宋体" w:eastAsia="宋体" w:cs="宋体"/>
          <w:color w:val="auto"/>
          <w:sz w:val="24"/>
          <w:szCs w:val="24"/>
          <w:highlight w:val="none"/>
          <w:lang w:val="en-US" w:eastAsia="zh-CN" w:bidi="ar"/>
        </w:rPr>
        <w:t xml:space="preserve"> 本工程竣工交付予发包人，或合同终止之日起30天内时，承包人应将全部场地清理干净退还发包人。如承包人逾期未退还场地，承包人须按每天5元/m2向发包人缴纳场地占用费。</w:t>
      </w:r>
    </w:p>
    <w:p w14:paraId="795D743C">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 xml:space="preserve">14.44 </w:t>
      </w:r>
      <w:r>
        <w:rPr>
          <w:rFonts w:hint="eastAsia" w:ascii="宋体" w:hAnsi="宋体" w:eastAsia="宋体" w:cs="宋体"/>
          <w:color w:val="auto"/>
          <w:sz w:val="24"/>
          <w:szCs w:val="24"/>
          <w:highlight w:val="none"/>
          <w:lang w:val="en-US" w:eastAsia="zh-CN" w:bidi="ar"/>
        </w:rPr>
        <w:t>承包人必须参加各专业工程的图纸会审，对于专业工程与土建工程有冲突的地方，有义务提出修改建议和解决方案，否则，因此产生的费用将不予签证和工程设计变更。</w:t>
      </w:r>
    </w:p>
    <w:p w14:paraId="4EC76AF2">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14.45</w:t>
      </w:r>
      <w:r>
        <w:rPr>
          <w:rFonts w:hint="eastAsia" w:ascii="宋体" w:hAnsi="宋体" w:eastAsia="宋体" w:cs="宋体"/>
          <w:color w:val="auto"/>
          <w:sz w:val="24"/>
          <w:szCs w:val="24"/>
          <w:highlight w:val="none"/>
          <w:lang w:val="en-US" w:eastAsia="zh-CN" w:bidi="ar"/>
        </w:rPr>
        <w:t xml:space="preserve"> 承包人应根据发包人提供的正式变更资料及时进行工程变更，工程变更完成并由监理工程师和发包人书面确认后，承包人在30天内向发包人和造价工程师提出工程变更预算(包括经确认完成的变更证明资料及相应图纸、计算明细及单价组成等)，在30天内未提交的，视为变更不涉及费用的增加和工期的延长。承包人需按发包人的要求在每月20日前对设计变更及现场签证的事项台账及预算台账进行更新填报，若承包人漏报，发包人将视为该工作或签证不涉及费用的增加及工期的延长。承包人不得高估冒算，承包人预（结）算的送审价高出发包人审定价20%，承包人按以下方式承担违约金：违约金＝(承包人预（结）算送审造价－发包人预（结）算审定价×1.2)×10%，在预（结）算款项中以违约金形式扣除。</w:t>
      </w:r>
    </w:p>
    <w:p w14:paraId="1C385329">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14.46</w:t>
      </w:r>
      <w:r>
        <w:rPr>
          <w:rFonts w:hint="eastAsia" w:ascii="宋体" w:hAnsi="宋体" w:eastAsia="宋体" w:cs="宋体"/>
          <w:color w:val="auto"/>
          <w:sz w:val="24"/>
          <w:szCs w:val="24"/>
          <w:highlight w:val="none"/>
          <w:lang w:val="en-US" w:eastAsia="zh-CN" w:bidi="ar"/>
        </w:rPr>
        <w:t xml:space="preserve"> 在展开任何工作或订购任何材料设备前，承包人须核实图纸上及现场所有尺寸，及审核现场、图纸、标准、规范之间有没有不符，若发现有任何错漏、疏忽或偏差，必须立即以书面形式通知发包人和监理工程师，由发包人给予指示。发包人的任何指示皆不会免除或减轻承包人按合同所承担的义务和责任。发包人不负责承包人未有充分审核而引致的虚耗材料设备、工作或进度拖延。</w:t>
      </w:r>
    </w:p>
    <w:p w14:paraId="5355B9EE">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14.47</w:t>
      </w:r>
      <w:r>
        <w:rPr>
          <w:rFonts w:hint="eastAsia" w:ascii="宋体" w:hAnsi="宋体" w:eastAsia="宋体" w:cs="宋体"/>
          <w:color w:val="auto"/>
          <w:sz w:val="24"/>
          <w:szCs w:val="24"/>
          <w:highlight w:val="none"/>
          <w:lang w:val="en-US" w:eastAsia="zh-CN" w:bidi="ar"/>
        </w:rPr>
        <w:t xml:space="preserve"> 合同价款已包括探明、打碎及移去所有在施工期间所遇到的地下障碍物如石块、结构混凝土、素混凝土、砖块、坟头等，及用经认可的土壤回填于空位内，合同价款亦已包括因上述障碍物而引致工人及机械窝工的费用及其它一切费用。</w:t>
      </w:r>
    </w:p>
    <w:p w14:paraId="63DCCC16">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14.48</w:t>
      </w:r>
      <w:r>
        <w:rPr>
          <w:rFonts w:hint="eastAsia" w:ascii="宋体" w:hAnsi="宋体" w:eastAsia="宋体" w:cs="宋体"/>
          <w:color w:val="auto"/>
          <w:sz w:val="24"/>
          <w:szCs w:val="24"/>
          <w:highlight w:val="none"/>
          <w:lang w:val="en-US" w:eastAsia="zh-CN" w:bidi="ar"/>
        </w:rPr>
        <w:t xml:space="preserve"> 合同履行期间，除分部分项工程量清单内人工及模板人工（不包含机械费中的人工）与分部分项工程清单内的商品混凝土、商品砂浆、钢筋、结构用型钢、砌体、在约定的条件下可调整价差外，合同价款及单价不会因任何物价或汇率的变动而作调整。</w:t>
      </w:r>
    </w:p>
    <w:p w14:paraId="7F21AC15">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bidi="ar"/>
        </w:rPr>
        <w:t>14.49</w:t>
      </w:r>
      <w:r>
        <w:rPr>
          <w:rFonts w:hint="eastAsia" w:ascii="宋体" w:hAnsi="宋体" w:eastAsia="宋体" w:cs="宋体"/>
          <w:color w:val="auto"/>
          <w:sz w:val="24"/>
          <w:szCs w:val="24"/>
          <w:highlight w:val="none"/>
          <w:lang w:val="en-US" w:eastAsia="zh-CN" w:bidi="ar"/>
        </w:rPr>
        <w:t xml:space="preserve"> 承包人应积极配合发包人进行与自行施工范围有关的变更、签证“一月一清”工作。</w:t>
      </w:r>
    </w:p>
    <w:p w14:paraId="00C1BF8E">
      <w:pPr>
        <w:keepNext w:val="0"/>
        <w:keepLines w:val="0"/>
        <w:pageBreakBefore w:val="0"/>
        <w:overflowPunct/>
        <w:bidi w:val="0"/>
        <w:snapToGrid w:val="0"/>
        <w:spacing w:before="151" w:line="450" w:lineRule="exact"/>
        <w:ind w:left="476"/>
        <w:outlineLvl w:val="2"/>
        <w:rPr>
          <w:rFonts w:hint="eastAsia" w:ascii="宋体" w:hAnsi="宋体" w:eastAsia="宋体" w:cs="宋体"/>
          <w:b/>
          <w:bCs/>
          <w:color w:val="auto"/>
          <w:spacing w:val="-11"/>
          <w:sz w:val="24"/>
          <w:szCs w:val="24"/>
          <w:highlight w:val="none"/>
          <w:lang w:val="en-US" w:eastAsia="zh-CN"/>
        </w:rPr>
      </w:pPr>
      <w:bookmarkStart w:id="214" w:name="_Toc5405"/>
      <w:bookmarkStart w:id="215" w:name="_Toc9877"/>
      <w:r>
        <w:rPr>
          <w:rFonts w:hint="eastAsia" w:ascii="宋体" w:hAnsi="宋体" w:eastAsia="宋体" w:cs="宋体"/>
          <w:b/>
          <w:bCs/>
          <w:color w:val="auto"/>
          <w:spacing w:val="-11"/>
          <w:sz w:val="24"/>
          <w:szCs w:val="24"/>
          <w:highlight w:val="none"/>
          <w:lang w:val="en-US" w:eastAsia="zh-CN"/>
        </w:rPr>
        <w:t>15.违约及质量保证条款</w:t>
      </w:r>
      <w:bookmarkEnd w:id="214"/>
    </w:p>
    <w:p w14:paraId="5C6DFEF1">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b/>
          <w:bCs/>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 xml:space="preserve">15.1 </w:t>
      </w:r>
      <w:r>
        <w:rPr>
          <w:rFonts w:hint="eastAsia" w:ascii="宋体" w:hAnsi="宋体" w:eastAsia="宋体" w:cs="宋体"/>
          <w:b w:val="0"/>
          <w:bCs w:val="0"/>
          <w:color w:val="auto"/>
          <w:sz w:val="24"/>
          <w:szCs w:val="24"/>
          <w:highlight w:val="none"/>
          <w:lang w:val="en-US" w:eastAsia="zh-CN" w:bidi="ar"/>
        </w:rPr>
        <w:t>工程移交延误违约</w:t>
      </w:r>
      <w:bookmarkEnd w:id="215"/>
    </w:p>
    <w:p w14:paraId="31F6C22F">
      <w:pPr>
        <w:pStyle w:val="36"/>
        <w:keepNext w:val="0"/>
        <w:keepLines w:val="0"/>
        <w:pageBreakBefore w:val="0"/>
        <w:overflowPunct/>
        <w:bidi w:val="0"/>
        <w:snapToGrid w:val="0"/>
        <w:spacing w:line="450" w:lineRule="exact"/>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15.1.1</w:t>
      </w:r>
      <w:r>
        <w:rPr>
          <w:rFonts w:hint="eastAsia" w:ascii="宋体" w:hAnsi="宋体" w:eastAsia="宋体" w:cs="宋体"/>
          <w:b w:val="0"/>
          <w:bCs w:val="0"/>
          <w:snapToGrid w:val="0"/>
          <w:color w:val="auto"/>
          <w:kern w:val="0"/>
          <w:sz w:val="24"/>
          <w:szCs w:val="24"/>
          <w:highlight w:val="none"/>
          <w:lang w:val="en-US" w:eastAsia="zh-CN"/>
        </w:rPr>
        <w:t>因承包人原因，工程没有按期竣工时，承包人须在逾期第壹天起每天按合同价的</w:t>
      </w:r>
      <w:r>
        <w:rPr>
          <w:rFonts w:hint="eastAsia" w:ascii="宋体" w:hAnsi="宋体" w:eastAsia="宋体" w:cs="宋体"/>
          <w:b w:val="0"/>
          <w:bCs w:val="0"/>
          <w:snapToGrid w:val="0"/>
          <w:color w:val="auto"/>
          <w:kern w:val="0"/>
          <w:sz w:val="24"/>
          <w:szCs w:val="24"/>
          <w:highlight w:val="none"/>
          <w:u w:val="single"/>
          <w:lang w:val="en-US" w:eastAsia="zh-CN"/>
        </w:rPr>
        <w:t>1‰</w:t>
      </w:r>
      <w:r>
        <w:rPr>
          <w:rFonts w:hint="eastAsia" w:ascii="宋体" w:hAnsi="宋体" w:eastAsia="宋体" w:cs="宋体"/>
          <w:b w:val="0"/>
          <w:bCs w:val="0"/>
          <w:snapToGrid w:val="0"/>
          <w:color w:val="auto"/>
          <w:kern w:val="0"/>
          <w:sz w:val="24"/>
          <w:szCs w:val="24"/>
          <w:highlight w:val="none"/>
          <w:lang w:val="en-US" w:eastAsia="zh-CN"/>
        </w:rPr>
        <w:t>向发包人返纳逾期竣工违约金。逾期竣工违约金的最高限额为合同价款的</w:t>
      </w:r>
      <w:r>
        <w:rPr>
          <w:rFonts w:hint="eastAsia" w:ascii="宋体" w:hAnsi="宋体" w:eastAsia="宋体" w:cs="宋体"/>
          <w:b w:val="0"/>
          <w:bCs w:val="0"/>
          <w:snapToGrid w:val="0"/>
          <w:color w:val="auto"/>
          <w:kern w:val="0"/>
          <w:sz w:val="24"/>
          <w:szCs w:val="24"/>
          <w:highlight w:val="none"/>
          <w:u w:val="single"/>
          <w:lang w:val="en-US" w:eastAsia="zh-CN"/>
        </w:rPr>
        <w:t>1%</w:t>
      </w:r>
      <w:r>
        <w:rPr>
          <w:rFonts w:hint="eastAsia" w:ascii="宋体" w:hAnsi="宋体" w:eastAsia="宋体" w:cs="宋体"/>
          <w:b w:val="0"/>
          <w:bCs w:val="0"/>
          <w:snapToGrid w:val="0"/>
          <w:color w:val="auto"/>
          <w:kern w:val="0"/>
          <w:sz w:val="24"/>
          <w:szCs w:val="24"/>
          <w:highlight w:val="none"/>
          <w:lang w:val="en-US" w:eastAsia="zh-CN"/>
        </w:rPr>
        <w:t>。</w:t>
      </w:r>
    </w:p>
    <w:p w14:paraId="69A5421A">
      <w:pPr>
        <w:keepNext w:val="0"/>
        <w:keepLines w:val="0"/>
        <w:pageBreakBefore w:val="0"/>
        <w:overflowPunct/>
        <w:bidi w:val="0"/>
        <w:snapToGrid w:val="0"/>
        <w:spacing w:line="450" w:lineRule="exact"/>
        <w:ind w:firstLine="475" w:firstLineChars="19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rPr>
        <w:t>.1.2</w:t>
      </w:r>
      <w:r>
        <w:rPr>
          <w:rFonts w:hint="eastAsia" w:ascii="宋体" w:hAnsi="宋体" w:eastAsia="宋体" w:cs="宋体"/>
          <w:iCs/>
          <w:color w:val="auto"/>
          <w:sz w:val="24"/>
          <w:szCs w:val="24"/>
          <w:highlight w:val="none"/>
        </w:rPr>
        <w:t>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w:t>
      </w:r>
      <w:r>
        <w:rPr>
          <w:rFonts w:hint="eastAsia" w:ascii="宋体" w:hAnsi="宋体" w:eastAsia="宋体" w:cs="宋体"/>
          <w:color w:val="auto"/>
          <w:sz w:val="24"/>
          <w:szCs w:val="24"/>
          <w:highlight w:val="none"/>
        </w:rPr>
        <w:t>每次按2000元缴纳违约金给发包人，在结算中一并扣除。</w:t>
      </w:r>
    </w:p>
    <w:p w14:paraId="184811B5">
      <w:pPr>
        <w:pStyle w:val="36"/>
        <w:keepNext w:val="0"/>
        <w:keepLines w:val="0"/>
        <w:pageBreakBefore w:val="0"/>
        <w:overflowPunct/>
        <w:bidi w:val="0"/>
        <w:snapToGrid w:val="0"/>
        <w:spacing w:line="450" w:lineRule="exact"/>
        <w:ind w:firstLine="560"/>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lang w:val="en-US" w:eastAsia="zh-CN"/>
        </w:rPr>
        <w:t>15</w:t>
      </w:r>
      <w:r>
        <w:rPr>
          <w:rFonts w:hint="eastAsia" w:ascii="宋体" w:hAnsi="宋体" w:eastAsia="宋体" w:cs="宋体"/>
          <w:b/>
          <w:bCs/>
          <w:snapToGrid w:val="0"/>
          <w:color w:val="auto"/>
          <w:kern w:val="0"/>
          <w:sz w:val="24"/>
          <w:szCs w:val="24"/>
          <w:highlight w:val="none"/>
        </w:rPr>
        <w:t>.1.3</w:t>
      </w:r>
      <w:r>
        <w:rPr>
          <w:rFonts w:hint="eastAsia" w:ascii="宋体" w:hAnsi="宋体" w:eastAsia="宋体" w:cs="宋体"/>
          <w:color w:val="auto"/>
          <w:sz w:val="24"/>
          <w:szCs w:val="24"/>
          <w:highlight w:val="none"/>
        </w:rPr>
        <w:t>承包人在进场后7天内提交施工进度计划，并注明主要施工节点时间，送监理单位及发包人审核后，作为工期考核的阶段性指标。</w:t>
      </w:r>
    </w:p>
    <w:p w14:paraId="5683EBA0">
      <w:pPr>
        <w:pStyle w:val="36"/>
        <w:keepNext w:val="0"/>
        <w:keepLines w:val="0"/>
        <w:pageBreakBefore w:val="0"/>
        <w:widowControl/>
        <w:wordWrap w:val="0"/>
        <w:overflowPunct/>
        <w:bidi w:val="0"/>
        <w:adjustRightInd w:val="0"/>
        <w:snapToGrid w:val="0"/>
        <w:spacing w:line="450" w:lineRule="exact"/>
        <w:ind w:firstLine="560"/>
        <w:rPr>
          <w:rFonts w:hint="eastAsia" w:ascii="宋体" w:hAnsi="宋体" w:eastAsia="宋体" w:cs="宋体"/>
          <w:b/>
          <w:bCs/>
          <w:color w:val="auto"/>
          <w:sz w:val="24"/>
          <w:szCs w:val="24"/>
          <w:highlight w:val="none"/>
          <w:lang w:val="en-US" w:eastAsia="zh-CN" w:bidi="ar"/>
        </w:rPr>
      </w:pPr>
      <w:bookmarkStart w:id="216" w:name="_Toc25518"/>
      <w:r>
        <w:rPr>
          <w:rFonts w:hint="eastAsia" w:ascii="宋体" w:hAnsi="宋体" w:eastAsia="宋体" w:cs="宋体"/>
          <w:b/>
          <w:bCs/>
          <w:color w:val="auto"/>
          <w:sz w:val="24"/>
          <w:szCs w:val="24"/>
          <w:highlight w:val="none"/>
          <w:lang w:val="en-US" w:eastAsia="zh-CN" w:bidi="ar"/>
        </w:rPr>
        <w:t xml:space="preserve">15.2 </w:t>
      </w:r>
      <w:r>
        <w:rPr>
          <w:rFonts w:hint="eastAsia" w:ascii="宋体" w:hAnsi="宋体" w:eastAsia="宋体" w:cs="宋体"/>
          <w:b w:val="0"/>
          <w:bCs w:val="0"/>
          <w:color w:val="auto"/>
          <w:sz w:val="24"/>
          <w:szCs w:val="24"/>
          <w:highlight w:val="none"/>
          <w:lang w:val="en-US" w:eastAsia="zh-CN" w:bidi="ar"/>
        </w:rPr>
        <w:t>质量违约</w:t>
      </w:r>
      <w:bookmarkEnd w:id="216"/>
    </w:p>
    <w:p w14:paraId="5B590154">
      <w:pPr>
        <w:keepNext w:val="0"/>
        <w:keepLines w:val="0"/>
        <w:pageBreakBefore w:val="0"/>
        <w:widowControl w:val="0"/>
        <w:kinsoku w:val="0"/>
        <w:wordWrap/>
        <w:overflowPunct/>
        <w:autoSpaceDE w:val="0"/>
        <w:autoSpaceDN w:val="0"/>
        <w:bidi w:val="0"/>
        <w:adjustRightInd w:val="0"/>
        <w:snapToGrid w:val="0"/>
        <w:spacing w:line="450" w:lineRule="exact"/>
        <w:ind w:firstLine="475" w:firstLineChars="197"/>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rPr>
        <w:t>.2.1</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rPr>
        <w:t>材料违约处理：若发现材料不符合国家标准或发包人在技术规范中规定的标准，视为承包人违约，按现行《建设工程质量管理条例》处理。</w:t>
      </w:r>
    </w:p>
    <w:p w14:paraId="62CA50D5">
      <w:pPr>
        <w:pStyle w:val="37"/>
        <w:keepNext w:val="0"/>
        <w:keepLines w:val="0"/>
        <w:pageBreakBefore w:val="0"/>
        <w:widowControl w:val="0"/>
        <w:kinsoku w:val="0"/>
        <w:wordWrap/>
        <w:overflowPunct/>
        <w:autoSpaceDE w:val="0"/>
        <w:autoSpaceDN w:val="0"/>
        <w:bidi w:val="0"/>
        <w:adjustRightInd w:val="0"/>
        <w:snapToGrid w:val="0"/>
        <w:spacing w:line="450" w:lineRule="exact"/>
        <w:ind w:firstLine="490"/>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15</w:t>
      </w:r>
      <w:r>
        <w:rPr>
          <w:rFonts w:hint="eastAsia" w:ascii="宋体" w:hAnsi="宋体" w:eastAsia="宋体" w:cs="宋体"/>
          <w:b/>
          <w:color w:val="auto"/>
          <w:sz w:val="24"/>
          <w:szCs w:val="24"/>
          <w:highlight w:val="none"/>
        </w:rPr>
        <w:t>.2.1.1</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color w:val="auto"/>
          <w:sz w:val="24"/>
          <w:szCs w:val="24"/>
          <w:highlight w:val="none"/>
        </w:rPr>
        <w:t>成品采购项目在采购前，承包人必须先行书面征求监理人、发包人的同意并一起看样定版后方能实施。未经监理人、发包人同意擅自先行采购和实施的，否则因不符合设计要求返工造成的费用由承包人承担。</w:t>
      </w:r>
    </w:p>
    <w:p w14:paraId="05FA5BD0">
      <w:pPr>
        <w:keepNext w:val="0"/>
        <w:keepLines w:val="0"/>
        <w:pageBreakBefore w:val="0"/>
        <w:widowControl w:val="0"/>
        <w:kinsoku w:val="0"/>
        <w:wordWrap/>
        <w:overflowPunct/>
        <w:autoSpaceDE w:val="0"/>
        <w:autoSpaceDN w:val="0"/>
        <w:bidi w:val="0"/>
        <w:adjustRightInd w:val="0"/>
        <w:snapToGrid w:val="0"/>
        <w:spacing w:line="450" w:lineRule="exact"/>
        <w:ind w:firstLine="475" w:firstLineChars="197"/>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rPr>
        <w:t>.2.2</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rPr>
        <w:t>工程质量违约：</w:t>
      </w:r>
    </w:p>
    <w:p w14:paraId="4844A88C">
      <w:pPr>
        <w:keepNext w:val="0"/>
        <w:keepLines w:val="0"/>
        <w:pageBreakBefore w:val="0"/>
        <w:widowControl w:val="0"/>
        <w:kinsoku w:val="0"/>
        <w:wordWrap/>
        <w:overflowPunct/>
        <w:autoSpaceDE w:val="0"/>
        <w:autoSpaceDN w:val="0"/>
        <w:bidi w:val="0"/>
        <w:adjustRightInd w:val="0"/>
        <w:snapToGrid w:val="0"/>
        <w:spacing w:line="450" w:lineRule="exact"/>
        <w:ind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rPr>
        <w:t>.2.2.1</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rPr>
        <w:t>在施工过程中经监理单位日常巡查或抽检发现未达到合格标准，责令承包人进行整改，如未按规定时间进行整改或整改不到位的，每次按5000元缴纳违约金给发包人，在进度款或结算款中一并扣除。</w:t>
      </w:r>
    </w:p>
    <w:p w14:paraId="3C58D568">
      <w:pPr>
        <w:keepNext w:val="0"/>
        <w:keepLines w:val="0"/>
        <w:pageBreakBefore w:val="0"/>
        <w:widowControl w:val="0"/>
        <w:kinsoku w:val="0"/>
        <w:wordWrap/>
        <w:overflowPunct/>
        <w:autoSpaceDE w:val="0"/>
        <w:autoSpaceDN w:val="0"/>
        <w:bidi w:val="0"/>
        <w:adjustRightInd w:val="0"/>
        <w:snapToGrid w:val="0"/>
        <w:spacing w:line="450" w:lineRule="exact"/>
        <w:ind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rPr>
        <w:t>.2.2.2</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rPr>
        <w:t>工程质量标准须</w:t>
      </w:r>
      <w:r>
        <w:rPr>
          <w:rFonts w:hint="eastAsia" w:ascii="宋体" w:hAnsi="宋体" w:eastAsia="宋体" w:cs="宋体"/>
          <w:color w:val="auto"/>
          <w:sz w:val="24"/>
          <w:szCs w:val="24"/>
          <w:highlight w:val="none"/>
          <w:lang w:eastAsia="zh-CN"/>
        </w:rPr>
        <w:t>达到《建筑工程施工质量验收统一标准》(GB50300-2013)和《建筑与市政工程施工质量控制通用规范》（GB55032-2022）合格</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如未达到合格标准，除无偿返工至合格外，还要按合同价款的1%向招标人支付质量违约金，工期不予顺延。</w:t>
      </w:r>
    </w:p>
    <w:p w14:paraId="3075DF03">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b w:val="0"/>
          <w:bCs w:val="0"/>
          <w:color w:val="auto"/>
          <w:sz w:val="24"/>
          <w:szCs w:val="24"/>
          <w:highlight w:val="none"/>
          <w:lang w:val="en-US" w:eastAsia="zh-CN" w:bidi="ar"/>
        </w:rPr>
      </w:pPr>
      <w:bookmarkStart w:id="217" w:name="_Toc6857"/>
      <w:r>
        <w:rPr>
          <w:rFonts w:hint="eastAsia" w:ascii="宋体" w:hAnsi="宋体" w:eastAsia="宋体" w:cs="宋体"/>
          <w:b/>
          <w:bCs/>
          <w:color w:val="auto"/>
          <w:sz w:val="24"/>
          <w:szCs w:val="24"/>
          <w:highlight w:val="none"/>
          <w:lang w:val="en-US" w:eastAsia="zh-CN" w:bidi="ar"/>
        </w:rPr>
        <w:t xml:space="preserve">15.3 </w:t>
      </w:r>
      <w:r>
        <w:rPr>
          <w:rFonts w:hint="eastAsia" w:ascii="宋体" w:hAnsi="宋体" w:eastAsia="宋体" w:cs="宋体"/>
          <w:b w:val="0"/>
          <w:bCs w:val="0"/>
          <w:color w:val="auto"/>
          <w:sz w:val="24"/>
          <w:szCs w:val="24"/>
          <w:highlight w:val="none"/>
          <w:lang w:val="en-US" w:eastAsia="zh-CN" w:bidi="ar"/>
        </w:rPr>
        <w:t>重大责任事故违约</w:t>
      </w:r>
      <w:bookmarkEnd w:id="217"/>
    </w:p>
    <w:p w14:paraId="25EC4302">
      <w:pPr>
        <w:keepNext w:val="0"/>
        <w:keepLines w:val="0"/>
        <w:pageBreakBefore w:val="0"/>
        <w:overflowPunct/>
        <w:bidi w:val="0"/>
        <w:snapToGrid w:val="0"/>
        <w:spacing w:line="450" w:lineRule="exact"/>
        <w:ind w:firstLine="475" w:firstLineChars="19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rPr>
        <w:t>.3.1</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rPr>
        <w:t>承包人因违反国家安全质量法规及合同有关条款约定,出现火灾、坍塌、人员重伤、死亡等重大责任事故,则承包人应承担全部损失,并按相关法规接受行政处罚；如造成发包人及对第三人利益的损害,该等损害赔偿责任均由承包人承担。</w:t>
      </w:r>
    </w:p>
    <w:p w14:paraId="23EE36C6">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b/>
          <w:bCs/>
          <w:color w:val="auto"/>
          <w:sz w:val="24"/>
          <w:szCs w:val="24"/>
          <w:highlight w:val="none"/>
          <w:lang w:val="en-US" w:eastAsia="zh-CN" w:bidi="ar"/>
        </w:rPr>
      </w:pPr>
      <w:bookmarkStart w:id="218" w:name="_Toc8249"/>
      <w:r>
        <w:rPr>
          <w:rFonts w:hint="eastAsia" w:ascii="宋体" w:hAnsi="宋体" w:eastAsia="宋体" w:cs="宋体"/>
          <w:b/>
          <w:bCs/>
          <w:color w:val="auto"/>
          <w:sz w:val="24"/>
          <w:szCs w:val="24"/>
          <w:highlight w:val="none"/>
          <w:lang w:val="en-US" w:eastAsia="zh-CN" w:bidi="ar"/>
        </w:rPr>
        <w:t xml:space="preserve">15.4 </w:t>
      </w:r>
      <w:r>
        <w:rPr>
          <w:rFonts w:hint="eastAsia" w:ascii="宋体" w:hAnsi="宋体" w:eastAsia="宋体" w:cs="宋体"/>
          <w:b w:val="0"/>
          <w:bCs w:val="0"/>
          <w:color w:val="auto"/>
          <w:sz w:val="24"/>
          <w:szCs w:val="24"/>
          <w:highlight w:val="none"/>
          <w:lang w:val="en-US" w:eastAsia="zh-CN" w:bidi="ar"/>
        </w:rPr>
        <w:t>用工违约</w:t>
      </w:r>
      <w:bookmarkEnd w:id="218"/>
    </w:p>
    <w:p w14:paraId="1D4E4E66">
      <w:pPr>
        <w:keepNext w:val="0"/>
        <w:keepLines w:val="0"/>
        <w:pageBreakBefore w:val="0"/>
        <w:overflowPunct/>
        <w:bidi w:val="0"/>
        <w:snapToGrid w:val="0"/>
        <w:spacing w:line="450" w:lineRule="exact"/>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.4.1</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color w:val="auto"/>
          <w:kern w:val="2"/>
          <w:sz w:val="24"/>
          <w:szCs w:val="24"/>
          <w:highlight w:val="none"/>
          <w:lang w:val="en-US" w:eastAsia="zh-CN" w:bidi="ar-SA"/>
        </w:rPr>
        <w:t>在合同履行期间，如经查实承包人拖欠或克扣农民工或劳务工工资，导致劳资纠纷或发生危及公共安全或正常社会秩序的事件的，按承包人违约处理，承包人应按拖欠或克扣农民工或劳务工工资总金额3倍的标准向发包人缴纳惩罚性违约金。</w:t>
      </w:r>
    </w:p>
    <w:p w14:paraId="113B2F7B">
      <w:pPr>
        <w:keepNext w:val="0"/>
        <w:keepLines w:val="0"/>
        <w:pageBreakBefore w:val="0"/>
        <w:overflowPunct/>
        <w:bidi w:val="0"/>
        <w:snapToGrid w:val="0"/>
        <w:spacing w:line="450" w:lineRule="exact"/>
        <w:ind w:firstLine="475" w:firstLineChars="197"/>
        <w:rPr>
          <w:rFonts w:hint="eastAsia" w:ascii="宋体" w:hAnsi="宋体" w:eastAsia="宋体" w:cs="宋体"/>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.4.2</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承包人应积极落实有关部门关于用工实名制管理工作的要求，未按规定落实农民工工资专户及实用工实名制要求，经有关部门警告或处罚的，按违约金人民币10000元/次从工程进度款中扣除。</w:t>
      </w:r>
    </w:p>
    <w:p w14:paraId="17FD396A">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b/>
          <w:bCs/>
          <w:color w:val="auto"/>
          <w:sz w:val="24"/>
          <w:szCs w:val="24"/>
          <w:highlight w:val="none"/>
          <w:lang w:val="en-US" w:eastAsia="zh-CN" w:bidi="ar"/>
        </w:rPr>
      </w:pPr>
      <w:bookmarkStart w:id="219" w:name="_Toc28116"/>
      <w:r>
        <w:rPr>
          <w:rFonts w:hint="eastAsia" w:ascii="宋体" w:hAnsi="宋体" w:eastAsia="宋体" w:cs="宋体"/>
          <w:b/>
          <w:bCs/>
          <w:color w:val="auto"/>
          <w:sz w:val="24"/>
          <w:szCs w:val="24"/>
          <w:highlight w:val="none"/>
          <w:lang w:val="en-US" w:eastAsia="zh-CN" w:bidi="ar"/>
        </w:rPr>
        <w:t xml:space="preserve">15.5 </w:t>
      </w:r>
      <w:r>
        <w:rPr>
          <w:rFonts w:hint="eastAsia" w:ascii="宋体" w:hAnsi="宋体" w:eastAsia="宋体" w:cs="宋体"/>
          <w:b w:val="0"/>
          <w:bCs w:val="0"/>
          <w:color w:val="auto"/>
          <w:sz w:val="24"/>
          <w:szCs w:val="24"/>
          <w:highlight w:val="none"/>
          <w:lang w:val="en-US" w:eastAsia="zh-CN" w:bidi="ar"/>
        </w:rPr>
        <w:t>安全文明施工违约</w:t>
      </w:r>
      <w:bookmarkEnd w:id="219"/>
    </w:p>
    <w:p w14:paraId="214F2F74">
      <w:pPr>
        <w:keepNext w:val="0"/>
        <w:keepLines w:val="0"/>
        <w:pageBreakBefore w:val="0"/>
        <w:widowControl w:val="0"/>
        <w:kinsoku w:val="0"/>
        <w:wordWrap/>
        <w:overflowPunct/>
        <w:topLinePunct w:val="0"/>
        <w:autoSpaceDE w:val="0"/>
        <w:autoSpaceDN w:val="0"/>
        <w:bidi w:val="0"/>
        <w:adjustRightInd w:val="0"/>
        <w:snapToGrid w:val="0"/>
        <w:spacing w:line="450" w:lineRule="exact"/>
        <w:ind w:firstLine="482"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.5.1</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承包人应严格遵守国家、省、市有关防火、爆破和施工安全以及文明施工、深夜施工、环卫和城市管理等规定，建立规章制度和防护措施，并组织施工。</w:t>
      </w:r>
    </w:p>
    <w:p w14:paraId="4D55761D">
      <w:pPr>
        <w:keepNext w:val="0"/>
        <w:keepLines w:val="0"/>
        <w:pageBreakBefore w:val="0"/>
        <w:widowControl w:val="0"/>
        <w:kinsoku w:val="0"/>
        <w:wordWrap/>
        <w:overflowPunct/>
        <w:topLinePunct w:val="0"/>
        <w:autoSpaceDE w:val="0"/>
        <w:autoSpaceDN w:val="0"/>
        <w:bidi w:val="0"/>
        <w:adjustRightInd w:val="0"/>
        <w:snapToGrid w:val="0"/>
        <w:spacing w:line="450" w:lineRule="exact"/>
        <w:ind w:firstLine="482"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.5.2</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承包人现场施工人员存在野蛮施工行为，经现场发包人（含监理单位）管理人员确认后，承包人须按10000元/次缴纳违约金；如因野蛮施工行为，引起投诉或网络问政的，承包人须按5000元/次缴纳违约金；并承担因野蛮施工行为所造成的全部责任。</w:t>
      </w:r>
    </w:p>
    <w:p w14:paraId="3D4D82A2">
      <w:pPr>
        <w:keepNext w:val="0"/>
        <w:keepLines w:val="0"/>
        <w:pageBreakBefore w:val="0"/>
        <w:widowControl w:val="0"/>
        <w:kinsoku w:val="0"/>
        <w:wordWrap/>
        <w:overflowPunct/>
        <w:topLinePunct w:val="0"/>
        <w:autoSpaceDE w:val="0"/>
        <w:autoSpaceDN w:val="0"/>
        <w:bidi w:val="0"/>
        <w:adjustRightInd w:val="0"/>
        <w:snapToGrid w:val="0"/>
        <w:spacing w:line="450" w:lineRule="exact"/>
        <w:ind w:firstLine="482"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.5.3</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承包人必须接受发包人及监理单位组织的安全、文明施工的检查，检查中的不合格项目、安全隐患必须在规定的时间内整改完成，否则每拖延一天处以10000元人民币违约金，直至整改合格。</w:t>
      </w:r>
    </w:p>
    <w:p w14:paraId="78C589EF">
      <w:pPr>
        <w:keepNext w:val="0"/>
        <w:keepLines w:val="0"/>
        <w:pageBreakBefore w:val="0"/>
        <w:overflowPunct/>
        <w:bidi w:val="0"/>
        <w:snapToGrid w:val="0"/>
        <w:spacing w:line="450" w:lineRule="exact"/>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.5.4</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承包人施工现场发生工伤或其他责任事故的，承包人按下列标准缴纳违约金：</w:t>
      </w:r>
    </w:p>
    <w:p w14:paraId="0C947C80">
      <w:pPr>
        <w:keepNext w:val="0"/>
        <w:keepLines w:val="0"/>
        <w:pageBreakBefore w:val="0"/>
        <w:overflowPunct/>
        <w:bidi w:val="0"/>
        <w:snapToGrid w:val="0"/>
        <w:spacing w:line="45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①一次事故或全年累计死亡3人及以上：项目部必须撤换项目经理、主管安全副经理和安全主管，一次或全年累计缴纳违约金100万元人民币；</w:t>
      </w:r>
    </w:p>
    <w:p w14:paraId="1B127E42">
      <w:pPr>
        <w:keepNext w:val="0"/>
        <w:keepLines w:val="0"/>
        <w:pageBreakBefore w:val="0"/>
        <w:overflowPunct/>
        <w:bidi w:val="0"/>
        <w:snapToGrid w:val="0"/>
        <w:spacing w:line="45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②一次事故或全年累计死亡2人：安全第一责任人在韶关市地区建设范围内公开检查；承包人必须撤换项目主管安全副经理或安全主管；一次或全年累计缴纳违约金60万元人民币；</w:t>
      </w:r>
    </w:p>
    <w:p w14:paraId="67C52547">
      <w:pPr>
        <w:keepNext w:val="0"/>
        <w:keepLines w:val="0"/>
        <w:pageBreakBefore w:val="0"/>
        <w:overflowPunct/>
        <w:bidi w:val="0"/>
        <w:snapToGrid w:val="0"/>
        <w:spacing w:line="45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③全年死亡1人：安全第一责任人在韶关市地区建设范围内公开检查，并报其上级单位；承包人必须撤换项目安全主管；缴纳违约金30万元人民币。</w:t>
      </w:r>
    </w:p>
    <w:p w14:paraId="769048B6">
      <w:pPr>
        <w:keepNext w:val="0"/>
        <w:keepLines w:val="0"/>
        <w:pageBreakBefore w:val="0"/>
        <w:overflowPunct/>
        <w:bidi w:val="0"/>
        <w:snapToGrid w:val="0"/>
        <w:spacing w:line="45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④重伤事故、造成10人及以上集体中毒住院、经济损失重大的火灾、设备及交通事故，缴纳违约金30万元人民币。</w:t>
      </w:r>
    </w:p>
    <w:p w14:paraId="2AE935E3">
      <w:pPr>
        <w:keepNext w:val="0"/>
        <w:keepLines w:val="0"/>
        <w:pageBreakBefore w:val="0"/>
        <w:overflowPunct/>
        <w:bidi w:val="0"/>
        <w:snapToGrid w:val="0"/>
        <w:spacing w:line="450" w:lineRule="exact"/>
        <w:ind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⑤因施工造成的道路交通中断、通讯中断、管线漏水漏气等全部责任事故，由承包人承担责任，并缴纳违约金1万元人民币。</w:t>
      </w:r>
    </w:p>
    <w:p w14:paraId="6F5FC0A3">
      <w:pPr>
        <w:pStyle w:val="36"/>
        <w:keepNext w:val="0"/>
        <w:keepLines w:val="0"/>
        <w:pageBreakBefore w:val="0"/>
        <w:wordWrap w:val="0"/>
        <w:overflowPunct/>
        <w:bidi w:val="0"/>
        <w:adjustRightInd w:val="0"/>
        <w:snapToGrid w:val="0"/>
        <w:spacing w:line="450" w:lineRule="exact"/>
        <w:ind w:firstLine="560"/>
        <w:rPr>
          <w:rFonts w:hint="eastAsia" w:ascii="宋体" w:hAnsi="宋体" w:eastAsia="宋体" w:cs="宋体"/>
          <w:b/>
          <w:bCs/>
          <w:color w:val="auto"/>
          <w:sz w:val="24"/>
          <w:szCs w:val="24"/>
          <w:highlight w:val="none"/>
          <w:lang w:val="en-US" w:eastAsia="zh-CN" w:bidi="ar"/>
        </w:rPr>
      </w:pPr>
      <w:bookmarkStart w:id="220" w:name="_Toc4275"/>
      <w:r>
        <w:rPr>
          <w:rFonts w:hint="eastAsia" w:ascii="宋体" w:hAnsi="宋体" w:eastAsia="宋体" w:cs="宋体"/>
          <w:b/>
          <w:bCs/>
          <w:color w:val="auto"/>
          <w:sz w:val="24"/>
          <w:szCs w:val="24"/>
          <w:highlight w:val="none"/>
          <w:lang w:val="en-US" w:eastAsia="zh-CN" w:bidi="ar"/>
        </w:rPr>
        <w:t xml:space="preserve">15.6 </w:t>
      </w:r>
      <w:r>
        <w:rPr>
          <w:rFonts w:hint="eastAsia" w:ascii="宋体" w:hAnsi="宋体" w:eastAsia="宋体" w:cs="宋体"/>
          <w:b w:val="0"/>
          <w:bCs w:val="0"/>
          <w:color w:val="auto"/>
          <w:sz w:val="24"/>
          <w:szCs w:val="24"/>
          <w:highlight w:val="none"/>
          <w:lang w:val="en-US" w:eastAsia="zh-CN" w:bidi="ar"/>
        </w:rPr>
        <w:t>其他违约</w:t>
      </w:r>
      <w:bookmarkEnd w:id="220"/>
    </w:p>
    <w:p w14:paraId="0BF21387">
      <w:pPr>
        <w:keepNext w:val="0"/>
        <w:keepLines w:val="0"/>
        <w:pageBreakBefore w:val="0"/>
        <w:overflowPunct/>
        <w:bidi w:val="0"/>
        <w:snapToGrid w:val="0"/>
        <w:spacing w:line="450" w:lineRule="exact"/>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.6.1</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color w:val="auto"/>
          <w:kern w:val="2"/>
          <w:sz w:val="24"/>
          <w:szCs w:val="24"/>
          <w:highlight w:val="none"/>
          <w:lang w:val="en-US" w:eastAsia="zh-CN" w:bidi="ar-SA"/>
        </w:rPr>
        <w:t>承包人安排在施工场地的主要管理人员（主要指项目经理、项目技术负责人和专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考勤指模打卡每月累计不到位次数超过10天，按1万元/人/天缴纳违约金给发包人。</w:t>
      </w:r>
    </w:p>
    <w:p w14:paraId="4E6A5F40">
      <w:pPr>
        <w:keepNext w:val="0"/>
        <w:keepLines w:val="0"/>
        <w:pageBreakBefore w:val="0"/>
        <w:overflowPunct/>
        <w:bidi w:val="0"/>
        <w:snapToGrid w:val="0"/>
        <w:spacing w:line="450" w:lineRule="exact"/>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.6.2</w:t>
      </w:r>
      <w:r>
        <w:rPr>
          <w:rFonts w:hint="eastAsia" w:ascii="宋体" w:hAnsi="宋体" w:eastAsia="宋体" w:cs="宋体"/>
          <w:bCs/>
          <w:color w:val="auto"/>
          <w:sz w:val="24"/>
          <w:szCs w:val="24"/>
          <w:highlight w:val="none"/>
        </w:rPr>
        <w:t xml:space="preserve"> 承包人施工资料必须与形象进度同步，如发包人在日常检查中发现不同步的现象的，视为违约并按违约金人民币1000元/次从工程进度款中扣除。</w:t>
      </w:r>
    </w:p>
    <w:p w14:paraId="64B7D02E">
      <w:pPr>
        <w:keepNext w:val="0"/>
        <w:keepLines w:val="0"/>
        <w:pageBreakBefore w:val="0"/>
        <w:overflowPunct/>
        <w:bidi w:val="0"/>
        <w:snapToGrid w:val="0"/>
        <w:spacing w:line="450" w:lineRule="exact"/>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.6.3</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rPr>
        <w:t>发包人要求承包人替换项目部中不称职人员或能力有异议，而承包人不予替换，视为承包人违约，承包人须按承包人项目部主要管理人员（主要指项目经理、项目技术负责人和专职安全生产管理人员）20000元/人次缴纳违约金给发包人。</w:t>
      </w:r>
    </w:p>
    <w:p w14:paraId="593EC922">
      <w:pPr>
        <w:keepNext w:val="0"/>
        <w:keepLines w:val="0"/>
        <w:pageBreakBefore w:val="0"/>
        <w:overflowPunct/>
        <w:bidi w:val="0"/>
        <w:snapToGrid w:val="0"/>
        <w:spacing w:line="450" w:lineRule="exact"/>
        <w:ind w:firstLine="482" w:firstLineChars="200"/>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.6.4</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color w:val="auto"/>
          <w:kern w:val="2"/>
          <w:sz w:val="24"/>
          <w:szCs w:val="24"/>
          <w:highlight w:val="none"/>
          <w:lang w:val="en-US" w:eastAsia="zh-CN" w:bidi="ar-SA"/>
        </w:rPr>
        <w:t>发包人根据项目实施进度情况要求承包人增派项目管理人员，而承包人不予增派的，视为承包人违约，承包人须按 2万元/人次缴纳违约金给发包人。</w:t>
      </w:r>
    </w:p>
    <w:p w14:paraId="5FBD9ABF">
      <w:pPr>
        <w:keepNext w:val="0"/>
        <w:keepLines w:val="0"/>
        <w:pageBreakBefore w:val="0"/>
        <w:overflowPunct/>
        <w:bidi w:val="0"/>
        <w:snapToGrid w:val="0"/>
        <w:spacing w:line="450" w:lineRule="exact"/>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w:t>
      </w:r>
      <w:r>
        <w:rPr>
          <w:rFonts w:hint="eastAsia" w:ascii="宋体" w:hAnsi="宋体" w:eastAsia="宋体" w:cs="宋体"/>
          <w:b/>
          <w:bCs w:val="0"/>
          <w:color w:val="auto"/>
          <w:sz w:val="24"/>
          <w:szCs w:val="24"/>
          <w:highlight w:val="none"/>
          <w:lang w:val="en-US" w:eastAsia="zh-CN"/>
        </w:rPr>
        <w:t xml:space="preserve">5 </w:t>
      </w:r>
      <w:r>
        <w:rPr>
          <w:rFonts w:hint="eastAsia" w:ascii="宋体" w:hAnsi="宋体" w:eastAsia="宋体" w:cs="宋体"/>
          <w:bCs/>
          <w:color w:val="auto"/>
          <w:sz w:val="24"/>
          <w:szCs w:val="24"/>
          <w:highlight w:val="none"/>
        </w:rPr>
        <w:t>发包人对上述约定中的规定并不免除承包人接受国家、地方政府相关部门依法对承包人的处罚。</w:t>
      </w:r>
    </w:p>
    <w:p w14:paraId="4D707F85">
      <w:pPr>
        <w:keepNext w:val="0"/>
        <w:keepLines w:val="0"/>
        <w:pageBreakBefore w:val="0"/>
        <w:overflowPunct/>
        <w:bidi w:val="0"/>
        <w:snapToGrid w:val="0"/>
        <w:spacing w:line="450" w:lineRule="exact"/>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w:t>
      </w:r>
      <w:r>
        <w:rPr>
          <w:rFonts w:hint="eastAsia" w:ascii="宋体" w:hAnsi="宋体" w:eastAsia="宋体" w:cs="宋体"/>
          <w:b/>
          <w:bCs w:val="0"/>
          <w:color w:val="auto"/>
          <w:sz w:val="24"/>
          <w:szCs w:val="24"/>
          <w:highlight w:val="none"/>
          <w:lang w:val="en-US" w:eastAsia="zh-CN"/>
        </w:rPr>
        <w:t xml:space="preserve">6 </w:t>
      </w:r>
      <w:r>
        <w:rPr>
          <w:rFonts w:hint="eastAsia" w:ascii="宋体" w:hAnsi="宋体" w:eastAsia="宋体" w:cs="宋体"/>
          <w:bCs/>
          <w:color w:val="auto"/>
          <w:sz w:val="24"/>
          <w:szCs w:val="24"/>
          <w:highlight w:val="none"/>
        </w:rPr>
        <w:t>承包人没有正当合理的理由中途退场，可扣除承包人已递交的所有履约保证金作为违约金。</w:t>
      </w:r>
    </w:p>
    <w:p w14:paraId="09083185">
      <w:pPr>
        <w:keepNext w:val="0"/>
        <w:keepLines w:val="0"/>
        <w:pageBreakBefore w:val="0"/>
        <w:overflowPunct/>
        <w:bidi w:val="0"/>
        <w:snapToGrid w:val="0"/>
        <w:spacing w:line="450" w:lineRule="exact"/>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w:t>
      </w:r>
      <w:r>
        <w:rPr>
          <w:rFonts w:hint="eastAsia" w:ascii="宋体" w:hAnsi="宋体" w:eastAsia="宋体" w:cs="宋体"/>
          <w:b/>
          <w:bCs w:val="0"/>
          <w:color w:val="auto"/>
          <w:sz w:val="24"/>
          <w:szCs w:val="24"/>
          <w:highlight w:val="none"/>
          <w:lang w:val="en-US" w:eastAsia="zh-CN"/>
        </w:rPr>
        <w:t xml:space="preserve">7 </w:t>
      </w:r>
      <w:r>
        <w:rPr>
          <w:rFonts w:hint="eastAsia" w:ascii="宋体" w:hAnsi="宋体" w:eastAsia="宋体" w:cs="宋体"/>
          <w:bCs/>
          <w:color w:val="auto"/>
          <w:sz w:val="24"/>
          <w:szCs w:val="24"/>
          <w:highlight w:val="none"/>
        </w:rPr>
        <w:t>有下列情况之一的，承包人在一年内不得参与发包人的任何工程任务，并勒令从现施工的工地退场，同时按违约金人民币50000元从工程进度款中扣除：</w:t>
      </w:r>
    </w:p>
    <w:p w14:paraId="6C669004">
      <w:pPr>
        <w:keepNext w:val="0"/>
        <w:keepLines w:val="0"/>
        <w:pageBreakBefore w:val="0"/>
        <w:overflowPunct/>
        <w:bidi w:val="0"/>
        <w:snapToGrid w:val="0"/>
        <w:spacing w:line="45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A、路面沉降、开裂超过规范要求并造成不良社会影响的；</w:t>
      </w:r>
    </w:p>
    <w:p w14:paraId="7E20D370">
      <w:pPr>
        <w:keepNext w:val="0"/>
        <w:keepLines w:val="0"/>
        <w:pageBreakBefore w:val="0"/>
        <w:overflowPunct/>
        <w:bidi w:val="0"/>
        <w:snapToGrid w:val="0"/>
        <w:spacing w:line="45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B、发生重大责任安全事故的；</w:t>
      </w:r>
    </w:p>
    <w:p w14:paraId="31DAD2A6">
      <w:pPr>
        <w:keepNext w:val="0"/>
        <w:keepLines w:val="0"/>
        <w:pageBreakBefore w:val="0"/>
        <w:overflowPunct/>
        <w:bidi w:val="0"/>
        <w:snapToGrid w:val="0"/>
        <w:spacing w:line="45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C、不能在合同规定的期限内竣工的；</w:t>
      </w:r>
    </w:p>
    <w:p w14:paraId="76F12BA8">
      <w:pPr>
        <w:keepNext w:val="0"/>
        <w:keepLines w:val="0"/>
        <w:pageBreakBefore w:val="0"/>
        <w:overflowPunct/>
        <w:bidi w:val="0"/>
        <w:snapToGrid w:val="0"/>
        <w:spacing w:line="45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D、承包人所承担的施工任务在施工期间，由于工程质量或工程进度原因，监理单位发出10个以上﹙含10个﹚停工令的；</w:t>
      </w:r>
    </w:p>
    <w:p w14:paraId="3AE6A4D5">
      <w:pPr>
        <w:keepNext w:val="0"/>
        <w:keepLines w:val="0"/>
        <w:pageBreakBefore w:val="0"/>
        <w:overflowPunct/>
        <w:bidi w:val="0"/>
        <w:snapToGrid w:val="0"/>
        <w:spacing w:line="45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E、质量监督部门在抽检时发出5个以上（含5个）由于工程质量原因通报的；</w:t>
      </w:r>
    </w:p>
    <w:p w14:paraId="481A8F46">
      <w:pPr>
        <w:keepNext w:val="0"/>
        <w:keepLines w:val="0"/>
        <w:pageBreakBefore w:val="0"/>
        <w:overflowPunct/>
        <w:bidi w:val="0"/>
        <w:snapToGrid w:val="0"/>
        <w:spacing w:line="45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F、业主组织的质量大检查发现由于工程质量原因而通报二次以上（含二次）的；</w:t>
      </w:r>
    </w:p>
    <w:p w14:paraId="54BB302E">
      <w:pPr>
        <w:keepNext w:val="0"/>
        <w:keepLines w:val="0"/>
        <w:pageBreakBefore w:val="0"/>
        <w:overflowPunct/>
        <w:bidi w:val="0"/>
        <w:snapToGrid w:val="0"/>
        <w:spacing w:line="450" w:lineRule="exact"/>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w:t>
      </w:r>
      <w:r>
        <w:rPr>
          <w:rFonts w:hint="eastAsia" w:ascii="宋体" w:hAnsi="宋体" w:eastAsia="宋体" w:cs="宋体"/>
          <w:b/>
          <w:bCs w:val="0"/>
          <w:color w:val="auto"/>
          <w:sz w:val="24"/>
          <w:szCs w:val="24"/>
          <w:highlight w:val="none"/>
          <w:lang w:val="en-US" w:eastAsia="zh-CN"/>
        </w:rPr>
        <w:t xml:space="preserve">8 </w:t>
      </w:r>
      <w:r>
        <w:rPr>
          <w:rFonts w:hint="eastAsia" w:ascii="宋体" w:hAnsi="宋体" w:eastAsia="宋体" w:cs="宋体"/>
          <w:bCs/>
          <w:color w:val="auto"/>
          <w:sz w:val="24"/>
          <w:szCs w:val="24"/>
          <w:highlight w:val="none"/>
        </w:rPr>
        <w:t>承包人必须严格塔吊、起重机等机械设备及货梯、提升机等机电设备的安装、拆卸和使用运行管理。必须落实持证上岗、专人操作、专人检查，严格落实每天操作前和操作后的检查，检查发现未落实相关措施和规定的，按违约金人民币2000元/次从工程进度款中扣除。</w:t>
      </w:r>
    </w:p>
    <w:p w14:paraId="263611DE">
      <w:pPr>
        <w:keepNext w:val="0"/>
        <w:keepLines w:val="0"/>
        <w:pageBreakBefore w:val="0"/>
        <w:overflowPunct/>
        <w:bidi w:val="0"/>
        <w:snapToGrid w:val="0"/>
        <w:spacing w:line="450" w:lineRule="exact"/>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w:t>
      </w:r>
      <w:r>
        <w:rPr>
          <w:rFonts w:hint="eastAsia" w:ascii="宋体" w:hAnsi="宋体" w:eastAsia="宋体" w:cs="宋体"/>
          <w:b/>
          <w:bCs w:val="0"/>
          <w:color w:val="auto"/>
          <w:sz w:val="24"/>
          <w:szCs w:val="24"/>
          <w:highlight w:val="none"/>
          <w:lang w:val="en-US" w:eastAsia="zh-CN"/>
        </w:rPr>
        <w:t xml:space="preserve">9 </w:t>
      </w:r>
      <w:r>
        <w:rPr>
          <w:rFonts w:hint="eastAsia" w:ascii="宋体" w:hAnsi="宋体" w:eastAsia="宋体" w:cs="宋体"/>
          <w:bCs/>
          <w:color w:val="auto"/>
          <w:sz w:val="24"/>
          <w:szCs w:val="24"/>
          <w:highlight w:val="none"/>
        </w:rPr>
        <w:t>承包人应加强生活用电管理，检查发现私拉乱接电线的，承包人须按人民币500元/次缴纳违约金给发包人。</w:t>
      </w:r>
    </w:p>
    <w:p w14:paraId="66B07AC8">
      <w:pPr>
        <w:keepNext w:val="0"/>
        <w:keepLines w:val="0"/>
        <w:pageBreakBefore w:val="0"/>
        <w:overflowPunct/>
        <w:bidi w:val="0"/>
        <w:snapToGrid w:val="0"/>
        <w:spacing w:line="450" w:lineRule="exact"/>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w:t>
      </w:r>
      <w:r>
        <w:rPr>
          <w:rFonts w:hint="eastAsia" w:ascii="宋体" w:hAnsi="宋体" w:eastAsia="宋体" w:cs="宋体"/>
          <w:b/>
          <w:bCs w:val="0"/>
          <w:color w:val="auto"/>
          <w:sz w:val="24"/>
          <w:szCs w:val="24"/>
          <w:highlight w:val="none"/>
          <w:lang w:val="en-US" w:eastAsia="zh-CN"/>
        </w:rPr>
        <w:t xml:space="preserve">10 </w:t>
      </w:r>
      <w:r>
        <w:rPr>
          <w:rFonts w:hint="eastAsia" w:ascii="宋体" w:hAnsi="宋体" w:eastAsia="宋体" w:cs="宋体"/>
          <w:bCs/>
          <w:color w:val="auto"/>
          <w:sz w:val="24"/>
          <w:szCs w:val="24"/>
          <w:highlight w:val="none"/>
        </w:rPr>
        <w:t>承包人应加强建设范围内因雨季造成临时积水部位的管理，防止发生淹亡、溺亡事故，若因措施不严造成的后果全部由承包人承担。</w:t>
      </w:r>
    </w:p>
    <w:p w14:paraId="1C24406C">
      <w:pPr>
        <w:keepNext w:val="0"/>
        <w:keepLines w:val="0"/>
        <w:pageBreakBefore w:val="0"/>
        <w:overflowPunct/>
        <w:bidi w:val="0"/>
        <w:snapToGrid w:val="0"/>
        <w:spacing w:line="450" w:lineRule="exact"/>
        <w:ind w:firstLine="482" w:firstLineChars="200"/>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rPr>
        <w:t>.6.1</w:t>
      </w:r>
      <w:r>
        <w:rPr>
          <w:rFonts w:hint="eastAsia" w:ascii="宋体" w:hAnsi="宋体" w:eastAsia="宋体" w:cs="宋体"/>
          <w:b/>
          <w:bCs w:val="0"/>
          <w:color w:val="auto"/>
          <w:sz w:val="24"/>
          <w:szCs w:val="24"/>
          <w:highlight w:val="none"/>
          <w:lang w:val="en-US" w:eastAsia="zh-CN"/>
        </w:rPr>
        <w:t xml:space="preserve">1 </w:t>
      </w:r>
      <w:r>
        <w:rPr>
          <w:rFonts w:hint="eastAsia" w:ascii="宋体" w:hAnsi="宋体" w:eastAsia="宋体" w:cs="宋体"/>
          <w:bCs/>
          <w:color w:val="auto"/>
          <w:sz w:val="24"/>
          <w:szCs w:val="24"/>
          <w:highlight w:val="none"/>
        </w:rPr>
        <w:t>国家发生疫情或其他重大风险期间，承包人不执行有关部门关于特殊时期管控规定、不落实相关措施的，承包人须按人民币1000元/人/次缴纳违约金给发包人。</w:t>
      </w:r>
    </w:p>
    <w:p w14:paraId="18890C47">
      <w:pPr>
        <w:keepNext w:val="0"/>
        <w:keepLines w:val="0"/>
        <w:pageBreakBefore w:val="0"/>
        <w:overflowPunct/>
        <w:bidi w:val="0"/>
        <w:snapToGrid w:val="0"/>
        <w:spacing w:line="450" w:lineRule="exact"/>
        <w:ind w:firstLine="354" w:firstLineChars="147"/>
        <w:rPr>
          <w:rFonts w:hint="eastAsia" w:ascii="宋体" w:hAnsi="宋体" w:eastAsia="宋体" w:cs="宋体"/>
          <w:b/>
          <w:bCs w:val="0"/>
          <w:color w:val="auto"/>
          <w:sz w:val="24"/>
          <w:szCs w:val="24"/>
          <w:highlight w:val="none"/>
          <w:u w:val="single"/>
        </w:rPr>
      </w:pPr>
      <w:r>
        <w:rPr>
          <w:rFonts w:hint="eastAsia" w:ascii="宋体" w:hAnsi="宋体" w:eastAsia="宋体" w:cs="宋体"/>
          <w:b/>
          <w:bCs w:val="0"/>
          <w:color w:val="auto"/>
          <w:sz w:val="24"/>
          <w:szCs w:val="24"/>
          <w:highlight w:val="none"/>
          <w:u w:val="single"/>
        </w:rPr>
        <w:t>承包人因上述违约行为而须缴纳的违约金在工程进度款中或结算时一并扣除。</w:t>
      </w:r>
    </w:p>
    <w:p w14:paraId="4702059A">
      <w:pPr>
        <w:pStyle w:val="7"/>
        <w:keepNext w:val="0"/>
        <w:keepLines w:val="0"/>
        <w:pageBreakBefore w:val="0"/>
        <w:overflowPunct/>
        <w:bidi w:val="0"/>
        <w:snapToGrid w:val="0"/>
        <w:spacing w:line="450" w:lineRule="exact"/>
        <w:ind w:firstLine="482" w:firstLineChars="200"/>
        <w:rPr>
          <w:rFonts w:hint="eastAsia" w:ascii="宋体" w:hAnsi="宋体" w:eastAsia="宋体" w:cs="宋体"/>
          <w:color w:val="auto"/>
          <w:sz w:val="24"/>
          <w:szCs w:val="24"/>
          <w:highlight w:val="none"/>
          <w:lang w:eastAsia="zh-CN"/>
        </w:rPr>
      </w:pPr>
      <w:r>
        <w:rPr>
          <w:rFonts w:hint="eastAsia" w:ascii="宋体" w:hAnsi="宋体" w:eastAsia="宋体" w:cs="宋体"/>
          <w:b/>
          <w:bCs w:val="0"/>
          <w:color w:val="auto"/>
          <w:sz w:val="24"/>
          <w:szCs w:val="24"/>
          <w:highlight w:val="none"/>
          <w:lang w:val="en-US" w:eastAsia="zh-CN"/>
        </w:rPr>
        <w:t>15</w:t>
      </w:r>
      <w:r>
        <w:rPr>
          <w:rFonts w:hint="eastAsia" w:ascii="宋体" w:hAnsi="宋体" w:eastAsia="宋体" w:cs="宋体"/>
          <w:b/>
          <w:bCs w:val="0"/>
          <w:color w:val="auto"/>
          <w:sz w:val="24"/>
          <w:szCs w:val="24"/>
          <w:highlight w:val="none"/>
          <w:lang w:eastAsia="zh-CN"/>
        </w:rPr>
        <w:t>.7</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Cs/>
          <w:color w:val="auto"/>
          <w:sz w:val="24"/>
          <w:szCs w:val="24"/>
          <w:highlight w:val="none"/>
          <w:lang w:eastAsia="zh-CN"/>
        </w:rPr>
        <w:t>专业工程发包：</w:t>
      </w:r>
      <w:r>
        <w:rPr>
          <w:rFonts w:hint="eastAsia" w:ascii="宋体" w:hAnsi="宋体" w:eastAsia="宋体" w:cs="宋体"/>
          <w:bCs/>
          <w:color w:val="auto"/>
          <w:sz w:val="24"/>
          <w:szCs w:val="24"/>
          <w:highlight w:val="none"/>
        </w:rPr>
        <w:t>合同范围内的工程未经发包人同意一律不得发包，一经发现，取消承包人的承包资格，由此引起的一切经济损失和法律责任由承包人自行承担。若有专业工程必须发包的，发包人不另行支付总包服务费；其发包合同由承包人与对方签订，发包人不参与承包人与对方之间的结算，该部分工程的造价仍按承包人与发包人签订的合同的有关条款进行结算。注：本项目包含电力部分及电力附属部分内容，应由执有电力相关专业资质的单位承接，若达到必须招标规模标准的，由中标人招标，招标人参与管理，确定电力专业工程承包人和合同价格。</w:t>
      </w:r>
    </w:p>
    <w:p w14:paraId="47AA945A">
      <w:pPr>
        <w:rPr>
          <w:rFonts w:hint="eastAsia" w:ascii="宋体" w:hAnsi="宋体" w:eastAsia="宋体" w:cs="宋体"/>
          <w:color w:val="auto"/>
          <w:highlight w:val="none"/>
          <w:lang w:val="en-US" w:eastAsia="zh-CN"/>
        </w:rPr>
      </w:pPr>
    </w:p>
    <w:p w14:paraId="7BC089F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16.工人工资支付保证金的约定</w:t>
      </w:r>
    </w:p>
    <w:p w14:paraId="5ACC8FD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签订工程承包合同后，承包人必须根据《韶关市建设领域企业人工工资支付保证金管理办法》韶关市人民政府令（第82号）的要求到相关部门办理工资保证金登记手续，并在指定银行设立工资保证金专用账户。</w:t>
      </w:r>
    </w:p>
    <w:p w14:paraId="76B94A6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17.农民工工资管理和发放</w:t>
      </w:r>
    </w:p>
    <w:p w14:paraId="59A6FF8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（1）用工实名管理</w:t>
      </w:r>
    </w:p>
    <w:p w14:paraId="3DC1AB6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1.1承包人必须与劳动者签订劳动合同。劳动合同必须明确规定劳动者工作时间、工作内容、工资支付标准、支付项目、支付形式和支付时间等内容。</w:t>
      </w:r>
    </w:p>
    <w:p w14:paraId="6B8845E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1.2承包人招用劳动者，应当在劳动者进场三日内采集其实名信息，劳动者实名信息包括：姓名、性别、出生年月、民族、户口性质、身份证号码、家庭住址、在本地区的暂住地址、联系电话、用工主体、直属班组长及其联系电话、进场及撤场时间、工种、持证情况、文化程度、培训记录、政治面貌、婚姻状况、工资、考勤、个人信用等。 劳动者上述信息发生变化的，承包人应当在三日内进行更新。</w:t>
      </w:r>
    </w:p>
    <w:p w14:paraId="5E0DE3D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1.2.1承包人必须配备劳资专管员，建立劳动者进出场登记制度和考勤计量、工资支付等用工管理台帐，实时掌握施工现场用工及其工资支付情况，不得以包代管。用工管理台帐由劳动者签字确认并保存至工程竣工且工资全部结清后至少两年。并随时接受发包人的检查。</w:t>
      </w:r>
    </w:p>
    <w:p w14:paraId="3AADFBB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（2）工人工资支付</w:t>
      </w:r>
    </w:p>
    <w:p w14:paraId="54494E6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2.1承包人签订合同前必须在建设项目所在地银行机构设立工人工资支付专用账户。签订合同时要提供开户信息。</w:t>
      </w:r>
    </w:p>
    <w:p w14:paraId="7720509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2.1.1承包人必须以实名制为为每一位工人办理个人银行账户（可使用工人自己提供的银行账户），不得以任何形式截留、拖欠工人工资、弄虚作假。工资发放后及时整理资料归档，并随时接受发包人的检查。</w:t>
      </w:r>
    </w:p>
    <w:p w14:paraId="29AB8E7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2.1.2发包人根据工程建设监理等单位核定的工程量支付工程款时，将应付工程款的20%作为工人工资拨入到承包人设立的工人工资支付专用账户。</w:t>
      </w:r>
    </w:p>
    <w:p w14:paraId="486C472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2.1.3发包人对工人工资的发放有权监督和检查。</w:t>
      </w:r>
    </w:p>
    <w:p w14:paraId="2742ED2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2.2承包人在与发包人签订工程施工承包合同后，要到市人力资源和社会保障行政部门办理工资支付保证金缴存手续，并一次性将应缴保证金存入工人工资支付保证金专用帐户。</w:t>
      </w:r>
    </w:p>
    <w:p w14:paraId="6244BAD5">
      <w:pPr>
        <w:pageBreakBefore w:val="0"/>
        <w:kinsoku/>
        <w:overflowPunct/>
        <w:topLinePunct w:val="0"/>
        <w:autoSpaceDE/>
        <w:autoSpaceDN/>
        <w:bidi w:val="0"/>
        <w:spacing w:after="12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2.3如承包人违反以上条款，未按规定履行相关职责，发包人将协同相关主管部门按相关规定处罚承包人。如出现一例次工人上访讨薪的扣除50%用工实名管理费。</w:t>
      </w:r>
    </w:p>
    <w:p w14:paraId="47CBBFDE">
      <w:pPr>
        <w:pStyle w:val="2"/>
        <w:spacing w:before="120" w:after="120" w:line="360" w:lineRule="auto"/>
        <w:ind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18.</w:t>
      </w:r>
      <w:r>
        <w:rPr>
          <w:rFonts w:hint="eastAsia" w:ascii="宋体" w:hAnsi="宋体" w:eastAsia="宋体" w:cs="宋体"/>
          <w:b/>
          <w:bCs/>
          <w:color w:val="auto"/>
          <w:sz w:val="24"/>
          <w:szCs w:val="24"/>
          <w:highlight w:val="none"/>
        </w:rPr>
        <w:t>争议解决</w:t>
      </w:r>
    </w:p>
    <w:p w14:paraId="4FEA831B">
      <w:pPr>
        <w:spacing w:after="120" w:line="360" w:lineRule="auto"/>
        <w:ind w:firstLine="480" w:firstLineChars="200"/>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18</w:t>
      </w: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rPr>
        <w:t xml:space="preserve"> 争议评审</w:t>
      </w:r>
    </w:p>
    <w:p w14:paraId="477CA3AE">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合同当事人是否同意将工程争议提交争议评审小组决定：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741E1FE9">
      <w:pPr>
        <w:spacing w:line="360" w:lineRule="auto"/>
        <w:ind w:firstLine="480" w:firstLineChars="200"/>
        <w:jc w:val="left"/>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18</w:t>
      </w: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rPr>
        <w:t>.1 争议评审小组的确定</w:t>
      </w:r>
    </w:p>
    <w:p w14:paraId="51AEE330">
      <w:pPr>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争议评审小组成员的确定</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eastAsia="zh-CN"/>
        </w:rPr>
        <w:t>总监理工程师、</w:t>
      </w:r>
      <w:r>
        <w:rPr>
          <w:rFonts w:hint="eastAsia" w:ascii="宋体" w:hAnsi="宋体" w:eastAsia="宋体" w:cs="宋体"/>
          <w:color w:val="auto"/>
          <w:sz w:val="24"/>
          <w:szCs w:val="24"/>
          <w:highlight w:val="none"/>
          <w:u w:val="single"/>
        </w:rPr>
        <w:t>项目经理、发包人代表</w:t>
      </w:r>
      <w:r>
        <w:rPr>
          <w:rFonts w:hint="eastAsia" w:ascii="宋体" w:hAnsi="宋体" w:eastAsia="宋体" w:cs="宋体"/>
          <w:color w:val="auto"/>
          <w:sz w:val="24"/>
          <w:szCs w:val="24"/>
          <w:highlight w:val="none"/>
        </w:rPr>
        <w:t>。</w:t>
      </w:r>
    </w:p>
    <w:p w14:paraId="16D57145">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选定争议评审员的期限：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4F53B455">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争议评审小组成员的报酬承担方式：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599944DB">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其他事项的约定：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6C3BE721">
      <w:pPr>
        <w:autoSpaceDE w:val="0"/>
        <w:autoSpaceDN w:val="0"/>
        <w:adjustRightInd w:val="0"/>
        <w:spacing w:line="360" w:lineRule="auto"/>
        <w:ind w:firstLine="480" w:firstLineChars="200"/>
        <w:jc w:val="left"/>
        <w:outlineLvl w:val="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lang w:eastAsia="zh-CN"/>
        </w:rPr>
        <w:t>.1</w:t>
      </w:r>
      <w:r>
        <w:rPr>
          <w:rFonts w:hint="eastAsia" w:ascii="宋体" w:hAnsi="宋体" w:eastAsia="宋体" w:cs="宋体"/>
          <w:color w:val="auto"/>
          <w:kern w:val="0"/>
          <w:sz w:val="24"/>
          <w:szCs w:val="24"/>
          <w:highlight w:val="none"/>
        </w:rPr>
        <w:t>.2 争议评审小组的决定</w:t>
      </w:r>
    </w:p>
    <w:p w14:paraId="52AE5F57">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合同当事人关于本项的约定：</w:t>
      </w:r>
      <w:r>
        <w:rPr>
          <w:rFonts w:hint="eastAsia" w:ascii="宋体" w:hAnsi="宋体" w:eastAsia="宋体" w:cs="宋体"/>
          <w:color w:val="auto"/>
          <w:sz w:val="24"/>
          <w:szCs w:val="24"/>
          <w:highlight w:val="none"/>
          <w:u w:val="single"/>
        </w:rPr>
        <w:t xml:space="preserve"> 如果争议在争议评审小组决定后，一方仍有异议，则任何一方可以依法向工程所在地</w:t>
      </w:r>
      <w:r>
        <w:rPr>
          <w:rFonts w:hint="eastAsia" w:ascii="宋体" w:hAnsi="宋体" w:eastAsia="宋体" w:cs="宋体"/>
          <w:color w:val="auto"/>
          <w:sz w:val="24"/>
          <w:szCs w:val="24"/>
          <w:highlight w:val="none"/>
          <w:u w:val="single"/>
          <w:lang w:val="en-US" w:eastAsia="zh-CN"/>
        </w:rPr>
        <w:t>人民法院提起诉讼</w:t>
      </w:r>
      <w:r>
        <w:rPr>
          <w:rFonts w:hint="eastAsia" w:ascii="宋体" w:hAnsi="宋体" w:eastAsia="宋体" w:cs="宋体"/>
          <w:color w:val="auto"/>
          <w:sz w:val="24"/>
          <w:szCs w:val="24"/>
          <w:highlight w:val="none"/>
        </w:rPr>
        <w:t>。</w:t>
      </w:r>
    </w:p>
    <w:p w14:paraId="7E5721E0">
      <w:pPr>
        <w:spacing w:after="120" w:line="360" w:lineRule="auto"/>
        <w:ind w:firstLine="480" w:firstLineChars="200"/>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18</w:t>
      </w: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仲裁或诉讼</w:t>
      </w:r>
    </w:p>
    <w:p w14:paraId="18BCA539">
      <w:pPr>
        <w:spacing w:after="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因合同及合同有关事项发生的争议，按下列第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种方式解决：</w:t>
      </w:r>
    </w:p>
    <w:p w14:paraId="6E3D7DE2">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仲裁委员会申请仲裁；</w:t>
      </w:r>
    </w:p>
    <w:p w14:paraId="0BF859A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工程所在地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人民法院起诉。</w:t>
      </w:r>
    </w:p>
    <w:p w14:paraId="260822B7">
      <w:pPr>
        <w:rPr>
          <w:rFonts w:hint="eastAsia" w:ascii="宋体" w:hAnsi="宋体" w:eastAsia="宋体" w:cs="宋体"/>
          <w:color w:val="auto"/>
          <w:highlight w:val="none"/>
          <w:lang w:val="en-US" w:eastAsia="zh-CN"/>
        </w:rPr>
      </w:pPr>
    </w:p>
    <w:p w14:paraId="1BBDB385">
      <w:pPr>
        <w:pStyle w:val="3"/>
        <w:keepNext w:val="0"/>
        <w:keepLines w:val="0"/>
        <w:pageBreakBefore w:val="0"/>
        <w:widowControl w:val="0"/>
        <w:tabs>
          <w:tab w:val="left" w:pos="885"/>
        </w:tabs>
        <w:kinsoku/>
        <w:wordWrap w:val="0"/>
        <w:overflowPunct/>
        <w:topLinePunct w:val="0"/>
        <w:autoSpaceDE/>
        <w:autoSpaceDN/>
        <w:bidi w:val="0"/>
        <w:adjustRightInd w:val="0"/>
        <w:snapToGrid w:val="0"/>
        <w:spacing w:before="0" w:beforeLines="300" w:line="440" w:lineRule="exact"/>
        <w:jc w:val="center"/>
        <w:textAlignment w:val="auto"/>
        <w:rPr>
          <w:rFonts w:hint="eastAsia" w:ascii="宋体" w:hAnsi="宋体" w:eastAsia="宋体" w:cs="宋体"/>
          <w:b/>
          <w:snapToGrid w:val="0"/>
          <w:color w:val="auto"/>
          <w:kern w:val="0"/>
          <w:highlight w:val="none"/>
        </w:rPr>
      </w:pPr>
      <w:bookmarkStart w:id="221" w:name="_Toc15674"/>
      <w:bookmarkStart w:id="222" w:name="_Toc10521"/>
      <w:r>
        <w:rPr>
          <w:rFonts w:hint="eastAsia" w:ascii="Times New Roman" w:hAnsi="宋体" w:eastAsia="宋体" w:cs="Times New Roman"/>
          <w:b/>
          <w:snapToGrid w:val="0"/>
          <w:color w:val="auto"/>
          <w:sz w:val="28"/>
          <w:szCs w:val="28"/>
          <w:highlight w:val="none"/>
          <w:lang w:eastAsia="zh-CN"/>
        </w:rPr>
        <w:t>第四章</w:t>
      </w:r>
      <w:bookmarkStart w:id="223" w:name="_Hlt87793853"/>
      <w:bookmarkEnd w:id="223"/>
      <w:r>
        <w:rPr>
          <w:rFonts w:hint="eastAsia" w:ascii="Times New Roman" w:hAnsi="宋体" w:eastAsia="宋体" w:cs="Times New Roman"/>
          <w:b/>
          <w:snapToGrid w:val="0"/>
          <w:color w:val="auto"/>
          <w:sz w:val="28"/>
          <w:szCs w:val="28"/>
          <w:highlight w:val="none"/>
          <w:lang w:val="en-US" w:eastAsia="zh-CN"/>
        </w:rPr>
        <w:t xml:space="preserve">   </w:t>
      </w:r>
      <w:r>
        <w:rPr>
          <w:rFonts w:hint="eastAsia" w:ascii="Times New Roman" w:hAnsi="宋体" w:eastAsia="宋体" w:cs="Times New Roman"/>
          <w:b/>
          <w:snapToGrid w:val="0"/>
          <w:color w:val="auto"/>
          <w:sz w:val="28"/>
          <w:szCs w:val="28"/>
          <w:highlight w:val="none"/>
          <w:lang w:eastAsia="zh-CN"/>
        </w:rPr>
        <w:t>技术要求</w:t>
      </w:r>
      <w:bookmarkEnd w:id="221"/>
      <w:bookmarkEnd w:id="222"/>
      <w:bookmarkStart w:id="224" w:name="_Hlt75685840"/>
      <w:bookmarkEnd w:id="224"/>
      <w:bookmarkStart w:id="225" w:name="_Hlt69116854"/>
      <w:bookmarkEnd w:id="225"/>
      <w:bookmarkStart w:id="226" w:name="_Hlt87793370"/>
      <w:bookmarkEnd w:id="226"/>
      <w:bookmarkStart w:id="227" w:name="_Hlt69359335"/>
      <w:bookmarkEnd w:id="227"/>
      <w:bookmarkStart w:id="228" w:name="_Hlt68774758"/>
      <w:bookmarkEnd w:id="228"/>
      <w:bookmarkStart w:id="229" w:name="_Hlt69357851"/>
      <w:bookmarkEnd w:id="229"/>
      <w:bookmarkStart w:id="230" w:name="_Hlt80411122"/>
      <w:bookmarkEnd w:id="230"/>
      <w:bookmarkStart w:id="231" w:name="_Hlt69358207"/>
      <w:bookmarkEnd w:id="231"/>
      <w:bookmarkStart w:id="232" w:name="_Hlt66104926"/>
      <w:bookmarkEnd w:id="232"/>
      <w:bookmarkStart w:id="233" w:name="_Hlt69265216"/>
      <w:bookmarkEnd w:id="233"/>
      <w:bookmarkStart w:id="234" w:name="_Hlt87793346"/>
      <w:bookmarkEnd w:id="234"/>
    </w:p>
    <w:p w14:paraId="064FA36C">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235" w:name="_Toc17047"/>
      <w:bookmarkStart w:id="236" w:name="_Toc20016"/>
      <w:r>
        <w:rPr>
          <w:rFonts w:hint="eastAsia" w:ascii="宋体" w:hAnsi="宋体" w:eastAsia="宋体" w:cs="宋体"/>
          <w:b/>
          <w:bCs/>
          <w:color w:val="auto"/>
          <w:spacing w:val="-11"/>
          <w:sz w:val="24"/>
          <w:szCs w:val="24"/>
          <w:highlight w:val="none"/>
          <w:lang w:val="en-US" w:eastAsia="zh-CN"/>
        </w:rPr>
        <w:t>1.房屋建筑工程建设项目</w:t>
      </w:r>
      <w:bookmarkEnd w:id="235"/>
      <w:bookmarkEnd w:id="236"/>
    </w:p>
    <w:p w14:paraId="6BE730EF">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bookmarkStart w:id="237" w:name="_Hlt69358458"/>
      <w:bookmarkEnd w:id="237"/>
      <w:bookmarkStart w:id="238" w:name="_Hlt69116858"/>
      <w:bookmarkEnd w:id="238"/>
      <w:bookmarkStart w:id="239" w:name="_Hlt78709799"/>
      <w:bookmarkEnd w:id="239"/>
      <w:bookmarkStart w:id="240" w:name="_Hlt69359243"/>
      <w:bookmarkEnd w:id="240"/>
      <w:bookmarkStart w:id="241" w:name="_Hlt69359245"/>
      <w:bookmarkEnd w:id="241"/>
      <w:bookmarkStart w:id="242" w:name="_Hlt69359086"/>
      <w:bookmarkEnd w:id="242"/>
      <w:bookmarkStart w:id="243" w:name="_Hlt69635252"/>
      <w:bookmarkEnd w:id="243"/>
      <w:r>
        <w:rPr>
          <w:rFonts w:hint="eastAsia" w:ascii="宋体" w:hAnsi="宋体" w:eastAsia="宋体" w:cs="宋体"/>
          <w:bCs/>
          <w:snapToGrid w:val="0"/>
          <w:color w:val="auto"/>
          <w:kern w:val="0"/>
          <w:sz w:val="24"/>
          <w:szCs w:val="24"/>
          <w:highlight w:val="none"/>
        </w:rPr>
        <w:t>房屋建筑工程建设项目必须执行的现行技术规范，包括且不限于：</w:t>
      </w:r>
    </w:p>
    <w:p w14:paraId="4BBDB715">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（1）《建筑工程施工质量验收统一标准》；</w:t>
      </w:r>
    </w:p>
    <w:p w14:paraId="005F5436">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（2）《建筑地基基础工程施工质量验收规范》；</w:t>
      </w:r>
    </w:p>
    <w:p w14:paraId="10E5F8AA">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（3）《砌体工程施工质量验收规范》；</w:t>
      </w:r>
    </w:p>
    <w:p w14:paraId="1CC4CF0D">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（4）《混凝土结构工程施工质量验收规范》；</w:t>
      </w:r>
    </w:p>
    <w:p w14:paraId="56E2C246">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（5）《屋面工程质量验收规范》；</w:t>
      </w:r>
    </w:p>
    <w:p w14:paraId="22C0B857">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（6）《地下防水工程质量验收规范》；</w:t>
      </w:r>
    </w:p>
    <w:p w14:paraId="52F1FC99">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（7）《建筑地面工程施工质量验收规范》；</w:t>
      </w:r>
    </w:p>
    <w:p w14:paraId="6883970E">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（8）《建筑装饰装修工程施工质量验收规范》；</w:t>
      </w:r>
    </w:p>
    <w:p w14:paraId="44365A3C">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（9）《建筑给排水及采暖工程施工质量验收规范》；</w:t>
      </w:r>
    </w:p>
    <w:p w14:paraId="5C9E5E7D">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（10）《建筑电气工程施工质量验收规范》；</w:t>
      </w:r>
    </w:p>
    <w:p w14:paraId="3BD76701">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（11）《住建部绿色建筑评价标准》；</w:t>
      </w:r>
    </w:p>
    <w:p w14:paraId="242705B9">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（12）《建筑节能与可再生能源利用通用规范》（GB55015-2021）；</w:t>
      </w:r>
    </w:p>
    <w:p w14:paraId="3A7B00E9">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44" w:name="_Toc2709"/>
      <w:r>
        <w:rPr>
          <w:rFonts w:hint="eastAsia" w:ascii="宋体" w:hAnsi="宋体" w:eastAsia="宋体" w:cs="宋体"/>
          <w:bCs/>
          <w:snapToGrid w:val="0"/>
          <w:color w:val="auto"/>
          <w:kern w:val="0"/>
          <w:sz w:val="24"/>
          <w:szCs w:val="24"/>
          <w:highlight w:val="none"/>
          <w:lang w:val="en-US" w:eastAsia="zh-CN"/>
        </w:rPr>
        <w:t>（13）《建筑环境通用规范》；</w:t>
      </w:r>
      <w:bookmarkEnd w:id="244"/>
    </w:p>
    <w:p w14:paraId="1253E8D2">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（14）《建筑与市政工程无障碍通用规范》 GB 55019-2021；</w:t>
      </w:r>
    </w:p>
    <w:p w14:paraId="4F7C4C01">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45" w:name="_Toc11217"/>
      <w:r>
        <w:rPr>
          <w:rFonts w:hint="eastAsia" w:ascii="宋体" w:hAnsi="宋体" w:eastAsia="宋体" w:cs="宋体"/>
          <w:bCs/>
          <w:snapToGrid w:val="0"/>
          <w:color w:val="auto"/>
          <w:kern w:val="0"/>
          <w:sz w:val="24"/>
          <w:szCs w:val="24"/>
          <w:highlight w:val="none"/>
          <w:lang w:val="en-US" w:eastAsia="zh-CN"/>
        </w:rPr>
        <w:t>（15）《建筑防火通用规范》GB 55037-2022；</w:t>
      </w:r>
      <w:bookmarkEnd w:id="245"/>
    </w:p>
    <w:p w14:paraId="428221B4">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（16）《建筑与市政工程抗震通用规范》GB55002-2001；</w:t>
      </w:r>
    </w:p>
    <w:p w14:paraId="5991664C">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（17）《建筑与市政地基基础通用规范》GB55003-2001；</w:t>
      </w:r>
    </w:p>
    <w:p w14:paraId="4BB695B5">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（18）《广东省住房和城乡建设厅绿色施工导则》；</w:t>
      </w:r>
    </w:p>
    <w:p w14:paraId="2D8B80CB">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（19）《广东省建筑工程绿色施工评价标准》；</w:t>
      </w:r>
    </w:p>
    <w:p w14:paraId="1579AB10">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（20）《广东省建筑节能与绿色建筑工程施工质量验收规范》；</w:t>
      </w:r>
    </w:p>
    <w:p w14:paraId="3A4796C9">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（21）其他现行国家、广东省关于房建工程的施工及验收规范、定额、规程、标准。</w:t>
      </w:r>
    </w:p>
    <w:p w14:paraId="65443E67">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246" w:name="_Toc30825"/>
      <w:bookmarkStart w:id="247" w:name="_Toc14167"/>
      <w:r>
        <w:rPr>
          <w:rFonts w:hint="eastAsia" w:ascii="宋体" w:hAnsi="宋体" w:eastAsia="宋体" w:cs="宋体"/>
          <w:b/>
          <w:bCs/>
          <w:color w:val="auto"/>
          <w:spacing w:val="-11"/>
          <w:sz w:val="24"/>
          <w:szCs w:val="24"/>
          <w:highlight w:val="none"/>
          <w:lang w:val="en-US" w:eastAsia="zh-CN"/>
        </w:rPr>
        <w:t>2.市政基础设施工程建设项目</w:t>
      </w:r>
      <w:bookmarkEnd w:id="246"/>
      <w:bookmarkEnd w:id="247"/>
    </w:p>
    <w:p w14:paraId="6902168E">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市政基础设施工程建设项目必须执行的现行技术规范，包括且不限于：</w:t>
      </w:r>
    </w:p>
    <w:p w14:paraId="7EDF4B1D">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（1）《公路路基施工技术规范》；</w:t>
      </w:r>
    </w:p>
    <w:p w14:paraId="60D7239B">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（2）《市政道路工程质量检验评定标准》；</w:t>
      </w:r>
    </w:p>
    <w:p w14:paraId="2B885B3A">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（3）《市政排水管渠工程质量检验评定标准》；</w:t>
      </w:r>
    </w:p>
    <w:p w14:paraId="0BDC1453">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（4）《给水排水管道工程施工及验收规范》；</w:t>
      </w:r>
    </w:p>
    <w:p w14:paraId="127583DC">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48" w:name="_Toc28136"/>
      <w:r>
        <w:rPr>
          <w:rFonts w:hint="eastAsia" w:ascii="宋体" w:hAnsi="宋体" w:eastAsia="宋体" w:cs="宋体"/>
          <w:bCs/>
          <w:snapToGrid w:val="0"/>
          <w:color w:val="auto"/>
          <w:kern w:val="0"/>
          <w:sz w:val="24"/>
          <w:szCs w:val="24"/>
          <w:highlight w:val="none"/>
          <w:lang w:val="en-US" w:eastAsia="zh-CN"/>
        </w:rPr>
        <w:t>（5）《城市道路路基工程施工及验收规范》；</w:t>
      </w:r>
      <w:bookmarkEnd w:id="248"/>
    </w:p>
    <w:p w14:paraId="25961745">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49" w:name="_Toc30468"/>
      <w:r>
        <w:rPr>
          <w:rFonts w:hint="eastAsia" w:ascii="宋体" w:hAnsi="宋体" w:eastAsia="宋体" w:cs="宋体"/>
          <w:bCs/>
          <w:snapToGrid w:val="0"/>
          <w:color w:val="auto"/>
          <w:kern w:val="0"/>
          <w:sz w:val="24"/>
          <w:szCs w:val="24"/>
          <w:highlight w:val="none"/>
          <w:lang w:val="en-US" w:eastAsia="zh-CN"/>
        </w:rPr>
        <w:t>（6）《水泥砼路面施工及验收规范》；</w:t>
      </w:r>
      <w:bookmarkEnd w:id="249"/>
      <w:bookmarkStart w:id="250" w:name="_Toc27799"/>
    </w:p>
    <w:p w14:paraId="7E5469C3">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（7）《公路水泥砼路面施工技术规范》；</w:t>
      </w:r>
      <w:bookmarkEnd w:id="250"/>
    </w:p>
    <w:p w14:paraId="6EC40074">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51" w:name="_Toc12308"/>
      <w:r>
        <w:rPr>
          <w:rFonts w:hint="eastAsia" w:ascii="宋体" w:hAnsi="宋体" w:eastAsia="宋体" w:cs="宋体"/>
          <w:bCs/>
          <w:snapToGrid w:val="0"/>
          <w:color w:val="auto"/>
          <w:kern w:val="0"/>
          <w:sz w:val="24"/>
          <w:szCs w:val="24"/>
          <w:highlight w:val="none"/>
          <w:lang w:val="en-US" w:eastAsia="zh-CN"/>
        </w:rPr>
        <w:t>（8）《埋地硬聚氯乙烯排水管道工程技术规程》；</w:t>
      </w:r>
      <w:bookmarkEnd w:id="251"/>
    </w:p>
    <w:p w14:paraId="59E6BA17">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52" w:name="_Toc13357"/>
      <w:r>
        <w:rPr>
          <w:rFonts w:hint="eastAsia" w:ascii="宋体" w:hAnsi="宋体" w:eastAsia="宋体" w:cs="宋体"/>
          <w:bCs/>
          <w:snapToGrid w:val="0"/>
          <w:color w:val="auto"/>
          <w:kern w:val="0"/>
          <w:sz w:val="24"/>
          <w:szCs w:val="24"/>
          <w:highlight w:val="none"/>
          <w:lang w:val="en-US" w:eastAsia="zh-CN"/>
        </w:rPr>
        <w:t>（9）《沥青路面施工及验收规范》；</w:t>
      </w:r>
      <w:bookmarkEnd w:id="252"/>
    </w:p>
    <w:p w14:paraId="36702072">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53" w:name="_Toc19104"/>
      <w:r>
        <w:rPr>
          <w:rFonts w:hint="eastAsia" w:ascii="宋体" w:hAnsi="宋体" w:eastAsia="宋体" w:cs="宋体"/>
          <w:bCs/>
          <w:snapToGrid w:val="0"/>
          <w:color w:val="auto"/>
          <w:kern w:val="0"/>
          <w:sz w:val="24"/>
          <w:szCs w:val="24"/>
          <w:highlight w:val="none"/>
          <w:lang w:val="en-US" w:eastAsia="zh-CN"/>
        </w:rPr>
        <w:t>（10）《广东省市政工程施工质量技术资料统一用表》。</w:t>
      </w:r>
      <w:bookmarkEnd w:id="253"/>
    </w:p>
    <w:p w14:paraId="5D1E2D81">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54" w:name="_Toc13247"/>
      <w:r>
        <w:rPr>
          <w:rFonts w:hint="eastAsia" w:ascii="宋体" w:hAnsi="宋体" w:eastAsia="宋体" w:cs="宋体"/>
          <w:bCs/>
          <w:snapToGrid w:val="0"/>
          <w:color w:val="auto"/>
          <w:kern w:val="0"/>
          <w:sz w:val="24"/>
          <w:szCs w:val="24"/>
          <w:highlight w:val="none"/>
          <w:lang w:val="en-US" w:eastAsia="zh-CN"/>
        </w:rPr>
        <w:t>（11）《建筑与市政工程无障碍通用规范》 GB 55019-2021；</w:t>
      </w:r>
      <w:bookmarkEnd w:id="254"/>
    </w:p>
    <w:p w14:paraId="2AF5D8A2">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55" w:name="_Toc29931"/>
      <w:r>
        <w:rPr>
          <w:rFonts w:hint="eastAsia" w:ascii="宋体" w:hAnsi="宋体" w:eastAsia="宋体" w:cs="宋体"/>
          <w:bCs/>
          <w:snapToGrid w:val="0"/>
          <w:color w:val="auto"/>
          <w:kern w:val="0"/>
          <w:sz w:val="24"/>
          <w:szCs w:val="24"/>
          <w:highlight w:val="none"/>
          <w:lang w:val="en-US" w:eastAsia="zh-CN"/>
        </w:rPr>
        <w:t>（12）《建筑防火通用规范》GB 55037-2022</w:t>
      </w:r>
      <w:bookmarkEnd w:id="255"/>
      <w:r>
        <w:rPr>
          <w:rFonts w:hint="eastAsia" w:ascii="宋体" w:hAnsi="宋体" w:eastAsia="宋体" w:cs="宋体"/>
          <w:bCs/>
          <w:snapToGrid w:val="0"/>
          <w:color w:val="auto"/>
          <w:kern w:val="0"/>
          <w:sz w:val="24"/>
          <w:szCs w:val="24"/>
          <w:highlight w:val="none"/>
          <w:lang w:val="en-US" w:eastAsia="zh-CN"/>
        </w:rPr>
        <w:t>；</w:t>
      </w:r>
    </w:p>
    <w:p w14:paraId="4502EDF5">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56" w:name="_Toc30206"/>
      <w:r>
        <w:rPr>
          <w:rFonts w:hint="eastAsia" w:ascii="宋体" w:hAnsi="宋体" w:eastAsia="宋体" w:cs="宋体"/>
          <w:bCs/>
          <w:snapToGrid w:val="0"/>
          <w:color w:val="auto"/>
          <w:kern w:val="0"/>
          <w:sz w:val="24"/>
          <w:szCs w:val="24"/>
          <w:highlight w:val="none"/>
          <w:lang w:val="en-US" w:eastAsia="zh-CN"/>
        </w:rPr>
        <w:t>（13）《建筑与市政工程抗震通用规范》GB55002-2001</w:t>
      </w:r>
      <w:bookmarkEnd w:id="256"/>
      <w:r>
        <w:rPr>
          <w:rFonts w:hint="eastAsia" w:ascii="宋体" w:hAnsi="宋体" w:eastAsia="宋体" w:cs="宋体"/>
          <w:bCs/>
          <w:snapToGrid w:val="0"/>
          <w:color w:val="auto"/>
          <w:kern w:val="0"/>
          <w:sz w:val="24"/>
          <w:szCs w:val="24"/>
          <w:highlight w:val="none"/>
          <w:lang w:val="en-US" w:eastAsia="zh-CN"/>
        </w:rPr>
        <w:t>；</w:t>
      </w:r>
    </w:p>
    <w:p w14:paraId="19DC5E4F">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57" w:name="_Toc13940"/>
      <w:r>
        <w:rPr>
          <w:rFonts w:hint="eastAsia" w:ascii="宋体" w:hAnsi="宋体" w:eastAsia="宋体" w:cs="宋体"/>
          <w:bCs/>
          <w:snapToGrid w:val="0"/>
          <w:color w:val="auto"/>
          <w:kern w:val="0"/>
          <w:sz w:val="24"/>
          <w:szCs w:val="24"/>
          <w:highlight w:val="none"/>
          <w:lang w:val="en-US" w:eastAsia="zh-CN"/>
        </w:rPr>
        <w:t>（14）《建筑与市政地基基础通用规范》GB55003-200</w:t>
      </w:r>
      <w:bookmarkEnd w:id="257"/>
      <w:r>
        <w:rPr>
          <w:rFonts w:hint="eastAsia" w:ascii="宋体" w:hAnsi="宋体" w:eastAsia="宋体" w:cs="宋体"/>
          <w:bCs/>
          <w:snapToGrid w:val="0"/>
          <w:color w:val="auto"/>
          <w:kern w:val="0"/>
          <w:sz w:val="24"/>
          <w:szCs w:val="24"/>
          <w:highlight w:val="none"/>
          <w:lang w:val="en-US" w:eastAsia="zh-CN"/>
        </w:rPr>
        <w:t>；</w:t>
      </w:r>
    </w:p>
    <w:p w14:paraId="63BEDF6D">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58" w:name="_Toc13747"/>
      <w:r>
        <w:rPr>
          <w:rFonts w:hint="eastAsia" w:ascii="宋体" w:hAnsi="宋体" w:eastAsia="宋体" w:cs="宋体"/>
          <w:bCs/>
          <w:snapToGrid w:val="0"/>
          <w:color w:val="auto"/>
          <w:kern w:val="0"/>
          <w:sz w:val="24"/>
          <w:szCs w:val="24"/>
          <w:highlight w:val="none"/>
          <w:lang w:val="en-US" w:eastAsia="zh-CN"/>
        </w:rPr>
        <w:t>（15）《城市道路照明设计标准》（CJJ45-2015）；</w:t>
      </w:r>
      <w:bookmarkEnd w:id="258"/>
    </w:p>
    <w:p w14:paraId="2BF2CA2C">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59" w:name="_Toc4862"/>
      <w:r>
        <w:rPr>
          <w:rFonts w:hint="eastAsia" w:ascii="宋体" w:hAnsi="宋体" w:eastAsia="宋体" w:cs="宋体"/>
          <w:bCs/>
          <w:snapToGrid w:val="0"/>
          <w:color w:val="auto"/>
          <w:kern w:val="0"/>
          <w:sz w:val="24"/>
          <w:szCs w:val="24"/>
          <w:highlight w:val="none"/>
          <w:lang w:val="en-US" w:eastAsia="zh-CN"/>
        </w:rPr>
        <w:t>（16）《低压配电设计规范》（GB50054-2011）；</w:t>
      </w:r>
      <w:bookmarkEnd w:id="259"/>
    </w:p>
    <w:p w14:paraId="2EE98193">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60" w:name="_Toc21300"/>
      <w:r>
        <w:rPr>
          <w:rFonts w:hint="eastAsia" w:ascii="宋体" w:hAnsi="宋体" w:eastAsia="宋体" w:cs="宋体"/>
          <w:bCs/>
          <w:snapToGrid w:val="0"/>
          <w:color w:val="auto"/>
          <w:kern w:val="0"/>
          <w:sz w:val="24"/>
          <w:szCs w:val="24"/>
          <w:highlight w:val="none"/>
          <w:lang w:val="en-US" w:eastAsia="zh-CN"/>
        </w:rPr>
        <w:t>（17）《城市道路照明工程施工及验收规程》（CJJ89-2012）；</w:t>
      </w:r>
      <w:bookmarkEnd w:id="260"/>
    </w:p>
    <w:p w14:paraId="5A5B15F3">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61" w:name="_Toc3776"/>
      <w:r>
        <w:rPr>
          <w:rFonts w:hint="eastAsia" w:ascii="宋体" w:hAnsi="宋体" w:eastAsia="宋体" w:cs="宋体"/>
          <w:bCs/>
          <w:snapToGrid w:val="0"/>
          <w:color w:val="auto"/>
          <w:kern w:val="0"/>
          <w:sz w:val="24"/>
          <w:szCs w:val="24"/>
          <w:highlight w:val="none"/>
          <w:lang w:val="en-US" w:eastAsia="zh-CN"/>
        </w:rPr>
        <w:t>（18）《LED 道路照明工程技术规范》（DB44/T 1898-2016）；</w:t>
      </w:r>
      <w:bookmarkEnd w:id="261"/>
    </w:p>
    <w:p w14:paraId="49E4F313">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62" w:name="_Toc6724"/>
      <w:r>
        <w:rPr>
          <w:rFonts w:hint="eastAsia" w:ascii="宋体" w:hAnsi="宋体" w:eastAsia="宋体" w:cs="宋体"/>
          <w:bCs/>
          <w:snapToGrid w:val="0"/>
          <w:color w:val="auto"/>
          <w:kern w:val="0"/>
          <w:sz w:val="24"/>
          <w:szCs w:val="24"/>
          <w:highlight w:val="none"/>
          <w:lang w:val="en-US" w:eastAsia="zh-CN"/>
        </w:rPr>
        <w:t>（19）《灯具第 1 部分：一般要求与试验》（GB7000.1-2015）；</w:t>
      </w:r>
      <w:bookmarkEnd w:id="262"/>
    </w:p>
    <w:p w14:paraId="3AB00C5F">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63" w:name="_Toc25902"/>
      <w:r>
        <w:rPr>
          <w:rFonts w:hint="eastAsia" w:ascii="宋体" w:hAnsi="宋体" w:eastAsia="宋体" w:cs="宋体"/>
          <w:bCs/>
          <w:snapToGrid w:val="0"/>
          <w:color w:val="auto"/>
          <w:kern w:val="0"/>
          <w:sz w:val="24"/>
          <w:szCs w:val="24"/>
          <w:highlight w:val="none"/>
          <w:lang w:val="en-US" w:eastAsia="zh-CN"/>
        </w:rPr>
        <w:t>（20）《电缆工程电缆设计标准》（GB50217-2018）；</w:t>
      </w:r>
      <w:bookmarkEnd w:id="263"/>
    </w:p>
    <w:p w14:paraId="48987760">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lang w:val="en-US" w:eastAsia="zh-CN"/>
        </w:rPr>
      </w:pPr>
      <w:bookmarkStart w:id="264" w:name="_Toc1090"/>
      <w:r>
        <w:rPr>
          <w:rFonts w:hint="eastAsia" w:ascii="宋体" w:hAnsi="宋体" w:eastAsia="宋体" w:cs="宋体"/>
          <w:bCs/>
          <w:snapToGrid w:val="0"/>
          <w:color w:val="auto"/>
          <w:kern w:val="0"/>
          <w:sz w:val="24"/>
          <w:szCs w:val="24"/>
          <w:highlight w:val="none"/>
          <w:lang w:val="en-US" w:eastAsia="zh-CN"/>
        </w:rPr>
        <w:t>（21）其他现行国家、广东省关于市政工程的技术及验收规范、定额、规程、标准。</w:t>
      </w:r>
      <w:bookmarkEnd w:id="264"/>
    </w:p>
    <w:p w14:paraId="3C191A0D">
      <w:pPr>
        <w:spacing w:before="151" w:line="360" w:lineRule="auto"/>
        <w:ind w:left="476"/>
        <w:outlineLvl w:val="2"/>
        <w:rPr>
          <w:rFonts w:hint="eastAsia" w:ascii="宋体" w:hAnsi="宋体" w:eastAsia="宋体" w:cs="宋体"/>
          <w:b/>
          <w:bCs/>
          <w:color w:val="auto"/>
          <w:spacing w:val="-11"/>
          <w:sz w:val="24"/>
          <w:szCs w:val="24"/>
          <w:highlight w:val="none"/>
          <w:lang w:val="en-US" w:eastAsia="zh-CN"/>
        </w:rPr>
      </w:pPr>
      <w:bookmarkStart w:id="265" w:name="_Toc3836"/>
      <w:bookmarkStart w:id="266" w:name="_Toc16378"/>
      <w:r>
        <w:rPr>
          <w:rFonts w:hint="eastAsia" w:ascii="宋体" w:hAnsi="宋体" w:eastAsia="宋体" w:cs="宋体"/>
          <w:b/>
          <w:bCs/>
          <w:color w:val="auto"/>
          <w:spacing w:val="-11"/>
          <w:sz w:val="24"/>
          <w:szCs w:val="24"/>
          <w:highlight w:val="none"/>
          <w:lang w:val="en-US" w:eastAsia="zh-CN"/>
        </w:rPr>
        <w:t>3.备查要求</w:t>
      </w:r>
      <w:bookmarkEnd w:id="265"/>
      <w:bookmarkEnd w:id="266"/>
    </w:p>
    <w:p w14:paraId="18950B99">
      <w:pPr>
        <w:wordWrap w:val="0"/>
        <w:adjustRightInd w:val="0"/>
        <w:snapToGrid w:val="0"/>
        <w:spacing w:line="360" w:lineRule="auto"/>
        <w:ind w:firstLine="560"/>
        <w:rPr>
          <w:rFonts w:hint="eastAsia" w:ascii="宋体" w:hAnsi="宋体" w:eastAsia="宋体" w:cs="宋体"/>
          <w:bCs/>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人必须在施工现场准备至少一套上述规范，</w:t>
      </w:r>
      <w:r>
        <w:rPr>
          <w:rFonts w:hint="eastAsia" w:ascii="宋体" w:hAnsi="宋体" w:eastAsia="宋体" w:cs="宋体"/>
          <w:snapToGrid w:val="0"/>
          <w:color w:val="auto"/>
          <w:kern w:val="0"/>
          <w:sz w:val="24"/>
          <w:szCs w:val="24"/>
          <w:highlight w:val="none"/>
        </w:rPr>
        <w:t>发包</w:t>
      </w:r>
      <w:r>
        <w:rPr>
          <w:rFonts w:hint="eastAsia" w:ascii="宋体" w:hAnsi="宋体" w:eastAsia="宋体" w:cs="宋体"/>
          <w:bCs/>
          <w:snapToGrid w:val="0"/>
          <w:color w:val="auto"/>
          <w:kern w:val="0"/>
          <w:sz w:val="24"/>
          <w:szCs w:val="24"/>
          <w:highlight w:val="none"/>
        </w:rPr>
        <w:t>人和监理单位可随时检查</w:t>
      </w: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人的上述规范，并监督</w:t>
      </w: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人按规范要求执行</w:t>
      </w:r>
      <w:bookmarkStart w:id="267" w:name="_Hlt69670335"/>
      <w:bookmarkEnd w:id="267"/>
      <w:r>
        <w:rPr>
          <w:rFonts w:hint="eastAsia" w:ascii="宋体" w:hAnsi="宋体" w:eastAsia="宋体" w:cs="宋体"/>
          <w:bCs/>
          <w:snapToGrid w:val="0"/>
          <w:color w:val="auto"/>
          <w:kern w:val="0"/>
          <w:sz w:val="24"/>
          <w:szCs w:val="24"/>
          <w:highlight w:val="none"/>
          <w:lang w:eastAsia="zh-CN"/>
        </w:rPr>
        <w:t>。</w:t>
      </w:r>
    </w:p>
    <w:p w14:paraId="464E8DB3">
      <w:pPr>
        <w:rPr>
          <w:rFonts w:hint="eastAsia" w:ascii="宋体" w:hAnsi="宋体" w:eastAsia="宋体" w:cs="宋体"/>
          <w:color w:val="auto"/>
          <w:highlight w:val="none"/>
          <w:lang w:eastAsia="zh-CN"/>
        </w:rPr>
      </w:pPr>
    </w:p>
    <w:p w14:paraId="473A701B">
      <w:pPr>
        <w:rPr>
          <w:rFonts w:hint="eastAsia" w:ascii="宋体" w:hAnsi="宋体" w:eastAsia="宋体" w:cs="宋体"/>
          <w:color w:val="auto"/>
          <w:highlight w:val="none"/>
          <w:lang w:eastAsia="zh-CN"/>
        </w:rPr>
      </w:pPr>
    </w:p>
    <w:p w14:paraId="6C5DB109">
      <w:pPr>
        <w:rPr>
          <w:rFonts w:hint="eastAsia" w:ascii="宋体" w:hAnsi="宋体" w:eastAsia="宋体" w:cs="宋体"/>
          <w:color w:val="auto"/>
          <w:highlight w:val="none"/>
          <w:lang w:eastAsia="zh-CN"/>
        </w:rPr>
      </w:pPr>
    </w:p>
    <w:p w14:paraId="67519E3E">
      <w:pPr>
        <w:rPr>
          <w:rFonts w:hint="eastAsia" w:ascii="宋体" w:hAnsi="宋体" w:eastAsia="宋体" w:cs="宋体"/>
          <w:color w:val="auto"/>
          <w:highlight w:val="none"/>
          <w:lang w:eastAsia="zh-CN"/>
        </w:rPr>
      </w:pPr>
    </w:p>
    <w:p w14:paraId="12A71AEB">
      <w:pPr>
        <w:rPr>
          <w:rFonts w:hint="eastAsia" w:ascii="宋体" w:hAnsi="宋体" w:eastAsia="宋体" w:cs="宋体"/>
          <w:color w:val="auto"/>
          <w:highlight w:val="none"/>
          <w:lang w:eastAsia="zh-CN"/>
        </w:rPr>
      </w:pPr>
    </w:p>
    <w:p w14:paraId="00A91657">
      <w:pPr>
        <w:rPr>
          <w:rFonts w:hint="eastAsia" w:ascii="宋体" w:hAnsi="宋体" w:eastAsia="宋体" w:cs="宋体"/>
          <w:color w:val="auto"/>
          <w:highlight w:val="none"/>
          <w:lang w:eastAsia="zh-CN"/>
        </w:rPr>
      </w:pPr>
    </w:p>
    <w:p w14:paraId="12F2B03A">
      <w:pPr>
        <w:rPr>
          <w:rFonts w:hint="eastAsia" w:ascii="宋体" w:hAnsi="宋体" w:eastAsia="宋体" w:cs="宋体"/>
          <w:color w:val="auto"/>
          <w:highlight w:val="none"/>
          <w:lang w:eastAsia="zh-CN"/>
        </w:rPr>
      </w:pPr>
    </w:p>
    <w:p w14:paraId="2AC8512B">
      <w:pPr>
        <w:rPr>
          <w:rFonts w:hint="eastAsia" w:ascii="宋体" w:hAnsi="宋体" w:eastAsia="宋体" w:cs="宋体"/>
          <w:color w:val="auto"/>
          <w:highlight w:val="none"/>
          <w:lang w:eastAsia="zh-CN"/>
        </w:rPr>
      </w:pPr>
    </w:p>
    <w:p w14:paraId="4C3EA526">
      <w:pPr>
        <w:rPr>
          <w:rFonts w:hint="eastAsia" w:ascii="宋体" w:hAnsi="宋体" w:eastAsia="宋体" w:cs="宋体"/>
          <w:color w:val="auto"/>
          <w:highlight w:val="none"/>
          <w:lang w:eastAsia="zh-CN"/>
        </w:rPr>
      </w:pPr>
    </w:p>
    <w:p w14:paraId="6481C6B2">
      <w:pPr>
        <w:rPr>
          <w:rFonts w:hint="eastAsia" w:ascii="宋体" w:hAnsi="宋体" w:eastAsia="宋体" w:cs="宋体"/>
          <w:color w:val="auto"/>
          <w:highlight w:val="none"/>
          <w:lang w:eastAsia="zh-CN"/>
        </w:rPr>
      </w:pPr>
    </w:p>
    <w:p w14:paraId="2BE8D213">
      <w:pPr>
        <w:rPr>
          <w:rFonts w:hint="eastAsia" w:ascii="宋体" w:hAnsi="宋体" w:eastAsia="宋体" w:cs="宋体"/>
          <w:color w:val="auto"/>
          <w:highlight w:val="none"/>
          <w:lang w:eastAsia="zh-CN"/>
        </w:rPr>
      </w:pPr>
    </w:p>
    <w:p w14:paraId="1C49D0BE">
      <w:pPr>
        <w:rPr>
          <w:rFonts w:hint="eastAsia" w:ascii="宋体" w:hAnsi="宋体" w:eastAsia="宋体" w:cs="宋体"/>
          <w:color w:val="auto"/>
          <w:highlight w:val="none"/>
          <w:lang w:eastAsia="zh-CN"/>
        </w:rPr>
      </w:pPr>
    </w:p>
    <w:p w14:paraId="663EB99C">
      <w:pPr>
        <w:rPr>
          <w:rFonts w:hint="eastAsia" w:ascii="宋体" w:hAnsi="宋体" w:eastAsia="宋体" w:cs="宋体"/>
          <w:color w:val="auto"/>
          <w:highlight w:val="none"/>
          <w:lang w:eastAsia="zh-CN"/>
        </w:rPr>
      </w:pPr>
    </w:p>
    <w:p w14:paraId="69F3A14D">
      <w:pPr>
        <w:rPr>
          <w:rFonts w:hint="eastAsia" w:ascii="宋体" w:hAnsi="宋体" w:eastAsia="宋体" w:cs="宋体"/>
          <w:color w:val="auto"/>
          <w:highlight w:val="none"/>
          <w:lang w:eastAsia="zh-CN"/>
        </w:rPr>
      </w:pPr>
    </w:p>
    <w:p w14:paraId="4AD5A370">
      <w:pPr>
        <w:rPr>
          <w:rFonts w:hint="eastAsia" w:ascii="宋体" w:hAnsi="宋体" w:eastAsia="宋体" w:cs="宋体"/>
          <w:color w:val="auto"/>
          <w:highlight w:val="none"/>
          <w:lang w:eastAsia="zh-CN"/>
        </w:rPr>
      </w:pPr>
    </w:p>
    <w:p w14:paraId="68AB4A74">
      <w:pPr>
        <w:rPr>
          <w:rFonts w:hint="eastAsia" w:ascii="宋体" w:hAnsi="宋体" w:eastAsia="宋体" w:cs="宋体"/>
          <w:color w:val="auto"/>
          <w:highlight w:val="none"/>
          <w:lang w:eastAsia="zh-CN"/>
        </w:rPr>
      </w:pPr>
    </w:p>
    <w:p w14:paraId="7A9D295A">
      <w:pPr>
        <w:rPr>
          <w:rFonts w:hint="eastAsia" w:ascii="宋体" w:hAnsi="宋体" w:eastAsia="宋体" w:cs="宋体"/>
          <w:color w:val="auto"/>
          <w:highlight w:val="none"/>
          <w:lang w:eastAsia="zh-CN"/>
        </w:rPr>
      </w:pPr>
    </w:p>
    <w:p w14:paraId="1D83FE0F">
      <w:pPr>
        <w:rPr>
          <w:rFonts w:hint="eastAsia" w:ascii="宋体" w:hAnsi="宋体" w:eastAsia="宋体" w:cs="宋体"/>
          <w:color w:val="auto"/>
          <w:highlight w:val="none"/>
          <w:lang w:eastAsia="zh-CN"/>
        </w:rPr>
      </w:pPr>
    </w:p>
    <w:p w14:paraId="26EFBC65">
      <w:pPr>
        <w:pStyle w:val="3"/>
        <w:keepNext w:val="0"/>
        <w:keepLines w:val="0"/>
        <w:pageBreakBefore w:val="0"/>
        <w:widowControl w:val="0"/>
        <w:tabs>
          <w:tab w:val="left" w:pos="885"/>
        </w:tabs>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b/>
          <w:snapToGrid w:val="0"/>
          <w:color w:val="auto"/>
          <w:sz w:val="24"/>
          <w:highlight w:val="none"/>
        </w:rPr>
      </w:pPr>
      <w:bookmarkStart w:id="268" w:name="_Toc20794"/>
      <w:bookmarkStart w:id="269" w:name="_Toc30652"/>
      <w:r>
        <w:rPr>
          <w:rFonts w:hint="eastAsia" w:ascii="宋体" w:hAnsi="宋体" w:eastAsia="宋体" w:cs="宋体"/>
          <w:b/>
          <w:snapToGrid w:val="0"/>
          <w:color w:val="auto"/>
          <w:sz w:val="24"/>
          <w:highlight w:val="none"/>
        </w:rPr>
        <w:t>第五章</w:t>
      </w:r>
      <w:bookmarkStart w:id="270" w:name="_Hlt87793860"/>
      <w:bookmarkEnd w:id="270"/>
      <w:r>
        <w:rPr>
          <w:rFonts w:hint="eastAsia" w:ascii="宋体" w:hAnsi="宋体" w:eastAsia="宋体" w:cs="宋体"/>
          <w:b/>
          <w:snapToGrid w:val="0"/>
          <w:color w:val="auto"/>
          <w:sz w:val="24"/>
          <w:highlight w:val="none"/>
          <w:lang w:val="en-US" w:eastAsia="zh-CN"/>
        </w:rPr>
        <w:t xml:space="preserve">   </w:t>
      </w:r>
      <w:r>
        <w:rPr>
          <w:rFonts w:hint="eastAsia" w:ascii="宋体" w:hAnsi="宋体" w:eastAsia="宋体" w:cs="宋体"/>
          <w:b/>
          <w:snapToGrid w:val="0"/>
          <w:color w:val="auto"/>
          <w:sz w:val="24"/>
          <w:highlight w:val="none"/>
        </w:rPr>
        <w:t>图纸和招标工程</w:t>
      </w:r>
      <w:bookmarkStart w:id="271" w:name="_Hlt69669215"/>
      <w:bookmarkEnd w:id="271"/>
      <w:r>
        <w:rPr>
          <w:rFonts w:hint="eastAsia" w:ascii="宋体" w:hAnsi="宋体" w:eastAsia="宋体" w:cs="宋体"/>
          <w:b/>
          <w:snapToGrid w:val="0"/>
          <w:color w:val="auto"/>
          <w:sz w:val="24"/>
          <w:highlight w:val="none"/>
        </w:rPr>
        <w:t>量清单</w:t>
      </w:r>
      <w:bookmarkEnd w:id="268"/>
      <w:bookmarkEnd w:id="269"/>
    </w:p>
    <w:p w14:paraId="24129D38">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b/>
          <w:bCs/>
          <w:snapToGrid w:val="0"/>
          <w:color w:val="auto"/>
          <w:kern w:val="0"/>
          <w:sz w:val="24"/>
          <w:szCs w:val="24"/>
          <w:highlight w:val="none"/>
        </w:rPr>
      </w:pPr>
      <w:bookmarkStart w:id="272" w:name="_Hlt69669182"/>
      <w:bookmarkEnd w:id="272"/>
      <w:bookmarkStart w:id="273" w:name="_Hlt75747203"/>
      <w:bookmarkEnd w:id="273"/>
      <w:bookmarkStart w:id="274" w:name="_Hlt66104919"/>
      <w:bookmarkEnd w:id="274"/>
      <w:bookmarkStart w:id="275" w:name="_Hlt87793868"/>
      <w:bookmarkEnd w:id="275"/>
      <w:r>
        <w:rPr>
          <w:rFonts w:hint="eastAsia" w:ascii="宋体" w:hAnsi="宋体" w:eastAsia="宋体" w:cs="宋体"/>
          <w:b w:val="0"/>
          <w:bCs w:val="0"/>
          <w:snapToGrid w:val="0"/>
          <w:color w:val="auto"/>
          <w:kern w:val="0"/>
          <w:sz w:val="24"/>
          <w:szCs w:val="24"/>
          <w:highlight w:val="none"/>
          <w:lang w:val="en-US" w:eastAsia="zh-CN"/>
        </w:rPr>
        <w:t>□有，另附复印件        ☑有，自行网上下载(浏览)         □无</w:t>
      </w:r>
    </w:p>
    <w:p w14:paraId="4663D13C">
      <w:pPr>
        <w:pageBreakBefore w:val="0"/>
        <w:overflowPunct/>
        <w:topLinePunct w:val="0"/>
        <w:bidi w:val="0"/>
        <w:adjustRightInd w:val="0"/>
        <w:snapToGrid w:val="0"/>
        <w:spacing w:before="151" w:line="440" w:lineRule="exact"/>
        <w:ind w:left="476"/>
        <w:outlineLvl w:val="2"/>
        <w:rPr>
          <w:rFonts w:hint="eastAsia" w:ascii="宋体" w:hAnsi="宋体" w:eastAsia="宋体" w:cs="宋体"/>
          <w:b/>
          <w:bCs/>
          <w:color w:val="auto"/>
          <w:spacing w:val="-11"/>
          <w:sz w:val="24"/>
          <w:szCs w:val="24"/>
          <w:highlight w:val="none"/>
          <w:lang w:val="en-US" w:eastAsia="zh-CN"/>
        </w:rPr>
      </w:pPr>
      <w:bookmarkStart w:id="276" w:name="_Toc30123"/>
      <w:r>
        <w:rPr>
          <w:rFonts w:hint="eastAsia" w:ascii="宋体" w:hAnsi="宋体" w:eastAsia="宋体" w:cs="宋体"/>
          <w:b/>
          <w:bCs/>
          <w:color w:val="auto"/>
          <w:spacing w:val="-11"/>
          <w:sz w:val="24"/>
          <w:szCs w:val="24"/>
          <w:highlight w:val="none"/>
          <w:lang w:val="en-US" w:eastAsia="zh-CN"/>
        </w:rPr>
        <w:t>1.图纸</w:t>
      </w:r>
      <w:bookmarkEnd w:id="276"/>
    </w:p>
    <w:p w14:paraId="3B857F8E">
      <w:pPr>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本招标文件随文另附施工图（电子文件）各一套。</w:t>
      </w:r>
    </w:p>
    <w:p w14:paraId="0E6B2EF7">
      <w:pPr>
        <w:pageBreakBefore w:val="0"/>
        <w:overflowPunct/>
        <w:topLinePunct w:val="0"/>
        <w:bidi w:val="0"/>
        <w:adjustRightInd w:val="0"/>
        <w:snapToGrid w:val="0"/>
        <w:spacing w:before="151" w:line="440" w:lineRule="exact"/>
        <w:ind w:left="476"/>
        <w:outlineLvl w:val="2"/>
        <w:rPr>
          <w:rFonts w:hint="eastAsia" w:ascii="宋体" w:hAnsi="宋体" w:eastAsia="宋体" w:cs="宋体"/>
          <w:b/>
          <w:bCs/>
          <w:color w:val="auto"/>
          <w:spacing w:val="-11"/>
          <w:sz w:val="24"/>
          <w:szCs w:val="24"/>
          <w:highlight w:val="none"/>
          <w:lang w:val="en-US" w:eastAsia="zh-CN"/>
        </w:rPr>
      </w:pPr>
      <w:bookmarkStart w:id="277" w:name="_Toc12986"/>
      <w:r>
        <w:rPr>
          <w:rFonts w:hint="eastAsia" w:ascii="宋体" w:hAnsi="宋体" w:eastAsia="宋体" w:cs="宋体"/>
          <w:b/>
          <w:bCs/>
          <w:color w:val="auto"/>
          <w:spacing w:val="-11"/>
          <w:sz w:val="24"/>
          <w:szCs w:val="24"/>
          <w:highlight w:val="none"/>
          <w:lang w:val="en-US" w:eastAsia="zh-CN"/>
        </w:rPr>
        <w:t>2.招标工程量清单</w:t>
      </w:r>
      <w:bookmarkEnd w:id="277"/>
    </w:p>
    <w:p w14:paraId="3AF9984E">
      <w:pPr>
        <w:pStyle w:val="2"/>
        <w:pageBreakBefore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 xml:space="preserve">2.1 </w:t>
      </w:r>
      <w:bookmarkStart w:id="278" w:name="_Toc7961"/>
      <w:r>
        <w:rPr>
          <w:rFonts w:hint="eastAsia" w:ascii="宋体" w:hAnsi="宋体" w:eastAsia="宋体" w:cs="宋体"/>
          <w:bCs/>
          <w:snapToGrid w:val="0"/>
          <w:color w:val="auto"/>
          <w:kern w:val="0"/>
          <w:sz w:val="24"/>
          <w:szCs w:val="24"/>
          <w:highlight w:val="none"/>
          <w:lang w:val="en-US" w:eastAsia="zh-CN" w:bidi="ar-SA"/>
        </w:rPr>
        <w:t>本项目最高投标限价、施工图纸、招标工程量清单在投标截止时间15天前以补充通知的形式在广东省招标投标监管网（https://www.gdzwfw.gov.cn/ztbjg-portal/#/index）、全国公共资源交易平台（广东省·韶关市）（https://ygp.gdzwfw.gov.cn/ggzy-portal/#/440200/index）公布。</w:t>
      </w:r>
    </w:p>
    <w:p w14:paraId="2AB4F040">
      <w:pPr>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2.2 本工程按照以下依据编制招标工程量清单、最高投标限价：</w:t>
      </w:r>
      <w:bookmarkEnd w:id="278"/>
    </w:p>
    <w:p w14:paraId="3469A127">
      <w:pPr>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bookmarkStart w:id="279" w:name="_Toc32626"/>
      <w:r>
        <w:rPr>
          <w:rFonts w:hint="eastAsia" w:ascii="宋体" w:hAnsi="宋体" w:eastAsia="宋体" w:cs="宋体"/>
          <w:bCs/>
          <w:snapToGrid w:val="0"/>
          <w:color w:val="auto"/>
          <w:kern w:val="0"/>
          <w:sz w:val="24"/>
          <w:szCs w:val="24"/>
          <w:highlight w:val="none"/>
          <w:lang w:val="en-US" w:eastAsia="zh-CN"/>
        </w:rPr>
        <w:t>（1）《建设工程工程量清单计价规范》（GB50500—2013）及《广东省建设工程工程量 清单计价指引》（2013）；</w:t>
      </w:r>
      <w:bookmarkEnd w:id="279"/>
    </w:p>
    <w:p w14:paraId="24261492">
      <w:pPr>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bookmarkStart w:id="280" w:name="_Toc32632"/>
      <w:r>
        <w:rPr>
          <w:rFonts w:hint="eastAsia" w:ascii="宋体" w:hAnsi="宋体" w:eastAsia="宋体" w:cs="宋体"/>
          <w:bCs/>
          <w:snapToGrid w:val="0"/>
          <w:color w:val="auto"/>
          <w:kern w:val="0"/>
          <w:sz w:val="24"/>
          <w:szCs w:val="24"/>
          <w:highlight w:val="none"/>
          <w:lang w:val="en-US" w:eastAsia="zh-CN"/>
        </w:rPr>
        <w:t>（2）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分部分项工程量清单与计价表”中每个工作子目的工程量进行重新计算和校核。如果投标人经过检查和复核以后认为招标人提供的工程量清单存在差异，则投标人应将此类差异的详细情况连同按“投标须知”规定提交的要求招标人澄清的其他问题一起提交给招标人，招标人将根据实际情况决定是否颁发工程量清单、最高投标限价的补充和(或)修改文件。</w:t>
      </w:r>
      <w:bookmarkEnd w:id="280"/>
      <w:r>
        <w:rPr>
          <w:rFonts w:hint="eastAsia" w:ascii="宋体" w:hAnsi="宋体" w:eastAsia="宋体" w:cs="宋体"/>
          <w:bCs/>
          <w:snapToGrid w:val="0"/>
          <w:color w:val="auto"/>
          <w:kern w:val="0"/>
          <w:sz w:val="24"/>
          <w:szCs w:val="24"/>
          <w:highlight w:val="none"/>
          <w:lang w:val="en-US" w:eastAsia="zh-CN"/>
        </w:rPr>
        <w:t xml:space="preserve"> </w:t>
      </w:r>
    </w:p>
    <w:p w14:paraId="1210497C">
      <w:pPr>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bookmarkStart w:id="281" w:name="_Toc12902"/>
      <w:r>
        <w:rPr>
          <w:rFonts w:hint="eastAsia" w:ascii="宋体" w:hAnsi="宋体" w:eastAsia="宋体" w:cs="宋体"/>
          <w:bCs/>
          <w:snapToGrid w:val="0"/>
          <w:color w:val="auto"/>
          <w:kern w:val="0"/>
          <w:sz w:val="24"/>
          <w:szCs w:val="24"/>
          <w:highlight w:val="none"/>
          <w:lang w:val="en-US" w:eastAsia="zh-CN"/>
        </w:rPr>
        <w:t>（3）本招标工程量清单措施项目中的绿色施工安全防护措施费、暂列金额、暂估价不得作为竞争性费用，投标报价必须按本招标工程量清单规定的金额填报。</w:t>
      </w:r>
      <w:bookmarkEnd w:id="281"/>
    </w:p>
    <w:p w14:paraId="69ED689E">
      <w:pPr>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bookmarkStart w:id="282" w:name="_Toc32266"/>
      <w:r>
        <w:rPr>
          <w:rFonts w:hint="eastAsia" w:ascii="宋体" w:hAnsi="宋体" w:eastAsia="宋体" w:cs="宋体"/>
          <w:bCs/>
          <w:snapToGrid w:val="0"/>
          <w:color w:val="auto"/>
          <w:kern w:val="0"/>
          <w:sz w:val="24"/>
          <w:szCs w:val="24"/>
          <w:highlight w:val="none"/>
          <w:lang w:val="en-US" w:eastAsia="zh-CN"/>
        </w:rPr>
        <w:t>（4）投标报价使用的表格格式须按照《建设工程工程量清单计价规范》（GB50500—2013）</w:t>
      </w:r>
      <w:r>
        <w:rPr>
          <w:rFonts w:ascii="宋体" w:hAnsi="宋体" w:eastAsia="宋体" w:cs="宋体"/>
          <w:b w:val="0"/>
          <w:bCs w:val="0"/>
          <w:color w:val="auto"/>
          <w:sz w:val="24"/>
          <w:szCs w:val="24"/>
          <w:highlight w:val="none"/>
        </w:rPr>
        <w:t>及《广东省建设工程工程量清单计价指引》（2013）</w:t>
      </w:r>
      <w:r>
        <w:rPr>
          <w:rFonts w:hint="eastAsia" w:ascii="宋体" w:hAnsi="宋体" w:eastAsia="宋体" w:cs="宋体"/>
          <w:bCs/>
          <w:snapToGrid w:val="0"/>
          <w:color w:val="auto"/>
          <w:kern w:val="0"/>
          <w:sz w:val="24"/>
          <w:szCs w:val="24"/>
          <w:highlight w:val="none"/>
          <w:lang w:val="en-US" w:eastAsia="zh-CN"/>
        </w:rPr>
        <w:t>。</w:t>
      </w:r>
      <w:bookmarkEnd w:id="282"/>
    </w:p>
    <w:p w14:paraId="531A702B">
      <w:pPr>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bookmarkStart w:id="283" w:name="_Toc13700"/>
      <w:r>
        <w:rPr>
          <w:rFonts w:hint="eastAsia" w:ascii="宋体" w:hAnsi="宋体" w:eastAsia="宋体" w:cs="宋体"/>
          <w:bCs/>
          <w:snapToGrid w:val="0"/>
          <w:color w:val="auto"/>
          <w:kern w:val="0"/>
          <w:sz w:val="24"/>
          <w:szCs w:val="24"/>
          <w:highlight w:val="none"/>
          <w:lang w:val="en-US" w:eastAsia="zh-CN"/>
        </w:rPr>
        <w:t>（5）《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bookmarkEnd w:id="283"/>
    </w:p>
    <w:p w14:paraId="72BA6B67">
      <w:pPr>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bookmarkStart w:id="284" w:name="_Toc10455"/>
      <w:r>
        <w:rPr>
          <w:rFonts w:hint="eastAsia" w:ascii="宋体" w:hAnsi="宋体" w:eastAsia="宋体" w:cs="宋体"/>
          <w:bCs/>
          <w:snapToGrid w:val="0"/>
          <w:color w:val="auto"/>
          <w:kern w:val="0"/>
          <w:sz w:val="24"/>
          <w:szCs w:val="24"/>
          <w:highlight w:val="none"/>
          <w:lang w:val="en-US" w:eastAsia="zh-CN"/>
        </w:rPr>
        <w:t>（6）施工图及相关资料；</w:t>
      </w:r>
      <w:bookmarkEnd w:id="284"/>
    </w:p>
    <w:p w14:paraId="02B5AAAA">
      <w:pPr>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bookmarkStart w:id="285" w:name="_Toc1743"/>
      <w:r>
        <w:rPr>
          <w:rFonts w:hint="eastAsia" w:ascii="宋体" w:hAnsi="宋体" w:eastAsia="宋体" w:cs="宋体"/>
          <w:bCs/>
          <w:snapToGrid w:val="0"/>
          <w:color w:val="auto"/>
          <w:kern w:val="0"/>
          <w:sz w:val="24"/>
          <w:szCs w:val="24"/>
          <w:highlight w:val="none"/>
          <w:lang w:val="en-US" w:eastAsia="zh-CN"/>
        </w:rPr>
        <w:t>（7）招标文件；</w:t>
      </w:r>
      <w:bookmarkEnd w:id="285"/>
    </w:p>
    <w:p w14:paraId="6474868A">
      <w:pPr>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bookmarkStart w:id="286" w:name="_Toc30083"/>
      <w:r>
        <w:rPr>
          <w:rFonts w:hint="eastAsia" w:ascii="宋体" w:hAnsi="宋体" w:eastAsia="宋体" w:cs="宋体"/>
          <w:bCs/>
          <w:snapToGrid w:val="0"/>
          <w:color w:val="auto"/>
          <w:kern w:val="0"/>
          <w:sz w:val="24"/>
          <w:szCs w:val="24"/>
          <w:highlight w:val="none"/>
          <w:lang w:val="en-US" w:eastAsia="zh-CN"/>
        </w:rPr>
        <w:t>（8）施工现场情况、地勘水文资料、工程特点及常规施工方案；</w:t>
      </w:r>
      <w:bookmarkEnd w:id="286"/>
    </w:p>
    <w:p w14:paraId="3FCCBBCA">
      <w:pPr>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bookmarkStart w:id="287" w:name="_Toc15937"/>
      <w:r>
        <w:rPr>
          <w:rFonts w:hint="eastAsia" w:ascii="宋体" w:hAnsi="宋体" w:eastAsia="宋体" w:cs="宋体"/>
          <w:bCs/>
          <w:snapToGrid w:val="0"/>
          <w:color w:val="auto"/>
          <w:kern w:val="0"/>
          <w:sz w:val="24"/>
          <w:szCs w:val="24"/>
          <w:highlight w:val="none"/>
          <w:lang w:val="en-US" w:eastAsia="zh-CN"/>
        </w:rPr>
        <w:t>（9）与建设工程有关的标准、规范、技术资料、材料设备信息价或市场价格等。</w:t>
      </w:r>
      <w:bookmarkEnd w:id="287"/>
    </w:p>
    <w:p w14:paraId="2D1BD5FC">
      <w:pPr>
        <w:rPr>
          <w:rFonts w:hint="eastAsia" w:ascii="宋体" w:hAnsi="宋体" w:eastAsia="宋体" w:cs="宋体"/>
          <w:color w:val="auto"/>
          <w:highlight w:val="none"/>
          <w:lang w:val="en-US" w:eastAsia="zh-CN"/>
        </w:rPr>
      </w:pPr>
    </w:p>
    <w:p w14:paraId="5CB06473">
      <w:pPr>
        <w:rPr>
          <w:rFonts w:hint="eastAsia" w:ascii="宋体" w:hAnsi="宋体" w:eastAsia="宋体" w:cs="宋体"/>
          <w:color w:val="auto"/>
          <w:highlight w:val="none"/>
          <w:lang w:val="en-US" w:eastAsia="zh-CN"/>
        </w:rPr>
      </w:pPr>
    </w:p>
    <w:p w14:paraId="0DC4CB4F">
      <w:pPr>
        <w:pStyle w:val="3"/>
        <w:keepNext w:val="0"/>
        <w:keepLines w:val="0"/>
        <w:pageBreakBefore w:val="0"/>
        <w:widowControl w:val="0"/>
        <w:tabs>
          <w:tab w:val="left" w:pos="885"/>
        </w:tabs>
        <w:kinsoku/>
        <w:wordWrap w:val="0"/>
        <w:overflowPunct/>
        <w:topLinePunct w:val="0"/>
        <w:autoSpaceDE/>
        <w:autoSpaceDN/>
        <w:bidi w:val="0"/>
        <w:adjustRightInd w:val="0"/>
        <w:snapToGrid w:val="0"/>
        <w:spacing w:before="0" w:beforeLines="300" w:line="440" w:lineRule="exact"/>
        <w:jc w:val="center"/>
        <w:textAlignment w:val="auto"/>
        <w:rPr>
          <w:rFonts w:hint="eastAsia" w:ascii="Times New Roman" w:hAnsi="宋体" w:eastAsia="宋体" w:cs="Times New Roman"/>
          <w:b/>
          <w:snapToGrid w:val="0"/>
          <w:color w:val="auto"/>
          <w:sz w:val="28"/>
          <w:szCs w:val="28"/>
          <w:highlight w:val="none"/>
          <w:lang w:val="en-US" w:eastAsia="zh-CN"/>
        </w:rPr>
      </w:pPr>
      <w:bookmarkStart w:id="288" w:name="_Toc9115"/>
      <w:bookmarkStart w:id="289" w:name="_Toc6239"/>
      <w:r>
        <w:rPr>
          <w:rFonts w:hint="eastAsia" w:ascii="Times New Roman" w:hAnsi="宋体" w:eastAsia="宋体" w:cs="Times New Roman"/>
          <w:b/>
          <w:snapToGrid w:val="0"/>
          <w:color w:val="auto"/>
          <w:sz w:val="28"/>
          <w:szCs w:val="28"/>
          <w:highlight w:val="none"/>
          <w:lang w:val="en-US" w:eastAsia="zh-CN"/>
        </w:rPr>
        <w:t>第六章</w:t>
      </w:r>
      <w:bookmarkStart w:id="290" w:name="_Hlt75747044"/>
      <w:bookmarkEnd w:id="290"/>
      <w:r>
        <w:rPr>
          <w:rFonts w:hint="eastAsia" w:ascii="Times New Roman" w:hAnsi="宋体" w:eastAsia="宋体" w:cs="Times New Roman"/>
          <w:b/>
          <w:snapToGrid w:val="0"/>
          <w:color w:val="auto"/>
          <w:sz w:val="28"/>
          <w:szCs w:val="28"/>
          <w:highlight w:val="none"/>
          <w:lang w:val="en-US" w:eastAsia="zh-CN"/>
        </w:rPr>
        <w:t xml:space="preserve">   投标文件格式</w:t>
      </w:r>
      <w:bookmarkEnd w:id="288"/>
      <w:bookmarkEnd w:id="289"/>
      <w:bookmarkStart w:id="291" w:name="_附件五：综合评审合理低价法"/>
      <w:bookmarkEnd w:id="291"/>
      <w:bookmarkStart w:id="292" w:name="_附件二：近三年度主要施工项目（竣工及在建）一览表"/>
      <w:bookmarkEnd w:id="292"/>
      <w:bookmarkStart w:id="293" w:name="_附件二：工期承诺书"/>
      <w:bookmarkEnd w:id="293"/>
      <w:bookmarkStart w:id="294" w:name="_附件一：投标函"/>
      <w:bookmarkEnd w:id="294"/>
      <w:bookmarkStart w:id="295" w:name="_附件四：工期承诺书"/>
      <w:bookmarkEnd w:id="295"/>
      <w:bookmarkStart w:id="296" w:name="_附件一：对招标文件条款自愿接受承诺书"/>
      <w:bookmarkEnd w:id="296"/>
      <w:bookmarkStart w:id="297" w:name="_Toc200338097"/>
      <w:bookmarkStart w:id="298" w:name="_Toc137621693"/>
      <w:bookmarkStart w:id="299" w:name="_Hlt66847557"/>
      <w:bookmarkStart w:id="300" w:name="_Toc66849200"/>
    </w:p>
    <w:p w14:paraId="2F71B21F">
      <w:pPr>
        <w:spacing w:before="151" w:line="360" w:lineRule="auto"/>
        <w:outlineLvl w:val="2"/>
        <w:rPr>
          <w:rFonts w:hint="eastAsia" w:ascii="宋体" w:hAnsi="宋体" w:eastAsia="宋体" w:cs="宋体"/>
          <w:b/>
          <w:bCs/>
          <w:color w:val="auto"/>
          <w:spacing w:val="-11"/>
          <w:sz w:val="24"/>
          <w:szCs w:val="24"/>
          <w:highlight w:val="none"/>
          <w:lang w:val="en-US" w:eastAsia="zh-CN"/>
        </w:rPr>
      </w:pPr>
      <w:bookmarkStart w:id="301" w:name="_Toc9017"/>
      <w:bookmarkStart w:id="302" w:name="_Toc5248"/>
      <w:r>
        <w:rPr>
          <w:rFonts w:hint="eastAsia" w:ascii="宋体" w:hAnsi="宋体" w:eastAsia="宋体" w:cs="宋体"/>
          <w:b/>
          <w:bCs/>
          <w:color w:val="auto"/>
          <w:spacing w:val="-11"/>
          <w:sz w:val="24"/>
          <w:szCs w:val="24"/>
          <w:highlight w:val="none"/>
          <w:lang w:val="en-US" w:eastAsia="zh-CN"/>
        </w:rPr>
        <w:t>格式一   封面</w:t>
      </w:r>
      <w:bookmarkEnd w:id="301"/>
      <w:bookmarkEnd w:id="302"/>
    </w:p>
    <w:p w14:paraId="72A32329">
      <w:pPr>
        <w:pStyle w:val="60"/>
        <w:widowControl w:val="0"/>
        <w:wordWrap w:val="0"/>
        <w:adjustRightInd w:val="0"/>
        <w:snapToGrid w:val="0"/>
        <w:spacing w:line="360" w:lineRule="auto"/>
        <w:rPr>
          <w:rFonts w:hint="eastAsia" w:ascii="宋体" w:hAnsi="宋体" w:eastAsia="宋体" w:cs="宋体"/>
          <w:b/>
          <w:snapToGrid w:val="0"/>
          <w:color w:val="auto"/>
          <w:sz w:val="24"/>
          <w:highlight w:val="none"/>
        </w:rPr>
      </w:pPr>
    </w:p>
    <w:p w14:paraId="0D548FBC">
      <w:pPr>
        <w:pStyle w:val="60"/>
        <w:widowControl w:val="0"/>
        <w:wordWrap w:val="0"/>
        <w:adjustRightInd w:val="0"/>
        <w:snapToGrid w:val="0"/>
        <w:spacing w:line="360" w:lineRule="auto"/>
        <w:jc w:val="both"/>
        <w:rPr>
          <w:rFonts w:hint="eastAsia" w:ascii="宋体" w:hAnsi="宋体" w:eastAsia="宋体" w:cs="宋体"/>
          <w:b/>
          <w:snapToGrid w:val="0"/>
          <w:color w:val="auto"/>
          <w:sz w:val="24"/>
          <w:highlight w:val="none"/>
        </w:rPr>
      </w:pPr>
    </w:p>
    <w:p w14:paraId="4D0706F2">
      <w:pPr>
        <w:pStyle w:val="60"/>
        <w:widowControl w:val="0"/>
        <w:wordWrap w:val="0"/>
        <w:adjustRightInd w:val="0"/>
        <w:snapToGrid w:val="0"/>
        <w:spacing w:line="360" w:lineRule="auto"/>
        <w:rPr>
          <w:rFonts w:hint="eastAsia" w:ascii="宋体" w:hAnsi="宋体" w:eastAsia="宋体" w:cs="宋体"/>
          <w:b/>
          <w:snapToGrid w:val="0"/>
          <w:color w:val="auto"/>
          <w:sz w:val="24"/>
          <w:highlight w:val="none"/>
        </w:rPr>
      </w:pPr>
    </w:p>
    <w:p w14:paraId="0C2E7BE8">
      <w:pPr>
        <w:pStyle w:val="60"/>
        <w:widowControl w:val="0"/>
        <w:wordWrap w:val="0"/>
        <w:adjustRightInd w:val="0"/>
        <w:snapToGrid w:val="0"/>
        <w:spacing w:line="360" w:lineRule="auto"/>
        <w:rPr>
          <w:rFonts w:hint="eastAsia" w:ascii="宋体" w:hAnsi="宋体" w:eastAsia="宋体" w:cs="宋体"/>
          <w:b/>
          <w:snapToGrid w:val="0"/>
          <w:color w:val="auto"/>
          <w:sz w:val="24"/>
          <w:highlight w:val="none"/>
        </w:rPr>
      </w:pPr>
    </w:p>
    <w:p w14:paraId="7BA6F98F">
      <w:pPr>
        <w:keepNext w:val="0"/>
        <w:keepLines w:val="0"/>
        <w:widowControl/>
        <w:suppressLineNumbers w:val="0"/>
        <w:spacing w:line="360" w:lineRule="auto"/>
        <w:jc w:val="center"/>
        <w:rPr>
          <w:rFonts w:hint="eastAsia" w:ascii="宋体" w:hAnsi="宋体" w:eastAsia="宋体" w:cs="宋体"/>
          <w:b/>
          <w:snapToGrid w:val="0"/>
          <w:color w:val="auto"/>
          <w:sz w:val="48"/>
          <w:szCs w:val="48"/>
          <w:highlight w:val="none"/>
        </w:rPr>
      </w:pPr>
      <w:r>
        <w:rPr>
          <w:rFonts w:hint="eastAsia" w:ascii="宋体" w:hAnsi="宋体" w:eastAsia="宋体" w:cs="宋体"/>
          <w:b/>
          <w:snapToGrid w:val="0"/>
          <w:color w:val="auto"/>
          <w:sz w:val="48"/>
          <w:szCs w:val="48"/>
          <w:highlight w:val="none"/>
        </w:rPr>
        <w:t>（项目名称）</w:t>
      </w:r>
      <w:r>
        <w:rPr>
          <w:rFonts w:hint="eastAsia" w:ascii="宋体" w:hAnsi="宋体" w:eastAsia="宋体" w:cs="宋体"/>
          <w:b/>
          <w:snapToGrid w:val="0"/>
          <w:color w:val="auto"/>
          <w:sz w:val="48"/>
          <w:szCs w:val="48"/>
          <w:highlight w:val="none"/>
          <w:lang w:val="en-US" w:eastAsia="zh-CN"/>
        </w:rPr>
        <w:t>工程施工</w:t>
      </w:r>
      <w:r>
        <w:rPr>
          <w:rFonts w:hint="eastAsia" w:ascii="宋体" w:hAnsi="宋体" w:eastAsia="宋体" w:cs="宋体"/>
          <w:b/>
          <w:snapToGrid w:val="0"/>
          <w:color w:val="auto"/>
          <w:sz w:val="48"/>
          <w:szCs w:val="48"/>
          <w:highlight w:val="none"/>
        </w:rPr>
        <w:t>招标</w:t>
      </w:r>
    </w:p>
    <w:p w14:paraId="7B950B0F">
      <w:pPr>
        <w:pStyle w:val="60"/>
        <w:widowControl w:val="0"/>
        <w:wordWrap w:val="0"/>
        <w:adjustRightInd w:val="0"/>
        <w:snapToGrid w:val="0"/>
        <w:spacing w:line="360" w:lineRule="auto"/>
        <w:ind w:firstLine="0"/>
        <w:jc w:val="center"/>
        <w:rPr>
          <w:rFonts w:hint="eastAsia" w:ascii="宋体" w:hAnsi="宋体" w:eastAsia="宋体" w:cs="宋体"/>
          <w:b/>
          <w:snapToGrid w:val="0"/>
          <w:color w:val="auto"/>
          <w:sz w:val="32"/>
          <w:highlight w:val="none"/>
        </w:rPr>
      </w:pPr>
    </w:p>
    <w:p w14:paraId="6D12CEB0">
      <w:pPr>
        <w:pStyle w:val="60"/>
        <w:widowControl w:val="0"/>
        <w:wordWrap w:val="0"/>
        <w:adjustRightInd w:val="0"/>
        <w:snapToGrid w:val="0"/>
        <w:spacing w:line="360" w:lineRule="auto"/>
        <w:ind w:firstLine="0"/>
        <w:jc w:val="center"/>
        <w:rPr>
          <w:rFonts w:hint="eastAsia" w:ascii="宋体" w:hAnsi="宋体" w:eastAsia="宋体" w:cs="宋体"/>
          <w:b/>
          <w:snapToGrid w:val="0"/>
          <w:color w:val="auto"/>
          <w:sz w:val="72"/>
          <w:highlight w:val="none"/>
        </w:rPr>
      </w:pPr>
      <w:r>
        <w:rPr>
          <w:rFonts w:hint="eastAsia" w:ascii="宋体" w:hAnsi="宋体" w:eastAsia="宋体" w:cs="宋体"/>
          <w:b/>
          <w:snapToGrid w:val="0"/>
          <w:color w:val="auto"/>
          <w:sz w:val="72"/>
          <w:highlight w:val="none"/>
        </w:rPr>
        <w:t>投  标  文  件</w:t>
      </w:r>
    </w:p>
    <w:p w14:paraId="00F5A6F2">
      <w:pPr>
        <w:pStyle w:val="60"/>
        <w:widowControl w:val="0"/>
        <w:wordWrap w:val="0"/>
        <w:adjustRightInd w:val="0"/>
        <w:snapToGrid w:val="0"/>
        <w:spacing w:line="360" w:lineRule="auto"/>
        <w:ind w:firstLine="0"/>
        <w:jc w:val="center"/>
        <w:rPr>
          <w:rFonts w:hint="eastAsia" w:ascii="宋体" w:hAnsi="宋体" w:eastAsia="宋体" w:cs="宋体"/>
          <w:b/>
          <w:snapToGrid w:val="0"/>
          <w:color w:val="auto"/>
          <w:sz w:val="32"/>
          <w:highlight w:val="none"/>
        </w:rPr>
      </w:pPr>
    </w:p>
    <w:p w14:paraId="12CD6D82">
      <w:pPr>
        <w:pStyle w:val="60"/>
        <w:widowControl w:val="0"/>
        <w:wordWrap w:val="0"/>
        <w:adjustRightInd w:val="0"/>
        <w:snapToGrid w:val="0"/>
        <w:spacing w:line="360" w:lineRule="auto"/>
        <w:ind w:firstLine="0"/>
        <w:jc w:val="center"/>
        <w:rPr>
          <w:rFonts w:hint="eastAsia" w:ascii="宋体" w:hAnsi="宋体" w:eastAsia="宋体" w:cs="宋体"/>
          <w:b/>
          <w:snapToGrid w:val="0"/>
          <w:color w:val="auto"/>
          <w:sz w:val="48"/>
          <w:szCs w:val="48"/>
          <w:highlight w:val="none"/>
        </w:rPr>
      </w:pPr>
      <w:r>
        <w:rPr>
          <w:rFonts w:hint="eastAsia" w:ascii="宋体" w:hAnsi="宋体" w:eastAsia="宋体" w:cs="宋体"/>
          <w:b/>
          <w:snapToGrid w:val="0"/>
          <w:color w:val="auto"/>
          <w:sz w:val="48"/>
          <w:szCs w:val="48"/>
          <w:highlight w:val="none"/>
        </w:rPr>
        <w:t>（商务标书／经济标书／施工组织设计）</w:t>
      </w:r>
    </w:p>
    <w:p w14:paraId="444409A1">
      <w:pPr>
        <w:pStyle w:val="60"/>
        <w:widowControl w:val="0"/>
        <w:wordWrap w:val="0"/>
        <w:adjustRightInd w:val="0"/>
        <w:snapToGrid w:val="0"/>
        <w:spacing w:line="360" w:lineRule="auto"/>
        <w:rPr>
          <w:rFonts w:hint="eastAsia" w:ascii="宋体" w:hAnsi="宋体" w:eastAsia="宋体" w:cs="宋体"/>
          <w:b/>
          <w:snapToGrid w:val="0"/>
          <w:color w:val="auto"/>
          <w:highlight w:val="none"/>
        </w:rPr>
      </w:pPr>
    </w:p>
    <w:p w14:paraId="36F7AB1B">
      <w:pPr>
        <w:pStyle w:val="60"/>
        <w:widowControl w:val="0"/>
        <w:wordWrap w:val="0"/>
        <w:adjustRightInd w:val="0"/>
        <w:snapToGrid w:val="0"/>
        <w:spacing w:line="360" w:lineRule="auto"/>
        <w:rPr>
          <w:rFonts w:hint="eastAsia" w:ascii="宋体" w:hAnsi="宋体" w:eastAsia="宋体" w:cs="宋体"/>
          <w:b/>
          <w:snapToGrid w:val="0"/>
          <w:color w:val="auto"/>
          <w:sz w:val="32"/>
          <w:highlight w:val="none"/>
        </w:rPr>
      </w:pPr>
    </w:p>
    <w:p w14:paraId="2D066C12">
      <w:pPr>
        <w:pStyle w:val="60"/>
        <w:widowControl w:val="0"/>
        <w:wordWrap w:val="0"/>
        <w:adjustRightInd w:val="0"/>
        <w:snapToGrid w:val="0"/>
        <w:spacing w:line="360" w:lineRule="auto"/>
        <w:rPr>
          <w:rFonts w:hint="eastAsia" w:ascii="宋体" w:hAnsi="宋体" w:eastAsia="宋体" w:cs="宋体"/>
          <w:b/>
          <w:snapToGrid w:val="0"/>
          <w:color w:val="auto"/>
          <w:sz w:val="32"/>
          <w:highlight w:val="none"/>
        </w:rPr>
      </w:pPr>
    </w:p>
    <w:p w14:paraId="59465F89">
      <w:pPr>
        <w:pStyle w:val="60"/>
        <w:widowControl w:val="0"/>
        <w:wordWrap w:val="0"/>
        <w:adjustRightInd w:val="0"/>
        <w:snapToGrid w:val="0"/>
        <w:spacing w:line="360" w:lineRule="auto"/>
        <w:rPr>
          <w:rFonts w:hint="eastAsia" w:ascii="宋体" w:hAnsi="宋体" w:eastAsia="宋体" w:cs="宋体"/>
          <w:b/>
          <w:snapToGrid w:val="0"/>
          <w:color w:val="auto"/>
          <w:sz w:val="32"/>
          <w:highlight w:val="none"/>
        </w:rPr>
      </w:pPr>
    </w:p>
    <w:p w14:paraId="6345EC8A">
      <w:pPr>
        <w:pStyle w:val="6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5ADA433A">
      <w:pPr>
        <w:pStyle w:val="60"/>
        <w:widowControl w:val="0"/>
        <w:wordWrap w:val="0"/>
        <w:adjustRightInd w:val="0"/>
        <w:snapToGrid w:val="0"/>
        <w:spacing w:line="360" w:lineRule="auto"/>
        <w:ind w:firstLine="0"/>
        <w:jc w:val="both"/>
        <w:rPr>
          <w:rFonts w:hint="eastAsia" w:ascii="宋体" w:hAnsi="宋体" w:eastAsia="宋体" w:cs="宋体"/>
          <w:bCs/>
          <w:snapToGrid w:val="0"/>
          <w:color w:val="auto"/>
          <w:sz w:val="32"/>
          <w:highlight w:val="none"/>
        </w:rPr>
      </w:pPr>
    </w:p>
    <w:p w14:paraId="15664E18">
      <w:pPr>
        <w:pStyle w:val="6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1F11576D">
      <w:pPr>
        <w:pStyle w:val="60"/>
        <w:widowControl w:val="0"/>
        <w:wordWrap w:val="0"/>
        <w:adjustRightInd w:val="0"/>
        <w:snapToGrid w:val="0"/>
        <w:spacing w:line="360" w:lineRule="auto"/>
        <w:ind w:firstLine="0"/>
        <w:jc w:val="both"/>
        <w:rPr>
          <w:rFonts w:hint="eastAsia" w:ascii="宋体" w:hAnsi="宋体" w:eastAsia="宋体" w:cs="宋体"/>
          <w:bCs/>
          <w:snapToGrid w:val="0"/>
          <w:color w:val="auto"/>
          <w:sz w:val="32"/>
          <w:highlight w:val="none"/>
          <w:u w:val="single"/>
        </w:rPr>
      </w:pPr>
    </w:p>
    <w:p w14:paraId="3D986113">
      <w:pPr>
        <w:pStyle w:val="6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1FEA2037">
      <w:pPr>
        <w:rPr>
          <w:rFonts w:hint="eastAsia" w:ascii="宋体" w:hAnsi="宋体" w:eastAsia="宋体" w:cs="宋体"/>
          <w:color w:val="auto"/>
          <w:highlight w:val="none"/>
        </w:rPr>
      </w:pPr>
      <w:bookmarkStart w:id="303" w:name="_Toc15092"/>
      <w:bookmarkStart w:id="304" w:name="_Toc104711098"/>
      <w:bookmarkStart w:id="305" w:name="_Toc106418843"/>
    </w:p>
    <w:p w14:paraId="70745866">
      <w:pPr>
        <w:rPr>
          <w:rFonts w:hint="eastAsia" w:ascii="宋体" w:hAnsi="宋体" w:eastAsia="宋体" w:cs="宋体"/>
          <w:color w:val="auto"/>
          <w:highlight w:val="none"/>
        </w:rPr>
      </w:pPr>
    </w:p>
    <w:p w14:paraId="574EE35C">
      <w:pPr>
        <w:rPr>
          <w:rFonts w:hint="eastAsia" w:ascii="宋体" w:hAnsi="宋体" w:eastAsia="宋体" w:cs="宋体"/>
          <w:color w:val="auto"/>
          <w:highlight w:val="none"/>
        </w:rPr>
      </w:pPr>
    </w:p>
    <w:p w14:paraId="6954DB65">
      <w:pPr>
        <w:rPr>
          <w:rFonts w:hint="eastAsia" w:ascii="宋体" w:hAnsi="宋体" w:eastAsia="宋体" w:cs="宋体"/>
          <w:color w:val="auto"/>
          <w:highlight w:val="none"/>
        </w:rPr>
      </w:pPr>
    </w:p>
    <w:p w14:paraId="0DC54AD9">
      <w:pPr>
        <w:rPr>
          <w:rFonts w:hint="eastAsia" w:ascii="宋体" w:hAnsi="宋体" w:eastAsia="宋体" w:cs="宋体"/>
          <w:b/>
          <w:bCs/>
          <w:color w:val="auto"/>
          <w:spacing w:val="-11"/>
          <w:sz w:val="24"/>
          <w:szCs w:val="24"/>
          <w:highlight w:val="none"/>
          <w:lang w:val="en-US" w:eastAsia="zh-CN"/>
        </w:rPr>
      </w:pPr>
      <w:bookmarkStart w:id="306" w:name="_Toc3662"/>
      <w:r>
        <w:rPr>
          <w:rFonts w:hint="eastAsia" w:ascii="宋体" w:hAnsi="宋体" w:eastAsia="宋体" w:cs="宋体"/>
          <w:b/>
          <w:bCs/>
          <w:color w:val="auto"/>
          <w:spacing w:val="-11"/>
          <w:sz w:val="24"/>
          <w:szCs w:val="24"/>
          <w:highlight w:val="none"/>
          <w:lang w:val="en-US" w:eastAsia="zh-CN"/>
        </w:rPr>
        <w:br w:type="page"/>
      </w:r>
    </w:p>
    <w:p w14:paraId="3D4B1437">
      <w:pPr>
        <w:spacing w:before="151" w:line="360" w:lineRule="auto"/>
        <w:outlineLvl w:val="2"/>
        <w:rPr>
          <w:rFonts w:hint="eastAsia" w:ascii="宋体" w:hAnsi="宋体" w:eastAsia="宋体" w:cs="宋体"/>
          <w:b/>
          <w:bCs/>
          <w:color w:val="auto"/>
          <w:spacing w:val="-11"/>
          <w:sz w:val="24"/>
          <w:szCs w:val="24"/>
          <w:highlight w:val="none"/>
          <w:lang w:val="en-US" w:eastAsia="zh-CN"/>
        </w:rPr>
      </w:pPr>
      <w:r>
        <w:rPr>
          <w:rFonts w:hint="eastAsia" w:ascii="宋体" w:hAnsi="宋体" w:eastAsia="宋体" w:cs="宋体"/>
          <w:b/>
          <w:bCs/>
          <w:color w:val="auto"/>
          <w:spacing w:val="-11"/>
          <w:sz w:val="24"/>
          <w:szCs w:val="24"/>
          <w:highlight w:val="none"/>
          <w:lang w:val="en-US" w:eastAsia="zh-CN"/>
        </w:rPr>
        <w:t>格式</w:t>
      </w:r>
      <w:bookmarkStart w:id="307" w:name="_Hlt97526007"/>
      <w:bookmarkEnd w:id="307"/>
      <w:r>
        <w:rPr>
          <w:rFonts w:hint="eastAsia" w:ascii="宋体" w:hAnsi="宋体" w:eastAsia="宋体" w:cs="宋体"/>
          <w:b/>
          <w:bCs/>
          <w:color w:val="auto"/>
          <w:spacing w:val="-11"/>
          <w:sz w:val="24"/>
          <w:szCs w:val="24"/>
          <w:highlight w:val="none"/>
          <w:lang w:val="en-US" w:eastAsia="zh-CN"/>
        </w:rPr>
        <w:t>二   投标函</w:t>
      </w:r>
      <w:bookmarkEnd w:id="303"/>
      <w:bookmarkEnd w:id="306"/>
    </w:p>
    <w:p w14:paraId="5039C579">
      <w:pPr>
        <w:wordWrap w:val="0"/>
        <w:adjustRightInd w:val="0"/>
        <w:snapToGrid w:val="0"/>
        <w:spacing w:before="260" w:after="260" w:line="360" w:lineRule="auto"/>
        <w:jc w:val="center"/>
        <w:rPr>
          <w:rFonts w:hint="eastAsia" w:ascii="宋体" w:hAnsi="宋体" w:eastAsia="宋体" w:cs="宋体"/>
          <w:b/>
          <w:snapToGrid w:val="0"/>
          <w:color w:val="auto"/>
          <w:kern w:val="0"/>
          <w:sz w:val="30"/>
          <w:highlight w:val="none"/>
        </w:rPr>
      </w:pPr>
      <w:r>
        <w:rPr>
          <w:rFonts w:hint="eastAsia" w:ascii="宋体" w:hAnsi="宋体" w:eastAsia="宋体" w:cs="宋体"/>
          <w:b/>
          <w:snapToGrid w:val="0"/>
          <w:color w:val="auto"/>
          <w:kern w:val="0"/>
          <w:sz w:val="30"/>
          <w:highlight w:val="none"/>
        </w:rPr>
        <w:t>投  标  函</w:t>
      </w:r>
      <w:bookmarkEnd w:id="304"/>
      <w:bookmarkEnd w:id="305"/>
    </w:p>
    <w:p w14:paraId="69A36318">
      <w:pPr>
        <w:wordWrap w:val="0"/>
        <w:adjustRightInd w:val="0"/>
        <w:snapToGrid w:val="0"/>
        <w:spacing w:line="360" w:lineRule="auto"/>
        <w:jc w:val="center"/>
        <w:rPr>
          <w:rFonts w:hint="eastAsia" w:ascii="宋体" w:hAnsi="宋体" w:eastAsia="宋体" w:cs="宋体"/>
          <w:b/>
          <w:snapToGrid w:val="0"/>
          <w:color w:val="auto"/>
          <w:kern w:val="0"/>
          <w:highlight w:val="none"/>
        </w:rPr>
      </w:pPr>
    </w:p>
    <w:p w14:paraId="62999E52">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（招标人名称）</w:t>
      </w:r>
    </w:p>
    <w:p w14:paraId="4EEF4A84">
      <w:pPr>
        <w:wordWrap w:val="0"/>
        <w:adjustRightInd w:val="0"/>
        <w:snapToGrid w:val="0"/>
        <w:spacing w:line="360" w:lineRule="auto"/>
        <w:ind w:firstLine="57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 我方考察现场并充分研究</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（项目名称）（以下简称“本项目”）招标文件所有内容后，结合自身资质、能力和特点，愿意接受招标文件的全部内容和条件，兹以人民币（大写）：</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）的投标总价竞投本项目施工。</w:t>
      </w:r>
    </w:p>
    <w:p w14:paraId="69ABDF1B">
      <w:pPr>
        <w:wordWrap w:val="0"/>
        <w:adjustRightInd w:val="0"/>
        <w:snapToGrid w:val="0"/>
        <w:spacing w:line="360" w:lineRule="auto"/>
        <w:ind w:firstLine="57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在我方的上述投标总价中，包括：绿色施工安全防护措施费¥</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w:t>
      </w:r>
      <w:r>
        <w:rPr>
          <w:rFonts w:hint="eastAsia" w:ascii="宋体" w:hAnsi="宋体" w:eastAsia="宋体" w:cs="宋体"/>
          <w:color w:val="auto"/>
          <w:kern w:val="0"/>
          <w:sz w:val="24"/>
          <w:szCs w:val="24"/>
          <w:highlight w:val="none"/>
          <w:lang w:bidi="ar"/>
        </w:rPr>
        <w:t>暂列金额</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，暂估价¥</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w:t>
      </w:r>
    </w:p>
    <w:p w14:paraId="2CB42D61">
      <w:pPr>
        <w:wordWrap w:val="0"/>
        <w:adjustRightInd w:val="0"/>
        <w:snapToGrid w:val="0"/>
        <w:spacing w:line="360" w:lineRule="auto"/>
        <w:ind w:firstLine="57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 如果我方中标，我方保证按照合同约定的开工日期开始本项目的施工，</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个日历天内竣工，并确保工程质量达到</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标准和维修其中的任何缺陷。</w:t>
      </w:r>
    </w:p>
    <w:p w14:paraId="714A97A1">
      <w:pPr>
        <w:wordWrap w:val="0"/>
        <w:adjustRightInd w:val="0"/>
        <w:snapToGrid w:val="0"/>
        <w:spacing w:line="360" w:lineRule="auto"/>
        <w:ind w:firstLine="57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 本投标函在你方接收我方递交的投标文件之日起、到招标文件规定的投标有效期期满前对我方具有约束力。我方随时准备接受你方发出的中标通知书。</w:t>
      </w:r>
    </w:p>
    <w:p w14:paraId="406E1F83">
      <w:pPr>
        <w:wordWrap w:val="0"/>
        <w:adjustRightInd w:val="0"/>
        <w:snapToGrid w:val="0"/>
        <w:spacing w:line="360" w:lineRule="auto"/>
        <w:ind w:firstLine="57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我方在此声明，我方不存在本项目招标文件第一章第三节第</w:t>
      </w:r>
      <w:r>
        <w:rPr>
          <w:rFonts w:hint="eastAsia" w:ascii="宋体" w:hAnsi="宋体" w:eastAsia="宋体" w:cs="宋体"/>
          <w:b/>
          <w:bCs/>
          <w:snapToGrid w:val="0"/>
          <w:color w:val="auto"/>
          <w:kern w:val="0"/>
          <w:sz w:val="24"/>
          <w:szCs w:val="24"/>
          <w:highlight w:val="none"/>
        </w:rPr>
        <w:t>2.4</w:t>
      </w:r>
      <w:r>
        <w:rPr>
          <w:rFonts w:hint="eastAsia" w:ascii="宋体" w:hAnsi="宋体" w:eastAsia="宋体" w:cs="宋体"/>
          <w:b/>
          <w:bCs/>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rPr>
        <w:t>条“禁止投标条款”所列出的任何一种情形，并愿意承担因我方就此弄虚作假所引起的一切法律后果。</w:t>
      </w:r>
    </w:p>
    <w:p w14:paraId="1A39F58D">
      <w:pPr>
        <w:wordWrap w:val="0"/>
        <w:adjustRightInd w:val="0"/>
        <w:snapToGrid w:val="0"/>
        <w:spacing w:line="360" w:lineRule="auto"/>
        <w:ind w:firstLine="57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5</w:t>
      </w:r>
      <w:r>
        <w:rPr>
          <w:rFonts w:hint="eastAsia" w:ascii="宋体" w:hAnsi="宋体" w:eastAsia="宋体" w:cs="宋体"/>
          <w:snapToGrid w:val="0"/>
          <w:color w:val="auto"/>
          <w:kern w:val="0"/>
          <w:sz w:val="24"/>
          <w:szCs w:val="24"/>
          <w:highlight w:val="none"/>
          <w:lang w:eastAsia="zh-CN"/>
        </w:rPr>
        <w:t>.</w:t>
      </w:r>
      <w:bookmarkStart w:id="308" w:name="_Hlt68771070"/>
      <w:bookmarkEnd w:id="308"/>
      <w:r>
        <w:rPr>
          <w:rFonts w:hint="eastAsia" w:ascii="宋体" w:hAnsi="宋体" w:eastAsia="宋体" w:cs="宋体"/>
          <w:snapToGrid w:val="0"/>
          <w:color w:val="auto"/>
          <w:kern w:val="0"/>
          <w:sz w:val="24"/>
          <w:szCs w:val="24"/>
          <w:highlight w:val="none"/>
          <w:lang w:eastAsia="zh-CN"/>
        </w:rPr>
        <w:t>我方在此承诺，所递交投标文件的全部内容均为真实、有效、准确的，并愿意承担因我方就此弄虚作假所引起的一切法律后果，同时理解和同意有可能被要求提供更多的资料。</w:t>
      </w:r>
    </w:p>
    <w:p w14:paraId="5F20710A">
      <w:pPr>
        <w:wordWrap w:val="0"/>
        <w:adjustRightInd w:val="0"/>
        <w:snapToGrid w:val="0"/>
        <w:spacing w:line="360" w:lineRule="auto"/>
        <w:ind w:firstLine="57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6. 我方理解你方不一定要接纳收到的最低投标总价或任何投标总价的投标人中标，也不要求你方解释我方是否中标的原因。  </w:t>
      </w:r>
    </w:p>
    <w:p w14:paraId="46558687">
      <w:pPr>
        <w:wordWrap w:val="0"/>
        <w:adjustRightInd w:val="0"/>
        <w:snapToGrid w:val="0"/>
        <w:spacing w:line="360" w:lineRule="auto"/>
        <w:rPr>
          <w:rFonts w:hint="eastAsia" w:ascii="宋体" w:hAnsi="宋体" w:eastAsia="宋体" w:cs="宋体"/>
          <w:snapToGrid w:val="0"/>
          <w:color w:val="auto"/>
          <w:kern w:val="0"/>
          <w:sz w:val="24"/>
          <w:szCs w:val="24"/>
          <w:highlight w:val="none"/>
        </w:rPr>
      </w:pPr>
    </w:p>
    <w:p w14:paraId="0ED504C0">
      <w:pPr>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6837F52E">
      <w:pPr>
        <w:wordWrap w:val="0"/>
        <w:adjustRightInd w:val="0"/>
        <w:snapToGrid w:val="0"/>
        <w:spacing w:line="360" w:lineRule="auto"/>
        <w:jc w:val="both"/>
        <w:rPr>
          <w:rFonts w:hint="eastAsia" w:ascii="宋体" w:hAnsi="宋体" w:eastAsia="宋体" w:cs="宋体"/>
          <w:snapToGrid w:val="0"/>
          <w:color w:val="auto"/>
          <w:kern w:val="0"/>
          <w:sz w:val="24"/>
          <w:szCs w:val="24"/>
          <w:highlight w:val="none"/>
        </w:rPr>
      </w:pPr>
    </w:p>
    <w:p w14:paraId="06E13CFC">
      <w:pPr>
        <w:wordWrap w:val="0"/>
        <w:adjustRightInd w:val="0"/>
        <w:snapToGrid w:val="0"/>
        <w:spacing w:line="360" w:lineRule="auto"/>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2E10C5F1">
      <w:pPr>
        <w:wordWrap w:val="0"/>
        <w:adjustRightInd w:val="0"/>
        <w:snapToGrid w:val="0"/>
        <w:spacing w:line="360" w:lineRule="auto"/>
        <w:ind w:firstLine="480" w:firstLineChars="200"/>
        <w:jc w:val="right"/>
        <w:rPr>
          <w:rFonts w:hint="eastAsia" w:ascii="宋体" w:hAnsi="宋体" w:eastAsia="宋体" w:cs="宋体"/>
          <w:snapToGrid w:val="0"/>
          <w:color w:val="auto"/>
          <w:kern w:val="0"/>
          <w:sz w:val="24"/>
          <w:szCs w:val="24"/>
          <w:highlight w:val="none"/>
        </w:rPr>
      </w:pPr>
    </w:p>
    <w:p w14:paraId="29D1B8BF">
      <w:pPr>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3DD7A4EE">
      <w:pPr>
        <w:rPr>
          <w:rFonts w:hint="eastAsia" w:ascii="宋体" w:hAnsi="宋体" w:eastAsia="宋体" w:cs="宋体"/>
          <w:color w:val="auto"/>
          <w:highlight w:val="none"/>
        </w:rPr>
      </w:pPr>
    </w:p>
    <w:p w14:paraId="61901464">
      <w:pPr>
        <w:rPr>
          <w:rFonts w:hint="eastAsia" w:ascii="宋体" w:hAnsi="宋体" w:eastAsia="宋体" w:cs="宋体"/>
          <w:color w:val="auto"/>
          <w:highlight w:val="none"/>
        </w:rPr>
      </w:pPr>
    </w:p>
    <w:p w14:paraId="6C3A6460">
      <w:pPr>
        <w:rPr>
          <w:rFonts w:hint="eastAsia" w:ascii="宋体" w:hAnsi="宋体" w:eastAsia="宋体" w:cs="宋体"/>
          <w:color w:val="auto"/>
          <w:highlight w:val="none"/>
        </w:rPr>
      </w:pPr>
    </w:p>
    <w:p w14:paraId="1D522F28">
      <w:pPr>
        <w:rPr>
          <w:rFonts w:hint="eastAsia" w:ascii="宋体" w:hAnsi="宋体" w:eastAsia="宋体" w:cs="宋体"/>
          <w:b/>
          <w:bCs/>
          <w:color w:val="auto"/>
          <w:spacing w:val="-11"/>
          <w:sz w:val="24"/>
          <w:szCs w:val="24"/>
          <w:highlight w:val="none"/>
          <w:lang w:val="en-US" w:eastAsia="zh-CN"/>
        </w:rPr>
      </w:pPr>
      <w:bookmarkStart w:id="309" w:name="_Toc6212"/>
      <w:r>
        <w:rPr>
          <w:rFonts w:hint="eastAsia" w:ascii="宋体" w:hAnsi="宋体" w:eastAsia="宋体" w:cs="宋体"/>
          <w:b/>
          <w:bCs/>
          <w:color w:val="auto"/>
          <w:spacing w:val="-11"/>
          <w:sz w:val="24"/>
          <w:szCs w:val="24"/>
          <w:highlight w:val="none"/>
          <w:lang w:val="en-US" w:eastAsia="zh-CN"/>
        </w:rPr>
        <w:br w:type="page"/>
      </w:r>
    </w:p>
    <w:p w14:paraId="7B36CC07">
      <w:pPr>
        <w:spacing w:before="151" w:line="360" w:lineRule="auto"/>
        <w:outlineLvl w:val="2"/>
        <w:rPr>
          <w:rFonts w:hint="eastAsia" w:ascii="宋体" w:hAnsi="宋体" w:eastAsia="宋体" w:cs="宋体"/>
          <w:b/>
          <w:bCs/>
          <w:color w:val="auto"/>
          <w:spacing w:val="-11"/>
          <w:sz w:val="24"/>
          <w:szCs w:val="24"/>
          <w:highlight w:val="none"/>
          <w:lang w:val="en-US" w:eastAsia="zh-CN"/>
        </w:rPr>
      </w:pPr>
      <w:bookmarkStart w:id="310" w:name="_Toc11570"/>
      <w:r>
        <w:rPr>
          <w:rFonts w:hint="eastAsia" w:ascii="宋体" w:hAnsi="宋体" w:eastAsia="宋体" w:cs="宋体"/>
          <w:b/>
          <w:bCs/>
          <w:color w:val="auto"/>
          <w:spacing w:val="-11"/>
          <w:sz w:val="24"/>
          <w:szCs w:val="24"/>
          <w:highlight w:val="none"/>
          <w:lang w:val="en-US" w:eastAsia="zh-CN"/>
        </w:rPr>
        <w:t>格式三   各项承诺一览表</w:t>
      </w:r>
      <w:bookmarkEnd w:id="309"/>
      <w:bookmarkEnd w:id="310"/>
    </w:p>
    <w:p w14:paraId="1ADDDE93">
      <w:pPr>
        <w:wordWrap w:val="0"/>
        <w:adjustRightInd w:val="0"/>
        <w:snapToGrid w:val="0"/>
        <w:spacing w:before="260" w:after="260" w:line="360" w:lineRule="auto"/>
        <w:jc w:val="center"/>
        <w:rPr>
          <w:rFonts w:hint="eastAsia" w:ascii="宋体" w:hAnsi="宋体" w:eastAsia="宋体" w:cs="宋体"/>
          <w:b/>
          <w:snapToGrid w:val="0"/>
          <w:color w:val="auto"/>
          <w:kern w:val="0"/>
          <w:sz w:val="30"/>
          <w:highlight w:val="none"/>
        </w:rPr>
      </w:pPr>
      <w:r>
        <w:rPr>
          <w:rFonts w:hint="eastAsia" w:ascii="宋体" w:hAnsi="宋体" w:eastAsia="宋体" w:cs="宋体"/>
          <w:b/>
          <w:snapToGrid w:val="0"/>
          <w:color w:val="auto"/>
          <w:kern w:val="0"/>
          <w:sz w:val="30"/>
          <w:highlight w:val="none"/>
        </w:rPr>
        <w:t>各项承诺一览表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74472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716" w:type="dxa"/>
            <w:noWrap w:val="0"/>
            <w:vAlign w:val="center"/>
          </w:tcPr>
          <w:p w14:paraId="60E0A43D">
            <w:pPr>
              <w:pStyle w:val="61"/>
              <w:wordWrap w:val="0"/>
              <w:adjustRightInd w:val="0"/>
              <w:snapToGrid w:val="0"/>
              <w:spacing w:line="380" w:lineRule="exact"/>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序号</w:t>
            </w:r>
          </w:p>
        </w:tc>
        <w:tc>
          <w:tcPr>
            <w:tcW w:w="1573" w:type="dxa"/>
            <w:noWrap w:val="0"/>
            <w:vAlign w:val="center"/>
          </w:tcPr>
          <w:p w14:paraId="6AB81F3F">
            <w:pPr>
              <w:pStyle w:val="61"/>
              <w:wordWrap w:val="0"/>
              <w:adjustRightInd w:val="0"/>
              <w:snapToGrid w:val="0"/>
              <w:spacing w:line="380" w:lineRule="exact"/>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承诺事项</w:t>
            </w:r>
          </w:p>
        </w:tc>
        <w:tc>
          <w:tcPr>
            <w:tcW w:w="2923" w:type="dxa"/>
            <w:noWrap w:val="0"/>
            <w:vAlign w:val="center"/>
          </w:tcPr>
          <w:p w14:paraId="2E9FBAD7">
            <w:pPr>
              <w:pStyle w:val="61"/>
              <w:wordWrap w:val="0"/>
              <w:adjustRightInd w:val="0"/>
              <w:snapToGrid w:val="0"/>
              <w:spacing w:line="380" w:lineRule="exact"/>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承诺内容</w:t>
            </w:r>
          </w:p>
        </w:tc>
        <w:tc>
          <w:tcPr>
            <w:tcW w:w="4019" w:type="dxa"/>
            <w:noWrap w:val="0"/>
            <w:vAlign w:val="center"/>
          </w:tcPr>
          <w:p w14:paraId="126213C9">
            <w:pPr>
              <w:pStyle w:val="61"/>
              <w:wordWrap w:val="0"/>
              <w:adjustRightInd w:val="0"/>
              <w:snapToGrid w:val="0"/>
              <w:spacing w:line="380" w:lineRule="exact"/>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违约承诺</w:t>
            </w:r>
          </w:p>
        </w:tc>
      </w:tr>
      <w:tr w14:paraId="25ACA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16" w:type="dxa"/>
            <w:noWrap w:val="0"/>
            <w:vAlign w:val="center"/>
          </w:tcPr>
          <w:p w14:paraId="06CB3B2F">
            <w:pPr>
              <w:pStyle w:val="61"/>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73" w:type="dxa"/>
            <w:noWrap w:val="0"/>
            <w:vAlign w:val="center"/>
          </w:tcPr>
          <w:p w14:paraId="7BE6AA33">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自愿接受招标</w:t>
            </w:r>
          </w:p>
          <w:p w14:paraId="0AD6A673">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文件条款的承诺</w:t>
            </w:r>
          </w:p>
        </w:tc>
        <w:tc>
          <w:tcPr>
            <w:tcW w:w="2923" w:type="dxa"/>
            <w:noWrap w:val="0"/>
            <w:vAlign w:val="center"/>
          </w:tcPr>
          <w:p w14:paraId="0CC47A99">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我方自愿接受招标文件的所有条款，所递交的投标文件已经充分响应招标文件的实质性要求。</w:t>
            </w:r>
          </w:p>
        </w:tc>
        <w:tc>
          <w:tcPr>
            <w:tcW w:w="4019" w:type="dxa"/>
            <w:noWrap w:val="0"/>
            <w:vAlign w:val="center"/>
          </w:tcPr>
          <w:p w14:paraId="61DD5A04">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14:paraId="1F7C4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6" w:hRule="atLeast"/>
          <w:jc w:val="center"/>
        </w:trPr>
        <w:tc>
          <w:tcPr>
            <w:tcW w:w="716" w:type="dxa"/>
            <w:noWrap w:val="0"/>
            <w:vAlign w:val="center"/>
          </w:tcPr>
          <w:p w14:paraId="2D3D5A0C">
            <w:pPr>
              <w:pStyle w:val="61"/>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73" w:type="dxa"/>
            <w:noWrap w:val="0"/>
            <w:vAlign w:val="center"/>
          </w:tcPr>
          <w:p w14:paraId="3B1B1776">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无禁止投标</w:t>
            </w:r>
          </w:p>
          <w:p w14:paraId="460CA09C">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情形的承诺</w:t>
            </w:r>
          </w:p>
        </w:tc>
        <w:tc>
          <w:tcPr>
            <w:tcW w:w="2923" w:type="dxa"/>
            <w:noWrap w:val="0"/>
            <w:vAlign w:val="center"/>
          </w:tcPr>
          <w:p w14:paraId="2E43F2DA">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我方不存在招标文件第一章第三节第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w:t>
            </w:r>
          </w:p>
        </w:tc>
        <w:tc>
          <w:tcPr>
            <w:tcW w:w="4019" w:type="dxa"/>
            <w:noWrap w:val="0"/>
            <w:vAlign w:val="center"/>
          </w:tcPr>
          <w:p w14:paraId="0D1F4132">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如果我方有招标文件第一章第三节第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21958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13" w:hRule="atLeast"/>
          <w:jc w:val="center"/>
        </w:trPr>
        <w:tc>
          <w:tcPr>
            <w:tcW w:w="716" w:type="dxa"/>
            <w:noWrap w:val="0"/>
            <w:vAlign w:val="center"/>
          </w:tcPr>
          <w:p w14:paraId="4135C99E">
            <w:pPr>
              <w:pStyle w:val="61"/>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573" w:type="dxa"/>
            <w:noWrap w:val="0"/>
            <w:vAlign w:val="center"/>
          </w:tcPr>
          <w:p w14:paraId="488FC120">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自觉抵制围标</w:t>
            </w:r>
          </w:p>
          <w:p w14:paraId="0578871B">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串标和弄虚</w:t>
            </w:r>
          </w:p>
          <w:p w14:paraId="3CDA3D21">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作假行为的承诺</w:t>
            </w:r>
          </w:p>
        </w:tc>
        <w:tc>
          <w:tcPr>
            <w:tcW w:w="2923" w:type="dxa"/>
            <w:noWrap w:val="0"/>
            <w:vAlign w:val="center"/>
          </w:tcPr>
          <w:p w14:paraId="086BFA7E">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我方合法正当、诚实守信地参与投标，不组织、不参加围标串标违法行为，不通过弄虚作假行为骗取中标。</w:t>
            </w:r>
          </w:p>
        </w:tc>
        <w:tc>
          <w:tcPr>
            <w:tcW w:w="4019" w:type="dxa"/>
            <w:noWrap w:val="0"/>
            <w:vAlign w:val="center"/>
          </w:tcPr>
          <w:p w14:paraId="7147CBF1">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22DB0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3" w:hRule="atLeast"/>
          <w:jc w:val="center"/>
        </w:trPr>
        <w:tc>
          <w:tcPr>
            <w:tcW w:w="716" w:type="dxa"/>
            <w:noWrap w:val="0"/>
            <w:vAlign w:val="center"/>
          </w:tcPr>
          <w:p w14:paraId="2155C998">
            <w:pPr>
              <w:pStyle w:val="61"/>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573" w:type="dxa"/>
            <w:noWrap w:val="0"/>
            <w:vAlign w:val="center"/>
          </w:tcPr>
          <w:p w14:paraId="2A9D8963">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p w14:paraId="7EBAA9B7">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任职承诺</w:t>
            </w:r>
          </w:p>
        </w:tc>
        <w:tc>
          <w:tcPr>
            <w:tcW w:w="2923" w:type="dxa"/>
            <w:noWrap w:val="0"/>
            <w:vAlign w:val="center"/>
          </w:tcPr>
          <w:p w14:paraId="70F27BA4">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我方拟派项目经理现阶段没有担任任何在施（包括已中标未开工、已开工未竣工）建设工程项目的项目经理。</w:t>
            </w:r>
          </w:p>
        </w:tc>
        <w:tc>
          <w:tcPr>
            <w:tcW w:w="4019" w:type="dxa"/>
            <w:noWrap w:val="0"/>
            <w:vAlign w:val="center"/>
          </w:tcPr>
          <w:p w14:paraId="1BDAB1D3">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5EBB6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716" w:type="dxa"/>
            <w:noWrap w:val="0"/>
            <w:vAlign w:val="center"/>
          </w:tcPr>
          <w:p w14:paraId="04ABB53F">
            <w:pPr>
              <w:pStyle w:val="61"/>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573" w:type="dxa"/>
            <w:noWrap w:val="0"/>
            <w:vAlign w:val="center"/>
          </w:tcPr>
          <w:p w14:paraId="09C7F9C4">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14:paraId="09AF5382">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真实性承诺</w:t>
            </w:r>
          </w:p>
        </w:tc>
        <w:tc>
          <w:tcPr>
            <w:tcW w:w="2923" w:type="dxa"/>
            <w:noWrap w:val="0"/>
            <w:vAlign w:val="center"/>
          </w:tcPr>
          <w:p w14:paraId="299D6E22">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我方所递交投标文件的全部内容均为真实、有效、准确的。</w:t>
            </w:r>
          </w:p>
        </w:tc>
        <w:tc>
          <w:tcPr>
            <w:tcW w:w="4019" w:type="dxa"/>
            <w:noWrap w:val="0"/>
            <w:vAlign w:val="center"/>
          </w:tcPr>
          <w:p w14:paraId="75B68E22">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5013C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716" w:type="dxa"/>
            <w:noWrap w:val="0"/>
            <w:vAlign w:val="center"/>
          </w:tcPr>
          <w:p w14:paraId="20C50CAC">
            <w:pPr>
              <w:pStyle w:val="61"/>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573" w:type="dxa"/>
            <w:noWrap w:val="0"/>
            <w:vAlign w:val="center"/>
          </w:tcPr>
          <w:p w14:paraId="3359914A">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14:paraId="3050A059">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信息公开承诺</w:t>
            </w:r>
          </w:p>
        </w:tc>
        <w:tc>
          <w:tcPr>
            <w:tcW w:w="2923" w:type="dxa"/>
            <w:noWrap w:val="0"/>
            <w:vAlign w:val="center"/>
          </w:tcPr>
          <w:p w14:paraId="402E24B1">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我方提供完整的电子文件。如果我方成为本项目中标候选人，我方同意并授权招标人在评标结果公示期内公开我方商务标书的全部内容。</w:t>
            </w:r>
          </w:p>
        </w:tc>
        <w:tc>
          <w:tcPr>
            <w:tcW w:w="4019" w:type="dxa"/>
            <w:tcBorders>
              <w:bottom w:val="single" w:color="auto" w:sz="4" w:space="0"/>
            </w:tcBorders>
            <w:noWrap w:val="0"/>
            <w:vAlign w:val="center"/>
            <mc:AlternateContent>
              <mc:Choice Requires="wpsCustomData">
                <wpsCustomData:diagonals>
                  <wpsCustomData:diagonal from="20000" to="0">
                    <wpsCustomData:border w:val="single" w:color="auto" w:sz="4" w:space="0"/>
                  </wpsCustomData:diagonal>
                </wpsCustomData:diagonals>
              </mc:Choice>
            </mc:AlternateContent>
          </w:tcPr>
          <w:p w14:paraId="551835F2">
            <w:pPr>
              <w:pStyle w:val="62"/>
              <w:wordWrap w:val="0"/>
              <w:adjustRightInd w:val="0"/>
              <w:snapToGrid w:val="0"/>
              <w:spacing w:line="360" w:lineRule="auto"/>
              <w:ind w:firstLine="0" w:firstLineChars="0"/>
              <w:jc w:val="left"/>
              <mc:AlternateContent>
                <mc:Choice Requires="wpsCustomData">
                  <wpsCustomData:diagonalParaType/>
                </mc:Choice>
              </mc:AlternateContent>
              <w:rPr>
                <w:rFonts w:hint="eastAsia" w:ascii="宋体" w:hAnsi="宋体" w:eastAsia="宋体" w:cs="宋体"/>
                <w:snapToGrid w:val="0"/>
                <w:color w:val="auto"/>
                <w:kern w:val="0"/>
                <w:sz w:val="21"/>
                <w:szCs w:val="21"/>
                <w:highlight w:val="none"/>
              </w:rPr>
            </w:pPr>
          </w:p>
          <w:p w14:paraId="0FEBDFEE">
            <w:pPr>
              <w:pStyle w:val="62"/>
              <w:wordWrap w:val="0"/>
              <w:adjustRightInd w:val="0"/>
              <w:snapToGrid w:val="0"/>
              <w:spacing w:line="360" w:lineRule="auto"/>
              <w:ind w:firstLine="0" w:firstLineChars="0"/>
              <w:jc w:val="left"/>
              <w:rPr>
                <w:rFonts w:hint="eastAsia" w:ascii="宋体" w:hAnsi="宋体" w:eastAsia="宋体" w:cs="宋体"/>
                <w:snapToGrid w:val="0"/>
                <w:color w:val="auto"/>
                <w:kern w:val="0"/>
                <w:sz w:val="21"/>
                <w:szCs w:val="21"/>
                <w:highlight w:val="none"/>
              </w:rPr>
            </w:pPr>
          </w:p>
        </w:tc>
      </w:tr>
      <w:tr w14:paraId="10561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1" w:hRule="atLeast"/>
          <w:jc w:val="center"/>
        </w:trPr>
        <w:tc>
          <w:tcPr>
            <w:tcW w:w="716" w:type="dxa"/>
            <w:noWrap w:val="0"/>
            <w:vAlign w:val="center"/>
          </w:tcPr>
          <w:p w14:paraId="336CF4EA">
            <w:pPr>
              <w:pStyle w:val="61"/>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c>
          <w:tcPr>
            <w:tcW w:w="1573" w:type="dxa"/>
            <w:noWrap w:val="0"/>
            <w:vAlign w:val="center"/>
          </w:tcPr>
          <w:p w14:paraId="0FE06A23">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对不正常报价</w:t>
            </w:r>
          </w:p>
          <w:p w14:paraId="3058372B">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的确认承诺</w:t>
            </w:r>
          </w:p>
        </w:tc>
        <w:tc>
          <w:tcPr>
            <w:tcW w:w="2923" w:type="dxa"/>
            <w:noWrap w:val="0"/>
            <w:vAlign w:val="center"/>
          </w:tcPr>
          <w:p w14:paraId="22C8C64C">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如果我方中标，我方接受招标人在合同订立期间依据招标文件有关条款约定对我方已标价工程量清单中不正常报价的修正或认定，并按要求签署《不正常报价清单》加以确认。</w:t>
            </w:r>
          </w:p>
        </w:tc>
        <w:tc>
          <w:tcPr>
            <w:tcW w:w="4019" w:type="dxa"/>
            <w:tcBorders>
              <w:tr2bl w:val="single" w:color="auto" w:sz="4" w:space="0"/>
            </w:tcBorders>
            <w:noWrap w:val="0"/>
            <w:vAlign w:val="center"/>
          </w:tcPr>
          <w:p w14:paraId="32266CDE">
            <w:pPr>
              <w:pStyle w:val="62"/>
              <w:wordWrap w:val="0"/>
              <w:adjustRightInd w:val="0"/>
              <w:snapToGrid w:val="0"/>
              <w:spacing w:line="360" w:lineRule="auto"/>
              <w:ind w:firstLine="0" w:firstLineChars="0"/>
              <w:jc w:val="left"/>
              <w:rPr>
                <w:rFonts w:hint="eastAsia" w:ascii="宋体" w:hAnsi="宋体" w:eastAsia="宋体" w:cs="宋体"/>
                <w:snapToGrid w:val="0"/>
                <w:color w:val="auto"/>
                <w:kern w:val="0"/>
                <w:sz w:val="21"/>
                <w:szCs w:val="21"/>
                <w:highlight w:val="none"/>
              </w:rPr>
            </w:pPr>
          </w:p>
          <w:p w14:paraId="1AB77592">
            <w:pPr>
              <w:pStyle w:val="62"/>
              <w:wordWrap w:val="0"/>
              <w:adjustRightInd w:val="0"/>
              <w:snapToGrid w:val="0"/>
              <w:spacing w:line="360" w:lineRule="auto"/>
              <w:ind w:firstLine="0" w:firstLineChars="0"/>
              <w:jc w:val="left"/>
              <w:rPr>
                <w:rFonts w:hint="eastAsia" w:ascii="宋体" w:hAnsi="宋体" w:eastAsia="宋体" w:cs="宋体"/>
                <w:snapToGrid w:val="0"/>
                <w:color w:val="auto"/>
                <w:kern w:val="0"/>
                <w:sz w:val="21"/>
                <w:szCs w:val="21"/>
                <w:highlight w:val="none"/>
              </w:rPr>
            </w:pPr>
          </w:p>
        </w:tc>
      </w:tr>
      <w:tr w14:paraId="09BCC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6" w:hRule="atLeast"/>
          <w:jc w:val="center"/>
        </w:trPr>
        <w:tc>
          <w:tcPr>
            <w:tcW w:w="716" w:type="dxa"/>
            <w:noWrap w:val="0"/>
            <w:vAlign w:val="center"/>
          </w:tcPr>
          <w:p w14:paraId="7370C302">
            <w:pPr>
              <w:pStyle w:val="61"/>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1573" w:type="dxa"/>
            <w:noWrap w:val="0"/>
            <w:vAlign w:val="center"/>
          </w:tcPr>
          <w:p w14:paraId="50AEBFAF">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按时提交履约</w:t>
            </w:r>
          </w:p>
          <w:p w14:paraId="42D280D6">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保证的承诺</w:t>
            </w:r>
          </w:p>
        </w:tc>
        <w:tc>
          <w:tcPr>
            <w:tcW w:w="2923" w:type="dxa"/>
            <w:noWrap w:val="0"/>
            <w:vAlign w:val="center"/>
          </w:tcPr>
          <w:p w14:paraId="2F5B97C0">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如果我方中标，我方保证在招标文件规定的时限内全额提交履约保证。</w:t>
            </w:r>
          </w:p>
        </w:tc>
        <w:tc>
          <w:tcPr>
            <w:tcW w:w="4019" w:type="dxa"/>
            <w:noWrap w:val="0"/>
            <w:vAlign w:val="center"/>
          </w:tcPr>
          <w:p w14:paraId="161FDF31">
            <w:pPr>
              <w:pStyle w:val="62"/>
              <w:wordWrap w:val="0"/>
              <w:adjustRightInd w:val="0"/>
              <w:snapToGrid w:val="0"/>
              <w:spacing w:line="360" w:lineRule="auto"/>
              <w:ind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如果我方未在招标文件规定的时限内全额提交履约保证，我方接受招标人依据招标文件作出的相应处理以及有关监督部门作出的行政处罚，并承担由此引起的一切法律后果。</w:t>
            </w:r>
          </w:p>
        </w:tc>
      </w:tr>
      <w:tr w14:paraId="70703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716" w:type="dxa"/>
            <w:noWrap w:val="0"/>
            <w:vAlign w:val="center"/>
          </w:tcPr>
          <w:p w14:paraId="01BFC30E">
            <w:pPr>
              <w:pStyle w:val="61"/>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1573" w:type="dxa"/>
            <w:noWrap w:val="0"/>
            <w:vAlign w:val="center"/>
          </w:tcPr>
          <w:p w14:paraId="387C287F">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按时签订合同</w:t>
            </w:r>
          </w:p>
          <w:p w14:paraId="72F6FDA0">
            <w:pPr>
              <w:pStyle w:val="62"/>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的承诺</w:t>
            </w:r>
          </w:p>
        </w:tc>
        <w:tc>
          <w:tcPr>
            <w:tcW w:w="2923" w:type="dxa"/>
            <w:noWrap w:val="0"/>
            <w:vAlign w:val="center"/>
          </w:tcPr>
          <w:p w14:paraId="71ACAC59">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如果我方中标，我方保证在招标文件规定的时限内与招标人签订合同，不提出违背或超出招标文件、中标文件的要求。</w:t>
            </w:r>
          </w:p>
        </w:tc>
        <w:tc>
          <w:tcPr>
            <w:tcW w:w="4019" w:type="dxa"/>
            <w:noWrap w:val="0"/>
            <w:vAlign w:val="center"/>
          </w:tcPr>
          <w:p w14:paraId="0E5E2114">
            <w:pPr>
              <w:pStyle w:val="62"/>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57D16D7A">
      <w:pPr>
        <w:pStyle w:val="61"/>
        <w:wordWrap w:val="0"/>
        <w:adjustRightInd w:val="0"/>
        <w:snapToGrid w:val="0"/>
        <w:spacing w:line="360" w:lineRule="auto"/>
        <w:jc w:val="left"/>
        <w:rPr>
          <w:rFonts w:hint="eastAsia" w:ascii="宋体" w:hAnsi="宋体" w:eastAsia="宋体" w:cs="宋体"/>
          <w:snapToGrid w:val="0"/>
          <w:color w:val="auto"/>
          <w:kern w:val="0"/>
          <w:highlight w:val="none"/>
        </w:rPr>
      </w:pPr>
    </w:p>
    <w:p w14:paraId="48AB9468">
      <w:pPr>
        <w:pStyle w:val="14"/>
        <w:wordWrap w:val="0"/>
        <w:adjustRightInd w:val="0"/>
        <w:snapToGrid w:val="0"/>
        <w:spacing w:line="360" w:lineRule="auto"/>
        <w:ind w:firstLine="420" w:firstLineChars="200"/>
        <w:jc w:val="right"/>
        <w:rPr>
          <w:rFonts w:hint="eastAsia" w:ascii="宋体" w:hAnsi="宋体" w:eastAsia="宋体" w:cs="宋体"/>
          <w:snapToGrid w:val="0"/>
          <w:color w:val="auto"/>
          <w:kern w:val="0"/>
          <w:szCs w:val="24"/>
          <w:highlight w:val="none"/>
        </w:rPr>
      </w:pPr>
    </w:p>
    <w:p w14:paraId="2BCF5460">
      <w:pPr>
        <w:pStyle w:val="14"/>
        <w:wordWrap w:val="0"/>
        <w:adjustRightInd w:val="0"/>
        <w:snapToGrid w:val="0"/>
        <w:spacing w:line="360" w:lineRule="auto"/>
        <w:ind w:firstLine="420" w:firstLineChars="200"/>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投标人：</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（盖单位章）</w:t>
      </w:r>
    </w:p>
    <w:p w14:paraId="6251EDDA">
      <w:pPr>
        <w:pStyle w:val="14"/>
        <w:wordWrap w:val="0"/>
        <w:adjustRightInd w:val="0"/>
        <w:snapToGrid w:val="0"/>
        <w:spacing w:line="360" w:lineRule="auto"/>
        <w:ind w:firstLine="420" w:firstLineChars="200"/>
        <w:jc w:val="right"/>
        <w:rPr>
          <w:rFonts w:hint="eastAsia" w:ascii="宋体" w:hAnsi="宋体" w:eastAsia="宋体" w:cs="宋体"/>
          <w:snapToGrid w:val="0"/>
          <w:color w:val="auto"/>
          <w:kern w:val="0"/>
          <w:szCs w:val="24"/>
          <w:highlight w:val="none"/>
        </w:rPr>
      </w:pPr>
    </w:p>
    <w:p w14:paraId="1669000E">
      <w:pPr>
        <w:pStyle w:val="14"/>
        <w:wordWrap w:val="0"/>
        <w:adjustRightInd w:val="0"/>
        <w:snapToGrid w:val="0"/>
        <w:spacing w:line="360" w:lineRule="auto"/>
        <w:ind w:firstLine="420" w:firstLineChars="200"/>
        <w:jc w:val="right"/>
        <w:rPr>
          <w:rFonts w:hint="eastAsia" w:ascii="宋体" w:hAnsi="宋体" w:eastAsia="宋体" w:cs="宋体"/>
          <w:snapToGrid w:val="0"/>
          <w:color w:val="auto"/>
          <w:kern w:val="0"/>
          <w:szCs w:val="24"/>
          <w:highlight w:val="none"/>
        </w:rPr>
      </w:pPr>
    </w:p>
    <w:p w14:paraId="3137CDB9">
      <w:pPr>
        <w:pStyle w:val="14"/>
        <w:wordWrap w:val="0"/>
        <w:adjustRightInd w:val="0"/>
        <w:snapToGrid w:val="0"/>
        <w:spacing w:line="360" w:lineRule="auto"/>
        <w:ind w:firstLine="420" w:firstLineChars="200"/>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法定代表人或其委托代理人：</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（签字或盖章）</w:t>
      </w:r>
    </w:p>
    <w:p w14:paraId="3657DB24">
      <w:pPr>
        <w:pStyle w:val="14"/>
        <w:wordWrap w:val="0"/>
        <w:adjustRightInd w:val="0"/>
        <w:snapToGrid w:val="0"/>
        <w:spacing w:line="360" w:lineRule="auto"/>
        <w:ind w:firstLine="420" w:firstLineChars="200"/>
        <w:rPr>
          <w:rFonts w:hint="eastAsia" w:ascii="宋体" w:hAnsi="宋体" w:eastAsia="宋体" w:cs="宋体"/>
          <w:snapToGrid w:val="0"/>
          <w:color w:val="auto"/>
          <w:kern w:val="0"/>
          <w:szCs w:val="24"/>
          <w:highlight w:val="none"/>
        </w:rPr>
      </w:pPr>
    </w:p>
    <w:p w14:paraId="6D7F26EA">
      <w:pPr>
        <w:pStyle w:val="14"/>
        <w:wordWrap w:val="0"/>
        <w:adjustRightInd w:val="0"/>
        <w:snapToGrid w:val="0"/>
        <w:spacing w:line="360" w:lineRule="auto"/>
        <w:ind w:firstLine="420" w:firstLineChars="200"/>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xml:space="preserve">                      </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年</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月</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日</w:t>
      </w:r>
    </w:p>
    <w:p w14:paraId="6ADDEB2D">
      <w:pPr>
        <w:rPr>
          <w:rFonts w:hint="eastAsia" w:ascii="宋体" w:hAnsi="宋体" w:eastAsia="宋体" w:cs="宋体"/>
          <w:color w:val="auto"/>
          <w:highlight w:val="none"/>
        </w:rPr>
      </w:pPr>
    </w:p>
    <w:p w14:paraId="740DA8D5">
      <w:pPr>
        <w:rPr>
          <w:rFonts w:hint="eastAsia" w:ascii="宋体" w:hAnsi="宋体" w:eastAsia="宋体" w:cs="宋体"/>
          <w:color w:val="auto"/>
          <w:highlight w:val="none"/>
        </w:rPr>
      </w:pPr>
    </w:p>
    <w:p w14:paraId="44360825">
      <w:pPr>
        <w:rPr>
          <w:rFonts w:hint="eastAsia" w:ascii="宋体" w:hAnsi="宋体" w:eastAsia="宋体" w:cs="宋体"/>
          <w:color w:val="auto"/>
          <w:highlight w:val="none"/>
        </w:rPr>
      </w:pPr>
    </w:p>
    <w:p w14:paraId="2956DE83">
      <w:pPr>
        <w:rPr>
          <w:rFonts w:hint="eastAsia" w:ascii="宋体" w:hAnsi="宋体" w:eastAsia="宋体" w:cs="宋体"/>
          <w:color w:val="auto"/>
          <w:highlight w:val="none"/>
        </w:rPr>
      </w:pPr>
    </w:p>
    <w:p w14:paraId="1285E40F">
      <w:pPr>
        <w:rPr>
          <w:rFonts w:hint="eastAsia" w:ascii="宋体" w:hAnsi="宋体" w:eastAsia="宋体" w:cs="宋体"/>
          <w:color w:val="auto"/>
          <w:highlight w:val="none"/>
        </w:rPr>
      </w:pPr>
    </w:p>
    <w:p w14:paraId="4CA238E4">
      <w:pPr>
        <w:rPr>
          <w:rFonts w:hint="eastAsia" w:ascii="宋体" w:hAnsi="宋体" w:eastAsia="宋体" w:cs="宋体"/>
          <w:color w:val="auto"/>
          <w:highlight w:val="none"/>
        </w:rPr>
      </w:pPr>
    </w:p>
    <w:p w14:paraId="4803041C">
      <w:pPr>
        <w:spacing w:before="151" w:line="360" w:lineRule="auto"/>
        <w:outlineLvl w:val="2"/>
        <w:rPr>
          <w:rFonts w:hint="eastAsia" w:ascii="宋体" w:hAnsi="宋体" w:eastAsia="宋体" w:cs="宋体"/>
          <w:b/>
          <w:bCs/>
          <w:color w:val="auto"/>
          <w:spacing w:val="-11"/>
          <w:sz w:val="24"/>
          <w:szCs w:val="24"/>
          <w:highlight w:val="none"/>
          <w:lang w:val="en-US" w:eastAsia="zh-CN"/>
        </w:rPr>
      </w:pPr>
      <w:bookmarkStart w:id="311" w:name="_Toc27327"/>
      <w:bookmarkStart w:id="312" w:name="_Toc5707"/>
      <w:r>
        <w:rPr>
          <w:rFonts w:hint="eastAsia" w:ascii="宋体" w:hAnsi="宋体" w:eastAsia="宋体" w:cs="宋体"/>
          <w:b/>
          <w:bCs/>
          <w:color w:val="auto"/>
          <w:spacing w:val="-11"/>
          <w:sz w:val="24"/>
          <w:szCs w:val="24"/>
          <w:highlight w:val="none"/>
          <w:lang w:val="en-US" w:eastAsia="zh-CN"/>
        </w:rPr>
        <w:t>格式四   授权委托书</w:t>
      </w:r>
      <w:bookmarkEnd w:id="311"/>
      <w:bookmarkEnd w:id="312"/>
    </w:p>
    <w:p w14:paraId="0B83F93A">
      <w:pPr>
        <w:wordWrap w:val="0"/>
        <w:adjustRightInd w:val="0"/>
        <w:snapToGrid w:val="0"/>
        <w:spacing w:before="260" w:after="260" w:line="360" w:lineRule="auto"/>
        <w:jc w:val="center"/>
        <w:rPr>
          <w:rFonts w:hint="eastAsia" w:ascii="宋体" w:hAnsi="宋体" w:eastAsia="宋体" w:cs="宋体"/>
          <w:b/>
          <w:snapToGrid w:val="0"/>
          <w:color w:val="auto"/>
          <w:kern w:val="0"/>
          <w:highlight w:val="none"/>
        </w:rPr>
      </w:pPr>
      <w:r>
        <w:rPr>
          <w:rFonts w:hint="eastAsia" w:ascii="宋体" w:hAnsi="宋体" w:eastAsia="宋体" w:cs="宋体"/>
          <w:b/>
          <w:snapToGrid w:val="0"/>
          <w:color w:val="auto"/>
          <w:kern w:val="0"/>
          <w:sz w:val="30"/>
          <w:highlight w:val="none"/>
        </w:rPr>
        <w:t>授权委托书</w:t>
      </w:r>
    </w:p>
    <w:p w14:paraId="624E5EE5">
      <w:pPr>
        <w:wordWrap w:val="0"/>
        <w:adjustRightInd w:val="0"/>
        <w:snapToGrid w:val="0"/>
        <w:spacing w:line="360" w:lineRule="auto"/>
        <w:rPr>
          <w:rFonts w:hint="eastAsia" w:ascii="宋体" w:hAnsi="宋体" w:eastAsia="宋体" w:cs="宋体"/>
          <w:snapToGrid w:val="0"/>
          <w:color w:val="auto"/>
          <w:kern w:val="0"/>
          <w:szCs w:val="28"/>
          <w:highlight w:val="none"/>
        </w:rPr>
      </w:pPr>
    </w:p>
    <w:p w14:paraId="5C8DD828">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Cs w:val="21"/>
          <w:highlight w:val="none"/>
        </w:rPr>
        <w:t xml:space="preserve">  </w:t>
      </w:r>
      <w:r>
        <w:rPr>
          <w:rFonts w:hint="eastAsia" w:ascii="宋体" w:hAnsi="宋体" w:eastAsia="宋体" w:cs="宋体"/>
          <w:snapToGrid w:val="0"/>
          <w:color w:val="auto"/>
          <w:kern w:val="0"/>
          <w:sz w:val="24"/>
          <w:szCs w:val="24"/>
          <w:highlight w:val="none"/>
        </w:rPr>
        <w:t xml:space="preserve">  本人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（姓名）系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（投标人名称）的法定代表人，现委托</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（姓名）为我方代理人。代理人根据授权，以我方名义签署、澄清、说明、补正、递交、撤回、修改</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（项目名称）投标文件、签订合同和处理有关事宜，其法律后果由我方承担。</w:t>
      </w:r>
    </w:p>
    <w:p w14:paraId="2561B414">
      <w:pPr>
        <w:wordWrap w:val="0"/>
        <w:adjustRightInd w:val="0"/>
        <w:snapToGrid w:val="0"/>
        <w:spacing w:line="360" w:lineRule="auto"/>
        <w:ind w:firstLine="480" w:firstLineChars="200"/>
        <w:rPr>
          <w:rFonts w:hint="eastAsia" w:ascii="宋体" w:hAnsi="宋体" w:eastAsia="宋体" w:cs="宋体"/>
          <w:b w:val="0"/>
          <w:bCs w:val="0"/>
          <w:i w:val="0"/>
          <w:iCs w:val="0"/>
          <w:snapToGrid w:val="0"/>
          <w:color w:val="auto"/>
          <w:kern w:val="0"/>
          <w:sz w:val="24"/>
          <w:szCs w:val="24"/>
          <w:highlight w:val="none"/>
        </w:rPr>
      </w:pPr>
      <w:r>
        <w:rPr>
          <w:rFonts w:hint="eastAsia" w:ascii="宋体" w:hAnsi="宋体" w:eastAsia="宋体" w:cs="宋体"/>
          <w:b w:val="0"/>
          <w:bCs w:val="0"/>
          <w:i w:val="0"/>
          <w:iCs w:val="0"/>
          <w:snapToGrid w:val="0"/>
          <w:color w:val="auto"/>
          <w:kern w:val="0"/>
          <w:sz w:val="24"/>
          <w:szCs w:val="24"/>
          <w:highlight w:val="none"/>
        </w:rPr>
        <w:t>委托期限：</w:t>
      </w:r>
      <w:r>
        <w:rPr>
          <w:rFonts w:hint="eastAsia" w:ascii="宋体" w:hAnsi="宋体" w:eastAsia="宋体" w:cs="宋体"/>
          <w:b w:val="0"/>
          <w:bCs w:val="0"/>
          <w:i w:val="0"/>
          <w:iCs w:val="0"/>
          <w:snapToGrid w:val="0"/>
          <w:color w:val="auto"/>
          <w:kern w:val="0"/>
          <w:sz w:val="24"/>
          <w:szCs w:val="24"/>
          <w:highlight w:val="none"/>
          <w:lang w:val="en-US" w:eastAsia="zh-CN"/>
        </w:rPr>
        <w:t>至</w:t>
      </w:r>
      <w:r>
        <w:rPr>
          <w:rFonts w:hint="eastAsia" w:ascii="宋体" w:hAnsi="宋体" w:eastAsia="宋体" w:cs="宋体"/>
          <w:b w:val="0"/>
          <w:bCs w:val="0"/>
          <w:i w:val="0"/>
          <w:iCs w:val="0"/>
          <w:snapToGrid w:val="0"/>
          <w:color w:val="auto"/>
          <w:kern w:val="0"/>
          <w:sz w:val="24"/>
          <w:szCs w:val="24"/>
          <w:highlight w:val="none"/>
          <w:u w:val="single"/>
        </w:rPr>
        <w:t xml:space="preserve">     </w:t>
      </w:r>
      <w:r>
        <w:rPr>
          <w:rFonts w:hint="eastAsia" w:ascii="宋体" w:hAnsi="宋体" w:eastAsia="宋体" w:cs="宋体"/>
          <w:b w:val="0"/>
          <w:bCs w:val="0"/>
          <w:i w:val="0"/>
          <w:iCs w:val="0"/>
          <w:snapToGrid w:val="0"/>
          <w:color w:val="auto"/>
          <w:kern w:val="0"/>
          <w:sz w:val="24"/>
          <w:szCs w:val="24"/>
          <w:highlight w:val="none"/>
          <w:lang w:val="en-US" w:eastAsia="zh-CN"/>
        </w:rPr>
        <w:t>年</w:t>
      </w:r>
      <w:r>
        <w:rPr>
          <w:rFonts w:hint="eastAsia" w:ascii="宋体" w:hAnsi="宋体" w:eastAsia="宋体" w:cs="宋体"/>
          <w:b w:val="0"/>
          <w:bCs w:val="0"/>
          <w:i w:val="0"/>
          <w:iCs w:val="0"/>
          <w:snapToGrid w:val="0"/>
          <w:color w:val="auto"/>
          <w:kern w:val="0"/>
          <w:sz w:val="24"/>
          <w:szCs w:val="24"/>
          <w:highlight w:val="none"/>
          <w:u w:val="single"/>
        </w:rPr>
        <w:t xml:space="preserve">     </w:t>
      </w:r>
      <w:r>
        <w:rPr>
          <w:rFonts w:hint="eastAsia" w:ascii="宋体" w:hAnsi="宋体" w:eastAsia="宋体" w:cs="宋体"/>
          <w:b w:val="0"/>
          <w:bCs w:val="0"/>
          <w:i w:val="0"/>
          <w:iCs w:val="0"/>
          <w:snapToGrid w:val="0"/>
          <w:color w:val="auto"/>
          <w:kern w:val="0"/>
          <w:sz w:val="24"/>
          <w:szCs w:val="24"/>
          <w:highlight w:val="none"/>
          <w:lang w:val="en-US" w:eastAsia="zh-CN"/>
        </w:rPr>
        <w:t>月</w:t>
      </w:r>
      <w:r>
        <w:rPr>
          <w:rFonts w:hint="eastAsia" w:ascii="宋体" w:hAnsi="宋体" w:eastAsia="宋体" w:cs="宋体"/>
          <w:b w:val="0"/>
          <w:bCs w:val="0"/>
          <w:i w:val="0"/>
          <w:iCs w:val="0"/>
          <w:snapToGrid w:val="0"/>
          <w:color w:val="auto"/>
          <w:kern w:val="0"/>
          <w:sz w:val="24"/>
          <w:szCs w:val="24"/>
          <w:highlight w:val="none"/>
          <w:u w:val="single"/>
        </w:rPr>
        <w:t xml:space="preserve">     </w:t>
      </w:r>
      <w:r>
        <w:rPr>
          <w:rFonts w:hint="eastAsia" w:ascii="宋体" w:hAnsi="宋体" w:eastAsia="宋体" w:cs="宋体"/>
          <w:b w:val="0"/>
          <w:bCs w:val="0"/>
          <w:i w:val="0"/>
          <w:iCs w:val="0"/>
          <w:snapToGrid w:val="0"/>
          <w:color w:val="auto"/>
          <w:kern w:val="0"/>
          <w:sz w:val="24"/>
          <w:szCs w:val="24"/>
          <w:highlight w:val="none"/>
          <w:lang w:val="en-US" w:eastAsia="zh-CN"/>
        </w:rPr>
        <w:t>日</w:t>
      </w:r>
      <w:r>
        <w:rPr>
          <w:rFonts w:hint="eastAsia" w:ascii="宋体" w:hAnsi="宋体" w:eastAsia="宋体" w:cs="宋体"/>
          <w:b w:val="0"/>
          <w:bCs w:val="0"/>
          <w:i/>
          <w:iCs/>
          <w:snapToGrid w:val="0"/>
          <w:color w:val="auto"/>
          <w:kern w:val="0"/>
          <w:sz w:val="24"/>
          <w:szCs w:val="24"/>
          <w:highlight w:val="none"/>
          <w:u w:val="single"/>
          <w:lang w:val="en-US" w:eastAsia="zh-CN"/>
        </w:rPr>
        <w:t>（不得短于招标文件规定的投标有效期）</w:t>
      </w:r>
      <w:r>
        <w:rPr>
          <w:rFonts w:hint="eastAsia" w:ascii="宋体" w:hAnsi="宋体" w:eastAsia="宋体" w:cs="宋体"/>
          <w:b w:val="0"/>
          <w:bCs w:val="0"/>
          <w:i w:val="0"/>
          <w:iCs w:val="0"/>
          <w:snapToGrid w:val="0"/>
          <w:color w:val="auto"/>
          <w:kern w:val="0"/>
          <w:sz w:val="24"/>
          <w:szCs w:val="24"/>
          <w:highlight w:val="none"/>
          <w:lang w:val="en-US" w:eastAsia="zh-CN"/>
        </w:rPr>
        <w:t>。</w:t>
      </w:r>
    </w:p>
    <w:p w14:paraId="68028CA8">
      <w:pPr>
        <w:wordWrap w:val="0"/>
        <w:adjustRightInd w:val="0"/>
        <w:snapToGrid w:val="0"/>
        <w:spacing w:line="360" w:lineRule="auto"/>
        <w:ind w:firstLine="482" w:firstLineChars="200"/>
        <w:rPr>
          <w:rFonts w:hint="eastAsia" w:ascii="宋体" w:hAnsi="宋体" w:eastAsia="宋体" w:cs="宋体"/>
          <w:b/>
          <w:bCs/>
          <w:i w:val="0"/>
          <w:iCs w:val="0"/>
          <w:snapToGrid w:val="0"/>
          <w:color w:val="auto"/>
          <w:kern w:val="0"/>
          <w:sz w:val="24"/>
          <w:szCs w:val="24"/>
          <w:highlight w:val="none"/>
        </w:rPr>
      </w:pPr>
    </w:p>
    <w:p w14:paraId="56D50548">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代理人无转委托权。</w:t>
      </w:r>
    </w:p>
    <w:p w14:paraId="2F7B7C4C">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p>
    <w:p w14:paraId="359B9C4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p>
    <w:p w14:paraId="358D5986">
      <w:pPr>
        <w:wordWrap w:val="0"/>
        <w:adjustRightInd w:val="0"/>
        <w:snapToGrid w:val="0"/>
        <w:spacing w:line="360" w:lineRule="auto"/>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投  标  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037F2236">
      <w:pPr>
        <w:wordWrap w:val="0"/>
        <w:adjustRightInd w:val="0"/>
        <w:snapToGrid w:val="0"/>
        <w:spacing w:line="360" w:lineRule="auto"/>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w:t>
      </w:r>
    </w:p>
    <w:p w14:paraId="697FCA12">
      <w:pPr>
        <w:wordWrap w:val="0"/>
        <w:adjustRightInd w:val="0"/>
        <w:snapToGrid w:val="0"/>
        <w:spacing w:line="360" w:lineRule="auto"/>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法定代表人：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4A547BB9">
      <w:pPr>
        <w:wordWrap w:val="0"/>
        <w:adjustRightInd w:val="0"/>
        <w:snapToGrid w:val="0"/>
        <w:spacing w:line="360" w:lineRule="auto"/>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6EFA7657">
      <w:pPr>
        <w:wordWrap w:val="0"/>
        <w:adjustRightInd w:val="0"/>
        <w:snapToGrid w:val="0"/>
        <w:spacing w:line="360" w:lineRule="auto"/>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w:t>
      </w:r>
    </w:p>
    <w:p w14:paraId="71F1FDE2">
      <w:pPr>
        <w:wordWrap w:val="0"/>
        <w:adjustRightInd w:val="0"/>
        <w:snapToGrid w:val="0"/>
        <w:spacing w:line="360" w:lineRule="auto"/>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2493B3A7">
      <w:pPr>
        <w:rPr>
          <w:rFonts w:hint="eastAsia" w:ascii="宋体" w:hAnsi="宋体" w:eastAsia="宋体" w:cs="宋体"/>
          <w:color w:val="auto"/>
          <w:sz w:val="24"/>
          <w:szCs w:val="24"/>
          <w:highlight w:val="none"/>
        </w:rPr>
      </w:pPr>
    </w:p>
    <w:p w14:paraId="64920DD3">
      <w:pPr>
        <w:rPr>
          <w:rFonts w:hint="eastAsia" w:ascii="宋体" w:hAnsi="宋体" w:eastAsia="宋体" w:cs="宋体"/>
          <w:color w:val="auto"/>
          <w:sz w:val="24"/>
          <w:szCs w:val="24"/>
          <w:highlight w:val="none"/>
        </w:rPr>
      </w:pPr>
    </w:p>
    <w:p w14:paraId="1EE48966">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mc:AlternateContent>
          <mc:Choice Requires="wps">
            <w:drawing>
              <wp:anchor distT="0" distB="0" distL="114300" distR="114300" simplePos="0" relativeHeight="251662336"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8F31460">
                            <w:pPr>
                              <w:jc w:val="center"/>
                              <w:rPr>
                                <w:rFonts w:hint="eastAsia"/>
                                <w:szCs w:val="21"/>
                              </w:rPr>
                            </w:pPr>
                          </w:p>
                          <w:p w14:paraId="3D05A9B5">
                            <w:pPr>
                              <w:jc w:val="both"/>
                              <w:rPr>
                                <w:rFonts w:hint="eastAsia"/>
                                <w:szCs w:val="21"/>
                              </w:rPr>
                            </w:pPr>
                          </w:p>
                          <w:p w14:paraId="717DEDC8">
                            <w:pPr>
                              <w:jc w:val="center"/>
                              <w:rPr>
                                <w:rFonts w:hint="eastAsia" w:ascii="宋体" w:hAnsi="宋体" w:eastAsia="宋体" w:cs="宋体"/>
                                <w:sz w:val="24"/>
                                <w:szCs w:val="24"/>
                              </w:rPr>
                            </w:pPr>
                          </w:p>
                          <w:p w14:paraId="11B68754">
                            <w:pPr>
                              <w:jc w:val="center"/>
                              <w:rPr>
                                <w:rFonts w:hint="eastAsia" w:ascii="宋体" w:hAnsi="宋体" w:eastAsia="宋体" w:cs="宋体"/>
                                <w:sz w:val="24"/>
                                <w:szCs w:val="24"/>
                              </w:rPr>
                            </w:pPr>
                            <w:r>
                              <w:rPr>
                                <w:rFonts w:hint="eastAsia" w:ascii="宋体" w:hAnsi="宋体" w:eastAsia="宋体" w:cs="宋体"/>
                                <w:sz w:val="24"/>
                                <w:szCs w:val="24"/>
                              </w:rPr>
                              <w:t>委托代理人身份证彩色扫描件正、反面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62336;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BaUS9UJgIAAFQEAAAOAAAAAAAAAAEAIAAAACcBAABkcnMvZTJvRG9jLnhtbFBLBQYAAAAA&#10;BgAGAFkBAAC/BQAAAAA=&#10;">
                <v:fill on="t" focussize="0,0"/>
                <v:stroke color="#000000" joinstyle="miter"/>
                <v:imagedata o:title=""/>
                <o:lock v:ext="edit" aspectratio="f"/>
                <v:textbox>
                  <w:txbxContent>
                    <w:p w14:paraId="38F31460">
                      <w:pPr>
                        <w:jc w:val="center"/>
                        <w:rPr>
                          <w:rFonts w:hint="eastAsia"/>
                          <w:szCs w:val="21"/>
                        </w:rPr>
                      </w:pPr>
                    </w:p>
                    <w:p w14:paraId="3D05A9B5">
                      <w:pPr>
                        <w:jc w:val="both"/>
                        <w:rPr>
                          <w:rFonts w:hint="eastAsia"/>
                          <w:szCs w:val="21"/>
                        </w:rPr>
                      </w:pPr>
                    </w:p>
                    <w:p w14:paraId="717DEDC8">
                      <w:pPr>
                        <w:jc w:val="center"/>
                        <w:rPr>
                          <w:rFonts w:hint="eastAsia" w:ascii="宋体" w:hAnsi="宋体" w:eastAsia="宋体" w:cs="宋体"/>
                          <w:sz w:val="24"/>
                          <w:szCs w:val="24"/>
                        </w:rPr>
                      </w:pPr>
                    </w:p>
                    <w:p w14:paraId="11B68754">
                      <w:pPr>
                        <w:jc w:val="center"/>
                        <w:rPr>
                          <w:rFonts w:hint="eastAsia" w:ascii="宋体" w:hAnsi="宋体" w:eastAsia="宋体" w:cs="宋体"/>
                          <w:sz w:val="24"/>
                          <w:szCs w:val="24"/>
                        </w:rPr>
                      </w:pPr>
                      <w:r>
                        <w:rPr>
                          <w:rFonts w:hint="eastAsia" w:ascii="宋体" w:hAnsi="宋体" w:eastAsia="宋体" w:cs="宋体"/>
                          <w:sz w:val="24"/>
                          <w:szCs w:val="24"/>
                        </w:rPr>
                        <w:t>委托代理人身份证彩色扫描件正、反面</w:t>
                      </w:r>
                    </w:p>
                  </w:txbxContent>
                </v:textbox>
              </v:shape>
            </w:pict>
          </mc:Fallback>
        </mc:AlternateContent>
      </w:r>
    </w:p>
    <w:p w14:paraId="595BB3FB">
      <w:pPr>
        <w:rPr>
          <w:rFonts w:hint="eastAsia" w:ascii="宋体" w:hAnsi="宋体" w:eastAsia="宋体" w:cs="宋体"/>
          <w:color w:val="auto"/>
          <w:sz w:val="24"/>
          <w:szCs w:val="24"/>
          <w:highlight w:val="none"/>
        </w:rPr>
      </w:pPr>
    </w:p>
    <w:p w14:paraId="160DB27E">
      <w:pPr>
        <w:rPr>
          <w:rFonts w:hint="eastAsia" w:ascii="宋体" w:hAnsi="宋体" w:eastAsia="宋体" w:cs="宋体"/>
          <w:color w:val="auto"/>
          <w:sz w:val="24"/>
          <w:szCs w:val="24"/>
          <w:highlight w:val="none"/>
        </w:rPr>
      </w:pPr>
    </w:p>
    <w:p w14:paraId="1E8C6BA6">
      <w:pPr>
        <w:rPr>
          <w:rFonts w:hint="eastAsia" w:ascii="宋体" w:hAnsi="宋体" w:eastAsia="宋体" w:cs="宋体"/>
          <w:color w:val="auto"/>
          <w:sz w:val="24"/>
          <w:szCs w:val="24"/>
          <w:highlight w:val="none"/>
        </w:rPr>
      </w:pPr>
    </w:p>
    <w:p w14:paraId="51D4B7D6">
      <w:pPr>
        <w:rPr>
          <w:rFonts w:hint="eastAsia" w:ascii="宋体" w:hAnsi="宋体" w:eastAsia="宋体" w:cs="宋体"/>
          <w:color w:val="auto"/>
          <w:sz w:val="24"/>
          <w:szCs w:val="24"/>
          <w:highlight w:val="none"/>
        </w:rPr>
      </w:pPr>
    </w:p>
    <w:p w14:paraId="7108D25D">
      <w:pPr>
        <w:rPr>
          <w:rFonts w:hint="eastAsia" w:ascii="宋体" w:hAnsi="宋体" w:eastAsia="宋体" w:cs="宋体"/>
          <w:color w:val="auto"/>
          <w:sz w:val="24"/>
          <w:szCs w:val="24"/>
          <w:highlight w:val="none"/>
        </w:rPr>
      </w:pPr>
    </w:p>
    <w:p w14:paraId="69F9CD6F">
      <w:pPr>
        <w:rPr>
          <w:rFonts w:hint="eastAsia" w:ascii="宋体" w:hAnsi="宋体" w:eastAsia="宋体" w:cs="宋体"/>
          <w:color w:val="auto"/>
          <w:sz w:val="24"/>
          <w:szCs w:val="24"/>
          <w:highlight w:val="none"/>
        </w:rPr>
      </w:pPr>
    </w:p>
    <w:p w14:paraId="0939DF09">
      <w:pPr>
        <w:rPr>
          <w:rFonts w:hint="eastAsia" w:ascii="宋体" w:hAnsi="宋体" w:eastAsia="宋体" w:cs="宋体"/>
          <w:color w:val="auto"/>
          <w:sz w:val="24"/>
          <w:szCs w:val="24"/>
          <w:highlight w:val="none"/>
        </w:rPr>
      </w:pPr>
    </w:p>
    <w:p w14:paraId="7C2D9F61">
      <w:pPr>
        <w:rPr>
          <w:rFonts w:hint="eastAsia" w:ascii="宋体" w:hAnsi="宋体" w:eastAsia="宋体" w:cs="宋体"/>
          <w:color w:val="auto"/>
          <w:sz w:val="24"/>
          <w:szCs w:val="24"/>
          <w:highlight w:val="none"/>
        </w:rPr>
      </w:pPr>
    </w:p>
    <w:p w14:paraId="335C0589">
      <w:pPr>
        <w:rPr>
          <w:rFonts w:hint="eastAsia" w:ascii="宋体" w:hAnsi="宋体" w:eastAsia="宋体" w:cs="宋体"/>
          <w:color w:val="auto"/>
          <w:highlight w:val="none"/>
        </w:rPr>
      </w:pPr>
    </w:p>
    <w:p w14:paraId="002430B8">
      <w:pPr>
        <w:rPr>
          <w:rFonts w:hint="eastAsia" w:ascii="宋体" w:hAnsi="宋体" w:eastAsia="宋体" w:cs="宋体"/>
          <w:color w:val="auto"/>
          <w:highlight w:val="none"/>
        </w:rPr>
      </w:pPr>
    </w:p>
    <w:p w14:paraId="2DFF250F">
      <w:pPr>
        <w:rPr>
          <w:rFonts w:hint="eastAsia" w:ascii="宋体" w:hAnsi="宋体" w:eastAsia="宋体" w:cs="宋体"/>
          <w:color w:val="auto"/>
          <w:highlight w:val="none"/>
        </w:rPr>
      </w:pPr>
    </w:p>
    <w:p w14:paraId="452343B8">
      <w:pPr>
        <w:rPr>
          <w:rFonts w:hint="eastAsia" w:ascii="宋体" w:hAnsi="宋体" w:eastAsia="宋体" w:cs="宋体"/>
          <w:color w:val="auto"/>
          <w:highlight w:val="none"/>
        </w:rPr>
      </w:pPr>
    </w:p>
    <w:p w14:paraId="1E46B73D">
      <w:pPr>
        <w:rPr>
          <w:rFonts w:hint="eastAsia" w:ascii="宋体" w:hAnsi="宋体" w:eastAsia="宋体" w:cs="宋体"/>
          <w:color w:val="auto"/>
          <w:highlight w:val="none"/>
        </w:rPr>
      </w:pPr>
    </w:p>
    <w:p w14:paraId="36F1872C">
      <w:pPr>
        <w:rPr>
          <w:rFonts w:hint="eastAsia" w:ascii="宋体" w:hAnsi="宋体" w:eastAsia="宋体" w:cs="宋体"/>
          <w:color w:val="auto"/>
          <w:highlight w:val="none"/>
        </w:rPr>
      </w:pPr>
    </w:p>
    <w:p w14:paraId="1D73C082">
      <w:pPr>
        <w:rPr>
          <w:rFonts w:hint="eastAsia" w:ascii="宋体" w:hAnsi="宋体" w:eastAsia="宋体" w:cs="宋体"/>
          <w:color w:val="auto"/>
          <w:highlight w:val="none"/>
        </w:rPr>
      </w:pPr>
    </w:p>
    <w:p w14:paraId="6C4996C6">
      <w:pPr>
        <w:spacing w:before="151" w:line="360" w:lineRule="auto"/>
        <w:outlineLvl w:val="2"/>
        <w:rPr>
          <w:rFonts w:hint="eastAsia" w:ascii="宋体" w:hAnsi="宋体" w:eastAsia="宋体" w:cs="宋体"/>
          <w:b/>
          <w:bCs/>
          <w:color w:val="auto"/>
          <w:spacing w:val="-11"/>
          <w:sz w:val="24"/>
          <w:szCs w:val="24"/>
          <w:highlight w:val="none"/>
          <w:lang w:val="en-US" w:eastAsia="zh-CN"/>
        </w:rPr>
      </w:pPr>
      <w:bookmarkStart w:id="313" w:name="_Toc5924"/>
      <w:bookmarkStart w:id="314" w:name="_Toc24252"/>
      <w:r>
        <w:rPr>
          <w:rFonts w:hint="eastAsia" w:ascii="宋体" w:hAnsi="宋体" w:eastAsia="宋体" w:cs="宋体"/>
          <w:b/>
          <w:bCs/>
          <w:color w:val="auto"/>
          <w:spacing w:val="-11"/>
          <w:sz w:val="24"/>
          <w:szCs w:val="24"/>
          <w:highlight w:val="none"/>
          <w:lang w:val="en-US" w:eastAsia="zh-CN"/>
        </w:rPr>
        <w:t>格式五   法定代表人身份证明</w:t>
      </w:r>
      <w:bookmarkEnd w:id="313"/>
      <w:bookmarkEnd w:id="314"/>
    </w:p>
    <w:p w14:paraId="689F2635">
      <w:pPr>
        <w:wordWrap w:val="0"/>
        <w:adjustRightInd w:val="0"/>
        <w:snapToGrid w:val="0"/>
        <w:spacing w:before="260" w:after="260" w:line="360" w:lineRule="auto"/>
        <w:jc w:val="center"/>
        <w:rPr>
          <w:rFonts w:hint="eastAsia" w:ascii="宋体" w:hAnsi="宋体" w:eastAsia="宋体" w:cs="宋体"/>
          <w:b/>
          <w:snapToGrid w:val="0"/>
          <w:color w:val="auto"/>
          <w:kern w:val="0"/>
          <w:highlight w:val="none"/>
        </w:rPr>
      </w:pPr>
      <w:r>
        <w:rPr>
          <w:rFonts w:hint="eastAsia" w:ascii="宋体" w:hAnsi="宋体" w:eastAsia="宋体" w:cs="宋体"/>
          <w:b/>
          <w:snapToGrid w:val="0"/>
          <w:color w:val="auto"/>
          <w:kern w:val="0"/>
          <w:sz w:val="30"/>
          <w:highlight w:val="none"/>
        </w:rPr>
        <w:t>法定代表人身份证明</w:t>
      </w:r>
    </w:p>
    <w:p w14:paraId="21F7CAFC">
      <w:pPr>
        <w:wordWrap w:val="0"/>
        <w:adjustRightInd w:val="0"/>
        <w:snapToGrid w:val="0"/>
        <w:spacing w:line="360" w:lineRule="auto"/>
        <w:rPr>
          <w:rFonts w:hint="eastAsia" w:ascii="宋体" w:hAnsi="宋体" w:eastAsia="宋体" w:cs="宋体"/>
          <w:snapToGrid w:val="0"/>
          <w:color w:val="auto"/>
          <w:kern w:val="0"/>
          <w:szCs w:val="21"/>
          <w:highlight w:val="none"/>
        </w:rPr>
      </w:pPr>
    </w:p>
    <w:p w14:paraId="6B537B6D">
      <w:pPr>
        <w:wordWrap w:val="0"/>
        <w:adjustRightInd w:val="0"/>
        <w:snapToGrid w:val="0"/>
        <w:spacing w:line="360" w:lineRule="auto"/>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投标人名称：</w:t>
      </w:r>
      <w:r>
        <w:rPr>
          <w:rFonts w:hint="eastAsia" w:ascii="宋体" w:hAnsi="宋体" w:eastAsia="宋体" w:cs="宋体"/>
          <w:snapToGrid w:val="0"/>
          <w:color w:val="auto"/>
          <w:kern w:val="0"/>
          <w:sz w:val="24"/>
          <w:szCs w:val="24"/>
          <w:highlight w:val="none"/>
          <w:u w:val="single"/>
        </w:rPr>
        <w:t xml:space="preserve">                  </w:t>
      </w:r>
    </w:p>
    <w:p w14:paraId="5FA8E094">
      <w:pPr>
        <w:wordWrap w:val="0"/>
        <w:adjustRightInd w:val="0"/>
        <w:snapToGrid w:val="0"/>
        <w:spacing w:line="360" w:lineRule="auto"/>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姓名：</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性别：</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年龄：</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职务：</w:t>
      </w:r>
      <w:r>
        <w:rPr>
          <w:rFonts w:hint="eastAsia" w:ascii="宋体" w:hAnsi="宋体" w:eastAsia="宋体" w:cs="宋体"/>
          <w:snapToGrid w:val="0"/>
          <w:color w:val="auto"/>
          <w:kern w:val="0"/>
          <w:sz w:val="24"/>
          <w:szCs w:val="24"/>
          <w:highlight w:val="none"/>
          <w:u w:val="single"/>
        </w:rPr>
        <w:t xml:space="preserve">           </w:t>
      </w:r>
    </w:p>
    <w:p w14:paraId="233067B0">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w:t>
      </w:r>
    </w:p>
    <w:p w14:paraId="719E7EAB">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特此证明。</w:t>
      </w:r>
    </w:p>
    <w:p w14:paraId="15F55309">
      <w:pPr>
        <w:wordWrap w:val="0"/>
        <w:adjustRightInd w:val="0"/>
        <w:snapToGrid w:val="0"/>
        <w:spacing w:line="360" w:lineRule="auto"/>
        <w:rPr>
          <w:rFonts w:hint="eastAsia" w:ascii="宋体" w:hAnsi="宋体" w:eastAsia="宋体" w:cs="宋体"/>
          <w:snapToGrid w:val="0"/>
          <w:color w:val="auto"/>
          <w:kern w:val="0"/>
          <w:sz w:val="24"/>
          <w:szCs w:val="24"/>
          <w:highlight w:val="none"/>
        </w:rPr>
      </w:pPr>
    </w:p>
    <w:p w14:paraId="675B5D3F">
      <w:pPr>
        <w:wordWrap w:val="0"/>
        <w:adjustRightInd w:val="0"/>
        <w:snapToGrid w:val="0"/>
        <w:spacing w:line="360" w:lineRule="auto"/>
        <w:rPr>
          <w:rFonts w:hint="eastAsia" w:ascii="宋体" w:hAnsi="宋体" w:eastAsia="宋体" w:cs="宋体"/>
          <w:snapToGrid w:val="0"/>
          <w:color w:val="auto"/>
          <w:kern w:val="0"/>
          <w:sz w:val="24"/>
          <w:szCs w:val="24"/>
          <w:highlight w:val="none"/>
        </w:rPr>
      </w:pPr>
    </w:p>
    <w:p w14:paraId="46F47437">
      <w:pPr>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5E3BC2D4">
      <w:pPr>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p>
    <w:p w14:paraId="1E959E49">
      <w:pPr>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法定代表人：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045BC7FE">
      <w:pPr>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p>
    <w:p w14:paraId="473EFBE6">
      <w:pPr>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 xml:space="preserve">日       </w:t>
      </w:r>
    </w:p>
    <w:p w14:paraId="23757F8D">
      <w:pPr>
        <w:wordWrap w:val="0"/>
        <w:adjustRightInd w:val="0"/>
        <w:snapToGrid w:val="0"/>
        <w:spacing w:line="360" w:lineRule="auto"/>
        <w:ind w:firstLine="240" w:firstLineChars="1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p>
    <w:p w14:paraId="0CFE7ECE">
      <w:pP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i/>
          <w:iCs/>
          <w:snapToGrid w:val="0"/>
          <w:color w:val="auto"/>
          <w:kern w:val="0"/>
          <w:sz w:val="24"/>
          <w:szCs w:val="24"/>
          <w:highlight w:val="none"/>
        </w:rPr>
        <w:t xml:space="preserve"> </w:t>
      </w:r>
    </w:p>
    <w:p w14:paraId="3F60DD6A">
      <w:pPr>
        <w:rPr>
          <w:rFonts w:hint="eastAsia" w:ascii="宋体" w:hAnsi="宋体" w:eastAsia="宋体" w:cs="宋体"/>
          <w:color w:val="auto"/>
          <w:sz w:val="24"/>
          <w:szCs w:val="24"/>
          <w:highlight w:val="none"/>
        </w:rPr>
      </w:pPr>
    </w:p>
    <w:p w14:paraId="3BDA141D">
      <w:pPr>
        <w:rPr>
          <w:rFonts w:hint="eastAsia" w:ascii="宋体" w:hAnsi="宋体" w:eastAsia="宋体" w:cs="宋体"/>
          <w:color w:val="auto"/>
          <w:sz w:val="24"/>
          <w:szCs w:val="24"/>
          <w:highlight w:val="none"/>
        </w:rPr>
      </w:pPr>
    </w:p>
    <w:p w14:paraId="2C20F264">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mc:AlternateContent>
          <mc:Choice Requires="wps">
            <w:drawing>
              <wp:anchor distT="0" distB="0" distL="114300" distR="114300" simplePos="0" relativeHeight="251661312" behindDoc="0" locked="0" layoutInCell="1" allowOverlap="1">
                <wp:simplePos x="0" y="0"/>
                <wp:positionH relativeFrom="column">
                  <wp:posOffset>1619250</wp:posOffset>
                </wp:positionH>
                <wp:positionV relativeFrom="paragraph">
                  <wp:posOffset>20320</wp:posOffset>
                </wp:positionV>
                <wp:extent cx="3225165" cy="1878965"/>
                <wp:effectExtent l="4445" t="4445" r="8890" b="21590"/>
                <wp:wrapNone/>
                <wp:docPr id="2" name="自选图形 18"/>
                <wp:cNvGraphicFramePr/>
                <a:graphic xmlns:a="http://schemas.openxmlformats.org/drawingml/2006/main">
                  <a:graphicData uri="http://schemas.microsoft.com/office/word/2010/wordprocessingShape">
                    <wps:wsp>
                      <wps:cNvSpPr/>
                      <wps:spPr>
                        <a:xfrm>
                          <a:off x="0" y="0"/>
                          <a:ext cx="3225165" cy="187896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0C0E778">
                            <w:pPr>
                              <w:jc w:val="both"/>
                              <w:rPr>
                                <w:rFonts w:hint="eastAsia" w:ascii="宋体" w:hAnsi="宋体" w:eastAsia="宋体" w:cs="宋体"/>
                                <w:sz w:val="24"/>
                                <w:szCs w:val="24"/>
                              </w:rPr>
                            </w:pPr>
                          </w:p>
                          <w:p w14:paraId="0745BBF6">
                            <w:pPr>
                              <w:jc w:val="center"/>
                              <w:rPr>
                                <w:rFonts w:hint="eastAsia" w:ascii="宋体" w:hAnsi="宋体" w:eastAsia="宋体" w:cs="宋体"/>
                                <w:sz w:val="24"/>
                                <w:szCs w:val="24"/>
                              </w:rPr>
                            </w:pPr>
                          </w:p>
                          <w:p w14:paraId="2B908E65">
                            <w:pPr>
                              <w:jc w:val="center"/>
                              <w:rPr>
                                <w:rFonts w:hint="eastAsia" w:ascii="宋体" w:hAnsi="宋体" w:eastAsia="宋体" w:cs="宋体"/>
                                <w:sz w:val="24"/>
                                <w:szCs w:val="24"/>
                              </w:rPr>
                            </w:pPr>
                          </w:p>
                          <w:p w14:paraId="1EDC1C19">
                            <w:pPr>
                              <w:jc w:val="center"/>
                              <w:rPr>
                                <w:rFonts w:hint="eastAsia" w:ascii="宋体" w:hAnsi="宋体" w:eastAsia="宋体" w:cs="宋体"/>
                                <w:sz w:val="24"/>
                                <w:szCs w:val="24"/>
                              </w:rPr>
                            </w:pPr>
                            <w:r>
                              <w:rPr>
                                <w:rFonts w:hint="eastAsia" w:ascii="宋体" w:hAnsi="宋体" w:eastAsia="宋体" w:cs="宋体"/>
                                <w:sz w:val="24"/>
                                <w:szCs w:val="24"/>
                              </w:rPr>
                              <w:t>法定代表人身份证彩色扫描件正、反面</w:t>
                            </w:r>
                          </w:p>
                        </w:txbxContent>
                      </wps:txbx>
                      <wps:bodyPr wrap="square" upright="1"/>
                    </wps:wsp>
                  </a:graphicData>
                </a:graphic>
              </wp:anchor>
            </w:drawing>
          </mc:Choice>
          <mc:Fallback>
            <w:pict>
              <v:shape id="自选图形 18" o:spid="_x0000_s1026" o:spt="176" type="#_x0000_t176" style="position:absolute;left:0pt;margin-left:127.5pt;margin-top:1.6pt;height:147.95pt;width:253.95pt;z-index:251661312;mso-width-relative:page;mso-height-relative:page;" fillcolor="#FFFFFF" filled="t" stroked="t" coordsize="21600,21600" o:gfxdata="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e&#10;eRa21wAAAAkBAAAPAAAAAAAAAAEAIAAAACIAAABkcnMvZG93bnJldi54bWxQSwECFAAUAAAACACH&#10;TuJAOsi84yUCAABUBAAADgAAAAAAAAABACAAAAAmAQAAZHJzL2Uyb0RvYy54bWxQSwUGAAAAAAYA&#10;BgBZAQAAvQUAAAAA&#10;">
                <v:fill on="t" focussize="0,0"/>
                <v:stroke color="#000000" joinstyle="miter"/>
                <v:imagedata o:title=""/>
                <o:lock v:ext="edit" aspectratio="f"/>
                <v:textbox>
                  <w:txbxContent>
                    <w:p w14:paraId="10C0E778">
                      <w:pPr>
                        <w:jc w:val="both"/>
                        <w:rPr>
                          <w:rFonts w:hint="eastAsia" w:ascii="宋体" w:hAnsi="宋体" w:eastAsia="宋体" w:cs="宋体"/>
                          <w:sz w:val="24"/>
                          <w:szCs w:val="24"/>
                        </w:rPr>
                      </w:pPr>
                    </w:p>
                    <w:p w14:paraId="0745BBF6">
                      <w:pPr>
                        <w:jc w:val="center"/>
                        <w:rPr>
                          <w:rFonts w:hint="eastAsia" w:ascii="宋体" w:hAnsi="宋体" w:eastAsia="宋体" w:cs="宋体"/>
                          <w:sz w:val="24"/>
                          <w:szCs w:val="24"/>
                        </w:rPr>
                      </w:pPr>
                    </w:p>
                    <w:p w14:paraId="2B908E65">
                      <w:pPr>
                        <w:jc w:val="center"/>
                        <w:rPr>
                          <w:rFonts w:hint="eastAsia" w:ascii="宋体" w:hAnsi="宋体" w:eastAsia="宋体" w:cs="宋体"/>
                          <w:sz w:val="24"/>
                          <w:szCs w:val="24"/>
                        </w:rPr>
                      </w:pPr>
                    </w:p>
                    <w:p w14:paraId="1EDC1C19">
                      <w:pPr>
                        <w:jc w:val="center"/>
                        <w:rPr>
                          <w:rFonts w:hint="eastAsia" w:ascii="宋体" w:hAnsi="宋体" w:eastAsia="宋体" w:cs="宋体"/>
                          <w:sz w:val="24"/>
                          <w:szCs w:val="24"/>
                        </w:rPr>
                      </w:pPr>
                      <w:r>
                        <w:rPr>
                          <w:rFonts w:hint="eastAsia" w:ascii="宋体" w:hAnsi="宋体" w:eastAsia="宋体" w:cs="宋体"/>
                          <w:sz w:val="24"/>
                          <w:szCs w:val="24"/>
                        </w:rPr>
                        <w:t>法定代表人身份证彩色扫描件正、反面</w:t>
                      </w:r>
                    </w:p>
                  </w:txbxContent>
                </v:textbox>
              </v:shape>
            </w:pict>
          </mc:Fallback>
        </mc:AlternateContent>
      </w:r>
    </w:p>
    <w:p w14:paraId="015971FB">
      <w:pPr>
        <w:rPr>
          <w:rFonts w:hint="eastAsia" w:ascii="宋体" w:hAnsi="宋体" w:eastAsia="宋体" w:cs="宋体"/>
          <w:color w:val="auto"/>
          <w:sz w:val="24"/>
          <w:szCs w:val="24"/>
          <w:highlight w:val="none"/>
        </w:rPr>
      </w:pPr>
    </w:p>
    <w:p w14:paraId="4869BA58">
      <w:pPr>
        <w:rPr>
          <w:rFonts w:hint="eastAsia" w:ascii="宋体" w:hAnsi="宋体" w:eastAsia="宋体" w:cs="宋体"/>
          <w:color w:val="auto"/>
          <w:sz w:val="24"/>
          <w:szCs w:val="24"/>
          <w:highlight w:val="none"/>
        </w:rPr>
      </w:pPr>
    </w:p>
    <w:p w14:paraId="20D1CE96">
      <w:pPr>
        <w:rPr>
          <w:rFonts w:hint="eastAsia" w:ascii="宋体" w:hAnsi="宋体" w:eastAsia="宋体" w:cs="宋体"/>
          <w:color w:val="auto"/>
          <w:sz w:val="24"/>
          <w:szCs w:val="24"/>
          <w:highlight w:val="none"/>
        </w:rPr>
      </w:pPr>
    </w:p>
    <w:p w14:paraId="4C935961">
      <w:pPr>
        <w:rPr>
          <w:rFonts w:hint="eastAsia" w:ascii="宋体" w:hAnsi="宋体" w:eastAsia="宋体" w:cs="宋体"/>
          <w:color w:val="auto"/>
          <w:sz w:val="24"/>
          <w:szCs w:val="24"/>
          <w:highlight w:val="none"/>
        </w:rPr>
      </w:pPr>
    </w:p>
    <w:p w14:paraId="34585355">
      <w:pPr>
        <w:rPr>
          <w:rFonts w:hint="eastAsia" w:ascii="宋体" w:hAnsi="宋体" w:eastAsia="宋体" w:cs="宋体"/>
          <w:color w:val="auto"/>
          <w:sz w:val="24"/>
          <w:szCs w:val="24"/>
          <w:highlight w:val="none"/>
        </w:rPr>
      </w:pPr>
    </w:p>
    <w:p w14:paraId="62AF19B2">
      <w:pPr>
        <w:rPr>
          <w:rFonts w:hint="eastAsia" w:ascii="宋体" w:hAnsi="宋体" w:eastAsia="宋体" w:cs="宋体"/>
          <w:color w:val="auto"/>
          <w:sz w:val="24"/>
          <w:szCs w:val="24"/>
          <w:highlight w:val="none"/>
        </w:rPr>
      </w:pPr>
    </w:p>
    <w:p w14:paraId="1D8D589A">
      <w:pPr>
        <w:rPr>
          <w:rFonts w:hint="eastAsia" w:ascii="宋体" w:hAnsi="宋体" w:eastAsia="宋体" w:cs="宋体"/>
          <w:color w:val="auto"/>
          <w:highlight w:val="none"/>
        </w:rPr>
      </w:pPr>
    </w:p>
    <w:p w14:paraId="3214E522">
      <w:pPr>
        <w:rPr>
          <w:rFonts w:hint="eastAsia" w:ascii="宋体" w:hAnsi="宋体" w:eastAsia="宋体" w:cs="宋体"/>
          <w:color w:val="auto"/>
          <w:highlight w:val="none"/>
        </w:rPr>
      </w:pPr>
    </w:p>
    <w:p w14:paraId="7F303E9E">
      <w:pPr>
        <w:rPr>
          <w:rFonts w:hint="eastAsia" w:ascii="宋体" w:hAnsi="宋体" w:eastAsia="宋体" w:cs="宋体"/>
          <w:color w:val="auto"/>
          <w:highlight w:val="none"/>
        </w:rPr>
      </w:pPr>
    </w:p>
    <w:p w14:paraId="24546450">
      <w:pPr>
        <w:rPr>
          <w:rFonts w:hint="eastAsia" w:ascii="宋体" w:hAnsi="宋体" w:eastAsia="宋体" w:cs="宋体"/>
          <w:color w:val="auto"/>
          <w:highlight w:val="none"/>
        </w:rPr>
      </w:pPr>
    </w:p>
    <w:p w14:paraId="11B44181">
      <w:pPr>
        <w:rPr>
          <w:rFonts w:hint="eastAsia" w:ascii="宋体" w:hAnsi="宋体" w:eastAsia="宋体" w:cs="宋体"/>
          <w:color w:val="auto"/>
          <w:highlight w:val="none"/>
        </w:rPr>
      </w:pPr>
    </w:p>
    <w:p w14:paraId="28B7C550">
      <w:pPr>
        <w:rPr>
          <w:rFonts w:hint="eastAsia" w:ascii="宋体" w:hAnsi="宋体" w:eastAsia="宋体" w:cs="宋体"/>
          <w:color w:val="auto"/>
          <w:highlight w:val="none"/>
        </w:rPr>
      </w:pPr>
    </w:p>
    <w:p w14:paraId="2E716801">
      <w:pPr>
        <w:rPr>
          <w:rFonts w:hint="eastAsia" w:ascii="宋体" w:hAnsi="宋体" w:eastAsia="宋体" w:cs="宋体"/>
          <w:color w:val="auto"/>
          <w:highlight w:val="none"/>
        </w:rPr>
      </w:pPr>
    </w:p>
    <w:p w14:paraId="39B8847C">
      <w:pPr>
        <w:rPr>
          <w:rFonts w:hint="eastAsia" w:ascii="宋体" w:hAnsi="宋体" w:eastAsia="宋体" w:cs="宋体"/>
          <w:color w:val="auto"/>
          <w:highlight w:val="none"/>
        </w:rPr>
      </w:pPr>
    </w:p>
    <w:p w14:paraId="018B381B">
      <w:pPr>
        <w:rPr>
          <w:rFonts w:hint="eastAsia" w:ascii="宋体" w:hAnsi="宋体" w:eastAsia="宋体" w:cs="宋体"/>
          <w:color w:val="auto"/>
          <w:highlight w:val="none"/>
        </w:rPr>
      </w:pPr>
    </w:p>
    <w:p w14:paraId="1B7E2ECA">
      <w:pPr>
        <w:rPr>
          <w:rFonts w:hint="eastAsia" w:ascii="宋体" w:hAnsi="宋体" w:eastAsia="宋体" w:cs="宋体"/>
          <w:color w:val="auto"/>
          <w:highlight w:val="none"/>
        </w:rPr>
      </w:pPr>
    </w:p>
    <w:p w14:paraId="7A7C00BA">
      <w:pPr>
        <w:rPr>
          <w:rFonts w:hint="eastAsia" w:ascii="宋体" w:hAnsi="宋体" w:eastAsia="宋体" w:cs="宋体"/>
          <w:color w:val="auto"/>
          <w:highlight w:val="none"/>
        </w:rPr>
      </w:pPr>
    </w:p>
    <w:p w14:paraId="6A2E5C98">
      <w:pPr>
        <w:rPr>
          <w:rFonts w:hint="eastAsia" w:ascii="宋体" w:hAnsi="宋体" w:eastAsia="宋体" w:cs="宋体"/>
          <w:color w:val="auto"/>
          <w:highlight w:val="none"/>
        </w:rPr>
      </w:pPr>
    </w:p>
    <w:p w14:paraId="2424C10D">
      <w:pPr>
        <w:rPr>
          <w:rFonts w:hint="eastAsia" w:ascii="宋体" w:hAnsi="宋体" w:eastAsia="宋体" w:cs="宋体"/>
          <w:b/>
          <w:bCs/>
          <w:color w:val="auto"/>
          <w:spacing w:val="-11"/>
          <w:sz w:val="24"/>
          <w:szCs w:val="24"/>
          <w:highlight w:val="none"/>
          <w:lang w:val="en-US" w:eastAsia="zh-CN"/>
        </w:rPr>
      </w:pPr>
      <w:bookmarkStart w:id="315" w:name="_Toc30690"/>
      <w:bookmarkStart w:id="316" w:name="_Toc102"/>
      <w:r>
        <w:rPr>
          <w:rFonts w:hint="eastAsia" w:ascii="宋体" w:hAnsi="宋体" w:eastAsia="宋体" w:cs="宋体"/>
          <w:b/>
          <w:bCs/>
          <w:color w:val="auto"/>
          <w:spacing w:val="-11"/>
          <w:sz w:val="24"/>
          <w:szCs w:val="24"/>
          <w:highlight w:val="none"/>
          <w:lang w:val="en-US" w:eastAsia="zh-CN"/>
        </w:rPr>
        <w:br w:type="page"/>
      </w:r>
    </w:p>
    <w:p w14:paraId="7BE17011">
      <w:pPr>
        <w:spacing w:before="151" w:line="360" w:lineRule="auto"/>
        <w:outlineLvl w:val="2"/>
        <w:rPr>
          <w:rFonts w:hint="eastAsia" w:ascii="宋体" w:hAnsi="宋体" w:eastAsia="宋体" w:cs="宋体"/>
          <w:b/>
          <w:bCs/>
          <w:color w:val="auto"/>
          <w:spacing w:val="-11"/>
          <w:sz w:val="24"/>
          <w:szCs w:val="24"/>
          <w:highlight w:val="none"/>
          <w:lang w:val="en-US" w:eastAsia="zh-CN"/>
        </w:rPr>
      </w:pPr>
      <w:r>
        <w:rPr>
          <w:rFonts w:hint="eastAsia" w:ascii="宋体" w:hAnsi="宋体" w:eastAsia="宋体" w:cs="宋体"/>
          <w:b/>
          <w:bCs/>
          <w:color w:val="auto"/>
          <w:spacing w:val="-11"/>
          <w:sz w:val="24"/>
          <w:szCs w:val="24"/>
          <w:highlight w:val="none"/>
          <w:lang w:val="en-US" w:eastAsia="zh-CN"/>
        </w:rPr>
        <w:t>格式六    投标人基本情况表</w:t>
      </w:r>
      <w:bookmarkEnd w:id="315"/>
      <w:bookmarkEnd w:id="316"/>
    </w:p>
    <w:p w14:paraId="34651056">
      <w:pPr>
        <w:pStyle w:val="60"/>
        <w:widowControl w:val="0"/>
        <w:wordWrap w:val="0"/>
        <w:adjustRightInd w:val="0"/>
        <w:snapToGrid w:val="0"/>
        <w:spacing w:before="260" w:after="260" w:line="240" w:lineRule="auto"/>
        <w:ind w:firstLine="0"/>
        <w:jc w:val="center"/>
        <w:rPr>
          <w:rFonts w:hint="eastAsia" w:ascii="宋体" w:hAnsi="宋体" w:eastAsia="宋体" w:cs="宋体"/>
          <w:snapToGrid w:val="0"/>
          <w:color w:val="auto"/>
          <w:sz w:val="24"/>
          <w:highlight w:val="none"/>
        </w:rPr>
      </w:pPr>
      <w:r>
        <w:rPr>
          <w:rFonts w:hint="eastAsia" w:ascii="宋体" w:hAnsi="宋体" w:eastAsia="宋体" w:cs="宋体"/>
          <w:b/>
          <w:snapToGrid w:val="0"/>
          <w:color w:val="auto"/>
          <w:sz w:val="30"/>
          <w:highlight w:val="none"/>
        </w:rPr>
        <w:t>投标人基本情况表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4D45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485" w:type="dxa"/>
            <w:noWrap w:val="0"/>
            <w:vAlign w:val="center"/>
          </w:tcPr>
          <w:p w14:paraId="19ACD94D">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投标人名称</w:t>
            </w:r>
          </w:p>
        </w:tc>
        <w:tc>
          <w:tcPr>
            <w:tcW w:w="7020" w:type="dxa"/>
            <w:gridSpan w:val="8"/>
            <w:noWrap w:val="0"/>
            <w:vAlign w:val="center"/>
          </w:tcPr>
          <w:p w14:paraId="4F455887">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56788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exact"/>
          <w:jc w:val="center"/>
        </w:trPr>
        <w:tc>
          <w:tcPr>
            <w:tcW w:w="1485" w:type="dxa"/>
            <w:noWrap w:val="0"/>
            <w:vAlign w:val="center"/>
          </w:tcPr>
          <w:p w14:paraId="442872A3">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注册地址</w:t>
            </w:r>
          </w:p>
        </w:tc>
        <w:tc>
          <w:tcPr>
            <w:tcW w:w="3389" w:type="dxa"/>
            <w:gridSpan w:val="3"/>
            <w:noWrap w:val="0"/>
            <w:vAlign w:val="center"/>
          </w:tcPr>
          <w:p w14:paraId="2C7CE3BB">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246" w:type="dxa"/>
            <w:gridSpan w:val="2"/>
            <w:noWrap w:val="0"/>
            <w:vAlign w:val="center"/>
          </w:tcPr>
          <w:p w14:paraId="18867BD6">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邮政编码</w:t>
            </w:r>
          </w:p>
        </w:tc>
        <w:tc>
          <w:tcPr>
            <w:tcW w:w="2385" w:type="dxa"/>
            <w:gridSpan w:val="3"/>
            <w:noWrap w:val="0"/>
            <w:vAlign w:val="center"/>
          </w:tcPr>
          <w:p w14:paraId="6AC03B14">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1626E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1485" w:type="dxa"/>
            <w:vMerge w:val="restart"/>
            <w:noWrap w:val="0"/>
            <w:vAlign w:val="center"/>
          </w:tcPr>
          <w:p w14:paraId="0C60C311">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联系方式</w:t>
            </w:r>
          </w:p>
        </w:tc>
        <w:tc>
          <w:tcPr>
            <w:tcW w:w="897" w:type="dxa"/>
            <w:noWrap w:val="0"/>
            <w:vAlign w:val="center"/>
          </w:tcPr>
          <w:p w14:paraId="1D1DDD67">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联系人</w:t>
            </w:r>
          </w:p>
        </w:tc>
        <w:tc>
          <w:tcPr>
            <w:tcW w:w="2492" w:type="dxa"/>
            <w:gridSpan w:val="2"/>
            <w:noWrap w:val="0"/>
            <w:vAlign w:val="center"/>
          </w:tcPr>
          <w:p w14:paraId="438E4BD9">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246" w:type="dxa"/>
            <w:gridSpan w:val="2"/>
            <w:noWrap w:val="0"/>
            <w:vAlign w:val="center"/>
          </w:tcPr>
          <w:p w14:paraId="501E7B53">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电  话</w:t>
            </w:r>
          </w:p>
        </w:tc>
        <w:tc>
          <w:tcPr>
            <w:tcW w:w="2385" w:type="dxa"/>
            <w:gridSpan w:val="3"/>
            <w:noWrap w:val="0"/>
            <w:vAlign w:val="center"/>
          </w:tcPr>
          <w:p w14:paraId="7E800AA0">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37787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exact"/>
          <w:jc w:val="center"/>
        </w:trPr>
        <w:tc>
          <w:tcPr>
            <w:tcW w:w="1485" w:type="dxa"/>
            <w:vMerge w:val="continue"/>
            <w:noWrap w:val="0"/>
            <w:vAlign w:val="center"/>
          </w:tcPr>
          <w:p w14:paraId="41F0973D">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897" w:type="dxa"/>
            <w:noWrap w:val="0"/>
            <w:vAlign w:val="center"/>
          </w:tcPr>
          <w:p w14:paraId="05A069EA">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传  真</w:t>
            </w:r>
          </w:p>
        </w:tc>
        <w:tc>
          <w:tcPr>
            <w:tcW w:w="2492" w:type="dxa"/>
            <w:gridSpan w:val="2"/>
            <w:noWrap w:val="0"/>
            <w:vAlign w:val="center"/>
          </w:tcPr>
          <w:p w14:paraId="02636ED1">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246" w:type="dxa"/>
            <w:gridSpan w:val="2"/>
            <w:noWrap w:val="0"/>
            <w:vAlign w:val="center"/>
          </w:tcPr>
          <w:p w14:paraId="1E8EB31D">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电子邮箱</w:t>
            </w:r>
          </w:p>
        </w:tc>
        <w:tc>
          <w:tcPr>
            <w:tcW w:w="2385" w:type="dxa"/>
            <w:gridSpan w:val="3"/>
            <w:noWrap w:val="0"/>
            <w:vAlign w:val="center"/>
          </w:tcPr>
          <w:p w14:paraId="551A7BAC">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695CD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1485" w:type="dxa"/>
            <w:noWrap w:val="0"/>
            <w:vAlign w:val="center"/>
          </w:tcPr>
          <w:p w14:paraId="104DFD05">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单位性质</w:t>
            </w:r>
          </w:p>
        </w:tc>
        <w:tc>
          <w:tcPr>
            <w:tcW w:w="7020" w:type="dxa"/>
            <w:gridSpan w:val="8"/>
            <w:noWrap w:val="0"/>
            <w:vAlign w:val="center"/>
          </w:tcPr>
          <w:p w14:paraId="6DE51FFD">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4232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7DD565A8">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法定代表人</w:t>
            </w:r>
          </w:p>
        </w:tc>
        <w:tc>
          <w:tcPr>
            <w:tcW w:w="897" w:type="dxa"/>
            <w:noWrap w:val="0"/>
            <w:vAlign w:val="center"/>
          </w:tcPr>
          <w:p w14:paraId="622658ED">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姓名</w:t>
            </w:r>
          </w:p>
        </w:tc>
        <w:tc>
          <w:tcPr>
            <w:tcW w:w="1689" w:type="dxa"/>
            <w:noWrap w:val="0"/>
            <w:vAlign w:val="center"/>
          </w:tcPr>
          <w:p w14:paraId="0374EF49">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089" w:type="dxa"/>
            <w:gridSpan w:val="2"/>
            <w:noWrap w:val="0"/>
            <w:vAlign w:val="center"/>
          </w:tcPr>
          <w:p w14:paraId="6E2B143B">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技术职称</w:t>
            </w:r>
          </w:p>
        </w:tc>
        <w:tc>
          <w:tcPr>
            <w:tcW w:w="1220" w:type="dxa"/>
            <w:gridSpan w:val="2"/>
            <w:noWrap w:val="0"/>
            <w:vAlign w:val="center"/>
          </w:tcPr>
          <w:p w14:paraId="13DC7037">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709" w:type="dxa"/>
            <w:noWrap w:val="0"/>
            <w:vAlign w:val="center"/>
          </w:tcPr>
          <w:p w14:paraId="20A76E9D">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电话</w:t>
            </w:r>
          </w:p>
        </w:tc>
        <w:tc>
          <w:tcPr>
            <w:tcW w:w="1416" w:type="dxa"/>
            <w:noWrap w:val="0"/>
            <w:vAlign w:val="center"/>
          </w:tcPr>
          <w:p w14:paraId="04AAF977">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19A6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exact"/>
          <w:jc w:val="center"/>
        </w:trPr>
        <w:tc>
          <w:tcPr>
            <w:tcW w:w="1485" w:type="dxa"/>
            <w:noWrap w:val="0"/>
            <w:vAlign w:val="center"/>
          </w:tcPr>
          <w:p w14:paraId="0D9E9E6D">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成立时间</w:t>
            </w:r>
          </w:p>
        </w:tc>
        <w:tc>
          <w:tcPr>
            <w:tcW w:w="2586" w:type="dxa"/>
            <w:gridSpan w:val="2"/>
            <w:noWrap w:val="0"/>
            <w:vAlign w:val="center"/>
          </w:tcPr>
          <w:p w14:paraId="6396A82D">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4434" w:type="dxa"/>
            <w:gridSpan w:val="6"/>
            <w:noWrap w:val="0"/>
            <w:vAlign w:val="center"/>
          </w:tcPr>
          <w:p w14:paraId="7D565CD0">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员工总人数（个）：</w:t>
            </w:r>
          </w:p>
        </w:tc>
      </w:tr>
      <w:tr w14:paraId="0A3AE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jc w:val="center"/>
        </w:trPr>
        <w:tc>
          <w:tcPr>
            <w:tcW w:w="1485" w:type="dxa"/>
            <w:noWrap w:val="0"/>
            <w:vAlign w:val="center"/>
          </w:tcPr>
          <w:p w14:paraId="7B57A051">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企业资质</w:t>
            </w:r>
          </w:p>
          <w:p w14:paraId="52287E95">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类型和等级</w:t>
            </w:r>
          </w:p>
        </w:tc>
        <w:tc>
          <w:tcPr>
            <w:tcW w:w="2586" w:type="dxa"/>
            <w:gridSpan w:val="2"/>
            <w:noWrap w:val="0"/>
            <w:vAlign w:val="center"/>
          </w:tcPr>
          <w:p w14:paraId="523ED596">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089" w:type="dxa"/>
            <w:gridSpan w:val="2"/>
            <w:vMerge w:val="restart"/>
            <w:noWrap w:val="0"/>
            <w:vAlign w:val="center"/>
          </w:tcPr>
          <w:p w14:paraId="317C9EFD">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其中</w:t>
            </w:r>
          </w:p>
        </w:tc>
        <w:tc>
          <w:tcPr>
            <w:tcW w:w="1929" w:type="dxa"/>
            <w:gridSpan w:val="3"/>
            <w:noWrap w:val="0"/>
            <w:vAlign w:val="center"/>
          </w:tcPr>
          <w:p w14:paraId="1C6B46F2">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项目经理</w:t>
            </w:r>
          </w:p>
        </w:tc>
        <w:tc>
          <w:tcPr>
            <w:tcW w:w="1416" w:type="dxa"/>
            <w:noWrap w:val="0"/>
            <w:vAlign w:val="center"/>
          </w:tcPr>
          <w:p w14:paraId="09CE663F">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353A4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exact"/>
          <w:jc w:val="center"/>
        </w:trPr>
        <w:tc>
          <w:tcPr>
            <w:tcW w:w="1485" w:type="dxa"/>
            <w:noWrap w:val="0"/>
            <w:vAlign w:val="center"/>
          </w:tcPr>
          <w:p w14:paraId="1F7EF573">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营业执照号</w:t>
            </w:r>
          </w:p>
        </w:tc>
        <w:tc>
          <w:tcPr>
            <w:tcW w:w="2586" w:type="dxa"/>
            <w:gridSpan w:val="2"/>
            <w:noWrap w:val="0"/>
            <w:vAlign w:val="center"/>
          </w:tcPr>
          <w:p w14:paraId="57C21692">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089" w:type="dxa"/>
            <w:gridSpan w:val="2"/>
            <w:vMerge w:val="continue"/>
            <w:noWrap w:val="0"/>
            <w:vAlign w:val="center"/>
          </w:tcPr>
          <w:p w14:paraId="70D1C226">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929" w:type="dxa"/>
            <w:gridSpan w:val="3"/>
            <w:noWrap w:val="0"/>
            <w:vAlign w:val="center"/>
          </w:tcPr>
          <w:p w14:paraId="7580404A">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高级职称人员</w:t>
            </w:r>
          </w:p>
        </w:tc>
        <w:tc>
          <w:tcPr>
            <w:tcW w:w="1416" w:type="dxa"/>
            <w:noWrap w:val="0"/>
            <w:vAlign w:val="center"/>
          </w:tcPr>
          <w:p w14:paraId="06B24EA4">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4C869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exact"/>
          <w:jc w:val="center"/>
        </w:trPr>
        <w:tc>
          <w:tcPr>
            <w:tcW w:w="1485" w:type="dxa"/>
            <w:noWrap w:val="0"/>
            <w:vAlign w:val="center"/>
          </w:tcPr>
          <w:p w14:paraId="3D8B8733">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注册资金</w:t>
            </w:r>
          </w:p>
        </w:tc>
        <w:tc>
          <w:tcPr>
            <w:tcW w:w="2586" w:type="dxa"/>
            <w:gridSpan w:val="2"/>
            <w:noWrap w:val="0"/>
            <w:vAlign w:val="center"/>
          </w:tcPr>
          <w:p w14:paraId="3EC5D223">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089" w:type="dxa"/>
            <w:gridSpan w:val="2"/>
            <w:vMerge w:val="continue"/>
            <w:noWrap w:val="0"/>
            <w:vAlign w:val="center"/>
          </w:tcPr>
          <w:p w14:paraId="65876F82">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929" w:type="dxa"/>
            <w:gridSpan w:val="3"/>
            <w:noWrap w:val="0"/>
            <w:vAlign w:val="center"/>
          </w:tcPr>
          <w:p w14:paraId="5B9D23FB">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中级职称人员</w:t>
            </w:r>
          </w:p>
        </w:tc>
        <w:tc>
          <w:tcPr>
            <w:tcW w:w="1416" w:type="dxa"/>
            <w:noWrap w:val="0"/>
            <w:vAlign w:val="center"/>
          </w:tcPr>
          <w:p w14:paraId="28B375AF">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27DEC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1485" w:type="dxa"/>
            <w:noWrap w:val="0"/>
            <w:vAlign w:val="center"/>
          </w:tcPr>
          <w:p w14:paraId="221636F1">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基本账户</w:t>
            </w:r>
          </w:p>
          <w:p w14:paraId="6B7BB8DF">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开户银行</w:t>
            </w:r>
          </w:p>
        </w:tc>
        <w:tc>
          <w:tcPr>
            <w:tcW w:w="2586" w:type="dxa"/>
            <w:gridSpan w:val="2"/>
            <w:noWrap w:val="0"/>
            <w:vAlign w:val="center"/>
          </w:tcPr>
          <w:p w14:paraId="519FE9FE">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089" w:type="dxa"/>
            <w:gridSpan w:val="2"/>
            <w:vMerge w:val="continue"/>
            <w:noWrap w:val="0"/>
            <w:vAlign w:val="center"/>
          </w:tcPr>
          <w:p w14:paraId="72D1808F">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929" w:type="dxa"/>
            <w:gridSpan w:val="3"/>
            <w:noWrap w:val="0"/>
            <w:vAlign w:val="center"/>
          </w:tcPr>
          <w:p w14:paraId="31E02DCE">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初级职称人员</w:t>
            </w:r>
          </w:p>
        </w:tc>
        <w:tc>
          <w:tcPr>
            <w:tcW w:w="1416" w:type="dxa"/>
            <w:noWrap w:val="0"/>
            <w:vAlign w:val="center"/>
          </w:tcPr>
          <w:p w14:paraId="4A839BE8">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4AF9B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jc w:val="center"/>
        </w:trPr>
        <w:tc>
          <w:tcPr>
            <w:tcW w:w="1485" w:type="dxa"/>
            <w:noWrap w:val="0"/>
            <w:vAlign w:val="center"/>
          </w:tcPr>
          <w:p w14:paraId="0B37D63B">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基本账户</w:t>
            </w:r>
          </w:p>
          <w:p w14:paraId="397C89DC">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银行账号</w:t>
            </w:r>
          </w:p>
        </w:tc>
        <w:tc>
          <w:tcPr>
            <w:tcW w:w="2586" w:type="dxa"/>
            <w:gridSpan w:val="2"/>
            <w:noWrap w:val="0"/>
            <w:vAlign w:val="center"/>
          </w:tcPr>
          <w:p w14:paraId="29441FF8">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089" w:type="dxa"/>
            <w:gridSpan w:val="2"/>
            <w:vMerge w:val="continue"/>
            <w:noWrap w:val="0"/>
            <w:vAlign w:val="center"/>
          </w:tcPr>
          <w:p w14:paraId="11CDD7FE">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c>
          <w:tcPr>
            <w:tcW w:w="1929" w:type="dxa"/>
            <w:gridSpan w:val="3"/>
            <w:noWrap w:val="0"/>
            <w:vAlign w:val="center"/>
          </w:tcPr>
          <w:p w14:paraId="67742348">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技术员</w:t>
            </w:r>
          </w:p>
        </w:tc>
        <w:tc>
          <w:tcPr>
            <w:tcW w:w="1416" w:type="dxa"/>
            <w:noWrap w:val="0"/>
            <w:vAlign w:val="center"/>
          </w:tcPr>
          <w:p w14:paraId="3BFDC437">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r>
      <w:tr w14:paraId="27B3A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jc w:val="center"/>
        </w:trPr>
        <w:tc>
          <w:tcPr>
            <w:tcW w:w="1485" w:type="dxa"/>
            <w:noWrap w:val="0"/>
            <w:vAlign w:val="center"/>
          </w:tcPr>
          <w:p w14:paraId="57D117AD">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经营范围</w:t>
            </w:r>
          </w:p>
        </w:tc>
        <w:tc>
          <w:tcPr>
            <w:tcW w:w="7020" w:type="dxa"/>
            <w:gridSpan w:val="8"/>
            <w:noWrap w:val="0"/>
            <w:vAlign w:val="center"/>
          </w:tcPr>
          <w:p w14:paraId="6D83DE98">
            <w:pPr>
              <w:pStyle w:val="63"/>
              <w:wordWrap w:val="0"/>
              <w:adjustRightInd w:val="0"/>
              <w:snapToGrid w:val="0"/>
              <w:spacing w:line="360" w:lineRule="auto"/>
              <w:jc w:val="left"/>
              <w:rPr>
                <w:rFonts w:hint="eastAsia" w:ascii="宋体" w:hAnsi="宋体" w:eastAsia="宋体" w:cs="宋体"/>
                <w:snapToGrid w:val="0"/>
                <w:color w:val="auto"/>
                <w:kern w:val="0"/>
                <w:szCs w:val="21"/>
                <w:highlight w:val="none"/>
              </w:rPr>
            </w:pPr>
          </w:p>
        </w:tc>
      </w:tr>
      <w:tr w14:paraId="60B86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1485" w:type="dxa"/>
            <w:noWrap w:val="0"/>
            <w:vAlign w:val="center"/>
          </w:tcPr>
          <w:p w14:paraId="248E82C3">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关联企业情况</w:t>
            </w:r>
          </w:p>
        </w:tc>
        <w:tc>
          <w:tcPr>
            <w:tcW w:w="7020" w:type="dxa"/>
            <w:gridSpan w:val="8"/>
            <w:noWrap w:val="0"/>
            <w:vAlign w:val="center"/>
          </w:tcPr>
          <w:p w14:paraId="749B5D95">
            <w:pPr>
              <w:pStyle w:val="63"/>
              <w:wordWrap w:val="0"/>
              <w:adjustRightInd w:val="0"/>
              <w:snapToGrid w:val="0"/>
              <w:spacing w:line="240" w:lineRule="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包括但不限于与投标人存在以下关系的不同单位：</w:t>
            </w:r>
          </w:p>
          <w:p w14:paraId="70D0FE56">
            <w:pPr>
              <w:pStyle w:val="63"/>
              <w:wordWrap w:val="0"/>
              <w:adjustRightInd w:val="0"/>
              <w:snapToGrid w:val="0"/>
              <w:spacing w:line="240" w:lineRule="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1</w:t>
            </w:r>
            <w:r>
              <w:rPr>
                <w:rFonts w:hint="eastAsia" w:ascii="宋体" w:hAnsi="宋体" w:eastAsia="宋体" w:cs="宋体"/>
                <w:snapToGrid w:val="0"/>
                <w:color w:val="auto"/>
                <w:kern w:val="0"/>
                <w:szCs w:val="21"/>
                <w:highlight w:val="none"/>
                <w:lang w:eastAsia="zh-CN"/>
              </w:rPr>
              <w:t>.</w:t>
            </w:r>
            <w:r>
              <w:rPr>
                <w:rFonts w:hint="eastAsia" w:ascii="宋体" w:hAnsi="宋体" w:eastAsia="宋体" w:cs="宋体"/>
                <w:snapToGrid w:val="0"/>
                <w:color w:val="auto"/>
                <w:kern w:val="0"/>
                <w:szCs w:val="21"/>
                <w:highlight w:val="none"/>
              </w:rPr>
              <w:t>法定代表人为同一人的。</w:t>
            </w:r>
          </w:p>
          <w:p w14:paraId="38CBDBD7">
            <w:pPr>
              <w:pStyle w:val="63"/>
              <w:wordWrap w:val="0"/>
              <w:adjustRightInd w:val="0"/>
              <w:snapToGrid w:val="0"/>
              <w:spacing w:line="240" w:lineRule="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2</w:t>
            </w:r>
            <w:r>
              <w:rPr>
                <w:rFonts w:hint="eastAsia" w:ascii="宋体" w:hAnsi="宋体" w:eastAsia="宋体" w:cs="宋体"/>
                <w:snapToGrid w:val="0"/>
                <w:color w:val="auto"/>
                <w:kern w:val="0"/>
                <w:szCs w:val="21"/>
                <w:highlight w:val="none"/>
                <w:lang w:eastAsia="zh-CN"/>
              </w:rPr>
              <w:t>.</w:t>
            </w:r>
            <w:r>
              <w:rPr>
                <w:rFonts w:hint="eastAsia" w:ascii="宋体" w:hAnsi="宋体" w:eastAsia="宋体" w:cs="宋体"/>
                <w:snapToGrid w:val="0"/>
                <w:color w:val="auto"/>
                <w:kern w:val="0"/>
                <w:szCs w:val="21"/>
                <w:highlight w:val="none"/>
              </w:rPr>
              <w:t>存在控股、管理关系的。</w:t>
            </w:r>
          </w:p>
          <w:p w14:paraId="07BB7442">
            <w:pPr>
              <w:pStyle w:val="63"/>
              <w:wordWrap w:val="0"/>
              <w:adjustRightInd w:val="0"/>
              <w:snapToGrid w:val="0"/>
              <w:spacing w:line="240" w:lineRule="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3</w:t>
            </w:r>
            <w:r>
              <w:rPr>
                <w:rFonts w:hint="eastAsia" w:ascii="宋体" w:hAnsi="宋体" w:eastAsia="宋体" w:cs="宋体"/>
                <w:snapToGrid w:val="0"/>
                <w:color w:val="auto"/>
                <w:kern w:val="0"/>
                <w:szCs w:val="21"/>
                <w:highlight w:val="none"/>
                <w:lang w:eastAsia="zh-CN"/>
              </w:rPr>
              <w:t>.</w:t>
            </w:r>
            <w:r>
              <w:rPr>
                <w:rFonts w:hint="eastAsia" w:ascii="宋体" w:hAnsi="宋体" w:eastAsia="宋体" w:cs="宋体"/>
                <w:snapToGrid w:val="0"/>
                <w:color w:val="auto"/>
                <w:kern w:val="0"/>
                <w:szCs w:val="21"/>
                <w:highlight w:val="none"/>
              </w:rPr>
              <w:t>主要人员相互任职的。</w:t>
            </w:r>
          </w:p>
        </w:tc>
      </w:tr>
      <w:tr w14:paraId="4C12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5" w:type="dxa"/>
            <w:noWrap w:val="0"/>
            <w:vAlign w:val="center"/>
          </w:tcPr>
          <w:p w14:paraId="5FCC55EF">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备注</w:t>
            </w:r>
          </w:p>
        </w:tc>
        <w:tc>
          <w:tcPr>
            <w:tcW w:w="7020" w:type="dxa"/>
            <w:gridSpan w:val="8"/>
            <w:noWrap w:val="0"/>
            <w:vAlign w:val="center"/>
          </w:tcPr>
          <w:p w14:paraId="690A121D">
            <w:pPr>
              <w:pStyle w:val="63"/>
              <w:wordWrap w:val="0"/>
              <w:adjustRightInd w:val="0"/>
              <w:snapToGrid w:val="0"/>
              <w:spacing w:line="360" w:lineRule="auto"/>
              <w:jc w:val="center"/>
              <w:rPr>
                <w:rFonts w:hint="eastAsia" w:ascii="宋体" w:hAnsi="宋体" w:eastAsia="宋体" w:cs="宋体"/>
                <w:snapToGrid w:val="0"/>
                <w:color w:val="auto"/>
                <w:kern w:val="0"/>
                <w:szCs w:val="21"/>
                <w:highlight w:val="none"/>
              </w:rPr>
            </w:pPr>
          </w:p>
        </w:tc>
      </w:tr>
    </w:tbl>
    <w:p w14:paraId="6D3C7A17">
      <w:pPr>
        <w:pStyle w:val="63"/>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color w:val="auto"/>
          <w:kern w:val="0"/>
          <w:szCs w:val="21"/>
          <w:highlight w:val="none"/>
        </w:rPr>
      </w:pPr>
    </w:p>
    <w:p w14:paraId="5FABA235">
      <w:pPr>
        <w:pStyle w:val="63"/>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说明：</w:t>
      </w:r>
    </w:p>
    <w:p w14:paraId="1C2E5083">
      <w:pPr>
        <w:pStyle w:val="63"/>
        <w:keepNext w:val="0"/>
        <w:keepLines w:val="0"/>
        <w:pageBreakBefore w:val="0"/>
        <w:widowControl w:val="0"/>
        <w:kinsoku/>
        <w:wordWrap w:val="0"/>
        <w:overflowPunct/>
        <w:topLinePunct w:val="0"/>
        <w:autoSpaceDE/>
        <w:autoSpaceDN/>
        <w:bidi w:val="0"/>
        <w:adjustRightInd w:val="0"/>
        <w:snapToGrid w:val="0"/>
        <w:spacing w:line="312" w:lineRule="auto"/>
        <w:ind w:firstLine="420" w:firstLineChars="200"/>
        <w:textAlignment w:val="auto"/>
        <w:rPr>
          <w:rFonts w:hint="eastAsia" w:ascii="宋体" w:hAnsi="宋体" w:eastAsia="宋体" w:cs="宋体"/>
          <w:snapToGrid w:val="0"/>
          <w:color w:val="auto"/>
          <w:kern w:val="0"/>
          <w:szCs w:val="21"/>
          <w:highlight w:val="none"/>
        </w:rPr>
      </w:pPr>
      <w:bookmarkStart w:id="317" w:name="_Toc32526"/>
      <w:r>
        <w:rPr>
          <w:rFonts w:hint="eastAsia" w:ascii="宋体" w:hAnsi="宋体" w:eastAsia="宋体" w:cs="宋体"/>
          <w:snapToGrid w:val="0"/>
          <w:color w:val="auto"/>
          <w:kern w:val="0"/>
          <w:szCs w:val="21"/>
          <w:highlight w:val="none"/>
        </w:rPr>
        <w:t>1</w:t>
      </w:r>
      <w:r>
        <w:rPr>
          <w:rFonts w:hint="eastAsia" w:ascii="宋体" w:hAnsi="宋体" w:eastAsia="宋体" w:cs="宋体"/>
          <w:snapToGrid w:val="0"/>
          <w:color w:val="auto"/>
          <w:kern w:val="0"/>
          <w:szCs w:val="21"/>
          <w:highlight w:val="none"/>
          <w:lang w:eastAsia="zh-CN"/>
        </w:rPr>
        <w:t>.</w:t>
      </w:r>
      <w:r>
        <w:rPr>
          <w:rFonts w:hint="eastAsia" w:ascii="宋体" w:hAnsi="宋体" w:eastAsia="宋体" w:cs="宋体"/>
          <w:snapToGrid w:val="0"/>
          <w:color w:val="auto"/>
          <w:kern w:val="0"/>
          <w:szCs w:val="21"/>
          <w:highlight w:val="none"/>
        </w:rPr>
        <w:t>《投标人基本情况表》后应附以下资料：</w:t>
      </w:r>
      <w:bookmarkEnd w:id="317"/>
    </w:p>
    <w:p w14:paraId="48746F82">
      <w:pPr>
        <w:pStyle w:val="63"/>
        <w:keepNext w:val="0"/>
        <w:keepLines w:val="0"/>
        <w:pageBreakBefore w:val="0"/>
        <w:widowControl w:val="0"/>
        <w:kinsoku/>
        <w:wordWrap w:val="0"/>
        <w:overflowPunct/>
        <w:topLinePunct w:val="0"/>
        <w:autoSpaceDE/>
        <w:autoSpaceDN/>
        <w:bidi w:val="0"/>
        <w:adjustRightInd w:val="0"/>
        <w:snapToGrid w:val="0"/>
        <w:spacing w:line="312" w:lineRule="auto"/>
        <w:ind w:firstLine="420" w:firstLineChars="200"/>
        <w:textAlignment w:val="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（1）企业营业执照、资质证书、安全生产许可证的证书彩色扫描件；</w:t>
      </w:r>
      <w:r>
        <w:rPr>
          <w:rFonts w:hint="eastAsia" w:ascii="宋体" w:hAnsi="宋体" w:eastAsia="宋体" w:cs="宋体"/>
          <w:b/>
          <w:bCs/>
          <w:snapToGrid w:val="0"/>
          <w:color w:val="auto"/>
          <w:kern w:val="0"/>
          <w:szCs w:val="21"/>
          <w:highlight w:val="none"/>
          <w:lang w:eastAsia="zh-CN"/>
        </w:rPr>
        <w:t>（</w:t>
      </w:r>
      <w:r>
        <w:rPr>
          <w:rFonts w:hint="eastAsia" w:ascii="宋体" w:hAnsi="宋体" w:eastAsia="宋体" w:cs="宋体"/>
          <w:b/>
          <w:bCs/>
          <w:snapToGrid w:val="0"/>
          <w:color w:val="auto"/>
          <w:kern w:val="0"/>
          <w:szCs w:val="21"/>
          <w:highlight w:val="none"/>
        </w:rPr>
        <w:t>因推行电子证照，企业的营业执照、资质证书等可以提供电子证照。为实时掌握项目投标单位的是否具备企业安全生产条件，企业的安全生产许可证需提供企业实时网页查询页，实时查询页的打印时间应在项目招标公告发布之日起至开标前。如中标后，</w:t>
      </w:r>
      <w:r>
        <w:rPr>
          <w:rFonts w:hint="eastAsia" w:ascii="宋体" w:hAnsi="宋体" w:eastAsia="宋体" w:cs="宋体"/>
          <w:b/>
          <w:bCs/>
          <w:snapToGrid w:val="0"/>
          <w:color w:val="auto"/>
          <w:kern w:val="0"/>
          <w:szCs w:val="21"/>
          <w:highlight w:val="none"/>
          <w:lang w:val="en-US" w:eastAsia="zh-CN"/>
        </w:rPr>
        <w:t>企业的安全生产许可证实时网页查询路径：登录“中华人民共和国住房和城乡建设部”，进入“全国工程质量安全监管信息平台公共服务门户”版块，具体网址为：https://zlaq.mohurd.gov.cn， 进入后点击“安全生产许可证信息”，输入企业名称和统一社会信用代码即可查询。</w:t>
      </w:r>
      <w:r>
        <w:rPr>
          <w:rFonts w:hint="eastAsia" w:ascii="宋体" w:hAnsi="宋体" w:eastAsia="宋体" w:cs="宋体"/>
          <w:b/>
          <w:bCs/>
          <w:snapToGrid w:val="0"/>
          <w:color w:val="auto"/>
          <w:kern w:val="0"/>
          <w:szCs w:val="21"/>
          <w:highlight w:val="none"/>
        </w:rPr>
        <w:t>投标单位安全生产许可证发生被暂扣情形，需双方另行协商</w:t>
      </w:r>
      <w:r>
        <w:rPr>
          <w:rFonts w:hint="eastAsia" w:ascii="宋体" w:hAnsi="宋体" w:eastAsia="宋体" w:cs="宋体"/>
          <w:b/>
          <w:bCs/>
          <w:snapToGrid w:val="0"/>
          <w:color w:val="auto"/>
          <w:kern w:val="0"/>
          <w:szCs w:val="21"/>
          <w:highlight w:val="none"/>
          <w:lang w:eastAsia="zh-CN"/>
        </w:rPr>
        <w:t>）</w:t>
      </w:r>
      <w:r>
        <w:rPr>
          <w:rFonts w:hint="eastAsia" w:ascii="宋体" w:hAnsi="宋体" w:eastAsia="宋体" w:cs="宋体"/>
          <w:snapToGrid w:val="0"/>
          <w:color w:val="auto"/>
          <w:kern w:val="0"/>
          <w:szCs w:val="21"/>
          <w:highlight w:val="none"/>
          <w:lang w:eastAsia="zh-CN"/>
        </w:rPr>
        <w:t>；</w:t>
      </w:r>
    </w:p>
    <w:p w14:paraId="790A5DEC">
      <w:pPr>
        <w:pStyle w:val="63"/>
        <w:keepNext w:val="0"/>
        <w:keepLines w:val="0"/>
        <w:pageBreakBefore w:val="0"/>
        <w:widowControl w:val="0"/>
        <w:kinsoku/>
        <w:wordWrap w:val="0"/>
        <w:overflowPunct/>
        <w:topLinePunct w:val="0"/>
        <w:autoSpaceDE/>
        <w:autoSpaceDN/>
        <w:bidi w:val="0"/>
        <w:adjustRightInd w:val="0"/>
        <w:snapToGrid w:val="0"/>
        <w:spacing w:line="312" w:lineRule="auto"/>
        <w:ind w:firstLine="42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szCs w:val="21"/>
          <w:highlight w:val="none"/>
        </w:rPr>
        <w:t>（2）“进粤企业和人员诚信信</w:t>
      </w:r>
      <w:r>
        <w:rPr>
          <w:rFonts w:hint="eastAsia" w:ascii="宋体" w:hAnsi="宋体" w:eastAsia="宋体" w:cs="宋体"/>
          <w:snapToGrid w:val="0"/>
          <w:color w:val="auto"/>
          <w:kern w:val="0"/>
          <w:highlight w:val="none"/>
        </w:rPr>
        <w:t>息登记平台”企业信息情况打印页彩色扫描件或网页截图。（适用于省外建筑企业）；</w:t>
      </w:r>
    </w:p>
    <w:p w14:paraId="7A0A7827">
      <w:pPr>
        <w:pStyle w:val="63"/>
        <w:keepNext w:val="0"/>
        <w:keepLines w:val="0"/>
        <w:pageBreakBefore w:val="0"/>
        <w:widowControl w:val="0"/>
        <w:kinsoku/>
        <w:wordWrap w:val="0"/>
        <w:overflowPunct/>
        <w:topLinePunct w:val="0"/>
        <w:autoSpaceDE/>
        <w:autoSpaceDN/>
        <w:bidi w:val="0"/>
        <w:adjustRightInd w:val="0"/>
        <w:snapToGrid w:val="0"/>
        <w:spacing w:line="312" w:lineRule="auto"/>
        <w:ind w:firstLine="42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szCs w:val="21"/>
          <w:highlight w:val="none"/>
        </w:rPr>
        <w:t>（3）</w:t>
      </w:r>
      <w:r>
        <w:rPr>
          <w:rFonts w:hint="eastAsia" w:ascii="宋体" w:hAnsi="宋体" w:eastAsia="宋体" w:cs="宋体"/>
          <w:snapToGrid w:val="0"/>
          <w:color w:val="auto"/>
          <w:kern w:val="0"/>
          <w:highlight w:val="none"/>
        </w:rPr>
        <w:t>《法人和非法人组织公共信用信息报告》(在“信用中国”网站企业查询界面中下载) 。</w:t>
      </w:r>
    </w:p>
    <w:p w14:paraId="1D2730D7">
      <w:pPr>
        <w:pStyle w:val="63"/>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highlight w:val="none"/>
        </w:rPr>
      </w:pPr>
    </w:p>
    <w:p w14:paraId="557523D6">
      <w:pPr>
        <w:spacing w:before="151" w:line="360" w:lineRule="auto"/>
        <w:outlineLvl w:val="2"/>
        <w:rPr>
          <w:rFonts w:hint="eastAsia" w:ascii="宋体" w:hAnsi="宋体" w:eastAsia="宋体" w:cs="宋体"/>
          <w:b/>
          <w:bCs/>
          <w:color w:val="auto"/>
          <w:spacing w:val="-11"/>
          <w:sz w:val="24"/>
          <w:szCs w:val="24"/>
          <w:highlight w:val="none"/>
          <w:lang w:val="en-US" w:eastAsia="zh-CN"/>
        </w:rPr>
      </w:pPr>
      <w:bookmarkStart w:id="318" w:name="_Toc9402"/>
      <w:bookmarkStart w:id="319" w:name="_Toc8882"/>
      <w:r>
        <w:rPr>
          <w:rFonts w:hint="eastAsia" w:ascii="宋体" w:hAnsi="宋体" w:eastAsia="宋体" w:cs="宋体"/>
          <w:b/>
          <w:bCs/>
          <w:color w:val="auto"/>
          <w:spacing w:val="-11"/>
          <w:sz w:val="24"/>
          <w:szCs w:val="24"/>
          <w:highlight w:val="none"/>
          <w:lang w:val="en-US" w:eastAsia="zh-CN"/>
        </w:rPr>
        <w:t>格式七   项目经理简历表</w:t>
      </w:r>
      <w:bookmarkEnd w:id="318"/>
      <w:bookmarkEnd w:id="319"/>
    </w:p>
    <w:tbl>
      <w:tblPr>
        <w:tblStyle w:val="23"/>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0AF0C3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64D99AF7">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230B0951">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14E4D529">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6A83C0F8">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5C11EE5C">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B4320E7">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123398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560DF975">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4D0AD6D6">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3CD8E19C">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3B299325">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190C9CAC">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827FDC8">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49472A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55C608C3">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51836412">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54C09435">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B783C43">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465D38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09198779">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以项目经理身份参与过的主要业绩（已完工项目）</w:t>
            </w:r>
          </w:p>
        </w:tc>
      </w:tr>
      <w:tr w14:paraId="06349D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4704309">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0706C43A">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7570F053">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40A2C11">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0C4DCDA">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10635A6">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质量等级</w:t>
            </w:r>
          </w:p>
        </w:tc>
      </w:tr>
      <w:tr w14:paraId="29F475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39B315FC">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29D28D7">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2A8D2C2">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83485B8">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0679A09">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A522B41">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4A375C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63C8B8FB">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0A69068">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E5BEBEF">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833F093">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99EA320">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F55EFF0">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218C4E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6D0039EA">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64C400D">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571C982D">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A3901FA">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494CF4AC">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12084E4">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590F80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671D308E">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69FEF1D1">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317F8B3">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ECB5D37">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2F6DB0D">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163EB2D">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bl>
    <w:p w14:paraId="25F2AB62">
      <w:pPr>
        <w:jc w:val="center"/>
        <w:rPr>
          <w:rFonts w:hint="eastAsia" w:ascii="宋体" w:hAnsi="宋体" w:eastAsia="宋体" w:cs="宋体"/>
          <w:b/>
          <w:bCs/>
          <w:color w:val="auto"/>
          <w:sz w:val="30"/>
          <w:szCs w:val="30"/>
          <w:highlight w:val="none"/>
        </w:rPr>
      </w:pPr>
      <w:bookmarkStart w:id="320" w:name="_Toc30114"/>
      <w:r>
        <w:rPr>
          <w:rFonts w:hint="eastAsia" w:ascii="宋体" w:hAnsi="宋体" w:eastAsia="宋体" w:cs="宋体"/>
          <w:b/>
          <w:bCs/>
          <w:color w:val="auto"/>
          <w:sz w:val="30"/>
          <w:szCs w:val="30"/>
          <w:highlight w:val="none"/>
        </w:rPr>
        <w:t>项目经理简历表</w:t>
      </w:r>
      <w:bookmarkEnd w:id="320"/>
    </w:p>
    <w:p w14:paraId="3C65FA2C">
      <w:pPr>
        <w:wordWrap w:val="0"/>
        <w:adjustRightInd w:val="0"/>
        <w:snapToGrid w:val="0"/>
        <w:spacing w:line="360" w:lineRule="auto"/>
        <w:ind w:firstLine="570"/>
        <w:rPr>
          <w:rFonts w:hint="eastAsia" w:ascii="宋体" w:hAnsi="宋体" w:eastAsia="宋体" w:cs="宋体"/>
          <w:snapToGrid w:val="0"/>
          <w:color w:val="auto"/>
          <w:kern w:val="0"/>
          <w:szCs w:val="28"/>
          <w:highlight w:val="none"/>
        </w:rPr>
      </w:pPr>
    </w:p>
    <w:p w14:paraId="2B5AAB4F">
      <w:pPr>
        <w:pStyle w:val="61"/>
        <w:wordWrap w:val="0"/>
        <w:adjustRightInd w:val="0"/>
        <w:snapToGrid w:val="0"/>
        <w:spacing w:line="360" w:lineRule="auto"/>
        <w:jc w:val="right"/>
        <w:rPr>
          <w:rFonts w:hint="eastAsia" w:ascii="宋体" w:hAnsi="宋体" w:eastAsia="宋体" w:cs="宋体"/>
          <w:snapToGrid w:val="0"/>
          <w:color w:val="auto"/>
          <w:kern w:val="0"/>
          <w:highlight w:val="none"/>
        </w:rPr>
      </w:pPr>
    </w:p>
    <w:p w14:paraId="2366877F">
      <w:pPr>
        <w:pStyle w:val="61"/>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w:t>
      </w:r>
    </w:p>
    <w:p w14:paraId="0DD395EB">
      <w:pPr>
        <w:pStyle w:val="61"/>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p>
    <w:p w14:paraId="62737DF8">
      <w:pPr>
        <w:pStyle w:val="61"/>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3C942466">
      <w:pPr>
        <w:wordWrap w:val="0"/>
        <w:adjustRightInd w:val="0"/>
        <w:snapToGrid w:val="0"/>
        <w:spacing w:line="360" w:lineRule="auto"/>
        <w:ind w:firstLine="570"/>
        <w:rPr>
          <w:rFonts w:hint="eastAsia" w:ascii="宋体" w:hAnsi="宋体" w:eastAsia="宋体" w:cs="宋体"/>
          <w:snapToGrid w:val="0"/>
          <w:color w:val="auto"/>
          <w:kern w:val="0"/>
          <w:sz w:val="24"/>
          <w:szCs w:val="24"/>
          <w:highlight w:val="none"/>
        </w:rPr>
      </w:pPr>
    </w:p>
    <w:p w14:paraId="17BFF1C2">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说明：《项目经理简历表》后应附拟派项目经理以下资料：</w:t>
      </w:r>
    </w:p>
    <w:p w14:paraId="05A46026">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bookmarkStart w:id="321" w:name="_Toc950"/>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身份证彩色扫描件；</w:t>
      </w:r>
      <w:bookmarkEnd w:id="321"/>
    </w:p>
    <w:p w14:paraId="4377692B">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2</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建造师电子注册证书（在使用有效期内的有效电子证书）；</w:t>
      </w:r>
    </w:p>
    <w:p w14:paraId="73322110">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3</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B类安全生产考核合格证书彩色扫描件或广东省建筑施工企业管理人员安全生产考核系统考核合格信息；</w:t>
      </w:r>
    </w:p>
    <w:p w14:paraId="41DF6D04">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在本单位缴纳社保的证明（</w:t>
      </w:r>
      <w:r>
        <w:rPr>
          <w:rFonts w:hint="eastAsia" w:ascii="宋体" w:hAnsi="宋体" w:eastAsia="宋体" w:cs="宋体"/>
          <w:snapToGrid w:val="0"/>
          <w:color w:val="auto"/>
          <w:kern w:val="0"/>
          <w:sz w:val="24"/>
          <w:szCs w:val="24"/>
          <w:highlight w:val="none"/>
          <w:lang w:eastAsia="zh-CN"/>
        </w:rPr>
        <w:t>至少一个月，其中必须有2025年</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lang w:eastAsia="zh-CN"/>
        </w:rPr>
        <w:t>月</w:t>
      </w:r>
      <w:r>
        <w:rPr>
          <w:rFonts w:hint="eastAsia" w:ascii="宋体" w:hAnsi="宋体" w:eastAsia="宋体" w:cs="宋体"/>
          <w:snapToGrid w:val="0"/>
          <w:color w:val="auto"/>
          <w:kern w:val="0"/>
          <w:sz w:val="24"/>
          <w:szCs w:val="24"/>
          <w:highlight w:val="none"/>
        </w:rPr>
        <w:t>）彩色扫描件。拟派项目经理为退休返聘人员无法提供社保证明的，提供退休证和劳动合同彩色扫描件。</w:t>
      </w:r>
    </w:p>
    <w:p w14:paraId="17854ACE">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“进粤企业和人员诚信信息登记平台”个人（项目经理等）信息情况截图。（适用于省外建筑企业）</w:t>
      </w:r>
    </w:p>
    <w:p w14:paraId="6FEEF47A">
      <w:pPr>
        <w:rPr>
          <w:rFonts w:hint="eastAsia" w:ascii="宋体" w:hAnsi="宋体" w:eastAsia="宋体" w:cs="宋体"/>
          <w:color w:val="auto"/>
          <w:sz w:val="24"/>
          <w:szCs w:val="24"/>
          <w:highlight w:val="none"/>
        </w:rPr>
      </w:pPr>
    </w:p>
    <w:p w14:paraId="5A521483">
      <w:pPr>
        <w:rPr>
          <w:rFonts w:hint="eastAsia" w:ascii="宋体" w:hAnsi="宋体" w:eastAsia="宋体" w:cs="宋体"/>
          <w:color w:val="auto"/>
          <w:highlight w:val="none"/>
        </w:rPr>
      </w:pPr>
    </w:p>
    <w:p w14:paraId="24560E24">
      <w:pPr>
        <w:rPr>
          <w:rFonts w:hint="eastAsia" w:ascii="宋体" w:hAnsi="宋体" w:eastAsia="宋体" w:cs="宋体"/>
          <w:color w:val="auto"/>
          <w:highlight w:val="none"/>
        </w:rPr>
      </w:pPr>
    </w:p>
    <w:p w14:paraId="1305D2FF">
      <w:pPr>
        <w:rPr>
          <w:rFonts w:hint="eastAsia" w:ascii="宋体" w:hAnsi="宋体" w:eastAsia="宋体" w:cs="宋体"/>
          <w:color w:val="auto"/>
          <w:highlight w:val="none"/>
        </w:rPr>
      </w:pPr>
    </w:p>
    <w:p w14:paraId="5280A0D4">
      <w:pPr>
        <w:spacing w:before="151" w:line="360" w:lineRule="auto"/>
        <w:outlineLvl w:val="2"/>
        <w:rPr>
          <w:rFonts w:hint="eastAsia" w:ascii="宋体" w:hAnsi="宋体" w:eastAsia="宋体" w:cs="宋体"/>
          <w:b/>
          <w:bCs/>
          <w:color w:val="auto"/>
          <w:spacing w:val="-11"/>
          <w:sz w:val="24"/>
          <w:szCs w:val="24"/>
          <w:highlight w:val="none"/>
          <w:lang w:val="en-US" w:eastAsia="zh-CN"/>
        </w:rPr>
      </w:pPr>
      <w:bookmarkStart w:id="322" w:name="_Toc25955"/>
      <w:bookmarkStart w:id="323" w:name="_Toc1577"/>
      <w:r>
        <w:rPr>
          <w:rFonts w:hint="eastAsia" w:ascii="宋体" w:hAnsi="宋体" w:eastAsia="宋体" w:cs="宋体"/>
          <w:b/>
          <w:bCs/>
          <w:color w:val="auto"/>
          <w:spacing w:val="-11"/>
          <w:sz w:val="24"/>
          <w:szCs w:val="24"/>
          <w:highlight w:val="none"/>
          <w:lang w:val="en-US" w:eastAsia="zh-CN"/>
        </w:rPr>
        <w:t>格式八   项目经理任职声明</w:t>
      </w:r>
      <w:bookmarkEnd w:id="322"/>
      <w:bookmarkEnd w:id="323"/>
    </w:p>
    <w:p w14:paraId="7FC173C4">
      <w:pPr>
        <w:wordWrap w:val="0"/>
        <w:adjustRightInd w:val="0"/>
        <w:snapToGrid w:val="0"/>
        <w:spacing w:before="260" w:after="260" w:line="360" w:lineRule="auto"/>
        <w:jc w:val="center"/>
        <w:rPr>
          <w:rFonts w:hint="eastAsia" w:ascii="宋体" w:hAnsi="宋体" w:eastAsia="宋体" w:cs="宋体"/>
          <w:snapToGrid w:val="0"/>
          <w:color w:val="auto"/>
          <w:kern w:val="0"/>
          <w:szCs w:val="28"/>
          <w:highlight w:val="none"/>
        </w:rPr>
      </w:pPr>
      <w:r>
        <w:rPr>
          <w:rFonts w:hint="eastAsia" w:ascii="宋体" w:hAnsi="宋体" w:eastAsia="宋体" w:cs="宋体"/>
          <w:b/>
          <w:snapToGrid w:val="0"/>
          <w:color w:val="auto"/>
          <w:kern w:val="0"/>
          <w:sz w:val="30"/>
          <w:highlight w:val="none"/>
        </w:rPr>
        <w:t>项目经理任职声明</w:t>
      </w:r>
    </w:p>
    <w:p w14:paraId="6578E833">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（招标人名称）：</w:t>
      </w:r>
    </w:p>
    <w:p w14:paraId="793C1BF8">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我方在此声明，我方拟派往</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（项目名称）的项目经理</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（项目经理姓名）现阶段没有担任任何在施（包括已中标未开工、已开工未竣工）建设工程项目的项目经理。</w:t>
      </w:r>
    </w:p>
    <w:p w14:paraId="30F125DB">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我方保证上述信息的真实和准确，并愿意承担因我方就此弄虚作假所引起的一切法律后果。</w:t>
      </w:r>
    </w:p>
    <w:p w14:paraId="7E459349">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w:t>
      </w:r>
    </w:p>
    <w:p w14:paraId="55C21CD8">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特此承诺　　</w:t>
      </w:r>
    </w:p>
    <w:p w14:paraId="78958A58">
      <w:pP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　</w:t>
      </w:r>
    </w:p>
    <w:p w14:paraId="0C523FA7">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42591C25">
      <w:pPr>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27A6CCA3">
      <w:pPr>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p>
    <w:p w14:paraId="411F1EC3">
      <w:pPr>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p>
    <w:p w14:paraId="6452A2DD">
      <w:pPr>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1630AC92">
      <w:pPr>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p>
    <w:p w14:paraId="65148983">
      <w:pPr>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37B347CC">
      <w:pPr>
        <w:rPr>
          <w:rFonts w:hint="eastAsia" w:ascii="宋体" w:hAnsi="宋体" w:eastAsia="宋体" w:cs="宋体"/>
          <w:color w:val="auto"/>
          <w:sz w:val="24"/>
          <w:szCs w:val="24"/>
          <w:highlight w:val="none"/>
        </w:rPr>
      </w:pPr>
    </w:p>
    <w:p w14:paraId="7BF323AF">
      <w:pPr>
        <w:rPr>
          <w:rFonts w:hint="eastAsia" w:ascii="宋体" w:hAnsi="宋体" w:eastAsia="宋体" w:cs="宋体"/>
          <w:color w:val="auto"/>
          <w:highlight w:val="none"/>
        </w:rPr>
      </w:pPr>
    </w:p>
    <w:p w14:paraId="2320B913">
      <w:pPr>
        <w:rPr>
          <w:rFonts w:hint="eastAsia" w:ascii="宋体" w:hAnsi="宋体" w:eastAsia="宋体" w:cs="宋体"/>
          <w:color w:val="auto"/>
          <w:highlight w:val="none"/>
        </w:rPr>
      </w:pPr>
    </w:p>
    <w:p w14:paraId="5BEF7475">
      <w:pPr>
        <w:rPr>
          <w:rFonts w:hint="eastAsia" w:ascii="宋体" w:hAnsi="宋体" w:eastAsia="宋体" w:cs="宋体"/>
          <w:color w:val="auto"/>
          <w:highlight w:val="none"/>
        </w:rPr>
      </w:pPr>
    </w:p>
    <w:p w14:paraId="3243FFAA">
      <w:pPr>
        <w:rPr>
          <w:rFonts w:hint="eastAsia" w:ascii="宋体" w:hAnsi="宋体" w:eastAsia="宋体" w:cs="宋体"/>
          <w:color w:val="auto"/>
          <w:highlight w:val="none"/>
        </w:rPr>
      </w:pPr>
    </w:p>
    <w:p w14:paraId="73268613">
      <w:pPr>
        <w:rPr>
          <w:rFonts w:hint="eastAsia" w:ascii="宋体" w:hAnsi="宋体" w:eastAsia="宋体" w:cs="宋体"/>
          <w:color w:val="auto"/>
          <w:highlight w:val="none"/>
        </w:rPr>
      </w:pPr>
    </w:p>
    <w:p w14:paraId="75633735">
      <w:pPr>
        <w:rPr>
          <w:rFonts w:hint="eastAsia" w:ascii="宋体" w:hAnsi="宋体" w:eastAsia="宋体" w:cs="宋体"/>
          <w:color w:val="auto"/>
          <w:highlight w:val="none"/>
        </w:rPr>
      </w:pPr>
    </w:p>
    <w:p w14:paraId="662391D7">
      <w:pPr>
        <w:rPr>
          <w:rFonts w:hint="eastAsia" w:ascii="宋体" w:hAnsi="宋体" w:eastAsia="宋体" w:cs="宋体"/>
          <w:color w:val="auto"/>
          <w:highlight w:val="none"/>
        </w:rPr>
      </w:pPr>
    </w:p>
    <w:p w14:paraId="4A80B595">
      <w:pPr>
        <w:rPr>
          <w:rFonts w:hint="eastAsia" w:ascii="宋体" w:hAnsi="宋体" w:eastAsia="宋体" w:cs="宋体"/>
          <w:color w:val="auto"/>
          <w:highlight w:val="none"/>
        </w:rPr>
      </w:pPr>
    </w:p>
    <w:p w14:paraId="5AFA3955">
      <w:pPr>
        <w:rPr>
          <w:rFonts w:hint="eastAsia" w:ascii="宋体" w:hAnsi="宋体" w:eastAsia="宋体" w:cs="宋体"/>
          <w:color w:val="auto"/>
          <w:highlight w:val="none"/>
        </w:rPr>
      </w:pPr>
    </w:p>
    <w:p w14:paraId="5F7FB567">
      <w:pPr>
        <w:rPr>
          <w:rFonts w:hint="eastAsia" w:ascii="宋体" w:hAnsi="宋体" w:eastAsia="宋体" w:cs="宋体"/>
          <w:color w:val="auto"/>
          <w:highlight w:val="none"/>
        </w:rPr>
      </w:pPr>
    </w:p>
    <w:p w14:paraId="1050BB6D">
      <w:pPr>
        <w:rPr>
          <w:rFonts w:hint="eastAsia" w:ascii="宋体" w:hAnsi="宋体" w:eastAsia="宋体" w:cs="宋体"/>
          <w:color w:val="auto"/>
          <w:highlight w:val="none"/>
        </w:rPr>
      </w:pPr>
    </w:p>
    <w:p w14:paraId="6CF7F4F0">
      <w:pPr>
        <w:rPr>
          <w:rFonts w:hint="eastAsia" w:ascii="宋体" w:hAnsi="宋体" w:eastAsia="宋体" w:cs="宋体"/>
          <w:color w:val="auto"/>
          <w:highlight w:val="none"/>
        </w:rPr>
      </w:pPr>
    </w:p>
    <w:p w14:paraId="60ED2661">
      <w:pPr>
        <w:rPr>
          <w:rFonts w:hint="eastAsia" w:ascii="宋体" w:hAnsi="宋体" w:eastAsia="宋体" w:cs="宋体"/>
          <w:color w:val="auto"/>
          <w:highlight w:val="none"/>
        </w:rPr>
      </w:pPr>
    </w:p>
    <w:p w14:paraId="73E736B4">
      <w:pPr>
        <w:rPr>
          <w:rFonts w:hint="eastAsia" w:ascii="宋体" w:hAnsi="宋体" w:eastAsia="宋体" w:cs="宋体"/>
          <w:color w:val="auto"/>
          <w:highlight w:val="none"/>
        </w:rPr>
      </w:pPr>
    </w:p>
    <w:p w14:paraId="2B682CB1">
      <w:pPr>
        <w:rPr>
          <w:rFonts w:hint="eastAsia" w:ascii="宋体" w:hAnsi="宋体" w:eastAsia="宋体" w:cs="宋体"/>
          <w:color w:val="auto"/>
          <w:highlight w:val="none"/>
        </w:rPr>
      </w:pPr>
    </w:p>
    <w:p w14:paraId="5D051597">
      <w:pPr>
        <w:rPr>
          <w:rFonts w:hint="eastAsia" w:ascii="宋体" w:hAnsi="宋体" w:eastAsia="宋体" w:cs="宋体"/>
          <w:color w:val="auto"/>
          <w:highlight w:val="none"/>
        </w:rPr>
      </w:pPr>
    </w:p>
    <w:p w14:paraId="74FB70F3">
      <w:pPr>
        <w:rPr>
          <w:rFonts w:hint="eastAsia" w:ascii="宋体" w:hAnsi="宋体" w:eastAsia="宋体" w:cs="宋体"/>
          <w:color w:val="auto"/>
          <w:highlight w:val="none"/>
        </w:rPr>
      </w:pPr>
    </w:p>
    <w:p w14:paraId="45277182">
      <w:pPr>
        <w:rPr>
          <w:rFonts w:hint="eastAsia" w:ascii="宋体" w:hAnsi="宋体" w:eastAsia="宋体" w:cs="宋体"/>
          <w:color w:val="auto"/>
          <w:highlight w:val="none"/>
        </w:rPr>
      </w:pPr>
    </w:p>
    <w:p w14:paraId="44B80E93">
      <w:pPr>
        <w:rPr>
          <w:rFonts w:hint="eastAsia" w:ascii="宋体" w:hAnsi="宋体" w:eastAsia="宋体" w:cs="宋体"/>
          <w:color w:val="auto"/>
          <w:highlight w:val="none"/>
        </w:rPr>
      </w:pPr>
    </w:p>
    <w:p w14:paraId="4ABA62E0">
      <w:pPr>
        <w:rPr>
          <w:rFonts w:hint="eastAsia" w:ascii="宋体" w:hAnsi="宋体" w:eastAsia="宋体" w:cs="宋体"/>
          <w:color w:val="auto"/>
          <w:highlight w:val="none"/>
        </w:rPr>
      </w:pPr>
    </w:p>
    <w:p w14:paraId="75261E0B">
      <w:pPr>
        <w:spacing w:before="151" w:line="360" w:lineRule="auto"/>
        <w:outlineLvl w:val="2"/>
        <w:rPr>
          <w:rFonts w:hint="eastAsia" w:ascii="宋体" w:hAnsi="宋体" w:eastAsia="宋体" w:cs="宋体"/>
          <w:b/>
          <w:bCs/>
          <w:color w:val="auto"/>
          <w:spacing w:val="-11"/>
          <w:sz w:val="24"/>
          <w:szCs w:val="24"/>
          <w:highlight w:val="none"/>
          <w:lang w:val="en-US" w:eastAsia="zh-CN"/>
        </w:rPr>
      </w:pPr>
      <w:bookmarkStart w:id="324" w:name="_Toc8772"/>
      <w:bookmarkStart w:id="325" w:name="_Toc27243"/>
      <w:r>
        <w:rPr>
          <w:rFonts w:hint="eastAsia" w:ascii="宋体" w:hAnsi="宋体" w:eastAsia="宋体" w:cs="宋体"/>
          <w:b/>
          <w:bCs/>
          <w:color w:val="auto"/>
          <w:spacing w:val="-11"/>
          <w:sz w:val="24"/>
          <w:szCs w:val="24"/>
          <w:highlight w:val="none"/>
          <w:lang w:val="en-US" w:eastAsia="zh-CN"/>
        </w:rPr>
        <w:t>格式九   项目技术负责人简历表</w:t>
      </w:r>
      <w:bookmarkEnd w:id="324"/>
      <w:bookmarkEnd w:id="325"/>
    </w:p>
    <w:p w14:paraId="26012AF0">
      <w:pPr>
        <w:outlineLvl w:val="9"/>
        <w:rPr>
          <w:rFonts w:hint="eastAsia"/>
          <w:color w:val="auto"/>
          <w:highlight w:val="none"/>
          <w:lang w:val="en-US" w:eastAsia="zh-CN"/>
        </w:rPr>
      </w:pPr>
    </w:p>
    <w:tbl>
      <w:tblPr>
        <w:tblStyle w:val="23"/>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02DD91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034D54DB">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2A1A487B">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7603ACAC">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6B03C885">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5139F1DE">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1CC77C2">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2552E3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1F499B27">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1289644D">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0AB7D317">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1C0E00D5">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2EC803FD">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BC219D5">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3C77A2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5A677C25">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3571680C">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437218E7">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E17E1BD">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06776B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0561D4F9">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以项目技术负责人身份参与过的主要业绩（已完工项目）</w:t>
            </w:r>
          </w:p>
        </w:tc>
      </w:tr>
      <w:tr w14:paraId="3EC5E6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CFE78F8">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D06B07E">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317E961D">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D32E28C">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21575C3">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5FB7CEF">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质量等级</w:t>
            </w:r>
          </w:p>
        </w:tc>
      </w:tr>
      <w:tr w14:paraId="6E283F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06308029">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8BFFDBD">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720B2E8">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314764C">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4F32B5E1">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FAEA562">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00B0AB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0EFA9466">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E230D35">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385F9AE9">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25F56D0A">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7A2D86C">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538F072">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6DE4B1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46A894C1">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D5BD16C">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760B294C">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55B1CA9">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7F36A1A">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0E52980">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04F0A5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08921A14">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717BF00">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0DDCB73">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3CCC8E59">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E090DD7">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F02A6F9">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4A6F29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5D25D31F">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CB4FB99">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33C89781">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5B4A3DF">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771356FE">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71EE2DE">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p>
        </w:tc>
      </w:tr>
    </w:tbl>
    <w:p w14:paraId="3F027EBF">
      <w:pPr>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项目技术负责人简历表</w:t>
      </w:r>
    </w:p>
    <w:p w14:paraId="5EFAF49D">
      <w:pPr>
        <w:wordWrap w:val="0"/>
        <w:adjustRightInd w:val="0"/>
        <w:snapToGrid w:val="0"/>
        <w:spacing w:line="360" w:lineRule="auto"/>
        <w:ind w:firstLine="570"/>
        <w:rPr>
          <w:rFonts w:hint="eastAsia" w:ascii="宋体" w:hAnsi="宋体" w:eastAsia="宋体" w:cs="宋体"/>
          <w:snapToGrid w:val="0"/>
          <w:color w:val="auto"/>
          <w:kern w:val="0"/>
          <w:szCs w:val="28"/>
          <w:highlight w:val="none"/>
        </w:rPr>
      </w:pPr>
    </w:p>
    <w:p w14:paraId="24A63017">
      <w:pPr>
        <w:pStyle w:val="61"/>
        <w:wordWrap w:val="0"/>
        <w:adjustRightInd w:val="0"/>
        <w:snapToGrid w:val="0"/>
        <w:spacing w:line="360" w:lineRule="auto"/>
        <w:jc w:val="right"/>
        <w:rPr>
          <w:rFonts w:hint="eastAsia" w:ascii="宋体" w:hAnsi="宋体" w:eastAsia="宋体" w:cs="宋体"/>
          <w:snapToGrid w:val="0"/>
          <w:color w:val="auto"/>
          <w:kern w:val="0"/>
          <w:highlight w:val="none"/>
        </w:rPr>
      </w:pPr>
    </w:p>
    <w:p w14:paraId="38301F85">
      <w:pPr>
        <w:pStyle w:val="61"/>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项目技术负责人：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w:t>
      </w:r>
    </w:p>
    <w:p w14:paraId="1E9B586F">
      <w:pPr>
        <w:pStyle w:val="61"/>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p>
    <w:p w14:paraId="69384DF8">
      <w:pPr>
        <w:pStyle w:val="61"/>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4285231C">
      <w:pPr>
        <w:wordWrap w:val="0"/>
        <w:adjustRightInd w:val="0"/>
        <w:snapToGrid w:val="0"/>
        <w:spacing w:line="360" w:lineRule="auto"/>
        <w:rPr>
          <w:rFonts w:hint="eastAsia" w:ascii="宋体" w:hAnsi="宋体" w:eastAsia="宋体" w:cs="宋体"/>
          <w:snapToGrid w:val="0"/>
          <w:color w:val="auto"/>
          <w:kern w:val="0"/>
          <w:sz w:val="24"/>
          <w:szCs w:val="24"/>
          <w:highlight w:val="none"/>
        </w:rPr>
      </w:pPr>
    </w:p>
    <w:p w14:paraId="77D5A431">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说明：《项目技术负责人简历表》后应附拟派项目技术负责人以下资料：</w:t>
      </w:r>
    </w:p>
    <w:p w14:paraId="6C29ADC5">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1</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身份证彩色扫描件；</w:t>
      </w:r>
    </w:p>
    <w:p w14:paraId="3341440D">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2</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职称证彩色扫描件；</w:t>
      </w:r>
    </w:p>
    <w:p w14:paraId="66B968E7">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在本单位缴纳社保的证明（</w:t>
      </w:r>
      <w:r>
        <w:rPr>
          <w:rFonts w:hint="eastAsia" w:ascii="宋体" w:hAnsi="宋体" w:eastAsia="宋体" w:cs="宋体"/>
          <w:snapToGrid w:val="0"/>
          <w:color w:val="auto"/>
          <w:kern w:val="0"/>
          <w:sz w:val="24"/>
          <w:szCs w:val="24"/>
          <w:highlight w:val="none"/>
          <w:lang w:eastAsia="zh-CN"/>
        </w:rPr>
        <w:t>至少一个月，其中必须有2025年</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lang w:eastAsia="zh-CN"/>
        </w:rPr>
        <w:t>月</w:t>
      </w:r>
      <w:r>
        <w:rPr>
          <w:rFonts w:hint="eastAsia" w:ascii="宋体" w:hAnsi="宋体" w:eastAsia="宋体" w:cs="宋体"/>
          <w:snapToGrid w:val="0"/>
          <w:color w:val="auto"/>
          <w:kern w:val="0"/>
          <w:sz w:val="24"/>
          <w:szCs w:val="24"/>
          <w:highlight w:val="none"/>
        </w:rPr>
        <w:t>）彩色扫描件。拟派项目技术负责人为退休返聘人员无法提供社保证明的，提供退休证和劳动合同彩色扫描件。</w:t>
      </w:r>
    </w:p>
    <w:p w14:paraId="14F931AF">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“进粤企业和人员诚信信息登记平台”个人</w:t>
      </w:r>
      <w:r>
        <w:rPr>
          <w:rFonts w:hint="eastAsia" w:ascii="宋体" w:hAnsi="宋体" w:eastAsia="宋体" w:cs="宋体"/>
          <w:snapToGrid w:val="0"/>
          <w:color w:val="auto"/>
          <w:kern w:val="0"/>
          <w:sz w:val="24"/>
          <w:szCs w:val="24"/>
          <w:highlight w:val="none"/>
          <w:lang w:val="en-US" w:eastAsia="zh-CN"/>
        </w:rPr>
        <w:t>（项目经理等）</w:t>
      </w:r>
      <w:r>
        <w:rPr>
          <w:rFonts w:hint="eastAsia" w:ascii="宋体" w:hAnsi="宋体" w:eastAsia="宋体" w:cs="宋体"/>
          <w:snapToGrid w:val="0"/>
          <w:color w:val="auto"/>
          <w:kern w:val="0"/>
          <w:sz w:val="24"/>
          <w:szCs w:val="24"/>
          <w:highlight w:val="none"/>
        </w:rPr>
        <w:t>信息情况截图。（适用于省外建筑企业）</w:t>
      </w:r>
    </w:p>
    <w:p w14:paraId="3417ED6D">
      <w:pPr>
        <w:rPr>
          <w:rFonts w:hint="eastAsia" w:ascii="宋体" w:hAnsi="宋体" w:eastAsia="宋体" w:cs="宋体"/>
          <w:color w:val="auto"/>
          <w:highlight w:val="none"/>
        </w:rPr>
      </w:pPr>
    </w:p>
    <w:p w14:paraId="7A4E9A29">
      <w:pPr>
        <w:rPr>
          <w:rFonts w:hint="eastAsia" w:ascii="宋体" w:hAnsi="宋体" w:eastAsia="宋体" w:cs="宋体"/>
          <w:color w:val="auto"/>
          <w:highlight w:val="none"/>
        </w:rPr>
      </w:pPr>
    </w:p>
    <w:p w14:paraId="2277AEBE">
      <w:pPr>
        <w:rPr>
          <w:rFonts w:hint="eastAsia" w:ascii="宋体" w:hAnsi="宋体" w:eastAsia="宋体" w:cs="宋体"/>
          <w:color w:val="auto"/>
          <w:highlight w:val="none"/>
        </w:rPr>
      </w:pPr>
    </w:p>
    <w:p w14:paraId="660E23FF">
      <w:pPr>
        <w:rPr>
          <w:rFonts w:hint="eastAsia" w:ascii="宋体" w:hAnsi="宋体" w:eastAsia="宋体" w:cs="宋体"/>
          <w:color w:val="auto"/>
          <w:highlight w:val="none"/>
        </w:rPr>
      </w:pPr>
    </w:p>
    <w:bookmarkEnd w:id="297"/>
    <w:bookmarkEnd w:id="298"/>
    <w:p w14:paraId="0A4FA135">
      <w:pPr>
        <w:spacing w:before="151" w:line="360" w:lineRule="auto"/>
        <w:outlineLvl w:val="2"/>
        <w:rPr>
          <w:rFonts w:hint="eastAsia" w:ascii="宋体" w:hAnsi="宋体" w:eastAsia="宋体" w:cs="宋体"/>
          <w:b/>
          <w:bCs/>
          <w:color w:val="auto"/>
          <w:spacing w:val="-11"/>
          <w:sz w:val="24"/>
          <w:szCs w:val="24"/>
          <w:highlight w:val="none"/>
          <w:lang w:val="en-US" w:eastAsia="zh-CN"/>
        </w:rPr>
      </w:pPr>
      <w:bookmarkStart w:id="326" w:name="_Toc20506"/>
      <w:bookmarkStart w:id="327" w:name="_Toc6074"/>
      <w:bookmarkStart w:id="328" w:name="_Toc14261309"/>
      <w:bookmarkStart w:id="329" w:name="_Toc8868"/>
      <w:bookmarkStart w:id="330" w:name="_Toc200338098"/>
      <w:bookmarkStart w:id="331" w:name="_Toc8264"/>
      <w:r>
        <w:rPr>
          <w:rFonts w:hint="eastAsia" w:ascii="宋体" w:hAnsi="宋体" w:eastAsia="宋体" w:cs="宋体"/>
          <w:b/>
          <w:bCs/>
          <w:color w:val="auto"/>
          <w:spacing w:val="-11"/>
          <w:sz w:val="24"/>
          <w:szCs w:val="24"/>
          <w:highlight w:val="none"/>
          <w:lang w:val="en-US" w:eastAsia="zh-CN"/>
        </w:rPr>
        <w:t>格式</w:t>
      </w:r>
      <w:bookmarkStart w:id="332" w:name="_Hlt287950384"/>
      <w:bookmarkEnd w:id="332"/>
      <w:r>
        <w:rPr>
          <w:rFonts w:hint="eastAsia" w:ascii="宋体" w:hAnsi="宋体" w:eastAsia="宋体" w:cs="宋体"/>
          <w:b/>
          <w:bCs/>
          <w:color w:val="auto"/>
          <w:spacing w:val="-11"/>
          <w:sz w:val="24"/>
          <w:szCs w:val="24"/>
          <w:highlight w:val="none"/>
          <w:lang w:val="en-US" w:eastAsia="zh-CN"/>
        </w:rPr>
        <w:t>十   项目管理机构组成表</w:t>
      </w:r>
      <w:bookmarkEnd w:id="326"/>
      <w:bookmarkEnd w:id="327"/>
      <w:bookmarkEnd w:id="328"/>
      <w:bookmarkEnd w:id="329"/>
    </w:p>
    <w:p w14:paraId="44B501ED">
      <w:pPr>
        <w:outlineLvl w:val="9"/>
        <w:rPr>
          <w:rFonts w:hint="eastAsia"/>
          <w:color w:val="auto"/>
          <w:highlight w:val="none"/>
          <w:lang w:val="en-US" w:eastAsia="zh-CN"/>
        </w:rPr>
      </w:pPr>
    </w:p>
    <w:p w14:paraId="68FD7445">
      <w:pPr>
        <w:jc w:val="center"/>
        <w:rPr>
          <w:rFonts w:hint="eastAsia" w:ascii="宋体" w:hAnsi="宋体" w:eastAsia="宋体" w:cs="宋体"/>
          <w:b/>
          <w:bCs/>
          <w:color w:val="auto"/>
          <w:sz w:val="30"/>
          <w:szCs w:val="30"/>
          <w:highlight w:val="none"/>
        </w:rPr>
      </w:pPr>
      <w:bookmarkStart w:id="333" w:name="_Toc14261751"/>
      <w:bookmarkStart w:id="334" w:name="_Toc23063"/>
      <w:r>
        <w:rPr>
          <w:rFonts w:hint="eastAsia" w:ascii="宋体" w:hAnsi="宋体" w:eastAsia="宋体" w:cs="宋体"/>
          <w:b/>
          <w:bCs/>
          <w:color w:val="auto"/>
          <w:sz w:val="30"/>
          <w:szCs w:val="30"/>
          <w:highlight w:val="none"/>
        </w:rPr>
        <w:t>项目管理机构组成表</w:t>
      </w:r>
      <w:bookmarkEnd w:id="333"/>
      <w:bookmarkEnd w:id="334"/>
    </w:p>
    <w:tbl>
      <w:tblPr>
        <w:tblStyle w:val="23"/>
        <w:tblW w:w="893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43"/>
        <w:gridCol w:w="1421"/>
        <w:gridCol w:w="1355"/>
        <w:gridCol w:w="900"/>
        <w:gridCol w:w="817"/>
        <w:gridCol w:w="1538"/>
        <w:gridCol w:w="2164"/>
      </w:tblGrid>
      <w:tr w14:paraId="1BA550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60" w:hRule="atLeast"/>
        </w:trPr>
        <w:tc>
          <w:tcPr>
            <w:tcW w:w="743" w:type="dxa"/>
            <w:tcBorders>
              <w:top w:val="single" w:color="auto" w:sz="6" w:space="0"/>
              <w:left w:val="single" w:color="auto" w:sz="6" w:space="0"/>
              <w:bottom w:val="single" w:color="auto" w:sz="6" w:space="0"/>
              <w:right w:val="single" w:color="auto" w:sz="6" w:space="0"/>
            </w:tcBorders>
            <w:noWrap w:val="0"/>
            <w:vAlign w:val="center"/>
          </w:tcPr>
          <w:p w14:paraId="1CB7AFB5">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3276C44D">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职务</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2328725C">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姓名</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5B04F9BE">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性别</w:t>
            </w:r>
          </w:p>
        </w:tc>
        <w:tc>
          <w:tcPr>
            <w:tcW w:w="817" w:type="dxa"/>
            <w:tcBorders>
              <w:top w:val="single" w:color="auto" w:sz="6" w:space="0"/>
              <w:left w:val="single" w:color="auto" w:sz="6" w:space="0"/>
              <w:bottom w:val="single" w:color="auto" w:sz="6" w:space="0"/>
              <w:right w:val="single" w:color="auto" w:sz="6" w:space="0"/>
            </w:tcBorders>
            <w:noWrap w:val="0"/>
            <w:vAlign w:val="center"/>
          </w:tcPr>
          <w:p w14:paraId="4AC87755">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年龄</w:t>
            </w:r>
          </w:p>
        </w:tc>
        <w:tc>
          <w:tcPr>
            <w:tcW w:w="1538" w:type="dxa"/>
            <w:tcBorders>
              <w:top w:val="single" w:color="auto" w:sz="6" w:space="0"/>
              <w:left w:val="single" w:color="auto" w:sz="6" w:space="0"/>
              <w:bottom w:val="single" w:color="auto" w:sz="6" w:space="0"/>
              <w:right w:val="single" w:color="auto" w:sz="6" w:space="0"/>
            </w:tcBorders>
            <w:noWrap w:val="0"/>
            <w:vAlign w:val="center"/>
          </w:tcPr>
          <w:p w14:paraId="7E6116AA">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职称</w:t>
            </w:r>
          </w:p>
        </w:tc>
        <w:tc>
          <w:tcPr>
            <w:tcW w:w="2164" w:type="dxa"/>
            <w:tcBorders>
              <w:top w:val="single" w:color="auto" w:sz="6" w:space="0"/>
              <w:left w:val="single" w:color="auto" w:sz="6" w:space="0"/>
              <w:bottom w:val="single" w:color="auto" w:sz="6" w:space="0"/>
              <w:right w:val="single" w:color="auto" w:sz="6" w:space="0"/>
            </w:tcBorders>
            <w:noWrap w:val="0"/>
            <w:vAlign w:val="center"/>
          </w:tcPr>
          <w:p w14:paraId="787BD9AC">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w:t>
            </w:r>
          </w:p>
        </w:tc>
      </w:tr>
      <w:tr w14:paraId="1D1951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65EB31A1">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007ECA67">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7D670D38">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7A04CD33">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2C146E00">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4BC91A9F">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05E5D310">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5F42E7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86"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7FDDACC5">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61D6A1DD">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项目技术</w:t>
            </w:r>
          </w:p>
          <w:p w14:paraId="22BA2032">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负责人</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2FD33AFA">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15D444D2">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7A7B6C0C">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5EB5174F">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45C928D1">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6DA971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3" w:hRule="exact"/>
        </w:trPr>
        <w:tc>
          <w:tcPr>
            <w:tcW w:w="743" w:type="dxa"/>
            <w:tcBorders>
              <w:top w:val="single" w:color="auto" w:sz="6" w:space="0"/>
              <w:left w:val="single" w:color="auto" w:sz="6" w:space="0"/>
              <w:right w:val="single" w:color="auto" w:sz="6" w:space="0"/>
            </w:tcBorders>
            <w:noWrap w:val="0"/>
            <w:vAlign w:val="center"/>
          </w:tcPr>
          <w:p w14:paraId="3C8B239B">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1421" w:type="dxa"/>
            <w:tcBorders>
              <w:top w:val="single" w:color="auto" w:sz="6" w:space="0"/>
              <w:left w:val="single" w:color="auto" w:sz="6" w:space="0"/>
              <w:right w:val="single" w:color="auto" w:sz="6" w:space="0"/>
            </w:tcBorders>
            <w:noWrap w:val="0"/>
            <w:vAlign w:val="center"/>
          </w:tcPr>
          <w:p w14:paraId="78996701">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专职安全员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79E10973">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03133B84">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7706D3C6">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6735ECBE">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0C0483AE">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3F8F11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02444CC1">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01F55A34">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4AB581A5">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3C5927B5">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70B07244">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79C5BD7F">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2748319E">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737AC7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0B555836">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444B0068">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质量员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7DE8FB08">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0711BDD0">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37CC57CA">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536D8AF0">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2701D071">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6DFC80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4308A92E">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15C86142">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材料员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20E01523">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7A3D70AE">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190E4D2D">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19A8F6C5">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795D9181">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6FB86A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5FE64F0D">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1075EB58">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资料员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0A067E75">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594A00C2">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5D30E837">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3227A261">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50183A4C">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47627C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537CBC9A">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421" w:type="dxa"/>
            <w:tcBorders>
              <w:top w:val="single" w:color="auto" w:sz="6" w:space="0"/>
              <w:left w:val="single" w:color="auto" w:sz="6" w:space="0"/>
              <w:bottom w:val="single" w:color="auto" w:sz="6" w:space="0"/>
              <w:right w:val="single" w:color="auto" w:sz="6" w:space="0"/>
            </w:tcBorders>
            <w:noWrap w:val="0"/>
            <w:vAlign w:val="center"/>
          </w:tcPr>
          <w:p w14:paraId="320C88DD">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00454AE1">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4B194182">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5CFE7E2D">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4FE625B9">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7B846093">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bl>
    <w:p w14:paraId="0A7AAB54">
      <w:pPr>
        <w:pStyle w:val="60"/>
        <w:widowControl w:val="0"/>
        <w:wordWrap w:val="0"/>
        <w:adjustRightInd w:val="0"/>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说明：</w:t>
      </w:r>
    </w:p>
    <w:p w14:paraId="4F947078">
      <w:pPr>
        <w:pStyle w:val="60"/>
        <w:widowControl w:val="0"/>
        <w:wordWrap w:val="0"/>
        <w:adjustRightInd w:val="0"/>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1</w:t>
      </w:r>
      <w:r>
        <w:rPr>
          <w:rFonts w:hint="eastAsia" w:ascii="宋体" w:hAnsi="宋体" w:eastAsia="宋体" w:cs="宋体"/>
          <w:snapToGrid w:val="0"/>
          <w:color w:val="auto"/>
          <w:sz w:val="24"/>
          <w:szCs w:val="24"/>
          <w:highlight w:val="none"/>
          <w:lang w:eastAsia="zh-CN"/>
        </w:rPr>
        <w:t>.</w:t>
      </w:r>
      <w:r>
        <w:rPr>
          <w:rFonts w:hint="eastAsia" w:ascii="宋体" w:hAnsi="宋体" w:eastAsia="宋体" w:cs="宋体"/>
          <w:snapToGrid w:val="0"/>
          <w:color w:val="auto"/>
          <w:sz w:val="24"/>
          <w:szCs w:val="24"/>
          <w:highlight w:val="none"/>
        </w:rPr>
        <w:t>《项目管理机构组成表》后应附表中拟派人员（项目经理、项目技术负责人</w:t>
      </w:r>
      <w:r>
        <w:rPr>
          <w:rFonts w:hint="eastAsia" w:ascii="宋体" w:hAnsi="宋体" w:eastAsia="宋体" w:cs="宋体"/>
          <w:snapToGrid w:val="0"/>
          <w:color w:val="auto"/>
          <w:sz w:val="24"/>
          <w:szCs w:val="24"/>
          <w:highlight w:val="none"/>
          <w:lang w:val="en-US" w:eastAsia="zh-CN"/>
        </w:rPr>
        <w:t>除外</w:t>
      </w:r>
      <w:r>
        <w:rPr>
          <w:rFonts w:hint="eastAsia" w:ascii="宋体" w:hAnsi="宋体" w:eastAsia="宋体" w:cs="宋体"/>
          <w:snapToGrid w:val="0"/>
          <w:color w:val="auto"/>
          <w:sz w:val="24"/>
          <w:szCs w:val="24"/>
          <w:highlight w:val="none"/>
        </w:rPr>
        <w:t>）以下资料：</w:t>
      </w:r>
    </w:p>
    <w:p w14:paraId="5564B920">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（1）身份证彩色扫描件；</w:t>
      </w:r>
    </w:p>
    <w:p w14:paraId="1F4DFAE9">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职称证彩色扫描件（如有）</w:t>
      </w:r>
      <w:r>
        <w:rPr>
          <w:rFonts w:hint="eastAsia" w:ascii="宋体" w:hAnsi="宋体" w:eastAsia="宋体" w:cs="宋体"/>
          <w:snapToGrid w:val="0"/>
          <w:color w:val="auto"/>
          <w:kern w:val="0"/>
          <w:sz w:val="24"/>
          <w:szCs w:val="24"/>
          <w:highlight w:val="none"/>
        </w:rPr>
        <w:t>；</w:t>
      </w:r>
    </w:p>
    <w:p w14:paraId="4E335C46">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专职安全员须附</w:t>
      </w:r>
      <w:r>
        <w:rPr>
          <w:rFonts w:hint="eastAsia" w:ascii="宋体" w:hAnsi="宋体" w:eastAsia="宋体" w:cs="宋体"/>
          <w:snapToGrid w:val="0"/>
          <w:color w:val="auto"/>
          <w:kern w:val="0"/>
          <w:sz w:val="24"/>
          <w:szCs w:val="24"/>
          <w:highlight w:val="none"/>
        </w:rPr>
        <w:t>有效安全生产考核合格证明（C证，安全生产考核合格证书或“广东省建筑施工企业管理人员安全生产考核信息系统”考核合格信息打印页）</w:t>
      </w:r>
    </w:p>
    <w:p w14:paraId="72AC7340">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在本单位缴纳社保的证明（</w:t>
      </w:r>
      <w:r>
        <w:rPr>
          <w:rFonts w:hint="eastAsia" w:ascii="宋体" w:hAnsi="宋体" w:eastAsia="宋体" w:cs="宋体"/>
          <w:snapToGrid w:val="0"/>
          <w:color w:val="auto"/>
          <w:kern w:val="0"/>
          <w:sz w:val="24"/>
          <w:szCs w:val="24"/>
          <w:highlight w:val="none"/>
          <w:lang w:val="en-US" w:eastAsia="zh-CN" w:bidi="ar-SA"/>
        </w:rPr>
        <w:t>至少一个月，其中必须有2025年10月）彩</w:t>
      </w:r>
      <w:r>
        <w:rPr>
          <w:rFonts w:hint="eastAsia" w:ascii="宋体" w:hAnsi="宋体" w:eastAsia="宋体" w:cs="宋体"/>
          <w:snapToGrid w:val="0"/>
          <w:color w:val="auto"/>
          <w:kern w:val="0"/>
          <w:sz w:val="24"/>
          <w:szCs w:val="24"/>
          <w:highlight w:val="none"/>
        </w:rPr>
        <w:t>色扫描件。拟派人员为退休返聘人员无法提供社保证明的，提供退休证和劳动合同彩色扫描件。</w:t>
      </w:r>
    </w:p>
    <w:p w14:paraId="18435A25">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“进粤企业和人员诚信信息登记平台”个人</w:t>
      </w:r>
      <w:r>
        <w:rPr>
          <w:rFonts w:hint="eastAsia" w:ascii="宋体" w:hAnsi="宋体" w:eastAsia="宋体" w:cs="宋体"/>
          <w:snapToGrid w:val="0"/>
          <w:color w:val="auto"/>
          <w:kern w:val="0"/>
          <w:sz w:val="24"/>
          <w:szCs w:val="24"/>
          <w:highlight w:val="none"/>
          <w:lang w:val="en-US" w:eastAsia="zh-CN"/>
        </w:rPr>
        <w:t>（项目经理等）</w:t>
      </w:r>
      <w:r>
        <w:rPr>
          <w:rFonts w:hint="eastAsia" w:ascii="宋体" w:hAnsi="宋体" w:eastAsia="宋体" w:cs="宋体"/>
          <w:snapToGrid w:val="0"/>
          <w:color w:val="auto"/>
          <w:kern w:val="0"/>
          <w:sz w:val="24"/>
          <w:szCs w:val="24"/>
          <w:highlight w:val="none"/>
        </w:rPr>
        <w:t>信息情况截图。（适用于省外建筑企业）</w:t>
      </w:r>
    </w:p>
    <w:p w14:paraId="1C6B0C32">
      <w:pPr>
        <w:rPr>
          <w:rFonts w:hint="eastAsia" w:ascii="宋体" w:hAnsi="宋体" w:eastAsia="宋体" w:cs="宋体"/>
          <w:color w:val="auto"/>
          <w:highlight w:val="none"/>
        </w:rPr>
      </w:pPr>
    </w:p>
    <w:p w14:paraId="2E165D61">
      <w:pPr>
        <w:rPr>
          <w:rFonts w:hint="eastAsia" w:ascii="宋体" w:hAnsi="宋体" w:eastAsia="宋体" w:cs="宋体"/>
          <w:color w:val="auto"/>
          <w:highlight w:val="none"/>
        </w:rPr>
      </w:pPr>
    </w:p>
    <w:bookmarkEnd w:id="330"/>
    <w:bookmarkEnd w:id="331"/>
    <w:p w14:paraId="5BAED777">
      <w:pPr>
        <w:rPr>
          <w:rFonts w:hint="eastAsia" w:ascii="宋体" w:hAnsi="宋体" w:eastAsia="宋体" w:cs="宋体"/>
          <w:color w:val="auto"/>
          <w:highlight w:val="none"/>
        </w:rPr>
      </w:pPr>
      <w:bookmarkStart w:id="335" w:name="_Toc36804690"/>
    </w:p>
    <w:p w14:paraId="0E72FB65">
      <w:pPr>
        <w:rPr>
          <w:rFonts w:hint="eastAsia" w:ascii="宋体" w:hAnsi="宋体" w:eastAsia="宋体" w:cs="宋体"/>
          <w:color w:val="auto"/>
          <w:highlight w:val="none"/>
        </w:rPr>
      </w:pPr>
    </w:p>
    <w:p w14:paraId="7B7D4FEF">
      <w:pPr>
        <w:rPr>
          <w:rFonts w:hint="eastAsia" w:ascii="宋体" w:hAnsi="宋体" w:eastAsia="宋体" w:cs="宋体"/>
          <w:color w:val="auto"/>
          <w:highlight w:val="none"/>
        </w:rPr>
      </w:pPr>
    </w:p>
    <w:p w14:paraId="6F2D3EF6">
      <w:pPr>
        <w:rPr>
          <w:rFonts w:hint="eastAsia" w:ascii="宋体" w:hAnsi="宋体" w:eastAsia="宋体" w:cs="宋体"/>
          <w:color w:val="auto"/>
          <w:highlight w:val="none"/>
        </w:rPr>
      </w:pPr>
    </w:p>
    <w:p w14:paraId="264C6AE0">
      <w:pPr>
        <w:rPr>
          <w:rFonts w:hint="eastAsia" w:ascii="宋体" w:hAnsi="宋体" w:eastAsia="宋体" w:cs="宋体"/>
          <w:color w:val="auto"/>
          <w:highlight w:val="none"/>
        </w:rPr>
      </w:pPr>
    </w:p>
    <w:p w14:paraId="24620CEE">
      <w:pPr>
        <w:rPr>
          <w:rFonts w:hint="eastAsia" w:ascii="宋体" w:hAnsi="宋体" w:eastAsia="宋体" w:cs="宋体"/>
          <w:color w:val="auto"/>
          <w:highlight w:val="none"/>
        </w:rPr>
      </w:pPr>
    </w:p>
    <w:p w14:paraId="55CCC060">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5E818887">
      <w:pPr>
        <w:spacing w:before="151" w:line="360" w:lineRule="auto"/>
        <w:outlineLvl w:val="2"/>
        <w:rPr>
          <w:rFonts w:hint="eastAsia" w:ascii="宋体" w:hAnsi="宋体" w:eastAsia="宋体" w:cs="宋体"/>
          <w:b/>
          <w:bCs/>
          <w:color w:val="auto"/>
          <w:spacing w:val="-11"/>
          <w:sz w:val="24"/>
          <w:szCs w:val="24"/>
          <w:highlight w:val="none"/>
          <w:lang w:val="en-US" w:eastAsia="zh-CN"/>
        </w:rPr>
      </w:pPr>
      <w:bookmarkStart w:id="336" w:name="_Toc3817"/>
      <w:r>
        <w:rPr>
          <w:rFonts w:hint="eastAsia" w:ascii="宋体" w:hAnsi="宋体" w:eastAsia="宋体" w:cs="宋体"/>
          <w:b/>
          <w:bCs/>
          <w:color w:val="auto"/>
          <w:spacing w:val="-11"/>
          <w:sz w:val="24"/>
          <w:szCs w:val="24"/>
          <w:highlight w:val="none"/>
          <w:lang w:val="en-US" w:eastAsia="zh-CN"/>
        </w:rPr>
        <w:t>格式十一   建造师查询页（有效期+建造师签字）</w:t>
      </w:r>
      <w:bookmarkEnd w:id="336"/>
    </w:p>
    <w:p w14:paraId="396520D4">
      <w:pPr>
        <w:rPr>
          <w:rFonts w:hint="eastAsia" w:ascii="宋体" w:hAnsi="宋体" w:eastAsia="宋体" w:cs="宋体"/>
          <w:snapToGrid w:val="0"/>
          <w:color w:val="auto"/>
          <w:sz w:val="21"/>
          <w:highlight w:val="none"/>
        </w:rPr>
      </w:pPr>
      <w:r>
        <w:rPr>
          <w:rFonts w:hint="eastAsia" w:ascii="宋体" w:hAnsi="宋体" w:eastAsia="宋体" w:cs="宋体"/>
          <w:snapToGrid w:val="0"/>
          <w:color w:val="auto"/>
          <w:sz w:val="21"/>
          <w:highlight w:val="none"/>
        </w:rPr>
        <w:drawing>
          <wp:anchor distT="0" distB="0" distL="114300" distR="114300" simplePos="0" relativeHeight="251663360" behindDoc="0" locked="0" layoutInCell="1" allowOverlap="1">
            <wp:simplePos x="0" y="0"/>
            <wp:positionH relativeFrom="column">
              <wp:posOffset>133350</wp:posOffset>
            </wp:positionH>
            <wp:positionV relativeFrom="paragraph">
              <wp:posOffset>123190</wp:posOffset>
            </wp:positionV>
            <wp:extent cx="5821680" cy="8139430"/>
            <wp:effectExtent l="0" t="0" r="7620" b="13970"/>
            <wp:wrapNone/>
            <wp:docPr id="4" name="图片 113" descr="b7c3fa9a6b84aa75afaa6419d149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3" descr="b7c3fa9a6b84aa75afaa6419d149817"/>
                    <pic:cNvPicPr>
                      <a:picLocks noChangeAspect="1"/>
                    </pic:cNvPicPr>
                  </pic:nvPicPr>
                  <pic:blipFill>
                    <a:blip r:embed="rId32"/>
                    <a:stretch>
                      <a:fillRect/>
                    </a:stretch>
                  </pic:blipFill>
                  <pic:spPr>
                    <a:xfrm>
                      <a:off x="0" y="0"/>
                      <a:ext cx="5821680" cy="8139430"/>
                    </a:xfrm>
                    <a:prstGeom prst="rect">
                      <a:avLst/>
                    </a:prstGeom>
                    <a:noFill/>
                    <a:ln>
                      <a:noFill/>
                    </a:ln>
                  </pic:spPr>
                </pic:pic>
              </a:graphicData>
            </a:graphic>
          </wp:anchor>
        </w:drawing>
      </w:r>
    </w:p>
    <w:p w14:paraId="1BC86387">
      <w:pPr>
        <w:rPr>
          <w:rFonts w:hint="eastAsia" w:ascii="宋体" w:hAnsi="宋体" w:eastAsia="宋体" w:cs="宋体"/>
          <w:snapToGrid w:val="0"/>
          <w:color w:val="auto"/>
          <w:sz w:val="21"/>
          <w:highlight w:val="none"/>
        </w:rPr>
      </w:pPr>
    </w:p>
    <w:p w14:paraId="2DDB7ADB">
      <w:pPr>
        <w:rPr>
          <w:rFonts w:hint="eastAsia" w:ascii="宋体" w:hAnsi="宋体" w:eastAsia="宋体" w:cs="宋体"/>
          <w:snapToGrid w:val="0"/>
          <w:color w:val="auto"/>
          <w:sz w:val="21"/>
          <w:highlight w:val="none"/>
        </w:rPr>
      </w:pPr>
    </w:p>
    <w:p w14:paraId="01F47F20">
      <w:pPr>
        <w:rPr>
          <w:rFonts w:hint="eastAsia" w:ascii="宋体" w:hAnsi="宋体" w:eastAsia="宋体" w:cs="宋体"/>
          <w:color w:val="auto"/>
          <w:highlight w:val="none"/>
        </w:rPr>
      </w:pPr>
      <w:r>
        <w:rPr>
          <w:rFonts w:hint="eastAsia" w:ascii="宋体" w:hAnsi="宋体" w:eastAsia="宋体" w:cs="宋体"/>
          <w:color w:val="auto"/>
          <w:highlight w:val="none"/>
        </w:rPr>
        <w:drawing>
          <wp:inline distT="0" distB="0" distL="114300" distR="114300">
            <wp:extent cx="6088380" cy="6311265"/>
            <wp:effectExtent l="0" t="0" r="7620" b="13335"/>
            <wp:docPr id="5"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14"/>
                    <pic:cNvPicPr>
                      <a:picLocks noChangeAspect="1"/>
                    </pic:cNvPicPr>
                  </pic:nvPicPr>
                  <pic:blipFill>
                    <a:blip r:embed="rId33"/>
                    <a:stretch>
                      <a:fillRect/>
                    </a:stretch>
                  </pic:blipFill>
                  <pic:spPr>
                    <a:xfrm>
                      <a:off x="0" y="0"/>
                      <a:ext cx="6088380" cy="6311265"/>
                    </a:xfrm>
                    <a:prstGeom prst="rect">
                      <a:avLst/>
                    </a:prstGeom>
                    <a:noFill/>
                    <a:ln>
                      <a:noFill/>
                    </a:ln>
                  </pic:spPr>
                </pic:pic>
              </a:graphicData>
            </a:graphic>
          </wp:inline>
        </w:drawing>
      </w:r>
    </w:p>
    <w:p w14:paraId="1711ECFA">
      <w:pPr>
        <w:rPr>
          <w:rFonts w:hint="eastAsia" w:ascii="宋体" w:hAnsi="宋体" w:eastAsia="宋体" w:cs="宋体"/>
          <w:color w:val="auto"/>
          <w:highlight w:val="none"/>
        </w:rPr>
      </w:pPr>
    </w:p>
    <w:p w14:paraId="0329351F">
      <w:pPr>
        <w:rPr>
          <w:rFonts w:hint="eastAsia" w:ascii="宋体" w:hAnsi="宋体" w:eastAsia="宋体" w:cs="宋体"/>
          <w:color w:val="auto"/>
          <w:highlight w:val="none"/>
        </w:rPr>
      </w:pPr>
    </w:p>
    <w:p w14:paraId="23E121D4">
      <w:pPr>
        <w:rPr>
          <w:rFonts w:hint="eastAsia" w:ascii="宋体" w:hAnsi="宋体" w:eastAsia="宋体" w:cs="宋体"/>
          <w:color w:val="auto"/>
          <w:highlight w:val="none"/>
        </w:rPr>
      </w:pPr>
    </w:p>
    <w:p w14:paraId="64E554D2">
      <w:pPr>
        <w:rPr>
          <w:rFonts w:hint="eastAsia" w:ascii="宋体" w:hAnsi="宋体" w:eastAsia="宋体" w:cs="宋体"/>
          <w:color w:val="auto"/>
          <w:highlight w:val="none"/>
        </w:rPr>
      </w:pPr>
    </w:p>
    <w:p w14:paraId="79248878">
      <w:pPr>
        <w:rPr>
          <w:rFonts w:hint="eastAsia" w:ascii="宋体" w:hAnsi="宋体" w:eastAsia="宋体" w:cs="宋体"/>
          <w:color w:val="auto"/>
          <w:highlight w:val="none"/>
        </w:rPr>
      </w:pPr>
    </w:p>
    <w:p w14:paraId="27F791A7">
      <w:pPr>
        <w:rPr>
          <w:rFonts w:hint="eastAsia" w:ascii="宋体" w:hAnsi="宋体" w:eastAsia="宋体" w:cs="宋体"/>
          <w:color w:val="auto"/>
          <w:highlight w:val="none"/>
        </w:rPr>
      </w:pPr>
    </w:p>
    <w:p w14:paraId="1845E2A2">
      <w:pPr>
        <w:rPr>
          <w:rFonts w:hint="eastAsia" w:ascii="宋体" w:hAnsi="宋体" w:eastAsia="宋体" w:cs="宋体"/>
          <w:color w:val="auto"/>
          <w:highlight w:val="none"/>
        </w:rPr>
      </w:pPr>
    </w:p>
    <w:p w14:paraId="35C00E87">
      <w:pPr>
        <w:rPr>
          <w:rFonts w:hint="eastAsia" w:ascii="宋体" w:hAnsi="宋体" w:eastAsia="宋体" w:cs="宋体"/>
          <w:color w:val="auto"/>
          <w:highlight w:val="none"/>
        </w:rPr>
      </w:pPr>
    </w:p>
    <w:p w14:paraId="6AED4ACB">
      <w:pPr>
        <w:rPr>
          <w:rFonts w:hint="eastAsia" w:ascii="宋体" w:hAnsi="宋体" w:eastAsia="宋体" w:cs="宋体"/>
          <w:color w:val="auto"/>
          <w:highlight w:val="none"/>
        </w:rPr>
      </w:pPr>
    </w:p>
    <w:p w14:paraId="1245D32D">
      <w:pPr>
        <w:rPr>
          <w:rFonts w:hint="eastAsia" w:ascii="宋体" w:hAnsi="宋体" w:eastAsia="宋体" w:cs="宋体"/>
          <w:color w:val="auto"/>
          <w:highlight w:val="none"/>
        </w:rPr>
      </w:pPr>
    </w:p>
    <w:p w14:paraId="3BF17A91">
      <w:pPr>
        <w:rPr>
          <w:rFonts w:hint="eastAsia" w:ascii="宋体" w:hAnsi="宋体" w:eastAsia="宋体" w:cs="宋体"/>
          <w:color w:val="auto"/>
          <w:highlight w:val="none"/>
        </w:rPr>
      </w:pPr>
    </w:p>
    <w:p w14:paraId="079F38F5">
      <w:pPr>
        <w:rPr>
          <w:rFonts w:hint="eastAsia" w:ascii="宋体" w:hAnsi="宋体" w:eastAsia="宋体" w:cs="宋体"/>
          <w:color w:val="auto"/>
          <w:highlight w:val="none"/>
        </w:rPr>
      </w:pPr>
    </w:p>
    <w:p w14:paraId="1D9BA90F">
      <w:pPr>
        <w:rPr>
          <w:rFonts w:hint="eastAsia" w:ascii="宋体" w:hAnsi="宋体" w:eastAsia="宋体" w:cs="宋体"/>
          <w:color w:val="auto"/>
          <w:highlight w:val="none"/>
        </w:rPr>
      </w:pPr>
    </w:p>
    <w:p w14:paraId="754A1BBA">
      <w:pPr>
        <w:rPr>
          <w:rFonts w:hint="eastAsia" w:ascii="宋体" w:hAnsi="宋体" w:eastAsia="宋体" w:cs="宋体"/>
          <w:color w:val="auto"/>
          <w:highlight w:val="none"/>
        </w:rPr>
      </w:pPr>
    </w:p>
    <w:p w14:paraId="7A730801">
      <w:pPr>
        <w:rPr>
          <w:rFonts w:hint="eastAsia" w:ascii="宋体" w:hAnsi="宋体" w:eastAsia="宋体" w:cs="宋体"/>
          <w:color w:val="auto"/>
          <w:highlight w:val="none"/>
        </w:rPr>
      </w:pPr>
      <w:r>
        <w:rPr>
          <w:rFonts w:hint="eastAsia" w:ascii="宋体" w:hAnsi="宋体" w:eastAsia="宋体" w:cs="宋体"/>
          <w:color w:val="auto"/>
          <w:highlight w:val="none"/>
        </w:rPr>
        <w:drawing>
          <wp:anchor distT="0" distB="0" distL="114300" distR="114300" simplePos="0" relativeHeight="251664384" behindDoc="0" locked="0" layoutInCell="1" allowOverlap="1">
            <wp:simplePos x="0" y="0"/>
            <wp:positionH relativeFrom="page">
              <wp:posOffset>1057275</wp:posOffset>
            </wp:positionH>
            <wp:positionV relativeFrom="page">
              <wp:posOffset>1104265</wp:posOffset>
            </wp:positionV>
            <wp:extent cx="5461635" cy="5661660"/>
            <wp:effectExtent l="0" t="0" r="5715" b="15240"/>
            <wp:wrapNone/>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33"/>
                    <a:stretch>
                      <a:fillRect/>
                    </a:stretch>
                  </pic:blipFill>
                  <pic:spPr>
                    <a:xfrm>
                      <a:off x="0" y="0"/>
                      <a:ext cx="5461635" cy="5661660"/>
                    </a:xfrm>
                    <a:prstGeom prst="rect">
                      <a:avLst/>
                    </a:prstGeom>
                    <a:noFill/>
                    <a:ln>
                      <a:noFill/>
                    </a:ln>
                  </pic:spPr>
                </pic:pic>
              </a:graphicData>
            </a:graphic>
          </wp:anchor>
        </w:drawing>
      </w:r>
    </w:p>
    <w:p w14:paraId="52202EA3">
      <w:pPr>
        <w:rPr>
          <w:rFonts w:hint="eastAsia" w:ascii="宋体" w:hAnsi="宋体" w:eastAsia="宋体" w:cs="宋体"/>
          <w:color w:val="auto"/>
          <w:highlight w:val="none"/>
        </w:rPr>
      </w:pPr>
    </w:p>
    <w:p w14:paraId="3D92DB83">
      <w:pPr>
        <w:rPr>
          <w:rFonts w:hint="eastAsia" w:ascii="宋体" w:hAnsi="宋体" w:eastAsia="宋体" w:cs="宋体"/>
          <w:b/>
          <w:bCs/>
          <w:color w:val="auto"/>
          <w:spacing w:val="-11"/>
          <w:sz w:val="24"/>
          <w:szCs w:val="24"/>
          <w:highlight w:val="none"/>
          <w:lang w:val="en-US" w:eastAsia="zh-CN"/>
        </w:rPr>
      </w:pPr>
      <w:bookmarkStart w:id="337" w:name="_Toc16953"/>
      <w:r>
        <w:rPr>
          <w:rFonts w:hint="eastAsia" w:ascii="宋体" w:hAnsi="宋体" w:eastAsia="宋体" w:cs="宋体"/>
          <w:b/>
          <w:bCs/>
          <w:color w:val="auto"/>
          <w:spacing w:val="-11"/>
          <w:sz w:val="24"/>
          <w:szCs w:val="24"/>
          <w:highlight w:val="none"/>
          <w:lang w:val="en-US" w:eastAsia="zh-CN"/>
        </w:rPr>
        <w:br w:type="page"/>
      </w:r>
    </w:p>
    <w:p w14:paraId="456FF962">
      <w:pPr>
        <w:spacing w:before="151" w:line="360" w:lineRule="auto"/>
        <w:jc w:val="left"/>
        <w:outlineLvl w:val="2"/>
        <w:rPr>
          <w:rFonts w:hint="eastAsia" w:ascii="宋体" w:hAnsi="宋体" w:eastAsia="宋体" w:cs="宋体"/>
          <w:b/>
          <w:bCs/>
          <w:color w:val="auto"/>
          <w:spacing w:val="-11"/>
          <w:sz w:val="24"/>
          <w:szCs w:val="24"/>
          <w:highlight w:val="none"/>
          <w:lang w:val="en-US" w:eastAsia="zh-CN"/>
        </w:rPr>
      </w:pPr>
      <w:bookmarkStart w:id="338" w:name="_Toc32638"/>
      <w:r>
        <w:rPr>
          <w:rFonts w:hint="eastAsia" w:ascii="宋体" w:hAnsi="宋体" w:eastAsia="宋体" w:cs="宋体"/>
          <w:b/>
          <w:bCs/>
          <w:color w:val="auto"/>
          <w:spacing w:val="-11"/>
          <w:sz w:val="24"/>
          <w:szCs w:val="24"/>
          <w:highlight w:val="none"/>
          <w:lang w:val="en-US" w:eastAsia="zh-CN"/>
        </w:rPr>
        <w:t>格式十二</w:t>
      </w:r>
      <w:bookmarkEnd w:id="337"/>
      <w:r>
        <w:rPr>
          <w:rFonts w:hint="eastAsia" w:ascii="宋体" w:hAnsi="宋体" w:eastAsia="宋体" w:cs="宋体"/>
          <w:b/>
          <w:bCs/>
          <w:color w:val="auto"/>
          <w:spacing w:val="-11"/>
          <w:sz w:val="24"/>
          <w:szCs w:val="24"/>
          <w:highlight w:val="none"/>
          <w:lang w:val="en-US" w:eastAsia="zh-CN"/>
        </w:rPr>
        <w:t xml:space="preserve">   危险性较大的分部分项工程清单及超过一定规模的危险性较大的分部分项工程清单</w:t>
      </w:r>
      <w:bookmarkEnd w:id="338"/>
      <w:r>
        <w:rPr>
          <w:rFonts w:hint="eastAsia" w:ascii="宋体" w:hAnsi="宋体" w:eastAsia="宋体" w:cs="宋体"/>
          <w:b/>
          <w:bCs/>
          <w:color w:val="auto"/>
          <w:spacing w:val="-11"/>
          <w:sz w:val="24"/>
          <w:szCs w:val="24"/>
          <w:highlight w:val="none"/>
          <w:lang w:val="en-US" w:eastAsia="zh-CN"/>
        </w:rPr>
        <w:t>（如有）</w:t>
      </w:r>
    </w:p>
    <w:p w14:paraId="082403D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Times New Roman"/>
          <w:snapToGrid/>
          <w:color w:val="auto"/>
          <w:kern w:val="2"/>
          <w:sz w:val="24"/>
          <w:szCs w:val="20"/>
          <w:highlight w:val="none"/>
          <w:lang w:val="en-US" w:eastAsia="zh-CN"/>
        </w:rPr>
      </w:pPr>
      <w:r>
        <w:rPr>
          <w:rFonts w:hint="eastAsia" w:ascii="宋体" w:hAnsi="宋体" w:eastAsia="宋体" w:cs="Times New Roman"/>
          <w:snapToGrid/>
          <w:color w:val="auto"/>
          <w:kern w:val="2"/>
          <w:sz w:val="24"/>
          <w:szCs w:val="20"/>
          <w:highlight w:val="none"/>
          <w:lang w:val="en-US" w:eastAsia="zh-CN"/>
        </w:rPr>
        <w:t>1、根据中华人民共和国住房和城乡建设部令第37号《危险性较大的分部分项工程安全管理规定》（以下简称“37号文”），投标人在投标时须补充完善危大工程清单并明确相应的安全管理措施。</w:t>
      </w:r>
    </w:p>
    <w:p w14:paraId="22D4CA0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Times New Roman"/>
          <w:snapToGrid/>
          <w:color w:val="auto"/>
          <w:kern w:val="2"/>
          <w:sz w:val="24"/>
          <w:szCs w:val="20"/>
          <w:highlight w:val="none"/>
          <w:lang w:val="en-US" w:eastAsia="zh-CN"/>
        </w:rPr>
      </w:pPr>
      <w:r>
        <w:rPr>
          <w:rFonts w:hint="eastAsia" w:ascii="宋体" w:hAnsi="宋体" w:eastAsia="宋体" w:cs="Times New Roman"/>
          <w:snapToGrid/>
          <w:color w:val="auto"/>
          <w:kern w:val="2"/>
          <w:sz w:val="24"/>
          <w:szCs w:val="20"/>
          <w:highlight w:val="none"/>
          <w:lang w:val="en-US" w:eastAsia="zh-CN"/>
        </w:rPr>
        <w:t>2、招标人根据设计文件的要求及37号文、粤建规范〔2019〕2号文的规定列出“危险性较大的分部分项工程清单及超过一定规模的危险性较大的分部分项工程清单”中与本招标项目相关的清单项，具体详见第5点“打”标识。</w:t>
      </w:r>
    </w:p>
    <w:p w14:paraId="2ECA95D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Times New Roman"/>
          <w:snapToGrid/>
          <w:color w:val="auto"/>
          <w:kern w:val="2"/>
          <w:sz w:val="24"/>
          <w:szCs w:val="20"/>
          <w:highlight w:val="none"/>
          <w:lang w:val="en-US" w:eastAsia="zh-CN"/>
        </w:rPr>
      </w:pPr>
      <w:r>
        <w:rPr>
          <w:rFonts w:hint="eastAsia" w:ascii="宋体" w:hAnsi="宋体" w:eastAsia="宋体" w:cs="Times New Roman"/>
          <w:snapToGrid/>
          <w:color w:val="auto"/>
          <w:kern w:val="2"/>
          <w:sz w:val="24"/>
          <w:szCs w:val="20"/>
          <w:highlight w:val="none"/>
          <w:lang w:val="en-US" w:eastAsia="zh-CN"/>
        </w:rPr>
        <w:t>（1）投标单位同意建设单位在清单中标识的该项请在对应项打“”标识，并与投标文件中提供相应的安全管理措施。</w:t>
      </w:r>
    </w:p>
    <w:p w14:paraId="472B507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Times New Roman"/>
          <w:snapToGrid/>
          <w:color w:val="auto"/>
          <w:kern w:val="2"/>
          <w:sz w:val="24"/>
          <w:szCs w:val="20"/>
          <w:highlight w:val="none"/>
          <w:lang w:val="en-US" w:eastAsia="zh-CN"/>
        </w:rPr>
      </w:pPr>
      <w:r>
        <w:rPr>
          <w:rFonts w:hint="eastAsia" w:ascii="宋体" w:hAnsi="宋体" w:eastAsia="宋体" w:cs="Times New Roman"/>
          <w:snapToGrid/>
          <w:color w:val="auto"/>
          <w:kern w:val="2"/>
          <w:sz w:val="24"/>
          <w:szCs w:val="20"/>
          <w:highlight w:val="none"/>
          <w:lang w:val="en-US" w:eastAsia="zh-CN"/>
        </w:rPr>
        <w:t>（2）投标单位对清单中认为需要补充的该项请在对应项打“”标识，并与投标文件中提供相应的安全管理措施。</w:t>
      </w:r>
    </w:p>
    <w:p w14:paraId="129D85C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Times New Roman"/>
          <w:snapToGrid/>
          <w:color w:val="auto"/>
          <w:kern w:val="2"/>
          <w:sz w:val="24"/>
          <w:szCs w:val="20"/>
          <w:highlight w:val="none"/>
          <w:lang w:val="en-US" w:eastAsia="zh-CN"/>
        </w:rPr>
      </w:pPr>
      <w:r>
        <w:rPr>
          <w:rFonts w:hint="eastAsia" w:ascii="宋体" w:hAnsi="宋体" w:eastAsia="宋体" w:cs="Times New Roman"/>
          <w:snapToGrid/>
          <w:color w:val="auto"/>
          <w:kern w:val="2"/>
          <w:sz w:val="24"/>
          <w:szCs w:val="20"/>
          <w:highlight w:val="none"/>
          <w:lang w:val="en-US" w:eastAsia="zh-CN"/>
        </w:rPr>
        <w:t>（3）投标单位不同意建设单位在清单中标识的该项请在对应项打“”标识，并在备注栏填上相关说明。</w:t>
      </w:r>
    </w:p>
    <w:p w14:paraId="59B4960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Times New Roman"/>
          <w:snapToGrid/>
          <w:color w:val="auto"/>
          <w:kern w:val="2"/>
          <w:sz w:val="24"/>
          <w:szCs w:val="20"/>
          <w:highlight w:val="none"/>
          <w:lang w:val="en-US" w:eastAsia="zh-CN"/>
        </w:rPr>
      </w:pPr>
      <w:r>
        <w:rPr>
          <w:rFonts w:hint="eastAsia" w:ascii="宋体" w:hAnsi="宋体" w:eastAsia="宋体" w:cs="Times New Roman"/>
          <w:snapToGrid/>
          <w:color w:val="auto"/>
          <w:kern w:val="2"/>
          <w:sz w:val="24"/>
          <w:szCs w:val="20"/>
          <w:highlight w:val="none"/>
          <w:lang w:val="en-US" w:eastAsia="zh-CN"/>
        </w:rPr>
        <w:t>3、投标单位应当在投标时根据招标人提供的下述第5点清单，在投标施工组织中回应建设单位提供的危大工程清单，补充相应的安全管理措施。（为减轻标书编制的工作量，投标单位回应的危大工程清单该部分的页数应控制在3页内）</w:t>
      </w:r>
    </w:p>
    <w:p w14:paraId="2C06BBA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Times New Roman"/>
          <w:snapToGrid/>
          <w:color w:val="auto"/>
          <w:kern w:val="2"/>
          <w:sz w:val="24"/>
          <w:szCs w:val="20"/>
          <w:highlight w:val="none"/>
          <w:lang w:val="en-US" w:eastAsia="zh-CN"/>
        </w:rPr>
      </w:pPr>
      <w:r>
        <w:rPr>
          <w:rFonts w:hint="eastAsia" w:ascii="宋体" w:hAnsi="宋体" w:eastAsia="宋体" w:cs="Times New Roman"/>
          <w:snapToGrid/>
          <w:color w:val="auto"/>
          <w:kern w:val="2"/>
          <w:sz w:val="24"/>
          <w:szCs w:val="20"/>
          <w:highlight w:val="none"/>
          <w:lang w:val="en-US" w:eastAsia="zh-CN"/>
        </w:rPr>
        <w:t>4、对于超过一定规模的危大工程，中标单位应当组织召开专家论证会对专项施工方案进行论证。实行施工总承包的，由施工总承包单位组织召开专家论证会。专家论证前专项施工方案应当通过施工总承包单位审核和总监理工程师审查。</w:t>
      </w:r>
    </w:p>
    <w:p w14:paraId="1B50C9C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Times New Roman"/>
          <w:snapToGrid/>
          <w:color w:val="auto"/>
          <w:kern w:val="2"/>
          <w:sz w:val="24"/>
          <w:szCs w:val="20"/>
          <w:highlight w:val="none"/>
          <w:lang w:val="en-US" w:eastAsia="zh-CN"/>
        </w:rPr>
      </w:pPr>
      <w:r>
        <w:rPr>
          <w:rFonts w:hint="eastAsia" w:ascii="宋体" w:hAnsi="宋体" w:eastAsia="宋体" w:cs="Times New Roman"/>
          <w:snapToGrid/>
          <w:color w:val="auto"/>
          <w:kern w:val="2"/>
          <w:sz w:val="24"/>
          <w:szCs w:val="20"/>
          <w:highlight w:val="none"/>
          <w:lang w:val="en-US" w:eastAsia="zh-CN"/>
        </w:rPr>
        <w:t>5、危险性较大的分部分项工程清单及超过一定规模的危险性较大的分部分项工程清单：</w:t>
      </w:r>
    </w:p>
    <w:tbl>
      <w:tblPr>
        <w:tblStyle w:val="23"/>
        <w:tblW w:w="0" w:type="auto"/>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0"/>
        <w:gridCol w:w="1329"/>
        <w:gridCol w:w="1318"/>
        <w:gridCol w:w="930"/>
      </w:tblGrid>
      <w:tr w14:paraId="7F787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blCellSpacing w:w="0" w:type="dxa"/>
          <w:jc w:val="center"/>
        </w:trPr>
        <w:tc>
          <w:tcPr>
            <w:tcW w:w="6200" w:type="dxa"/>
            <w:noWrap w:val="0"/>
            <w:vAlign w:val="center"/>
          </w:tcPr>
          <w:p w14:paraId="16FA90CB">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一、危险性较大的分部分项工程清单</w:t>
            </w:r>
          </w:p>
        </w:tc>
        <w:tc>
          <w:tcPr>
            <w:tcW w:w="1329" w:type="dxa"/>
            <w:noWrap w:val="0"/>
            <w:vAlign w:val="center"/>
          </w:tcPr>
          <w:p w14:paraId="68C0D2B2">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建设单位</w:t>
            </w:r>
          </w:p>
        </w:tc>
        <w:tc>
          <w:tcPr>
            <w:tcW w:w="1318" w:type="dxa"/>
            <w:noWrap w:val="0"/>
            <w:vAlign w:val="center"/>
          </w:tcPr>
          <w:p w14:paraId="5F19295D">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rPr>
              <w:t>投标单位</w:t>
            </w:r>
          </w:p>
        </w:tc>
        <w:tc>
          <w:tcPr>
            <w:tcW w:w="930" w:type="dxa"/>
            <w:noWrap w:val="0"/>
            <w:vAlign w:val="center"/>
          </w:tcPr>
          <w:p w14:paraId="6CDC4540">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423E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2FD37AC4">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一、基坑支护</w:t>
            </w:r>
          </w:p>
        </w:tc>
        <w:tc>
          <w:tcPr>
            <w:tcW w:w="1329" w:type="dxa"/>
            <w:noWrap w:val="0"/>
            <w:vAlign w:val="center"/>
          </w:tcPr>
          <w:p w14:paraId="5D1F10DE">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p>
        </w:tc>
        <w:tc>
          <w:tcPr>
            <w:tcW w:w="1318" w:type="dxa"/>
            <w:noWrap w:val="0"/>
            <w:vAlign w:val="center"/>
          </w:tcPr>
          <w:p w14:paraId="6100CFFD">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1783F8AE">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710C1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blCellSpacing w:w="0" w:type="dxa"/>
          <w:jc w:val="center"/>
        </w:trPr>
        <w:tc>
          <w:tcPr>
            <w:tcW w:w="6200" w:type="dxa"/>
            <w:noWrap w:val="0"/>
            <w:vAlign w:val="center"/>
          </w:tcPr>
          <w:p w14:paraId="052668FE">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（一）开挖深度超过3m（含3m）的基坑（槽）的土方开挖、支护、降水工程。</w:t>
            </w:r>
          </w:p>
        </w:tc>
        <w:tc>
          <w:tcPr>
            <w:tcW w:w="1329" w:type="dxa"/>
            <w:noWrap w:val="0"/>
            <w:vAlign w:val="center"/>
          </w:tcPr>
          <w:p w14:paraId="091110BE">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 xml:space="preserve">  )</w:t>
            </w:r>
          </w:p>
        </w:tc>
        <w:tc>
          <w:tcPr>
            <w:tcW w:w="1318" w:type="dxa"/>
            <w:noWrap w:val="0"/>
            <w:vAlign w:val="center"/>
          </w:tcPr>
          <w:p w14:paraId="115ED043">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13AF9121">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48D82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blCellSpacing w:w="0" w:type="dxa"/>
          <w:jc w:val="center"/>
        </w:trPr>
        <w:tc>
          <w:tcPr>
            <w:tcW w:w="6200" w:type="dxa"/>
            <w:noWrap w:val="0"/>
            <w:vAlign w:val="center"/>
          </w:tcPr>
          <w:p w14:paraId="7E3984F4">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（二）开挖深度虽未超过3m，但地质条件、周围环境和地下管线复杂，或影响毗邻建、构筑物安全的基坑（槽）的土方开挖、支护、降水工程。</w:t>
            </w:r>
          </w:p>
        </w:tc>
        <w:tc>
          <w:tcPr>
            <w:tcW w:w="1329" w:type="dxa"/>
            <w:noWrap w:val="0"/>
            <w:vAlign w:val="center"/>
          </w:tcPr>
          <w:p w14:paraId="15DFAA72">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16D8729D">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3C5A079C">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66867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42C4F902">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二、模板工程及支撑体系</w:t>
            </w:r>
          </w:p>
        </w:tc>
        <w:tc>
          <w:tcPr>
            <w:tcW w:w="1329" w:type="dxa"/>
            <w:noWrap w:val="0"/>
            <w:vAlign w:val="center"/>
          </w:tcPr>
          <w:p w14:paraId="60BD0966">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474205CF">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660F12B5">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3A85F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blCellSpacing w:w="0" w:type="dxa"/>
          <w:jc w:val="center"/>
        </w:trPr>
        <w:tc>
          <w:tcPr>
            <w:tcW w:w="6200" w:type="dxa"/>
            <w:noWrap w:val="0"/>
            <w:vAlign w:val="center"/>
          </w:tcPr>
          <w:p w14:paraId="64A5BAEF">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（一）各类工具式模板工程：包括滑模、爬模、飞模、隧道模等工程。</w:t>
            </w:r>
          </w:p>
        </w:tc>
        <w:tc>
          <w:tcPr>
            <w:tcW w:w="1329" w:type="dxa"/>
            <w:noWrap w:val="0"/>
            <w:vAlign w:val="center"/>
          </w:tcPr>
          <w:p w14:paraId="3BD35BF4">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10416BAF">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262EF9E2">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2FFB8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blCellSpacing w:w="0" w:type="dxa"/>
          <w:jc w:val="center"/>
        </w:trPr>
        <w:tc>
          <w:tcPr>
            <w:tcW w:w="6200" w:type="dxa"/>
            <w:noWrap w:val="0"/>
            <w:vAlign w:val="center"/>
          </w:tcPr>
          <w:p w14:paraId="75B62A8D">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混凝土模板支撑工程：搭设高度5m及以上，或搭设跨度10m及以上，或施工总荷载（荷载效应基本组合的设计值，以下简称设计值）10kN/m2及以上，或集中线荷载（设计值）15kN/m及以上，或高度大于支撑水平投影宽度且相对独立无联系构件的混凝土模板支撑工程。</w:t>
            </w:r>
          </w:p>
        </w:tc>
        <w:tc>
          <w:tcPr>
            <w:tcW w:w="1329" w:type="dxa"/>
            <w:noWrap w:val="0"/>
            <w:vAlign w:val="center"/>
          </w:tcPr>
          <w:p w14:paraId="3D476259">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5D08AD7B">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2D9859F7">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40048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blCellSpacing w:w="0" w:type="dxa"/>
          <w:jc w:val="center"/>
        </w:trPr>
        <w:tc>
          <w:tcPr>
            <w:tcW w:w="6200" w:type="dxa"/>
            <w:noWrap w:val="0"/>
            <w:vAlign w:val="center"/>
          </w:tcPr>
          <w:p w14:paraId="1208608D">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（三）承重支撑体系：用于钢结构安装等满堂支撑体系。</w:t>
            </w:r>
          </w:p>
        </w:tc>
        <w:tc>
          <w:tcPr>
            <w:tcW w:w="1329" w:type="dxa"/>
            <w:noWrap w:val="0"/>
            <w:vAlign w:val="center"/>
          </w:tcPr>
          <w:p w14:paraId="610CFFF3">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4A8D3B40">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0AD17362">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173A2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0AD451F5">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三、起重吊装及起重机械安装拆卸工程</w:t>
            </w:r>
          </w:p>
        </w:tc>
        <w:tc>
          <w:tcPr>
            <w:tcW w:w="1329" w:type="dxa"/>
            <w:noWrap w:val="0"/>
            <w:vAlign w:val="center"/>
          </w:tcPr>
          <w:p w14:paraId="269426CC">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2F66793E">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5C985E84">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3A591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blCellSpacing w:w="0" w:type="dxa"/>
          <w:jc w:val="center"/>
        </w:trPr>
        <w:tc>
          <w:tcPr>
            <w:tcW w:w="6200" w:type="dxa"/>
            <w:noWrap w:val="0"/>
            <w:vAlign w:val="center"/>
          </w:tcPr>
          <w:p w14:paraId="7738384D">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（一）采用非常规起重设备、方法，且单件起吊重量在 10kN 及以上的起重吊装工程。</w:t>
            </w:r>
          </w:p>
        </w:tc>
        <w:tc>
          <w:tcPr>
            <w:tcW w:w="1329" w:type="dxa"/>
            <w:noWrap w:val="0"/>
            <w:vAlign w:val="center"/>
          </w:tcPr>
          <w:p w14:paraId="36AE7D74">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4EA221AD">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642C62C0">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56115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2F0D78B7">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（二）采用起重机械进行安装的工程。</w:t>
            </w:r>
          </w:p>
        </w:tc>
        <w:tc>
          <w:tcPr>
            <w:tcW w:w="1329" w:type="dxa"/>
            <w:noWrap w:val="0"/>
            <w:vAlign w:val="center"/>
          </w:tcPr>
          <w:p w14:paraId="01B7312B">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435D734D">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0640109E">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018D0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64902C1A">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（三）起重机械安装和拆卸工程。</w:t>
            </w:r>
          </w:p>
        </w:tc>
        <w:tc>
          <w:tcPr>
            <w:tcW w:w="1329" w:type="dxa"/>
            <w:noWrap w:val="0"/>
            <w:vAlign w:val="center"/>
          </w:tcPr>
          <w:p w14:paraId="4C566118">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1CF12802">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421AA5F1">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5D512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0075B01B">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四、脚手架工程</w:t>
            </w:r>
          </w:p>
        </w:tc>
        <w:tc>
          <w:tcPr>
            <w:tcW w:w="1329" w:type="dxa"/>
            <w:noWrap w:val="0"/>
            <w:vAlign w:val="center"/>
          </w:tcPr>
          <w:p w14:paraId="79303779">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50B5AD16">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5DF4A64F">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62B71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blCellSpacing w:w="0" w:type="dxa"/>
          <w:jc w:val="center"/>
        </w:trPr>
        <w:tc>
          <w:tcPr>
            <w:tcW w:w="6200" w:type="dxa"/>
            <w:noWrap w:val="0"/>
            <w:vAlign w:val="center"/>
          </w:tcPr>
          <w:p w14:paraId="6C6A3FD9">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（一）搭设高度24m及以上的落地式钢管脚手架工程（包括采光井、电梯井脚手架）。</w:t>
            </w:r>
          </w:p>
        </w:tc>
        <w:tc>
          <w:tcPr>
            <w:tcW w:w="1329" w:type="dxa"/>
            <w:noWrap w:val="0"/>
            <w:vAlign w:val="center"/>
          </w:tcPr>
          <w:p w14:paraId="1BC216D4">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w:t>
            </w:r>
          </w:p>
        </w:tc>
        <w:tc>
          <w:tcPr>
            <w:tcW w:w="1318" w:type="dxa"/>
            <w:noWrap w:val="0"/>
            <w:vAlign w:val="center"/>
          </w:tcPr>
          <w:p w14:paraId="0C80F82D">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32D77AE4">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6BB7F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6A876626">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（二）附着式升降脚手架工程。</w:t>
            </w:r>
          </w:p>
        </w:tc>
        <w:tc>
          <w:tcPr>
            <w:tcW w:w="1329" w:type="dxa"/>
            <w:noWrap w:val="0"/>
            <w:vAlign w:val="center"/>
          </w:tcPr>
          <w:p w14:paraId="78D9167D">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2C4CE90A">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76503B26">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1F7D9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3CD51621">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（三）悬挑式脚手架工程。</w:t>
            </w:r>
          </w:p>
        </w:tc>
        <w:tc>
          <w:tcPr>
            <w:tcW w:w="1329" w:type="dxa"/>
            <w:noWrap w:val="0"/>
            <w:vAlign w:val="center"/>
          </w:tcPr>
          <w:p w14:paraId="0CA56CFF">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37D78A18">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208BEFDA">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281B8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40108A6F">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（四）高处作业吊篮。</w:t>
            </w:r>
          </w:p>
        </w:tc>
        <w:tc>
          <w:tcPr>
            <w:tcW w:w="1329" w:type="dxa"/>
            <w:noWrap w:val="0"/>
            <w:vAlign w:val="center"/>
          </w:tcPr>
          <w:p w14:paraId="080DC5EE">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72A39672">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1BBAD1CE">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3786D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4D155421">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（五）卸料平台、操作平台工程。</w:t>
            </w:r>
          </w:p>
        </w:tc>
        <w:tc>
          <w:tcPr>
            <w:tcW w:w="1329" w:type="dxa"/>
            <w:noWrap w:val="0"/>
            <w:vAlign w:val="center"/>
          </w:tcPr>
          <w:p w14:paraId="3CAFAADD">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7283F9ED">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7EFC0CFB">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143FF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2B3CD79D">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（六）异型脚手架工程。</w:t>
            </w:r>
          </w:p>
        </w:tc>
        <w:tc>
          <w:tcPr>
            <w:tcW w:w="1329" w:type="dxa"/>
            <w:noWrap w:val="0"/>
            <w:vAlign w:val="center"/>
          </w:tcPr>
          <w:p w14:paraId="155AB334">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3DA5CFEB">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6D4A3E1C">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5F4A5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67F90332">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五、拆除工程</w:t>
            </w:r>
          </w:p>
        </w:tc>
        <w:tc>
          <w:tcPr>
            <w:tcW w:w="1329" w:type="dxa"/>
            <w:noWrap w:val="0"/>
            <w:vAlign w:val="center"/>
          </w:tcPr>
          <w:p w14:paraId="5C7D3FF6">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616EA2D3">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649A9881">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7B6DF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blCellSpacing w:w="0" w:type="dxa"/>
          <w:jc w:val="center"/>
        </w:trPr>
        <w:tc>
          <w:tcPr>
            <w:tcW w:w="6200" w:type="dxa"/>
            <w:noWrap w:val="0"/>
            <w:vAlign w:val="center"/>
          </w:tcPr>
          <w:p w14:paraId="6ABD3A6C">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可能影响行人、交通、电力设施、通讯设施或其它建、构筑物安全的拆除工程。</w:t>
            </w:r>
          </w:p>
        </w:tc>
        <w:tc>
          <w:tcPr>
            <w:tcW w:w="1329" w:type="dxa"/>
            <w:noWrap w:val="0"/>
            <w:vAlign w:val="center"/>
          </w:tcPr>
          <w:p w14:paraId="1FB7380A">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375ABA34">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311D8D20">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0427C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2E7D40DC">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六、暗挖工程</w:t>
            </w:r>
          </w:p>
        </w:tc>
        <w:tc>
          <w:tcPr>
            <w:tcW w:w="1329" w:type="dxa"/>
            <w:noWrap w:val="0"/>
            <w:vAlign w:val="center"/>
          </w:tcPr>
          <w:p w14:paraId="18830009">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1918EB54">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07922B2C">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65EE3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423D45C7">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采用矿山法、盾构法、顶管法施工的隧道、洞室工程。</w:t>
            </w:r>
          </w:p>
        </w:tc>
        <w:tc>
          <w:tcPr>
            <w:tcW w:w="1329" w:type="dxa"/>
            <w:noWrap w:val="0"/>
            <w:vAlign w:val="center"/>
          </w:tcPr>
          <w:p w14:paraId="058F666D">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005EE46E">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14B8A26B">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4E898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295A9F4E">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七、其它</w:t>
            </w:r>
          </w:p>
        </w:tc>
        <w:tc>
          <w:tcPr>
            <w:tcW w:w="1329" w:type="dxa"/>
            <w:noWrap w:val="0"/>
            <w:vAlign w:val="center"/>
          </w:tcPr>
          <w:p w14:paraId="1ABE12A0">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01C6FA2C">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2B11ECD6">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4429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07FF940C">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（一）建筑幕墙安装工程。</w:t>
            </w:r>
          </w:p>
        </w:tc>
        <w:tc>
          <w:tcPr>
            <w:tcW w:w="1329" w:type="dxa"/>
            <w:noWrap w:val="0"/>
            <w:vAlign w:val="center"/>
          </w:tcPr>
          <w:p w14:paraId="22140E8B">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0B069DC3">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75B41013">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27813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0B14331F">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（二）钢结构、网架和索膜结构安装工程。</w:t>
            </w:r>
          </w:p>
        </w:tc>
        <w:tc>
          <w:tcPr>
            <w:tcW w:w="1329" w:type="dxa"/>
            <w:noWrap w:val="0"/>
            <w:vAlign w:val="center"/>
          </w:tcPr>
          <w:p w14:paraId="7EBAF78B">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50EB6DAB">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07824C09">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28FD1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03EA10DD">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（三）人工挖孔桩工程。</w:t>
            </w:r>
          </w:p>
        </w:tc>
        <w:tc>
          <w:tcPr>
            <w:tcW w:w="1329" w:type="dxa"/>
            <w:noWrap w:val="0"/>
            <w:vAlign w:val="center"/>
          </w:tcPr>
          <w:p w14:paraId="7C44F3AE">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74F30F94">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3810F6DF">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4966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6AAF105A">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（四）水下作业工程。</w:t>
            </w:r>
          </w:p>
        </w:tc>
        <w:tc>
          <w:tcPr>
            <w:tcW w:w="1329" w:type="dxa"/>
            <w:noWrap w:val="0"/>
            <w:vAlign w:val="center"/>
          </w:tcPr>
          <w:p w14:paraId="1584BCF4">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4D926D16">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01AFBECC">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5DE40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052ABA58">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（五）装配式建筑混凝土预制构件安装工程。</w:t>
            </w:r>
          </w:p>
        </w:tc>
        <w:tc>
          <w:tcPr>
            <w:tcW w:w="1329" w:type="dxa"/>
            <w:noWrap w:val="0"/>
            <w:vAlign w:val="center"/>
          </w:tcPr>
          <w:p w14:paraId="3530891E">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26CB5E46">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606C2AE9">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77526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blCellSpacing w:w="0" w:type="dxa"/>
          <w:jc w:val="center"/>
        </w:trPr>
        <w:tc>
          <w:tcPr>
            <w:tcW w:w="6200" w:type="dxa"/>
            <w:noWrap w:val="0"/>
            <w:vAlign w:val="center"/>
          </w:tcPr>
          <w:p w14:paraId="56A47986">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（六）采用新技术、新工艺、新材料、新设备可能影响工程施工安全，尚无国家、行业及地方技术标准的分部分项工程。</w:t>
            </w:r>
          </w:p>
        </w:tc>
        <w:tc>
          <w:tcPr>
            <w:tcW w:w="1329" w:type="dxa"/>
            <w:noWrap w:val="0"/>
            <w:vAlign w:val="center"/>
          </w:tcPr>
          <w:p w14:paraId="3F97C0E5">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76515E16">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7E44F43D">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28515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75814597">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二、超过一定规模的危险性较大的分部分项工程清单</w:t>
            </w:r>
          </w:p>
        </w:tc>
        <w:tc>
          <w:tcPr>
            <w:tcW w:w="1329" w:type="dxa"/>
            <w:noWrap w:val="0"/>
            <w:vAlign w:val="center"/>
          </w:tcPr>
          <w:p w14:paraId="6CE2D4FE">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建设单位</w:t>
            </w:r>
          </w:p>
        </w:tc>
        <w:tc>
          <w:tcPr>
            <w:tcW w:w="1318" w:type="dxa"/>
            <w:noWrap w:val="0"/>
            <w:vAlign w:val="center"/>
          </w:tcPr>
          <w:p w14:paraId="3C8930E7">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rPr>
              <w:t>投标单位</w:t>
            </w:r>
          </w:p>
        </w:tc>
        <w:tc>
          <w:tcPr>
            <w:tcW w:w="930" w:type="dxa"/>
            <w:noWrap w:val="0"/>
            <w:vAlign w:val="center"/>
          </w:tcPr>
          <w:p w14:paraId="0A40170C">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38530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31509CC6">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一、深基坑工程</w:t>
            </w:r>
          </w:p>
        </w:tc>
        <w:tc>
          <w:tcPr>
            <w:tcW w:w="1329" w:type="dxa"/>
            <w:noWrap w:val="0"/>
            <w:vAlign w:val="center"/>
          </w:tcPr>
          <w:p w14:paraId="17B77E3C">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7B653170">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469AFB4E">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52933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blCellSpacing w:w="0" w:type="dxa"/>
          <w:jc w:val="center"/>
        </w:trPr>
        <w:tc>
          <w:tcPr>
            <w:tcW w:w="6200" w:type="dxa"/>
            <w:noWrap w:val="0"/>
            <w:vAlign w:val="center"/>
          </w:tcPr>
          <w:p w14:paraId="2E8E4CBF">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开挖深度超过5m（含5m）的基坑（槽）的土方开挖、支护、降水工程。</w:t>
            </w:r>
          </w:p>
        </w:tc>
        <w:tc>
          <w:tcPr>
            <w:tcW w:w="1329" w:type="dxa"/>
            <w:noWrap w:val="0"/>
            <w:vAlign w:val="center"/>
          </w:tcPr>
          <w:p w14:paraId="77C253BA">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409A4697">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3847112A">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068E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blCellSpacing w:w="0" w:type="dxa"/>
          <w:jc w:val="center"/>
        </w:trPr>
        <w:tc>
          <w:tcPr>
            <w:tcW w:w="6200" w:type="dxa"/>
            <w:noWrap w:val="0"/>
            <w:vAlign w:val="center"/>
          </w:tcPr>
          <w:p w14:paraId="6C3FD105">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二、模板工程及支撑体系</w:t>
            </w:r>
          </w:p>
        </w:tc>
        <w:tc>
          <w:tcPr>
            <w:tcW w:w="1329" w:type="dxa"/>
            <w:noWrap w:val="0"/>
            <w:vAlign w:val="center"/>
          </w:tcPr>
          <w:p w14:paraId="067F977C">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43C0195F">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302B74D3">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7788E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blCellSpacing w:w="0" w:type="dxa"/>
          <w:jc w:val="center"/>
        </w:trPr>
        <w:tc>
          <w:tcPr>
            <w:tcW w:w="6200" w:type="dxa"/>
            <w:noWrap w:val="0"/>
            <w:vAlign w:val="center"/>
          </w:tcPr>
          <w:p w14:paraId="0B3063D8">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（一）各类工具式模板工程：包括滑模、爬模、飞模、隧道模等工程。</w:t>
            </w:r>
          </w:p>
        </w:tc>
        <w:tc>
          <w:tcPr>
            <w:tcW w:w="1329" w:type="dxa"/>
            <w:noWrap w:val="0"/>
            <w:vAlign w:val="center"/>
          </w:tcPr>
          <w:p w14:paraId="6CC74353">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1763436D">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5BB08038">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1529B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blCellSpacing w:w="0" w:type="dxa"/>
          <w:jc w:val="center"/>
        </w:trPr>
        <w:tc>
          <w:tcPr>
            <w:tcW w:w="6200" w:type="dxa"/>
            <w:noWrap w:val="0"/>
            <w:vAlign w:val="center"/>
          </w:tcPr>
          <w:p w14:paraId="58ECFCCA">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（二）混凝土模板支撑工程：搭设高度8m及以上，或搭设跨度18m及以上，或施工总荷载（设计值）15kN/m2及以上，或集中线荷载（设计值）20kN/m及以上。</w:t>
            </w:r>
          </w:p>
        </w:tc>
        <w:tc>
          <w:tcPr>
            <w:tcW w:w="1329" w:type="dxa"/>
            <w:noWrap w:val="0"/>
            <w:vAlign w:val="center"/>
          </w:tcPr>
          <w:p w14:paraId="2519686E">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120E7A89">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79C7DFFB">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1E19C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blCellSpacing w:w="0" w:type="dxa"/>
          <w:jc w:val="center"/>
        </w:trPr>
        <w:tc>
          <w:tcPr>
            <w:tcW w:w="6200" w:type="dxa"/>
            <w:noWrap w:val="0"/>
            <w:vAlign w:val="center"/>
          </w:tcPr>
          <w:p w14:paraId="57EE4391">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（三）承重支撑体系：用于钢结构安装等满堂支撑体系，承受单点集中荷载7kN及以上。</w:t>
            </w:r>
          </w:p>
        </w:tc>
        <w:tc>
          <w:tcPr>
            <w:tcW w:w="1329" w:type="dxa"/>
            <w:noWrap w:val="0"/>
            <w:vAlign w:val="center"/>
          </w:tcPr>
          <w:p w14:paraId="4D6CE149">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060938AB">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1E30831D">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53DE8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650F1790">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三、起重吊装及起重机械安装拆卸工程</w:t>
            </w:r>
          </w:p>
        </w:tc>
        <w:tc>
          <w:tcPr>
            <w:tcW w:w="1329" w:type="dxa"/>
            <w:noWrap w:val="0"/>
            <w:vAlign w:val="center"/>
          </w:tcPr>
          <w:p w14:paraId="72B431EB">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321033F2">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70FDA65A">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74F8F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CellSpacing w:w="0" w:type="dxa"/>
          <w:jc w:val="center"/>
        </w:trPr>
        <w:tc>
          <w:tcPr>
            <w:tcW w:w="6200" w:type="dxa"/>
            <w:noWrap w:val="0"/>
            <w:vAlign w:val="center"/>
          </w:tcPr>
          <w:p w14:paraId="0D95E3F6">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（一）采用非常规起重设备、方法，且单件起吊重量在 100kN及以上的起重吊装工程。</w:t>
            </w:r>
          </w:p>
        </w:tc>
        <w:tc>
          <w:tcPr>
            <w:tcW w:w="1329" w:type="dxa"/>
            <w:noWrap w:val="0"/>
            <w:vAlign w:val="center"/>
          </w:tcPr>
          <w:p w14:paraId="4FE097E2">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0C344B75">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22CA33B0">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50EB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blCellSpacing w:w="0" w:type="dxa"/>
          <w:jc w:val="center"/>
        </w:trPr>
        <w:tc>
          <w:tcPr>
            <w:tcW w:w="6200" w:type="dxa"/>
            <w:noWrap w:val="0"/>
            <w:vAlign w:val="center"/>
          </w:tcPr>
          <w:p w14:paraId="756B36B1">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（二）起重量300kN及以上，或搭设总高度200m及以上，或搭设基础标高在200m及以上的起重机械安装和拆卸工程。</w:t>
            </w:r>
          </w:p>
        </w:tc>
        <w:tc>
          <w:tcPr>
            <w:tcW w:w="1329" w:type="dxa"/>
            <w:noWrap w:val="0"/>
            <w:vAlign w:val="center"/>
          </w:tcPr>
          <w:p w14:paraId="33B625CA">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668D77B0">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65B33025">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513DD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62068F89">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四、脚手架工程</w:t>
            </w:r>
          </w:p>
        </w:tc>
        <w:tc>
          <w:tcPr>
            <w:tcW w:w="1329" w:type="dxa"/>
            <w:noWrap w:val="0"/>
            <w:vAlign w:val="center"/>
          </w:tcPr>
          <w:p w14:paraId="64FF5802">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6FD5283D">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0F308429">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2EE4D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3CAA9B30">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（一）搭设高度 50m 及以上的落地式钢管脚手架工程。</w:t>
            </w:r>
          </w:p>
        </w:tc>
        <w:tc>
          <w:tcPr>
            <w:tcW w:w="1329" w:type="dxa"/>
            <w:noWrap w:val="0"/>
            <w:vAlign w:val="center"/>
          </w:tcPr>
          <w:p w14:paraId="002466D5">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52000A5F">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714E61FA">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5FB80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blCellSpacing w:w="0" w:type="dxa"/>
          <w:jc w:val="center"/>
        </w:trPr>
        <w:tc>
          <w:tcPr>
            <w:tcW w:w="6200" w:type="dxa"/>
            <w:noWrap w:val="0"/>
            <w:vAlign w:val="center"/>
          </w:tcPr>
          <w:p w14:paraId="7141E55B">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（二）提升高度在 150m 及以上的附着式升降脚手架工程或附着式升降操作平台工程。</w:t>
            </w:r>
          </w:p>
        </w:tc>
        <w:tc>
          <w:tcPr>
            <w:tcW w:w="1329" w:type="dxa"/>
            <w:noWrap w:val="0"/>
            <w:vAlign w:val="center"/>
          </w:tcPr>
          <w:p w14:paraId="7E01647A">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52E3D86E">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4FB3046B">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7F0CA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blCellSpacing w:w="0" w:type="dxa"/>
          <w:jc w:val="center"/>
        </w:trPr>
        <w:tc>
          <w:tcPr>
            <w:tcW w:w="6200" w:type="dxa"/>
            <w:noWrap w:val="0"/>
            <w:vAlign w:val="center"/>
          </w:tcPr>
          <w:p w14:paraId="2F9C0B17">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（三）分段架体搭设高度 20m 及以上的悬挑式脚手架工程。</w:t>
            </w:r>
          </w:p>
        </w:tc>
        <w:tc>
          <w:tcPr>
            <w:tcW w:w="1329" w:type="dxa"/>
            <w:noWrap w:val="0"/>
            <w:vAlign w:val="center"/>
          </w:tcPr>
          <w:p w14:paraId="264D6C2D">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4A3CC07E">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27543042">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2A860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3E6DE1F2">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五、拆除工程</w:t>
            </w:r>
          </w:p>
        </w:tc>
        <w:tc>
          <w:tcPr>
            <w:tcW w:w="1329" w:type="dxa"/>
            <w:noWrap w:val="0"/>
            <w:vAlign w:val="center"/>
          </w:tcPr>
          <w:p w14:paraId="56BF6928">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36DD8C64">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5D21821E">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066D0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blCellSpacing w:w="0" w:type="dxa"/>
          <w:jc w:val="center"/>
        </w:trPr>
        <w:tc>
          <w:tcPr>
            <w:tcW w:w="6200" w:type="dxa"/>
            <w:noWrap w:val="0"/>
            <w:vAlign w:val="center"/>
          </w:tcPr>
          <w:p w14:paraId="70A7DAA1">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（一）码头、桥梁、高架、烟囱、水塔或拆除中容易引起有毒有害气（液）体或粉尘扩散、易燃易爆事故发生的特殊建、构筑物的拆除工程。</w:t>
            </w:r>
          </w:p>
        </w:tc>
        <w:tc>
          <w:tcPr>
            <w:tcW w:w="1329" w:type="dxa"/>
            <w:noWrap w:val="0"/>
            <w:vAlign w:val="center"/>
          </w:tcPr>
          <w:p w14:paraId="0452CDF9">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34837CF1">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517D2C28">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6FC18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blCellSpacing w:w="0" w:type="dxa"/>
          <w:jc w:val="center"/>
        </w:trPr>
        <w:tc>
          <w:tcPr>
            <w:tcW w:w="6200" w:type="dxa"/>
            <w:noWrap w:val="0"/>
            <w:vAlign w:val="center"/>
          </w:tcPr>
          <w:p w14:paraId="192E7847">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（二）文物保护建筑、优秀历史建筑或历史文化风貌区影响范围内的拆除工程。</w:t>
            </w:r>
          </w:p>
        </w:tc>
        <w:tc>
          <w:tcPr>
            <w:tcW w:w="1329" w:type="dxa"/>
            <w:noWrap w:val="0"/>
            <w:vAlign w:val="center"/>
          </w:tcPr>
          <w:p w14:paraId="31D830E0">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25BFB743">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14938460">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61724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1133688C">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六、暗挖工程</w:t>
            </w:r>
          </w:p>
        </w:tc>
        <w:tc>
          <w:tcPr>
            <w:tcW w:w="1329" w:type="dxa"/>
            <w:noWrap w:val="0"/>
            <w:vAlign w:val="center"/>
          </w:tcPr>
          <w:p w14:paraId="4C35318B">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5D2B1128">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3DB483D0">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2EB7B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3393FCCE">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采用矿山法、盾构法、顶管法施工的隧道、洞室工程。</w:t>
            </w:r>
          </w:p>
        </w:tc>
        <w:tc>
          <w:tcPr>
            <w:tcW w:w="1329" w:type="dxa"/>
            <w:noWrap w:val="0"/>
            <w:vAlign w:val="center"/>
          </w:tcPr>
          <w:p w14:paraId="5271AADC">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3CC7B8B4">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26E66786">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3F972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506CE8EE">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七、其它</w:t>
            </w:r>
          </w:p>
        </w:tc>
        <w:tc>
          <w:tcPr>
            <w:tcW w:w="1329" w:type="dxa"/>
            <w:noWrap w:val="0"/>
            <w:vAlign w:val="center"/>
          </w:tcPr>
          <w:p w14:paraId="2F572646">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603011F2">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7C0B338B">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452A8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57DC40BB">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（一）施工高度 50m 及以上的建筑幕墙安装工程。</w:t>
            </w:r>
          </w:p>
        </w:tc>
        <w:tc>
          <w:tcPr>
            <w:tcW w:w="1329" w:type="dxa"/>
            <w:noWrap w:val="0"/>
            <w:vAlign w:val="center"/>
          </w:tcPr>
          <w:p w14:paraId="761D0AF2">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2BD28AF6">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1EBA9961">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664D1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blCellSpacing w:w="0" w:type="dxa"/>
          <w:jc w:val="center"/>
        </w:trPr>
        <w:tc>
          <w:tcPr>
            <w:tcW w:w="6200" w:type="dxa"/>
            <w:noWrap w:val="0"/>
            <w:vAlign w:val="center"/>
          </w:tcPr>
          <w:p w14:paraId="01363BAC">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（二）跨度 36m 及以上的钢结构安装工程，或跨度 60m 及以上的网架和索膜结构安装工程。</w:t>
            </w:r>
          </w:p>
        </w:tc>
        <w:tc>
          <w:tcPr>
            <w:tcW w:w="1329" w:type="dxa"/>
            <w:noWrap w:val="0"/>
            <w:vAlign w:val="center"/>
          </w:tcPr>
          <w:p w14:paraId="220DEC7B">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5745FBB7">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3EE87610">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1011E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7C474299">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（三）开挖深度 16m 及以上的人工挖孔桩工程。</w:t>
            </w:r>
          </w:p>
        </w:tc>
        <w:tc>
          <w:tcPr>
            <w:tcW w:w="1329" w:type="dxa"/>
            <w:noWrap w:val="0"/>
            <w:vAlign w:val="center"/>
          </w:tcPr>
          <w:p w14:paraId="57CFB0C1">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1E1485E6">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059654C2">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6F07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CellSpacing w:w="0" w:type="dxa"/>
          <w:jc w:val="center"/>
        </w:trPr>
        <w:tc>
          <w:tcPr>
            <w:tcW w:w="6200" w:type="dxa"/>
            <w:noWrap w:val="0"/>
            <w:vAlign w:val="center"/>
          </w:tcPr>
          <w:p w14:paraId="043B4613">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（四）水下作业工程。</w:t>
            </w:r>
          </w:p>
        </w:tc>
        <w:tc>
          <w:tcPr>
            <w:tcW w:w="1329" w:type="dxa"/>
            <w:noWrap w:val="0"/>
            <w:vAlign w:val="center"/>
          </w:tcPr>
          <w:p w14:paraId="46ED632E">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5FA07D5A">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757FEDF3">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4562E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blCellSpacing w:w="0" w:type="dxa"/>
          <w:jc w:val="center"/>
        </w:trPr>
        <w:tc>
          <w:tcPr>
            <w:tcW w:w="6200" w:type="dxa"/>
            <w:noWrap w:val="0"/>
            <w:vAlign w:val="center"/>
          </w:tcPr>
          <w:p w14:paraId="43AAFF0F">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（五）重量1000kN及以上的大型结构整体顶升、平移、转体等施工工艺。</w:t>
            </w:r>
          </w:p>
        </w:tc>
        <w:tc>
          <w:tcPr>
            <w:tcW w:w="1329" w:type="dxa"/>
            <w:noWrap w:val="0"/>
            <w:vAlign w:val="center"/>
          </w:tcPr>
          <w:p w14:paraId="622576B0">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27927034">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06434D31">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r w14:paraId="41D6C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blCellSpacing w:w="0" w:type="dxa"/>
          <w:jc w:val="center"/>
        </w:trPr>
        <w:tc>
          <w:tcPr>
            <w:tcW w:w="6200" w:type="dxa"/>
            <w:noWrap w:val="0"/>
            <w:vAlign w:val="center"/>
          </w:tcPr>
          <w:p w14:paraId="540C9991">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（六）采用新技术、新工艺、新材料、新设备可能影响工程施工安全，尚无国家、行业及地方技术标准的分部分项工程。</w:t>
            </w:r>
          </w:p>
        </w:tc>
        <w:tc>
          <w:tcPr>
            <w:tcW w:w="1329" w:type="dxa"/>
            <w:noWrap w:val="0"/>
            <w:vAlign w:val="center"/>
          </w:tcPr>
          <w:p w14:paraId="396D1B15">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318" w:type="dxa"/>
            <w:noWrap w:val="0"/>
            <w:vAlign w:val="center"/>
          </w:tcPr>
          <w:p w14:paraId="3D0053CA">
            <w:pPr>
              <w:keepNext w:val="0"/>
              <w:keepLines w:val="0"/>
              <w:pageBreakBefore w:val="0"/>
              <w:widowControl/>
              <w:kinsoku w:val="0"/>
              <w:wordWrap/>
              <w:overflowPunct/>
              <w:topLinePunct w:val="0"/>
              <w:autoSpaceDE w:val="0"/>
              <w:autoSpaceDN w:val="0"/>
              <w:bidi w:val="0"/>
              <w:adjustRightInd w:val="0"/>
              <w:snapToGrid/>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930" w:type="dxa"/>
            <w:noWrap w:val="0"/>
            <w:vAlign w:val="center"/>
          </w:tcPr>
          <w:p w14:paraId="7E29FEC4">
            <w:pPr>
              <w:keepNext w:val="0"/>
              <w:keepLines w:val="0"/>
              <w:pageBreakBefore w:val="0"/>
              <w:widowControl/>
              <w:kinsoku w:val="0"/>
              <w:wordWrap/>
              <w:overflowPunct/>
              <w:topLinePunct w:val="0"/>
              <w:autoSpaceDE w:val="0"/>
              <w:autoSpaceDN w:val="0"/>
              <w:bidi w:val="0"/>
              <w:adjustRightInd w:val="0"/>
              <w:snapToGrid/>
              <w:spacing w:line="240" w:lineRule="auto"/>
              <w:textAlignment w:val="baseline"/>
              <w:rPr>
                <w:rFonts w:hint="eastAsia" w:ascii="宋体" w:hAnsi="宋体" w:eastAsia="宋体" w:cs="宋体"/>
                <w:color w:val="auto"/>
                <w:sz w:val="24"/>
                <w:szCs w:val="24"/>
                <w:highlight w:val="none"/>
              </w:rPr>
            </w:pPr>
          </w:p>
        </w:tc>
      </w:tr>
    </w:tbl>
    <w:p w14:paraId="6C38C6A9">
      <w:pPr>
        <w:rPr>
          <w:rFonts w:hint="eastAsia"/>
          <w:strike/>
          <w:dstrike w:val="0"/>
          <w:color w:val="auto"/>
          <w:highlight w:val="none"/>
        </w:rPr>
      </w:pPr>
    </w:p>
    <w:p w14:paraId="4D22C2C9">
      <w:pPr>
        <w:rPr>
          <w:rFonts w:hint="eastAsia"/>
          <w:strike/>
          <w:dstrike w:val="0"/>
          <w:color w:val="auto"/>
          <w:highlight w:val="none"/>
          <w:lang w:val="en-US" w:eastAsia="zh-CN"/>
        </w:rPr>
      </w:pPr>
    </w:p>
    <w:p w14:paraId="6D2A372E">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备注：1.根据《危险性较大的分部分项工程安全管理规定》，该《危险性较大的分部分项工程清单及超过一定规模的危险性较大的分部分项工程清单》应由建设单位 组织勘1察、设计等单位在招标文件中先行“勾选（对应项打“”标识）”危险性较大的分部分项工程。</w:t>
      </w:r>
    </w:p>
    <w:p w14:paraId="66B27533">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该《危险性较大的分部分项工程清单及超过一定规模的危险性较大的分部分项工程清单》在办理建设项目施工许可时必须提供，且各地建设行政主管部门可按照《广东省建设工程项目招标中标后监督检查办法》相关规定开展检查。</w:t>
      </w:r>
    </w:p>
    <w:p w14:paraId="1C54692D">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2.如果需要（如需要通过计算编制专项方案，或者需要专家论证），可中标后提供详细版。</w:t>
      </w:r>
    </w:p>
    <w:p w14:paraId="7AB67EE4">
      <w:pPr>
        <w:rPr>
          <w:rFonts w:hint="eastAsia"/>
          <w:color w:val="auto"/>
          <w:highlight w:val="none"/>
          <w:lang w:val="en-US" w:eastAsia="zh-CN"/>
        </w:rPr>
      </w:pPr>
    </w:p>
    <w:p w14:paraId="35A1FB10">
      <w:pPr>
        <w:rPr>
          <w:rFonts w:hint="eastAsia"/>
          <w:color w:val="auto"/>
          <w:highlight w:val="none"/>
          <w:lang w:val="en-US" w:eastAsia="zh-CN"/>
        </w:rPr>
      </w:pPr>
    </w:p>
    <w:p w14:paraId="1017EE52">
      <w:pPr>
        <w:rPr>
          <w:rFonts w:hint="eastAsia"/>
          <w:color w:val="auto"/>
          <w:highlight w:val="none"/>
          <w:lang w:val="en-US" w:eastAsia="zh-CN"/>
        </w:rPr>
      </w:pPr>
    </w:p>
    <w:bookmarkEnd w:id="335"/>
    <w:p w14:paraId="519C0035">
      <w:pPr>
        <w:pStyle w:val="8"/>
        <w:spacing w:before="163" w:line="220" w:lineRule="auto"/>
        <w:ind w:left="68"/>
        <w:outlineLvl w:val="2"/>
        <w:rPr>
          <w:rFonts w:hint="eastAsia" w:ascii="宋体" w:hAnsi="宋体" w:eastAsia="宋体" w:cs="宋体"/>
          <w:b/>
          <w:bCs/>
          <w:color w:val="auto"/>
          <w:spacing w:val="-5"/>
          <w:sz w:val="24"/>
          <w:szCs w:val="24"/>
          <w:highlight w:val="none"/>
          <w:lang w:val="en-US" w:eastAsia="zh-CN"/>
        </w:rPr>
      </w:pPr>
      <w:bookmarkStart w:id="339" w:name="_Toc22717"/>
      <w:bookmarkStart w:id="340" w:name="_Toc27981"/>
      <w:r>
        <w:rPr>
          <w:rFonts w:hint="eastAsia" w:ascii="宋体" w:hAnsi="宋体" w:eastAsia="宋体" w:cs="宋体"/>
          <w:b/>
          <w:bCs/>
          <w:color w:val="auto"/>
          <w:spacing w:val="-11"/>
          <w:sz w:val="24"/>
          <w:szCs w:val="24"/>
          <w:highlight w:val="none"/>
          <w:lang w:val="en-US" w:eastAsia="zh-CN"/>
        </w:rPr>
        <w:br w:type="page"/>
      </w:r>
      <w:r>
        <w:rPr>
          <w:rFonts w:hint="eastAsia" w:ascii="宋体" w:hAnsi="宋体" w:eastAsia="宋体" w:cs="宋体"/>
          <w:b/>
          <w:bCs/>
          <w:color w:val="auto"/>
          <w:spacing w:val="-5"/>
          <w:sz w:val="24"/>
          <w:szCs w:val="24"/>
          <w:highlight w:val="none"/>
        </w:rPr>
        <w:t>格式十</w:t>
      </w:r>
      <w:r>
        <w:rPr>
          <w:rFonts w:hint="eastAsia" w:ascii="宋体" w:hAnsi="宋体" w:eastAsia="宋体" w:cs="宋体"/>
          <w:b/>
          <w:bCs/>
          <w:color w:val="auto"/>
          <w:spacing w:val="-5"/>
          <w:sz w:val="24"/>
          <w:szCs w:val="24"/>
          <w:highlight w:val="none"/>
          <w:lang w:val="en-US" w:eastAsia="zh-CN"/>
        </w:rPr>
        <w:t xml:space="preserve">三     </w:t>
      </w:r>
    </w:p>
    <w:p w14:paraId="364D6302">
      <w:pPr>
        <w:pStyle w:val="8"/>
        <w:spacing w:before="163" w:line="220" w:lineRule="auto"/>
        <w:ind w:left="68" w:firstLine="2073" w:firstLineChars="800"/>
        <w:outlineLvl w:val="2"/>
        <w:rPr>
          <w:rFonts w:hint="eastAsia" w:ascii="宋体" w:hAnsi="宋体" w:eastAsia="宋体" w:cs="宋体"/>
          <w:b/>
          <w:bCs/>
          <w:snapToGrid w:val="0"/>
          <w:color w:val="auto"/>
          <w:spacing w:val="-11"/>
          <w:sz w:val="28"/>
          <w:szCs w:val="28"/>
          <w:highlight w:val="none"/>
          <w:lang w:val="en-US" w:eastAsia="zh-CN" w:bidi="ar-SA"/>
        </w:rPr>
      </w:pPr>
      <w:r>
        <w:rPr>
          <w:rFonts w:hint="eastAsia" w:ascii="宋体" w:hAnsi="宋体" w:eastAsia="宋体" w:cs="宋体"/>
          <w:b/>
          <w:bCs/>
          <w:snapToGrid w:val="0"/>
          <w:color w:val="auto"/>
          <w:spacing w:val="-11"/>
          <w:sz w:val="28"/>
          <w:szCs w:val="28"/>
          <w:highlight w:val="none"/>
          <w:lang w:val="en-US" w:eastAsia="zh-CN" w:bidi="ar-SA"/>
        </w:rPr>
        <w:t>企业参与“百千万工程”结对帮扶相关情况说明</w:t>
      </w:r>
    </w:p>
    <w:p w14:paraId="23ED6227">
      <w:pPr>
        <w:spacing w:line="367" w:lineRule="auto"/>
        <w:rPr>
          <w:rFonts w:hint="eastAsia" w:ascii="宋体" w:hAnsi="宋体" w:eastAsia="宋体" w:cs="宋体"/>
          <w:b/>
          <w:bCs/>
          <w:snapToGrid w:val="0"/>
          <w:color w:val="auto"/>
          <w:spacing w:val="-11"/>
          <w:sz w:val="24"/>
          <w:szCs w:val="24"/>
          <w:highlight w:val="none"/>
          <w:lang w:val="en-US" w:eastAsia="zh-CN" w:bidi="ar-SA"/>
        </w:rPr>
      </w:pPr>
    </w:p>
    <w:p w14:paraId="5C8F524F">
      <w:pPr>
        <w:pStyle w:val="8"/>
        <w:spacing w:before="100" w:line="244" w:lineRule="auto"/>
        <w:ind w:left="76" w:right="122" w:firstLine="640"/>
        <w:rPr>
          <w:rFonts w:hint="eastAsia" w:ascii="宋体" w:hAnsi="宋体" w:eastAsia="宋体" w:cs="宋体"/>
          <w:color w:val="auto"/>
          <w:highlight w:val="none"/>
        </w:rPr>
      </w:pPr>
      <w:r>
        <w:rPr>
          <w:rFonts w:hint="eastAsia" w:ascii="宋体" w:hAnsi="宋体" w:eastAsia="宋体" w:cs="宋体"/>
          <w:b/>
          <w:bCs/>
          <w:color w:val="auto"/>
          <w:spacing w:val="2"/>
          <w:highlight w:val="none"/>
        </w:rPr>
        <w:t>一、</w:t>
      </w:r>
      <w:r>
        <w:rPr>
          <w:rFonts w:hint="eastAsia" w:ascii="宋体" w:hAnsi="宋体" w:eastAsia="宋体" w:cs="宋体"/>
          <w:color w:val="auto"/>
          <w:spacing w:val="2"/>
          <w:highlight w:val="none"/>
        </w:rPr>
        <w:t>我单位参加结对帮扶的</w:t>
      </w:r>
      <w:r>
        <w:rPr>
          <w:rFonts w:hint="eastAsia" w:ascii="宋体" w:hAnsi="宋体" w:eastAsia="宋体" w:cs="宋体"/>
          <w:color w:val="auto"/>
          <w:spacing w:val="127"/>
          <w:highlight w:val="none"/>
          <w:u w:val="single" w:color="auto"/>
        </w:rPr>
        <w:t xml:space="preserve"> </w:t>
      </w:r>
      <w:r>
        <w:rPr>
          <w:rFonts w:hint="eastAsia" w:ascii="宋体" w:hAnsi="宋体" w:eastAsia="宋体" w:cs="宋体"/>
          <w:color w:val="auto"/>
          <w:spacing w:val="2"/>
          <w:highlight w:val="none"/>
          <w:u w:val="single" w:color="auto"/>
        </w:rPr>
        <w:t>（工程项目名称）</w:t>
      </w:r>
      <w:r>
        <w:rPr>
          <w:rFonts w:hint="eastAsia" w:ascii="宋体" w:hAnsi="宋体" w:eastAsia="宋体" w:cs="宋体"/>
          <w:color w:val="auto"/>
          <w:spacing w:val="121"/>
          <w:highlight w:val="none"/>
          <w:u w:val="single" w:color="auto"/>
        </w:rPr>
        <w:t xml:space="preserve"> </w:t>
      </w:r>
      <w:r>
        <w:rPr>
          <w:rFonts w:hint="eastAsia" w:ascii="宋体" w:hAnsi="宋体" w:eastAsia="宋体" w:cs="宋体"/>
          <w:color w:val="auto"/>
          <w:spacing w:val="-108"/>
          <w:highlight w:val="none"/>
        </w:rPr>
        <w:t xml:space="preserve"> </w:t>
      </w:r>
      <w:r>
        <w:rPr>
          <w:rFonts w:hint="eastAsia" w:ascii="宋体" w:hAnsi="宋体" w:eastAsia="宋体" w:cs="宋体"/>
          <w:color w:val="auto"/>
          <w:spacing w:val="2"/>
          <w:highlight w:val="none"/>
        </w:rPr>
        <w:t>已录入“全</w:t>
      </w:r>
      <w:r>
        <w:rPr>
          <w:rFonts w:hint="eastAsia" w:ascii="宋体" w:hAnsi="宋体" w:eastAsia="宋体" w:cs="宋体"/>
          <w:color w:val="auto"/>
          <w:spacing w:val="7"/>
          <w:highlight w:val="none"/>
        </w:rPr>
        <w:t>省百千万工程</w:t>
      </w:r>
      <w:r>
        <w:rPr>
          <w:rFonts w:hint="eastAsia" w:ascii="宋体" w:hAnsi="宋体" w:eastAsia="宋体" w:cs="宋体"/>
          <w:color w:val="auto"/>
          <w:spacing w:val="-109"/>
          <w:highlight w:val="none"/>
        </w:rPr>
        <w:t xml:space="preserve"> </w:t>
      </w:r>
      <w:r>
        <w:rPr>
          <w:rFonts w:hint="eastAsia" w:ascii="宋体" w:hAnsi="宋体" w:eastAsia="宋体" w:cs="宋体"/>
          <w:color w:val="auto"/>
          <w:spacing w:val="7"/>
          <w:highlight w:val="none"/>
        </w:rPr>
        <w:t>”建筑业企业与乡镇结对帮扶项目信息库。</w:t>
      </w:r>
    </w:p>
    <w:p w14:paraId="35F9B1D3">
      <w:pPr>
        <w:pStyle w:val="8"/>
        <w:spacing w:before="57" w:line="256" w:lineRule="auto"/>
        <w:ind w:left="68" w:right="122" w:firstLine="648"/>
        <w:rPr>
          <w:rFonts w:hint="eastAsia" w:ascii="宋体" w:hAnsi="宋体" w:eastAsia="宋体" w:cs="宋体"/>
          <w:color w:val="auto"/>
          <w:highlight w:val="none"/>
        </w:rPr>
      </w:pPr>
      <w:r>
        <w:rPr>
          <w:rFonts w:hint="eastAsia" w:ascii="宋体" w:hAnsi="宋体" w:eastAsia="宋体" w:cs="宋体"/>
          <w:color w:val="auto"/>
          <w:spacing w:val="2"/>
          <w:highlight w:val="none"/>
        </w:rPr>
        <w:t>二、该项目已于</w:t>
      </w:r>
      <w:r>
        <w:rPr>
          <w:rFonts w:hint="eastAsia" w:ascii="宋体" w:hAnsi="宋体" w:eastAsia="宋体" w:cs="宋体"/>
          <w:color w:val="auto"/>
          <w:spacing w:val="-155"/>
          <w:highlight w:val="none"/>
        </w:rPr>
        <w:t xml:space="preserve"> </w:t>
      </w:r>
      <w:r>
        <w:rPr>
          <w:rFonts w:hint="eastAsia" w:ascii="宋体" w:hAnsi="宋体" w:eastAsia="宋体" w:cs="宋体"/>
          <w:color w:val="auto"/>
          <w:spacing w:val="5"/>
          <w:highlight w:val="none"/>
          <w:u w:val="single" w:color="auto"/>
        </w:rPr>
        <w:t xml:space="preserve">      </w:t>
      </w:r>
      <w:r>
        <w:rPr>
          <w:rFonts w:hint="eastAsia" w:ascii="宋体" w:hAnsi="宋体" w:eastAsia="宋体" w:cs="宋体"/>
          <w:color w:val="auto"/>
          <w:spacing w:val="-142"/>
          <w:highlight w:val="none"/>
        </w:rPr>
        <w:t xml:space="preserve"> </w:t>
      </w:r>
      <w:r>
        <w:rPr>
          <w:rFonts w:hint="eastAsia" w:ascii="宋体" w:hAnsi="宋体" w:eastAsia="宋体" w:cs="宋体"/>
          <w:color w:val="auto"/>
          <w:spacing w:val="2"/>
          <w:highlight w:val="none"/>
        </w:rPr>
        <w:t>年</w:t>
      </w:r>
      <w:r>
        <w:rPr>
          <w:rFonts w:hint="eastAsia" w:ascii="宋体" w:hAnsi="宋体" w:eastAsia="宋体" w:cs="宋体"/>
          <w:color w:val="auto"/>
          <w:spacing w:val="-153"/>
          <w:highlight w:val="none"/>
        </w:rPr>
        <w:t xml:space="preserve"> </w:t>
      </w:r>
      <w:r>
        <w:rPr>
          <w:rFonts w:hint="eastAsia" w:ascii="宋体" w:hAnsi="宋体" w:eastAsia="宋体" w:cs="宋体"/>
          <w:color w:val="auto"/>
          <w:spacing w:val="5"/>
          <w:highlight w:val="none"/>
          <w:u w:val="single" w:color="auto"/>
        </w:rPr>
        <w:t xml:space="preserve">   </w:t>
      </w:r>
      <w:r>
        <w:rPr>
          <w:rFonts w:hint="eastAsia" w:ascii="宋体" w:hAnsi="宋体" w:eastAsia="宋体" w:cs="宋体"/>
          <w:color w:val="auto"/>
          <w:spacing w:val="-134"/>
          <w:highlight w:val="none"/>
        </w:rPr>
        <w:t xml:space="preserve"> </w:t>
      </w:r>
      <w:r>
        <w:rPr>
          <w:rFonts w:hint="eastAsia" w:ascii="宋体" w:hAnsi="宋体" w:eastAsia="宋体" w:cs="宋体"/>
          <w:color w:val="auto"/>
          <w:spacing w:val="2"/>
          <w:highlight w:val="none"/>
        </w:rPr>
        <w:t>月</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87"/>
          <w:highlight w:val="none"/>
        </w:rPr>
        <w:t xml:space="preserve"> </w:t>
      </w:r>
      <w:r>
        <w:rPr>
          <w:rFonts w:hint="eastAsia" w:ascii="宋体" w:hAnsi="宋体" w:eastAsia="宋体" w:cs="宋体"/>
          <w:color w:val="auto"/>
          <w:spacing w:val="2"/>
          <w:highlight w:val="none"/>
        </w:rPr>
        <w:t>日开工，已经累计公益帮</w:t>
      </w:r>
      <w:r>
        <w:rPr>
          <w:rFonts w:hint="eastAsia" w:ascii="宋体" w:hAnsi="宋体" w:eastAsia="宋体" w:cs="宋体"/>
          <w:color w:val="auto"/>
          <w:highlight w:val="none"/>
        </w:rPr>
        <w:t xml:space="preserve"> </w:t>
      </w:r>
      <w:r>
        <w:rPr>
          <w:rFonts w:hint="eastAsia" w:ascii="宋体" w:hAnsi="宋体" w:eastAsia="宋体" w:cs="宋体"/>
          <w:color w:val="auto"/>
          <w:spacing w:val="5"/>
          <w:highlight w:val="none"/>
        </w:rPr>
        <w:t xml:space="preserve">扶资金金额累达 </w:t>
      </w:r>
      <w:r>
        <w:rPr>
          <w:rFonts w:hint="eastAsia" w:ascii="宋体" w:hAnsi="宋体" w:eastAsia="宋体" w:cs="宋体"/>
          <w:color w:val="auto"/>
          <w:spacing w:val="5"/>
          <w:highlight w:val="none"/>
          <w:u w:val="single" w:color="auto"/>
        </w:rPr>
        <w:t xml:space="preserve">     </w:t>
      </w:r>
      <w:r>
        <w:rPr>
          <w:rFonts w:hint="eastAsia" w:ascii="宋体" w:hAnsi="宋体" w:eastAsia="宋体" w:cs="宋体"/>
          <w:color w:val="auto"/>
          <w:spacing w:val="-135"/>
          <w:highlight w:val="none"/>
        </w:rPr>
        <w:t xml:space="preserve"> </w:t>
      </w:r>
      <w:r>
        <w:rPr>
          <w:rFonts w:hint="eastAsia" w:ascii="宋体" w:hAnsi="宋体" w:eastAsia="宋体" w:cs="宋体"/>
          <w:color w:val="auto"/>
          <w:spacing w:val="5"/>
          <w:highlight w:val="none"/>
        </w:rPr>
        <w:t xml:space="preserve">万元。目前，该项目 </w:t>
      </w:r>
      <w:r>
        <w:rPr>
          <w:rFonts w:hint="eastAsia" w:ascii="宋体" w:hAnsi="宋体" w:eastAsia="宋体" w:cs="宋体"/>
          <w:color w:val="auto"/>
          <w:spacing w:val="5"/>
          <w:highlight w:val="none"/>
          <w:u w:val="single" w:color="auto"/>
        </w:rPr>
        <w:t>已</w:t>
      </w:r>
      <w:r>
        <w:rPr>
          <w:rFonts w:hint="eastAsia" w:ascii="宋体" w:hAnsi="宋体" w:eastAsia="宋体" w:cs="宋体"/>
          <w:color w:val="auto"/>
          <w:spacing w:val="4"/>
          <w:highlight w:val="none"/>
          <w:u w:val="single" w:color="auto"/>
        </w:rPr>
        <w:t>完工/在招标公示</w:t>
      </w:r>
      <w:r>
        <w:rPr>
          <w:rFonts w:hint="eastAsia" w:ascii="宋体" w:hAnsi="宋体" w:eastAsia="宋体" w:cs="宋体"/>
          <w:color w:val="auto"/>
          <w:highlight w:val="none"/>
        </w:rPr>
        <w:t xml:space="preserve"> </w:t>
      </w:r>
      <w:r>
        <w:rPr>
          <w:rFonts w:hint="eastAsia" w:ascii="宋体" w:hAnsi="宋体" w:eastAsia="宋体" w:cs="宋体"/>
          <w:color w:val="auto"/>
          <w:spacing w:val="7"/>
          <w:highlight w:val="none"/>
          <w:u w:val="single" w:color="auto"/>
        </w:rPr>
        <w:t>前完工</w:t>
      </w:r>
      <w:r>
        <w:rPr>
          <w:rFonts w:hint="eastAsia" w:ascii="宋体" w:hAnsi="宋体" w:eastAsia="宋体" w:cs="宋体"/>
          <w:color w:val="auto"/>
          <w:spacing w:val="7"/>
          <w:highlight w:val="none"/>
          <w:u w:val="single" w:color="000000"/>
        </w:rPr>
        <w:t xml:space="preserve">  </w:t>
      </w:r>
      <w:r>
        <w:rPr>
          <w:rFonts w:hint="eastAsia" w:ascii="宋体" w:hAnsi="宋体" w:eastAsia="宋体" w:cs="宋体"/>
          <w:color w:val="auto"/>
          <w:spacing w:val="7"/>
          <w:highlight w:val="none"/>
          <w:u w:val="single" w:color="auto"/>
        </w:rPr>
        <w:t>，</w:t>
      </w:r>
      <w:r>
        <w:rPr>
          <w:rFonts w:hint="eastAsia" w:ascii="宋体" w:hAnsi="宋体" w:eastAsia="宋体" w:cs="宋体"/>
          <w:color w:val="auto"/>
          <w:spacing w:val="7"/>
          <w:highlight w:val="none"/>
        </w:rPr>
        <w:t>并附有</w:t>
      </w:r>
      <w:r>
        <w:rPr>
          <w:rFonts w:hint="eastAsia" w:ascii="宋体" w:hAnsi="宋体" w:eastAsia="宋体" w:cs="宋体"/>
          <w:color w:val="auto"/>
          <w:spacing w:val="7"/>
          <w:highlight w:val="none"/>
          <w:u w:val="single" w:color="000000"/>
        </w:rPr>
        <w:t xml:space="preserve"> </w:t>
      </w:r>
      <w:r>
        <w:rPr>
          <w:rFonts w:hint="eastAsia" w:ascii="宋体" w:hAnsi="宋体" w:eastAsia="宋体" w:cs="宋体"/>
          <w:color w:val="auto"/>
          <w:spacing w:val="7"/>
          <w:highlight w:val="none"/>
          <w:u w:val="single" w:color="auto"/>
        </w:rPr>
        <w:t>（帮扶金额+项目完工）</w:t>
      </w:r>
      <w:r>
        <w:rPr>
          <w:rFonts w:hint="eastAsia" w:ascii="宋体" w:hAnsi="宋体" w:eastAsia="宋体" w:cs="宋体"/>
          <w:color w:val="auto"/>
          <w:spacing w:val="7"/>
          <w:highlight w:val="none"/>
          <w:u w:val="single" w:color="000000"/>
        </w:rPr>
        <w:t xml:space="preserve">  </w:t>
      </w:r>
      <w:r>
        <w:rPr>
          <w:rFonts w:hint="eastAsia" w:ascii="宋体" w:hAnsi="宋体" w:eastAsia="宋体" w:cs="宋体"/>
          <w:color w:val="auto"/>
          <w:spacing w:val="-125"/>
          <w:highlight w:val="none"/>
        </w:rPr>
        <w:t xml:space="preserve"> </w:t>
      </w:r>
      <w:r>
        <w:rPr>
          <w:rFonts w:hint="eastAsia" w:ascii="宋体" w:hAnsi="宋体" w:eastAsia="宋体" w:cs="宋体"/>
          <w:color w:val="auto"/>
          <w:spacing w:val="7"/>
          <w:highlight w:val="none"/>
        </w:rPr>
        <w:t>资料佐证为</w:t>
      </w:r>
      <w:r>
        <w:rPr>
          <w:rFonts w:hint="eastAsia" w:ascii="宋体" w:hAnsi="宋体" w:eastAsia="宋体" w:cs="宋体"/>
          <w:color w:val="auto"/>
          <w:spacing w:val="-1"/>
          <w:highlight w:val="none"/>
        </w:rPr>
        <w:t>证。</w:t>
      </w:r>
    </w:p>
    <w:p w14:paraId="78DE591B">
      <w:pPr>
        <w:pStyle w:val="8"/>
        <w:spacing w:before="46" w:line="243" w:lineRule="auto"/>
        <w:ind w:left="70" w:right="232" w:firstLine="648"/>
        <w:rPr>
          <w:rFonts w:hint="eastAsia" w:ascii="宋体" w:hAnsi="宋体" w:eastAsia="宋体" w:cs="宋体"/>
          <w:color w:val="auto"/>
          <w:highlight w:val="none"/>
        </w:rPr>
      </w:pPr>
      <w:r>
        <w:rPr>
          <w:rFonts w:hint="eastAsia" w:ascii="宋体" w:hAnsi="宋体" w:eastAsia="宋体" w:cs="宋体"/>
          <w:color w:val="auto"/>
          <w:spacing w:val="9"/>
          <w:highlight w:val="none"/>
        </w:rPr>
        <w:t>三、至投标文件提交当天，本公司无严重不良信用记录或存</w:t>
      </w:r>
      <w:r>
        <w:rPr>
          <w:rFonts w:hint="eastAsia" w:ascii="宋体" w:hAnsi="宋体" w:eastAsia="宋体" w:cs="宋体"/>
          <w:color w:val="auto"/>
          <w:spacing w:val="8"/>
          <w:highlight w:val="none"/>
        </w:rPr>
        <w:t>在曾作出虚假承诺的情形。</w:t>
      </w:r>
    </w:p>
    <w:p w14:paraId="342447BC">
      <w:pPr>
        <w:pStyle w:val="8"/>
        <w:spacing w:before="60" w:line="249" w:lineRule="auto"/>
        <w:ind w:left="76" w:right="235" w:firstLine="636"/>
        <w:rPr>
          <w:rFonts w:hint="eastAsia" w:ascii="宋体" w:hAnsi="宋体" w:eastAsia="宋体" w:cs="宋体"/>
          <w:color w:val="auto"/>
          <w:highlight w:val="none"/>
        </w:rPr>
      </w:pPr>
      <w:r>
        <w:rPr>
          <w:rFonts w:hint="eastAsia" w:ascii="宋体" w:hAnsi="宋体" w:eastAsia="宋体" w:cs="宋体"/>
          <w:color w:val="auto"/>
          <w:spacing w:val="9"/>
          <w:highlight w:val="none"/>
        </w:rPr>
        <w:t>本企业对以上情况说明、情况承诺负责。如有虚假，愿接受</w:t>
      </w:r>
      <w:r>
        <w:rPr>
          <w:rFonts w:hint="eastAsia" w:ascii="宋体" w:hAnsi="宋体" w:eastAsia="宋体" w:cs="宋体"/>
          <w:color w:val="auto"/>
          <w:spacing w:val="8"/>
          <w:highlight w:val="none"/>
        </w:rPr>
        <w:t>行政主管部门作出的处罚，并承担以下后果：</w:t>
      </w:r>
    </w:p>
    <w:p w14:paraId="28665C99">
      <w:pPr>
        <w:pStyle w:val="8"/>
        <w:spacing w:before="46" w:line="225" w:lineRule="auto"/>
        <w:ind w:left="725"/>
        <w:rPr>
          <w:rFonts w:hint="eastAsia" w:ascii="宋体" w:hAnsi="宋体" w:eastAsia="宋体" w:cs="宋体"/>
          <w:color w:val="auto"/>
          <w:highlight w:val="none"/>
        </w:rPr>
      </w:pPr>
      <w:r>
        <w:rPr>
          <w:rFonts w:hint="eastAsia" w:ascii="宋体" w:hAnsi="宋体" w:eastAsia="宋体" w:cs="宋体"/>
          <w:color w:val="auto"/>
          <w:spacing w:val="8"/>
          <w:highlight w:val="none"/>
        </w:rPr>
        <w:t>（一）取消本单位在本项目中的投标资格或中标资格；</w:t>
      </w:r>
    </w:p>
    <w:p w14:paraId="710956B9">
      <w:pPr>
        <w:pStyle w:val="8"/>
        <w:spacing w:before="61" w:line="234" w:lineRule="auto"/>
        <w:ind w:left="913" w:right="1592" w:hanging="188"/>
        <w:rPr>
          <w:rFonts w:hint="eastAsia" w:ascii="宋体" w:hAnsi="宋体" w:eastAsia="宋体" w:cs="宋体"/>
          <w:color w:val="auto"/>
          <w:highlight w:val="none"/>
        </w:rPr>
      </w:pPr>
      <w:r>
        <w:rPr>
          <w:rFonts w:hint="eastAsia" w:ascii="宋体" w:hAnsi="宋体" w:eastAsia="宋体" w:cs="宋体"/>
          <w:color w:val="auto"/>
          <w:spacing w:val="5"/>
          <w:highlight w:val="none"/>
        </w:rPr>
        <w:t>（二）将本单位不良行为纳入信用信息管理系统；</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7"/>
          <w:highlight w:val="none"/>
        </w:rPr>
        <w:t>单位名称（公章</w:t>
      </w:r>
      <w:r>
        <w:rPr>
          <w:rFonts w:hint="eastAsia" w:ascii="宋体" w:hAnsi="宋体" w:eastAsia="宋体" w:cs="宋体"/>
          <w:color w:val="auto"/>
          <w:spacing w:val="1"/>
          <w:highlight w:val="none"/>
        </w:rPr>
        <w:t>）：</w:t>
      </w:r>
    </w:p>
    <w:p w14:paraId="14FCD097">
      <w:pPr>
        <w:spacing w:line="321" w:lineRule="auto"/>
        <w:rPr>
          <w:rFonts w:hint="eastAsia" w:ascii="宋体" w:hAnsi="宋体" w:eastAsia="宋体" w:cs="宋体"/>
          <w:color w:val="auto"/>
          <w:sz w:val="21"/>
          <w:highlight w:val="none"/>
        </w:rPr>
      </w:pPr>
    </w:p>
    <w:p w14:paraId="76635E11">
      <w:pPr>
        <w:pStyle w:val="8"/>
        <w:spacing w:before="101" w:line="225" w:lineRule="auto"/>
        <w:ind w:left="919"/>
        <w:rPr>
          <w:rFonts w:hint="eastAsia" w:ascii="宋体" w:hAnsi="宋体" w:eastAsia="宋体" w:cs="宋体"/>
          <w:color w:val="auto"/>
          <w:highlight w:val="none"/>
        </w:rPr>
      </w:pPr>
      <w:r>
        <w:rPr>
          <w:rFonts w:hint="eastAsia" w:ascii="宋体" w:hAnsi="宋体" w:eastAsia="宋体" w:cs="宋体"/>
          <w:color w:val="auto"/>
          <w:spacing w:val="6"/>
          <w:highlight w:val="none"/>
        </w:rPr>
        <w:t>统一社会信用代码：</w:t>
      </w:r>
    </w:p>
    <w:p w14:paraId="5288CC26">
      <w:pPr>
        <w:pStyle w:val="8"/>
        <w:spacing w:before="22" w:line="225" w:lineRule="auto"/>
        <w:ind w:left="6792"/>
        <w:rPr>
          <w:rFonts w:hint="eastAsia" w:ascii="宋体" w:hAnsi="宋体" w:eastAsia="宋体" w:cs="宋体"/>
          <w:color w:val="auto"/>
          <w:highlight w:val="none"/>
        </w:rPr>
      </w:pPr>
      <w:r>
        <w:rPr>
          <w:rFonts w:hint="eastAsia" w:ascii="宋体" w:hAnsi="宋体" w:eastAsia="宋体" w:cs="宋体"/>
          <w:color w:val="auto"/>
          <w:highlight w:val="none"/>
        </w:rPr>
        <w:drawing>
          <wp:anchor distT="0" distB="0" distL="114300" distR="114300" simplePos="0" relativeHeight="251665408" behindDoc="1" locked="0" layoutInCell="1" allowOverlap="1">
            <wp:simplePos x="0" y="0"/>
            <wp:positionH relativeFrom="column">
              <wp:posOffset>-1270</wp:posOffset>
            </wp:positionH>
            <wp:positionV relativeFrom="paragraph">
              <wp:posOffset>154305</wp:posOffset>
            </wp:positionV>
            <wp:extent cx="6095365" cy="3413760"/>
            <wp:effectExtent l="0" t="0" r="635" b="15240"/>
            <wp:wrapNone/>
            <wp:docPr id="7" name="IM 2"/>
            <wp:cNvGraphicFramePr/>
            <a:graphic xmlns:a="http://schemas.openxmlformats.org/drawingml/2006/main">
              <a:graphicData uri="http://schemas.openxmlformats.org/drawingml/2006/picture">
                <pic:pic xmlns:pic="http://schemas.openxmlformats.org/drawingml/2006/picture">
                  <pic:nvPicPr>
                    <pic:cNvPr id="7" name="IM 2"/>
                    <pic:cNvPicPr/>
                  </pic:nvPicPr>
                  <pic:blipFill>
                    <a:blip r:embed="rId34"/>
                    <a:stretch>
                      <a:fillRect/>
                    </a:stretch>
                  </pic:blipFill>
                  <pic:spPr>
                    <a:xfrm>
                      <a:off x="0" y="0"/>
                      <a:ext cx="6095365" cy="3413760"/>
                    </a:xfrm>
                    <a:prstGeom prst="rect">
                      <a:avLst/>
                    </a:prstGeom>
                    <a:noFill/>
                    <a:ln>
                      <a:noFill/>
                    </a:ln>
                  </pic:spPr>
                </pic:pic>
              </a:graphicData>
            </a:graphic>
          </wp:anchor>
        </w:drawing>
      </w:r>
      <w:r>
        <w:rPr>
          <w:rFonts w:hint="eastAsia" w:ascii="宋体" w:hAnsi="宋体" w:eastAsia="宋体" w:cs="宋体"/>
          <w:color w:val="auto"/>
          <w:spacing w:val="-6"/>
          <w:highlight w:val="none"/>
        </w:rPr>
        <w:t>年</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6"/>
          <w:highlight w:val="none"/>
        </w:rPr>
        <w:t>月</w:t>
      </w:r>
      <w:r>
        <w:rPr>
          <w:rFonts w:hint="eastAsia" w:ascii="宋体" w:hAnsi="宋体" w:eastAsia="宋体" w:cs="宋体"/>
          <w:color w:val="auto"/>
          <w:spacing w:val="28"/>
          <w:highlight w:val="none"/>
        </w:rPr>
        <w:t xml:space="preserve">   </w:t>
      </w:r>
      <w:r>
        <w:rPr>
          <w:rFonts w:hint="eastAsia" w:ascii="宋体" w:hAnsi="宋体" w:eastAsia="宋体" w:cs="宋体"/>
          <w:color w:val="auto"/>
          <w:spacing w:val="-6"/>
          <w:highlight w:val="none"/>
        </w:rPr>
        <w:t>日</w:t>
      </w:r>
    </w:p>
    <w:p w14:paraId="30391AD6">
      <w:pPr>
        <w:pStyle w:val="8"/>
        <w:spacing w:before="85" w:line="272" w:lineRule="auto"/>
        <w:ind w:left="68" w:right="554" w:firstLine="645"/>
        <w:rPr>
          <w:rFonts w:hint="eastAsia" w:ascii="宋体" w:hAnsi="宋体" w:eastAsia="宋体" w:cs="宋体"/>
          <w:color w:val="auto"/>
          <w:spacing w:val="9"/>
          <w:highlight w:val="none"/>
        </w:rPr>
      </w:pPr>
      <w:r>
        <w:rPr>
          <w:rFonts w:hint="eastAsia" w:ascii="宋体" w:hAnsi="宋体" w:eastAsia="宋体" w:cs="宋体"/>
          <w:color w:val="auto"/>
          <w:spacing w:val="9"/>
          <w:highlight w:val="none"/>
        </w:rPr>
        <w:t>属地住建部门对项目金额、项目是否录入省信息库的核实</w:t>
      </w:r>
    </w:p>
    <w:p w14:paraId="760267ED">
      <w:pPr>
        <w:pStyle w:val="8"/>
        <w:spacing w:before="85" w:line="272" w:lineRule="auto"/>
        <w:ind w:left="68" w:right="554" w:firstLine="645"/>
        <w:rPr>
          <w:rFonts w:hint="eastAsia" w:ascii="宋体" w:hAnsi="宋体" w:eastAsia="宋体" w:cs="宋体"/>
          <w:color w:val="auto"/>
          <w:highlight w:val="none"/>
        </w:rPr>
      </w:pPr>
      <w:r>
        <w:rPr>
          <w:rFonts w:hint="eastAsia" w:ascii="宋体" w:hAnsi="宋体" w:eastAsia="宋体" w:cs="宋体"/>
          <w:color w:val="auto"/>
          <w:spacing w:val="9"/>
          <w:highlight w:val="none"/>
        </w:rPr>
        <w:t>情况</w:t>
      </w:r>
      <w:r>
        <w:rPr>
          <w:rFonts w:hint="eastAsia" w:ascii="宋体" w:hAnsi="宋体" w:eastAsia="宋体" w:cs="宋体"/>
          <w:color w:val="auto"/>
          <w:spacing w:val="-13"/>
          <w:highlight w:val="none"/>
        </w:rPr>
        <w:t>：（</w:t>
      </w:r>
      <w:r>
        <w:rPr>
          <w:rFonts w:hint="eastAsia" w:ascii="宋体" w:hAnsi="宋体" w:eastAsia="宋体" w:cs="宋体"/>
          <w:color w:val="auto"/>
          <w:spacing w:val="9"/>
          <w:highlight w:val="none"/>
        </w:rPr>
        <w:t>以下在框内打“</w:t>
      </w:r>
      <w:r>
        <w:rPr>
          <w:rFonts w:hint="eastAsia" w:ascii="宋体" w:hAnsi="宋体" w:eastAsia="宋体" w:cs="宋体"/>
          <w:color w:val="auto"/>
          <w:spacing w:val="-113"/>
          <w:highlight w:val="none"/>
        </w:rPr>
        <w:t xml:space="preserve"> </w:t>
      </w:r>
      <w:r>
        <w:rPr>
          <w:rFonts w:hint="eastAsia" w:ascii="宋体" w:hAnsi="宋体" w:eastAsia="宋体" w:cs="宋体"/>
          <w:color w:val="auto"/>
          <w:spacing w:val="9"/>
          <w:highlight w:val="none"/>
        </w:rPr>
        <w:t>√</w:t>
      </w:r>
      <w:r>
        <w:rPr>
          <w:rFonts w:hint="eastAsia" w:ascii="宋体" w:hAnsi="宋体" w:eastAsia="宋体" w:cs="宋体"/>
          <w:color w:val="auto"/>
          <w:spacing w:val="-113"/>
          <w:highlight w:val="none"/>
        </w:rPr>
        <w:t xml:space="preserve"> </w:t>
      </w:r>
      <w:r>
        <w:rPr>
          <w:rFonts w:hint="eastAsia" w:ascii="宋体" w:hAnsi="宋体" w:eastAsia="宋体" w:cs="宋体"/>
          <w:color w:val="auto"/>
          <w:spacing w:val="9"/>
          <w:highlight w:val="none"/>
        </w:rPr>
        <w:t>”)</w:t>
      </w:r>
    </w:p>
    <w:p w14:paraId="1DB757C8">
      <w:pPr>
        <w:spacing w:line="392" w:lineRule="auto"/>
        <w:rPr>
          <w:rFonts w:hint="eastAsia" w:ascii="宋体" w:hAnsi="宋体" w:eastAsia="宋体" w:cs="宋体"/>
          <w:color w:val="auto"/>
          <w:sz w:val="21"/>
          <w:highlight w:val="none"/>
        </w:rPr>
      </w:pPr>
    </w:p>
    <w:p w14:paraId="0ED25A7B">
      <w:pPr>
        <w:pStyle w:val="8"/>
        <w:spacing w:before="134" w:line="201" w:lineRule="auto"/>
        <w:ind w:left="76"/>
        <w:rPr>
          <w:rFonts w:hint="eastAsia" w:ascii="宋体" w:hAnsi="宋体" w:eastAsia="宋体" w:cs="宋体"/>
          <w:color w:val="auto"/>
          <w:highlight w:val="none"/>
        </w:rPr>
      </w:pPr>
      <w:r>
        <w:rPr>
          <w:rFonts w:hint="eastAsia" w:ascii="宋体" w:hAnsi="宋体" w:eastAsia="宋体" w:cs="宋体"/>
          <w:color w:val="auto"/>
          <w:spacing w:val="14"/>
          <w:highlight w:val="none"/>
        </w:rPr>
        <w:t>□金额与完成情况均属实，在信息系统可查</w:t>
      </w:r>
    </w:p>
    <w:p w14:paraId="46C31F95">
      <w:pPr>
        <w:pStyle w:val="8"/>
        <w:spacing w:before="35" w:line="201" w:lineRule="auto"/>
        <w:ind w:left="76"/>
        <w:rPr>
          <w:rFonts w:hint="eastAsia" w:ascii="宋体" w:hAnsi="宋体" w:eastAsia="宋体" w:cs="宋体"/>
          <w:color w:val="auto"/>
          <w:highlight w:val="none"/>
        </w:rPr>
      </w:pPr>
      <w:r>
        <w:rPr>
          <w:rFonts w:hint="eastAsia" w:ascii="宋体" w:hAnsi="宋体" w:eastAsia="宋体" w:cs="宋体"/>
          <w:color w:val="auto"/>
          <w:spacing w:val="22"/>
          <w:highlight w:val="none"/>
        </w:rPr>
        <w:t>□仅金额属实</w:t>
      </w:r>
      <w:r>
        <w:rPr>
          <w:rFonts w:hint="eastAsia" w:ascii="宋体" w:hAnsi="宋体" w:eastAsia="宋体" w:cs="宋体"/>
          <w:color w:val="auto"/>
          <w:spacing w:val="14"/>
          <w:highlight w:val="none"/>
        </w:rPr>
        <w:t xml:space="preserve">   </w:t>
      </w:r>
      <w:r>
        <w:rPr>
          <w:rFonts w:hint="eastAsia" w:ascii="宋体" w:hAnsi="宋体" w:eastAsia="宋体" w:cs="宋体"/>
          <w:color w:val="auto"/>
          <w:spacing w:val="22"/>
          <w:highlight w:val="none"/>
        </w:rPr>
        <w:t>□仅完工情况属实</w:t>
      </w:r>
    </w:p>
    <w:p w14:paraId="2CA535FD">
      <w:pPr>
        <w:pStyle w:val="8"/>
        <w:spacing w:before="81" w:line="203" w:lineRule="auto"/>
        <w:ind w:left="76"/>
        <w:outlineLvl w:val="9"/>
        <w:rPr>
          <w:rFonts w:hint="eastAsia" w:ascii="宋体" w:hAnsi="宋体" w:eastAsia="宋体" w:cs="宋体"/>
          <w:color w:val="auto"/>
          <w:highlight w:val="none"/>
        </w:rPr>
      </w:pPr>
      <w:r>
        <w:rPr>
          <w:rFonts w:hint="eastAsia" w:ascii="宋体" w:hAnsi="宋体" w:eastAsia="宋体" w:cs="宋体"/>
          <w:color w:val="auto"/>
          <w:spacing w:val="19"/>
          <w:highlight w:val="none"/>
        </w:rPr>
        <w:t>□均与实际情况有出入</w:t>
      </w:r>
    </w:p>
    <w:p w14:paraId="5D76EA83">
      <w:pPr>
        <w:spacing w:line="446" w:lineRule="auto"/>
        <w:rPr>
          <w:rFonts w:hint="eastAsia" w:ascii="宋体" w:hAnsi="宋体" w:eastAsia="宋体" w:cs="宋体"/>
          <w:color w:val="auto"/>
          <w:sz w:val="21"/>
          <w:highlight w:val="none"/>
        </w:rPr>
      </w:pPr>
    </w:p>
    <w:p w14:paraId="213F7C5F">
      <w:pPr>
        <w:pStyle w:val="8"/>
        <w:spacing w:before="101" w:line="225" w:lineRule="auto"/>
        <w:ind w:left="490"/>
        <w:rPr>
          <w:rFonts w:hint="eastAsia" w:ascii="宋体" w:hAnsi="宋体" w:eastAsia="宋体" w:cs="宋体"/>
          <w:color w:val="auto"/>
          <w:highlight w:val="none"/>
        </w:rPr>
      </w:pPr>
      <w:r>
        <w:rPr>
          <w:rFonts w:hint="eastAsia" w:ascii="宋体" w:hAnsi="宋体" w:eastAsia="宋体" w:cs="宋体"/>
          <w:color w:val="auto"/>
          <w:spacing w:val="7"/>
          <w:highlight w:val="none"/>
        </w:rPr>
        <w:t>住建部门办理咨询电话：</w:t>
      </w:r>
    </w:p>
    <w:p w14:paraId="45AB6E6E">
      <w:pPr>
        <w:spacing w:line="336" w:lineRule="auto"/>
        <w:contextualSpacing/>
        <w:jc w:val="left"/>
        <w:rPr>
          <w:rFonts w:hint="eastAsia" w:ascii="宋体" w:hAnsi="宋体" w:eastAsia="宋体" w:cs="宋体"/>
          <w:color w:val="auto"/>
          <w:highlight w:val="none"/>
        </w:rPr>
      </w:pPr>
      <w:r>
        <w:rPr>
          <w:rFonts w:hint="eastAsia" w:ascii="宋体" w:hAnsi="宋体" w:eastAsia="宋体" w:cs="宋体"/>
          <w:color w:val="auto"/>
          <w:spacing w:val="8"/>
          <w:highlight w:val="none"/>
        </w:rPr>
        <w:t>（如无法核实为公开有效住建部门的办公电话，视为无效）</w:t>
      </w:r>
    </w:p>
    <w:p w14:paraId="555A7874">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14:paraId="653C5178">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14:paraId="6D31D5A4">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14:paraId="34B696F5">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14:paraId="7CB8219F">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14:paraId="2E6EBAC7">
      <w:pPr>
        <w:rPr>
          <w:rFonts w:hint="eastAsia" w:ascii="宋体" w:hAnsi="宋体" w:eastAsia="宋体" w:cs="宋体"/>
          <w:b/>
          <w:bCs/>
          <w:color w:val="auto"/>
          <w:spacing w:val="-11"/>
          <w:sz w:val="24"/>
          <w:szCs w:val="24"/>
          <w:highlight w:val="none"/>
          <w:lang w:val="en-US" w:eastAsia="zh-CN"/>
        </w:rPr>
      </w:pPr>
    </w:p>
    <w:p w14:paraId="01A72E6E">
      <w:pPr>
        <w:rPr>
          <w:rFonts w:hint="eastAsia" w:ascii="宋体" w:hAnsi="宋体" w:eastAsia="宋体" w:cs="宋体"/>
          <w:b/>
          <w:bCs/>
          <w:color w:val="auto"/>
          <w:spacing w:val="-11"/>
          <w:sz w:val="24"/>
          <w:szCs w:val="24"/>
          <w:highlight w:val="none"/>
          <w:lang w:val="en-US" w:eastAsia="zh-CN"/>
        </w:rPr>
      </w:pPr>
      <w:r>
        <w:rPr>
          <w:rFonts w:hint="eastAsia" w:ascii="宋体" w:hAnsi="宋体" w:eastAsia="宋体" w:cs="宋体"/>
          <w:b/>
          <w:bCs/>
          <w:color w:val="auto"/>
          <w:spacing w:val="-11"/>
          <w:sz w:val="24"/>
          <w:szCs w:val="24"/>
          <w:highlight w:val="none"/>
          <w:lang w:val="en-US" w:eastAsia="zh-CN"/>
        </w:rPr>
        <w:br w:type="page"/>
      </w:r>
    </w:p>
    <w:p w14:paraId="00DCB241">
      <w:pPr>
        <w:spacing w:before="151" w:line="360" w:lineRule="auto"/>
        <w:outlineLvl w:val="2"/>
        <w:rPr>
          <w:rFonts w:hint="default" w:ascii="宋体" w:hAnsi="宋体" w:eastAsia="宋体" w:cs="宋体"/>
          <w:b/>
          <w:bCs/>
          <w:color w:val="auto"/>
          <w:spacing w:val="-11"/>
          <w:sz w:val="24"/>
          <w:szCs w:val="24"/>
          <w:highlight w:val="none"/>
          <w:lang w:val="en-US" w:eastAsia="zh-CN"/>
        </w:rPr>
      </w:pPr>
      <w:r>
        <w:rPr>
          <w:rFonts w:hint="eastAsia" w:ascii="宋体" w:hAnsi="宋体" w:eastAsia="宋体" w:cs="宋体"/>
          <w:b/>
          <w:bCs/>
          <w:color w:val="auto"/>
          <w:spacing w:val="-11"/>
          <w:sz w:val="24"/>
          <w:szCs w:val="24"/>
          <w:highlight w:val="none"/>
          <w:lang w:val="en-US" w:eastAsia="zh-CN"/>
        </w:rPr>
        <w:t>格式十四 原件一览表</w:t>
      </w:r>
      <w:bookmarkEnd w:id="339"/>
      <w:bookmarkEnd w:id="340"/>
      <w:r>
        <w:rPr>
          <w:rFonts w:hint="eastAsia" w:ascii="宋体" w:hAnsi="宋体" w:eastAsia="宋体" w:cs="宋体"/>
          <w:b/>
          <w:bCs/>
          <w:color w:val="auto"/>
          <w:spacing w:val="-11"/>
          <w:sz w:val="24"/>
          <w:szCs w:val="24"/>
          <w:highlight w:val="none"/>
          <w:lang w:val="en-US" w:eastAsia="zh-CN"/>
        </w:rPr>
        <w:t>（如有）</w:t>
      </w:r>
    </w:p>
    <w:tbl>
      <w:tblPr>
        <w:tblStyle w:val="23"/>
        <w:tblpPr w:leftFromText="180" w:rightFromText="180" w:vertAnchor="text" w:horzAnchor="page" w:tblpX="1285"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080"/>
        <w:gridCol w:w="1598"/>
        <w:gridCol w:w="682"/>
        <w:gridCol w:w="1220"/>
        <w:gridCol w:w="1625"/>
        <w:gridCol w:w="754"/>
        <w:gridCol w:w="958"/>
        <w:gridCol w:w="1698"/>
      </w:tblGrid>
      <w:tr w14:paraId="76E4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3" w:hRule="atLeast"/>
        </w:trPr>
        <w:tc>
          <w:tcPr>
            <w:tcW w:w="9615" w:type="dxa"/>
            <w:gridSpan w:val="8"/>
            <w:shd w:val="clear" w:color="000000" w:fill="FFFFFF"/>
            <w:noWrap w:val="0"/>
            <w:tcMar>
              <w:left w:w="108" w:type="dxa"/>
              <w:right w:w="108" w:type="dxa"/>
            </w:tcMar>
            <w:vAlign w:val="center"/>
          </w:tcPr>
          <w:p w14:paraId="08C03D0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原件一览表</w:t>
            </w:r>
          </w:p>
        </w:tc>
      </w:tr>
      <w:tr w14:paraId="0B74E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678" w:type="dxa"/>
            <w:gridSpan w:val="2"/>
            <w:shd w:val="clear" w:color="000000" w:fill="FFFFFF"/>
            <w:noWrap w:val="0"/>
            <w:tcMar>
              <w:left w:w="108" w:type="dxa"/>
              <w:right w:w="108" w:type="dxa"/>
            </w:tcMar>
            <w:vAlign w:val="center"/>
          </w:tcPr>
          <w:p w14:paraId="51F845A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工程名称</w:t>
            </w:r>
          </w:p>
        </w:tc>
        <w:tc>
          <w:tcPr>
            <w:tcW w:w="6937" w:type="dxa"/>
            <w:gridSpan w:val="6"/>
            <w:shd w:val="clear" w:color="000000" w:fill="FFFFFF"/>
            <w:noWrap w:val="0"/>
            <w:tcMar>
              <w:left w:w="108" w:type="dxa"/>
              <w:right w:w="108" w:type="dxa"/>
            </w:tcMar>
            <w:vAlign w:val="center"/>
          </w:tcPr>
          <w:p w14:paraId="37FAB97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1799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678" w:type="dxa"/>
            <w:gridSpan w:val="2"/>
            <w:shd w:val="clear" w:color="000000" w:fill="FFFFFF"/>
            <w:noWrap w:val="0"/>
            <w:tcMar>
              <w:left w:w="108" w:type="dxa"/>
              <w:right w:w="108" w:type="dxa"/>
            </w:tcMar>
            <w:vAlign w:val="center"/>
          </w:tcPr>
          <w:p w14:paraId="54ACB143">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                (请务必填写单位全称)</w:t>
            </w:r>
          </w:p>
        </w:tc>
        <w:tc>
          <w:tcPr>
            <w:tcW w:w="6937" w:type="dxa"/>
            <w:gridSpan w:val="6"/>
            <w:shd w:val="clear" w:color="000000" w:fill="FFFFFF"/>
            <w:noWrap w:val="0"/>
            <w:tcMar>
              <w:left w:w="108" w:type="dxa"/>
              <w:right w:w="108" w:type="dxa"/>
            </w:tcMar>
            <w:vAlign w:val="center"/>
          </w:tcPr>
          <w:p w14:paraId="786A508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7733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678" w:type="dxa"/>
            <w:gridSpan w:val="2"/>
            <w:shd w:val="clear" w:color="000000" w:fill="FFFFFF"/>
            <w:noWrap w:val="0"/>
            <w:tcMar>
              <w:left w:w="108" w:type="dxa"/>
              <w:right w:w="108" w:type="dxa"/>
            </w:tcMar>
            <w:vAlign w:val="center"/>
          </w:tcPr>
          <w:p w14:paraId="3F4EC882">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投标人法定代表人或其</w:t>
            </w:r>
          </w:p>
          <w:p w14:paraId="6F09FF2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委托代理人签名</w:t>
            </w:r>
          </w:p>
        </w:tc>
        <w:tc>
          <w:tcPr>
            <w:tcW w:w="3527" w:type="dxa"/>
            <w:gridSpan w:val="3"/>
            <w:shd w:val="clear" w:color="000000" w:fill="FFFFFF"/>
            <w:noWrap w:val="0"/>
            <w:tcMar>
              <w:left w:w="108" w:type="dxa"/>
              <w:right w:w="108" w:type="dxa"/>
            </w:tcMar>
            <w:vAlign w:val="center"/>
          </w:tcPr>
          <w:p w14:paraId="2097286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754" w:type="dxa"/>
            <w:shd w:val="clear" w:color="000000" w:fill="FFFFFF"/>
            <w:noWrap w:val="0"/>
            <w:tcMar>
              <w:left w:w="108" w:type="dxa"/>
              <w:right w:w="108" w:type="dxa"/>
            </w:tcMar>
            <w:vAlign w:val="center"/>
          </w:tcPr>
          <w:p w14:paraId="55B70D1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手机号码</w:t>
            </w:r>
          </w:p>
        </w:tc>
        <w:tc>
          <w:tcPr>
            <w:tcW w:w="2656" w:type="dxa"/>
            <w:gridSpan w:val="2"/>
            <w:shd w:val="clear" w:color="000000" w:fill="FFFFFF"/>
            <w:noWrap w:val="0"/>
            <w:tcMar>
              <w:left w:w="108" w:type="dxa"/>
              <w:right w:w="108" w:type="dxa"/>
            </w:tcMar>
            <w:vAlign w:val="center"/>
          </w:tcPr>
          <w:p w14:paraId="77A2A12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1906C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9615" w:type="dxa"/>
            <w:gridSpan w:val="8"/>
            <w:shd w:val="clear" w:color="000000" w:fill="FFFFFF"/>
            <w:noWrap w:val="0"/>
            <w:tcMar>
              <w:left w:w="108" w:type="dxa"/>
              <w:right w:w="108" w:type="dxa"/>
            </w:tcMar>
            <w:vAlign w:val="center"/>
          </w:tcPr>
          <w:p w14:paraId="2C89F32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递交的证明材料原件如下：</w:t>
            </w:r>
          </w:p>
        </w:tc>
      </w:tr>
      <w:tr w14:paraId="7D4F6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1080" w:type="dxa"/>
            <w:shd w:val="clear" w:color="auto" w:fill="FFFFFF"/>
            <w:noWrap w:val="0"/>
            <w:tcMar>
              <w:left w:w="108" w:type="dxa"/>
              <w:right w:w="108" w:type="dxa"/>
            </w:tcMar>
            <w:vAlign w:val="center"/>
          </w:tcPr>
          <w:p w14:paraId="1A833AE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5125" w:type="dxa"/>
            <w:gridSpan w:val="4"/>
            <w:shd w:val="clear" w:color="auto" w:fill="FFFFFF"/>
            <w:noWrap w:val="0"/>
            <w:tcMar>
              <w:left w:w="108" w:type="dxa"/>
              <w:right w:w="108" w:type="dxa"/>
            </w:tcMar>
            <w:vAlign w:val="center"/>
          </w:tcPr>
          <w:p w14:paraId="3389403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证明材料原件名称</w:t>
            </w:r>
          </w:p>
        </w:tc>
        <w:tc>
          <w:tcPr>
            <w:tcW w:w="1712" w:type="dxa"/>
            <w:gridSpan w:val="2"/>
            <w:shd w:val="clear" w:color="auto" w:fill="FFFFFF"/>
            <w:noWrap w:val="0"/>
            <w:tcMar>
              <w:left w:w="108" w:type="dxa"/>
              <w:right w:w="108" w:type="dxa"/>
            </w:tcMar>
            <w:vAlign w:val="center"/>
          </w:tcPr>
          <w:p w14:paraId="7D5D9B0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1698" w:type="dxa"/>
            <w:shd w:val="clear" w:color="auto" w:fill="FFFFFF"/>
            <w:noWrap w:val="0"/>
            <w:tcMar>
              <w:left w:w="108" w:type="dxa"/>
              <w:right w:w="108" w:type="dxa"/>
            </w:tcMar>
            <w:vAlign w:val="center"/>
          </w:tcPr>
          <w:p w14:paraId="2CA8D83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r>
      <w:tr w14:paraId="14A49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1080" w:type="dxa"/>
            <w:shd w:val="clear" w:color="000000" w:fill="FFFFFF"/>
            <w:noWrap w:val="0"/>
            <w:tcMar>
              <w:left w:w="108" w:type="dxa"/>
              <w:right w:w="108" w:type="dxa"/>
            </w:tcMar>
            <w:vAlign w:val="center"/>
          </w:tcPr>
          <w:p w14:paraId="21E9E52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5" w:type="dxa"/>
            <w:gridSpan w:val="4"/>
            <w:shd w:val="clear" w:color="000000" w:fill="FFFFFF"/>
            <w:noWrap w:val="0"/>
            <w:tcMar>
              <w:left w:w="108" w:type="dxa"/>
              <w:right w:w="108" w:type="dxa"/>
            </w:tcMar>
            <w:vAlign w:val="center"/>
          </w:tcPr>
          <w:p w14:paraId="3B95D385">
            <w:pPr>
              <w:spacing w:line="360" w:lineRule="auto"/>
              <w:jc w:val="center"/>
              <w:rPr>
                <w:rFonts w:hint="eastAsia" w:ascii="宋体" w:hAnsi="宋体" w:eastAsia="宋体" w:cs="宋体"/>
                <w:color w:val="auto"/>
                <w:sz w:val="24"/>
                <w:szCs w:val="24"/>
                <w:highlight w:val="none"/>
              </w:rPr>
            </w:pPr>
          </w:p>
        </w:tc>
        <w:tc>
          <w:tcPr>
            <w:tcW w:w="1712" w:type="dxa"/>
            <w:gridSpan w:val="2"/>
            <w:shd w:val="clear" w:color="000000" w:fill="FFFFFF"/>
            <w:noWrap w:val="0"/>
            <w:tcMar>
              <w:left w:w="108" w:type="dxa"/>
              <w:right w:w="108" w:type="dxa"/>
            </w:tcMar>
            <w:vAlign w:val="center"/>
          </w:tcPr>
          <w:p w14:paraId="74EF94DD">
            <w:pPr>
              <w:spacing w:line="360" w:lineRule="auto"/>
              <w:jc w:val="center"/>
              <w:rPr>
                <w:rFonts w:hint="eastAsia" w:ascii="宋体" w:hAnsi="宋体" w:eastAsia="宋体" w:cs="宋体"/>
                <w:color w:val="auto"/>
                <w:sz w:val="24"/>
                <w:szCs w:val="24"/>
                <w:highlight w:val="none"/>
              </w:rPr>
            </w:pPr>
          </w:p>
        </w:tc>
        <w:tc>
          <w:tcPr>
            <w:tcW w:w="1698" w:type="dxa"/>
            <w:shd w:val="clear" w:color="000000" w:fill="FFFFFF"/>
            <w:noWrap w:val="0"/>
            <w:tcMar>
              <w:left w:w="108" w:type="dxa"/>
              <w:right w:w="108" w:type="dxa"/>
            </w:tcMar>
            <w:vAlign w:val="center"/>
          </w:tcPr>
          <w:p w14:paraId="3306A51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1523C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1080" w:type="dxa"/>
            <w:shd w:val="clear" w:color="000000" w:fill="FFFFFF"/>
            <w:noWrap w:val="0"/>
            <w:tcMar>
              <w:left w:w="108" w:type="dxa"/>
              <w:right w:w="108" w:type="dxa"/>
            </w:tcMar>
            <w:vAlign w:val="center"/>
          </w:tcPr>
          <w:p w14:paraId="3D03C61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125" w:type="dxa"/>
            <w:gridSpan w:val="4"/>
            <w:shd w:val="clear" w:color="000000" w:fill="FFFFFF"/>
            <w:noWrap w:val="0"/>
            <w:tcMar>
              <w:left w:w="108" w:type="dxa"/>
              <w:right w:w="108" w:type="dxa"/>
            </w:tcMar>
            <w:vAlign w:val="center"/>
          </w:tcPr>
          <w:p w14:paraId="0479391A">
            <w:pPr>
              <w:spacing w:line="360" w:lineRule="auto"/>
              <w:jc w:val="center"/>
              <w:rPr>
                <w:rFonts w:hint="eastAsia" w:ascii="宋体" w:hAnsi="宋体" w:eastAsia="宋体" w:cs="宋体"/>
                <w:color w:val="auto"/>
                <w:sz w:val="24"/>
                <w:szCs w:val="24"/>
                <w:highlight w:val="none"/>
              </w:rPr>
            </w:pPr>
          </w:p>
        </w:tc>
        <w:tc>
          <w:tcPr>
            <w:tcW w:w="1712" w:type="dxa"/>
            <w:gridSpan w:val="2"/>
            <w:shd w:val="clear" w:color="000000" w:fill="FFFFFF"/>
            <w:noWrap w:val="0"/>
            <w:tcMar>
              <w:left w:w="108" w:type="dxa"/>
              <w:right w:w="108" w:type="dxa"/>
            </w:tcMar>
            <w:vAlign w:val="center"/>
          </w:tcPr>
          <w:p w14:paraId="7C0677ED">
            <w:pPr>
              <w:spacing w:line="360" w:lineRule="auto"/>
              <w:jc w:val="center"/>
              <w:rPr>
                <w:rFonts w:hint="eastAsia" w:ascii="宋体" w:hAnsi="宋体" w:eastAsia="宋体" w:cs="宋体"/>
                <w:color w:val="auto"/>
                <w:sz w:val="24"/>
                <w:szCs w:val="24"/>
                <w:highlight w:val="none"/>
              </w:rPr>
            </w:pPr>
          </w:p>
        </w:tc>
        <w:tc>
          <w:tcPr>
            <w:tcW w:w="1698" w:type="dxa"/>
            <w:shd w:val="clear" w:color="000000" w:fill="FFFFFF"/>
            <w:noWrap w:val="0"/>
            <w:tcMar>
              <w:left w:w="108" w:type="dxa"/>
              <w:right w:w="108" w:type="dxa"/>
            </w:tcMar>
            <w:vAlign w:val="center"/>
          </w:tcPr>
          <w:p w14:paraId="03222DE9">
            <w:pPr>
              <w:spacing w:line="360" w:lineRule="auto"/>
              <w:jc w:val="center"/>
              <w:rPr>
                <w:rFonts w:hint="eastAsia" w:ascii="宋体" w:hAnsi="宋体" w:eastAsia="宋体" w:cs="宋体"/>
                <w:color w:val="auto"/>
                <w:sz w:val="24"/>
                <w:szCs w:val="24"/>
                <w:highlight w:val="none"/>
              </w:rPr>
            </w:pPr>
          </w:p>
        </w:tc>
      </w:tr>
      <w:tr w14:paraId="03449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1080" w:type="dxa"/>
            <w:shd w:val="clear" w:color="000000" w:fill="FFFFFF"/>
            <w:noWrap w:val="0"/>
            <w:tcMar>
              <w:left w:w="108" w:type="dxa"/>
              <w:right w:w="108" w:type="dxa"/>
            </w:tcMar>
            <w:vAlign w:val="center"/>
          </w:tcPr>
          <w:p w14:paraId="0C3067B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125" w:type="dxa"/>
            <w:gridSpan w:val="4"/>
            <w:shd w:val="clear" w:color="000000" w:fill="FFFFFF"/>
            <w:noWrap w:val="0"/>
            <w:tcMar>
              <w:left w:w="108" w:type="dxa"/>
              <w:right w:w="108" w:type="dxa"/>
            </w:tcMar>
            <w:vAlign w:val="center"/>
          </w:tcPr>
          <w:p w14:paraId="36267F94">
            <w:pPr>
              <w:spacing w:line="360" w:lineRule="auto"/>
              <w:jc w:val="center"/>
              <w:rPr>
                <w:rFonts w:hint="eastAsia" w:ascii="宋体" w:hAnsi="宋体" w:eastAsia="宋体" w:cs="宋体"/>
                <w:color w:val="auto"/>
                <w:sz w:val="24"/>
                <w:szCs w:val="24"/>
                <w:highlight w:val="none"/>
              </w:rPr>
            </w:pPr>
          </w:p>
        </w:tc>
        <w:tc>
          <w:tcPr>
            <w:tcW w:w="1712" w:type="dxa"/>
            <w:gridSpan w:val="2"/>
            <w:shd w:val="clear" w:color="000000" w:fill="FFFFFF"/>
            <w:noWrap w:val="0"/>
            <w:tcMar>
              <w:left w:w="108" w:type="dxa"/>
              <w:right w:w="108" w:type="dxa"/>
            </w:tcMar>
            <w:vAlign w:val="center"/>
          </w:tcPr>
          <w:p w14:paraId="217BD715">
            <w:pPr>
              <w:spacing w:line="360" w:lineRule="auto"/>
              <w:jc w:val="center"/>
              <w:rPr>
                <w:rFonts w:hint="eastAsia" w:ascii="宋体" w:hAnsi="宋体" w:eastAsia="宋体" w:cs="宋体"/>
                <w:color w:val="auto"/>
                <w:sz w:val="24"/>
                <w:szCs w:val="24"/>
                <w:highlight w:val="none"/>
              </w:rPr>
            </w:pPr>
          </w:p>
        </w:tc>
        <w:tc>
          <w:tcPr>
            <w:tcW w:w="1698" w:type="dxa"/>
            <w:shd w:val="clear" w:color="000000" w:fill="FFFFFF"/>
            <w:noWrap w:val="0"/>
            <w:tcMar>
              <w:left w:w="108" w:type="dxa"/>
              <w:right w:w="108" w:type="dxa"/>
            </w:tcMar>
            <w:vAlign w:val="center"/>
          </w:tcPr>
          <w:p w14:paraId="48BF4003">
            <w:pPr>
              <w:spacing w:line="360" w:lineRule="auto"/>
              <w:jc w:val="center"/>
              <w:rPr>
                <w:rFonts w:hint="eastAsia" w:ascii="宋体" w:hAnsi="宋体" w:eastAsia="宋体" w:cs="宋体"/>
                <w:color w:val="auto"/>
                <w:sz w:val="24"/>
                <w:szCs w:val="24"/>
                <w:highlight w:val="none"/>
              </w:rPr>
            </w:pPr>
          </w:p>
        </w:tc>
      </w:tr>
      <w:tr w14:paraId="5E2F1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1080" w:type="dxa"/>
            <w:shd w:val="clear" w:color="000000" w:fill="FFFFFF"/>
            <w:noWrap w:val="0"/>
            <w:tcMar>
              <w:left w:w="108" w:type="dxa"/>
              <w:right w:w="108" w:type="dxa"/>
            </w:tcMar>
            <w:vAlign w:val="center"/>
          </w:tcPr>
          <w:p w14:paraId="0A36FE3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5125" w:type="dxa"/>
            <w:gridSpan w:val="4"/>
            <w:shd w:val="clear" w:color="000000" w:fill="FFFFFF"/>
            <w:noWrap w:val="0"/>
            <w:tcMar>
              <w:left w:w="108" w:type="dxa"/>
              <w:right w:w="108" w:type="dxa"/>
            </w:tcMar>
            <w:vAlign w:val="center"/>
          </w:tcPr>
          <w:p w14:paraId="580BC8EE">
            <w:pPr>
              <w:spacing w:line="360" w:lineRule="auto"/>
              <w:jc w:val="center"/>
              <w:rPr>
                <w:rFonts w:hint="eastAsia" w:ascii="宋体" w:hAnsi="宋体" w:eastAsia="宋体" w:cs="宋体"/>
                <w:color w:val="auto"/>
                <w:sz w:val="24"/>
                <w:szCs w:val="24"/>
                <w:highlight w:val="none"/>
              </w:rPr>
            </w:pPr>
          </w:p>
        </w:tc>
        <w:tc>
          <w:tcPr>
            <w:tcW w:w="1712" w:type="dxa"/>
            <w:gridSpan w:val="2"/>
            <w:shd w:val="clear" w:color="000000" w:fill="FFFFFF"/>
            <w:noWrap w:val="0"/>
            <w:tcMar>
              <w:left w:w="108" w:type="dxa"/>
              <w:right w:w="108" w:type="dxa"/>
            </w:tcMar>
            <w:vAlign w:val="center"/>
          </w:tcPr>
          <w:p w14:paraId="0DBAD991">
            <w:pPr>
              <w:spacing w:line="360" w:lineRule="auto"/>
              <w:jc w:val="center"/>
              <w:rPr>
                <w:rFonts w:hint="eastAsia" w:ascii="宋体" w:hAnsi="宋体" w:eastAsia="宋体" w:cs="宋体"/>
                <w:color w:val="auto"/>
                <w:sz w:val="24"/>
                <w:szCs w:val="24"/>
                <w:highlight w:val="none"/>
              </w:rPr>
            </w:pPr>
          </w:p>
        </w:tc>
        <w:tc>
          <w:tcPr>
            <w:tcW w:w="1698" w:type="dxa"/>
            <w:shd w:val="clear" w:color="000000" w:fill="FFFFFF"/>
            <w:noWrap w:val="0"/>
            <w:tcMar>
              <w:left w:w="108" w:type="dxa"/>
              <w:right w:w="108" w:type="dxa"/>
            </w:tcMar>
            <w:vAlign w:val="center"/>
          </w:tcPr>
          <w:p w14:paraId="5AE583F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44E1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78" w:hRule="atLeast"/>
        </w:trPr>
        <w:tc>
          <w:tcPr>
            <w:tcW w:w="1080" w:type="dxa"/>
            <w:shd w:val="clear" w:color="auto" w:fill="FFFFFF"/>
            <w:noWrap w:val="0"/>
            <w:tcMar>
              <w:left w:w="108" w:type="dxa"/>
              <w:right w:w="108" w:type="dxa"/>
            </w:tcMar>
            <w:vAlign w:val="center"/>
          </w:tcPr>
          <w:p w14:paraId="7774CC93">
            <w:pPr>
              <w:spacing w:line="360" w:lineRule="auto"/>
              <w:ind w:left="8" w:hanging="94"/>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tc>
        <w:tc>
          <w:tcPr>
            <w:tcW w:w="8535" w:type="dxa"/>
            <w:gridSpan w:val="7"/>
            <w:shd w:val="clear" w:color="auto" w:fill="FFFFFF"/>
            <w:noWrap w:val="0"/>
            <w:tcMar>
              <w:left w:w="108" w:type="dxa"/>
              <w:right w:w="108" w:type="dxa"/>
            </w:tcMar>
            <w:vAlign w:val="center"/>
          </w:tcPr>
          <w:p w14:paraId="327CC7EB">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22639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53" w:hRule="atLeast"/>
        </w:trPr>
        <w:tc>
          <w:tcPr>
            <w:tcW w:w="3360" w:type="dxa"/>
            <w:gridSpan w:val="3"/>
            <w:shd w:val="clear" w:color="000000" w:fill="FFFFFF"/>
            <w:noWrap w:val="0"/>
            <w:tcMar>
              <w:left w:w="108" w:type="dxa"/>
              <w:right w:w="108" w:type="dxa"/>
            </w:tcMar>
            <w:vAlign w:val="center"/>
          </w:tcPr>
          <w:p w14:paraId="3C12256C">
            <w:pPr>
              <w:spacing w:line="360" w:lineRule="auto"/>
              <w:jc w:val="center"/>
              <w:rPr>
                <w:rFonts w:hint="eastAsia" w:ascii="宋体" w:hAnsi="宋体" w:eastAsia="宋体" w:cs="宋体"/>
                <w:color w:val="auto"/>
                <w:sz w:val="24"/>
                <w:szCs w:val="24"/>
                <w:highlight w:val="none"/>
              </w:rPr>
            </w:pPr>
          </w:p>
          <w:p w14:paraId="14E5ADE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接收原件经办人(招标代理)：</w:t>
            </w:r>
          </w:p>
        </w:tc>
        <w:tc>
          <w:tcPr>
            <w:tcW w:w="1220" w:type="dxa"/>
            <w:shd w:val="clear" w:color="000000" w:fill="FFFFFF"/>
            <w:noWrap w:val="0"/>
            <w:tcMar>
              <w:left w:w="108" w:type="dxa"/>
              <w:right w:w="108" w:type="dxa"/>
            </w:tcMar>
            <w:vAlign w:val="center"/>
          </w:tcPr>
          <w:p w14:paraId="74A04E35">
            <w:pPr>
              <w:spacing w:line="360" w:lineRule="auto"/>
              <w:jc w:val="center"/>
              <w:rPr>
                <w:rFonts w:hint="eastAsia" w:ascii="宋体" w:hAnsi="宋体" w:eastAsia="宋体" w:cs="宋体"/>
                <w:color w:val="auto"/>
                <w:sz w:val="24"/>
                <w:szCs w:val="24"/>
                <w:highlight w:val="none"/>
              </w:rPr>
            </w:pPr>
          </w:p>
        </w:tc>
        <w:tc>
          <w:tcPr>
            <w:tcW w:w="1625" w:type="dxa"/>
            <w:shd w:val="clear" w:color="000000" w:fill="FFFFFF"/>
            <w:noWrap w:val="0"/>
            <w:tcMar>
              <w:left w:w="108" w:type="dxa"/>
              <w:right w:w="108" w:type="dxa"/>
            </w:tcMar>
            <w:vAlign w:val="center"/>
          </w:tcPr>
          <w:p w14:paraId="3F8F353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接收时间：</w:t>
            </w:r>
          </w:p>
        </w:tc>
        <w:tc>
          <w:tcPr>
            <w:tcW w:w="3410" w:type="dxa"/>
            <w:gridSpan w:val="3"/>
            <w:shd w:val="clear" w:color="000000" w:fill="FFFFFF"/>
            <w:noWrap w:val="0"/>
            <w:tcMar>
              <w:left w:w="108" w:type="dxa"/>
              <w:right w:w="108" w:type="dxa"/>
            </w:tcMar>
            <w:vAlign w:val="center"/>
          </w:tcPr>
          <w:p w14:paraId="6E90B756">
            <w:pPr>
              <w:spacing w:line="360" w:lineRule="auto"/>
              <w:ind w:firstLine="240" w:firstLineChars="1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月   日   时  分</w:t>
            </w:r>
          </w:p>
        </w:tc>
      </w:tr>
      <w:tr w14:paraId="5C5F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0" w:hRule="atLeast"/>
        </w:trPr>
        <w:tc>
          <w:tcPr>
            <w:tcW w:w="3360" w:type="dxa"/>
            <w:gridSpan w:val="3"/>
            <w:shd w:val="clear" w:color="000000" w:fill="FFFFFF"/>
            <w:noWrap w:val="0"/>
            <w:tcMar>
              <w:left w:w="108" w:type="dxa"/>
              <w:right w:w="108" w:type="dxa"/>
            </w:tcMar>
            <w:vAlign w:val="center"/>
          </w:tcPr>
          <w:p w14:paraId="35A1D36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退还原件接收人(投标人)：</w:t>
            </w:r>
          </w:p>
        </w:tc>
        <w:tc>
          <w:tcPr>
            <w:tcW w:w="1220" w:type="dxa"/>
            <w:shd w:val="clear" w:color="000000" w:fill="FFFFFF"/>
            <w:noWrap w:val="0"/>
            <w:tcMar>
              <w:left w:w="108" w:type="dxa"/>
              <w:right w:w="108" w:type="dxa"/>
            </w:tcMar>
            <w:vAlign w:val="center"/>
          </w:tcPr>
          <w:p w14:paraId="3D26289E">
            <w:pPr>
              <w:spacing w:line="360" w:lineRule="auto"/>
              <w:jc w:val="center"/>
              <w:rPr>
                <w:rFonts w:hint="eastAsia" w:ascii="宋体" w:hAnsi="宋体" w:eastAsia="宋体" w:cs="宋体"/>
                <w:color w:val="auto"/>
                <w:sz w:val="24"/>
                <w:szCs w:val="24"/>
                <w:highlight w:val="none"/>
              </w:rPr>
            </w:pPr>
          </w:p>
        </w:tc>
        <w:tc>
          <w:tcPr>
            <w:tcW w:w="1625" w:type="dxa"/>
            <w:shd w:val="clear" w:color="000000" w:fill="FFFFFF"/>
            <w:noWrap w:val="0"/>
            <w:tcMar>
              <w:left w:w="108" w:type="dxa"/>
              <w:right w:w="108" w:type="dxa"/>
            </w:tcMar>
            <w:vAlign w:val="center"/>
          </w:tcPr>
          <w:p w14:paraId="02CBD4F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退还时间：</w:t>
            </w:r>
          </w:p>
        </w:tc>
        <w:tc>
          <w:tcPr>
            <w:tcW w:w="3410" w:type="dxa"/>
            <w:gridSpan w:val="3"/>
            <w:shd w:val="clear" w:color="000000" w:fill="FFFFFF"/>
            <w:noWrap w:val="0"/>
            <w:tcMar>
              <w:left w:w="108" w:type="dxa"/>
              <w:right w:w="108" w:type="dxa"/>
            </w:tcMar>
            <w:vAlign w:val="center"/>
          </w:tcPr>
          <w:p w14:paraId="037CCFCD">
            <w:pPr>
              <w:spacing w:line="360" w:lineRule="auto"/>
              <w:ind w:firstLine="240" w:firstLineChars="1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月   日   时   分</w:t>
            </w:r>
          </w:p>
        </w:tc>
      </w:tr>
    </w:tbl>
    <w:p w14:paraId="7B4F985D">
      <w:pPr>
        <w:snapToGrid w:val="0"/>
        <w:spacing w:line="168" w:lineRule="auto"/>
        <w:rPr>
          <w:rFonts w:hint="eastAsia" w:ascii="宋体" w:hAnsi="宋体" w:eastAsia="宋体" w:cs="宋体"/>
          <w:color w:val="auto"/>
          <w:highlight w:val="none"/>
        </w:rPr>
      </w:pPr>
    </w:p>
    <w:p w14:paraId="22CB1DEE">
      <w:pPr>
        <w:rPr>
          <w:rFonts w:hint="eastAsia" w:ascii="宋体" w:hAnsi="宋体" w:eastAsia="宋体" w:cs="宋体"/>
          <w:color w:val="auto"/>
          <w:highlight w:val="none"/>
        </w:rPr>
      </w:pPr>
    </w:p>
    <w:p w14:paraId="6F8F9D27">
      <w:pPr>
        <w:rPr>
          <w:rFonts w:hint="eastAsia" w:ascii="宋体" w:hAnsi="宋体" w:eastAsia="宋体" w:cs="宋体"/>
          <w:color w:val="auto"/>
          <w:highlight w:val="none"/>
        </w:rPr>
      </w:pPr>
    </w:p>
    <w:p w14:paraId="09C334EB">
      <w:pPr>
        <w:rPr>
          <w:rFonts w:hint="eastAsia" w:ascii="宋体" w:hAnsi="宋体" w:eastAsia="宋体" w:cs="宋体"/>
          <w:color w:val="auto"/>
          <w:highlight w:val="none"/>
        </w:rPr>
      </w:pPr>
    </w:p>
    <w:p w14:paraId="21976A3E">
      <w:pPr>
        <w:rPr>
          <w:rFonts w:hint="eastAsia" w:ascii="宋体" w:hAnsi="宋体" w:eastAsia="宋体" w:cs="宋体"/>
          <w:color w:val="auto"/>
          <w:highlight w:val="none"/>
        </w:rPr>
      </w:pPr>
    </w:p>
    <w:p w14:paraId="7CC7EE4C">
      <w:pPr>
        <w:rPr>
          <w:rFonts w:hint="eastAsia" w:ascii="宋体" w:hAnsi="宋体" w:eastAsia="宋体" w:cs="宋体"/>
          <w:color w:val="auto"/>
          <w:highlight w:val="none"/>
        </w:rPr>
      </w:pPr>
    </w:p>
    <w:bookmarkEnd w:id="299"/>
    <w:bookmarkEnd w:id="300"/>
    <w:p w14:paraId="2B0A9126">
      <w:pPr>
        <w:rPr>
          <w:rFonts w:hint="eastAsia" w:ascii="宋体" w:hAnsi="宋体" w:eastAsia="宋体" w:cs="宋体"/>
          <w:b/>
          <w:snapToGrid w:val="0"/>
          <w:color w:val="auto"/>
          <w:sz w:val="24"/>
          <w:highlight w:val="none"/>
        </w:rPr>
      </w:pPr>
      <w:bookmarkStart w:id="341" w:name="_附件二十一：土建工程、电气工程、给排水工程工程清单项目费汇总表"/>
      <w:bookmarkEnd w:id="341"/>
      <w:bookmarkStart w:id="342" w:name="_Hlt87783244"/>
      <w:bookmarkEnd w:id="342"/>
      <w:bookmarkStart w:id="343" w:name="_附件十六：措施项目清单计价表"/>
      <w:bookmarkEnd w:id="343"/>
      <w:bookmarkStart w:id="344" w:name="_Hlt87793582"/>
      <w:bookmarkEnd w:id="344"/>
      <w:bookmarkStart w:id="345" w:name="_Toc137444778"/>
      <w:bookmarkStart w:id="346" w:name="_Toc132687128"/>
      <w:bookmarkStart w:id="347" w:name="_Toc13722"/>
      <w:bookmarkStart w:id="348" w:name="_Toc142468134"/>
      <w:bookmarkStart w:id="349" w:name="_Toc9150"/>
      <w:bookmarkStart w:id="350" w:name="_Toc133160683"/>
      <w:bookmarkStart w:id="351" w:name="_Toc1967"/>
      <w:bookmarkStart w:id="352" w:name="_Toc133815902"/>
      <w:bookmarkStart w:id="353" w:name="_Toc78794873"/>
      <w:r>
        <w:rPr>
          <w:rFonts w:hint="eastAsia" w:ascii="宋体" w:hAnsi="宋体" w:eastAsia="宋体" w:cs="宋体"/>
          <w:b/>
          <w:snapToGrid w:val="0"/>
          <w:color w:val="auto"/>
          <w:sz w:val="24"/>
          <w:highlight w:val="none"/>
        </w:rPr>
        <w:br w:type="page"/>
      </w:r>
    </w:p>
    <w:p w14:paraId="5B4BD915">
      <w:pPr>
        <w:pStyle w:val="3"/>
        <w:wordWrap w:val="0"/>
        <w:autoSpaceDE/>
        <w:autoSpaceDN/>
        <w:snapToGrid w:val="0"/>
        <w:spacing w:line="360" w:lineRule="auto"/>
        <w:jc w:val="center"/>
        <w:rPr>
          <w:rFonts w:hint="eastAsia" w:ascii="宋体" w:hAnsi="宋体" w:eastAsia="宋体" w:cs="宋体"/>
          <w:snapToGrid w:val="0"/>
          <w:color w:val="auto"/>
          <w:kern w:val="0"/>
          <w:highlight w:val="none"/>
        </w:rPr>
      </w:pPr>
      <w:r>
        <w:rPr>
          <w:rFonts w:hint="eastAsia" w:ascii="宋体" w:hAnsi="宋体" w:eastAsia="宋体" w:cs="宋体"/>
          <w:b/>
          <w:snapToGrid w:val="0"/>
          <w:color w:val="auto"/>
          <w:sz w:val="24"/>
          <w:highlight w:val="none"/>
        </w:rPr>
        <w:t>第七章</w:t>
      </w:r>
      <w:r>
        <w:rPr>
          <w:rFonts w:hint="eastAsia" w:ascii="宋体" w:hAnsi="宋体" w:eastAsia="宋体" w:cs="宋体"/>
          <w:b/>
          <w:snapToGrid w:val="0"/>
          <w:color w:val="auto"/>
          <w:sz w:val="24"/>
          <w:highlight w:val="none"/>
          <w:lang w:val="en-US" w:eastAsia="zh-CN"/>
        </w:rPr>
        <w:t xml:space="preserve">   </w:t>
      </w:r>
      <w:r>
        <w:rPr>
          <w:rFonts w:hint="eastAsia" w:ascii="宋体" w:hAnsi="宋体" w:eastAsia="宋体" w:cs="宋体"/>
          <w:b/>
          <w:snapToGrid w:val="0"/>
          <w:color w:val="auto"/>
          <w:sz w:val="24"/>
          <w:highlight w:val="none"/>
        </w:rPr>
        <w:t>建设工程施工合同</w:t>
      </w:r>
      <w:bookmarkEnd w:id="345"/>
      <w:bookmarkEnd w:id="346"/>
      <w:bookmarkEnd w:id="347"/>
      <w:bookmarkEnd w:id="348"/>
      <w:bookmarkEnd w:id="349"/>
      <w:bookmarkEnd w:id="350"/>
      <w:bookmarkEnd w:id="351"/>
    </w:p>
    <w:p w14:paraId="609088B4">
      <w:pPr>
        <w:wordWrap w:val="0"/>
        <w:adjustRightInd w:val="0"/>
        <w:snapToGrid w:val="0"/>
        <w:spacing w:line="360" w:lineRule="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sz w:val="24"/>
          <w:szCs w:val="24"/>
          <w:highlight w:val="none"/>
        </w:rPr>
        <w:t>（略），</w:t>
      </w:r>
      <w:bookmarkEnd w:id="352"/>
      <w:bookmarkEnd w:id="353"/>
      <w:r>
        <w:rPr>
          <w:rFonts w:hint="eastAsia" w:ascii="宋体" w:hAnsi="宋体" w:eastAsia="宋体" w:cs="宋体"/>
          <w:snapToGrid w:val="0"/>
          <w:color w:val="auto"/>
          <w:kern w:val="0"/>
          <w:sz w:val="24"/>
          <w:szCs w:val="24"/>
          <w:highlight w:val="none"/>
        </w:rPr>
        <w:t>按《广东省建设工程标准施工合同》（2009年版）或《建设工程施工合同（示范文本）》（GF—2017—0201）执行。</w:t>
      </w:r>
    </w:p>
    <w:p w14:paraId="55227DCA">
      <w:pPr>
        <w:spacing w:before="78" w:line="360" w:lineRule="auto"/>
        <w:ind w:firstLine="480"/>
        <w:rPr>
          <w:rFonts w:hint="eastAsia" w:ascii="宋体" w:hAnsi="宋体" w:eastAsia="宋体" w:cs="宋体"/>
          <w:color w:val="auto"/>
          <w:sz w:val="24"/>
          <w:szCs w:val="24"/>
          <w:highlight w:val="none"/>
        </w:rPr>
      </w:pPr>
    </w:p>
    <w:sectPr>
      <w:pgSz w:w="11906" w:h="16839"/>
      <w:pgMar w:top="1134" w:right="1134" w:bottom="1134" w:left="1134" w:header="850" w:footer="850" w:gutter="0"/>
      <w:pgBorders>
        <w:top w:val="none" w:sz="0" w:space="0"/>
        <w:left w:val="none" w:sz="0" w:space="0"/>
        <w:bottom w:val="none" w:sz="0" w:space="0"/>
        <w:right w:val="none" w:sz="0" w:space="0"/>
      </w:pgBorders>
      <w:pgNumType w:fmt="decimal"/>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F"/>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汉仪劲楷简">
    <w:panose1 w:val="00020600040101010101"/>
    <w:charset w:val="86"/>
    <w:family w:val="auto"/>
    <w:pitch w:val="default"/>
    <w:sig w:usb0="A00002BF" w:usb1="18EF7CFA" w:usb2="00000016" w:usb3="00000000" w:csb0="00040000" w:csb1="00000000"/>
  </w:font>
  <w:font w:name="汉仪文黑-85W">
    <w:panose1 w:val="00020600040101010101"/>
    <w:charset w:val="86"/>
    <w:family w:val="roman"/>
    <w:pitch w:val="default"/>
    <w:sig w:usb0="A00002BF" w:usb1="1ACF7CFA" w:usb2="00000016" w:usb3="00000000" w:csb0="0004009F" w:csb1="DFD70000"/>
  </w:font>
  <w:font w:name="汉仪文黑-55简">
    <w:panose1 w:val="00020600040101010101"/>
    <w:charset w:val="86"/>
    <w:family w:val="roman"/>
    <w:pitch w:val="default"/>
    <w:sig w:usb0="A00002BF" w:usb1="1ACF7CFA" w:usb2="00000016" w:usb3="00000000" w:csb0="0004009F" w:csb1="DFD70000"/>
  </w:font>
  <w:font w:name="新宋体">
    <w:panose1 w:val="02010609030101010101"/>
    <w:charset w:val="86"/>
    <w:family w:val="auto"/>
    <w:pitch w:val="default"/>
    <w:sig w:usb0="00000203" w:usb1="288F0000" w:usb2="00000006" w:usb3="00000000" w:csb0="00040001" w:csb1="00000000"/>
  </w:font>
  <w:font w:name="Arial Unicode MS">
    <w:panose1 w:val="020B0604020202020204"/>
    <w:charset w:val="86"/>
    <w:family w:val="roman"/>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AFB69">
    <w:pPr>
      <w:pStyle w:val="16"/>
      <w:tabs>
        <w:tab w:val="left" w:pos="6102"/>
        <w:tab w:val="clear" w:pos="4153"/>
      </w:tabs>
      <w:rPr>
        <w:rFonts w:hint="eastAsia" w:eastAsia="宋体"/>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A11E73">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DA11E73">
                    <w:pPr>
                      <w:pStyle w:val="16"/>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eastAsia="宋体"/>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CAE0F">
    <w:pPr>
      <w:pStyle w:val="8"/>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abstractNum w:abstractNumId="1">
    <w:nsid w:val="00000001"/>
    <w:multiLevelType w:val="singleLevel"/>
    <w:tmpl w:val="00000001"/>
    <w:lvl w:ilvl="0" w:tentative="0">
      <w:start w:val="1"/>
      <w:numFmt w:val="decimal"/>
      <w:suff w:val="nothing"/>
      <w:lvlText w:val="%1．"/>
      <w:lvlJc w:val="left"/>
      <w:pPr>
        <w:ind w:left="0" w:firstLine="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isplayBackgroundShape w:val="1"/>
  <w:bordersDoNotSurroundHeader w:val="0"/>
  <w:bordersDoNotSurroundFooter w:val="0"/>
  <w:documentProtection w:enforcement="0"/>
  <w:defaultTabStop w:val="500"/>
  <w:hyphenationZone w:val="360"/>
  <w:displayHorizontalDrawingGridEvery w:val="1"/>
  <w:displayVerticalDrawingGridEvery w:val="1"/>
  <w:noPunctuationKerning w:val="1"/>
  <w:characterSpacingControl w:val="doNotCompress"/>
  <w:hdrShapeDefaults>
    <o:shapelayout v:ext="edit">
      <o:idmap v:ext="edit" data="2"/>
    </o:shapelayout>
  </w:hdrShapeDefaults>
  <w:compat>
    <w:spaceForUL/>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3MGIxMTBiNDNjZjYzNDdjYzI5YTAwYjZmMGE0NTMifQ=="/>
    <w:docVar w:name="KSO_WPS_MARK_KEY" w:val="6f1ed6e0-1a31-40b8-b5e7-63682a01dd85"/>
  </w:docVars>
  <w:rsids>
    <w:rsidRoot w:val="00D93B1F"/>
    <w:rsid w:val="002271DC"/>
    <w:rsid w:val="00375761"/>
    <w:rsid w:val="0061778C"/>
    <w:rsid w:val="007902EC"/>
    <w:rsid w:val="008145AB"/>
    <w:rsid w:val="00A47D6E"/>
    <w:rsid w:val="00B311AF"/>
    <w:rsid w:val="00D93B1F"/>
    <w:rsid w:val="00DD4CCE"/>
    <w:rsid w:val="00E365EF"/>
    <w:rsid w:val="014D560B"/>
    <w:rsid w:val="020C175F"/>
    <w:rsid w:val="024149A6"/>
    <w:rsid w:val="024A3A67"/>
    <w:rsid w:val="03695DE7"/>
    <w:rsid w:val="03B23B30"/>
    <w:rsid w:val="04182A85"/>
    <w:rsid w:val="0462389C"/>
    <w:rsid w:val="048C3708"/>
    <w:rsid w:val="04B262BE"/>
    <w:rsid w:val="05023882"/>
    <w:rsid w:val="050D4A98"/>
    <w:rsid w:val="053D5C48"/>
    <w:rsid w:val="057E0DE3"/>
    <w:rsid w:val="05DC138F"/>
    <w:rsid w:val="06386C77"/>
    <w:rsid w:val="06C1202B"/>
    <w:rsid w:val="082B68AC"/>
    <w:rsid w:val="08897E49"/>
    <w:rsid w:val="094270B6"/>
    <w:rsid w:val="09667597"/>
    <w:rsid w:val="097F6AA4"/>
    <w:rsid w:val="09C86F91"/>
    <w:rsid w:val="0A2166A1"/>
    <w:rsid w:val="0A362C59"/>
    <w:rsid w:val="0A4A5BF8"/>
    <w:rsid w:val="0A9B6453"/>
    <w:rsid w:val="0AA51080"/>
    <w:rsid w:val="0B0A655D"/>
    <w:rsid w:val="0B1F549C"/>
    <w:rsid w:val="0B293A5F"/>
    <w:rsid w:val="0B471455"/>
    <w:rsid w:val="0BD240F7"/>
    <w:rsid w:val="0C114FCF"/>
    <w:rsid w:val="0C2D0ECF"/>
    <w:rsid w:val="0C8A1D9B"/>
    <w:rsid w:val="0CA1581F"/>
    <w:rsid w:val="0D177993"/>
    <w:rsid w:val="0D7F57E0"/>
    <w:rsid w:val="0D9A5BFA"/>
    <w:rsid w:val="0DB241E0"/>
    <w:rsid w:val="0DBF556A"/>
    <w:rsid w:val="0EA0228A"/>
    <w:rsid w:val="0EF27F68"/>
    <w:rsid w:val="0F0806AD"/>
    <w:rsid w:val="0F0E2D86"/>
    <w:rsid w:val="0F2409F2"/>
    <w:rsid w:val="10091ED2"/>
    <w:rsid w:val="10C36704"/>
    <w:rsid w:val="112F1FB5"/>
    <w:rsid w:val="11505CD4"/>
    <w:rsid w:val="120772B8"/>
    <w:rsid w:val="121D6DAA"/>
    <w:rsid w:val="12445622"/>
    <w:rsid w:val="12866648"/>
    <w:rsid w:val="12940347"/>
    <w:rsid w:val="129F5010"/>
    <w:rsid w:val="12EA61CA"/>
    <w:rsid w:val="132959D5"/>
    <w:rsid w:val="132E3428"/>
    <w:rsid w:val="13800D84"/>
    <w:rsid w:val="13864617"/>
    <w:rsid w:val="13D06744"/>
    <w:rsid w:val="142C719B"/>
    <w:rsid w:val="14EB5874"/>
    <w:rsid w:val="15033573"/>
    <w:rsid w:val="151A1F54"/>
    <w:rsid w:val="154E1149"/>
    <w:rsid w:val="15520CA1"/>
    <w:rsid w:val="15560382"/>
    <w:rsid w:val="15881947"/>
    <w:rsid w:val="15922DE5"/>
    <w:rsid w:val="160D2073"/>
    <w:rsid w:val="162A4334"/>
    <w:rsid w:val="16951380"/>
    <w:rsid w:val="17422EB4"/>
    <w:rsid w:val="175B58E8"/>
    <w:rsid w:val="17E94CA2"/>
    <w:rsid w:val="183B5119"/>
    <w:rsid w:val="185C0E6D"/>
    <w:rsid w:val="185D269D"/>
    <w:rsid w:val="19067AD5"/>
    <w:rsid w:val="19143FA0"/>
    <w:rsid w:val="19636CD6"/>
    <w:rsid w:val="199D1A86"/>
    <w:rsid w:val="19A327C1"/>
    <w:rsid w:val="19A4086C"/>
    <w:rsid w:val="19A74E14"/>
    <w:rsid w:val="1AF84A59"/>
    <w:rsid w:val="1B1B5C83"/>
    <w:rsid w:val="1B3A75C2"/>
    <w:rsid w:val="1B520060"/>
    <w:rsid w:val="1BB83309"/>
    <w:rsid w:val="1BC872C4"/>
    <w:rsid w:val="1C89735A"/>
    <w:rsid w:val="1CF0262F"/>
    <w:rsid w:val="1CF97604"/>
    <w:rsid w:val="1D962329"/>
    <w:rsid w:val="1E162BB9"/>
    <w:rsid w:val="1E186857"/>
    <w:rsid w:val="1E2A7432"/>
    <w:rsid w:val="1E6257AE"/>
    <w:rsid w:val="1EC75611"/>
    <w:rsid w:val="1F532028"/>
    <w:rsid w:val="1F9C53AF"/>
    <w:rsid w:val="1FD75BF2"/>
    <w:rsid w:val="20060769"/>
    <w:rsid w:val="205C3B0B"/>
    <w:rsid w:val="20895274"/>
    <w:rsid w:val="20D40A71"/>
    <w:rsid w:val="210802D8"/>
    <w:rsid w:val="21315CC2"/>
    <w:rsid w:val="214C004F"/>
    <w:rsid w:val="21BC6555"/>
    <w:rsid w:val="21E2415B"/>
    <w:rsid w:val="21EC28A0"/>
    <w:rsid w:val="22625041"/>
    <w:rsid w:val="23113827"/>
    <w:rsid w:val="23F76998"/>
    <w:rsid w:val="240259E5"/>
    <w:rsid w:val="245C4A4D"/>
    <w:rsid w:val="248E4AE1"/>
    <w:rsid w:val="24B95358"/>
    <w:rsid w:val="257D5945"/>
    <w:rsid w:val="258A4526"/>
    <w:rsid w:val="25EF3DCB"/>
    <w:rsid w:val="268F519D"/>
    <w:rsid w:val="26F57B3D"/>
    <w:rsid w:val="273B6B9C"/>
    <w:rsid w:val="27A4422C"/>
    <w:rsid w:val="27D35BD7"/>
    <w:rsid w:val="27FC7AB5"/>
    <w:rsid w:val="281318C7"/>
    <w:rsid w:val="28136333"/>
    <w:rsid w:val="28BF3AFE"/>
    <w:rsid w:val="298B2C60"/>
    <w:rsid w:val="298D5819"/>
    <w:rsid w:val="29957EB6"/>
    <w:rsid w:val="2996303E"/>
    <w:rsid w:val="2A170EE6"/>
    <w:rsid w:val="2AA35349"/>
    <w:rsid w:val="2B2C33CC"/>
    <w:rsid w:val="2B6F5066"/>
    <w:rsid w:val="2B783745"/>
    <w:rsid w:val="2B7946DC"/>
    <w:rsid w:val="2C1C51EE"/>
    <w:rsid w:val="2C4464F3"/>
    <w:rsid w:val="2C7D05EC"/>
    <w:rsid w:val="2CC71519"/>
    <w:rsid w:val="2CE86152"/>
    <w:rsid w:val="2DE60A9D"/>
    <w:rsid w:val="2DFE26E6"/>
    <w:rsid w:val="2E521472"/>
    <w:rsid w:val="2E7E14C9"/>
    <w:rsid w:val="2E9E6481"/>
    <w:rsid w:val="2EA017BB"/>
    <w:rsid w:val="2EEB0EA8"/>
    <w:rsid w:val="2EF20488"/>
    <w:rsid w:val="2F330779"/>
    <w:rsid w:val="2F5B695D"/>
    <w:rsid w:val="30120709"/>
    <w:rsid w:val="306C7DC6"/>
    <w:rsid w:val="30800BE7"/>
    <w:rsid w:val="311F248A"/>
    <w:rsid w:val="31234CB3"/>
    <w:rsid w:val="31F33790"/>
    <w:rsid w:val="32A55E11"/>
    <w:rsid w:val="3305204E"/>
    <w:rsid w:val="333A41AC"/>
    <w:rsid w:val="33F54E4A"/>
    <w:rsid w:val="348C6C89"/>
    <w:rsid w:val="3525070E"/>
    <w:rsid w:val="35411821"/>
    <w:rsid w:val="35444468"/>
    <w:rsid w:val="354971CF"/>
    <w:rsid w:val="3553461E"/>
    <w:rsid w:val="35634428"/>
    <w:rsid w:val="35DB7EC8"/>
    <w:rsid w:val="36716471"/>
    <w:rsid w:val="371D1E1A"/>
    <w:rsid w:val="37500442"/>
    <w:rsid w:val="37AE5168"/>
    <w:rsid w:val="37F963E3"/>
    <w:rsid w:val="38351E66"/>
    <w:rsid w:val="38551E6A"/>
    <w:rsid w:val="386D5023"/>
    <w:rsid w:val="38D26C34"/>
    <w:rsid w:val="390A0223"/>
    <w:rsid w:val="395D4987"/>
    <w:rsid w:val="397225DD"/>
    <w:rsid w:val="3A5B73D7"/>
    <w:rsid w:val="3ACB2022"/>
    <w:rsid w:val="3B653D90"/>
    <w:rsid w:val="3C1852A6"/>
    <w:rsid w:val="3C1C4A64"/>
    <w:rsid w:val="3C3B1478"/>
    <w:rsid w:val="3D844B7C"/>
    <w:rsid w:val="3DC824ED"/>
    <w:rsid w:val="3EF67200"/>
    <w:rsid w:val="3F233925"/>
    <w:rsid w:val="3FAD641B"/>
    <w:rsid w:val="3FB44612"/>
    <w:rsid w:val="3FE01B1C"/>
    <w:rsid w:val="3FF4346E"/>
    <w:rsid w:val="40046D13"/>
    <w:rsid w:val="403D3EEB"/>
    <w:rsid w:val="40CA5C2D"/>
    <w:rsid w:val="410E4A44"/>
    <w:rsid w:val="414F28B1"/>
    <w:rsid w:val="42154762"/>
    <w:rsid w:val="43041937"/>
    <w:rsid w:val="4320516C"/>
    <w:rsid w:val="43DD3E5A"/>
    <w:rsid w:val="44355C57"/>
    <w:rsid w:val="443A6632"/>
    <w:rsid w:val="45287D24"/>
    <w:rsid w:val="454964D0"/>
    <w:rsid w:val="45B30698"/>
    <w:rsid w:val="45DF68CB"/>
    <w:rsid w:val="45E5269D"/>
    <w:rsid w:val="45E9429C"/>
    <w:rsid w:val="460A64D2"/>
    <w:rsid w:val="46203E24"/>
    <w:rsid w:val="464C7C9B"/>
    <w:rsid w:val="465B750F"/>
    <w:rsid w:val="46A967E4"/>
    <w:rsid w:val="46B6637D"/>
    <w:rsid w:val="474D04FA"/>
    <w:rsid w:val="477200AE"/>
    <w:rsid w:val="4785185A"/>
    <w:rsid w:val="47BE6D02"/>
    <w:rsid w:val="47C35CF7"/>
    <w:rsid w:val="47CC6C42"/>
    <w:rsid w:val="481B63B6"/>
    <w:rsid w:val="48B128C3"/>
    <w:rsid w:val="48F662B3"/>
    <w:rsid w:val="48F74BC1"/>
    <w:rsid w:val="49311B8E"/>
    <w:rsid w:val="49411970"/>
    <w:rsid w:val="496E7F48"/>
    <w:rsid w:val="4A1B1471"/>
    <w:rsid w:val="4B1362E3"/>
    <w:rsid w:val="4B652417"/>
    <w:rsid w:val="4B9117CC"/>
    <w:rsid w:val="4C6C5AF1"/>
    <w:rsid w:val="4C8C6E2A"/>
    <w:rsid w:val="4C917D41"/>
    <w:rsid w:val="4CC16D7F"/>
    <w:rsid w:val="4CE313E9"/>
    <w:rsid w:val="4CFD1FA0"/>
    <w:rsid w:val="4D0D77FD"/>
    <w:rsid w:val="4D5679DC"/>
    <w:rsid w:val="4D866514"/>
    <w:rsid w:val="4DB4554A"/>
    <w:rsid w:val="4E037EE6"/>
    <w:rsid w:val="4E6E5E7F"/>
    <w:rsid w:val="4E893884"/>
    <w:rsid w:val="4EAF03F9"/>
    <w:rsid w:val="4EBB0256"/>
    <w:rsid w:val="4EDA51D8"/>
    <w:rsid w:val="4EF632AE"/>
    <w:rsid w:val="4F190832"/>
    <w:rsid w:val="4F292F55"/>
    <w:rsid w:val="50264C5C"/>
    <w:rsid w:val="504306EC"/>
    <w:rsid w:val="50B909AE"/>
    <w:rsid w:val="50C406E4"/>
    <w:rsid w:val="512247A5"/>
    <w:rsid w:val="522A0EBE"/>
    <w:rsid w:val="534050E7"/>
    <w:rsid w:val="5364290F"/>
    <w:rsid w:val="541C1980"/>
    <w:rsid w:val="54224A50"/>
    <w:rsid w:val="546108D5"/>
    <w:rsid w:val="554178E8"/>
    <w:rsid w:val="55443DFC"/>
    <w:rsid w:val="557529F8"/>
    <w:rsid w:val="55781588"/>
    <w:rsid w:val="55B9763E"/>
    <w:rsid w:val="55D57AC8"/>
    <w:rsid w:val="55F24830"/>
    <w:rsid w:val="56326745"/>
    <w:rsid w:val="566413BC"/>
    <w:rsid w:val="56A676EB"/>
    <w:rsid w:val="56F83D0C"/>
    <w:rsid w:val="572763EB"/>
    <w:rsid w:val="575B631B"/>
    <w:rsid w:val="57766A4D"/>
    <w:rsid w:val="577B28F1"/>
    <w:rsid w:val="57830607"/>
    <w:rsid w:val="57F4758F"/>
    <w:rsid w:val="585F0BD8"/>
    <w:rsid w:val="58871392"/>
    <w:rsid w:val="58C6175D"/>
    <w:rsid w:val="58CD2D07"/>
    <w:rsid w:val="59796EA2"/>
    <w:rsid w:val="59A56BC2"/>
    <w:rsid w:val="59AD6BD6"/>
    <w:rsid w:val="5A0E2767"/>
    <w:rsid w:val="5A3C3F0A"/>
    <w:rsid w:val="5A4D499A"/>
    <w:rsid w:val="5A537966"/>
    <w:rsid w:val="5A772246"/>
    <w:rsid w:val="5A7D0C9E"/>
    <w:rsid w:val="5ACE0C44"/>
    <w:rsid w:val="5AE90694"/>
    <w:rsid w:val="5AF466D4"/>
    <w:rsid w:val="5B0F405E"/>
    <w:rsid w:val="5B1433B1"/>
    <w:rsid w:val="5B325FEC"/>
    <w:rsid w:val="5B7052F9"/>
    <w:rsid w:val="5C13353F"/>
    <w:rsid w:val="5C8C6761"/>
    <w:rsid w:val="5CC9246D"/>
    <w:rsid w:val="5CFF3BED"/>
    <w:rsid w:val="5D2E2764"/>
    <w:rsid w:val="5D441E49"/>
    <w:rsid w:val="5D861C18"/>
    <w:rsid w:val="5DCD3CEB"/>
    <w:rsid w:val="5DE02752"/>
    <w:rsid w:val="5DF72526"/>
    <w:rsid w:val="5DF75DF1"/>
    <w:rsid w:val="5E0B123F"/>
    <w:rsid w:val="5E9860A7"/>
    <w:rsid w:val="5EE52C75"/>
    <w:rsid w:val="5F321E6E"/>
    <w:rsid w:val="5FD54C27"/>
    <w:rsid w:val="5FFB445E"/>
    <w:rsid w:val="605E28A2"/>
    <w:rsid w:val="6101712B"/>
    <w:rsid w:val="611E023E"/>
    <w:rsid w:val="611F4E36"/>
    <w:rsid w:val="6166423A"/>
    <w:rsid w:val="61D84179"/>
    <w:rsid w:val="61F253D0"/>
    <w:rsid w:val="62570B07"/>
    <w:rsid w:val="6338060C"/>
    <w:rsid w:val="64044202"/>
    <w:rsid w:val="6507503C"/>
    <w:rsid w:val="6535464F"/>
    <w:rsid w:val="65384C44"/>
    <w:rsid w:val="654E5711"/>
    <w:rsid w:val="659415BD"/>
    <w:rsid w:val="65953340"/>
    <w:rsid w:val="65EB3842"/>
    <w:rsid w:val="66904863"/>
    <w:rsid w:val="66B06A9E"/>
    <w:rsid w:val="66DD63E5"/>
    <w:rsid w:val="66DE6FD3"/>
    <w:rsid w:val="66EA3218"/>
    <w:rsid w:val="66F97A54"/>
    <w:rsid w:val="68B77D78"/>
    <w:rsid w:val="68D357BE"/>
    <w:rsid w:val="68DC416E"/>
    <w:rsid w:val="694C01BA"/>
    <w:rsid w:val="696375B6"/>
    <w:rsid w:val="69656389"/>
    <w:rsid w:val="69AE7840"/>
    <w:rsid w:val="69D4452F"/>
    <w:rsid w:val="69EA35AF"/>
    <w:rsid w:val="6A3D06F7"/>
    <w:rsid w:val="6A5C61DA"/>
    <w:rsid w:val="6A6E23B2"/>
    <w:rsid w:val="6A9C2A7B"/>
    <w:rsid w:val="6AB3220A"/>
    <w:rsid w:val="6AED49D5"/>
    <w:rsid w:val="6B3B004F"/>
    <w:rsid w:val="6B713F07"/>
    <w:rsid w:val="6B8003A5"/>
    <w:rsid w:val="6B85333E"/>
    <w:rsid w:val="6B9B48D9"/>
    <w:rsid w:val="6BA37368"/>
    <w:rsid w:val="6C1C0677"/>
    <w:rsid w:val="6C44161C"/>
    <w:rsid w:val="6C7207B7"/>
    <w:rsid w:val="6CD93E8E"/>
    <w:rsid w:val="6D5777F7"/>
    <w:rsid w:val="6D592EA5"/>
    <w:rsid w:val="6DAB380B"/>
    <w:rsid w:val="6DD97740"/>
    <w:rsid w:val="6E4C2A0A"/>
    <w:rsid w:val="6E551AFF"/>
    <w:rsid w:val="6EDA6400"/>
    <w:rsid w:val="6F03508A"/>
    <w:rsid w:val="6F0C33FE"/>
    <w:rsid w:val="6F647AF5"/>
    <w:rsid w:val="702D1B02"/>
    <w:rsid w:val="708E757A"/>
    <w:rsid w:val="71593474"/>
    <w:rsid w:val="719B55D2"/>
    <w:rsid w:val="71B13050"/>
    <w:rsid w:val="71F22988"/>
    <w:rsid w:val="72181581"/>
    <w:rsid w:val="72560027"/>
    <w:rsid w:val="726A7063"/>
    <w:rsid w:val="728577B6"/>
    <w:rsid w:val="72CE73C6"/>
    <w:rsid w:val="72D311B2"/>
    <w:rsid w:val="733C302D"/>
    <w:rsid w:val="73C6500C"/>
    <w:rsid w:val="73FB4F79"/>
    <w:rsid w:val="747F3DA7"/>
    <w:rsid w:val="74F02341"/>
    <w:rsid w:val="74FB14A6"/>
    <w:rsid w:val="74FC5B91"/>
    <w:rsid w:val="75156511"/>
    <w:rsid w:val="7554120D"/>
    <w:rsid w:val="75AF7C6E"/>
    <w:rsid w:val="75B8488D"/>
    <w:rsid w:val="75CF6598"/>
    <w:rsid w:val="75FC6AC3"/>
    <w:rsid w:val="762001BB"/>
    <w:rsid w:val="76A21419"/>
    <w:rsid w:val="76AE6010"/>
    <w:rsid w:val="77354CF9"/>
    <w:rsid w:val="773D3837"/>
    <w:rsid w:val="77743287"/>
    <w:rsid w:val="77852348"/>
    <w:rsid w:val="77901B4D"/>
    <w:rsid w:val="77A26F92"/>
    <w:rsid w:val="77B318CB"/>
    <w:rsid w:val="78F3578F"/>
    <w:rsid w:val="7A3A25F4"/>
    <w:rsid w:val="7A685D10"/>
    <w:rsid w:val="7A6953E8"/>
    <w:rsid w:val="7A6B598B"/>
    <w:rsid w:val="7AAE3295"/>
    <w:rsid w:val="7B046B46"/>
    <w:rsid w:val="7B252618"/>
    <w:rsid w:val="7B2F3B4A"/>
    <w:rsid w:val="7B3B2CEC"/>
    <w:rsid w:val="7B610879"/>
    <w:rsid w:val="7BC7188B"/>
    <w:rsid w:val="7C853A45"/>
    <w:rsid w:val="7CBE03EA"/>
    <w:rsid w:val="7D1D47BD"/>
    <w:rsid w:val="7D2F2B0C"/>
    <w:rsid w:val="7D6D4ABA"/>
    <w:rsid w:val="7DB134B5"/>
    <w:rsid w:val="7DCE109B"/>
    <w:rsid w:val="7E374D98"/>
    <w:rsid w:val="7E533563"/>
    <w:rsid w:val="7E5714CF"/>
    <w:rsid w:val="7EF42459"/>
    <w:rsid w:val="7F777DF7"/>
    <w:rsid w:val="7FA55324"/>
    <w:rsid w:val="E9EFF223"/>
    <w:rsid w:val="FF0F750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1"/>
    <w:basedOn w:val="1"/>
    <w:next w:val="1"/>
    <w:qFormat/>
    <w:uiPriority w:val="0"/>
    <w:pPr>
      <w:autoSpaceDE w:val="0"/>
      <w:autoSpaceDN w:val="0"/>
      <w:adjustRightInd w:val="0"/>
      <w:jc w:val="left"/>
      <w:outlineLvl w:val="0"/>
    </w:pPr>
    <w:rPr>
      <w:rFonts w:ascii="Times New Roman"/>
      <w:kern w:val="0"/>
      <w:sz w:val="30"/>
    </w:rPr>
  </w:style>
  <w:style w:type="paragraph" w:styleId="4">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5">
    <w:name w:val="heading 3"/>
    <w:basedOn w:val="6"/>
    <w:next w:val="6"/>
    <w:qFormat/>
    <w:uiPriority w:val="0"/>
    <w:pPr>
      <w:keepNext/>
      <w:keepLines/>
      <w:spacing w:before="120" w:beforeLines="0" w:beforeAutospacing="0" w:after="120" w:afterLines="0" w:afterAutospacing="0"/>
      <w:jc w:val="center"/>
      <w:outlineLvl w:val="2"/>
    </w:pPr>
    <w:rPr>
      <w:sz w:val="24"/>
    </w:rPr>
  </w:style>
  <w:style w:type="paragraph" w:styleId="2">
    <w:name w:val="heading 4"/>
    <w:basedOn w:val="1"/>
    <w:next w:val="1"/>
    <w:qFormat/>
    <w:uiPriority w:val="0"/>
    <w:pPr>
      <w:keepNext/>
      <w:keepLines/>
      <w:spacing w:line="374" w:lineRule="auto"/>
      <w:outlineLvl w:val="3"/>
    </w:pPr>
    <w:rPr>
      <w:rFonts w:ascii="Arial" w:hAnsi="Arial"/>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spacing w:line="360" w:lineRule="auto"/>
      <w:ind w:firstLine="200" w:firstLineChars="200"/>
    </w:pPr>
    <w:rPr>
      <w:rFonts w:ascii="Times New Roman" w:hAnsi="Times New Roman" w:eastAsia="宋体" w:cs="Times New Roman"/>
      <w:sz w:val="24"/>
    </w:rPr>
  </w:style>
  <w:style w:type="paragraph" w:styleId="7">
    <w:name w:val="annotation text"/>
    <w:basedOn w:val="1"/>
    <w:qFormat/>
    <w:uiPriority w:val="0"/>
    <w:pPr>
      <w:adjustRightInd w:val="0"/>
      <w:spacing w:line="360" w:lineRule="atLeast"/>
      <w:jc w:val="left"/>
      <w:textAlignment w:val="baseline"/>
    </w:pPr>
    <w:rPr>
      <w:kern w:val="0"/>
    </w:rPr>
  </w:style>
  <w:style w:type="paragraph" w:styleId="8">
    <w:name w:val="Body Text"/>
    <w:basedOn w:val="1"/>
    <w:next w:val="9"/>
    <w:semiHidden/>
    <w:qFormat/>
    <w:uiPriority w:val="0"/>
    <w:rPr>
      <w:rFonts w:ascii="Arial" w:hAnsi="Arial" w:eastAsia="Arial" w:cs="Arial"/>
      <w:sz w:val="21"/>
      <w:szCs w:val="21"/>
      <w:lang w:val="en-US" w:eastAsia="en-US" w:bidi="ar-SA"/>
    </w:rPr>
  </w:style>
  <w:style w:type="paragraph" w:styleId="9">
    <w:name w:val="Body Text 2"/>
    <w:basedOn w:val="1"/>
    <w:qFormat/>
    <w:uiPriority w:val="0"/>
    <w:pPr>
      <w:spacing w:line="500" w:lineRule="exact"/>
    </w:pPr>
    <w:rPr>
      <w:rFonts w:hint="default"/>
    </w:rPr>
  </w:style>
  <w:style w:type="paragraph" w:styleId="10">
    <w:name w:val="Body Text Indent"/>
    <w:basedOn w:val="1"/>
    <w:next w:val="11"/>
    <w:qFormat/>
    <w:uiPriority w:val="0"/>
    <w:pPr>
      <w:spacing w:after="120" w:afterLines="0"/>
      <w:ind w:left="420" w:leftChars="200"/>
    </w:pPr>
  </w:style>
  <w:style w:type="paragraph" w:styleId="11">
    <w:name w:val="envelope return"/>
    <w:basedOn w:val="1"/>
    <w:qFormat/>
    <w:uiPriority w:val="99"/>
    <w:pPr>
      <w:snapToGrid w:val="0"/>
    </w:pPr>
    <w:rPr>
      <w:rFonts w:ascii="Arial" w:hAnsi="Arial"/>
    </w:rPr>
  </w:style>
  <w:style w:type="paragraph" w:styleId="12">
    <w:name w:val="toc 3"/>
    <w:basedOn w:val="1"/>
    <w:next w:val="1"/>
    <w:qFormat/>
    <w:uiPriority w:val="0"/>
    <w:pPr>
      <w:ind w:left="840" w:leftChars="400"/>
    </w:pPr>
  </w:style>
  <w:style w:type="paragraph" w:styleId="13">
    <w:name w:val="Plain Text"/>
    <w:basedOn w:val="1"/>
    <w:qFormat/>
    <w:uiPriority w:val="0"/>
    <w:pPr>
      <w:ind w:firstLine="200" w:firstLineChars="200"/>
    </w:pPr>
    <w:rPr>
      <w:rFonts w:ascii="宋体" w:hAnsi="Courier New"/>
      <w:szCs w:val="21"/>
    </w:rPr>
  </w:style>
  <w:style w:type="paragraph" w:styleId="14">
    <w:name w:val="Body Text Indent 2"/>
    <w:basedOn w:val="1"/>
    <w:qFormat/>
    <w:uiPriority w:val="0"/>
    <w:pPr>
      <w:spacing w:line="480" w:lineRule="auto"/>
      <w:ind w:firstLine="561"/>
    </w:pPr>
    <w:rPr>
      <w:rFonts w:ascii="宋体"/>
    </w:rPr>
  </w:style>
  <w:style w:type="paragraph" w:styleId="15">
    <w:name w:val="Balloon Text"/>
    <w:basedOn w:val="1"/>
    <w:link w:val="28"/>
    <w:qFormat/>
    <w:uiPriority w:val="0"/>
    <w:rPr>
      <w:sz w:val="18"/>
      <w:szCs w:val="18"/>
    </w:rPr>
  </w:style>
  <w:style w:type="paragraph" w:styleId="16">
    <w:name w:val="footer"/>
    <w:basedOn w:val="1"/>
    <w:qFormat/>
    <w:uiPriority w:val="0"/>
    <w:pPr>
      <w:tabs>
        <w:tab w:val="center" w:pos="4153"/>
        <w:tab w:val="right" w:pos="8306"/>
      </w:tabs>
      <w:snapToGrid w:val="0"/>
      <w:jc w:val="left"/>
    </w:pPr>
    <w:rPr>
      <w:sz w:val="18"/>
    </w:rPr>
  </w:style>
  <w:style w:type="paragraph" w:styleId="17">
    <w:name w:val="header"/>
    <w:basedOn w:val="1"/>
    <w:link w:val="29"/>
    <w:qFormat/>
    <w:uiPriority w:val="0"/>
    <w:pPr>
      <w:pBdr>
        <w:bottom w:val="single" w:color="auto" w:sz="6" w:space="1"/>
      </w:pBdr>
      <w:tabs>
        <w:tab w:val="center" w:pos="4153"/>
        <w:tab w:val="right" w:pos="8306"/>
      </w:tabs>
      <w:jc w:val="center"/>
    </w:pPr>
    <w:rPr>
      <w:sz w:val="18"/>
      <w:szCs w:val="18"/>
    </w:rPr>
  </w:style>
  <w:style w:type="paragraph" w:styleId="18">
    <w:name w:val="toc 1"/>
    <w:basedOn w:val="1"/>
    <w:next w:val="1"/>
    <w:qFormat/>
    <w:uiPriority w:val="0"/>
  </w:style>
  <w:style w:type="paragraph" w:styleId="19">
    <w:name w:val="toc 2"/>
    <w:basedOn w:val="1"/>
    <w:next w:val="1"/>
    <w:qFormat/>
    <w:uiPriority w:val="0"/>
    <w:pPr>
      <w:ind w:left="420" w:leftChars="200"/>
    </w:pPr>
  </w:style>
  <w:style w:type="paragraph" w:styleId="20">
    <w:name w:val="Normal (Web)"/>
    <w:basedOn w:val="1"/>
    <w:qFormat/>
    <w:uiPriority w:val="0"/>
    <w:pPr>
      <w:spacing w:beforeAutospacing="1" w:afterAutospacing="1"/>
      <w:jc w:val="left"/>
    </w:pPr>
    <w:rPr>
      <w:rFonts w:cs="Times New Roman"/>
      <w:kern w:val="0"/>
      <w:sz w:val="24"/>
    </w:rPr>
  </w:style>
  <w:style w:type="paragraph" w:styleId="21">
    <w:name w:val="Body Text First Indent"/>
    <w:basedOn w:val="8"/>
    <w:qFormat/>
    <w:uiPriority w:val="99"/>
    <w:pPr>
      <w:spacing w:line="240" w:lineRule="auto"/>
      <w:ind w:firstLine="420" w:firstLineChars="100"/>
    </w:pPr>
    <w:rPr>
      <w:rFonts w:ascii="Times New Roman" w:cs="Times New Roman"/>
      <w:sz w:val="20"/>
      <w:szCs w:val="20"/>
    </w:rPr>
  </w:style>
  <w:style w:type="paragraph" w:styleId="22">
    <w:name w:val="Body Text First Indent 2"/>
    <w:basedOn w:val="6"/>
    <w:unhideWhenUsed/>
    <w:qFormat/>
    <w:uiPriority w:val="99"/>
    <w:pPr>
      <w:tabs>
        <w:tab w:val="left" w:pos="0"/>
        <w:tab w:val="left" w:pos="8130"/>
      </w:tabs>
      <w:ind w:firstLine="420"/>
    </w:p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Hyperlink"/>
    <w:basedOn w:val="25"/>
    <w:qFormat/>
    <w:uiPriority w:val="0"/>
    <w:rPr>
      <w:color w:val="0000FF"/>
      <w:u w:val="single"/>
    </w:rPr>
  </w:style>
  <w:style w:type="paragraph" w:customStyle="1" w:styleId="27">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character" w:customStyle="1" w:styleId="28">
    <w:name w:val="批注框文本 Char"/>
    <w:link w:val="15"/>
    <w:qFormat/>
    <w:uiPriority w:val="0"/>
    <w:rPr>
      <w:rFonts w:ascii="Arial" w:hAnsi="Arial" w:eastAsia="Arial" w:cs="Arial"/>
      <w:snapToGrid/>
      <w:color w:val="000000"/>
      <w:sz w:val="18"/>
      <w:szCs w:val="18"/>
      <w:lang w:eastAsia="en-US"/>
    </w:rPr>
  </w:style>
  <w:style w:type="character" w:customStyle="1" w:styleId="29">
    <w:name w:val="页眉 Char"/>
    <w:link w:val="17"/>
    <w:qFormat/>
    <w:uiPriority w:val="0"/>
    <w:rPr>
      <w:rFonts w:ascii="Arial" w:hAnsi="Arial" w:eastAsia="Arial" w:cs="Arial"/>
      <w:snapToGrid/>
      <w:color w:val="000000"/>
      <w:sz w:val="18"/>
      <w:szCs w:val="18"/>
      <w:lang w:eastAsia="en-US"/>
    </w:rPr>
  </w:style>
  <w:style w:type="paragraph" w:customStyle="1" w:styleId="30">
    <w:name w:val="章标题"/>
    <w:next w:val="1"/>
    <w:qFormat/>
    <w:uiPriority w:val="0"/>
    <w:pPr>
      <w:spacing w:before="50" w:after="50"/>
      <w:jc w:val="both"/>
      <w:outlineLvl w:val="1"/>
    </w:pPr>
    <w:rPr>
      <w:rFonts w:ascii="黑体" w:hAnsi="Calibri" w:eastAsia="黑体" w:cs="Times New Roman"/>
      <w:kern w:val="0"/>
      <w:sz w:val="21"/>
      <w:szCs w:val="20"/>
      <w:lang w:val="en-US" w:eastAsia="zh-CN" w:bidi="ar-SA"/>
    </w:rPr>
  </w:style>
  <w:style w:type="table" w:customStyle="1" w:styleId="31">
    <w:name w:val="Table Normal"/>
    <w:unhideWhenUsed/>
    <w:qFormat/>
    <w:uiPriority w:val="0"/>
    <w:rPr>
      <w:lang w:val="en-US" w:eastAsia="zh-CN" w:bidi="ar-SA"/>
    </w:rPr>
    <w:tblPr>
      <w:tblCellMar>
        <w:top w:w="0" w:type="dxa"/>
        <w:left w:w="0" w:type="dxa"/>
        <w:bottom w:w="0" w:type="dxa"/>
        <w:right w:w="0" w:type="dxa"/>
      </w:tblCellMar>
    </w:tblPr>
  </w:style>
  <w:style w:type="paragraph" w:customStyle="1" w:styleId="32">
    <w:name w:val="Table Text"/>
    <w:basedOn w:val="1"/>
    <w:semiHidden/>
    <w:qFormat/>
    <w:uiPriority w:val="0"/>
    <w:rPr>
      <w:rFonts w:ascii="Arial" w:hAnsi="Arial" w:eastAsia="Arial" w:cs="Arial"/>
      <w:sz w:val="21"/>
      <w:szCs w:val="21"/>
      <w:lang w:val="en-US" w:eastAsia="en-US" w:bidi="ar-SA"/>
    </w:rPr>
  </w:style>
  <w:style w:type="paragraph" w:customStyle="1" w:styleId="33">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4">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6">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7">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8">
    <w:name w:val="WPSOffice手动目录 1"/>
    <w:qFormat/>
    <w:uiPriority w:val="0"/>
    <w:rPr>
      <w:rFonts w:ascii="Times New Roman" w:hAnsi="Times New Roman" w:eastAsia="宋体" w:cs="Times New Roman"/>
      <w:lang w:val="en-US" w:eastAsia="zh-CN" w:bidi="ar-SA"/>
    </w:rPr>
  </w:style>
  <w:style w:type="paragraph" w:customStyle="1" w:styleId="39">
    <w:name w:val="WPSOffice手动目录 2"/>
    <w:qFormat/>
    <w:uiPriority w:val="0"/>
    <w:pPr>
      <w:ind w:leftChars="200"/>
    </w:pPr>
    <w:rPr>
      <w:rFonts w:ascii="Times New Roman" w:hAnsi="Times New Roman" w:eastAsia="宋体" w:cs="Times New Roman"/>
      <w:lang w:val="en-US" w:eastAsia="zh-CN" w:bidi="ar-SA"/>
    </w:rPr>
  </w:style>
  <w:style w:type="paragraph" w:customStyle="1" w:styleId="40">
    <w:name w:val="WPSOffice手动目录 3"/>
    <w:qFormat/>
    <w:uiPriority w:val="0"/>
    <w:pPr>
      <w:ind w:leftChars="400"/>
    </w:pPr>
    <w:rPr>
      <w:rFonts w:ascii="Times New Roman" w:hAnsi="Times New Roman" w:eastAsia="宋体" w:cs="Times New Roman"/>
      <w:lang w:val="en-US" w:eastAsia="zh-CN" w:bidi="ar-SA"/>
    </w:rPr>
  </w:style>
  <w:style w:type="paragraph" w:customStyle="1" w:styleId="41">
    <w:name w:val="正文缩进1"/>
    <w:basedOn w:val="1"/>
    <w:qFormat/>
    <w:uiPriority w:val="0"/>
    <w:pPr>
      <w:widowControl/>
      <w:ind w:firstLine="420"/>
      <w:jc w:val="left"/>
    </w:pPr>
    <w:rPr>
      <w:kern w:val="0"/>
    </w:rPr>
  </w:style>
  <w:style w:type="paragraph" w:customStyle="1" w:styleId="42">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3">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4">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5">
    <w:name w:val="样式 宋体 行距: 1.5 倍行距"/>
    <w:basedOn w:val="46"/>
    <w:next w:val="1"/>
    <w:qFormat/>
    <w:uiPriority w:val="99"/>
    <w:pPr>
      <w:jc w:val="center"/>
    </w:pPr>
    <w:rPr>
      <w:b/>
    </w:rPr>
  </w:style>
  <w:style w:type="paragraph" w:customStyle="1" w:styleId="4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45"/>
    <w:qFormat/>
    <w:uiPriority w:val="0"/>
    <w:pPr>
      <w:widowControl w:val="0"/>
      <w:jc w:val="both"/>
    </w:pPr>
    <w:rPr>
      <w:rFonts w:ascii="Calibri" w:hAnsi="Calibri" w:eastAsia="宋体" w:cs="黑体"/>
      <w:kern w:val="2"/>
      <w:sz w:val="21"/>
      <w:szCs w:val="24"/>
      <w:lang w:val="en-US" w:eastAsia="zh-CN" w:bidi="ar-SA"/>
    </w:rPr>
  </w:style>
  <w:style w:type="paragraph" w:customStyle="1" w:styleId="47">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48">
    <w:name w:val="NormalCharacter"/>
    <w:qFormat/>
    <w:uiPriority w:val="99"/>
  </w:style>
  <w:style w:type="paragraph" w:customStyle="1" w:styleId="49">
    <w:name w:val="普通(网站)1"/>
    <w:basedOn w:val="1"/>
    <w:qFormat/>
    <w:uiPriority w:val="0"/>
    <w:pPr>
      <w:spacing w:before="100" w:beforeAutospacing="1" w:after="100" w:afterAutospacing="1"/>
      <w:jc w:val="left"/>
    </w:pPr>
    <w:rPr>
      <w:rFonts w:ascii="宋体" w:hAnsi="宋体" w:eastAsia="宋体"/>
      <w:kern w:val="0"/>
      <w:sz w:val="24"/>
    </w:rPr>
  </w:style>
  <w:style w:type="paragraph" w:customStyle="1" w:styleId="50">
    <w:name w:val="Heading2"/>
    <w:basedOn w:val="1"/>
    <w:next w:val="1"/>
    <w:qFormat/>
    <w:uiPriority w:val="99"/>
    <w:pPr>
      <w:jc w:val="left"/>
    </w:pPr>
    <w:rPr>
      <w:kern w:val="0"/>
    </w:rPr>
  </w:style>
  <w:style w:type="paragraph" w:customStyle="1" w:styleId="51">
    <w:name w:val="AnnotationText"/>
    <w:basedOn w:val="1"/>
    <w:qFormat/>
    <w:uiPriority w:val="99"/>
    <w:pPr>
      <w:spacing w:line="360" w:lineRule="atLeast"/>
      <w:jc w:val="left"/>
    </w:pPr>
    <w:rPr>
      <w:kern w:val="0"/>
    </w:rPr>
  </w:style>
  <w:style w:type="paragraph" w:customStyle="1" w:styleId="52">
    <w:name w:val="UserStyle_44"/>
    <w:basedOn w:val="53"/>
    <w:qFormat/>
    <w:uiPriority w:val="99"/>
    <w:rPr>
      <w:sz w:val="24"/>
      <w:szCs w:val="24"/>
    </w:rPr>
  </w:style>
  <w:style w:type="paragraph" w:customStyle="1" w:styleId="53">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54">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55">
    <w:name w:val="List Paragraph"/>
    <w:basedOn w:val="1"/>
    <w:qFormat/>
    <w:uiPriority w:val="0"/>
    <w:pPr>
      <w:keepNext w:val="0"/>
      <w:keepLines w:val="0"/>
      <w:widowControl w:val="0"/>
      <w:suppressLineNumbers w:val="0"/>
      <w:spacing w:before="0" w:beforeLines="0" w:beforeAutospacing="0" w:after="0" w:afterLines="0" w:afterAutospacing="0" w:line="240" w:lineRule="auto"/>
      <w:ind w:left="0" w:right="0" w:firstLine="420" w:firstLineChars="200"/>
      <w:jc w:val="both"/>
    </w:pPr>
    <w:rPr>
      <w:rFonts w:hint="default" w:ascii="Calibri" w:hAnsi="Calibri" w:eastAsia="宋体" w:cs="Times New Roman"/>
      <w:kern w:val="2"/>
      <w:sz w:val="21"/>
      <w:szCs w:val="22"/>
      <w:lang w:val="en-US" w:eastAsia="zh-CN" w:bidi="ar"/>
    </w:rPr>
  </w:style>
  <w:style w:type="paragraph" w:customStyle="1" w:styleId="56">
    <w:name w:val="Heading1"/>
    <w:basedOn w:val="1"/>
    <w:next w:val="1"/>
    <w:qFormat/>
    <w:uiPriority w:val="99"/>
    <w:pPr>
      <w:jc w:val="left"/>
    </w:pPr>
    <w:rPr>
      <w:kern w:val="0"/>
      <w:sz w:val="30"/>
      <w:szCs w:val="30"/>
    </w:rPr>
  </w:style>
  <w:style w:type="paragraph" w:customStyle="1" w:styleId="57">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58">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9">
    <w:name w:val="标题 3 New New"/>
    <w:basedOn w:val="60"/>
    <w:next w:val="60"/>
    <w:qFormat/>
    <w:uiPriority w:val="0"/>
    <w:pPr>
      <w:keepNext/>
      <w:keepLines/>
      <w:spacing w:before="120" w:beforeLines="0" w:beforeAutospacing="0" w:after="120" w:afterLines="0" w:afterAutospacing="0"/>
      <w:jc w:val="center"/>
      <w:outlineLvl w:val="2"/>
    </w:pPr>
    <w:rPr>
      <w:rFonts w:ascii="Times New Roman"/>
      <w:sz w:val="24"/>
    </w:rPr>
  </w:style>
  <w:style w:type="paragraph" w:customStyle="1" w:styleId="60">
    <w:name w:val="正文缩进 New"/>
    <w:basedOn w:val="61"/>
    <w:qFormat/>
    <w:uiPriority w:val="0"/>
    <w:pPr>
      <w:widowControl/>
      <w:ind w:firstLine="420"/>
      <w:jc w:val="left"/>
    </w:pPr>
    <w:rPr>
      <w:kern w:val="0"/>
      <w:sz w:val="20"/>
    </w:rPr>
  </w:style>
  <w:style w:type="paragraph" w:customStyle="1" w:styleId="61">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2">
    <w:name w:val="正文文本缩进 New"/>
    <w:basedOn w:val="61"/>
    <w:qFormat/>
    <w:uiPriority w:val="0"/>
    <w:pPr>
      <w:ind w:firstLine="560" w:firstLineChars="200"/>
    </w:pPr>
    <w:rPr>
      <w:rFonts w:ascii="宋体"/>
      <w:kern w:val="2"/>
      <w:sz w:val="24"/>
    </w:rPr>
  </w:style>
  <w:style w:type="paragraph" w:customStyle="1" w:styleId="63">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5">
    <w:name w:val="正文文本1"/>
    <w:basedOn w:val="1"/>
    <w:qFormat/>
    <w:uiPriority w:val="0"/>
    <w:pPr>
      <w:spacing w:after="120"/>
    </w:pPr>
  </w:style>
  <w:style w:type="character" w:customStyle="1" w:styleId="66">
    <w:name w:val="正文文本 (2) + 间距 0 pt3"/>
    <w:basedOn w:val="25"/>
    <w:qFormat/>
    <w:uiPriority w:val="99"/>
    <w:rPr>
      <w:rFonts w:ascii="MingLiU" w:eastAsia="MingLiU" w:cs="MingLiU"/>
      <w:spacing w:val="0"/>
      <w:sz w:val="22"/>
      <w:szCs w:val="22"/>
      <w:u w:val="none"/>
    </w:rPr>
  </w:style>
  <w:style w:type="paragraph" w:customStyle="1" w:styleId="67">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8">
    <w:name w:val="p0"/>
    <w:basedOn w:val="1"/>
    <w:qFormat/>
    <w:uiPriority w:val="0"/>
    <w:pPr>
      <w:widowControl/>
    </w:pPr>
    <w:rPr>
      <w:rFonts w:hAnsi="宋体" w:cs="宋体"/>
      <w:kern w:val="0"/>
      <w:szCs w:val="24"/>
    </w:rPr>
  </w:style>
  <w:style w:type="paragraph" w:customStyle="1" w:styleId="69">
    <w:name w:val="Table Paragraph"/>
    <w:basedOn w:val="1"/>
    <w:qFormat/>
    <w:uiPriority w:val="1"/>
    <w:rPr>
      <w:rFonts w:hAnsi="宋体" w:cs="宋体"/>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1.bin"/><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17.png"/><Relationship Id="rId33" Type="http://schemas.openxmlformats.org/officeDocument/2006/relationships/image" Target="media/image16.png"/><Relationship Id="rId32" Type="http://schemas.openxmlformats.org/officeDocument/2006/relationships/image" Target="media/image15.png"/><Relationship Id="rId31" Type="http://schemas.openxmlformats.org/officeDocument/2006/relationships/image" Target="media/image14.wmf"/><Relationship Id="rId30" Type="http://schemas.openxmlformats.org/officeDocument/2006/relationships/oleObject" Target="embeddings/oleObject12.bin"/><Relationship Id="rId3" Type="http://schemas.openxmlformats.org/officeDocument/2006/relationships/header" Target="header1.xml"/><Relationship Id="rId29" Type="http://schemas.openxmlformats.org/officeDocument/2006/relationships/image" Target="media/image13.wmf"/><Relationship Id="rId28" Type="http://schemas.openxmlformats.org/officeDocument/2006/relationships/oleObject" Target="embeddings/oleObject11.bin"/><Relationship Id="rId27" Type="http://schemas.openxmlformats.org/officeDocument/2006/relationships/image" Target="media/image12.wmf"/><Relationship Id="rId26" Type="http://schemas.openxmlformats.org/officeDocument/2006/relationships/oleObject" Target="embeddings/oleObject10.bin"/><Relationship Id="rId25" Type="http://schemas.openxmlformats.org/officeDocument/2006/relationships/image" Target="media/image11.wmf"/><Relationship Id="rId24" Type="http://schemas.openxmlformats.org/officeDocument/2006/relationships/oleObject" Target="embeddings/oleObject9.bin"/><Relationship Id="rId23" Type="http://schemas.openxmlformats.org/officeDocument/2006/relationships/image" Target="media/image10.wmf"/><Relationship Id="rId22" Type="http://schemas.openxmlformats.org/officeDocument/2006/relationships/oleObject" Target="embeddings/oleObject8.bin"/><Relationship Id="rId21" Type="http://schemas.openxmlformats.org/officeDocument/2006/relationships/image" Target="media/image9.wmf"/><Relationship Id="rId20" Type="http://schemas.openxmlformats.org/officeDocument/2006/relationships/oleObject" Target="embeddings/oleObject7.bin"/><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oleObject" Target="embeddings/oleObject6.bin"/><Relationship Id="rId17" Type="http://schemas.openxmlformats.org/officeDocument/2006/relationships/image" Target="media/image7.wmf"/><Relationship Id="rId16" Type="http://schemas.openxmlformats.org/officeDocument/2006/relationships/oleObject" Target="embeddings/oleObject5.bin"/><Relationship Id="rId15" Type="http://schemas.openxmlformats.org/officeDocument/2006/relationships/image" Target="media/image6.wmf"/><Relationship Id="rId14" Type="http://schemas.openxmlformats.org/officeDocument/2006/relationships/oleObject" Target="embeddings/oleObject4.bin"/><Relationship Id="rId13" Type="http://schemas.openxmlformats.org/officeDocument/2006/relationships/image" Target="media/image5.wmf"/><Relationship Id="rId12" Type="http://schemas.openxmlformats.org/officeDocument/2006/relationships/oleObject" Target="embeddings/oleObject3.bin"/><Relationship Id="rId11" Type="http://schemas.openxmlformats.org/officeDocument/2006/relationships/image" Target="media/image4.w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92</Pages>
  <Words>57060</Words>
  <Characters>61250</Characters>
  <Lines>459</Lines>
  <Paragraphs>129</Paragraphs>
  <TotalTime>5</TotalTime>
  <ScaleCrop>false</ScaleCrop>
  <LinksUpToDate>false</LinksUpToDate>
  <CharactersWithSpaces>62621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2024-07-05T11:08:00Z</dcterms:created>
  <dc:creator>Administrator</dc:creator>
  <cp:lastModifiedBy>12345</cp:lastModifiedBy>
  <cp:lastPrinted>2025-08-15T16:36:00Z</cp:lastPrinted>
  <dcterms:modified xsi:type="dcterms:W3CDTF">2025-11-21T01:06:48Z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2024-07-30T11:15:44Z</vt:filetime>
  </property>
  <property fmtid="{D5CDD505-2E9C-101B-9397-08002B2CF9AE}" pid="4" name="KSOProductBuildVer">
    <vt:lpwstr>2052-12.1.0.23542</vt:lpwstr>
  </property>
  <property fmtid="{D5CDD505-2E9C-101B-9397-08002B2CF9AE}" pid="5" name="ICV">
    <vt:lpwstr>60EC6C78BD9A4CDAA4C138346F748A2D_13</vt:lpwstr>
  </property>
  <property fmtid="{D5CDD505-2E9C-101B-9397-08002B2CF9AE}" pid="6" name="KSOTemplateDocerSaveRecord">
    <vt:lpwstr>eyJoZGlkIjoiMmYxNmRkOTgyZmJiZjcxZDcyMTQ4ZDk0OTMyY2RjMjQiLCJ1c2VySWQiOiI1OTEzMzE4MTYifQ==</vt:lpwstr>
  </property>
</Properties>
</file>