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5DA9E">
      <w:pPr>
        <w:pStyle w:val="27"/>
        <w:wordWrap w:val="0"/>
        <w:adjustRightInd w:val="0"/>
        <w:snapToGrid w:val="0"/>
        <w:spacing w:line="360" w:lineRule="auto"/>
        <w:jc w:val="center"/>
        <w:rPr>
          <w:rFonts w:hint="eastAsia" w:eastAsia="宋体"/>
          <w:snapToGrid w:val="0"/>
          <w:color w:val="auto"/>
          <w:kern w:val="0"/>
          <w:sz w:val="44"/>
          <w:szCs w:val="44"/>
          <w:highlight w:val="none"/>
          <w:u w:val="single"/>
        </w:rPr>
      </w:pPr>
      <w:r>
        <w:rPr>
          <w:rFonts w:hint="eastAsia" w:eastAsia="宋体"/>
          <w:b/>
          <w:snapToGrid w:val="0"/>
          <w:color w:val="auto"/>
          <w:kern w:val="0"/>
          <w:sz w:val="44"/>
          <w:szCs w:val="44"/>
          <w:highlight w:val="none"/>
          <w:lang w:eastAsia="zh-CN"/>
        </w:rPr>
        <w:t>翁源县典型镇（翁城镇、官渡镇）污水管网补短板项目-子项目一：翁源县典型镇（翁城镇）污水管网补短板项目施工监理</w:t>
      </w:r>
    </w:p>
    <w:p w14:paraId="1A027CC3">
      <w:pPr>
        <w:pStyle w:val="27"/>
        <w:wordWrap w:val="0"/>
        <w:adjustRightInd w:val="0"/>
        <w:snapToGrid w:val="0"/>
        <w:spacing w:line="360" w:lineRule="auto"/>
        <w:rPr>
          <w:rFonts w:hint="eastAsia" w:eastAsia="宋体"/>
          <w:snapToGrid w:val="0"/>
          <w:color w:val="auto"/>
          <w:kern w:val="0"/>
          <w:sz w:val="36"/>
          <w:highlight w:val="none"/>
          <w:u w:val="single"/>
        </w:rPr>
      </w:pPr>
    </w:p>
    <w:p w14:paraId="24121D77">
      <w:pPr>
        <w:pStyle w:val="27"/>
        <w:wordWrap w:val="0"/>
        <w:adjustRightInd w:val="0"/>
        <w:snapToGrid w:val="0"/>
        <w:spacing w:line="360" w:lineRule="auto"/>
        <w:rPr>
          <w:rFonts w:hint="eastAsia" w:eastAsia="宋体"/>
          <w:snapToGrid w:val="0"/>
          <w:color w:val="auto"/>
          <w:kern w:val="0"/>
          <w:sz w:val="36"/>
          <w:highlight w:val="none"/>
          <w:u w:val="single"/>
        </w:rPr>
      </w:pPr>
    </w:p>
    <w:p w14:paraId="099266EB">
      <w:pPr>
        <w:pStyle w:val="27"/>
        <w:wordWrap w:val="0"/>
        <w:adjustRightInd w:val="0"/>
        <w:snapToGrid w:val="0"/>
        <w:spacing w:line="360" w:lineRule="auto"/>
        <w:rPr>
          <w:rFonts w:hint="eastAsia" w:eastAsia="宋体"/>
          <w:snapToGrid w:val="0"/>
          <w:color w:val="auto"/>
          <w:kern w:val="0"/>
          <w:sz w:val="36"/>
          <w:highlight w:val="none"/>
          <w:u w:val="single"/>
        </w:rPr>
      </w:pPr>
    </w:p>
    <w:p w14:paraId="68D53431">
      <w:pPr>
        <w:pStyle w:val="27"/>
        <w:wordWrap w:val="0"/>
        <w:adjustRightInd w:val="0"/>
        <w:snapToGrid w:val="0"/>
        <w:spacing w:line="360" w:lineRule="auto"/>
        <w:jc w:val="center"/>
        <w:rPr>
          <w:rFonts w:hint="eastAsia"/>
          <w:b/>
          <w:bCs/>
          <w:snapToGrid w:val="0"/>
          <w:color w:val="auto"/>
          <w:kern w:val="0"/>
          <w:sz w:val="48"/>
          <w:szCs w:val="48"/>
          <w:highlight w:val="none"/>
        </w:rPr>
      </w:pPr>
      <w: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5AF844A5">
      <w:pPr>
        <w:wordWrap w:val="0"/>
        <w:adjustRightInd w:val="0"/>
        <w:snapToGrid w:val="0"/>
        <w:jc w:val="center"/>
        <w:rPr>
          <w:rFonts w:hint="eastAsia" w:ascii="Times New Roman"/>
          <w:b/>
          <w:bCs/>
          <w:snapToGrid w:val="0"/>
          <w:color w:val="auto"/>
          <w:kern w:val="0"/>
          <w:sz w:val="48"/>
          <w:szCs w:val="48"/>
          <w:highlight w:val="none"/>
        </w:rPr>
      </w:pPr>
    </w:p>
    <w:tbl>
      <w:tblPr>
        <w:tblStyle w:val="21"/>
        <w:tblW w:w="0" w:type="auto"/>
        <w:tblInd w:w="-100" w:type="dxa"/>
        <w:tblLayout w:type="fixed"/>
        <w:tblCellMar>
          <w:top w:w="0" w:type="dxa"/>
          <w:left w:w="0" w:type="dxa"/>
          <w:bottom w:w="0" w:type="dxa"/>
          <w:right w:w="0" w:type="dxa"/>
        </w:tblCellMar>
      </w:tblPr>
      <w:tblGrid>
        <w:gridCol w:w="4708"/>
        <w:gridCol w:w="5020"/>
      </w:tblGrid>
      <w:tr w14:paraId="3657CB14">
        <w:tblPrEx>
          <w:tblCellMar>
            <w:top w:w="0" w:type="dxa"/>
            <w:left w:w="0" w:type="dxa"/>
            <w:bottom w:w="0" w:type="dxa"/>
            <w:right w:w="0" w:type="dxa"/>
          </w:tblCellMar>
        </w:tblPrEx>
        <w:trPr>
          <w:trHeight w:val="929" w:hRule="atLeast"/>
        </w:trPr>
        <w:tc>
          <w:tcPr>
            <w:tcW w:w="4708" w:type="dxa"/>
            <w:noWrap w:val="0"/>
            <w:vAlign w:val="center"/>
          </w:tcPr>
          <w:p w14:paraId="652F5E25">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标</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人（盖单位章）：</w:t>
            </w:r>
          </w:p>
        </w:tc>
        <w:tc>
          <w:tcPr>
            <w:tcW w:w="5020" w:type="dxa"/>
            <w:noWrap w:val="0"/>
            <w:vAlign w:val="center"/>
          </w:tcPr>
          <w:p w14:paraId="46E2CC5D">
            <w:pPr>
              <w:pStyle w:val="28"/>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hAnsi="宋体"/>
                <w:color w:val="auto"/>
                <w:sz w:val="28"/>
                <w:szCs w:val="28"/>
                <w:highlight w:val="none"/>
                <w:lang w:eastAsia="zh-CN"/>
              </w:rPr>
              <w:t>翁源县公共资产管理中心</w:t>
            </w:r>
          </w:p>
        </w:tc>
      </w:tr>
      <w:tr w14:paraId="76C00E05">
        <w:tblPrEx>
          <w:tblCellMar>
            <w:top w:w="0" w:type="dxa"/>
            <w:left w:w="0" w:type="dxa"/>
            <w:bottom w:w="0" w:type="dxa"/>
            <w:right w:w="0" w:type="dxa"/>
          </w:tblCellMar>
        </w:tblPrEx>
        <w:trPr>
          <w:trHeight w:val="943" w:hRule="atLeast"/>
        </w:trPr>
        <w:tc>
          <w:tcPr>
            <w:tcW w:w="4708" w:type="dxa"/>
            <w:noWrap w:val="0"/>
            <w:vAlign w:val="center"/>
          </w:tcPr>
          <w:p w14:paraId="67D98F0F">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招标人工作领导小组负责人（签字）：</w:t>
            </w:r>
          </w:p>
        </w:tc>
        <w:tc>
          <w:tcPr>
            <w:tcW w:w="5020" w:type="dxa"/>
            <w:noWrap w:val="0"/>
            <w:vAlign w:val="center"/>
          </w:tcPr>
          <w:p w14:paraId="5450FFAE">
            <w:pPr>
              <w:pStyle w:val="28"/>
              <w:wordWrap w:val="0"/>
              <w:adjustRightInd w:val="0"/>
              <w:snapToGrid w:val="0"/>
              <w:spacing w:line="240" w:lineRule="auto"/>
              <w:rPr>
                <w:rFonts w:hint="eastAsia" w:ascii="Times New Roman"/>
                <w:snapToGrid w:val="0"/>
                <w:color w:val="auto"/>
                <w:kern w:val="0"/>
                <w:sz w:val="28"/>
                <w:szCs w:val="28"/>
                <w:highlight w:val="none"/>
              </w:rPr>
            </w:pPr>
          </w:p>
        </w:tc>
      </w:tr>
      <w:tr w14:paraId="04EB56FF">
        <w:tblPrEx>
          <w:tblCellMar>
            <w:top w:w="0" w:type="dxa"/>
            <w:left w:w="0" w:type="dxa"/>
            <w:bottom w:w="0" w:type="dxa"/>
            <w:right w:w="0" w:type="dxa"/>
          </w:tblCellMar>
        </w:tblPrEx>
        <w:trPr>
          <w:trHeight w:val="1065" w:hRule="atLeast"/>
        </w:trPr>
        <w:tc>
          <w:tcPr>
            <w:tcW w:w="4708" w:type="dxa"/>
            <w:noWrap w:val="0"/>
            <w:vAlign w:val="center"/>
          </w:tcPr>
          <w:p w14:paraId="7ED9F643">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 标 代 理 机 构 （盖单位章）：</w:t>
            </w:r>
          </w:p>
        </w:tc>
        <w:tc>
          <w:tcPr>
            <w:tcW w:w="5020" w:type="dxa"/>
            <w:noWrap w:val="0"/>
            <w:vAlign w:val="center"/>
          </w:tcPr>
          <w:p w14:paraId="4DA122F5">
            <w:pPr>
              <w:pStyle w:val="28"/>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ascii="Times New Roman"/>
                <w:snapToGrid w:val="0"/>
                <w:color w:val="auto"/>
                <w:kern w:val="0"/>
                <w:sz w:val="28"/>
                <w:szCs w:val="28"/>
                <w:highlight w:val="none"/>
                <w:lang w:eastAsia="zh-CN"/>
              </w:rPr>
              <w:t>广州穗峰建设工程监理有限公司</w:t>
            </w:r>
          </w:p>
        </w:tc>
      </w:tr>
      <w:tr w14:paraId="385F361B">
        <w:tblPrEx>
          <w:tblCellMar>
            <w:top w:w="0" w:type="dxa"/>
            <w:left w:w="0" w:type="dxa"/>
            <w:bottom w:w="0" w:type="dxa"/>
            <w:right w:w="0" w:type="dxa"/>
          </w:tblCellMar>
        </w:tblPrEx>
        <w:trPr>
          <w:trHeight w:val="935" w:hRule="atLeast"/>
        </w:trPr>
        <w:tc>
          <w:tcPr>
            <w:tcW w:w="4708" w:type="dxa"/>
            <w:noWrap w:val="0"/>
            <w:vAlign w:val="center"/>
          </w:tcPr>
          <w:p w14:paraId="626B0624">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招标文件编制人（签字）：</w:t>
            </w:r>
          </w:p>
        </w:tc>
        <w:tc>
          <w:tcPr>
            <w:tcW w:w="5020" w:type="dxa"/>
            <w:noWrap w:val="0"/>
            <w:vAlign w:val="center"/>
          </w:tcPr>
          <w:p w14:paraId="7709D5F1">
            <w:pPr>
              <w:pStyle w:val="28"/>
              <w:wordWrap w:val="0"/>
              <w:adjustRightInd w:val="0"/>
              <w:snapToGrid w:val="0"/>
              <w:spacing w:line="240" w:lineRule="auto"/>
              <w:rPr>
                <w:rFonts w:hint="eastAsia" w:ascii="Times New Roman"/>
                <w:snapToGrid w:val="0"/>
                <w:color w:val="auto"/>
                <w:kern w:val="0"/>
                <w:sz w:val="28"/>
                <w:szCs w:val="28"/>
                <w:highlight w:val="none"/>
              </w:rPr>
            </w:pPr>
          </w:p>
        </w:tc>
      </w:tr>
      <w:tr w14:paraId="5B3CEEDE">
        <w:tblPrEx>
          <w:tblCellMar>
            <w:top w:w="0" w:type="dxa"/>
            <w:left w:w="0" w:type="dxa"/>
            <w:bottom w:w="0" w:type="dxa"/>
            <w:right w:w="0" w:type="dxa"/>
          </w:tblCellMar>
        </w:tblPrEx>
        <w:trPr>
          <w:trHeight w:val="1010" w:hRule="atLeast"/>
        </w:trPr>
        <w:tc>
          <w:tcPr>
            <w:tcW w:w="4708" w:type="dxa"/>
            <w:noWrap w:val="0"/>
            <w:vAlign w:val="center"/>
          </w:tcPr>
          <w:p w14:paraId="090BCE47">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招标代理机构项目负责人（签字）：</w:t>
            </w:r>
          </w:p>
        </w:tc>
        <w:tc>
          <w:tcPr>
            <w:tcW w:w="5020" w:type="dxa"/>
            <w:noWrap w:val="0"/>
            <w:vAlign w:val="center"/>
          </w:tcPr>
          <w:p w14:paraId="5F3691C7">
            <w:pPr>
              <w:pStyle w:val="28"/>
              <w:wordWrap w:val="0"/>
              <w:adjustRightInd w:val="0"/>
              <w:snapToGrid w:val="0"/>
              <w:spacing w:line="240" w:lineRule="auto"/>
              <w:rPr>
                <w:rFonts w:hint="eastAsia" w:ascii="Times New Roman"/>
                <w:snapToGrid w:val="0"/>
                <w:color w:val="auto"/>
                <w:kern w:val="0"/>
                <w:sz w:val="28"/>
                <w:szCs w:val="28"/>
                <w:highlight w:val="none"/>
              </w:rPr>
            </w:pPr>
          </w:p>
        </w:tc>
      </w:tr>
      <w:tr w14:paraId="490DFECC">
        <w:tblPrEx>
          <w:tblCellMar>
            <w:top w:w="0" w:type="dxa"/>
            <w:left w:w="0" w:type="dxa"/>
            <w:bottom w:w="0" w:type="dxa"/>
            <w:right w:w="0" w:type="dxa"/>
          </w:tblCellMar>
        </w:tblPrEx>
        <w:trPr>
          <w:trHeight w:val="892" w:hRule="atLeast"/>
        </w:trPr>
        <w:tc>
          <w:tcPr>
            <w:tcW w:w="4708" w:type="dxa"/>
            <w:noWrap w:val="0"/>
            <w:vAlign w:val="center"/>
          </w:tcPr>
          <w:p w14:paraId="26C7C495">
            <w:pPr>
              <w:pStyle w:val="28"/>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招标文件编制日期：</w:t>
            </w:r>
          </w:p>
        </w:tc>
        <w:tc>
          <w:tcPr>
            <w:tcW w:w="5020" w:type="dxa"/>
            <w:noWrap w:val="0"/>
            <w:vAlign w:val="center"/>
          </w:tcPr>
          <w:p w14:paraId="4334049F">
            <w:pPr>
              <w:pStyle w:val="28"/>
              <w:wordWrap w:val="0"/>
              <w:adjustRightInd w:val="0"/>
              <w:snapToGrid w:val="0"/>
              <w:spacing w:line="240" w:lineRule="auto"/>
              <w:ind w:firstLine="280" w:firstLineChars="100"/>
              <w:rPr>
                <w:rFonts w:hint="eastAsia" w:ascii="Times New Roman"/>
                <w:snapToGrid w:val="0"/>
                <w:color w:val="auto"/>
                <w:kern w:val="0"/>
                <w:sz w:val="28"/>
                <w:highlight w:val="none"/>
              </w:rPr>
            </w:pPr>
            <w:r>
              <w:rPr>
                <w:rFonts w:hint="eastAsia" w:ascii="Times New Roman"/>
                <w:snapToGrid w:val="0"/>
                <w:color w:val="auto"/>
                <w:kern w:val="0"/>
                <w:sz w:val="28"/>
                <w:highlight w:val="none"/>
              </w:rPr>
              <w:t>202</w:t>
            </w:r>
            <w:r>
              <w:rPr>
                <w:rFonts w:hint="eastAsia" w:ascii="Times New Roman"/>
                <w:snapToGrid w:val="0"/>
                <w:color w:val="auto"/>
                <w:kern w:val="0"/>
                <w:sz w:val="28"/>
                <w:highlight w:val="none"/>
                <w:lang w:val="en-US" w:eastAsia="zh-CN"/>
              </w:rPr>
              <w:t>5</w:t>
            </w:r>
            <w:r>
              <w:rPr>
                <w:rFonts w:hint="eastAsia" w:ascii="Times New Roman"/>
                <w:snapToGrid w:val="0"/>
                <w:color w:val="auto"/>
                <w:kern w:val="0"/>
                <w:sz w:val="28"/>
                <w:highlight w:val="none"/>
              </w:rPr>
              <w:t>年</w:t>
            </w:r>
            <w:r>
              <w:rPr>
                <w:rFonts w:hint="eastAsia" w:ascii="Times New Roman"/>
                <w:snapToGrid w:val="0"/>
                <w:color w:val="auto"/>
                <w:kern w:val="0"/>
                <w:sz w:val="28"/>
                <w:highlight w:val="none"/>
                <w:lang w:val="en-US" w:eastAsia="zh-CN"/>
              </w:rPr>
              <w:t>9</w:t>
            </w:r>
            <w:r>
              <w:rPr>
                <w:rFonts w:hint="eastAsia" w:ascii="Times New Roman"/>
                <w:snapToGrid w:val="0"/>
                <w:color w:val="auto"/>
                <w:kern w:val="0"/>
                <w:sz w:val="28"/>
                <w:highlight w:val="none"/>
              </w:rPr>
              <w:t>月</w:t>
            </w:r>
          </w:p>
        </w:tc>
      </w:tr>
    </w:tbl>
    <w:p w14:paraId="538805C8">
      <w:pPr>
        <w:pStyle w:val="24"/>
        <w:rPr>
          <w:color w:val="auto"/>
          <w:highlight w:val="none"/>
        </w:rPr>
        <w:sectPr>
          <w:footerReference r:id="rId5" w:type="default"/>
          <w:endnotePr>
            <w:numFmt w:val="decimal"/>
          </w:endnotePr>
          <w:pgSz w:w="11906" w:h="16838"/>
          <w:pgMar w:top="1440" w:right="1080" w:bottom="1440" w:left="1080" w:header="850" w:footer="992" w:gutter="0"/>
          <w:pgNumType w:fmt="decimal" w:start="0"/>
          <w:cols w:space="0" w:num="1"/>
          <w:docGrid w:linePitch="327" w:charSpace="0"/>
        </w:sectPr>
      </w:pPr>
    </w:p>
    <w:sdt>
      <w:sdtPr>
        <w:rPr>
          <w:rFonts w:hAnsi="宋体"/>
          <w:b/>
          <w:bCs/>
          <w:color w:val="auto"/>
          <w:sz w:val="36"/>
          <w:szCs w:val="32"/>
          <w:highlight w:val="none"/>
        </w:rPr>
        <w:id w:val="147460104"/>
        <w15:color w:val="DBDBDB"/>
        <w:docPartObj>
          <w:docPartGallery w:val="Table of Contents"/>
          <w:docPartUnique/>
        </w:docPartObj>
      </w:sdtPr>
      <w:sdtEndPr>
        <w:rPr>
          <w:rFonts w:hint="eastAsia" w:hAnsi="宋体" w:cs="宋体"/>
          <w:b/>
          <w:bCs/>
          <w:color w:val="auto"/>
          <w:sz w:val="24"/>
          <w:szCs w:val="24"/>
          <w:highlight w:val="none"/>
        </w:rPr>
      </w:sdtEndPr>
      <w:sdtContent>
        <w:p w14:paraId="510547FF">
          <w:pPr>
            <w:spacing w:line="240" w:lineRule="auto"/>
            <w:jc w:val="center"/>
            <w:rPr>
              <w:b/>
              <w:bCs/>
              <w:color w:val="auto"/>
              <w:sz w:val="44"/>
              <w:szCs w:val="32"/>
              <w:highlight w:val="none"/>
            </w:rPr>
          </w:pPr>
          <w:r>
            <w:rPr>
              <w:rFonts w:hAnsi="宋体"/>
              <w:b/>
              <w:bCs/>
              <w:color w:val="auto"/>
              <w:sz w:val="36"/>
              <w:szCs w:val="32"/>
              <w:highlight w:val="none"/>
            </w:rPr>
            <w:t>目</w:t>
          </w:r>
          <w:r>
            <w:rPr>
              <w:rFonts w:hint="eastAsia" w:hAnsi="宋体"/>
              <w:b/>
              <w:bCs/>
              <w:color w:val="auto"/>
              <w:sz w:val="36"/>
              <w:szCs w:val="32"/>
              <w:highlight w:val="none"/>
            </w:rPr>
            <w:t xml:space="preserve">  </w:t>
          </w:r>
          <w:r>
            <w:rPr>
              <w:rFonts w:hAnsi="宋体"/>
              <w:b/>
              <w:bCs/>
              <w:color w:val="auto"/>
              <w:sz w:val="36"/>
              <w:szCs w:val="32"/>
              <w:highlight w:val="none"/>
            </w:rPr>
            <w:t>录</w:t>
          </w:r>
        </w:p>
        <w:p w14:paraId="4DEA385B">
          <w:pPr>
            <w:pStyle w:val="17"/>
            <w:tabs>
              <w:tab w:val="right" w:leader="dot" w:pos="9072"/>
            </w:tabs>
            <w:spacing w:line="360" w:lineRule="auto"/>
            <w:rPr>
              <w:b/>
              <w:bCs/>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TOC \o "1-3" \h \u </w:instrText>
          </w:r>
          <w:r>
            <w:rPr>
              <w:rFonts w:hint="eastAsia" w:hAnsi="宋体" w:cs="宋体"/>
              <w:color w:val="auto"/>
              <w:szCs w:val="24"/>
              <w:highlight w:val="none"/>
            </w:rPr>
            <w:fldChar w:fldCharType="separate"/>
          </w:r>
          <w:r>
            <w:rPr>
              <w:color w:val="auto"/>
              <w:highlight w:val="none"/>
            </w:rPr>
            <w:fldChar w:fldCharType="begin"/>
          </w:r>
          <w:r>
            <w:rPr>
              <w:color w:val="auto"/>
              <w:highlight w:val="none"/>
            </w:rPr>
            <w:instrText xml:space="preserve"> HYPERLINK \l "_Toc23833" </w:instrText>
          </w:r>
          <w:r>
            <w:rPr>
              <w:color w:val="auto"/>
              <w:highlight w:val="none"/>
            </w:rPr>
            <w:fldChar w:fldCharType="separate"/>
          </w:r>
          <w:r>
            <w:rPr>
              <w:rFonts w:hint="eastAsia" w:ascii="Times New Roman"/>
              <w:b/>
              <w:bCs/>
              <w:snapToGrid w:val="0"/>
              <w:color w:val="auto"/>
              <w:szCs w:val="22"/>
              <w:highlight w:val="none"/>
            </w:rPr>
            <w:t>第一章 投标人须知</w:t>
          </w:r>
          <w:r>
            <w:rPr>
              <w:b/>
              <w:bCs/>
              <w:color w:val="auto"/>
              <w:highlight w:val="none"/>
            </w:rPr>
            <w:tab/>
          </w:r>
          <w:r>
            <w:rPr>
              <w:b/>
              <w:bCs/>
              <w:color w:val="auto"/>
              <w:highlight w:val="none"/>
            </w:rPr>
            <w:fldChar w:fldCharType="begin"/>
          </w:r>
          <w:r>
            <w:rPr>
              <w:b/>
              <w:bCs/>
              <w:color w:val="auto"/>
              <w:highlight w:val="none"/>
            </w:rPr>
            <w:instrText xml:space="preserve"> PAGEREF _Toc23833 \h </w:instrText>
          </w:r>
          <w:r>
            <w:rPr>
              <w:b/>
              <w:bCs/>
              <w:color w:val="auto"/>
              <w:highlight w:val="none"/>
            </w:rPr>
            <w:fldChar w:fldCharType="separate"/>
          </w:r>
          <w:r>
            <w:rPr>
              <w:b/>
              <w:bCs/>
              <w:color w:val="auto"/>
              <w:highlight w:val="none"/>
            </w:rPr>
            <w:t>3</w:t>
          </w:r>
          <w:r>
            <w:rPr>
              <w:b/>
              <w:bCs/>
              <w:color w:val="auto"/>
              <w:highlight w:val="none"/>
            </w:rPr>
            <w:fldChar w:fldCharType="end"/>
          </w:r>
          <w:r>
            <w:rPr>
              <w:b/>
              <w:bCs/>
              <w:color w:val="auto"/>
              <w:highlight w:val="none"/>
            </w:rPr>
            <w:fldChar w:fldCharType="end"/>
          </w:r>
        </w:p>
        <w:p w14:paraId="6FF647EB">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"_Toc31123" </w:instrText>
          </w:r>
          <w:r>
            <w:rPr>
              <w:color w:val="auto"/>
              <w:highlight w:val="none"/>
            </w:rPr>
            <w:fldChar w:fldCharType="separate"/>
          </w:r>
          <w:r>
            <w:rPr>
              <w:rFonts w:hint="eastAsia" w:ascii="Times New Roman"/>
              <w:snapToGrid w:val="0"/>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_Toc31123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2929313C">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"_Toc465" </w:instrText>
          </w:r>
          <w:r>
            <w:rPr>
              <w:color w:val="auto"/>
              <w:highlight w:val="none"/>
            </w:rPr>
            <w:fldChar w:fldCharType="separate"/>
          </w:r>
          <w:r>
            <w:rPr>
              <w:rFonts w:hint="eastAsia" w:ascii="Times New Roman"/>
              <w:snapToGrid w:val="0"/>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_Toc465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33C3C928">
          <w:pPr>
            <w:pStyle w:val="17"/>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"_Toc12738" </w:instrText>
          </w:r>
          <w:r>
            <w:rPr>
              <w:color w:val="auto"/>
              <w:highlight w:val="none"/>
            </w:rPr>
            <w:fldChar w:fldCharType="separate"/>
          </w:r>
          <w:r>
            <w:rPr>
              <w:rFonts w:hint="eastAsia" w:ascii="Times New Roman"/>
              <w:snapToGrid w:val="0"/>
              <w:color w:val="auto"/>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_Toc12738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07A038FC">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"_Toc25314" </w:instrText>
          </w:r>
          <w:r>
            <w:rPr>
              <w:color w:val="auto"/>
              <w:highlight w:val="none"/>
            </w:rPr>
            <w:fldChar w:fldCharType="separate"/>
          </w:r>
          <w:r>
            <w:rPr>
              <w:rFonts w:hint="eastAsia"/>
              <w:bCs/>
              <w:snapToGrid w:val="0"/>
              <w:color w:val="auto"/>
              <w:kern w:val="0"/>
              <w:highlight w:val="none"/>
            </w:rPr>
            <w:t>1．项目概况、招标范围和标段划分、投标费用</w:t>
          </w:r>
          <w:r>
            <w:rPr>
              <w:color w:val="auto"/>
              <w:highlight w:val="none"/>
            </w:rPr>
            <w:tab/>
          </w:r>
          <w:r>
            <w:rPr>
              <w:color w:val="auto"/>
              <w:highlight w:val="none"/>
            </w:rPr>
            <w:fldChar w:fldCharType="begin"/>
          </w:r>
          <w:r>
            <w:rPr>
              <w:color w:val="auto"/>
              <w:highlight w:val="none"/>
            </w:rPr>
            <w:instrText xml:space="preserve"> PAGEREF _Toc25314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5A563400">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"_Toc31707" </w:instrText>
          </w:r>
          <w:r>
            <w:rPr>
              <w:color w:val="auto"/>
              <w:highlight w:val="none"/>
            </w:rPr>
            <w:fldChar w:fldCharType="separate"/>
          </w:r>
          <w:r>
            <w:rPr>
              <w:rFonts w:hint="eastAsia" w:hAnsi="宋体" w:cs="宋体"/>
              <w:snapToGrid w:val="0"/>
              <w:color w:val="auto"/>
              <w:szCs w:val="24"/>
              <w:highlight w:val="none"/>
            </w:rPr>
            <w:t>2．投标人资格要求</w:t>
          </w:r>
          <w:r>
            <w:rPr>
              <w:color w:val="auto"/>
              <w:highlight w:val="none"/>
            </w:rPr>
            <w:tab/>
          </w:r>
          <w:r>
            <w:rPr>
              <w:color w:val="auto"/>
              <w:highlight w:val="none"/>
            </w:rPr>
            <w:fldChar w:fldCharType="begin"/>
          </w:r>
          <w:r>
            <w:rPr>
              <w:color w:val="auto"/>
              <w:highlight w:val="none"/>
            </w:rPr>
            <w:instrText xml:space="preserve"> PAGEREF _Toc31707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4C9E8655">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"_Toc7762" </w:instrText>
          </w:r>
          <w:r>
            <w:rPr>
              <w:color w:val="auto"/>
              <w:highlight w:val="none"/>
            </w:rPr>
            <w:fldChar w:fldCharType="separate"/>
          </w:r>
          <w:r>
            <w:rPr>
              <w:rFonts w:hint="eastAsia" w:hAnsi="宋体" w:cs="宋体"/>
              <w:bCs/>
              <w:snapToGrid w:val="0"/>
              <w:color w:val="auto"/>
              <w:kern w:val="0"/>
              <w:highlight w:val="none"/>
            </w:rPr>
            <w:t>3．获取招标文件</w:t>
          </w:r>
          <w:r>
            <w:rPr>
              <w:color w:val="auto"/>
              <w:highlight w:val="none"/>
            </w:rPr>
            <w:tab/>
          </w:r>
          <w:r>
            <w:rPr>
              <w:color w:val="auto"/>
              <w:highlight w:val="none"/>
            </w:rPr>
            <w:fldChar w:fldCharType="begin"/>
          </w:r>
          <w:r>
            <w:rPr>
              <w:color w:val="auto"/>
              <w:highlight w:val="none"/>
            </w:rPr>
            <w:instrText xml:space="preserve"> PAGEREF _Toc7762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50F3E748">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"_Toc22391" </w:instrText>
          </w:r>
          <w:r>
            <w:rPr>
              <w:color w:val="auto"/>
              <w:highlight w:val="none"/>
            </w:rPr>
            <w:fldChar w:fldCharType="separate"/>
          </w:r>
          <w:r>
            <w:rPr>
              <w:rFonts w:hint="eastAsia" w:hAnsi="宋体" w:cs="宋体"/>
              <w:bCs/>
              <w:snapToGrid w:val="0"/>
              <w:color w:val="auto"/>
              <w:kern w:val="0"/>
              <w:highlight w:val="none"/>
            </w:rPr>
            <w:t>4．服务期限</w:t>
          </w:r>
          <w:r>
            <w:rPr>
              <w:color w:val="auto"/>
              <w:highlight w:val="none"/>
            </w:rPr>
            <w:tab/>
          </w:r>
          <w:r>
            <w:rPr>
              <w:color w:val="auto"/>
              <w:highlight w:val="none"/>
            </w:rPr>
            <w:fldChar w:fldCharType="begin"/>
          </w:r>
          <w:r>
            <w:rPr>
              <w:color w:val="auto"/>
              <w:highlight w:val="none"/>
            </w:rPr>
            <w:instrText xml:space="preserve"> PAGEREF _Toc22391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7887689D">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"_Toc20574" </w:instrText>
          </w:r>
          <w:r>
            <w:rPr>
              <w:color w:val="auto"/>
              <w:highlight w:val="none"/>
            </w:rPr>
            <w:fldChar w:fldCharType="separate"/>
          </w:r>
          <w:r>
            <w:rPr>
              <w:rFonts w:hint="eastAsia" w:hAnsi="宋体" w:cs="宋体"/>
              <w:snapToGrid w:val="0"/>
              <w:color w:val="auto"/>
              <w:highlight w:val="none"/>
            </w:rPr>
            <w:t>5．服务标准</w:t>
          </w:r>
          <w:r>
            <w:rPr>
              <w:color w:val="auto"/>
              <w:highlight w:val="none"/>
            </w:rPr>
            <w:tab/>
          </w:r>
          <w:r>
            <w:rPr>
              <w:color w:val="auto"/>
              <w:highlight w:val="none"/>
            </w:rPr>
            <w:fldChar w:fldCharType="begin"/>
          </w:r>
          <w:r>
            <w:rPr>
              <w:color w:val="auto"/>
              <w:highlight w:val="none"/>
            </w:rPr>
            <w:instrText xml:space="preserve"> PAGEREF _Toc20574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63144994">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"_Toc9941" </w:instrText>
          </w:r>
          <w:r>
            <w:rPr>
              <w:color w:val="auto"/>
              <w:highlight w:val="none"/>
            </w:rPr>
            <w:fldChar w:fldCharType="separate"/>
          </w:r>
          <w:r>
            <w:rPr>
              <w:rFonts w:hint="eastAsia" w:hAnsi="宋体" w:cs="宋体"/>
              <w:snapToGrid w:val="0"/>
              <w:color w:val="auto"/>
              <w:highlight w:val="none"/>
            </w:rPr>
            <w:t>6．现场踏勘</w:t>
          </w:r>
          <w:r>
            <w:rPr>
              <w:color w:val="auto"/>
              <w:highlight w:val="none"/>
            </w:rPr>
            <w:tab/>
          </w:r>
          <w:r>
            <w:rPr>
              <w:color w:val="auto"/>
              <w:highlight w:val="none"/>
            </w:rPr>
            <w:fldChar w:fldCharType="begin"/>
          </w:r>
          <w:r>
            <w:rPr>
              <w:color w:val="auto"/>
              <w:highlight w:val="none"/>
            </w:rPr>
            <w:instrText xml:space="preserve"> PAGEREF _Toc9941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3E397157">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"_Toc5461" </w:instrText>
          </w:r>
          <w:r>
            <w:rPr>
              <w:color w:val="auto"/>
              <w:highlight w:val="none"/>
            </w:rPr>
            <w:fldChar w:fldCharType="separate"/>
          </w:r>
          <w:r>
            <w:rPr>
              <w:rFonts w:hint="eastAsia" w:hAnsi="宋体" w:cs="宋体"/>
              <w:snapToGrid w:val="0"/>
              <w:color w:val="auto"/>
              <w:highlight w:val="none"/>
            </w:rPr>
            <w:t>7．招标文件的提问和答疑</w:t>
          </w:r>
          <w:r>
            <w:rPr>
              <w:color w:val="auto"/>
              <w:highlight w:val="none"/>
            </w:rPr>
            <w:tab/>
          </w:r>
          <w:r>
            <w:rPr>
              <w:color w:val="auto"/>
              <w:highlight w:val="none"/>
            </w:rPr>
            <w:fldChar w:fldCharType="begin"/>
          </w:r>
          <w:r>
            <w:rPr>
              <w:color w:val="auto"/>
              <w:highlight w:val="none"/>
            </w:rPr>
            <w:instrText xml:space="preserve"> PAGEREF _Toc5461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7D1759AB">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"_Toc5082" </w:instrText>
          </w:r>
          <w:r>
            <w:rPr>
              <w:color w:val="auto"/>
              <w:highlight w:val="none"/>
            </w:rPr>
            <w:fldChar w:fldCharType="separate"/>
          </w:r>
          <w:r>
            <w:rPr>
              <w:rFonts w:hint="eastAsia" w:hAnsi="宋体" w:cs="宋体"/>
              <w:snapToGrid w:val="0"/>
              <w:color w:val="auto"/>
              <w:highlight w:val="none"/>
            </w:rPr>
            <w:t>8．最高投标限价</w:t>
          </w:r>
          <w:r>
            <w:rPr>
              <w:color w:val="auto"/>
              <w:highlight w:val="none"/>
            </w:rPr>
            <w:tab/>
          </w:r>
          <w:r>
            <w:rPr>
              <w:color w:val="auto"/>
              <w:highlight w:val="none"/>
            </w:rPr>
            <w:fldChar w:fldCharType="begin"/>
          </w:r>
          <w:r>
            <w:rPr>
              <w:color w:val="auto"/>
              <w:highlight w:val="none"/>
            </w:rPr>
            <w:instrText xml:space="preserve"> PAGEREF _Toc5082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497A1428">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"_Toc6959" </w:instrText>
          </w:r>
          <w:r>
            <w:rPr>
              <w:color w:val="auto"/>
              <w:highlight w:val="none"/>
            </w:rPr>
            <w:fldChar w:fldCharType="separate"/>
          </w:r>
          <w:r>
            <w:rPr>
              <w:rFonts w:hint="eastAsia" w:hAnsi="宋体" w:cs="宋体"/>
              <w:snapToGrid w:val="0"/>
              <w:color w:val="auto"/>
              <w:highlight w:val="none"/>
            </w:rPr>
            <w:t>9．投标报价</w:t>
          </w:r>
          <w:r>
            <w:rPr>
              <w:color w:val="auto"/>
              <w:highlight w:val="none"/>
            </w:rPr>
            <w:tab/>
          </w:r>
          <w:r>
            <w:rPr>
              <w:color w:val="auto"/>
              <w:highlight w:val="none"/>
            </w:rPr>
            <w:fldChar w:fldCharType="begin"/>
          </w:r>
          <w:r>
            <w:rPr>
              <w:color w:val="auto"/>
              <w:highlight w:val="none"/>
            </w:rPr>
            <w:instrText xml:space="preserve"> PAGEREF _Toc6959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157F5C21">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"_Toc6576" </w:instrText>
          </w:r>
          <w:r>
            <w:rPr>
              <w:color w:val="auto"/>
              <w:highlight w:val="none"/>
            </w:rPr>
            <w:fldChar w:fldCharType="separate"/>
          </w:r>
          <w:r>
            <w:rPr>
              <w:rFonts w:hint="eastAsia" w:hAnsi="宋体" w:cs="宋体"/>
              <w:snapToGrid w:val="0"/>
              <w:color w:val="auto"/>
              <w:szCs w:val="24"/>
              <w:highlight w:val="none"/>
            </w:rPr>
            <w:t>10．投标文件的编制要求</w:t>
          </w:r>
          <w:r>
            <w:rPr>
              <w:color w:val="auto"/>
              <w:highlight w:val="none"/>
            </w:rPr>
            <w:tab/>
          </w:r>
          <w:r>
            <w:rPr>
              <w:color w:val="auto"/>
              <w:highlight w:val="none"/>
            </w:rPr>
            <w:fldChar w:fldCharType="begin"/>
          </w:r>
          <w:r>
            <w:rPr>
              <w:color w:val="auto"/>
              <w:highlight w:val="none"/>
            </w:rPr>
            <w:instrText xml:space="preserve"> PAGEREF _Toc6576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368D7F08">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"_Toc18720" </w:instrText>
          </w:r>
          <w:r>
            <w:rPr>
              <w:color w:val="auto"/>
              <w:highlight w:val="none"/>
            </w:rPr>
            <w:fldChar w:fldCharType="separate"/>
          </w:r>
          <w:r>
            <w:rPr>
              <w:rFonts w:hint="eastAsia" w:hAnsi="宋体" w:cs="宋体"/>
              <w:snapToGrid w:val="0"/>
              <w:color w:val="auto"/>
              <w:szCs w:val="24"/>
              <w:highlight w:val="none"/>
            </w:rPr>
            <w:t>11．电子投标</w:t>
          </w:r>
          <w:r>
            <w:rPr>
              <w:color w:val="auto"/>
              <w:highlight w:val="none"/>
            </w:rPr>
            <w:tab/>
          </w:r>
          <w:r>
            <w:rPr>
              <w:color w:val="auto"/>
              <w:highlight w:val="none"/>
            </w:rPr>
            <w:fldChar w:fldCharType="begin"/>
          </w:r>
          <w:r>
            <w:rPr>
              <w:color w:val="auto"/>
              <w:highlight w:val="none"/>
            </w:rPr>
            <w:instrText xml:space="preserve"> PAGEREF _Toc18720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4F66C193">
          <w:pPr>
            <w:pStyle w:val="18"/>
            <w:tabs>
              <w:tab w:val="right" w:leader="dot" w:pos="9072"/>
            </w:tabs>
            <w:spacing w:line="360" w:lineRule="auto"/>
            <w:ind w:firstLine="240" w:firstLineChars="100"/>
            <w:rPr>
              <w:color w:val="auto"/>
              <w:highlight w:val="none"/>
            </w:rPr>
          </w:pPr>
          <w:r>
            <w:rPr>
              <w:color w:val="auto"/>
              <w:highlight w:val="none"/>
            </w:rPr>
            <w:fldChar w:fldCharType="begin"/>
          </w:r>
          <w:r>
            <w:rPr>
              <w:color w:val="auto"/>
              <w:highlight w:val="none"/>
            </w:rPr>
            <w:instrText xml:space="preserve"> HYPERLINK \l "_Toc16552" </w:instrText>
          </w:r>
          <w:r>
            <w:rPr>
              <w:color w:val="auto"/>
              <w:highlight w:val="none"/>
            </w:rPr>
            <w:fldChar w:fldCharType="separate"/>
          </w:r>
          <w:r>
            <w:rPr>
              <w:rFonts w:hint="eastAsia" w:hAnsi="宋体" w:cs="宋体"/>
              <w:snapToGrid w:val="0"/>
              <w:color w:val="auto"/>
              <w:szCs w:val="24"/>
              <w:highlight w:val="none"/>
            </w:rPr>
            <w:t>12. 投标文件的提交</w:t>
          </w:r>
          <w:r>
            <w:rPr>
              <w:color w:val="auto"/>
              <w:highlight w:val="none"/>
            </w:rPr>
            <w:tab/>
          </w:r>
          <w:r>
            <w:rPr>
              <w:color w:val="auto"/>
              <w:highlight w:val="none"/>
            </w:rPr>
            <w:fldChar w:fldCharType="begin"/>
          </w:r>
          <w:r>
            <w:rPr>
              <w:color w:val="auto"/>
              <w:highlight w:val="none"/>
            </w:rPr>
            <w:instrText xml:space="preserve"> PAGEREF _Toc16552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3E876FAC">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"_Toc29810" </w:instrText>
          </w:r>
          <w:r>
            <w:rPr>
              <w:color w:val="auto"/>
              <w:highlight w:val="none"/>
            </w:rPr>
            <w:fldChar w:fldCharType="separate"/>
          </w:r>
          <w:r>
            <w:rPr>
              <w:rFonts w:hint="eastAsia" w:hAnsi="宋体" w:cs="宋体"/>
              <w:snapToGrid w:val="0"/>
              <w:color w:val="auto"/>
              <w:kern w:val="0"/>
              <w:szCs w:val="24"/>
              <w:highlight w:val="none"/>
            </w:rPr>
            <w:t>13．投标有效期</w:t>
          </w:r>
          <w:r>
            <w:rPr>
              <w:color w:val="auto"/>
              <w:highlight w:val="none"/>
            </w:rPr>
            <w:tab/>
          </w:r>
          <w:r>
            <w:rPr>
              <w:color w:val="auto"/>
              <w:highlight w:val="none"/>
            </w:rPr>
            <w:fldChar w:fldCharType="begin"/>
          </w:r>
          <w:r>
            <w:rPr>
              <w:color w:val="auto"/>
              <w:highlight w:val="none"/>
            </w:rPr>
            <w:instrText xml:space="preserve"> PAGEREF _Toc29810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47962AD5">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"_Toc17952" </w:instrText>
          </w:r>
          <w:r>
            <w:rPr>
              <w:color w:val="auto"/>
              <w:highlight w:val="none"/>
            </w:rPr>
            <w:fldChar w:fldCharType="separate"/>
          </w:r>
          <w:r>
            <w:rPr>
              <w:rFonts w:hint="eastAsia" w:hAnsi="宋体" w:cs="宋体"/>
              <w:snapToGrid w:val="0"/>
              <w:color w:val="auto"/>
              <w:kern w:val="0"/>
              <w:szCs w:val="24"/>
              <w:highlight w:val="none"/>
            </w:rPr>
            <w:t>14．开标</w:t>
          </w:r>
          <w:r>
            <w:rPr>
              <w:color w:val="auto"/>
              <w:highlight w:val="none"/>
            </w:rPr>
            <w:tab/>
          </w:r>
          <w:r>
            <w:rPr>
              <w:color w:val="auto"/>
              <w:highlight w:val="none"/>
            </w:rPr>
            <w:fldChar w:fldCharType="begin"/>
          </w:r>
          <w:r>
            <w:rPr>
              <w:color w:val="auto"/>
              <w:highlight w:val="none"/>
            </w:rPr>
            <w:instrText xml:space="preserve"> PAGEREF _Toc17952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1B5043D5">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"_Toc5475" </w:instrText>
          </w:r>
          <w:r>
            <w:rPr>
              <w:color w:val="auto"/>
              <w:highlight w:val="none"/>
            </w:rPr>
            <w:fldChar w:fldCharType="separate"/>
          </w:r>
          <w:r>
            <w:rPr>
              <w:rFonts w:hint="eastAsia" w:hAnsi="宋体" w:cs="宋体"/>
              <w:snapToGrid w:val="0"/>
              <w:color w:val="auto"/>
              <w:kern w:val="0"/>
              <w:highlight w:val="none"/>
            </w:rPr>
            <w:t>15．评标</w:t>
          </w:r>
          <w:r>
            <w:rPr>
              <w:color w:val="auto"/>
              <w:highlight w:val="none"/>
            </w:rPr>
            <w:tab/>
          </w:r>
          <w:r>
            <w:rPr>
              <w:color w:val="auto"/>
              <w:highlight w:val="none"/>
            </w:rPr>
            <w:fldChar w:fldCharType="begin"/>
          </w:r>
          <w:r>
            <w:rPr>
              <w:color w:val="auto"/>
              <w:highlight w:val="none"/>
            </w:rPr>
            <w:instrText xml:space="preserve"> PAGEREF _Toc5475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173F676D">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"_Toc30822" </w:instrText>
          </w:r>
          <w:r>
            <w:rPr>
              <w:color w:val="auto"/>
              <w:highlight w:val="none"/>
            </w:rPr>
            <w:fldChar w:fldCharType="separate"/>
          </w:r>
          <w:r>
            <w:rPr>
              <w:rFonts w:hint="eastAsia"/>
              <w:bCs/>
              <w:color w:val="auto"/>
              <w:highlight w:val="none"/>
            </w:rPr>
            <w:t>表1 综合评分表</w:t>
          </w:r>
          <w:r>
            <w:rPr>
              <w:color w:val="auto"/>
              <w:highlight w:val="none"/>
            </w:rPr>
            <w:tab/>
          </w:r>
          <w:r>
            <w:rPr>
              <w:color w:val="auto"/>
              <w:highlight w:val="none"/>
            </w:rPr>
            <w:fldChar w:fldCharType="begin"/>
          </w:r>
          <w:r>
            <w:rPr>
              <w:color w:val="auto"/>
              <w:highlight w:val="none"/>
            </w:rPr>
            <w:instrText xml:space="preserve"> PAGEREF _Toc30822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03E9027F">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"_Toc17383" </w:instrText>
          </w:r>
          <w:r>
            <w:rPr>
              <w:color w:val="auto"/>
              <w:highlight w:val="none"/>
            </w:rPr>
            <w:fldChar w:fldCharType="separate"/>
          </w:r>
          <w:r>
            <w:rPr>
              <w:rFonts w:hint="eastAsia" w:hAnsi="宋体" w:cs="宋体"/>
              <w:snapToGrid w:val="0"/>
              <w:color w:val="auto"/>
              <w:kern w:val="0"/>
              <w:szCs w:val="24"/>
              <w:highlight w:val="none"/>
            </w:rPr>
            <w:t>16．推荐中标候选人</w:t>
          </w:r>
          <w:r>
            <w:rPr>
              <w:color w:val="auto"/>
              <w:highlight w:val="none"/>
            </w:rPr>
            <w:tab/>
          </w:r>
          <w:r>
            <w:rPr>
              <w:color w:val="auto"/>
              <w:highlight w:val="none"/>
            </w:rPr>
            <w:fldChar w:fldCharType="begin"/>
          </w:r>
          <w:r>
            <w:rPr>
              <w:color w:val="auto"/>
              <w:highlight w:val="none"/>
            </w:rPr>
            <w:instrText xml:space="preserve"> PAGEREF _Toc17383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3212AAD">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"_Toc3832" </w:instrText>
          </w:r>
          <w:r>
            <w:rPr>
              <w:color w:val="auto"/>
              <w:highlight w:val="none"/>
            </w:rPr>
            <w:fldChar w:fldCharType="separate"/>
          </w:r>
          <w:r>
            <w:rPr>
              <w:rFonts w:hint="eastAsia" w:hAnsi="宋体" w:cs="宋体"/>
              <w:snapToGrid w:val="0"/>
              <w:color w:val="auto"/>
              <w:kern w:val="0"/>
              <w:szCs w:val="24"/>
              <w:highlight w:val="none"/>
            </w:rPr>
            <w:t>17．中标候选人公示</w:t>
          </w:r>
          <w:r>
            <w:rPr>
              <w:color w:val="auto"/>
              <w:highlight w:val="none"/>
            </w:rPr>
            <w:tab/>
          </w:r>
          <w:r>
            <w:rPr>
              <w:color w:val="auto"/>
              <w:highlight w:val="none"/>
            </w:rPr>
            <w:fldChar w:fldCharType="begin"/>
          </w:r>
          <w:r>
            <w:rPr>
              <w:color w:val="auto"/>
              <w:highlight w:val="none"/>
            </w:rPr>
            <w:instrText xml:space="preserve"> PAGEREF _Toc3832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152C189">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"_Toc17270" </w:instrText>
          </w:r>
          <w:r>
            <w:rPr>
              <w:color w:val="auto"/>
              <w:highlight w:val="none"/>
            </w:rPr>
            <w:fldChar w:fldCharType="separate"/>
          </w:r>
          <w:r>
            <w:rPr>
              <w:rFonts w:hint="eastAsia" w:hAnsi="宋体" w:cs="宋体"/>
              <w:bCs/>
              <w:snapToGrid w:val="0"/>
              <w:color w:val="auto"/>
              <w:kern w:val="0"/>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_Toc17270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2324699">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"_Toc18839" </w:instrText>
          </w:r>
          <w:r>
            <w:rPr>
              <w:color w:val="auto"/>
              <w:highlight w:val="none"/>
            </w:rPr>
            <w:fldChar w:fldCharType="separate"/>
          </w:r>
          <w:r>
            <w:rPr>
              <w:rFonts w:hint="eastAsia" w:hAnsi="宋体" w:cs="宋体"/>
              <w:bCs/>
              <w:snapToGrid w:val="0"/>
              <w:color w:val="auto"/>
              <w:kern w:val="0"/>
              <w:highlight w:val="none"/>
            </w:rPr>
            <w:t>1．资格评审环节</w:t>
          </w:r>
          <w:r>
            <w:rPr>
              <w:color w:val="auto"/>
              <w:highlight w:val="none"/>
            </w:rPr>
            <w:tab/>
          </w:r>
          <w:r>
            <w:rPr>
              <w:color w:val="auto"/>
              <w:highlight w:val="none"/>
            </w:rPr>
            <w:fldChar w:fldCharType="begin"/>
          </w:r>
          <w:r>
            <w:rPr>
              <w:color w:val="auto"/>
              <w:highlight w:val="none"/>
            </w:rPr>
            <w:instrText xml:space="preserve"> PAGEREF _Toc18839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7E92C58D">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"_Toc24146" </w:instrText>
          </w:r>
          <w:r>
            <w:rPr>
              <w:color w:val="auto"/>
              <w:highlight w:val="none"/>
            </w:rPr>
            <w:fldChar w:fldCharType="separate"/>
          </w:r>
          <w:r>
            <w:rPr>
              <w:rFonts w:hint="eastAsia" w:hAnsi="宋体" w:cs="宋体"/>
              <w:bCs/>
              <w:snapToGrid w:val="0"/>
              <w:color w:val="auto"/>
              <w:kern w:val="0"/>
              <w:highlight w:val="none"/>
            </w:rPr>
            <w:t>2．形式评审环节</w:t>
          </w:r>
          <w:r>
            <w:rPr>
              <w:color w:val="auto"/>
              <w:highlight w:val="none"/>
            </w:rPr>
            <w:tab/>
          </w:r>
          <w:r>
            <w:rPr>
              <w:color w:val="auto"/>
              <w:highlight w:val="none"/>
            </w:rPr>
            <w:fldChar w:fldCharType="begin"/>
          </w:r>
          <w:r>
            <w:rPr>
              <w:color w:val="auto"/>
              <w:highlight w:val="none"/>
            </w:rPr>
            <w:instrText xml:space="preserve"> PAGEREF _Toc24146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1969753">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"_Toc13563" </w:instrText>
          </w:r>
          <w:r>
            <w:rPr>
              <w:color w:val="auto"/>
              <w:highlight w:val="none"/>
            </w:rPr>
            <w:fldChar w:fldCharType="separate"/>
          </w:r>
          <w:r>
            <w:rPr>
              <w:rFonts w:hint="eastAsia" w:hAnsi="宋体" w:cs="宋体"/>
              <w:bCs/>
              <w:snapToGrid w:val="0"/>
              <w:color w:val="auto"/>
              <w:kern w:val="0"/>
              <w:highlight w:val="none"/>
            </w:rPr>
            <w:t>3．响应性评审环节</w:t>
          </w:r>
          <w:r>
            <w:rPr>
              <w:color w:val="auto"/>
              <w:highlight w:val="none"/>
            </w:rPr>
            <w:tab/>
          </w:r>
          <w:r>
            <w:rPr>
              <w:color w:val="auto"/>
              <w:highlight w:val="none"/>
            </w:rPr>
            <w:fldChar w:fldCharType="begin"/>
          </w:r>
          <w:r>
            <w:rPr>
              <w:color w:val="auto"/>
              <w:highlight w:val="none"/>
            </w:rPr>
            <w:instrText xml:space="preserve"> PAGEREF _Toc13563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D5D6BE0">
          <w:pPr>
            <w:pStyle w:val="9"/>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"_Toc5091" </w:instrText>
          </w:r>
          <w:r>
            <w:rPr>
              <w:color w:val="auto"/>
              <w:highlight w:val="none"/>
            </w:rPr>
            <w:fldChar w:fldCharType="separate"/>
          </w:r>
          <w:r>
            <w:rPr>
              <w:rFonts w:hint="eastAsia" w:hAnsi="宋体" w:cs="宋体"/>
              <w:bCs/>
              <w:snapToGrid w:val="0"/>
              <w:color w:val="auto"/>
              <w:kern w:val="0"/>
              <w:highlight w:val="none"/>
            </w:rPr>
            <w:t>4．其他</w:t>
          </w:r>
          <w:r>
            <w:rPr>
              <w:color w:val="auto"/>
              <w:highlight w:val="none"/>
            </w:rPr>
            <w:tab/>
          </w:r>
          <w:r>
            <w:rPr>
              <w:color w:val="auto"/>
              <w:highlight w:val="none"/>
            </w:rPr>
            <w:fldChar w:fldCharType="begin"/>
          </w:r>
          <w:r>
            <w:rPr>
              <w:color w:val="auto"/>
              <w:highlight w:val="none"/>
            </w:rPr>
            <w:instrText xml:space="preserve"> PAGEREF _Toc5091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0D08C623">
          <w:pPr>
            <w:pStyle w:val="17"/>
            <w:tabs>
              <w:tab w:val="right" w:leader="dot" w:pos="9072"/>
            </w:tabs>
            <w:spacing w:line="360" w:lineRule="auto"/>
            <w:rPr>
              <w:b/>
              <w:bCs/>
              <w:color w:val="auto"/>
              <w:highlight w:val="none"/>
            </w:rPr>
          </w:pPr>
          <w:r>
            <w:rPr>
              <w:color w:val="auto"/>
              <w:highlight w:val="none"/>
            </w:rPr>
            <w:fldChar w:fldCharType="begin"/>
          </w:r>
          <w:r>
            <w:rPr>
              <w:color w:val="auto"/>
              <w:highlight w:val="none"/>
            </w:rPr>
            <w:instrText xml:space="preserve"> HYPERLINK \l "_Toc10802" </w:instrText>
          </w:r>
          <w:r>
            <w:rPr>
              <w:color w:val="auto"/>
              <w:highlight w:val="none"/>
            </w:rPr>
            <w:fldChar w:fldCharType="separate"/>
          </w:r>
          <w:r>
            <w:rPr>
              <w:rFonts w:hint="eastAsia" w:hAnsi="宋体" w:cs="宋体"/>
              <w:b/>
              <w:bCs/>
              <w:snapToGrid w:val="0"/>
              <w:color w:val="auto"/>
              <w:szCs w:val="22"/>
              <w:highlight w:val="none"/>
            </w:rPr>
            <w:t>第二章 中标人须知</w:t>
          </w:r>
          <w:r>
            <w:rPr>
              <w:b/>
              <w:bCs/>
              <w:color w:val="auto"/>
              <w:highlight w:val="none"/>
            </w:rPr>
            <w:tab/>
          </w:r>
          <w:r>
            <w:rPr>
              <w:b/>
              <w:bCs/>
              <w:color w:val="auto"/>
              <w:highlight w:val="none"/>
            </w:rPr>
            <w:fldChar w:fldCharType="begin"/>
          </w:r>
          <w:r>
            <w:rPr>
              <w:b/>
              <w:bCs/>
              <w:color w:val="auto"/>
              <w:highlight w:val="none"/>
            </w:rPr>
            <w:instrText xml:space="preserve"> PAGEREF _Toc10802 \h </w:instrText>
          </w:r>
          <w:r>
            <w:rPr>
              <w:b/>
              <w:bCs/>
              <w:color w:val="auto"/>
              <w:highlight w:val="none"/>
            </w:rPr>
            <w:fldChar w:fldCharType="separate"/>
          </w:r>
          <w:r>
            <w:rPr>
              <w:b/>
              <w:bCs/>
              <w:color w:val="auto"/>
              <w:highlight w:val="none"/>
            </w:rPr>
            <w:t>31</w:t>
          </w:r>
          <w:r>
            <w:rPr>
              <w:b/>
              <w:bCs/>
              <w:color w:val="auto"/>
              <w:highlight w:val="none"/>
            </w:rPr>
            <w:fldChar w:fldCharType="end"/>
          </w:r>
          <w:r>
            <w:rPr>
              <w:b/>
              <w:bCs/>
              <w:color w:val="auto"/>
              <w:highlight w:val="none"/>
            </w:rPr>
            <w:fldChar w:fldCharType="end"/>
          </w:r>
        </w:p>
        <w:p w14:paraId="4B79AC55">
          <w:pPr>
            <w:pStyle w:val="17"/>
            <w:tabs>
              <w:tab w:val="right" w:leader="dot" w:pos="9072"/>
            </w:tabs>
            <w:spacing w:line="360" w:lineRule="auto"/>
            <w:rPr>
              <w:b/>
              <w:bCs/>
              <w:color w:val="auto"/>
              <w:highlight w:val="none"/>
            </w:rPr>
          </w:pPr>
          <w:r>
            <w:rPr>
              <w:color w:val="auto"/>
              <w:highlight w:val="none"/>
            </w:rPr>
            <w:fldChar w:fldCharType="begin"/>
          </w:r>
          <w:r>
            <w:rPr>
              <w:color w:val="auto"/>
              <w:highlight w:val="none"/>
            </w:rPr>
            <w:instrText xml:space="preserve"> HYPERLINK \l "_Toc12562" </w:instrText>
          </w:r>
          <w:r>
            <w:rPr>
              <w:color w:val="auto"/>
              <w:highlight w:val="none"/>
            </w:rPr>
            <w:fldChar w:fldCharType="separate"/>
          </w:r>
          <w:r>
            <w:rPr>
              <w:rFonts w:hint="eastAsia" w:hAnsi="宋体" w:cs="宋体"/>
              <w:b/>
              <w:bCs/>
              <w:snapToGrid w:val="0"/>
              <w:color w:val="auto"/>
              <w:szCs w:val="32"/>
              <w:highlight w:val="none"/>
            </w:rPr>
            <w:t>第三章 拟签订合同的主要条款</w:t>
          </w:r>
          <w:r>
            <w:rPr>
              <w:b/>
              <w:bCs/>
              <w:color w:val="auto"/>
              <w:highlight w:val="none"/>
            </w:rPr>
            <w:tab/>
          </w:r>
          <w:r>
            <w:rPr>
              <w:b/>
              <w:bCs/>
              <w:color w:val="auto"/>
              <w:highlight w:val="none"/>
            </w:rPr>
            <w:fldChar w:fldCharType="begin"/>
          </w:r>
          <w:r>
            <w:rPr>
              <w:b/>
              <w:bCs/>
              <w:color w:val="auto"/>
              <w:highlight w:val="none"/>
            </w:rPr>
            <w:instrText xml:space="preserve"> PAGEREF _Toc12562 \h </w:instrText>
          </w:r>
          <w:r>
            <w:rPr>
              <w:b/>
              <w:bCs/>
              <w:color w:val="auto"/>
              <w:highlight w:val="none"/>
            </w:rPr>
            <w:fldChar w:fldCharType="separate"/>
          </w:r>
          <w:r>
            <w:rPr>
              <w:b/>
              <w:bCs/>
              <w:color w:val="auto"/>
              <w:highlight w:val="none"/>
            </w:rPr>
            <w:t>35</w:t>
          </w:r>
          <w:r>
            <w:rPr>
              <w:b/>
              <w:bCs/>
              <w:color w:val="auto"/>
              <w:highlight w:val="none"/>
            </w:rPr>
            <w:fldChar w:fldCharType="end"/>
          </w:r>
          <w:r>
            <w:rPr>
              <w:b/>
              <w:bCs/>
              <w:color w:val="auto"/>
              <w:highlight w:val="none"/>
            </w:rPr>
            <w:fldChar w:fldCharType="end"/>
          </w:r>
        </w:p>
        <w:p w14:paraId="29501D8B">
          <w:pPr>
            <w:pStyle w:val="17"/>
            <w:tabs>
              <w:tab w:val="right" w:leader="dot" w:pos="9072"/>
            </w:tabs>
            <w:spacing w:line="360" w:lineRule="auto"/>
            <w:rPr>
              <w:b/>
              <w:bCs/>
              <w:color w:val="auto"/>
              <w:highlight w:val="none"/>
            </w:rPr>
          </w:pPr>
          <w:r>
            <w:rPr>
              <w:color w:val="auto"/>
              <w:highlight w:val="none"/>
            </w:rPr>
            <w:fldChar w:fldCharType="begin"/>
          </w:r>
          <w:r>
            <w:rPr>
              <w:color w:val="auto"/>
              <w:highlight w:val="none"/>
            </w:rPr>
            <w:instrText xml:space="preserve"> HYPERLINK \l "_Toc21554" </w:instrText>
          </w:r>
          <w:r>
            <w:rPr>
              <w:color w:val="auto"/>
              <w:highlight w:val="none"/>
            </w:rPr>
            <w:fldChar w:fldCharType="separate"/>
          </w:r>
          <w:r>
            <w:rPr>
              <w:rFonts w:hint="eastAsia" w:ascii="Times New Roman"/>
              <w:b/>
              <w:bCs/>
              <w:snapToGrid w:val="0"/>
              <w:color w:val="auto"/>
              <w:szCs w:val="22"/>
              <w:highlight w:val="none"/>
            </w:rPr>
            <w:t>第四章 技术要求</w:t>
          </w:r>
          <w:r>
            <w:rPr>
              <w:b/>
              <w:bCs/>
              <w:color w:val="auto"/>
              <w:highlight w:val="none"/>
            </w:rPr>
            <w:tab/>
          </w:r>
          <w:r>
            <w:rPr>
              <w:b/>
              <w:bCs/>
              <w:color w:val="auto"/>
              <w:highlight w:val="none"/>
            </w:rPr>
            <w:fldChar w:fldCharType="begin"/>
          </w:r>
          <w:r>
            <w:rPr>
              <w:b/>
              <w:bCs/>
              <w:color w:val="auto"/>
              <w:highlight w:val="none"/>
            </w:rPr>
            <w:instrText xml:space="preserve"> PAGEREF _Toc21554 \h </w:instrText>
          </w:r>
          <w:r>
            <w:rPr>
              <w:b/>
              <w:bCs/>
              <w:color w:val="auto"/>
              <w:highlight w:val="none"/>
            </w:rPr>
            <w:fldChar w:fldCharType="separate"/>
          </w:r>
          <w:r>
            <w:rPr>
              <w:b/>
              <w:bCs/>
              <w:color w:val="auto"/>
              <w:highlight w:val="none"/>
            </w:rPr>
            <w:t>67</w:t>
          </w:r>
          <w:r>
            <w:rPr>
              <w:b/>
              <w:bCs/>
              <w:color w:val="auto"/>
              <w:highlight w:val="none"/>
            </w:rPr>
            <w:fldChar w:fldCharType="end"/>
          </w:r>
          <w:r>
            <w:rPr>
              <w:b/>
              <w:bCs/>
              <w:color w:val="auto"/>
              <w:highlight w:val="none"/>
            </w:rPr>
            <w:fldChar w:fldCharType="end"/>
          </w:r>
        </w:p>
        <w:p w14:paraId="70CAFF86">
          <w:pPr>
            <w:pStyle w:val="17"/>
            <w:tabs>
              <w:tab w:val="right" w:leader="dot" w:pos="9072"/>
            </w:tabs>
            <w:spacing w:line="360" w:lineRule="auto"/>
            <w:rPr>
              <w:b/>
              <w:bCs/>
              <w:color w:val="auto"/>
              <w:highlight w:val="none"/>
            </w:rPr>
          </w:pPr>
          <w:r>
            <w:rPr>
              <w:color w:val="auto"/>
              <w:highlight w:val="none"/>
            </w:rPr>
            <w:fldChar w:fldCharType="begin"/>
          </w:r>
          <w:r>
            <w:rPr>
              <w:color w:val="auto"/>
              <w:highlight w:val="none"/>
            </w:rPr>
            <w:instrText xml:space="preserve"> HYPERLINK \l "_Toc28412" </w:instrText>
          </w:r>
          <w:r>
            <w:rPr>
              <w:color w:val="auto"/>
              <w:highlight w:val="none"/>
            </w:rPr>
            <w:fldChar w:fldCharType="separate"/>
          </w:r>
          <w:r>
            <w:rPr>
              <w:rFonts w:hint="eastAsia" w:ascii="Times New Roman"/>
              <w:b/>
              <w:bCs/>
              <w:snapToGrid w:val="0"/>
              <w:color w:val="auto"/>
              <w:szCs w:val="22"/>
              <w:highlight w:val="none"/>
            </w:rPr>
            <w:t>第五章 投标文件格式</w:t>
          </w:r>
          <w:r>
            <w:rPr>
              <w:b/>
              <w:bCs/>
              <w:color w:val="auto"/>
              <w:highlight w:val="none"/>
            </w:rPr>
            <w:tab/>
          </w:r>
          <w:r>
            <w:rPr>
              <w:b/>
              <w:bCs/>
              <w:color w:val="auto"/>
              <w:highlight w:val="none"/>
            </w:rPr>
            <w:fldChar w:fldCharType="begin"/>
          </w:r>
          <w:r>
            <w:rPr>
              <w:b/>
              <w:bCs/>
              <w:color w:val="auto"/>
              <w:highlight w:val="none"/>
            </w:rPr>
            <w:instrText xml:space="preserve"> PAGEREF _Toc28412 \h </w:instrText>
          </w:r>
          <w:r>
            <w:rPr>
              <w:b/>
              <w:bCs/>
              <w:color w:val="auto"/>
              <w:highlight w:val="none"/>
            </w:rPr>
            <w:fldChar w:fldCharType="separate"/>
          </w:r>
          <w:r>
            <w:rPr>
              <w:b/>
              <w:bCs/>
              <w:color w:val="auto"/>
              <w:highlight w:val="none"/>
            </w:rPr>
            <w:t>68</w:t>
          </w:r>
          <w:r>
            <w:rPr>
              <w:b/>
              <w:bCs/>
              <w:color w:val="auto"/>
              <w:highlight w:val="none"/>
            </w:rPr>
            <w:fldChar w:fldCharType="end"/>
          </w:r>
          <w:r>
            <w:rPr>
              <w:b/>
              <w:bCs/>
              <w:color w:val="auto"/>
              <w:highlight w:val="none"/>
            </w:rPr>
            <w:fldChar w:fldCharType="end"/>
          </w:r>
        </w:p>
        <w:p w14:paraId="0443202D">
          <w:pPr>
            <w:pStyle w:val="9"/>
            <w:tabs>
              <w:tab w:val="right" w:leader="dot" w:pos="9072"/>
            </w:tabs>
            <w:spacing w:line="360" w:lineRule="auto"/>
            <w:ind w:left="0" w:firstLine="240" w:firstLineChars="100"/>
            <w:rPr>
              <w:color w:val="auto"/>
              <w:highlight w:val="none"/>
            </w:rPr>
          </w:pPr>
          <w:r>
            <w:rPr>
              <w:color w:val="auto"/>
              <w:highlight w:val="none"/>
            </w:rPr>
            <w:fldChar w:fldCharType="begin"/>
          </w:r>
          <w:r>
            <w:rPr>
              <w:color w:val="auto"/>
              <w:highlight w:val="none"/>
            </w:rPr>
            <w:instrText xml:space="preserve"> HYPERLINK \l "_Toc24031" </w:instrText>
          </w:r>
          <w:r>
            <w:rPr>
              <w:color w:val="auto"/>
              <w:highlight w:val="none"/>
            </w:rPr>
            <w:fldChar w:fldCharType="separate"/>
          </w:r>
          <w:r>
            <w:rPr>
              <w:rFonts w:hint="eastAsia" w:ascii="Times New Roman"/>
              <w:snapToGrid w:val="0"/>
              <w:color w:val="auto"/>
              <w:highlight w:val="none"/>
            </w:rPr>
            <w:t>格式一 封面</w:t>
          </w:r>
          <w:r>
            <w:rPr>
              <w:color w:val="auto"/>
              <w:highlight w:val="none"/>
            </w:rPr>
            <w:tab/>
          </w:r>
          <w:r>
            <w:rPr>
              <w:color w:val="auto"/>
              <w:highlight w:val="none"/>
            </w:rPr>
            <w:fldChar w:fldCharType="begin"/>
          </w:r>
          <w:r>
            <w:rPr>
              <w:color w:val="auto"/>
              <w:highlight w:val="none"/>
            </w:rPr>
            <w:instrText xml:space="preserve"> PAGEREF _Toc24031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4659DC4E">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"_Toc31638" </w:instrText>
          </w:r>
          <w:r>
            <w:rPr>
              <w:color w:val="auto"/>
              <w:highlight w:val="none"/>
            </w:rPr>
            <w:fldChar w:fldCharType="separate"/>
          </w:r>
          <w:r>
            <w:rPr>
              <w:rFonts w:hint="eastAsia" w:ascii="Times New Roman"/>
              <w:snapToGrid w:val="0"/>
              <w:color w:val="auto"/>
              <w:highlight w:val="none"/>
            </w:rPr>
            <w:t>格式二 投标函</w:t>
          </w:r>
          <w:r>
            <w:rPr>
              <w:color w:val="auto"/>
              <w:highlight w:val="none"/>
            </w:rPr>
            <w:tab/>
          </w:r>
          <w:r>
            <w:rPr>
              <w:color w:val="auto"/>
              <w:highlight w:val="none"/>
            </w:rPr>
            <w:fldChar w:fldCharType="begin"/>
          </w:r>
          <w:r>
            <w:rPr>
              <w:color w:val="auto"/>
              <w:highlight w:val="none"/>
            </w:rPr>
            <w:instrText xml:space="preserve"> PAGEREF _Toc31638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3B25EDC1">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"_Toc29439" </w:instrText>
          </w:r>
          <w:r>
            <w:rPr>
              <w:color w:val="auto"/>
              <w:highlight w:val="none"/>
            </w:rPr>
            <w:fldChar w:fldCharType="separate"/>
          </w:r>
          <w:r>
            <w:rPr>
              <w:rFonts w:hint="eastAsia" w:hAnsi="宋体" w:cs="宋体"/>
              <w:snapToGrid w:val="0"/>
              <w:color w:val="auto"/>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_Toc29439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7B503573">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"_Toc12381" </w:instrText>
          </w:r>
          <w:r>
            <w:rPr>
              <w:color w:val="auto"/>
              <w:highlight w:val="none"/>
            </w:rPr>
            <w:fldChar w:fldCharType="separate"/>
          </w:r>
          <w:r>
            <w:rPr>
              <w:rFonts w:hint="eastAsia" w:hAnsi="宋体" w:cs="宋体"/>
              <w:bCs/>
              <w:snapToGrid w:val="0"/>
              <w:color w:val="auto"/>
              <w:kern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_Toc12381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55EBE656">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"_Toc11654" </w:instrText>
          </w:r>
          <w:r>
            <w:rPr>
              <w:color w:val="auto"/>
              <w:highlight w:val="none"/>
            </w:rPr>
            <w:fldChar w:fldCharType="separate"/>
          </w:r>
          <w:r>
            <w:rPr>
              <w:rFonts w:hint="eastAsia" w:hAnsi="宋体" w:cs="宋体"/>
              <w:snapToGrid w:val="0"/>
              <w:color w:val="auto"/>
              <w:kern w:val="0"/>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_Toc11654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35A217BD">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"_Toc3633" </w:instrText>
          </w:r>
          <w:r>
            <w:rPr>
              <w:color w:val="auto"/>
              <w:highlight w:val="none"/>
            </w:rPr>
            <w:fldChar w:fldCharType="separate"/>
          </w:r>
          <w:r>
            <w:rPr>
              <w:rFonts w:hint="eastAsia" w:hAnsi="宋体" w:cs="宋体"/>
              <w:bCs/>
              <w:snapToGrid w:val="0"/>
              <w:color w:val="auto"/>
              <w:kern w:val="0"/>
              <w:szCs w:val="24"/>
              <w:highlight w:val="none"/>
            </w:rPr>
            <w:t>格式六 投标人基本情况表</w:t>
          </w:r>
          <w:r>
            <w:rPr>
              <w:color w:val="auto"/>
              <w:highlight w:val="none"/>
            </w:rPr>
            <w:tab/>
          </w:r>
          <w:r>
            <w:rPr>
              <w:color w:val="auto"/>
              <w:highlight w:val="none"/>
            </w:rPr>
            <w:fldChar w:fldCharType="begin"/>
          </w:r>
          <w:r>
            <w:rPr>
              <w:color w:val="auto"/>
              <w:highlight w:val="none"/>
            </w:rPr>
            <w:instrText xml:space="preserve"> PAGEREF _Toc3633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65CCCC66">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"_Toc16301" </w:instrText>
          </w:r>
          <w:r>
            <w:rPr>
              <w:color w:val="auto"/>
              <w:highlight w:val="none"/>
            </w:rPr>
            <w:fldChar w:fldCharType="separate"/>
          </w:r>
          <w:r>
            <w:rPr>
              <w:rFonts w:hint="eastAsia" w:hAnsi="宋体" w:cs="宋体"/>
              <w:snapToGrid w:val="0"/>
              <w:color w:val="auto"/>
              <w:kern w:val="0"/>
              <w:highlight w:val="none"/>
            </w:rPr>
            <w:t>格式七 总监理工程师任职声明（适用于无任职项目）</w:t>
          </w:r>
          <w:r>
            <w:rPr>
              <w:color w:val="auto"/>
              <w:highlight w:val="none"/>
            </w:rPr>
            <w:tab/>
          </w:r>
          <w:r>
            <w:rPr>
              <w:color w:val="auto"/>
              <w:highlight w:val="none"/>
            </w:rPr>
            <w:fldChar w:fldCharType="begin"/>
          </w:r>
          <w:r>
            <w:rPr>
              <w:color w:val="auto"/>
              <w:highlight w:val="none"/>
            </w:rPr>
            <w:instrText xml:space="preserve"> PAGEREF _Toc16301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1E5038BA">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"_Toc23794" </w:instrText>
          </w:r>
          <w:r>
            <w:rPr>
              <w:color w:val="auto"/>
              <w:highlight w:val="none"/>
            </w:rPr>
            <w:fldChar w:fldCharType="separate"/>
          </w:r>
          <w:r>
            <w:rPr>
              <w:rFonts w:hint="eastAsia" w:hAnsi="宋体" w:cs="宋体"/>
              <w:snapToGrid w:val="0"/>
              <w:color w:val="auto"/>
              <w:kern w:val="0"/>
              <w:highlight w:val="none"/>
            </w:rPr>
            <w:t>格式八 总监理工程师任职声明（适用于有任职项目）</w:t>
          </w:r>
          <w:r>
            <w:rPr>
              <w:color w:val="auto"/>
              <w:highlight w:val="none"/>
            </w:rPr>
            <w:tab/>
          </w:r>
          <w:r>
            <w:rPr>
              <w:color w:val="auto"/>
              <w:highlight w:val="none"/>
            </w:rPr>
            <w:fldChar w:fldCharType="begin"/>
          </w:r>
          <w:r>
            <w:rPr>
              <w:color w:val="auto"/>
              <w:highlight w:val="none"/>
            </w:rPr>
            <w:instrText xml:space="preserve"> PAGEREF _Toc23794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1517FB77">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"_Toc11113" </w:instrText>
          </w:r>
          <w:r>
            <w:rPr>
              <w:color w:val="auto"/>
              <w:highlight w:val="none"/>
            </w:rPr>
            <w:fldChar w:fldCharType="separate"/>
          </w:r>
          <w:r>
            <w:rPr>
              <w:rFonts w:hint="eastAsia" w:hAnsi="宋体" w:cs="宋体"/>
              <w:bCs/>
              <w:snapToGrid w:val="0"/>
              <w:color w:val="auto"/>
              <w:kern w:val="0"/>
              <w:szCs w:val="24"/>
              <w:highlight w:val="none"/>
            </w:rPr>
            <w:t>格式九 总监理工程师任职项目情况表</w:t>
          </w:r>
          <w:r>
            <w:rPr>
              <w:color w:val="auto"/>
              <w:highlight w:val="none"/>
            </w:rPr>
            <w:tab/>
          </w:r>
          <w:r>
            <w:rPr>
              <w:color w:val="auto"/>
              <w:highlight w:val="none"/>
            </w:rPr>
            <w:fldChar w:fldCharType="begin"/>
          </w:r>
          <w:r>
            <w:rPr>
              <w:color w:val="auto"/>
              <w:highlight w:val="none"/>
            </w:rPr>
            <w:instrText xml:space="preserve"> PAGEREF _Toc11113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20A7BAB4">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"_Toc23262" </w:instrText>
          </w:r>
          <w:r>
            <w:rPr>
              <w:color w:val="auto"/>
              <w:highlight w:val="none"/>
            </w:rPr>
            <w:fldChar w:fldCharType="separate"/>
          </w:r>
          <w:r>
            <w:rPr>
              <w:rFonts w:hint="eastAsia" w:hAnsi="宋体" w:cs="宋体"/>
              <w:snapToGrid w:val="0"/>
              <w:color w:val="auto"/>
              <w:kern w:val="0"/>
              <w:highlight w:val="none"/>
            </w:rPr>
            <w:t>格式</w:t>
          </w:r>
          <w:r>
            <w:rPr>
              <w:rFonts w:hint="eastAsia" w:hAnsi="宋体" w:cs="宋体"/>
              <w:bCs/>
              <w:snapToGrid w:val="0"/>
              <w:color w:val="auto"/>
              <w:kern w:val="0"/>
              <w:szCs w:val="24"/>
              <w:highlight w:val="none"/>
            </w:rPr>
            <w:t>十 项目监理机构组成人员汇总表</w:t>
          </w:r>
          <w:r>
            <w:rPr>
              <w:color w:val="auto"/>
              <w:highlight w:val="none"/>
            </w:rPr>
            <w:tab/>
          </w:r>
          <w:r>
            <w:rPr>
              <w:color w:val="auto"/>
              <w:highlight w:val="none"/>
            </w:rPr>
            <w:fldChar w:fldCharType="begin"/>
          </w:r>
          <w:r>
            <w:rPr>
              <w:color w:val="auto"/>
              <w:highlight w:val="none"/>
            </w:rPr>
            <w:instrText xml:space="preserve"> PAGEREF _Toc23262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00863ACB">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"_Toc4835" </w:instrText>
          </w:r>
          <w:r>
            <w:rPr>
              <w:color w:val="auto"/>
              <w:highlight w:val="none"/>
            </w:rPr>
            <w:fldChar w:fldCharType="separate"/>
          </w:r>
          <w:r>
            <w:rPr>
              <w:rFonts w:hint="eastAsia" w:hAnsi="宋体" w:cs="宋体"/>
              <w:bCs/>
              <w:smallCaps w:val="0"/>
              <w:snapToGrid w:val="0"/>
              <w:color w:val="auto"/>
              <w:kern w:val="0"/>
              <w:szCs w:val="24"/>
              <w:highlight w:val="none"/>
            </w:rPr>
            <w:t>格式十一  总监理工程师简历表</w:t>
          </w:r>
          <w:r>
            <w:rPr>
              <w:color w:val="auto"/>
              <w:highlight w:val="none"/>
            </w:rPr>
            <w:tab/>
          </w:r>
          <w:r>
            <w:rPr>
              <w:color w:val="auto"/>
              <w:highlight w:val="none"/>
            </w:rPr>
            <w:fldChar w:fldCharType="begin"/>
          </w:r>
          <w:r>
            <w:rPr>
              <w:color w:val="auto"/>
              <w:highlight w:val="none"/>
            </w:rPr>
            <w:instrText xml:space="preserve"> PAGEREF _Toc4835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42CBC9E3">
          <w:pPr>
            <w:pStyle w:val="18"/>
            <w:tabs>
              <w:tab w:val="right" w:leader="dot" w:pos="9072"/>
            </w:tabs>
            <w:spacing w:line="360" w:lineRule="auto"/>
            <w:rPr>
              <w:color w:val="auto"/>
              <w:highlight w:val="none"/>
            </w:rPr>
          </w:pPr>
          <w:r>
            <w:rPr>
              <w:color w:val="auto"/>
              <w:highlight w:val="none"/>
            </w:rPr>
            <w:fldChar w:fldCharType="begin"/>
          </w:r>
          <w:r>
            <w:rPr>
              <w:color w:val="auto"/>
              <w:highlight w:val="none"/>
            </w:rPr>
            <w:instrText xml:space="preserve"> HYPERLINK \l "_Toc4821" </w:instrText>
          </w:r>
          <w:r>
            <w:rPr>
              <w:color w:val="auto"/>
              <w:highlight w:val="none"/>
            </w:rPr>
            <w:fldChar w:fldCharType="separate"/>
          </w:r>
          <w:r>
            <w:rPr>
              <w:rFonts w:hint="eastAsia" w:hAnsi="宋体" w:cs="宋体"/>
              <w:bCs/>
              <w:smallCaps w:val="0"/>
              <w:snapToGrid w:val="0"/>
              <w:color w:val="auto"/>
              <w:kern w:val="0"/>
              <w:szCs w:val="24"/>
              <w:highlight w:val="none"/>
            </w:rPr>
            <w:t>格式十二  其他拟派人员简历表</w:t>
          </w:r>
          <w:r>
            <w:rPr>
              <w:color w:val="auto"/>
              <w:highlight w:val="none"/>
            </w:rPr>
            <w:tab/>
          </w:r>
          <w:r>
            <w:rPr>
              <w:color w:val="auto"/>
              <w:highlight w:val="none"/>
            </w:rPr>
            <w:fldChar w:fldCharType="begin"/>
          </w:r>
          <w:r>
            <w:rPr>
              <w:color w:val="auto"/>
              <w:highlight w:val="none"/>
            </w:rPr>
            <w:instrText xml:space="preserve"> PAGEREF _Toc4821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3930D0BB">
          <w:pPr>
            <w:pStyle w:val="17"/>
            <w:tabs>
              <w:tab w:val="right" w:leader="dot" w:pos="9072"/>
            </w:tabs>
            <w:spacing w:line="360" w:lineRule="auto"/>
            <w:rPr>
              <w:b/>
              <w:bCs/>
              <w:color w:val="auto"/>
              <w:highlight w:val="none"/>
            </w:rPr>
          </w:pPr>
          <w:r>
            <w:rPr>
              <w:color w:val="auto"/>
              <w:highlight w:val="none"/>
            </w:rPr>
            <w:fldChar w:fldCharType="begin"/>
          </w:r>
          <w:r>
            <w:rPr>
              <w:color w:val="auto"/>
              <w:highlight w:val="none"/>
            </w:rPr>
            <w:instrText xml:space="preserve"> HYPERLINK \l "_Toc26988" </w:instrText>
          </w:r>
          <w:r>
            <w:rPr>
              <w:color w:val="auto"/>
              <w:highlight w:val="none"/>
            </w:rPr>
            <w:fldChar w:fldCharType="separate"/>
          </w:r>
          <w:r>
            <w:rPr>
              <w:rFonts w:hint="eastAsia" w:hAnsi="宋体" w:cs="宋体"/>
              <w:b/>
              <w:bCs/>
              <w:color w:val="auto"/>
              <w:kern w:val="44"/>
              <w:szCs w:val="22"/>
              <w:highlight w:val="none"/>
            </w:rPr>
            <w:t>第六章   建设工程监理合同</w:t>
          </w:r>
          <w:r>
            <w:rPr>
              <w:b/>
              <w:bCs/>
              <w:color w:val="auto"/>
              <w:highlight w:val="none"/>
            </w:rPr>
            <w:tab/>
          </w:r>
          <w:r>
            <w:rPr>
              <w:b/>
              <w:bCs/>
              <w:color w:val="auto"/>
              <w:highlight w:val="none"/>
            </w:rPr>
            <w:fldChar w:fldCharType="begin"/>
          </w:r>
          <w:r>
            <w:rPr>
              <w:b/>
              <w:bCs/>
              <w:color w:val="auto"/>
              <w:highlight w:val="none"/>
            </w:rPr>
            <w:instrText xml:space="preserve"> PAGEREF _Toc26988 \h </w:instrText>
          </w:r>
          <w:r>
            <w:rPr>
              <w:b/>
              <w:bCs/>
              <w:color w:val="auto"/>
              <w:highlight w:val="none"/>
            </w:rPr>
            <w:fldChar w:fldCharType="separate"/>
          </w:r>
          <w:r>
            <w:rPr>
              <w:b/>
              <w:bCs/>
              <w:color w:val="auto"/>
              <w:highlight w:val="none"/>
            </w:rPr>
            <w:t>81</w:t>
          </w:r>
          <w:r>
            <w:rPr>
              <w:b/>
              <w:bCs/>
              <w:color w:val="auto"/>
              <w:highlight w:val="none"/>
            </w:rPr>
            <w:fldChar w:fldCharType="end"/>
          </w:r>
          <w:r>
            <w:rPr>
              <w:b/>
              <w:bCs/>
              <w:color w:val="auto"/>
              <w:highlight w:val="none"/>
            </w:rPr>
            <w:fldChar w:fldCharType="end"/>
          </w:r>
        </w:p>
        <w:p w14:paraId="2EFCB6CD">
          <w:pPr>
            <w:widowControl/>
            <w:spacing w:line="360" w:lineRule="auto"/>
            <w:rPr>
              <w:rFonts w:hAnsi="宋体" w:cs="宋体"/>
              <w:color w:val="auto"/>
              <w:szCs w:val="24"/>
              <w:highlight w:val="none"/>
            </w:rPr>
          </w:pPr>
          <w:r>
            <w:rPr>
              <w:rFonts w:hint="eastAsia" w:hAnsi="宋体" w:cs="宋体"/>
              <w:color w:val="auto"/>
              <w:szCs w:val="24"/>
              <w:highlight w:val="none"/>
            </w:rPr>
            <w:fldChar w:fldCharType="end"/>
          </w:r>
        </w:p>
        <w:p w14:paraId="405793BE">
          <w:pPr>
            <w:widowControl/>
            <w:spacing w:line="460" w:lineRule="exact"/>
            <w:rPr>
              <w:rFonts w:hAnsi="宋体" w:cs="宋体"/>
              <w:color w:val="auto"/>
              <w:szCs w:val="24"/>
              <w:highlight w:val="none"/>
            </w:rPr>
          </w:pPr>
        </w:p>
        <w:p w14:paraId="60F6F23D">
          <w:pPr>
            <w:widowControl/>
            <w:spacing w:line="460" w:lineRule="exact"/>
            <w:rPr>
              <w:rFonts w:hAnsi="宋体" w:cs="宋体"/>
              <w:color w:val="auto"/>
              <w:szCs w:val="24"/>
              <w:highlight w:val="none"/>
            </w:rPr>
          </w:pPr>
        </w:p>
        <w:p w14:paraId="12B127AE">
          <w:pPr>
            <w:widowControl/>
            <w:spacing w:line="460" w:lineRule="exact"/>
            <w:rPr>
              <w:rFonts w:hAnsi="宋体" w:cs="宋体"/>
              <w:color w:val="auto"/>
              <w:szCs w:val="24"/>
              <w:highlight w:val="none"/>
            </w:rPr>
          </w:pPr>
        </w:p>
        <w:p w14:paraId="0B452357">
          <w:pPr>
            <w:widowControl/>
            <w:spacing w:line="460" w:lineRule="exact"/>
            <w:rPr>
              <w:rFonts w:hAnsi="宋体" w:cs="宋体"/>
              <w:color w:val="auto"/>
              <w:szCs w:val="24"/>
              <w:highlight w:val="none"/>
            </w:rPr>
          </w:pPr>
        </w:p>
        <w:p w14:paraId="4F284388">
          <w:pPr>
            <w:widowControl/>
            <w:spacing w:line="460" w:lineRule="exact"/>
            <w:rPr>
              <w:rFonts w:hAnsi="宋体" w:cs="宋体"/>
              <w:color w:val="auto"/>
              <w:szCs w:val="24"/>
              <w:highlight w:val="none"/>
            </w:rPr>
          </w:pPr>
        </w:p>
        <w:p w14:paraId="3D63ED05">
          <w:pPr>
            <w:rPr>
              <w:color w:val="auto"/>
              <w:highlight w:val="none"/>
            </w:rPr>
          </w:pPr>
          <w:bookmarkStart w:id="0" w:name="_Toc23833"/>
        </w:p>
      </w:sdtContent>
    </w:sdt>
    <w:p w14:paraId="60786F34">
      <w:pPr>
        <w:rPr>
          <w:rFonts w:hint="eastAsia" w:ascii="Times New Roman"/>
          <w:b/>
          <w:snapToGrid w:val="0"/>
          <w:color w:val="auto"/>
          <w:sz w:val="32"/>
          <w:szCs w:val="22"/>
          <w:highlight w:val="none"/>
        </w:rPr>
      </w:pPr>
      <w:r>
        <w:rPr>
          <w:rFonts w:hint="eastAsia" w:ascii="Times New Roman"/>
          <w:b/>
          <w:snapToGrid w:val="0"/>
          <w:color w:val="auto"/>
          <w:sz w:val="32"/>
          <w:szCs w:val="22"/>
          <w:highlight w:val="none"/>
        </w:rPr>
        <w:br w:type="page"/>
      </w:r>
    </w:p>
    <w:p w14:paraId="6925CF9B">
      <w:pPr>
        <w:pStyle w:val="2"/>
        <w:keepNext w:val="0"/>
        <w:keepLines w:val="0"/>
        <w:pageBreakBefore w:val="0"/>
        <w:widowControl w:val="0"/>
        <w:kinsoku/>
        <w:wordWrap w:val="0"/>
        <w:overflowPunct/>
        <w:topLinePunct w:val="0"/>
        <w:autoSpaceDE/>
        <w:autoSpaceDN/>
        <w:bidi w:val="0"/>
        <w:snapToGrid w:val="0"/>
        <w:spacing w:line="360" w:lineRule="exact"/>
        <w:jc w:val="center"/>
        <w:rPr>
          <w:rFonts w:ascii="Times New Roman"/>
          <w:b/>
          <w:snapToGrid w:val="0"/>
          <w:color w:val="auto"/>
          <w:sz w:val="32"/>
          <w:szCs w:val="22"/>
          <w:highlight w:val="none"/>
        </w:rPr>
      </w:pPr>
      <w:r>
        <w:rPr>
          <w:rFonts w:hint="eastAsia" w:ascii="Times New Roman"/>
          <w:b/>
          <w:snapToGrid w:val="0"/>
          <w:color w:val="auto"/>
          <w:sz w:val="32"/>
          <w:szCs w:val="22"/>
          <w:highlight w:val="none"/>
        </w:rPr>
        <w:t>第一章 投标人须知</w:t>
      </w:r>
      <w:bookmarkEnd w:id="0"/>
    </w:p>
    <w:p w14:paraId="6D32A40B">
      <w:pPr>
        <w:pStyle w:val="3"/>
        <w:keepNext w:val="0"/>
        <w:keepLines w:val="0"/>
        <w:pageBreakBefore w:val="0"/>
        <w:widowControl w:val="0"/>
        <w:kinsoku/>
        <w:wordWrap w:val="0"/>
        <w:overflowPunct/>
        <w:topLinePunct w:val="0"/>
        <w:autoSpaceDE/>
        <w:autoSpaceDN/>
        <w:bidi w:val="0"/>
        <w:snapToGrid w:val="0"/>
        <w:spacing w:before="260" w:after="260" w:line="360" w:lineRule="exact"/>
        <w:jc w:val="both"/>
        <w:rPr>
          <w:rFonts w:ascii="Times New Roman"/>
          <w:b/>
          <w:snapToGrid w:val="0"/>
          <w:color w:val="auto"/>
          <w:highlight w:val="none"/>
        </w:rPr>
      </w:pPr>
      <w:bookmarkStart w:id="1" w:name="_Hlt127175444"/>
      <w:bookmarkEnd w:id="1"/>
      <w:bookmarkStart w:id="2" w:name="_Toc31123"/>
      <w:bookmarkStart w:id="3" w:name="_Toc4883"/>
      <w:bookmarkStart w:id="4" w:name="_Hlt120077520"/>
      <w:r>
        <w:rPr>
          <w:rFonts w:hint="eastAsia" w:ascii="Times New Roman"/>
          <w:b/>
          <w:snapToGrid w:val="0"/>
          <w:color w:val="auto"/>
          <w:highlight w:val="none"/>
        </w:rPr>
        <w:t>第一节 投标人须知前附表</w:t>
      </w:r>
      <w:bookmarkEnd w:id="2"/>
      <w:bookmarkEnd w:id="3"/>
    </w:p>
    <w:tbl>
      <w:tblPr>
        <w:tblStyle w:val="21"/>
        <w:tblW w:w="9302" w:type="dxa"/>
        <w:tblInd w:w="-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21"/>
        <w:gridCol w:w="1725"/>
        <w:gridCol w:w="6856"/>
      </w:tblGrid>
      <w:tr w14:paraId="7B3377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0" w:hRule="atLeast"/>
        </w:trPr>
        <w:tc>
          <w:tcPr>
            <w:tcW w:w="721" w:type="dxa"/>
            <w:tcBorders>
              <w:top w:val="single" w:color="auto" w:sz="4" w:space="0"/>
              <w:left w:val="single" w:color="auto" w:sz="4" w:space="0"/>
              <w:bottom w:val="single" w:color="auto" w:sz="4" w:space="0"/>
              <w:right w:val="single" w:color="auto" w:sz="4" w:space="0"/>
            </w:tcBorders>
            <w:vAlign w:val="center"/>
          </w:tcPr>
          <w:p w14:paraId="23CB9DC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序号</w:t>
            </w:r>
          </w:p>
        </w:tc>
        <w:tc>
          <w:tcPr>
            <w:tcW w:w="1725" w:type="dxa"/>
            <w:tcBorders>
              <w:top w:val="single" w:color="auto" w:sz="4" w:space="0"/>
              <w:left w:val="single" w:color="auto" w:sz="4" w:space="0"/>
              <w:bottom w:val="single" w:color="auto" w:sz="4" w:space="0"/>
              <w:right w:val="single" w:color="auto" w:sz="4" w:space="0"/>
            </w:tcBorders>
            <w:vAlign w:val="center"/>
          </w:tcPr>
          <w:p w14:paraId="473AE0E4">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内容</w:t>
            </w:r>
          </w:p>
        </w:tc>
        <w:tc>
          <w:tcPr>
            <w:tcW w:w="6856" w:type="dxa"/>
            <w:tcBorders>
              <w:top w:val="single" w:color="auto" w:sz="4" w:space="0"/>
              <w:left w:val="single" w:color="auto" w:sz="4" w:space="0"/>
              <w:bottom w:val="single" w:color="auto" w:sz="4" w:space="0"/>
              <w:right w:val="single" w:color="auto" w:sz="4" w:space="0"/>
            </w:tcBorders>
            <w:vAlign w:val="center"/>
          </w:tcPr>
          <w:p w14:paraId="4927F882">
            <w:pPr>
              <w:keepNext w:val="0"/>
              <w:keepLines w:val="0"/>
              <w:pageBreakBefore w:val="0"/>
              <w:widowControl w:val="0"/>
              <w:tabs>
                <w:tab w:val="left" w:pos="1180"/>
              </w:tabs>
              <w:kinsoku/>
              <w:wordWrap w:val="0"/>
              <w:overflowPunct/>
              <w:topLinePunct w:val="0"/>
              <w:autoSpaceDE/>
              <w:autoSpaceDN/>
              <w:bidi w:val="0"/>
              <w:adjustRightInd w:val="0"/>
              <w:snapToGrid w:val="0"/>
              <w:spacing w:line="36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说明与要求</w:t>
            </w:r>
          </w:p>
        </w:tc>
      </w:tr>
      <w:tr w14:paraId="1E32AC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80" w:hRule="exact"/>
        </w:trPr>
        <w:tc>
          <w:tcPr>
            <w:tcW w:w="721" w:type="dxa"/>
            <w:tcBorders>
              <w:top w:val="single" w:color="auto" w:sz="4" w:space="0"/>
              <w:left w:val="single" w:color="auto" w:sz="4" w:space="0"/>
              <w:bottom w:val="single" w:color="auto" w:sz="4" w:space="0"/>
              <w:right w:val="single" w:color="auto" w:sz="4" w:space="0"/>
            </w:tcBorders>
            <w:vAlign w:val="center"/>
          </w:tcPr>
          <w:p w14:paraId="3A50EA2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w:t>
            </w:r>
          </w:p>
        </w:tc>
        <w:tc>
          <w:tcPr>
            <w:tcW w:w="1725" w:type="dxa"/>
            <w:tcBorders>
              <w:top w:val="single" w:color="auto" w:sz="4" w:space="0"/>
              <w:left w:val="single" w:color="auto" w:sz="4" w:space="0"/>
              <w:bottom w:val="single" w:color="auto" w:sz="4" w:space="0"/>
              <w:right w:val="single" w:color="auto" w:sz="4" w:space="0"/>
            </w:tcBorders>
            <w:vAlign w:val="center"/>
          </w:tcPr>
          <w:p w14:paraId="087DB9B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项目名称</w:t>
            </w:r>
          </w:p>
        </w:tc>
        <w:tc>
          <w:tcPr>
            <w:tcW w:w="6856" w:type="dxa"/>
            <w:tcBorders>
              <w:top w:val="single" w:color="auto" w:sz="4" w:space="0"/>
              <w:left w:val="single" w:color="auto" w:sz="4" w:space="0"/>
              <w:bottom w:val="single" w:color="auto" w:sz="4" w:space="0"/>
              <w:right w:val="single" w:color="auto" w:sz="4" w:space="0"/>
            </w:tcBorders>
            <w:vAlign w:val="center"/>
          </w:tcPr>
          <w:p w14:paraId="56F776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eastAsia="zh-CN"/>
              </w:rPr>
              <w:t>翁源县典型镇（翁城镇、官渡镇）污水管网补短板项目-子项目一：翁源县典型镇（翁城镇）污水管网补短板项目施工监理</w:t>
            </w:r>
          </w:p>
        </w:tc>
      </w:tr>
      <w:tr w14:paraId="30A9FA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762D11C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w:t>
            </w:r>
          </w:p>
        </w:tc>
        <w:tc>
          <w:tcPr>
            <w:tcW w:w="1725" w:type="dxa"/>
            <w:tcBorders>
              <w:top w:val="single" w:color="auto" w:sz="4" w:space="0"/>
              <w:left w:val="single" w:color="auto" w:sz="4" w:space="0"/>
              <w:bottom w:val="single" w:color="auto" w:sz="4" w:space="0"/>
              <w:right w:val="single" w:color="auto" w:sz="4" w:space="0"/>
            </w:tcBorders>
            <w:vAlign w:val="center"/>
          </w:tcPr>
          <w:p w14:paraId="2329A0A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项目业主</w:t>
            </w:r>
          </w:p>
        </w:tc>
        <w:tc>
          <w:tcPr>
            <w:tcW w:w="6856" w:type="dxa"/>
            <w:tcBorders>
              <w:top w:val="single" w:color="auto" w:sz="4" w:space="0"/>
              <w:left w:val="single" w:color="auto" w:sz="4" w:space="0"/>
              <w:bottom w:val="single" w:color="auto" w:sz="4" w:space="0"/>
              <w:right w:val="single" w:color="auto" w:sz="4" w:space="0"/>
            </w:tcBorders>
            <w:vAlign w:val="center"/>
          </w:tcPr>
          <w:p w14:paraId="1C8915D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lang w:val="en-US" w:eastAsia="zh-CN"/>
              </w:rPr>
              <w:t>翁源县翁城镇人民政府</w:t>
            </w:r>
          </w:p>
        </w:tc>
      </w:tr>
      <w:tr w14:paraId="61C07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5888332B">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3</w:t>
            </w:r>
          </w:p>
        </w:tc>
        <w:tc>
          <w:tcPr>
            <w:tcW w:w="1725" w:type="dxa"/>
            <w:tcBorders>
              <w:top w:val="single" w:color="auto" w:sz="4" w:space="0"/>
              <w:left w:val="single" w:color="auto" w:sz="4" w:space="0"/>
              <w:bottom w:val="single" w:color="auto" w:sz="4" w:space="0"/>
              <w:right w:val="single" w:color="auto" w:sz="4" w:space="0"/>
            </w:tcBorders>
            <w:vAlign w:val="center"/>
          </w:tcPr>
          <w:p w14:paraId="7037987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项目批准部门</w:t>
            </w:r>
          </w:p>
        </w:tc>
        <w:tc>
          <w:tcPr>
            <w:tcW w:w="6856" w:type="dxa"/>
            <w:tcBorders>
              <w:top w:val="single" w:color="auto" w:sz="4" w:space="0"/>
              <w:left w:val="single" w:color="auto" w:sz="4" w:space="0"/>
              <w:bottom w:val="single" w:color="auto" w:sz="4" w:space="0"/>
              <w:right w:val="single" w:color="auto" w:sz="4" w:space="0"/>
            </w:tcBorders>
            <w:vAlign w:val="center"/>
          </w:tcPr>
          <w:p w14:paraId="20AA01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翁源县发展和改革局</w:t>
            </w:r>
          </w:p>
        </w:tc>
      </w:tr>
      <w:tr w14:paraId="1E092E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76E3697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4</w:t>
            </w:r>
          </w:p>
        </w:tc>
        <w:tc>
          <w:tcPr>
            <w:tcW w:w="1725" w:type="dxa"/>
            <w:tcBorders>
              <w:top w:val="single" w:color="auto" w:sz="4" w:space="0"/>
              <w:left w:val="single" w:color="auto" w:sz="4" w:space="0"/>
              <w:bottom w:val="single" w:color="auto" w:sz="4" w:space="0"/>
              <w:right w:val="single" w:color="auto" w:sz="4" w:space="0"/>
            </w:tcBorders>
            <w:vAlign w:val="center"/>
          </w:tcPr>
          <w:p w14:paraId="50B43D8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项目批准文号</w:t>
            </w:r>
          </w:p>
        </w:tc>
        <w:tc>
          <w:tcPr>
            <w:tcW w:w="6856" w:type="dxa"/>
            <w:tcBorders>
              <w:top w:val="single" w:color="auto" w:sz="4" w:space="0"/>
              <w:left w:val="single" w:color="auto" w:sz="4" w:space="0"/>
              <w:bottom w:val="single" w:color="auto" w:sz="4" w:space="0"/>
              <w:right w:val="single" w:color="auto" w:sz="4" w:space="0"/>
            </w:tcBorders>
            <w:vAlign w:val="center"/>
          </w:tcPr>
          <w:p w14:paraId="5B1E2EEC">
            <w:pPr>
              <w:pStyle w:val="30"/>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翁发改投审〔2025〕14号</w:t>
            </w:r>
          </w:p>
        </w:tc>
      </w:tr>
      <w:tr w14:paraId="3BC83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4D830DB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5</w:t>
            </w:r>
          </w:p>
        </w:tc>
        <w:tc>
          <w:tcPr>
            <w:tcW w:w="1725" w:type="dxa"/>
            <w:tcBorders>
              <w:top w:val="single" w:color="auto" w:sz="4" w:space="0"/>
              <w:left w:val="single" w:color="auto" w:sz="4" w:space="0"/>
              <w:bottom w:val="single" w:color="auto" w:sz="4" w:space="0"/>
              <w:right w:val="single" w:color="auto" w:sz="4" w:space="0"/>
            </w:tcBorders>
            <w:vAlign w:val="center"/>
          </w:tcPr>
          <w:p w14:paraId="383E88E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项目代码</w:t>
            </w:r>
          </w:p>
        </w:tc>
        <w:tc>
          <w:tcPr>
            <w:tcW w:w="6856" w:type="dxa"/>
            <w:tcBorders>
              <w:top w:val="single" w:color="auto" w:sz="4" w:space="0"/>
              <w:left w:val="single" w:color="auto" w:sz="4" w:space="0"/>
              <w:bottom w:val="single" w:color="auto" w:sz="4" w:space="0"/>
              <w:right w:val="single" w:color="auto" w:sz="4" w:space="0"/>
            </w:tcBorders>
            <w:vAlign w:val="center"/>
          </w:tcPr>
          <w:p w14:paraId="5F601B41">
            <w:pPr>
              <w:pStyle w:val="30"/>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2504-440229-04-01-175249</w:t>
            </w:r>
          </w:p>
        </w:tc>
      </w:tr>
      <w:tr w14:paraId="44FAB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25" w:hRule="exact"/>
        </w:trPr>
        <w:tc>
          <w:tcPr>
            <w:tcW w:w="721" w:type="dxa"/>
            <w:tcBorders>
              <w:top w:val="single" w:color="auto" w:sz="4" w:space="0"/>
              <w:left w:val="single" w:color="auto" w:sz="4" w:space="0"/>
              <w:bottom w:val="single" w:color="auto" w:sz="4" w:space="0"/>
              <w:right w:val="single" w:color="auto" w:sz="4" w:space="0"/>
            </w:tcBorders>
            <w:vAlign w:val="center"/>
          </w:tcPr>
          <w:p w14:paraId="77CB88B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6</w:t>
            </w:r>
          </w:p>
        </w:tc>
        <w:tc>
          <w:tcPr>
            <w:tcW w:w="1725" w:type="dxa"/>
            <w:tcBorders>
              <w:top w:val="single" w:color="auto" w:sz="4" w:space="0"/>
              <w:left w:val="single" w:color="auto" w:sz="4" w:space="0"/>
              <w:bottom w:val="single" w:color="auto" w:sz="4" w:space="0"/>
              <w:right w:val="single" w:color="auto" w:sz="4" w:space="0"/>
            </w:tcBorders>
            <w:vAlign w:val="center"/>
          </w:tcPr>
          <w:p w14:paraId="050B9EE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color w:val="auto"/>
                <w:kern w:val="0"/>
                <w:szCs w:val="24"/>
                <w:highlight w:val="none"/>
              </w:rPr>
            </w:pPr>
            <w:r>
              <w:rPr>
                <w:rFonts w:hint="eastAsia" w:hAnsi="宋体" w:cs="宋体"/>
                <w:color w:val="auto"/>
                <w:kern w:val="0"/>
                <w:szCs w:val="24"/>
                <w:highlight w:val="none"/>
              </w:rPr>
              <w:t>资金来源</w:t>
            </w:r>
          </w:p>
          <w:p w14:paraId="0F87E6F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color w:val="auto"/>
                <w:kern w:val="0"/>
                <w:szCs w:val="24"/>
                <w:highlight w:val="none"/>
              </w:rPr>
            </w:pPr>
            <w:r>
              <w:rPr>
                <w:rFonts w:hint="eastAsia" w:hAnsi="宋体" w:cs="宋体"/>
                <w:color w:val="auto"/>
                <w:kern w:val="0"/>
                <w:szCs w:val="24"/>
                <w:highlight w:val="none"/>
              </w:rPr>
              <w:t>及出资比例</w:t>
            </w:r>
          </w:p>
        </w:tc>
        <w:tc>
          <w:tcPr>
            <w:tcW w:w="6856" w:type="dxa"/>
            <w:tcBorders>
              <w:top w:val="single" w:color="auto" w:sz="4" w:space="0"/>
              <w:left w:val="single" w:color="auto" w:sz="4" w:space="0"/>
              <w:bottom w:val="single" w:color="auto" w:sz="4" w:space="0"/>
              <w:right w:val="single" w:color="auto" w:sz="4" w:space="0"/>
            </w:tcBorders>
            <w:vAlign w:val="center"/>
          </w:tcPr>
          <w:p w14:paraId="0929128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kern w:val="0"/>
                <w:szCs w:val="24"/>
                <w:highlight w:val="none"/>
              </w:rPr>
            </w:pPr>
            <w:r>
              <w:rPr>
                <w:rFonts w:hint="eastAsia" w:hAnsi="宋体" w:cs="宋体"/>
                <w:color w:val="auto"/>
                <w:kern w:val="0"/>
                <w:szCs w:val="24"/>
                <w:highlight w:val="none"/>
                <w:lang w:eastAsia="zh-CN"/>
              </w:rPr>
              <w:t>申请上级资金安排解决、不足部分由地方统筹解决</w:t>
            </w:r>
            <w:r>
              <w:rPr>
                <w:rFonts w:hint="eastAsia" w:hAnsi="宋体" w:cs="宋体"/>
                <w:color w:val="auto"/>
                <w:kern w:val="0"/>
                <w:szCs w:val="24"/>
                <w:highlight w:val="none"/>
              </w:rPr>
              <w:t>，100%</w:t>
            </w:r>
          </w:p>
        </w:tc>
      </w:tr>
      <w:tr w14:paraId="0DD52B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5E33F70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7</w:t>
            </w:r>
          </w:p>
        </w:tc>
        <w:tc>
          <w:tcPr>
            <w:tcW w:w="1725" w:type="dxa"/>
            <w:tcBorders>
              <w:top w:val="single" w:color="auto" w:sz="4" w:space="0"/>
              <w:left w:val="single" w:color="auto" w:sz="4" w:space="0"/>
              <w:bottom w:val="single" w:color="auto" w:sz="4" w:space="0"/>
              <w:right w:val="single" w:color="auto" w:sz="4" w:space="0"/>
            </w:tcBorders>
            <w:vAlign w:val="center"/>
          </w:tcPr>
          <w:p w14:paraId="23636C3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tc>
        <w:tc>
          <w:tcPr>
            <w:tcW w:w="6856" w:type="dxa"/>
            <w:tcBorders>
              <w:top w:val="single" w:color="auto" w:sz="4" w:space="0"/>
              <w:left w:val="single" w:color="auto" w:sz="4" w:space="0"/>
              <w:bottom w:val="single" w:color="auto" w:sz="4" w:space="0"/>
              <w:right w:val="single" w:color="auto" w:sz="4" w:space="0"/>
            </w:tcBorders>
            <w:vAlign w:val="center"/>
          </w:tcPr>
          <w:p w14:paraId="03BDF7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 w:val="24"/>
                <w:szCs w:val="24"/>
                <w:highlight w:val="none"/>
                <w:lang w:eastAsia="zh-CN"/>
              </w:rPr>
              <w:t>翁源县公共资产管理中心</w:t>
            </w:r>
            <w:r>
              <w:rPr>
                <w:rFonts w:hint="eastAsia" w:hAnsi="宋体" w:cs="宋体"/>
                <w:snapToGrid w:val="0"/>
                <w:color w:val="auto"/>
                <w:kern w:val="0"/>
                <w:szCs w:val="24"/>
                <w:highlight w:val="none"/>
              </w:rPr>
              <w:t xml:space="preserve"> </w:t>
            </w:r>
          </w:p>
        </w:tc>
      </w:tr>
      <w:tr w14:paraId="3C538E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689F140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8</w:t>
            </w:r>
          </w:p>
        </w:tc>
        <w:tc>
          <w:tcPr>
            <w:tcW w:w="1725" w:type="dxa"/>
            <w:tcBorders>
              <w:top w:val="single" w:color="auto" w:sz="4" w:space="0"/>
              <w:left w:val="single" w:color="auto" w:sz="4" w:space="0"/>
              <w:bottom w:val="single" w:color="auto" w:sz="4" w:space="0"/>
              <w:right w:val="single" w:color="auto" w:sz="4" w:space="0"/>
            </w:tcBorders>
            <w:vAlign w:val="center"/>
          </w:tcPr>
          <w:p w14:paraId="769C33D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tc>
        <w:tc>
          <w:tcPr>
            <w:tcW w:w="6856" w:type="dxa"/>
            <w:tcBorders>
              <w:top w:val="single" w:color="auto" w:sz="4" w:space="0"/>
              <w:left w:val="single" w:color="auto" w:sz="4" w:space="0"/>
              <w:bottom w:val="single" w:color="auto" w:sz="4" w:space="0"/>
              <w:right w:val="single" w:color="auto" w:sz="4" w:space="0"/>
            </w:tcBorders>
            <w:vAlign w:val="center"/>
          </w:tcPr>
          <w:p w14:paraId="502637B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lang w:eastAsia="zh-CN"/>
              </w:rPr>
              <w:t>广州穗峰建设工程监理有限公司</w:t>
            </w:r>
            <w:r>
              <w:rPr>
                <w:rFonts w:hint="eastAsia" w:hAnsi="宋体" w:cs="宋体"/>
                <w:snapToGrid w:val="0"/>
                <w:color w:val="auto"/>
                <w:kern w:val="0"/>
                <w:szCs w:val="24"/>
                <w:highlight w:val="none"/>
              </w:rPr>
              <w:t xml:space="preserve"> </w:t>
            </w:r>
          </w:p>
        </w:tc>
      </w:tr>
      <w:tr w14:paraId="16916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721" w:type="dxa"/>
            <w:tcBorders>
              <w:top w:val="single" w:color="auto" w:sz="4" w:space="0"/>
              <w:left w:val="single" w:color="auto" w:sz="4" w:space="0"/>
              <w:bottom w:val="single" w:color="auto" w:sz="4" w:space="0"/>
              <w:right w:val="single" w:color="auto" w:sz="4" w:space="0"/>
            </w:tcBorders>
            <w:vAlign w:val="center"/>
          </w:tcPr>
          <w:p w14:paraId="62D2671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9</w:t>
            </w:r>
          </w:p>
        </w:tc>
        <w:tc>
          <w:tcPr>
            <w:tcW w:w="1725" w:type="dxa"/>
            <w:tcBorders>
              <w:top w:val="single" w:color="auto" w:sz="4" w:space="0"/>
              <w:left w:val="single" w:color="auto" w:sz="4" w:space="0"/>
              <w:bottom w:val="single" w:color="auto" w:sz="4" w:space="0"/>
              <w:right w:val="single" w:color="auto" w:sz="4" w:space="0"/>
            </w:tcBorders>
            <w:vAlign w:val="center"/>
          </w:tcPr>
          <w:p w14:paraId="3B4F631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施工单位</w:t>
            </w:r>
          </w:p>
        </w:tc>
        <w:tc>
          <w:tcPr>
            <w:tcW w:w="6856" w:type="dxa"/>
            <w:tcBorders>
              <w:top w:val="single" w:color="auto" w:sz="4" w:space="0"/>
              <w:left w:val="single" w:color="auto" w:sz="4" w:space="0"/>
              <w:bottom w:val="single" w:color="auto" w:sz="4" w:space="0"/>
              <w:right w:val="single" w:color="auto" w:sz="4" w:space="0"/>
            </w:tcBorders>
            <w:vAlign w:val="center"/>
          </w:tcPr>
          <w:p w14:paraId="74EDF51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auto"/>
                <w:kern w:val="0"/>
                <w:szCs w:val="24"/>
                <w:highlight w:val="none"/>
              </w:rPr>
            </w:pPr>
            <w:r>
              <w:rPr>
                <w:rFonts w:hint="eastAsia" w:hAnsi="宋体" w:cs="宋体"/>
                <w:bCs/>
                <w:snapToGrid w:val="0"/>
                <w:color w:val="auto"/>
                <w:kern w:val="0"/>
                <w:szCs w:val="24"/>
                <w:highlight w:val="none"/>
              </w:rPr>
              <w:t>待定</w:t>
            </w:r>
          </w:p>
        </w:tc>
      </w:tr>
      <w:tr w14:paraId="398F8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5" w:hRule="exact"/>
        </w:trPr>
        <w:tc>
          <w:tcPr>
            <w:tcW w:w="721" w:type="dxa"/>
            <w:tcBorders>
              <w:top w:val="single" w:color="auto" w:sz="4" w:space="0"/>
              <w:left w:val="single" w:color="auto" w:sz="4" w:space="0"/>
              <w:bottom w:val="single" w:color="auto" w:sz="4" w:space="0"/>
              <w:right w:val="single" w:color="auto" w:sz="4" w:space="0"/>
            </w:tcBorders>
            <w:vAlign w:val="center"/>
          </w:tcPr>
          <w:p w14:paraId="14A626E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10</w:t>
            </w:r>
          </w:p>
        </w:tc>
        <w:tc>
          <w:tcPr>
            <w:tcW w:w="1725" w:type="dxa"/>
            <w:tcBorders>
              <w:top w:val="single" w:color="auto" w:sz="4" w:space="0"/>
              <w:left w:val="single" w:color="auto" w:sz="4" w:space="0"/>
              <w:bottom w:val="single" w:color="auto" w:sz="4" w:space="0"/>
              <w:right w:val="single" w:color="auto" w:sz="4" w:space="0"/>
            </w:tcBorders>
            <w:vAlign w:val="center"/>
          </w:tcPr>
          <w:p w14:paraId="39E3EE1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建设地点</w:t>
            </w:r>
          </w:p>
        </w:tc>
        <w:tc>
          <w:tcPr>
            <w:tcW w:w="6856" w:type="dxa"/>
            <w:tcBorders>
              <w:top w:val="single" w:color="auto" w:sz="4" w:space="0"/>
              <w:left w:val="single" w:color="auto" w:sz="4" w:space="0"/>
              <w:bottom w:val="single" w:color="auto" w:sz="4" w:space="0"/>
              <w:right w:val="single" w:color="auto" w:sz="4" w:space="0"/>
            </w:tcBorders>
            <w:vAlign w:val="center"/>
          </w:tcPr>
          <w:p w14:paraId="4DD574D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auto"/>
                <w:kern w:val="0"/>
                <w:szCs w:val="24"/>
                <w:highlight w:val="none"/>
              </w:rPr>
            </w:pPr>
            <w:r>
              <w:rPr>
                <w:rFonts w:hint="eastAsia" w:hAnsi="宋体" w:cs="宋体"/>
                <w:bCs/>
                <w:snapToGrid w:val="0"/>
                <w:color w:val="auto"/>
                <w:kern w:val="0"/>
                <w:szCs w:val="24"/>
                <w:highlight w:val="none"/>
              </w:rPr>
              <w:t>韶关市翁源县翁城镇</w:t>
            </w:r>
          </w:p>
        </w:tc>
      </w:tr>
      <w:tr w14:paraId="08A5B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21" w:hRule="exact"/>
        </w:trPr>
        <w:tc>
          <w:tcPr>
            <w:tcW w:w="721" w:type="dxa"/>
            <w:tcBorders>
              <w:top w:val="single" w:color="auto" w:sz="4" w:space="0"/>
              <w:left w:val="single" w:color="auto" w:sz="4" w:space="0"/>
              <w:bottom w:val="single" w:color="auto" w:sz="4" w:space="0"/>
              <w:right w:val="single" w:color="auto" w:sz="4" w:space="0"/>
            </w:tcBorders>
            <w:vAlign w:val="center"/>
          </w:tcPr>
          <w:p w14:paraId="187C311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11</w:t>
            </w:r>
          </w:p>
        </w:tc>
        <w:tc>
          <w:tcPr>
            <w:tcW w:w="1725" w:type="dxa"/>
            <w:tcBorders>
              <w:top w:val="single" w:color="auto" w:sz="4" w:space="0"/>
              <w:left w:val="single" w:color="auto" w:sz="4" w:space="0"/>
              <w:bottom w:val="single" w:color="auto" w:sz="4" w:space="0"/>
              <w:right w:val="single" w:color="auto" w:sz="4" w:space="0"/>
            </w:tcBorders>
            <w:vAlign w:val="center"/>
          </w:tcPr>
          <w:p w14:paraId="435864D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建设内容和规模</w:t>
            </w:r>
          </w:p>
        </w:tc>
        <w:tc>
          <w:tcPr>
            <w:tcW w:w="6856" w:type="dxa"/>
            <w:tcBorders>
              <w:top w:val="single" w:color="auto" w:sz="4" w:space="0"/>
              <w:left w:val="single" w:color="auto" w:sz="4" w:space="0"/>
              <w:bottom w:val="single" w:color="auto" w:sz="4" w:space="0"/>
              <w:right w:val="single" w:color="auto" w:sz="4" w:space="0"/>
            </w:tcBorders>
            <w:vAlign w:val="center"/>
          </w:tcPr>
          <w:p w14:paraId="3827CE5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lang w:eastAsia="zh-CN"/>
              </w:rPr>
              <w:t>翁源县典型镇（翁城镇）污水管网补短板项目，建设污水管网约20.12km 、化粪池160座、隔油池80座、路面破复、配套检查井若干等。</w:t>
            </w:r>
          </w:p>
        </w:tc>
      </w:tr>
      <w:tr w14:paraId="23437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95" w:hRule="exact"/>
        </w:trPr>
        <w:tc>
          <w:tcPr>
            <w:tcW w:w="721" w:type="dxa"/>
            <w:tcBorders>
              <w:top w:val="single" w:color="auto" w:sz="4" w:space="0"/>
              <w:left w:val="single" w:color="auto" w:sz="4" w:space="0"/>
              <w:bottom w:val="single" w:color="auto" w:sz="4" w:space="0"/>
              <w:right w:val="single" w:color="auto" w:sz="4" w:space="0"/>
            </w:tcBorders>
            <w:vAlign w:val="center"/>
          </w:tcPr>
          <w:p w14:paraId="4FBFDA0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12</w:t>
            </w:r>
          </w:p>
        </w:tc>
        <w:tc>
          <w:tcPr>
            <w:tcW w:w="1725" w:type="dxa"/>
            <w:tcBorders>
              <w:top w:val="single" w:color="auto" w:sz="4" w:space="0"/>
              <w:left w:val="single" w:color="auto" w:sz="4" w:space="0"/>
              <w:bottom w:val="single" w:color="auto" w:sz="4" w:space="0"/>
              <w:right w:val="single" w:color="auto" w:sz="4" w:space="0"/>
            </w:tcBorders>
            <w:vAlign w:val="center"/>
          </w:tcPr>
          <w:p w14:paraId="57069AC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项目总投资</w:t>
            </w:r>
          </w:p>
        </w:tc>
        <w:tc>
          <w:tcPr>
            <w:tcW w:w="6856" w:type="dxa"/>
            <w:tcBorders>
              <w:top w:val="single" w:color="auto" w:sz="4" w:space="0"/>
              <w:left w:val="single" w:color="auto" w:sz="4" w:space="0"/>
              <w:bottom w:val="single" w:color="auto" w:sz="4" w:space="0"/>
              <w:right w:val="single" w:color="auto" w:sz="4" w:space="0"/>
            </w:tcBorders>
            <w:vAlign w:val="center"/>
          </w:tcPr>
          <w:p w14:paraId="0D5C254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lang w:eastAsia="zh-CN"/>
              </w:rPr>
              <w:t>项目</w:t>
            </w:r>
            <w:r>
              <w:rPr>
                <w:rFonts w:hint="eastAsia" w:hAnsi="宋体" w:cs="宋体"/>
                <w:snapToGrid w:val="0"/>
                <w:color w:val="auto"/>
                <w:kern w:val="0"/>
                <w:szCs w:val="24"/>
                <w:highlight w:val="none"/>
                <w:lang w:val="en-US" w:eastAsia="zh-CN"/>
              </w:rPr>
              <w:t>概算</w:t>
            </w:r>
            <w:r>
              <w:rPr>
                <w:rFonts w:hint="eastAsia" w:hAnsi="宋体" w:cs="宋体"/>
                <w:snapToGrid w:val="0"/>
                <w:color w:val="auto"/>
                <w:kern w:val="0"/>
                <w:szCs w:val="24"/>
                <w:highlight w:val="none"/>
                <w:lang w:eastAsia="zh-CN"/>
              </w:rPr>
              <w:t>总投资4011.97万元，本次招标项目建安工程费</w:t>
            </w:r>
            <w:r>
              <w:rPr>
                <w:rFonts w:hint="eastAsia" w:hAnsi="宋体" w:cs="宋体"/>
                <w:snapToGrid w:val="0"/>
                <w:color w:val="auto"/>
                <w:kern w:val="0"/>
                <w:szCs w:val="24"/>
                <w:highlight w:val="none"/>
                <w:lang w:val="en-US" w:eastAsia="zh-CN"/>
              </w:rPr>
              <w:t>3441.51万元</w:t>
            </w:r>
            <w:r>
              <w:rPr>
                <w:rFonts w:hint="eastAsia" w:hAnsi="宋体" w:cs="宋体"/>
                <w:snapToGrid w:val="0"/>
                <w:color w:val="auto"/>
                <w:kern w:val="0"/>
                <w:szCs w:val="24"/>
                <w:highlight w:val="none"/>
                <w:lang w:eastAsia="zh-CN"/>
              </w:rPr>
              <w:t>，本次招标监理服务费为59.00万元</w:t>
            </w:r>
            <w:r>
              <w:rPr>
                <w:rFonts w:hint="eastAsia" w:hAnsi="宋体" w:cs="宋体"/>
                <w:snapToGrid w:val="0"/>
                <w:color w:val="auto"/>
                <w:kern w:val="0"/>
                <w:szCs w:val="24"/>
                <w:highlight w:val="none"/>
              </w:rPr>
              <w:t>。</w:t>
            </w:r>
          </w:p>
          <w:p w14:paraId="0323C4D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p>
        </w:tc>
      </w:tr>
      <w:tr w14:paraId="0A70A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13" w:hRule="exact"/>
        </w:trPr>
        <w:tc>
          <w:tcPr>
            <w:tcW w:w="721" w:type="dxa"/>
            <w:tcBorders>
              <w:top w:val="single" w:color="auto" w:sz="4" w:space="0"/>
              <w:left w:val="single" w:color="auto" w:sz="4" w:space="0"/>
              <w:bottom w:val="single" w:color="auto" w:sz="4" w:space="0"/>
              <w:right w:val="single" w:color="auto" w:sz="4" w:space="0"/>
            </w:tcBorders>
            <w:vAlign w:val="center"/>
          </w:tcPr>
          <w:p w14:paraId="768CF9B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13</w:t>
            </w:r>
          </w:p>
        </w:tc>
        <w:tc>
          <w:tcPr>
            <w:tcW w:w="1725" w:type="dxa"/>
            <w:tcBorders>
              <w:top w:val="single" w:color="auto" w:sz="4" w:space="0"/>
              <w:left w:val="single" w:color="auto" w:sz="4" w:space="0"/>
              <w:bottom w:val="single" w:color="auto" w:sz="4" w:space="0"/>
              <w:right w:val="single" w:color="auto" w:sz="4" w:space="0"/>
            </w:tcBorders>
            <w:vAlign w:val="center"/>
          </w:tcPr>
          <w:p w14:paraId="5FF4978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招标范围</w:t>
            </w:r>
          </w:p>
        </w:tc>
        <w:tc>
          <w:tcPr>
            <w:tcW w:w="6856" w:type="dxa"/>
            <w:tcBorders>
              <w:top w:val="single" w:color="auto" w:sz="4" w:space="0"/>
              <w:left w:val="single" w:color="auto" w:sz="4" w:space="0"/>
              <w:bottom w:val="single" w:color="auto" w:sz="4" w:space="0"/>
              <w:right w:val="single" w:color="auto" w:sz="4" w:space="0"/>
            </w:tcBorders>
            <w:vAlign w:val="center"/>
          </w:tcPr>
          <w:p w14:paraId="4FEB957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项目建设施工阶段监理（含施工准备阶段、施工阶段、工程竣工结算阶段和保修阶段监理）</w:t>
            </w:r>
          </w:p>
        </w:tc>
      </w:tr>
      <w:tr w14:paraId="5D3D6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4" w:hRule="exact"/>
        </w:trPr>
        <w:tc>
          <w:tcPr>
            <w:tcW w:w="721" w:type="dxa"/>
            <w:tcBorders>
              <w:top w:val="single" w:color="auto" w:sz="4" w:space="0"/>
              <w:left w:val="single" w:color="auto" w:sz="4" w:space="0"/>
              <w:bottom w:val="single" w:color="auto" w:sz="4" w:space="0"/>
              <w:right w:val="single" w:color="auto" w:sz="4" w:space="0"/>
            </w:tcBorders>
            <w:vAlign w:val="center"/>
          </w:tcPr>
          <w:p w14:paraId="7366F0B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14</w:t>
            </w:r>
          </w:p>
        </w:tc>
        <w:tc>
          <w:tcPr>
            <w:tcW w:w="1725" w:type="dxa"/>
            <w:tcBorders>
              <w:top w:val="single" w:color="auto" w:sz="4" w:space="0"/>
              <w:left w:val="single" w:color="auto" w:sz="4" w:space="0"/>
              <w:bottom w:val="single" w:color="auto" w:sz="4" w:space="0"/>
              <w:right w:val="single" w:color="auto" w:sz="4" w:space="0"/>
            </w:tcBorders>
            <w:vAlign w:val="center"/>
          </w:tcPr>
          <w:p w14:paraId="570DFDD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标段划分</w:t>
            </w:r>
          </w:p>
        </w:tc>
        <w:tc>
          <w:tcPr>
            <w:tcW w:w="6856" w:type="dxa"/>
            <w:tcBorders>
              <w:top w:val="single" w:color="auto" w:sz="4" w:space="0"/>
              <w:left w:val="single" w:color="auto" w:sz="4" w:space="0"/>
              <w:bottom w:val="single" w:color="auto" w:sz="4" w:space="0"/>
              <w:right w:val="single" w:color="auto" w:sz="4" w:space="0"/>
            </w:tcBorders>
            <w:vAlign w:val="center"/>
          </w:tcPr>
          <w:p w14:paraId="5C530F9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本招标项目不划分标段。</w:t>
            </w:r>
          </w:p>
        </w:tc>
      </w:tr>
      <w:tr w14:paraId="5251B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77" w:hRule="atLeast"/>
        </w:trPr>
        <w:tc>
          <w:tcPr>
            <w:tcW w:w="721" w:type="dxa"/>
            <w:tcBorders>
              <w:top w:val="single" w:color="auto" w:sz="4" w:space="0"/>
              <w:left w:val="single" w:color="auto" w:sz="4" w:space="0"/>
              <w:bottom w:val="single" w:color="auto" w:sz="4" w:space="0"/>
              <w:right w:val="single" w:color="auto" w:sz="4" w:space="0"/>
            </w:tcBorders>
            <w:vAlign w:val="center"/>
          </w:tcPr>
          <w:p w14:paraId="1B062C1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15</w:t>
            </w:r>
          </w:p>
        </w:tc>
        <w:tc>
          <w:tcPr>
            <w:tcW w:w="1725" w:type="dxa"/>
            <w:tcBorders>
              <w:top w:val="single" w:color="auto" w:sz="4" w:space="0"/>
              <w:left w:val="single" w:color="auto" w:sz="4" w:space="0"/>
              <w:bottom w:val="single" w:color="auto" w:sz="4" w:space="0"/>
              <w:right w:val="single" w:color="auto" w:sz="4" w:space="0"/>
            </w:tcBorders>
            <w:vAlign w:val="center"/>
          </w:tcPr>
          <w:p w14:paraId="2B9787B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投标人资格要求</w:t>
            </w:r>
          </w:p>
        </w:tc>
        <w:tc>
          <w:tcPr>
            <w:tcW w:w="6856" w:type="dxa"/>
            <w:tcBorders>
              <w:top w:val="single" w:color="auto" w:sz="4" w:space="0"/>
              <w:left w:val="single" w:color="auto" w:sz="4" w:space="0"/>
              <w:bottom w:val="single" w:color="auto" w:sz="4" w:space="0"/>
              <w:right w:val="single" w:color="auto" w:sz="4" w:space="0"/>
            </w:tcBorders>
            <w:vAlign w:val="center"/>
          </w:tcPr>
          <w:p w14:paraId="036E0AD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1．本次招标不接受联合体投标。</w:t>
            </w:r>
          </w:p>
          <w:p w14:paraId="3D90B77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2．资质要求</w:t>
            </w:r>
          </w:p>
          <w:p w14:paraId="5AC871D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2.1 投标人须具备独立法人资格，按国家法律经营。</w:t>
            </w:r>
          </w:p>
          <w:p w14:paraId="6555368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2.2 投标人须具备以下资质：投标人必须是具有工程监理综合资质或</w:t>
            </w:r>
            <w:r>
              <w:rPr>
                <w:rFonts w:hint="eastAsia" w:hAnsi="宋体" w:cs="宋体"/>
                <w:color w:val="auto"/>
                <w:szCs w:val="24"/>
                <w:highlight w:val="none"/>
                <w:lang w:eastAsia="zh-CN"/>
              </w:rPr>
              <w:t>市政公用工程专业监理乙级以上（含乙级）资质</w:t>
            </w:r>
            <w:r>
              <w:rPr>
                <w:rFonts w:hint="eastAsia" w:hAnsi="宋体" w:cs="宋体"/>
                <w:color w:val="auto"/>
                <w:szCs w:val="24"/>
                <w:highlight w:val="none"/>
              </w:rPr>
              <w:t>的独立法人。</w:t>
            </w:r>
          </w:p>
          <w:p w14:paraId="34C9B61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2.3 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60402EC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3．相关人员要求</w:t>
            </w:r>
          </w:p>
          <w:p w14:paraId="23E90B8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3.1 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1DF402D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4045DC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75F64F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4．禁止投标条款</w:t>
            </w:r>
          </w:p>
          <w:p w14:paraId="514E8EC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4.1 投标人不得存在下列情形之一：</w:t>
            </w:r>
          </w:p>
          <w:p w14:paraId="6200BE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F18F17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162107E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01E591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3D67AA7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（5）为本招标项目的代建人；</w:t>
            </w:r>
          </w:p>
          <w:p w14:paraId="00BDA7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（6）为本招标项目的招标代理机构；</w:t>
            </w:r>
          </w:p>
          <w:p w14:paraId="334C243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0301C2C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102ADB6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（9）与本招标项目的</w:t>
            </w:r>
            <w:r>
              <w:rPr>
                <w:rFonts w:hint="eastAsia" w:hAnsi="宋体" w:cs="宋体"/>
                <w:color w:val="auto"/>
                <w:szCs w:val="24"/>
                <w:highlight w:val="none"/>
                <w:lang w:eastAsia="zh-CN"/>
              </w:rPr>
              <w:t>施工单位</w:t>
            </w:r>
            <w:r>
              <w:rPr>
                <w:rFonts w:hint="eastAsia" w:hAnsi="宋体" w:cs="宋体"/>
                <w:color w:val="auto"/>
                <w:szCs w:val="24"/>
                <w:highlight w:val="none"/>
              </w:rPr>
              <w:t>以及建筑材料、建筑构配件和设备供应商有隶属关系或者其他利害关系；</w:t>
            </w:r>
          </w:p>
          <w:p w14:paraId="212FB23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（10）被依法暂停或者取消投标资格；</w:t>
            </w:r>
          </w:p>
          <w:p w14:paraId="4794B44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7C6678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719F5C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1EF35C0F">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rPr>
                <w:rFonts w:hAnsi="宋体" w:cs="宋体"/>
                <w:color w:val="auto"/>
                <w:szCs w:val="24"/>
                <w:highlight w:val="none"/>
              </w:rPr>
            </w:pPr>
            <w:r>
              <w:rPr>
                <w:rFonts w:hint="eastAsia" w:hAnsi="宋体" w:cs="宋体"/>
                <w:color w:val="auto"/>
                <w:szCs w:val="24"/>
                <w:highlight w:val="none"/>
              </w:rPr>
              <w:sym w:font="Wingdings" w:char="00D8"/>
            </w:r>
            <w:r>
              <w:rPr>
                <w:rFonts w:hint="eastAsia" w:hAnsi="宋体" w:cs="宋体"/>
                <w:color w:val="auto"/>
                <w:szCs w:val="24"/>
                <w:highlight w:val="none"/>
              </w:rPr>
              <w:t xml:space="preserve"> （14）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60895D7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4.2 招标人拒绝以下名单中的单位参加本次投标：</w:t>
            </w:r>
          </w:p>
          <w:tbl>
            <w:tblPr>
              <w:tblStyle w:val="21"/>
              <w:tblW w:w="6705"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625"/>
              <w:gridCol w:w="3360"/>
            </w:tblGrid>
            <w:tr w14:paraId="604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20" w:type="dxa"/>
                  <w:vAlign w:val="center"/>
                </w:tcPr>
                <w:p w14:paraId="7883EB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序号</w:t>
                  </w:r>
                </w:p>
              </w:tc>
              <w:tc>
                <w:tcPr>
                  <w:tcW w:w="2625" w:type="dxa"/>
                  <w:vAlign w:val="center"/>
                </w:tcPr>
                <w:p w14:paraId="3757B7C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单位名称</w:t>
                  </w:r>
                </w:p>
              </w:tc>
              <w:tc>
                <w:tcPr>
                  <w:tcW w:w="3360" w:type="dxa"/>
                  <w:vAlign w:val="center"/>
                </w:tcPr>
                <w:p w14:paraId="46F41C5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拒绝原因</w:t>
                  </w:r>
                </w:p>
              </w:tc>
            </w:tr>
            <w:tr w14:paraId="0E71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79EDB5C8">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1</w:t>
                  </w:r>
                </w:p>
              </w:tc>
              <w:tc>
                <w:tcPr>
                  <w:tcW w:w="2625" w:type="dxa"/>
                  <w:vAlign w:val="center"/>
                </w:tcPr>
                <w:p w14:paraId="55DC1130">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翁源县翁城镇人民政府</w:t>
                  </w:r>
                </w:p>
              </w:tc>
              <w:tc>
                <w:tcPr>
                  <w:tcW w:w="3360" w:type="dxa"/>
                  <w:vAlign w:val="center"/>
                </w:tcPr>
                <w:p w14:paraId="408241CB">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为本招标项目的</w:t>
                  </w:r>
                  <w:r>
                    <w:rPr>
                      <w:rFonts w:hint="eastAsia" w:ascii="宋体" w:hAnsi="宋体" w:cs="宋体"/>
                      <w:color w:val="auto"/>
                      <w:sz w:val="24"/>
                      <w:highlight w:val="none"/>
                      <w:lang w:val="en-US" w:eastAsia="zh-CN"/>
                    </w:rPr>
                    <w:t>业主</w:t>
                  </w:r>
                </w:p>
              </w:tc>
            </w:tr>
            <w:tr w14:paraId="70AE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6D7FA8B3">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2625" w:type="dxa"/>
                  <w:vAlign w:val="center"/>
                </w:tcPr>
                <w:p w14:paraId="55C4A381">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snapToGrid w:val="0"/>
                      <w:color w:val="auto"/>
                      <w:kern w:val="0"/>
                      <w:sz w:val="24"/>
                      <w:szCs w:val="24"/>
                      <w:highlight w:val="none"/>
                      <w:lang w:eastAsia="zh-CN"/>
                    </w:rPr>
                    <w:t>翁源县公共资产管理中心</w:t>
                  </w:r>
                </w:p>
              </w:tc>
              <w:tc>
                <w:tcPr>
                  <w:tcW w:w="3360" w:type="dxa"/>
                  <w:vAlign w:val="center"/>
                </w:tcPr>
                <w:p w14:paraId="506B7C2E">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为本招标项目的招标人</w:t>
                  </w:r>
                </w:p>
              </w:tc>
            </w:tr>
            <w:tr w14:paraId="416A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55227F90">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2625" w:type="dxa"/>
                  <w:vAlign w:val="center"/>
                </w:tcPr>
                <w:p w14:paraId="356CBD05">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广州穗峰建设工程监理有限公司</w:t>
                  </w:r>
                </w:p>
              </w:tc>
              <w:tc>
                <w:tcPr>
                  <w:tcW w:w="3360" w:type="dxa"/>
                  <w:vAlign w:val="center"/>
                </w:tcPr>
                <w:p w14:paraId="482935FC">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为本招标项目的招标代理机构</w:t>
                  </w:r>
                </w:p>
              </w:tc>
            </w:tr>
            <w:tr w14:paraId="2D38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39C24301">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2625" w:type="dxa"/>
                  <w:vAlign w:val="center"/>
                </w:tcPr>
                <w:p w14:paraId="77B18543">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广东中咨工程设计有限公司</w:t>
                  </w:r>
                </w:p>
              </w:tc>
              <w:tc>
                <w:tcPr>
                  <w:tcW w:w="3360" w:type="dxa"/>
                  <w:vAlign w:val="center"/>
                </w:tcPr>
                <w:p w14:paraId="48EA1F78">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为本项目的可研编制单位</w:t>
                  </w:r>
                </w:p>
              </w:tc>
            </w:tr>
            <w:tr w14:paraId="7323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6E1E5052">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2625" w:type="dxa"/>
                  <w:vAlign w:val="center"/>
                </w:tcPr>
                <w:p w14:paraId="3871115D">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中智投工程管理有限公司</w:t>
                  </w:r>
                </w:p>
              </w:tc>
              <w:tc>
                <w:tcPr>
                  <w:tcW w:w="3360" w:type="dxa"/>
                  <w:vAlign w:val="center"/>
                </w:tcPr>
                <w:p w14:paraId="1D308659">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为本招标项目的初步设计及概算编制单位</w:t>
                  </w:r>
                </w:p>
              </w:tc>
            </w:tr>
            <w:tr w14:paraId="5EE7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5B185BFA">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6</w:t>
                  </w:r>
                </w:p>
              </w:tc>
              <w:tc>
                <w:tcPr>
                  <w:tcW w:w="2625" w:type="dxa"/>
                  <w:vAlign w:val="center"/>
                </w:tcPr>
                <w:p w14:paraId="1E161276">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博智兴华工程顾问有限公司</w:t>
                  </w:r>
                </w:p>
              </w:tc>
              <w:tc>
                <w:tcPr>
                  <w:tcW w:w="3360" w:type="dxa"/>
                  <w:vAlign w:val="center"/>
                </w:tcPr>
                <w:p w14:paraId="600A884A">
                  <w:pPr>
                    <w:pStyle w:val="31"/>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为本招标项目的全过程工程造价咨询</w:t>
                  </w:r>
                </w:p>
              </w:tc>
            </w:tr>
          </w:tbl>
          <w:p w14:paraId="033AA61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5．其他要求</w:t>
            </w:r>
          </w:p>
          <w:p w14:paraId="4A19780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CDFB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trPr>
        <w:tc>
          <w:tcPr>
            <w:tcW w:w="721" w:type="dxa"/>
            <w:tcBorders>
              <w:top w:val="single" w:color="auto" w:sz="4" w:space="0"/>
              <w:left w:val="single" w:color="auto" w:sz="4" w:space="0"/>
              <w:bottom w:val="single" w:color="auto" w:sz="4" w:space="0"/>
              <w:right w:val="single" w:color="auto" w:sz="4" w:space="0"/>
            </w:tcBorders>
            <w:vAlign w:val="center"/>
          </w:tcPr>
          <w:p w14:paraId="5B6AFED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16</w:t>
            </w:r>
          </w:p>
        </w:tc>
        <w:tc>
          <w:tcPr>
            <w:tcW w:w="1725" w:type="dxa"/>
            <w:tcBorders>
              <w:top w:val="single" w:color="auto" w:sz="4" w:space="0"/>
              <w:left w:val="single" w:color="auto" w:sz="4" w:space="0"/>
              <w:bottom w:val="single" w:color="auto" w:sz="4" w:space="0"/>
              <w:right w:val="single" w:color="auto" w:sz="4" w:space="0"/>
            </w:tcBorders>
            <w:vAlign w:val="center"/>
          </w:tcPr>
          <w:p w14:paraId="7FF520C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服务期限</w:t>
            </w:r>
          </w:p>
        </w:tc>
        <w:tc>
          <w:tcPr>
            <w:tcW w:w="6856" w:type="dxa"/>
            <w:tcBorders>
              <w:top w:val="single" w:color="auto" w:sz="4" w:space="0"/>
              <w:left w:val="single" w:color="auto" w:sz="4" w:space="0"/>
              <w:bottom w:val="single" w:color="auto" w:sz="4" w:space="0"/>
              <w:right w:val="single" w:color="auto" w:sz="4" w:space="0"/>
            </w:tcBorders>
            <w:vAlign w:val="center"/>
          </w:tcPr>
          <w:p w14:paraId="6D1A802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lang w:eastAsia="zh-CN"/>
              </w:rPr>
              <w:t>监理服务期不少于365日历天。监理服务期</w:t>
            </w:r>
            <w:r>
              <w:rPr>
                <w:rFonts w:hint="eastAsia" w:hAnsi="宋体" w:cs="宋体"/>
                <w:snapToGrid w:val="0"/>
                <w:color w:val="auto"/>
                <w:kern w:val="0"/>
                <w:szCs w:val="24"/>
                <w:highlight w:val="none"/>
              </w:rPr>
              <w:t>从监理合同签订之日起计，至本工程缺陷责任保修期结束且本工程结算金额经政府主管部门审定且双方的责任义务履行完毕时止。</w:t>
            </w:r>
          </w:p>
        </w:tc>
      </w:tr>
      <w:tr w14:paraId="247A5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1" w:hRule="atLeast"/>
        </w:trPr>
        <w:tc>
          <w:tcPr>
            <w:tcW w:w="721" w:type="dxa"/>
            <w:tcBorders>
              <w:top w:val="single" w:color="auto" w:sz="4" w:space="0"/>
              <w:left w:val="single" w:color="auto" w:sz="4" w:space="0"/>
              <w:bottom w:val="single" w:color="auto" w:sz="4" w:space="0"/>
              <w:right w:val="single" w:color="auto" w:sz="4" w:space="0"/>
            </w:tcBorders>
            <w:vAlign w:val="center"/>
          </w:tcPr>
          <w:p w14:paraId="0587E94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17</w:t>
            </w:r>
          </w:p>
        </w:tc>
        <w:tc>
          <w:tcPr>
            <w:tcW w:w="1725" w:type="dxa"/>
            <w:tcBorders>
              <w:top w:val="single" w:color="auto" w:sz="4" w:space="0"/>
              <w:left w:val="single" w:color="auto" w:sz="4" w:space="0"/>
              <w:bottom w:val="single" w:color="auto" w:sz="4" w:space="0"/>
              <w:right w:val="single" w:color="auto" w:sz="4" w:space="0"/>
            </w:tcBorders>
            <w:vAlign w:val="center"/>
          </w:tcPr>
          <w:p w14:paraId="7534CB1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服务标准</w:t>
            </w:r>
          </w:p>
        </w:tc>
        <w:tc>
          <w:tcPr>
            <w:tcW w:w="6856" w:type="dxa"/>
            <w:tcBorders>
              <w:top w:val="single" w:color="auto" w:sz="4" w:space="0"/>
              <w:left w:val="single" w:color="auto" w:sz="4" w:space="0"/>
              <w:bottom w:val="single" w:color="auto" w:sz="4" w:space="0"/>
              <w:right w:val="single" w:color="auto" w:sz="4" w:space="0"/>
            </w:tcBorders>
            <w:vAlign w:val="center"/>
          </w:tcPr>
          <w:p w14:paraId="080FD5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工程质量达到合格标准。</w:t>
            </w:r>
          </w:p>
        </w:tc>
      </w:tr>
      <w:tr w14:paraId="2E1C50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atLeast"/>
        </w:trPr>
        <w:tc>
          <w:tcPr>
            <w:tcW w:w="721" w:type="dxa"/>
            <w:tcBorders>
              <w:top w:val="single" w:color="auto" w:sz="4" w:space="0"/>
              <w:left w:val="single" w:color="auto" w:sz="4" w:space="0"/>
              <w:bottom w:val="single" w:color="auto" w:sz="4" w:space="0"/>
              <w:right w:val="single" w:color="auto" w:sz="4" w:space="0"/>
            </w:tcBorders>
            <w:vAlign w:val="center"/>
          </w:tcPr>
          <w:p w14:paraId="40287E4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18</w:t>
            </w:r>
          </w:p>
        </w:tc>
        <w:tc>
          <w:tcPr>
            <w:tcW w:w="1725" w:type="dxa"/>
            <w:tcBorders>
              <w:top w:val="single" w:color="auto" w:sz="4" w:space="0"/>
              <w:left w:val="single" w:color="auto" w:sz="4" w:space="0"/>
              <w:bottom w:val="single" w:color="auto" w:sz="4" w:space="0"/>
              <w:right w:val="single" w:color="auto" w:sz="4" w:space="0"/>
            </w:tcBorders>
            <w:vAlign w:val="center"/>
          </w:tcPr>
          <w:p w14:paraId="22642A8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最高投标限价</w:t>
            </w:r>
          </w:p>
        </w:tc>
        <w:tc>
          <w:tcPr>
            <w:tcW w:w="6856" w:type="dxa"/>
            <w:tcBorders>
              <w:top w:val="single" w:color="auto" w:sz="4" w:space="0"/>
              <w:left w:val="single" w:color="auto" w:sz="4" w:space="0"/>
              <w:bottom w:val="single" w:color="auto" w:sz="4" w:space="0"/>
              <w:right w:val="single" w:color="auto" w:sz="4" w:space="0"/>
            </w:tcBorders>
            <w:vAlign w:val="center"/>
          </w:tcPr>
          <w:p w14:paraId="64ADF40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bCs/>
                <w:color w:val="auto"/>
                <w:szCs w:val="24"/>
                <w:highlight w:val="none"/>
              </w:rPr>
              <w:t>详见招标文件“第一章 投标人须知 8 最高投标限价”</w:t>
            </w:r>
          </w:p>
        </w:tc>
      </w:tr>
      <w:tr w14:paraId="7CED13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721" w:type="dxa"/>
            <w:tcBorders>
              <w:top w:val="single" w:color="auto" w:sz="4" w:space="0"/>
              <w:left w:val="single" w:color="auto" w:sz="4" w:space="0"/>
              <w:bottom w:val="single" w:color="auto" w:sz="4" w:space="0"/>
              <w:right w:val="single" w:color="auto" w:sz="4" w:space="0"/>
            </w:tcBorders>
            <w:vAlign w:val="center"/>
          </w:tcPr>
          <w:p w14:paraId="5061A0C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19</w:t>
            </w:r>
          </w:p>
        </w:tc>
        <w:tc>
          <w:tcPr>
            <w:tcW w:w="1725" w:type="dxa"/>
            <w:tcBorders>
              <w:top w:val="single" w:color="auto" w:sz="4" w:space="0"/>
              <w:left w:val="single" w:color="auto" w:sz="4" w:space="0"/>
              <w:bottom w:val="single" w:color="auto" w:sz="4" w:space="0"/>
              <w:right w:val="single" w:color="auto" w:sz="4" w:space="0"/>
            </w:tcBorders>
            <w:vAlign w:val="center"/>
          </w:tcPr>
          <w:p w14:paraId="5789B50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投标保证金</w:t>
            </w:r>
          </w:p>
        </w:tc>
        <w:tc>
          <w:tcPr>
            <w:tcW w:w="6856" w:type="dxa"/>
            <w:tcBorders>
              <w:top w:val="single" w:color="auto" w:sz="4" w:space="0"/>
              <w:left w:val="single" w:color="auto" w:sz="4" w:space="0"/>
              <w:bottom w:val="single" w:color="auto" w:sz="4" w:space="0"/>
              <w:right w:val="single" w:color="auto" w:sz="4" w:space="0"/>
            </w:tcBorders>
            <w:vAlign w:val="center"/>
          </w:tcPr>
          <w:p w14:paraId="3A268887">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auto"/>
                <w:highlight w:val="none"/>
              </w:rPr>
            </w:pPr>
            <w:r>
              <w:rPr>
                <w:rFonts w:hint="eastAsia" w:hAnsi="宋体" w:cs="宋体"/>
                <w:color w:val="auto"/>
                <w:highlight w:val="none"/>
              </w:rPr>
              <w:t>1.投标人须缴纳金额为人民币</w:t>
            </w:r>
            <w:r>
              <w:rPr>
                <w:rFonts w:hint="eastAsia" w:hAnsi="宋体" w:cs="宋体"/>
                <w:color w:val="auto"/>
                <w:highlight w:val="none"/>
                <w:u w:val="single"/>
                <w:lang w:eastAsia="zh-CN"/>
              </w:rPr>
              <w:t>10000.00元</w:t>
            </w:r>
            <w:r>
              <w:rPr>
                <w:rFonts w:hint="eastAsia" w:hAnsi="宋体" w:cs="宋体"/>
                <w:color w:val="auto"/>
                <w:highlight w:val="none"/>
              </w:rPr>
              <w:t>的投标保证。</w:t>
            </w:r>
          </w:p>
          <w:p w14:paraId="534130FD">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auto"/>
                <w:highlight w:val="none"/>
              </w:rPr>
            </w:pPr>
            <w:r>
              <w:rPr>
                <w:rFonts w:hint="eastAsia" w:hAnsi="宋体" w:cs="宋体"/>
                <w:color w:val="auto"/>
                <w:highlight w:val="none"/>
              </w:rPr>
              <w:t>2.投标保证的形式包括投标保证金、投标保证担保、投标保证保险三种，由投标人自主选择。</w:t>
            </w:r>
          </w:p>
          <w:p w14:paraId="3FE27A63">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6786E45E">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3F895184">
            <w:pPr>
              <w:keepNext w:val="0"/>
              <w:keepLines w:val="0"/>
              <w:pageBreakBefore w:val="0"/>
              <w:widowControl w:val="0"/>
              <w:kinsoku/>
              <w:overflowPunct/>
              <w:topLinePunct w:val="0"/>
              <w:autoSpaceDE/>
              <w:autoSpaceDN/>
              <w:bidi w:val="0"/>
              <w:snapToGrid w:val="0"/>
              <w:spacing w:line="360" w:lineRule="exact"/>
              <w:ind w:firstLine="480" w:firstLineChars="200"/>
              <w:rPr>
                <w:rFonts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261E0F6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FC01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0" w:hRule="atLeast"/>
        </w:trPr>
        <w:tc>
          <w:tcPr>
            <w:tcW w:w="721" w:type="dxa"/>
            <w:tcBorders>
              <w:top w:val="single" w:color="auto" w:sz="4" w:space="0"/>
              <w:left w:val="single" w:color="auto" w:sz="4" w:space="0"/>
              <w:bottom w:val="single" w:color="auto" w:sz="4" w:space="0"/>
              <w:right w:val="single" w:color="auto" w:sz="4" w:space="0"/>
            </w:tcBorders>
            <w:vAlign w:val="center"/>
          </w:tcPr>
          <w:p w14:paraId="4CB990A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20</w:t>
            </w:r>
          </w:p>
        </w:tc>
        <w:tc>
          <w:tcPr>
            <w:tcW w:w="1725" w:type="dxa"/>
            <w:tcBorders>
              <w:top w:val="single" w:color="auto" w:sz="4" w:space="0"/>
              <w:left w:val="single" w:color="auto" w:sz="4" w:space="0"/>
              <w:bottom w:val="single" w:color="auto" w:sz="4" w:space="0"/>
              <w:right w:val="single" w:color="auto" w:sz="4" w:space="0"/>
            </w:tcBorders>
            <w:vAlign w:val="center"/>
          </w:tcPr>
          <w:p w14:paraId="2F7B722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投标有效期</w:t>
            </w:r>
          </w:p>
        </w:tc>
        <w:tc>
          <w:tcPr>
            <w:tcW w:w="6856" w:type="dxa"/>
            <w:tcBorders>
              <w:top w:val="single" w:color="auto" w:sz="4" w:space="0"/>
              <w:left w:val="single" w:color="auto" w:sz="4" w:space="0"/>
              <w:bottom w:val="single" w:color="auto" w:sz="4" w:space="0"/>
              <w:right w:val="single" w:color="auto" w:sz="4" w:space="0"/>
            </w:tcBorders>
            <w:vAlign w:val="center"/>
          </w:tcPr>
          <w:p w14:paraId="77B0AC3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本次招标的投标有效期为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w:t>
            </w:r>
          </w:p>
        </w:tc>
      </w:tr>
      <w:tr w14:paraId="3526EB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9" w:hRule="exact"/>
        </w:trPr>
        <w:tc>
          <w:tcPr>
            <w:tcW w:w="721" w:type="dxa"/>
            <w:tcBorders>
              <w:top w:val="single" w:color="auto" w:sz="4" w:space="0"/>
              <w:left w:val="single" w:color="auto" w:sz="4" w:space="0"/>
              <w:bottom w:val="single" w:color="auto" w:sz="4" w:space="0"/>
              <w:right w:val="single" w:color="auto" w:sz="4" w:space="0"/>
            </w:tcBorders>
            <w:vAlign w:val="center"/>
          </w:tcPr>
          <w:p w14:paraId="7D9A3F7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21</w:t>
            </w:r>
          </w:p>
        </w:tc>
        <w:tc>
          <w:tcPr>
            <w:tcW w:w="1725" w:type="dxa"/>
            <w:tcBorders>
              <w:top w:val="single" w:color="auto" w:sz="4" w:space="0"/>
              <w:left w:val="single" w:color="auto" w:sz="4" w:space="0"/>
              <w:bottom w:val="single" w:color="auto" w:sz="4" w:space="0"/>
              <w:right w:val="single" w:color="auto" w:sz="4" w:space="0"/>
            </w:tcBorders>
            <w:vAlign w:val="center"/>
          </w:tcPr>
          <w:p w14:paraId="441BCE7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投标文件</w:t>
            </w:r>
          </w:p>
          <w:p w14:paraId="70C7B6F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组成</w:t>
            </w:r>
          </w:p>
        </w:tc>
        <w:tc>
          <w:tcPr>
            <w:tcW w:w="6856" w:type="dxa"/>
            <w:tcBorders>
              <w:top w:val="single" w:color="auto" w:sz="4" w:space="0"/>
              <w:left w:val="single" w:color="auto" w:sz="4" w:space="0"/>
              <w:bottom w:val="single" w:color="auto" w:sz="4" w:space="0"/>
              <w:right w:val="single" w:color="auto" w:sz="4" w:space="0"/>
            </w:tcBorders>
            <w:vAlign w:val="center"/>
          </w:tcPr>
          <w:p w14:paraId="597DAC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投标文件包括商务标书、监理大纲两个分册。</w:t>
            </w:r>
          </w:p>
        </w:tc>
      </w:tr>
      <w:tr w14:paraId="0AFF6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trPr>
        <w:tc>
          <w:tcPr>
            <w:tcW w:w="721" w:type="dxa"/>
            <w:tcBorders>
              <w:top w:val="single" w:color="auto" w:sz="4" w:space="0"/>
              <w:left w:val="single" w:color="auto" w:sz="4" w:space="0"/>
              <w:bottom w:val="single" w:color="auto" w:sz="4" w:space="0"/>
              <w:right w:val="single" w:color="auto" w:sz="4" w:space="0"/>
            </w:tcBorders>
            <w:vAlign w:val="center"/>
          </w:tcPr>
          <w:p w14:paraId="3849EF7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22</w:t>
            </w:r>
          </w:p>
        </w:tc>
        <w:tc>
          <w:tcPr>
            <w:tcW w:w="1725" w:type="dxa"/>
            <w:tcBorders>
              <w:top w:val="single" w:color="auto" w:sz="4" w:space="0"/>
              <w:left w:val="single" w:color="auto" w:sz="4" w:space="0"/>
              <w:bottom w:val="single" w:color="auto" w:sz="4" w:space="0"/>
              <w:right w:val="single" w:color="auto" w:sz="4" w:space="0"/>
            </w:tcBorders>
            <w:vAlign w:val="center"/>
          </w:tcPr>
          <w:p w14:paraId="2CB08CA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评标方法</w:t>
            </w:r>
          </w:p>
        </w:tc>
        <w:tc>
          <w:tcPr>
            <w:tcW w:w="6856" w:type="dxa"/>
            <w:tcBorders>
              <w:top w:val="single" w:color="auto" w:sz="4" w:space="0"/>
              <w:left w:val="single" w:color="auto" w:sz="4" w:space="0"/>
              <w:bottom w:val="single" w:color="auto" w:sz="4" w:space="0"/>
              <w:right w:val="single" w:color="auto" w:sz="4" w:space="0"/>
            </w:tcBorders>
            <w:vAlign w:val="center"/>
          </w:tcPr>
          <w:p w14:paraId="6F555CF0">
            <w:pPr>
              <w:keepNext w:val="0"/>
              <w:keepLines w:val="0"/>
              <w:pageBreakBefore w:val="0"/>
              <w:widowControl w:val="0"/>
              <w:kinsoku/>
              <w:wordWrap w:val="0"/>
              <w:overflowPunct/>
              <w:topLinePunct w:val="0"/>
              <w:autoSpaceDE/>
              <w:autoSpaceDN/>
              <w:bidi w:val="0"/>
              <w:adjustRightInd w:val="0"/>
              <w:snapToGrid w:val="0"/>
              <w:spacing w:line="36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综合评估法</w:t>
            </w:r>
          </w:p>
        </w:tc>
      </w:tr>
      <w:tr w14:paraId="68010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721" w:type="dxa"/>
            <w:tcBorders>
              <w:top w:val="single" w:color="auto" w:sz="4" w:space="0"/>
              <w:left w:val="single" w:color="auto" w:sz="4" w:space="0"/>
              <w:bottom w:val="single" w:color="auto" w:sz="4" w:space="0"/>
              <w:right w:val="single" w:color="auto" w:sz="4" w:space="0"/>
            </w:tcBorders>
            <w:vAlign w:val="center"/>
          </w:tcPr>
          <w:p w14:paraId="6325AA5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23</w:t>
            </w:r>
          </w:p>
        </w:tc>
        <w:tc>
          <w:tcPr>
            <w:tcW w:w="1725" w:type="dxa"/>
            <w:tcBorders>
              <w:top w:val="single" w:color="auto" w:sz="4" w:space="0"/>
              <w:left w:val="single" w:color="auto" w:sz="4" w:space="0"/>
              <w:bottom w:val="single" w:color="auto" w:sz="4" w:space="0"/>
              <w:right w:val="single" w:color="auto" w:sz="4" w:space="0"/>
            </w:tcBorders>
            <w:vAlign w:val="center"/>
          </w:tcPr>
          <w:p w14:paraId="61DC5E9D">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监理大纲</w:t>
            </w:r>
          </w:p>
          <w:p w14:paraId="0E54C2D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评审方式</w:t>
            </w:r>
          </w:p>
        </w:tc>
        <w:tc>
          <w:tcPr>
            <w:tcW w:w="6856" w:type="dxa"/>
            <w:tcBorders>
              <w:top w:val="single" w:color="auto" w:sz="4" w:space="0"/>
              <w:left w:val="single" w:color="auto" w:sz="4" w:space="0"/>
              <w:bottom w:val="single" w:color="auto" w:sz="4" w:space="0"/>
              <w:right w:val="single" w:color="auto" w:sz="4" w:space="0"/>
            </w:tcBorders>
            <w:vAlign w:val="center"/>
          </w:tcPr>
          <w:p w14:paraId="0F88FFD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本次招标监理大纲</w:t>
            </w:r>
            <w:r>
              <w:rPr>
                <w:rFonts w:hint="eastAsia" w:hAnsi="宋体" w:cs="宋体"/>
                <w:snapToGrid w:val="0"/>
                <w:color w:val="auto"/>
                <w:kern w:val="0"/>
                <w:szCs w:val="24"/>
                <w:highlight w:val="none"/>
                <w:u w:val="single"/>
              </w:rPr>
              <w:t xml:space="preserve"> 不采用 </w:t>
            </w:r>
            <w:r>
              <w:rPr>
                <w:rFonts w:hint="eastAsia" w:hAnsi="宋体" w:cs="宋体"/>
                <w:snapToGrid w:val="0"/>
                <w:color w:val="auto"/>
                <w:kern w:val="0"/>
                <w:szCs w:val="24"/>
                <w:highlight w:val="none"/>
              </w:rPr>
              <w:t>“暗标”方式进行评审。</w:t>
            </w:r>
          </w:p>
        </w:tc>
      </w:tr>
      <w:tr w14:paraId="060FC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721" w:type="dxa"/>
            <w:tcBorders>
              <w:top w:val="single" w:color="auto" w:sz="4" w:space="0"/>
              <w:left w:val="single" w:color="auto" w:sz="4" w:space="0"/>
              <w:bottom w:val="single" w:color="auto" w:sz="4" w:space="0"/>
              <w:right w:val="single" w:color="auto" w:sz="4" w:space="0"/>
            </w:tcBorders>
            <w:vAlign w:val="center"/>
          </w:tcPr>
          <w:p w14:paraId="63FDF48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24</w:t>
            </w:r>
          </w:p>
        </w:tc>
        <w:tc>
          <w:tcPr>
            <w:tcW w:w="1725" w:type="dxa"/>
            <w:tcBorders>
              <w:top w:val="single" w:color="auto" w:sz="4" w:space="0"/>
              <w:left w:val="single" w:color="auto" w:sz="4" w:space="0"/>
              <w:bottom w:val="single" w:color="auto" w:sz="4" w:space="0"/>
              <w:right w:val="single" w:color="auto" w:sz="4" w:space="0"/>
            </w:tcBorders>
            <w:vAlign w:val="center"/>
          </w:tcPr>
          <w:p w14:paraId="5B5BA04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w:t>
            </w:r>
          </w:p>
        </w:tc>
        <w:tc>
          <w:tcPr>
            <w:tcW w:w="6856" w:type="dxa"/>
            <w:tcBorders>
              <w:top w:val="single" w:color="auto" w:sz="4" w:space="0"/>
              <w:left w:val="single" w:color="auto" w:sz="4" w:space="0"/>
              <w:bottom w:val="single" w:color="auto" w:sz="4" w:space="0"/>
              <w:right w:val="single" w:color="auto" w:sz="4" w:space="0"/>
            </w:tcBorders>
            <w:vAlign w:val="center"/>
          </w:tcPr>
          <w:p w14:paraId="1A03A2C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评标委员会由</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人组成，其中招标人代表</w:t>
            </w:r>
            <w:r>
              <w:rPr>
                <w:rFonts w:hint="eastAsia" w:hAnsi="宋体" w:cs="宋体"/>
                <w:snapToGrid w:val="0"/>
                <w:color w:val="auto"/>
                <w:kern w:val="0"/>
                <w:szCs w:val="24"/>
                <w:highlight w:val="none"/>
                <w:u w:val="single"/>
              </w:rPr>
              <w:t xml:space="preserve"> 0 </w:t>
            </w:r>
            <w:r>
              <w:rPr>
                <w:rFonts w:hint="eastAsia" w:hAnsi="宋体" w:cs="宋体"/>
                <w:snapToGrid w:val="0"/>
                <w:color w:val="auto"/>
                <w:kern w:val="0"/>
                <w:szCs w:val="24"/>
                <w:highlight w:val="none"/>
              </w:rPr>
              <w:t>人，专家</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szCs w:val="24"/>
                <w:highlight w:val="none"/>
              </w:rPr>
              <w:t>中随机抽取，其中技术类专家</w:t>
            </w:r>
            <w:r>
              <w:rPr>
                <w:rFonts w:hint="eastAsia" w:hAnsi="宋体" w:cs="宋体"/>
                <w:snapToGrid w:val="0"/>
                <w:color w:val="auto"/>
                <w:kern w:val="0"/>
                <w:szCs w:val="24"/>
                <w:highlight w:val="none"/>
                <w:u w:val="single"/>
              </w:rPr>
              <w:t xml:space="preserve"> 3 </w:t>
            </w:r>
            <w:r>
              <w:rPr>
                <w:rFonts w:hint="eastAsia" w:hAnsi="宋体" w:cs="宋体"/>
                <w:snapToGrid w:val="0"/>
                <w:color w:val="auto"/>
                <w:kern w:val="0"/>
                <w:szCs w:val="24"/>
                <w:highlight w:val="none"/>
              </w:rPr>
              <w:t>人，经济类专家</w:t>
            </w:r>
            <w:r>
              <w:rPr>
                <w:rFonts w:hint="eastAsia" w:hAnsi="宋体" w:cs="宋体"/>
                <w:snapToGrid w:val="0"/>
                <w:color w:val="auto"/>
                <w:kern w:val="0"/>
                <w:szCs w:val="24"/>
                <w:highlight w:val="none"/>
                <w:u w:val="single"/>
              </w:rPr>
              <w:t xml:space="preserve"> 2 </w:t>
            </w:r>
            <w:r>
              <w:rPr>
                <w:rFonts w:hint="eastAsia" w:hAnsi="宋体" w:cs="宋体"/>
                <w:snapToGrid w:val="0"/>
                <w:color w:val="auto"/>
                <w:kern w:val="0"/>
                <w:szCs w:val="24"/>
                <w:highlight w:val="none"/>
              </w:rPr>
              <w:t>人。</w:t>
            </w:r>
          </w:p>
        </w:tc>
      </w:tr>
      <w:tr w14:paraId="0C795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721" w:type="dxa"/>
            <w:tcBorders>
              <w:top w:val="single" w:color="auto" w:sz="4" w:space="0"/>
              <w:left w:val="single" w:color="auto" w:sz="4" w:space="0"/>
              <w:bottom w:val="single" w:color="auto" w:sz="4" w:space="0"/>
              <w:right w:val="single" w:color="auto" w:sz="4" w:space="0"/>
            </w:tcBorders>
            <w:vAlign w:val="center"/>
          </w:tcPr>
          <w:p w14:paraId="309A2A5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25</w:t>
            </w:r>
          </w:p>
        </w:tc>
        <w:tc>
          <w:tcPr>
            <w:tcW w:w="1725" w:type="dxa"/>
            <w:tcBorders>
              <w:top w:val="single" w:color="auto" w:sz="4" w:space="0"/>
              <w:left w:val="single" w:color="auto" w:sz="4" w:space="0"/>
              <w:bottom w:val="single" w:color="auto" w:sz="4" w:space="0"/>
              <w:right w:val="single" w:color="auto" w:sz="4" w:space="0"/>
            </w:tcBorders>
            <w:vAlign w:val="center"/>
          </w:tcPr>
          <w:p w14:paraId="3B97A7B3">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p w14:paraId="38D4F6D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3A8E9377">
            <w:pPr>
              <w:pStyle w:val="31"/>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rPr>
              <w:t>单位名称：</w:t>
            </w:r>
            <w:r>
              <w:rPr>
                <w:rFonts w:hint="eastAsia" w:ascii="宋体" w:hAnsi="宋体" w:cs="宋体"/>
                <w:snapToGrid w:val="0"/>
                <w:color w:val="auto"/>
                <w:kern w:val="0"/>
                <w:sz w:val="24"/>
                <w:highlight w:val="none"/>
                <w:lang w:eastAsia="zh-CN"/>
              </w:rPr>
              <w:t>翁源县公共资产管理中心</w:t>
            </w:r>
          </w:p>
          <w:p w14:paraId="57C76F5C">
            <w:pPr>
              <w:pStyle w:val="30"/>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auto"/>
                <w:kern w:val="0"/>
                <w:sz w:val="24"/>
                <w:highlight w:val="none"/>
                <w:lang w:val="zh-CN" w:eastAsia="zh-CN"/>
              </w:rPr>
            </w:pPr>
            <w:r>
              <w:rPr>
                <w:rFonts w:hint="eastAsia" w:ascii="宋体" w:hAnsi="宋体" w:cs="宋体"/>
                <w:snapToGrid w:val="0"/>
                <w:color w:val="auto"/>
                <w:kern w:val="0"/>
                <w:sz w:val="24"/>
                <w:highlight w:val="none"/>
              </w:rPr>
              <w:t>办公地址：</w:t>
            </w:r>
            <w:r>
              <w:rPr>
                <w:rFonts w:hint="eastAsia" w:ascii="宋体" w:hAnsi="宋体" w:cs="宋体"/>
                <w:snapToGrid w:val="0"/>
                <w:color w:val="auto"/>
                <w:kern w:val="0"/>
                <w:sz w:val="24"/>
                <w:highlight w:val="none"/>
                <w:lang w:eastAsia="zh-CN"/>
              </w:rPr>
              <w:t>翁源县前进路33号</w:t>
            </w:r>
          </w:p>
          <w:p w14:paraId="223F4EF6">
            <w:pPr>
              <w:pStyle w:val="31"/>
              <w:keepNext w:val="0"/>
              <w:keepLines w:val="0"/>
              <w:pageBreakBefore w:val="0"/>
              <w:widowControl w:val="0"/>
              <w:kinsoku/>
              <w:overflowPunct/>
              <w:topLinePunct w:val="0"/>
              <w:autoSpaceDE/>
              <w:autoSpaceDN/>
              <w:bidi w:val="0"/>
              <w:spacing w:line="36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rPr>
              <w:t>联系人（部门）：</w:t>
            </w:r>
            <w:r>
              <w:rPr>
                <w:rFonts w:hint="eastAsia" w:ascii="宋体" w:hAnsi="宋体" w:cs="宋体"/>
                <w:snapToGrid w:val="0"/>
                <w:color w:val="auto"/>
                <w:kern w:val="0"/>
                <w:sz w:val="24"/>
                <w:szCs w:val="24"/>
                <w:highlight w:val="none"/>
                <w:lang w:val="en-US" w:eastAsia="zh-CN"/>
              </w:rPr>
              <w:t>曾</w:t>
            </w:r>
            <w:r>
              <w:rPr>
                <w:rFonts w:hint="eastAsia" w:ascii="宋体" w:hAnsi="宋体" w:cs="宋体"/>
                <w:snapToGrid w:val="0"/>
                <w:color w:val="auto"/>
                <w:kern w:val="0"/>
                <w:sz w:val="24"/>
                <w:szCs w:val="24"/>
                <w:highlight w:val="none"/>
                <w:lang w:eastAsia="zh-CN"/>
              </w:rPr>
              <w:t>先生</w:t>
            </w:r>
          </w:p>
          <w:p w14:paraId="09E5AB8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eastAsia="宋体" w:cs="宋体"/>
                <w:snapToGrid w:val="0"/>
                <w:color w:val="auto"/>
                <w:kern w:val="0"/>
                <w:szCs w:val="24"/>
                <w:highlight w:val="none"/>
                <w:lang w:eastAsia="zh-CN"/>
              </w:rPr>
            </w:pPr>
            <w:r>
              <w:rPr>
                <w:rFonts w:hint="eastAsia" w:hAnsi="宋体" w:cs="宋体"/>
                <w:snapToGrid w:val="0"/>
                <w:color w:val="auto"/>
                <w:kern w:val="0"/>
                <w:highlight w:val="none"/>
              </w:rPr>
              <w:t>联系电话：</w:t>
            </w:r>
            <w:r>
              <w:rPr>
                <w:rFonts w:hint="eastAsia" w:hAnsi="宋体" w:cs="宋体"/>
                <w:snapToGrid w:val="0"/>
                <w:color w:val="auto"/>
                <w:kern w:val="0"/>
                <w:sz w:val="24"/>
                <w:szCs w:val="24"/>
                <w:highlight w:val="none"/>
                <w:lang w:eastAsia="zh-CN"/>
              </w:rPr>
              <w:t>0751-2823606</w:t>
            </w:r>
          </w:p>
        </w:tc>
      </w:tr>
      <w:tr w14:paraId="5CE6B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5" w:hRule="atLeast"/>
        </w:trPr>
        <w:tc>
          <w:tcPr>
            <w:tcW w:w="721" w:type="dxa"/>
            <w:tcBorders>
              <w:top w:val="single" w:color="auto" w:sz="4" w:space="0"/>
              <w:left w:val="single" w:color="auto" w:sz="4" w:space="0"/>
              <w:bottom w:val="single" w:color="auto" w:sz="4" w:space="0"/>
              <w:right w:val="single" w:color="auto" w:sz="4" w:space="0"/>
            </w:tcBorders>
            <w:vAlign w:val="center"/>
          </w:tcPr>
          <w:p w14:paraId="33A7F9AB">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26</w:t>
            </w:r>
          </w:p>
        </w:tc>
        <w:tc>
          <w:tcPr>
            <w:tcW w:w="1725" w:type="dxa"/>
            <w:tcBorders>
              <w:top w:val="single" w:color="auto" w:sz="4" w:space="0"/>
              <w:left w:val="single" w:color="auto" w:sz="4" w:space="0"/>
              <w:bottom w:val="single" w:color="auto" w:sz="4" w:space="0"/>
              <w:right w:val="single" w:color="auto" w:sz="4" w:space="0"/>
            </w:tcBorders>
            <w:vAlign w:val="center"/>
          </w:tcPr>
          <w:p w14:paraId="036A814F">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p w14:paraId="4881BED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287000D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auto"/>
                <w:kern w:val="0"/>
                <w:szCs w:val="24"/>
                <w:highlight w:val="none"/>
                <w:lang w:val="en-US" w:eastAsia="zh-CN"/>
              </w:rPr>
            </w:pPr>
            <w:r>
              <w:rPr>
                <w:rFonts w:hint="default" w:hAnsi="宋体" w:eastAsia="宋体" w:cs="宋体"/>
                <w:snapToGrid w:val="0"/>
                <w:color w:val="auto"/>
                <w:kern w:val="0"/>
                <w:szCs w:val="24"/>
                <w:highlight w:val="none"/>
                <w:lang w:val="en-US" w:eastAsia="zh-CN"/>
              </w:rPr>
              <w:t>单位名称：广州穗峰建设工程监理有限公司</w:t>
            </w:r>
          </w:p>
          <w:p w14:paraId="53CE61F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auto"/>
                <w:kern w:val="0"/>
                <w:szCs w:val="24"/>
                <w:highlight w:val="none"/>
                <w:lang w:val="en-US" w:eastAsia="zh-CN"/>
              </w:rPr>
            </w:pPr>
            <w:r>
              <w:rPr>
                <w:rFonts w:hint="default" w:hAnsi="宋体" w:eastAsia="宋体" w:cs="宋体"/>
                <w:snapToGrid w:val="0"/>
                <w:color w:val="auto"/>
                <w:kern w:val="0"/>
                <w:szCs w:val="24"/>
                <w:highlight w:val="none"/>
                <w:lang w:val="en-US" w:eastAsia="zh-CN"/>
              </w:rPr>
              <w:t>办公地址：韶关市武江区芙蓉北路29号4楼</w:t>
            </w:r>
          </w:p>
          <w:p w14:paraId="10F29D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auto"/>
                <w:kern w:val="0"/>
                <w:szCs w:val="24"/>
                <w:highlight w:val="none"/>
                <w:lang w:val="en-US" w:eastAsia="zh-CN"/>
              </w:rPr>
            </w:pPr>
            <w:r>
              <w:rPr>
                <w:rFonts w:hint="default" w:hAnsi="宋体" w:eastAsia="宋体" w:cs="宋体"/>
                <w:snapToGrid w:val="0"/>
                <w:color w:val="auto"/>
                <w:kern w:val="0"/>
                <w:szCs w:val="24"/>
                <w:highlight w:val="none"/>
                <w:lang w:val="en-US" w:eastAsia="zh-CN"/>
              </w:rPr>
              <w:t>联系人(部门)：蒋工、王工</w:t>
            </w:r>
          </w:p>
          <w:p w14:paraId="4A3F3FA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default" w:hAnsi="宋体" w:eastAsia="宋体" w:cs="宋体"/>
                <w:snapToGrid w:val="0"/>
                <w:color w:val="auto"/>
                <w:kern w:val="0"/>
                <w:szCs w:val="24"/>
                <w:highlight w:val="none"/>
                <w:lang w:val="en-US" w:eastAsia="zh-CN"/>
              </w:rPr>
            </w:pPr>
            <w:r>
              <w:rPr>
                <w:rFonts w:hint="default" w:hAnsi="宋体" w:eastAsia="宋体" w:cs="宋体"/>
                <w:snapToGrid w:val="0"/>
                <w:color w:val="auto"/>
                <w:kern w:val="0"/>
                <w:szCs w:val="24"/>
                <w:highlight w:val="none"/>
                <w:lang w:val="en-US" w:eastAsia="zh-CN"/>
              </w:rPr>
              <w:t>联系电话：0751-8846118</w:t>
            </w:r>
          </w:p>
        </w:tc>
      </w:tr>
      <w:tr w14:paraId="6ED4D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trPr>
        <w:tc>
          <w:tcPr>
            <w:tcW w:w="721" w:type="dxa"/>
            <w:tcBorders>
              <w:top w:val="single" w:color="auto" w:sz="4" w:space="0"/>
              <w:left w:val="single" w:color="auto" w:sz="4" w:space="0"/>
              <w:bottom w:val="single" w:color="auto" w:sz="4" w:space="0"/>
              <w:right w:val="single" w:color="auto" w:sz="4" w:space="0"/>
            </w:tcBorders>
            <w:vAlign w:val="center"/>
          </w:tcPr>
          <w:p w14:paraId="2BF93F89">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27</w:t>
            </w:r>
          </w:p>
        </w:tc>
        <w:tc>
          <w:tcPr>
            <w:tcW w:w="1725" w:type="dxa"/>
            <w:tcBorders>
              <w:top w:val="single" w:color="auto" w:sz="4" w:space="0"/>
              <w:left w:val="single" w:color="auto" w:sz="4" w:space="0"/>
              <w:bottom w:val="single" w:color="auto" w:sz="4" w:space="0"/>
              <w:right w:val="single" w:color="auto" w:sz="4" w:space="0"/>
            </w:tcBorders>
            <w:vAlign w:val="center"/>
          </w:tcPr>
          <w:p w14:paraId="68AA2670">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交易场所</w:t>
            </w:r>
          </w:p>
          <w:p w14:paraId="070464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35CCFCF8">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单位名称：韶关市公共资源交易中心</w:t>
            </w:r>
          </w:p>
          <w:p w14:paraId="422241AB">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办公地址：翁源县龙仙镇朝阳路63号韶关市公共资源交易中心翁源分中心</w:t>
            </w:r>
          </w:p>
          <w:p w14:paraId="02F4542F">
            <w:pPr>
              <w:keepNext w:val="0"/>
              <w:keepLines w:val="0"/>
              <w:pageBreakBefore w:val="0"/>
              <w:widowControl w:val="0"/>
              <w:kinsoku/>
              <w:overflowPunct/>
              <w:topLinePunct w:val="0"/>
              <w:autoSpaceDE/>
              <w:autoSpaceDN/>
              <w:bidi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 xml:space="preserve">联系人（部门）：工程交易股 </w:t>
            </w:r>
          </w:p>
          <w:p w14:paraId="05495AC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color w:val="auto"/>
                <w:szCs w:val="24"/>
                <w:highlight w:val="none"/>
              </w:rPr>
              <w:t>联系电话：0751-2815819</w:t>
            </w:r>
          </w:p>
        </w:tc>
      </w:tr>
      <w:tr w14:paraId="488F8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90" w:hRule="atLeast"/>
        </w:trPr>
        <w:tc>
          <w:tcPr>
            <w:tcW w:w="721" w:type="dxa"/>
            <w:tcBorders>
              <w:top w:val="single" w:color="auto" w:sz="4" w:space="0"/>
              <w:left w:val="single" w:color="auto" w:sz="4" w:space="0"/>
              <w:bottom w:val="single" w:color="auto" w:sz="4" w:space="0"/>
              <w:right w:val="single" w:color="auto" w:sz="4" w:space="0"/>
            </w:tcBorders>
            <w:vAlign w:val="center"/>
          </w:tcPr>
          <w:p w14:paraId="36086C24">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28</w:t>
            </w:r>
          </w:p>
        </w:tc>
        <w:tc>
          <w:tcPr>
            <w:tcW w:w="1725" w:type="dxa"/>
            <w:tcBorders>
              <w:top w:val="single" w:color="auto" w:sz="4" w:space="0"/>
              <w:left w:val="single" w:color="auto" w:sz="4" w:space="0"/>
              <w:bottom w:val="single" w:color="auto" w:sz="4" w:space="0"/>
              <w:right w:val="single" w:color="auto" w:sz="4" w:space="0"/>
            </w:tcBorders>
            <w:vAlign w:val="center"/>
          </w:tcPr>
          <w:p w14:paraId="1242C77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行政监督部门</w:t>
            </w:r>
          </w:p>
          <w:p w14:paraId="56BFD09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0E1D9134">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单位名称：翁源县住房和城乡建设管理局</w:t>
            </w:r>
          </w:p>
          <w:p w14:paraId="5A774017">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办公地址：翁源县龙仙镇朝阳路186号</w:t>
            </w:r>
          </w:p>
          <w:p w14:paraId="14A7D8E8">
            <w:pPr>
              <w:keepNext w:val="0"/>
              <w:keepLines w:val="0"/>
              <w:pageBreakBefore w:val="0"/>
              <w:widowControl w:val="0"/>
              <w:kinsoku/>
              <w:overflowPunct/>
              <w:topLinePunct w:val="0"/>
              <w:autoSpaceDE/>
              <w:autoSpaceDN/>
              <w:bidi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联系人(部门)：建管股</w:t>
            </w:r>
          </w:p>
          <w:p w14:paraId="1454843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snapToGrid w:val="0"/>
                <w:color w:val="auto"/>
                <w:kern w:val="0"/>
                <w:szCs w:val="24"/>
                <w:highlight w:val="none"/>
              </w:rPr>
            </w:pPr>
            <w:r>
              <w:rPr>
                <w:rFonts w:hint="eastAsia" w:hAnsi="宋体" w:cs="宋体"/>
                <w:color w:val="auto"/>
                <w:szCs w:val="24"/>
                <w:highlight w:val="none"/>
              </w:rPr>
              <w:t>联系电话：0751-2870501 </w:t>
            </w:r>
            <w:r>
              <w:rPr>
                <w:rFonts w:hint="eastAsia" w:hAnsi="宋体" w:cs="宋体"/>
                <w:snapToGrid w:val="0"/>
                <w:color w:val="auto"/>
                <w:kern w:val="0"/>
                <w:szCs w:val="24"/>
                <w:highlight w:val="none"/>
              </w:rPr>
              <w:t> </w:t>
            </w:r>
          </w:p>
        </w:tc>
      </w:tr>
      <w:bookmarkEnd w:id="4"/>
      <w:tr w14:paraId="391F8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015" w:hRule="atLeast"/>
        </w:trPr>
        <w:tc>
          <w:tcPr>
            <w:tcW w:w="721" w:type="dxa"/>
            <w:tcBorders>
              <w:top w:val="single" w:color="auto" w:sz="4" w:space="0"/>
              <w:left w:val="single" w:color="auto" w:sz="4" w:space="0"/>
              <w:bottom w:val="single" w:color="auto" w:sz="4" w:space="0"/>
              <w:right w:val="single" w:color="auto" w:sz="4" w:space="0"/>
            </w:tcBorders>
            <w:vAlign w:val="center"/>
          </w:tcPr>
          <w:p w14:paraId="67798911">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bookmarkStart w:id="5" w:name="_Toc122859103"/>
            <w:bookmarkStart w:id="6" w:name="_Toc122671103"/>
            <w:bookmarkStart w:id="7" w:name="_Toc122769943"/>
            <w:r>
              <w:rPr>
                <w:rFonts w:hint="eastAsia" w:hAnsi="宋体" w:cs="宋体"/>
                <w:snapToGrid w:val="0"/>
                <w:color w:val="auto"/>
                <w:kern w:val="0"/>
                <w:szCs w:val="24"/>
                <w:highlight w:val="none"/>
              </w:rPr>
              <w:t>29</w:t>
            </w:r>
          </w:p>
        </w:tc>
        <w:tc>
          <w:tcPr>
            <w:tcW w:w="1725" w:type="dxa"/>
            <w:tcBorders>
              <w:top w:val="single" w:color="auto" w:sz="4" w:space="0"/>
              <w:left w:val="single" w:color="auto" w:sz="4" w:space="0"/>
              <w:bottom w:val="single" w:color="auto" w:sz="4" w:space="0"/>
              <w:right w:val="single" w:color="auto" w:sz="4" w:space="0"/>
            </w:tcBorders>
            <w:vAlign w:val="center"/>
          </w:tcPr>
          <w:p w14:paraId="1F8B023A">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术语</w:t>
            </w:r>
          </w:p>
        </w:tc>
        <w:tc>
          <w:tcPr>
            <w:tcW w:w="6856" w:type="dxa"/>
            <w:tcBorders>
              <w:top w:val="single" w:color="auto" w:sz="4" w:space="0"/>
              <w:left w:val="single" w:color="auto" w:sz="4" w:space="0"/>
              <w:bottom w:val="single" w:color="auto" w:sz="4" w:space="0"/>
              <w:right w:val="single" w:color="auto" w:sz="4" w:space="0"/>
            </w:tcBorders>
            <w:vAlign w:val="center"/>
          </w:tcPr>
          <w:p w14:paraId="187905E9">
            <w:pPr>
              <w:pStyle w:val="6"/>
              <w:keepNext w:val="0"/>
              <w:keepLines w:val="0"/>
              <w:pageBreakBefore w:val="0"/>
              <w:widowControl w:val="0"/>
              <w:kinsoku/>
              <w:overflowPunct/>
              <w:topLinePunct w:val="0"/>
              <w:autoSpaceDE/>
              <w:autoSpaceDN/>
              <w:bidi w:val="0"/>
              <w:spacing w:line="360" w:lineRule="exact"/>
              <w:ind w:firstLine="480" w:firstLineChars="200"/>
              <w:rPr>
                <w:rFonts w:hint="eastAsia" w:ascii="宋体" w:hAnsi="宋体" w:eastAsia="宋体" w:cs="宋体"/>
                <w:color w:val="auto"/>
                <w:kern w:val="2"/>
                <w:highlight w:val="none"/>
                <w:lang w:eastAsia="zh-CN"/>
              </w:rPr>
            </w:pPr>
            <w:r>
              <w:rPr>
                <w:rFonts w:hint="eastAsia" w:ascii="宋体" w:hAnsi="宋体" w:eastAsia="宋体" w:cs="宋体"/>
                <w:color w:val="auto"/>
                <w:kern w:val="2"/>
                <w:highlight w:val="none"/>
                <w:lang w:eastAsia="zh-CN"/>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5643E106">
            <w:pPr>
              <w:pStyle w:val="6"/>
              <w:keepNext w:val="0"/>
              <w:keepLines w:val="0"/>
              <w:pageBreakBefore w:val="0"/>
              <w:widowControl w:val="0"/>
              <w:kinsoku/>
              <w:overflowPunct/>
              <w:topLinePunct w:val="0"/>
              <w:autoSpaceDE/>
              <w:autoSpaceDN/>
              <w:bidi w:val="0"/>
              <w:spacing w:line="360" w:lineRule="exact"/>
              <w:ind w:firstLine="480" w:firstLineChars="200"/>
              <w:rPr>
                <w:rFonts w:hAnsi="宋体" w:cs="宋体"/>
                <w:snapToGrid w:val="0"/>
                <w:color w:val="auto"/>
                <w:kern w:val="0"/>
                <w:szCs w:val="24"/>
                <w:highlight w:val="none"/>
              </w:rPr>
            </w:pPr>
            <w:r>
              <w:rPr>
                <w:rFonts w:hint="eastAsia" w:ascii="宋体" w:hAnsi="宋体" w:eastAsia="宋体" w:cs="宋体"/>
                <w:color w:val="auto"/>
                <w:kern w:val="2"/>
                <w:highlight w:val="none"/>
                <w:lang w:eastAsia="zh-CN"/>
              </w:rPr>
              <w:t>2．“相关服务”是指监理人受委托人的委托，按照合同约定，在勘察、设计、保修等阶段提供的服务活动。</w:t>
            </w:r>
          </w:p>
        </w:tc>
      </w:tr>
      <w:bookmarkEnd w:id="5"/>
      <w:bookmarkEnd w:id="6"/>
      <w:bookmarkEnd w:id="7"/>
      <w:tr w14:paraId="5E04D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18" w:hRule="atLeast"/>
        </w:trPr>
        <w:tc>
          <w:tcPr>
            <w:tcW w:w="721" w:type="dxa"/>
            <w:tcBorders>
              <w:top w:val="single" w:color="auto" w:sz="4" w:space="0"/>
              <w:left w:val="single" w:color="auto" w:sz="4" w:space="0"/>
              <w:bottom w:val="single" w:color="auto" w:sz="4" w:space="0"/>
              <w:right w:val="single" w:color="auto" w:sz="4" w:space="0"/>
            </w:tcBorders>
            <w:vAlign w:val="center"/>
          </w:tcPr>
          <w:p w14:paraId="32518216">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30</w:t>
            </w:r>
          </w:p>
        </w:tc>
        <w:tc>
          <w:tcPr>
            <w:tcW w:w="1725" w:type="dxa"/>
            <w:tcBorders>
              <w:top w:val="single" w:color="auto" w:sz="4" w:space="0"/>
              <w:left w:val="single" w:color="auto" w:sz="4" w:space="0"/>
              <w:bottom w:val="single" w:color="auto" w:sz="4" w:space="0"/>
              <w:right w:val="single" w:color="auto" w:sz="4" w:space="0"/>
            </w:tcBorders>
            <w:vAlign w:val="center"/>
          </w:tcPr>
          <w:p w14:paraId="403CCA37">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其他费用</w:t>
            </w:r>
          </w:p>
        </w:tc>
        <w:tc>
          <w:tcPr>
            <w:tcW w:w="6856" w:type="dxa"/>
            <w:tcBorders>
              <w:top w:val="single" w:color="auto" w:sz="4" w:space="0"/>
              <w:left w:val="single" w:color="auto" w:sz="4" w:space="0"/>
              <w:bottom w:val="single" w:color="auto" w:sz="4" w:space="0"/>
              <w:right w:val="single" w:color="auto" w:sz="4" w:space="0"/>
            </w:tcBorders>
            <w:vAlign w:val="center"/>
          </w:tcPr>
          <w:p w14:paraId="40B5F053">
            <w:pPr>
              <w:pStyle w:val="6"/>
              <w:keepNext w:val="0"/>
              <w:keepLines w:val="0"/>
              <w:pageBreakBefore w:val="0"/>
              <w:widowControl w:val="0"/>
              <w:kinsoku/>
              <w:overflowPunct/>
              <w:topLinePunct w:val="0"/>
              <w:autoSpaceDE/>
              <w:autoSpaceDN/>
              <w:bidi w:val="0"/>
              <w:spacing w:line="360" w:lineRule="exact"/>
              <w:ind w:firstLine="480" w:firstLineChars="200"/>
              <w:rPr>
                <w:rFonts w:hAnsi="宋体" w:cs="宋体"/>
                <w:snapToGrid w:val="0"/>
                <w:color w:val="auto"/>
                <w:szCs w:val="24"/>
                <w:highlight w:val="none"/>
              </w:rPr>
            </w:pPr>
            <w:r>
              <w:rPr>
                <w:rFonts w:hint="eastAsia" w:hAnsi="宋体" w:cs="宋体"/>
                <w:color w:val="auto"/>
                <w:kern w:val="2"/>
                <w:highlight w:val="none"/>
              </w:rPr>
              <w:t>本项目的招标代理服务费及评标专家酬劳由中标人支付，由投标人在投标报价时综合考虑在内。招标代理服务费参照</w:t>
            </w:r>
            <w:r>
              <w:rPr>
                <w:rFonts w:hint="eastAsia" w:hAnsi="宋体" w:cs="宋体"/>
                <w:color w:val="auto"/>
                <w:kern w:val="2"/>
                <w:highlight w:val="none"/>
                <w:lang w:eastAsia="zh-CN"/>
              </w:rPr>
              <w:t>参照《招标代理服务收费管理暂行办法》计价格[2002]1980号文，以最终中标金额为计算基数计算并下浮20%</w:t>
            </w:r>
            <w:r>
              <w:rPr>
                <w:rFonts w:hint="eastAsia" w:hAnsi="宋体" w:cs="宋体"/>
                <w:color w:val="auto"/>
                <w:kern w:val="2"/>
                <w:highlight w:val="none"/>
              </w:rPr>
              <w:t>计取</w:t>
            </w:r>
            <w:r>
              <w:rPr>
                <w:rFonts w:hint="eastAsia" w:hAnsi="宋体" w:cs="宋体"/>
                <w:color w:val="auto"/>
                <w:kern w:val="2"/>
                <w:highlight w:val="none"/>
                <w:lang w:eastAsia="zh-CN"/>
              </w:rPr>
              <w:t>，</w:t>
            </w:r>
            <w:r>
              <w:rPr>
                <w:rFonts w:hint="eastAsia" w:hAnsi="宋体" w:cs="宋体"/>
                <w:color w:val="auto"/>
                <w:kern w:val="2"/>
                <w:highlight w:val="none"/>
                <w:lang w:val="en-US" w:eastAsia="zh-CN"/>
              </w:rPr>
              <w:t>不足一万元按一万元收取</w:t>
            </w:r>
            <w:r>
              <w:rPr>
                <w:rFonts w:hint="eastAsia" w:hAnsi="宋体" w:cs="宋体"/>
                <w:color w:val="auto"/>
                <w:kern w:val="2"/>
                <w:highlight w:val="none"/>
              </w:rPr>
              <w:t>。中标人在领取中标通知书前须向招标代理机构一次性支付（评标专家酬劳先由招标代理垫付，以评标结束当日的评标专家酬劳签收表总额为准）。</w:t>
            </w:r>
          </w:p>
        </w:tc>
      </w:tr>
    </w:tbl>
    <w:p w14:paraId="375E2AA3">
      <w:pPr>
        <w:pStyle w:val="3"/>
        <w:wordWrap w:val="0"/>
        <w:autoSpaceDE/>
        <w:autoSpaceDN/>
        <w:snapToGrid w:val="0"/>
        <w:spacing w:before="260" w:after="260" w:line="440" w:lineRule="exact"/>
        <w:jc w:val="both"/>
        <w:rPr>
          <w:rFonts w:ascii="Times New Roman"/>
          <w:b/>
          <w:snapToGrid w:val="0"/>
          <w:color w:val="auto"/>
          <w:highlight w:val="none"/>
        </w:rPr>
        <w:sectPr>
          <w:footerReference r:id="rId6" w:type="default"/>
          <w:endnotePr>
            <w:numFmt w:val="decimal"/>
          </w:endnotePr>
          <w:pgSz w:w="11906" w:h="16838"/>
          <w:pgMar w:top="1440" w:right="1080" w:bottom="1440" w:left="1080" w:header="850" w:footer="992" w:gutter="0"/>
          <w:pgNumType w:fmt="decimal" w:start="1"/>
          <w:cols w:space="0" w:num="1"/>
          <w:docGrid w:linePitch="327" w:charSpace="0"/>
        </w:sectPr>
      </w:pPr>
    </w:p>
    <w:p w14:paraId="35BA690F">
      <w:pPr>
        <w:pStyle w:val="3"/>
        <w:wordWrap w:val="0"/>
        <w:autoSpaceDE/>
        <w:autoSpaceDN/>
        <w:snapToGrid w:val="0"/>
        <w:spacing w:after="120" w:afterLines="50" w:line="440" w:lineRule="exact"/>
        <w:jc w:val="both"/>
        <w:rPr>
          <w:rFonts w:ascii="Times New Roman"/>
          <w:snapToGrid w:val="0"/>
          <w:color w:val="auto"/>
          <w:highlight w:val="none"/>
        </w:rPr>
      </w:pPr>
      <w:bookmarkStart w:id="8" w:name="_Toc465"/>
      <w:bookmarkStart w:id="9" w:name="_Toc714"/>
      <w:r>
        <w:rPr>
          <w:rFonts w:hint="eastAsia" w:ascii="Times New Roman"/>
          <w:b/>
          <w:snapToGrid w:val="0"/>
          <w:color w:val="auto"/>
          <w:highlight w:val="none"/>
        </w:rPr>
        <w:t>第二节 重要事项时间地点一览表</w:t>
      </w:r>
      <w:bookmarkEnd w:id="8"/>
      <w:bookmarkEnd w:id="9"/>
    </w:p>
    <w:tbl>
      <w:tblPr>
        <w:tblStyle w:val="2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411"/>
        <w:gridCol w:w="1472"/>
        <w:gridCol w:w="7296"/>
      </w:tblGrid>
      <w:tr w14:paraId="7DFF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60C699C5">
            <w:pPr>
              <w:pStyle w:val="31"/>
              <w:wordWrap w:val="0"/>
              <w:adjustRightInd w:val="0"/>
              <w:snapToGrid w:val="0"/>
              <w:spacing w:after="260" w:line="440" w:lineRule="exact"/>
              <w:jc w:val="left"/>
              <w:rPr>
                <w:rFonts w:ascii="宋体" w:hAnsi="宋体" w:cs="宋体"/>
                <w:color w:val="auto"/>
                <w:sz w:val="24"/>
                <w:highlight w:val="none"/>
              </w:rPr>
            </w:pPr>
            <w:r>
              <w:rPr>
                <w:rFonts w:hint="eastAsia" w:ascii="宋体" w:hAnsi="宋体" w:cs="宋体"/>
                <w:b/>
                <w:bCs/>
                <w:snapToGrid w:val="0"/>
                <w:color w:val="auto"/>
                <w:kern w:val="0"/>
                <w:sz w:val="24"/>
                <w:highlight w:val="none"/>
              </w:rPr>
              <w:t xml:space="preserve"> </w:t>
            </w:r>
            <w:r>
              <w:rPr>
                <w:rFonts w:hint="eastAsia" w:ascii="宋体" w:hAnsi="宋体" w:cs="宋体"/>
                <w:color w:val="auto"/>
                <w:sz w:val="24"/>
                <w:highlight w:val="none"/>
              </w:rPr>
              <w:t>1</w:t>
            </w:r>
          </w:p>
        </w:tc>
        <w:tc>
          <w:tcPr>
            <w:tcW w:w="1472" w:type="dxa"/>
            <w:shd w:val="clear" w:color="auto" w:fill="FFFFFF"/>
            <w:vAlign w:val="center"/>
          </w:tcPr>
          <w:p w14:paraId="6BC2BCAE">
            <w:pPr>
              <w:pStyle w:val="20"/>
              <w:spacing w:before="0" w:beforeAutospacing="0" w:after="0" w:afterAutospacing="0" w:line="360" w:lineRule="atLeast"/>
              <w:jc w:val="center"/>
              <w:rPr>
                <w:color w:val="auto"/>
                <w:highlight w:val="none"/>
              </w:rPr>
            </w:pPr>
            <w:r>
              <w:rPr>
                <w:rFonts w:hint="eastAsia"/>
                <w:color w:val="auto"/>
                <w:highlight w:val="none"/>
              </w:rPr>
              <w:t>招标公告</w:t>
            </w:r>
          </w:p>
          <w:p w14:paraId="7A0FB4AB">
            <w:pPr>
              <w:pStyle w:val="20"/>
              <w:spacing w:before="0" w:beforeAutospacing="0" w:after="0" w:afterAutospacing="0" w:line="360" w:lineRule="atLeast"/>
              <w:jc w:val="center"/>
              <w:rPr>
                <w:color w:val="auto"/>
                <w:highlight w:val="none"/>
              </w:rPr>
            </w:pPr>
            <w:r>
              <w:rPr>
                <w:rFonts w:hint="eastAsia"/>
                <w:color w:val="auto"/>
                <w:highlight w:val="none"/>
              </w:rPr>
              <w:t>发布时间</w:t>
            </w:r>
          </w:p>
        </w:tc>
        <w:tc>
          <w:tcPr>
            <w:tcW w:w="7296" w:type="dxa"/>
            <w:shd w:val="clear" w:color="auto" w:fill="FFFFFF"/>
            <w:vAlign w:val="center"/>
          </w:tcPr>
          <w:p w14:paraId="55307005">
            <w:pPr>
              <w:pStyle w:val="20"/>
              <w:spacing w:before="0" w:beforeAutospacing="0" w:after="150" w:afterAutospacing="0" w:line="360" w:lineRule="atLeast"/>
              <w:ind w:left="240" w:hanging="240" w:hangingChars="100"/>
              <w:rPr>
                <w:color w:val="auto"/>
                <w:highlight w:val="none"/>
              </w:rPr>
            </w:pPr>
            <w:r>
              <w:rPr>
                <w:rFonts w:hint="eastAsia"/>
                <w:color w:val="auto"/>
                <w:highlight w:val="none"/>
              </w:rPr>
              <w:t> </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9</w:t>
            </w:r>
            <w:r>
              <w:rPr>
                <w:rFonts w:hint="eastAsia"/>
                <w:color w:val="auto"/>
                <w:highlight w:val="none"/>
              </w:rPr>
              <w:t>月</w:t>
            </w:r>
            <w:r>
              <w:rPr>
                <w:rFonts w:hint="eastAsia"/>
                <w:color w:val="auto"/>
                <w:highlight w:val="none"/>
                <w:u w:val="single"/>
                <w:lang w:val="en-US" w:eastAsia="zh-CN"/>
              </w:rPr>
              <w:t>30</w:t>
            </w:r>
            <w:r>
              <w:rPr>
                <w:rFonts w:hint="eastAsia"/>
                <w:color w:val="auto"/>
                <w:highlight w:val="none"/>
              </w:rPr>
              <w:t>日</w:t>
            </w:r>
            <w:r>
              <w:rPr>
                <w:rFonts w:hint="eastAsia"/>
                <w:color w:val="auto"/>
                <w:highlight w:val="none"/>
                <w:u w:val="single"/>
                <w:lang w:val="en-US" w:eastAsia="zh-CN"/>
              </w:rPr>
              <w:t>15</w:t>
            </w:r>
            <w:r>
              <w:rPr>
                <w:rFonts w:hint="eastAsia"/>
                <w:color w:val="auto"/>
                <w:highlight w:val="none"/>
              </w:rPr>
              <w:t>时</w:t>
            </w:r>
            <w:r>
              <w:rPr>
                <w:rFonts w:hint="eastAsia"/>
                <w:color w:val="auto"/>
                <w:highlight w:val="none"/>
                <w:u w:val="single"/>
                <w:lang w:val="en-US" w:eastAsia="zh-CN"/>
              </w:rPr>
              <w:t>00</w:t>
            </w:r>
            <w:r>
              <w:rPr>
                <w:rFonts w:hint="eastAsia"/>
                <w:color w:val="auto"/>
                <w:highlight w:val="none"/>
              </w:rPr>
              <w:t>分</w:t>
            </w:r>
          </w:p>
        </w:tc>
      </w:tr>
      <w:tr w14:paraId="471D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48177DBB">
            <w:pPr>
              <w:pStyle w:val="20"/>
              <w:spacing w:before="0" w:beforeAutospacing="0" w:after="150" w:afterAutospacing="0" w:line="360" w:lineRule="atLeast"/>
              <w:jc w:val="center"/>
              <w:rPr>
                <w:color w:val="auto"/>
                <w:highlight w:val="none"/>
              </w:rPr>
            </w:pPr>
            <w:r>
              <w:rPr>
                <w:rFonts w:hint="eastAsia"/>
                <w:color w:val="auto"/>
                <w:highlight w:val="none"/>
              </w:rPr>
              <w:t>2</w:t>
            </w:r>
          </w:p>
        </w:tc>
        <w:tc>
          <w:tcPr>
            <w:tcW w:w="1472" w:type="dxa"/>
            <w:shd w:val="clear" w:color="auto" w:fill="FFFFFF"/>
            <w:vAlign w:val="center"/>
          </w:tcPr>
          <w:p w14:paraId="3C4D7E8C">
            <w:pPr>
              <w:pStyle w:val="20"/>
              <w:spacing w:before="0" w:beforeAutospacing="0" w:after="0" w:afterAutospacing="0" w:line="360" w:lineRule="atLeast"/>
              <w:jc w:val="center"/>
              <w:rPr>
                <w:color w:val="auto"/>
                <w:highlight w:val="none"/>
              </w:rPr>
            </w:pPr>
            <w:r>
              <w:rPr>
                <w:rFonts w:hint="eastAsia"/>
                <w:color w:val="auto"/>
                <w:highlight w:val="none"/>
              </w:rPr>
              <w:t>获取招标文件截止时间</w:t>
            </w:r>
          </w:p>
        </w:tc>
        <w:tc>
          <w:tcPr>
            <w:tcW w:w="7296" w:type="dxa"/>
            <w:shd w:val="clear" w:color="auto" w:fill="FFFFFF"/>
            <w:vAlign w:val="center"/>
          </w:tcPr>
          <w:p w14:paraId="397CB202">
            <w:pPr>
              <w:pStyle w:val="20"/>
              <w:spacing w:before="0" w:beforeAutospacing="0" w:after="150" w:afterAutospacing="0" w:line="360" w:lineRule="atLeast"/>
              <w:rPr>
                <w:color w:val="auto"/>
                <w:highlight w:val="none"/>
              </w:rPr>
            </w:pPr>
            <w:r>
              <w:rPr>
                <w:rFonts w:hint="eastAsia"/>
                <w:color w:val="auto"/>
                <w:highlight w:val="none"/>
              </w:rPr>
              <w:t> </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22</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w:t>
            </w:r>
          </w:p>
        </w:tc>
      </w:tr>
      <w:tr w14:paraId="04D0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610D5F64">
            <w:pPr>
              <w:pStyle w:val="20"/>
              <w:spacing w:before="0" w:beforeAutospacing="0" w:after="150" w:afterAutospacing="0" w:line="360" w:lineRule="atLeast"/>
              <w:jc w:val="center"/>
              <w:rPr>
                <w:color w:val="auto"/>
                <w:highlight w:val="none"/>
              </w:rPr>
            </w:pPr>
            <w:r>
              <w:rPr>
                <w:rFonts w:hint="eastAsia"/>
                <w:color w:val="auto"/>
                <w:highlight w:val="none"/>
              </w:rPr>
              <w:t>3</w:t>
            </w:r>
          </w:p>
        </w:tc>
        <w:tc>
          <w:tcPr>
            <w:tcW w:w="1472" w:type="dxa"/>
            <w:shd w:val="clear" w:color="auto" w:fill="FFFFFF"/>
            <w:vAlign w:val="center"/>
          </w:tcPr>
          <w:p w14:paraId="1AD9B7EF">
            <w:pPr>
              <w:pStyle w:val="20"/>
              <w:spacing w:before="0" w:beforeAutospacing="0" w:after="0" w:afterAutospacing="0" w:line="360" w:lineRule="atLeast"/>
              <w:jc w:val="center"/>
              <w:rPr>
                <w:color w:val="auto"/>
                <w:highlight w:val="none"/>
              </w:rPr>
            </w:pPr>
            <w:r>
              <w:rPr>
                <w:rFonts w:hint="eastAsia"/>
                <w:color w:val="auto"/>
                <w:highlight w:val="none"/>
              </w:rPr>
              <w:t>网上提问</w:t>
            </w:r>
          </w:p>
          <w:p w14:paraId="5FDDDDEE">
            <w:pPr>
              <w:pStyle w:val="20"/>
              <w:spacing w:before="0" w:beforeAutospacing="0" w:after="0" w:afterAutospacing="0" w:line="360" w:lineRule="atLeast"/>
              <w:jc w:val="center"/>
              <w:rPr>
                <w:color w:val="auto"/>
                <w:highlight w:val="none"/>
              </w:rPr>
            </w:pPr>
            <w:r>
              <w:rPr>
                <w:rFonts w:hint="eastAsia"/>
                <w:color w:val="auto"/>
                <w:highlight w:val="none"/>
              </w:rPr>
              <w:t>截止时间</w:t>
            </w:r>
          </w:p>
        </w:tc>
        <w:tc>
          <w:tcPr>
            <w:tcW w:w="7296" w:type="dxa"/>
            <w:shd w:val="clear" w:color="auto" w:fill="FFFFFF"/>
            <w:vAlign w:val="center"/>
          </w:tcPr>
          <w:p w14:paraId="02B33C4E">
            <w:pPr>
              <w:pStyle w:val="20"/>
              <w:spacing w:before="0" w:beforeAutospacing="0" w:after="150" w:afterAutospacing="0" w:line="360" w:lineRule="atLeast"/>
              <w:rPr>
                <w:color w:val="auto"/>
                <w:highlight w:val="none"/>
              </w:rPr>
            </w:pPr>
            <w:r>
              <w:rPr>
                <w:rFonts w:hint="eastAsia"/>
                <w:color w:val="auto"/>
                <w:highlight w:val="none"/>
              </w:rPr>
              <w:t> </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12</w:t>
            </w:r>
            <w:r>
              <w:rPr>
                <w:rFonts w:hint="eastAsia"/>
                <w:color w:val="auto"/>
                <w:highlight w:val="none"/>
              </w:rPr>
              <w:t>日</w:t>
            </w:r>
            <w:r>
              <w:rPr>
                <w:rFonts w:hint="eastAsia"/>
                <w:color w:val="auto"/>
                <w:highlight w:val="none"/>
                <w:u w:val="single"/>
              </w:rPr>
              <w:t xml:space="preserve">16 </w:t>
            </w:r>
            <w:r>
              <w:rPr>
                <w:rFonts w:hint="eastAsia"/>
                <w:color w:val="auto"/>
                <w:highlight w:val="none"/>
              </w:rPr>
              <w:t>时</w:t>
            </w:r>
            <w:r>
              <w:rPr>
                <w:rFonts w:hint="eastAsia"/>
                <w:color w:val="auto"/>
                <w:highlight w:val="none"/>
                <w:u w:val="single"/>
              </w:rPr>
              <w:t>00</w:t>
            </w:r>
            <w:r>
              <w:rPr>
                <w:rFonts w:hint="eastAsia"/>
                <w:color w:val="auto"/>
                <w:highlight w:val="none"/>
              </w:rPr>
              <w:t>分</w:t>
            </w:r>
          </w:p>
        </w:tc>
      </w:tr>
      <w:tr w14:paraId="5221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411" w:type="dxa"/>
            <w:shd w:val="clear" w:color="auto" w:fill="FFFFFF"/>
            <w:vAlign w:val="center"/>
          </w:tcPr>
          <w:p w14:paraId="3B85203A">
            <w:pPr>
              <w:pStyle w:val="20"/>
              <w:spacing w:before="0" w:beforeAutospacing="0" w:after="150" w:afterAutospacing="0" w:line="360" w:lineRule="atLeast"/>
              <w:jc w:val="center"/>
              <w:rPr>
                <w:color w:val="auto"/>
                <w:highlight w:val="none"/>
              </w:rPr>
            </w:pPr>
            <w:r>
              <w:rPr>
                <w:rFonts w:hint="eastAsia"/>
                <w:color w:val="auto"/>
                <w:highlight w:val="none"/>
              </w:rPr>
              <w:t>4</w:t>
            </w:r>
          </w:p>
        </w:tc>
        <w:tc>
          <w:tcPr>
            <w:tcW w:w="1472" w:type="dxa"/>
            <w:shd w:val="clear" w:color="auto" w:fill="FFFFFF"/>
            <w:vAlign w:val="center"/>
          </w:tcPr>
          <w:p w14:paraId="007F0028">
            <w:pPr>
              <w:pStyle w:val="20"/>
              <w:spacing w:before="0" w:beforeAutospacing="0" w:after="0" w:afterAutospacing="0" w:line="360" w:lineRule="atLeast"/>
              <w:jc w:val="center"/>
              <w:rPr>
                <w:color w:val="auto"/>
                <w:highlight w:val="none"/>
              </w:rPr>
            </w:pPr>
            <w:r>
              <w:rPr>
                <w:rFonts w:hint="eastAsia"/>
                <w:color w:val="auto"/>
                <w:highlight w:val="none"/>
              </w:rPr>
              <w:t>网上答疑</w:t>
            </w:r>
          </w:p>
          <w:p w14:paraId="3B1D83A1">
            <w:pPr>
              <w:pStyle w:val="20"/>
              <w:spacing w:before="0" w:beforeAutospacing="0" w:after="0" w:afterAutospacing="0" w:line="360" w:lineRule="atLeast"/>
              <w:jc w:val="center"/>
              <w:rPr>
                <w:color w:val="auto"/>
                <w:highlight w:val="none"/>
              </w:rPr>
            </w:pPr>
            <w:r>
              <w:rPr>
                <w:rFonts w:hint="eastAsia"/>
                <w:color w:val="auto"/>
                <w:highlight w:val="none"/>
              </w:rPr>
              <w:t>时间</w:t>
            </w:r>
          </w:p>
        </w:tc>
        <w:tc>
          <w:tcPr>
            <w:tcW w:w="7296" w:type="dxa"/>
            <w:shd w:val="clear" w:color="auto" w:fill="FFFFFF"/>
            <w:vAlign w:val="center"/>
          </w:tcPr>
          <w:p w14:paraId="0EE46CDC">
            <w:pPr>
              <w:pStyle w:val="20"/>
              <w:spacing w:before="0" w:beforeAutospacing="0" w:after="150" w:afterAutospacing="0" w:line="360" w:lineRule="atLeast"/>
              <w:ind w:left="240" w:hanging="240" w:hangingChars="100"/>
              <w:rPr>
                <w:color w:val="auto"/>
                <w:highlight w:val="none"/>
              </w:rPr>
            </w:pPr>
            <w:r>
              <w:rPr>
                <w:rFonts w:hint="eastAsia"/>
                <w:color w:val="auto"/>
                <w:highlight w:val="none"/>
              </w:rPr>
              <w:t> </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12</w:t>
            </w:r>
            <w:r>
              <w:rPr>
                <w:rFonts w:hint="eastAsia"/>
                <w:color w:val="auto"/>
                <w:highlight w:val="none"/>
              </w:rPr>
              <w:t>日</w:t>
            </w:r>
            <w:r>
              <w:rPr>
                <w:rFonts w:hint="eastAsia"/>
                <w:color w:val="auto"/>
                <w:kern w:val="2"/>
                <w:highlight w:val="none"/>
                <w:u w:val="single"/>
              </w:rPr>
              <w:t xml:space="preserve">16 </w:t>
            </w:r>
            <w:r>
              <w:rPr>
                <w:rFonts w:hint="eastAsia"/>
                <w:color w:val="auto"/>
                <w:kern w:val="2"/>
                <w:highlight w:val="none"/>
              </w:rPr>
              <w:t>时</w:t>
            </w:r>
            <w:r>
              <w:rPr>
                <w:rFonts w:hint="eastAsia"/>
                <w:color w:val="auto"/>
                <w:kern w:val="2"/>
                <w:highlight w:val="none"/>
                <w:u w:val="single"/>
              </w:rPr>
              <w:t>30</w:t>
            </w:r>
            <w:r>
              <w:rPr>
                <w:rFonts w:hint="eastAsia"/>
                <w:color w:val="auto"/>
                <w:kern w:val="2"/>
                <w:highlight w:val="none"/>
              </w:rPr>
              <w:t>分至</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15</w:t>
            </w:r>
            <w:r>
              <w:rPr>
                <w:rFonts w:hint="eastAsia"/>
                <w:color w:val="auto"/>
                <w:highlight w:val="none"/>
              </w:rPr>
              <w:t>日</w:t>
            </w:r>
            <w:r>
              <w:rPr>
                <w:rFonts w:hint="eastAsia"/>
                <w:color w:val="auto"/>
                <w:kern w:val="2"/>
                <w:highlight w:val="none"/>
                <w:u w:val="single"/>
              </w:rPr>
              <w:t>16</w:t>
            </w:r>
            <w:r>
              <w:rPr>
                <w:rFonts w:hint="eastAsia"/>
                <w:color w:val="auto"/>
                <w:kern w:val="2"/>
                <w:highlight w:val="none"/>
              </w:rPr>
              <w:t>时</w:t>
            </w:r>
            <w:r>
              <w:rPr>
                <w:rFonts w:hint="eastAsia"/>
                <w:color w:val="auto"/>
                <w:kern w:val="2"/>
                <w:highlight w:val="none"/>
                <w:u w:val="single"/>
              </w:rPr>
              <w:t>00</w:t>
            </w:r>
            <w:r>
              <w:rPr>
                <w:rFonts w:hint="eastAsia"/>
                <w:color w:val="auto"/>
                <w:kern w:val="2"/>
                <w:highlight w:val="none"/>
              </w:rPr>
              <w:t>分</w:t>
            </w:r>
          </w:p>
        </w:tc>
      </w:tr>
      <w:tr w14:paraId="1098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20" w:hRule="atLeast"/>
          <w:jc w:val="center"/>
        </w:trPr>
        <w:tc>
          <w:tcPr>
            <w:tcW w:w="411" w:type="dxa"/>
            <w:shd w:val="clear" w:color="auto" w:fill="FFFFFF"/>
            <w:vAlign w:val="center"/>
          </w:tcPr>
          <w:p w14:paraId="625B9A1E">
            <w:pPr>
              <w:pStyle w:val="20"/>
              <w:spacing w:before="0" w:beforeAutospacing="0" w:after="150" w:afterAutospacing="0" w:line="360" w:lineRule="atLeast"/>
              <w:jc w:val="center"/>
              <w:rPr>
                <w:color w:val="auto"/>
                <w:highlight w:val="none"/>
              </w:rPr>
            </w:pPr>
            <w:r>
              <w:rPr>
                <w:rFonts w:hint="eastAsia"/>
                <w:color w:val="auto"/>
                <w:highlight w:val="none"/>
              </w:rPr>
              <w:t>5</w:t>
            </w:r>
          </w:p>
        </w:tc>
        <w:tc>
          <w:tcPr>
            <w:tcW w:w="1472" w:type="dxa"/>
            <w:shd w:val="clear" w:color="auto" w:fill="FFFFFF"/>
            <w:vAlign w:val="center"/>
          </w:tcPr>
          <w:p w14:paraId="01BAEE19">
            <w:pPr>
              <w:pStyle w:val="20"/>
              <w:spacing w:before="0" w:beforeAutospacing="0" w:after="0" w:afterAutospacing="0" w:line="360" w:lineRule="atLeast"/>
              <w:jc w:val="center"/>
              <w:rPr>
                <w:color w:val="auto"/>
                <w:highlight w:val="none"/>
              </w:rPr>
            </w:pPr>
            <w:r>
              <w:rPr>
                <w:rFonts w:hint="eastAsia"/>
                <w:color w:val="auto"/>
                <w:highlight w:val="none"/>
              </w:rPr>
              <w:t>投标保证缴</w:t>
            </w:r>
          </w:p>
          <w:p w14:paraId="78AC1A21">
            <w:pPr>
              <w:pStyle w:val="20"/>
              <w:spacing w:before="0" w:beforeAutospacing="0" w:after="0" w:afterAutospacing="0" w:line="360" w:lineRule="atLeast"/>
              <w:jc w:val="center"/>
              <w:rPr>
                <w:color w:val="auto"/>
                <w:highlight w:val="none"/>
              </w:rPr>
            </w:pPr>
            <w:r>
              <w:rPr>
                <w:rFonts w:hint="eastAsia"/>
                <w:color w:val="auto"/>
                <w:highlight w:val="none"/>
              </w:rPr>
              <w:t>纳截止时间</w:t>
            </w:r>
          </w:p>
        </w:tc>
        <w:tc>
          <w:tcPr>
            <w:tcW w:w="7296" w:type="dxa"/>
            <w:shd w:val="clear" w:color="auto" w:fill="FFFFFF"/>
            <w:vAlign w:val="center"/>
          </w:tcPr>
          <w:p w14:paraId="567B422F">
            <w:pPr>
              <w:pStyle w:val="20"/>
              <w:spacing w:before="0" w:beforeAutospacing="0" w:after="150" w:afterAutospacing="0" w:line="360" w:lineRule="atLeast"/>
              <w:ind w:firstLine="240" w:firstLineChars="100"/>
              <w:rPr>
                <w:color w:val="auto"/>
                <w:highlight w:val="none"/>
              </w:rPr>
            </w:pPr>
            <w:r>
              <w:rPr>
                <w:rFonts w:hint="eastAsia"/>
                <w:color w:val="auto"/>
                <w:highlight w:val="none"/>
              </w:rPr>
              <w:t>投标保证金到账截止时间：</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21</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w:t>
            </w:r>
          </w:p>
          <w:p w14:paraId="2E6F8E4A">
            <w:pPr>
              <w:pStyle w:val="20"/>
              <w:spacing w:before="0" w:beforeAutospacing="0" w:after="150" w:afterAutospacing="0" w:line="360" w:lineRule="atLeast"/>
              <w:ind w:firstLine="240" w:firstLineChars="100"/>
              <w:rPr>
                <w:color w:val="auto"/>
                <w:highlight w:val="none"/>
              </w:rPr>
            </w:pPr>
            <w:r>
              <w:rPr>
                <w:rFonts w:hint="eastAsia"/>
                <w:color w:val="auto"/>
                <w:highlight w:val="none"/>
              </w:rPr>
              <w:t>投标保证担保办理截止时间：</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21</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w:t>
            </w:r>
          </w:p>
          <w:p w14:paraId="7936C66D">
            <w:pPr>
              <w:pStyle w:val="20"/>
              <w:spacing w:before="0" w:beforeAutospacing="0" w:after="150" w:afterAutospacing="0" w:line="360" w:lineRule="atLeast"/>
              <w:ind w:firstLine="240" w:firstLineChars="100"/>
              <w:rPr>
                <w:color w:val="auto"/>
                <w:highlight w:val="none"/>
              </w:rPr>
            </w:pPr>
            <w:r>
              <w:rPr>
                <w:rFonts w:hint="eastAsia"/>
                <w:snapToGrid w:val="0"/>
                <w:color w:val="auto"/>
                <w:highlight w:val="none"/>
              </w:rPr>
              <w:t>投标保证保险投保截止时间：</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21</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w:t>
            </w:r>
            <w:r>
              <w:rPr>
                <w:rFonts w:hint="eastAsia"/>
                <w:snapToGrid w:val="0"/>
                <w:color w:val="auto"/>
                <w:highlight w:val="none"/>
              </w:rPr>
              <w:t>。</w:t>
            </w:r>
            <w:bookmarkStart w:id="238" w:name="_GoBack"/>
            <w:bookmarkEnd w:id="238"/>
          </w:p>
        </w:tc>
      </w:tr>
      <w:tr w14:paraId="2657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50" w:hRule="atLeast"/>
          <w:jc w:val="center"/>
        </w:trPr>
        <w:tc>
          <w:tcPr>
            <w:tcW w:w="411" w:type="dxa"/>
            <w:shd w:val="clear" w:color="auto" w:fill="FFFFFF"/>
            <w:vAlign w:val="center"/>
          </w:tcPr>
          <w:p w14:paraId="20E40634">
            <w:pPr>
              <w:pStyle w:val="20"/>
              <w:spacing w:before="0" w:beforeAutospacing="0" w:after="150" w:afterAutospacing="0" w:line="360" w:lineRule="atLeast"/>
              <w:jc w:val="center"/>
              <w:rPr>
                <w:color w:val="auto"/>
                <w:highlight w:val="none"/>
              </w:rPr>
            </w:pPr>
            <w:r>
              <w:rPr>
                <w:rFonts w:hint="eastAsia"/>
                <w:color w:val="auto"/>
                <w:highlight w:val="none"/>
              </w:rPr>
              <w:t>6</w:t>
            </w:r>
          </w:p>
        </w:tc>
        <w:tc>
          <w:tcPr>
            <w:tcW w:w="1472" w:type="dxa"/>
            <w:shd w:val="clear" w:color="auto" w:fill="FFFFFF"/>
            <w:vAlign w:val="center"/>
          </w:tcPr>
          <w:p w14:paraId="06833E62">
            <w:pPr>
              <w:pStyle w:val="20"/>
              <w:spacing w:before="0" w:beforeAutospacing="0" w:after="0" w:afterAutospacing="0" w:line="360" w:lineRule="atLeast"/>
              <w:jc w:val="center"/>
              <w:rPr>
                <w:color w:val="auto"/>
                <w:highlight w:val="none"/>
              </w:rPr>
            </w:pPr>
            <w:r>
              <w:rPr>
                <w:rFonts w:hint="eastAsia"/>
                <w:color w:val="auto"/>
                <w:highlight w:val="none"/>
              </w:rPr>
              <w:t>电子投标</w:t>
            </w:r>
          </w:p>
          <w:p w14:paraId="6EF623C7">
            <w:pPr>
              <w:pStyle w:val="20"/>
              <w:spacing w:before="0" w:beforeAutospacing="0" w:after="0" w:afterAutospacing="0" w:line="360" w:lineRule="atLeast"/>
              <w:jc w:val="center"/>
              <w:rPr>
                <w:color w:val="auto"/>
                <w:highlight w:val="none"/>
              </w:rPr>
            </w:pPr>
            <w:r>
              <w:rPr>
                <w:rFonts w:hint="eastAsia"/>
                <w:color w:val="auto"/>
                <w:highlight w:val="none"/>
              </w:rPr>
              <w:t>截止时间</w:t>
            </w:r>
          </w:p>
        </w:tc>
        <w:tc>
          <w:tcPr>
            <w:tcW w:w="7296" w:type="dxa"/>
            <w:shd w:val="clear" w:color="auto" w:fill="FFFFFF"/>
            <w:vAlign w:val="center"/>
          </w:tcPr>
          <w:p w14:paraId="1AA561A7">
            <w:pPr>
              <w:pStyle w:val="20"/>
              <w:spacing w:before="0" w:beforeAutospacing="0" w:after="150" w:afterAutospacing="0" w:line="360" w:lineRule="atLeast"/>
              <w:rPr>
                <w:color w:val="auto"/>
                <w:sz w:val="24"/>
                <w:szCs w:val="24"/>
                <w:highlight w:val="none"/>
              </w:rPr>
            </w:pPr>
            <w:r>
              <w:rPr>
                <w:rFonts w:hint="eastAsia"/>
                <w:color w:val="auto"/>
                <w:sz w:val="24"/>
                <w:szCs w:val="24"/>
                <w:highlight w:val="none"/>
              </w:rPr>
              <w:t> </w:t>
            </w:r>
            <w:r>
              <w:rPr>
                <w:rFonts w:hint="eastAsia" w:ascii="宋体" w:hAnsi="宋体" w:eastAsia="宋体" w:cs="宋体"/>
                <w:color w:val="auto"/>
                <w:kern w:val="0"/>
                <w:sz w:val="24"/>
                <w:szCs w:val="24"/>
                <w:highlight w:val="none"/>
                <w:lang w:val="en-US" w:eastAsia="zh-CN" w:bidi="ar-SA"/>
              </w:rPr>
              <w:t>2025年10月22日10时30分</w:t>
            </w:r>
          </w:p>
        </w:tc>
      </w:tr>
      <w:tr w14:paraId="6940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411" w:type="dxa"/>
            <w:shd w:val="clear" w:color="auto" w:fill="FFFFFF"/>
            <w:vAlign w:val="center"/>
          </w:tcPr>
          <w:p w14:paraId="10943642">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7</w:t>
            </w:r>
          </w:p>
        </w:tc>
        <w:tc>
          <w:tcPr>
            <w:tcW w:w="1472" w:type="dxa"/>
            <w:shd w:val="clear" w:color="auto" w:fill="FFFFFF"/>
            <w:vAlign w:val="center"/>
          </w:tcPr>
          <w:p w14:paraId="2856814A">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投标相关资料（如有）</w:t>
            </w:r>
          </w:p>
          <w:p w14:paraId="6707072D">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递交时间</w:t>
            </w:r>
          </w:p>
        </w:tc>
        <w:tc>
          <w:tcPr>
            <w:tcW w:w="7296" w:type="dxa"/>
            <w:shd w:val="clear" w:color="auto" w:fill="FFFFFF"/>
            <w:vAlign w:val="center"/>
          </w:tcPr>
          <w:p w14:paraId="2508DD20">
            <w:pPr>
              <w:pStyle w:val="31"/>
              <w:wordWrap w:val="0"/>
              <w:adjustRightInd w:val="0"/>
              <w:snapToGrid w:val="0"/>
              <w:spacing w:line="400" w:lineRule="exac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bidi="ar-SA"/>
              </w:rPr>
              <w:t>2025年10月22日10时00分</w:t>
            </w:r>
            <w:r>
              <w:rPr>
                <w:rFonts w:hint="eastAsia" w:ascii="宋体" w:hAnsi="宋体" w:eastAsia="宋体" w:cs="宋体"/>
                <w:color w:val="auto"/>
                <w:sz w:val="24"/>
                <w:szCs w:val="24"/>
                <w:highlight w:val="none"/>
              </w:rPr>
              <w:t>至</w:t>
            </w:r>
            <w:r>
              <w:rPr>
                <w:rFonts w:hint="eastAsia" w:ascii="宋体" w:hAnsi="宋体" w:eastAsia="宋体" w:cs="宋体"/>
                <w:color w:val="auto"/>
                <w:kern w:val="0"/>
                <w:sz w:val="24"/>
                <w:szCs w:val="24"/>
                <w:highlight w:val="none"/>
                <w:lang w:val="en-US" w:eastAsia="zh-CN" w:bidi="ar-SA"/>
              </w:rPr>
              <w:t>2025年10月22日10时30分</w:t>
            </w:r>
          </w:p>
        </w:tc>
      </w:tr>
      <w:tr w14:paraId="423E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77" w:hRule="atLeast"/>
          <w:jc w:val="center"/>
        </w:trPr>
        <w:tc>
          <w:tcPr>
            <w:tcW w:w="411" w:type="dxa"/>
            <w:shd w:val="clear" w:color="auto" w:fill="FFFFFF"/>
            <w:vAlign w:val="center"/>
          </w:tcPr>
          <w:p w14:paraId="638BA0E1">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8</w:t>
            </w:r>
          </w:p>
        </w:tc>
        <w:tc>
          <w:tcPr>
            <w:tcW w:w="1472" w:type="dxa"/>
            <w:shd w:val="clear" w:color="auto" w:fill="FFFFFF"/>
            <w:vAlign w:val="center"/>
          </w:tcPr>
          <w:p w14:paraId="311EBD91">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投标相关资料（如有）</w:t>
            </w:r>
          </w:p>
          <w:p w14:paraId="18A6888A">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递交地点</w:t>
            </w:r>
          </w:p>
        </w:tc>
        <w:tc>
          <w:tcPr>
            <w:tcW w:w="7296" w:type="dxa"/>
            <w:shd w:val="clear" w:color="auto" w:fill="FFFFFF"/>
            <w:vAlign w:val="center"/>
          </w:tcPr>
          <w:p w14:paraId="46AE8CCD">
            <w:pPr>
              <w:pStyle w:val="31"/>
              <w:wordWrap w:val="0"/>
              <w:adjustRightInd w:val="0"/>
              <w:snapToGrid w:val="0"/>
              <w:spacing w:line="400" w:lineRule="exact"/>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递交场所：</w:t>
            </w:r>
            <w:r>
              <w:rPr>
                <w:rFonts w:hint="eastAsia" w:ascii="宋体" w:hAnsi="宋体" w:cs="宋体"/>
                <w:color w:val="auto"/>
                <w:sz w:val="24"/>
                <w:highlight w:val="none"/>
                <w:u w:val="single"/>
              </w:rPr>
              <w:t>韶关市公共资源交易中心翁源分中心</w:t>
            </w:r>
            <w:r>
              <w:rPr>
                <w:rFonts w:hint="eastAsia" w:ascii="宋体" w:hAnsi="宋体" w:cs="宋体"/>
                <w:color w:val="auto"/>
                <w:sz w:val="24"/>
                <w:highlight w:val="none"/>
              </w:rPr>
              <w:t>，地址：</w:t>
            </w:r>
            <w:r>
              <w:rPr>
                <w:rFonts w:hint="eastAsia" w:ascii="宋体" w:hAnsi="宋体" w:cs="宋体"/>
                <w:color w:val="auto"/>
                <w:sz w:val="24"/>
                <w:highlight w:val="none"/>
                <w:u w:val="single"/>
              </w:rPr>
              <w:t>翁源县龙仙镇朝阳路63号韶关市公共资源交易中心翁源分中心</w:t>
            </w:r>
            <w:r>
              <w:rPr>
                <w:rFonts w:hint="eastAsia" w:ascii="宋体" w:hAnsi="宋体" w:cs="宋体"/>
                <w:color w:val="auto"/>
                <w:sz w:val="24"/>
                <w:highlight w:val="none"/>
              </w:rPr>
              <w:t>，具体房间号以当日现场通知为准。</w:t>
            </w:r>
          </w:p>
        </w:tc>
      </w:tr>
      <w:tr w14:paraId="45FF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411" w:type="dxa"/>
            <w:shd w:val="clear" w:color="auto" w:fill="FFFFFF"/>
            <w:vAlign w:val="center"/>
          </w:tcPr>
          <w:p w14:paraId="06279585">
            <w:pPr>
              <w:pStyle w:val="20"/>
              <w:spacing w:before="0" w:beforeAutospacing="0" w:after="150" w:afterAutospacing="0" w:line="360" w:lineRule="atLeast"/>
              <w:jc w:val="center"/>
              <w:rPr>
                <w:color w:val="auto"/>
                <w:highlight w:val="none"/>
              </w:rPr>
            </w:pPr>
            <w:r>
              <w:rPr>
                <w:rFonts w:hint="eastAsia"/>
                <w:color w:val="auto"/>
                <w:highlight w:val="none"/>
              </w:rPr>
              <w:t>9</w:t>
            </w:r>
          </w:p>
        </w:tc>
        <w:tc>
          <w:tcPr>
            <w:tcW w:w="1472" w:type="dxa"/>
            <w:shd w:val="clear" w:color="auto" w:fill="FFFFFF"/>
            <w:vAlign w:val="center"/>
          </w:tcPr>
          <w:p w14:paraId="68E65455">
            <w:pPr>
              <w:pStyle w:val="20"/>
              <w:spacing w:before="0" w:beforeAutospacing="0" w:after="0" w:afterAutospacing="0" w:line="360" w:lineRule="atLeast"/>
              <w:jc w:val="center"/>
              <w:rPr>
                <w:color w:val="auto"/>
                <w:highlight w:val="none"/>
              </w:rPr>
            </w:pPr>
            <w:r>
              <w:rPr>
                <w:rFonts w:hint="eastAsia"/>
                <w:color w:val="auto"/>
                <w:highlight w:val="none"/>
              </w:rPr>
              <w:t>开标时间</w:t>
            </w:r>
          </w:p>
        </w:tc>
        <w:tc>
          <w:tcPr>
            <w:tcW w:w="7296" w:type="dxa"/>
            <w:shd w:val="clear" w:color="auto" w:fill="FFFFFF"/>
            <w:vAlign w:val="center"/>
          </w:tcPr>
          <w:p w14:paraId="49E86854">
            <w:pPr>
              <w:pStyle w:val="20"/>
              <w:spacing w:before="0" w:beforeAutospacing="0" w:after="150" w:afterAutospacing="0" w:line="360" w:lineRule="atLeast"/>
              <w:rPr>
                <w:color w:val="auto"/>
                <w:highlight w:val="none"/>
              </w:rPr>
            </w:pPr>
            <w:r>
              <w:rPr>
                <w:rFonts w:hint="eastAsia"/>
                <w:color w:val="auto"/>
                <w:highlight w:val="none"/>
              </w:rPr>
              <w:t> </w:t>
            </w:r>
            <w:r>
              <w:rPr>
                <w:rFonts w:hint="eastAsia"/>
                <w:color w:val="auto"/>
                <w:highlight w:val="none"/>
                <w:u w:val="single"/>
                <w:lang w:val="en-US" w:eastAsia="zh-CN"/>
              </w:rPr>
              <w:t>2025</w:t>
            </w:r>
            <w:r>
              <w:rPr>
                <w:rFonts w:hint="eastAsia"/>
                <w:color w:val="auto"/>
                <w:highlight w:val="none"/>
              </w:rPr>
              <w:t>年</w:t>
            </w:r>
            <w:r>
              <w:rPr>
                <w:rFonts w:hint="eastAsia"/>
                <w:color w:val="auto"/>
                <w:highlight w:val="none"/>
                <w:u w:val="single"/>
                <w:lang w:val="en-US" w:eastAsia="zh-CN"/>
              </w:rPr>
              <w:t>10</w:t>
            </w:r>
            <w:r>
              <w:rPr>
                <w:rFonts w:hint="eastAsia"/>
                <w:color w:val="auto"/>
                <w:highlight w:val="none"/>
              </w:rPr>
              <w:t>月</w:t>
            </w:r>
            <w:r>
              <w:rPr>
                <w:rFonts w:hint="eastAsia"/>
                <w:color w:val="auto"/>
                <w:highlight w:val="none"/>
                <w:u w:val="single"/>
                <w:lang w:val="en-US" w:eastAsia="zh-CN"/>
              </w:rPr>
              <w:t>22</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w:t>
            </w:r>
          </w:p>
        </w:tc>
      </w:tr>
      <w:tr w14:paraId="1978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85" w:hRule="atLeast"/>
          <w:jc w:val="center"/>
        </w:trPr>
        <w:tc>
          <w:tcPr>
            <w:tcW w:w="411" w:type="dxa"/>
            <w:shd w:val="clear" w:color="auto" w:fill="FFFFFF"/>
            <w:vAlign w:val="center"/>
          </w:tcPr>
          <w:p w14:paraId="40A87280">
            <w:pPr>
              <w:pStyle w:val="20"/>
              <w:spacing w:before="0" w:beforeAutospacing="0" w:after="150" w:afterAutospacing="0" w:line="360" w:lineRule="atLeast"/>
              <w:jc w:val="center"/>
              <w:rPr>
                <w:color w:val="auto"/>
                <w:highlight w:val="none"/>
              </w:rPr>
            </w:pPr>
            <w:r>
              <w:rPr>
                <w:rFonts w:hint="eastAsia"/>
                <w:color w:val="auto"/>
                <w:highlight w:val="none"/>
              </w:rPr>
              <w:t>10</w:t>
            </w:r>
          </w:p>
        </w:tc>
        <w:tc>
          <w:tcPr>
            <w:tcW w:w="1472" w:type="dxa"/>
            <w:shd w:val="clear" w:color="auto" w:fill="FFFFFF"/>
            <w:vAlign w:val="center"/>
          </w:tcPr>
          <w:p w14:paraId="3EB25A42">
            <w:pPr>
              <w:pStyle w:val="20"/>
              <w:spacing w:before="0" w:beforeAutospacing="0" w:after="0" w:afterAutospacing="0" w:line="360" w:lineRule="atLeast"/>
              <w:jc w:val="center"/>
              <w:rPr>
                <w:color w:val="auto"/>
                <w:highlight w:val="none"/>
              </w:rPr>
            </w:pPr>
            <w:r>
              <w:rPr>
                <w:rFonts w:hint="eastAsia"/>
                <w:color w:val="auto"/>
                <w:highlight w:val="none"/>
              </w:rPr>
              <w:t>开标地点</w:t>
            </w:r>
          </w:p>
        </w:tc>
        <w:tc>
          <w:tcPr>
            <w:tcW w:w="7296" w:type="dxa"/>
            <w:shd w:val="clear" w:color="auto" w:fill="FFFFFF"/>
            <w:vAlign w:val="center"/>
          </w:tcPr>
          <w:p w14:paraId="14AD92E7">
            <w:pPr>
              <w:pStyle w:val="20"/>
              <w:spacing w:before="0" w:beforeAutospacing="0" w:after="150" w:afterAutospacing="0" w:line="360" w:lineRule="atLeast"/>
              <w:ind w:firstLine="210"/>
              <w:rPr>
                <w:color w:val="auto"/>
                <w:highlight w:val="none"/>
              </w:rPr>
            </w:pPr>
            <w:r>
              <w:rPr>
                <w:rFonts w:hint="eastAsia"/>
                <w:color w:val="auto"/>
                <w:kern w:val="2"/>
                <w:highlight w:val="none"/>
              </w:rPr>
              <w:t>开标场所：</w:t>
            </w:r>
            <w:r>
              <w:rPr>
                <w:rFonts w:hint="eastAsia"/>
                <w:color w:val="auto"/>
                <w:kern w:val="2"/>
                <w:highlight w:val="none"/>
                <w:u w:val="single"/>
              </w:rPr>
              <w:t>韶关市公共资源交易中心翁源分中心</w:t>
            </w:r>
            <w:r>
              <w:rPr>
                <w:rFonts w:hint="eastAsia"/>
                <w:color w:val="auto"/>
                <w:kern w:val="2"/>
                <w:highlight w:val="none"/>
              </w:rPr>
              <w:t>，地址：</w:t>
            </w:r>
            <w:r>
              <w:rPr>
                <w:rFonts w:hint="eastAsia"/>
                <w:color w:val="auto"/>
                <w:kern w:val="2"/>
                <w:highlight w:val="none"/>
                <w:u w:val="single"/>
              </w:rPr>
              <w:t>翁源县龙仙镇朝阳路63号韶关市公共资源交易中心翁源分中心</w:t>
            </w:r>
            <w:r>
              <w:rPr>
                <w:rFonts w:hint="eastAsia"/>
                <w:color w:val="auto"/>
                <w:kern w:val="2"/>
                <w:highlight w:val="none"/>
              </w:rPr>
              <w:t>，具体房间号以当日现场通知为准。</w:t>
            </w:r>
          </w:p>
        </w:tc>
      </w:tr>
      <w:tr w14:paraId="2C43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411" w:type="dxa"/>
            <w:shd w:val="clear" w:color="auto" w:fill="FFFFFF"/>
            <w:vAlign w:val="center"/>
          </w:tcPr>
          <w:p w14:paraId="6E3E97AF">
            <w:pPr>
              <w:pStyle w:val="20"/>
              <w:spacing w:before="0" w:beforeAutospacing="0" w:after="150" w:afterAutospacing="0" w:line="360" w:lineRule="atLeast"/>
              <w:jc w:val="center"/>
              <w:rPr>
                <w:color w:val="auto"/>
                <w:highlight w:val="none"/>
              </w:rPr>
            </w:pPr>
            <w:r>
              <w:rPr>
                <w:rFonts w:hint="eastAsia"/>
                <w:color w:val="auto"/>
                <w:highlight w:val="none"/>
              </w:rPr>
              <w:t>11</w:t>
            </w:r>
          </w:p>
        </w:tc>
        <w:tc>
          <w:tcPr>
            <w:tcW w:w="1472" w:type="dxa"/>
            <w:shd w:val="clear" w:color="auto" w:fill="FFFFFF"/>
            <w:vAlign w:val="center"/>
          </w:tcPr>
          <w:p w14:paraId="5B2BB76D">
            <w:pPr>
              <w:pStyle w:val="31"/>
              <w:wordWrap w:val="0"/>
              <w:adjustRightInd w:val="0"/>
              <w:snapToGrid w:val="0"/>
              <w:spacing w:line="3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其他</w:t>
            </w:r>
          </w:p>
        </w:tc>
        <w:tc>
          <w:tcPr>
            <w:tcW w:w="7296" w:type="dxa"/>
            <w:shd w:val="clear" w:color="auto" w:fill="FFFFFF"/>
            <w:vAlign w:val="center"/>
          </w:tcPr>
          <w:p w14:paraId="5AD2BB58">
            <w:pPr>
              <w:pStyle w:val="31"/>
              <w:wordWrap w:val="0"/>
              <w:adjustRightInd w:val="0"/>
              <w:snapToGrid w:val="0"/>
              <w:spacing w:line="400" w:lineRule="exact"/>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0D96A6FF">
      <w:pPr>
        <w:pStyle w:val="24"/>
        <w:rPr>
          <w:color w:val="auto"/>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5284301B">
      <w:pPr>
        <w:pStyle w:val="3"/>
        <w:rPr>
          <w:b/>
          <w:bCs/>
          <w:color w:val="auto"/>
          <w:highlight w:val="none"/>
        </w:rPr>
      </w:pPr>
      <w:bookmarkStart w:id="10" w:name="_Hlt87793819"/>
      <w:bookmarkEnd w:id="10"/>
      <w:bookmarkStart w:id="11" w:name="_Toc29916"/>
      <w:bookmarkStart w:id="12" w:name="_Toc12738"/>
      <w:bookmarkStart w:id="13" w:name="_Hlt69698705"/>
      <w:bookmarkStart w:id="14" w:name="_Hlt69698754"/>
      <w:r>
        <w:rPr>
          <w:rFonts w:hint="eastAsia"/>
          <w:b/>
          <w:bCs/>
          <w:color w:val="auto"/>
          <w:highlight w:val="none"/>
        </w:rPr>
        <w:t>第三节 投标人须知</w:t>
      </w:r>
      <w:bookmarkStart w:id="15" w:name="_Hlt69669159"/>
      <w:bookmarkEnd w:id="15"/>
      <w:r>
        <w:rPr>
          <w:rFonts w:hint="eastAsia"/>
          <w:b/>
          <w:bCs/>
          <w:color w:val="auto"/>
          <w:highlight w:val="none"/>
        </w:rPr>
        <w:t>正文</w:t>
      </w:r>
      <w:bookmarkEnd w:id="11"/>
      <w:bookmarkEnd w:id="12"/>
    </w:p>
    <w:bookmarkEnd w:id="13"/>
    <w:bookmarkEnd w:id="14"/>
    <w:p w14:paraId="52CC6EE9">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ascii="Times New Roman"/>
          <w:b/>
          <w:snapToGrid w:val="0"/>
          <w:color w:val="auto"/>
          <w:highlight w:val="none"/>
        </w:rPr>
      </w:pPr>
      <w:r>
        <w:rPr>
          <w:rFonts w:hint="eastAsia" w:hAnsi="宋体" w:cs="宋体"/>
          <w:snapToGrid w:val="0"/>
          <w:color w:val="auto"/>
          <w:kern w:val="0"/>
          <w:highlight w:val="none"/>
          <w:u w:val="single"/>
          <w:lang w:eastAsia="zh-CN"/>
        </w:rPr>
        <w:t>翁源县典型镇（翁城镇、官渡镇）污水管网补短板项目-子项目一：翁源县典型镇（翁城镇）污水管网补短板项目施工监理</w:t>
      </w:r>
      <w:r>
        <w:rPr>
          <w:rFonts w:hint="eastAsia" w:hAnsi="宋体" w:cs="宋体"/>
          <w:color w:val="auto"/>
          <w:kern w:val="0"/>
          <w:szCs w:val="22"/>
          <w:highlight w:val="none"/>
          <w:u w:val="single"/>
        </w:rPr>
        <w:t>经翁源县发展和改革局</w:t>
      </w:r>
      <w:r>
        <w:rPr>
          <w:rFonts w:ascii="宋体" w:hAnsi="宋体" w:cs="宋体"/>
          <w:color w:val="auto"/>
          <w:szCs w:val="21"/>
          <w:highlight w:val="none"/>
          <w:u w:val="single"/>
        </w:rPr>
        <w:t>以</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关于翁源县典型镇（翁城镇、</w:t>
      </w:r>
      <w:r>
        <w:rPr>
          <w:rFonts w:hint="eastAsia" w:hAnsi="宋体" w:cs="宋体"/>
          <w:color w:val="auto"/>
          <w:szCs w:val="21"/>
          <w:highlight w:val="none"/>
          <w:u w:val="single"/>
          <w:lang w:val="en-US" w:eastAsia="zh-CN"/>
        </w:rPr>
        <w:t>官渡</w:t>
      </w:r>
      <w:r>
        <w:rPr>
          <w:rFonts w:hint="eastAsia" w:ascii="宋体" w:hAnsi="宋体" w:cs="宋体"/>
          <w:color w:val="auto"/>
          <w:szCs w:val="21"/>
          <w:highlight w:val="none"/>
          <w:u w:val="single"/>
          <w:lang w:val="en-US" w:eastAsia="zh-CN"/>
        </w:rPr>
        <w:t>镇）污水管网补短板项目可行性研究报告的批复</w:t>
      </w:r>
      <w:r>
        <w:rPr>
          <w:rFonts w:hint="eastAsia" w:ascii="宋体" w:hAnsi="宋体" w:cs="宋体"/>
          <w:color w:val="auto"/>
          <w:szCs w:val="21"/>
          <w:highlight w:val="none"/>
          <w:u w:val="single"/>
        </w:rPr>
        <w:t>》（</w:t>
      </w:r>
      <w:r>
        <w:rPr>
          <w:rFonts w:hint="eastAsia" w:hAnsi="宋体" w:cs="Calibri"/>
          <w:bCs/>
          <w:color w:val="auto"/>
          <w:szCs w:val="21"/>
          <w:highlight w:val="none"/>
          <w:u w:val="single"/>
        </w:rPr>
        <w:t>翁</w:t>
      </w:r>
      <w:r>
        <w:rPr>
          <w:rFonts w:hint="eastAsia" w:ascii="宋体" w:hAnsi="宋体" w:cs="Calibri"/>
          <w:bCs/>
          <w:color w:val="auto"/>
          <w:szCs w:val="21"/>
          <w:highlight w:val="none"/>
          <w:u w:val="single"/>
        </w:rPr>
        <w:t>发改投审〔202</w:t>
      </w:r>
      <w:r>
        <w:rPr>
          <w:rFonts w:hint="eastAsia" w:ascii="宋体" w:hAnsi="宋体" w:cs="Calibri"/>
          <w:bCs/>
          <w:color w:val="auto"/>
          <w:szCs w:val="21"/>
          <w:highlight w:val="none"/>
          <w:u w:val="single"/>
          <w:lang w:val="en-US" w:eastAsia="zh-CN"/>
        </w:rPr>
        <w:t>5</w:t>
      </w:r>
      <w:r>
        <w:rPr>
          <w:rFonts w:hint="eastAsia" w:ascii="宋体" w:hAnsi="宋体" w:cs="Calibri"/>
          <w:bCs/>
          <w:color w:val="auto"/>
          <w:szCs w:val="21"/>
          <w:highlight w:val="none"/>
          <w:u w:val="single"/>
        </w:rPr>
        <w:t>〕</w:t>
      </w:r>
      <w:r>
        <w:rPr>
          <w:rFonts w:hint="eastAsia" w:ascii="宋体" w:hAnsi="宋体" w:cs="Calibri"/>
          <w:bCs/>
          <w:color w:val="auto"/>
          <w:szCs w:val="21"/>
          <w:highlight w:val="none"/>
          <w:u w:val="single"/>
          <w:lang w:val="en-US" w:eastAsia="zh-CN"/>
        </w:rPr>
        <w:t>14</w:t>
      </w:r>
      <w:r>
        <w:rPr>
          <w:rFonts w:hint="eastAsia" w:ascii="宋体" w:hAnsi="宋体" w:cs="Calibri"/>
          <w:bCs/>
          <w:color w:val="auto"/>
          <w:szCs w:val="21"/>
          <w:highlight w:val="none"/>
          <w:u w:val="single"/>
        </w:rPr>
        <w:t>号</w:t>
      </w:r>
      <w:r>
        <w:rPr>
          <w:rFonts w:hint="eastAsia" w:ascii="宋体" w:hAnsi="宋体" w:cs="宋体"/>
          <w:color w:val="auto"/>
          <w:szCs w:val="21"/>
          <w:highlight w:val="none"/>
          <w:u w:val="single"/>
        </w:rPr>
        <w:t>）</w:t>
      </w:r>
      <w:r>
        <w:rPr>
          <w:rFonts w:hint="eastAsia" w:hAnsi="宋体" w:cs="宋体"/>
          <w:color w:val="auto"/>
          <w:kern w:val="0"/>
          <w:szCs w:val="22"/>
          <w:highlight w:val="none"/>
        </w:rPr>
        <w:t>文批准建设，项目代码为</w:t>
      </w:r>
      <w:r>
        <w:rPr>
          <w:rFonts w:hint="eastAsia" w:hAnsi="宋体" w:cs="宋体"/>
          <w:color w:val="auto"/>
          <w:kern w:val="0"/>
          <w:szCs w:val="22"/>
          <w:highlight w:val="none"/>
          <w:u w:val="single"/>
          <w:lang w:eastAsia="zh-CN"/>
        </w:rPr>
        <w:t>2504-440229-04-01-175249</w:t>
      </w:r>
      <w:r>
        <w:rPr>
          <w:rFonts w:hint="eastAsia" w:hAnsi="宋体" w:cs="宋体"/>
          <w:color w:val="auto"/>
          <w:kern w:val="0"/>
          <w:szCs w:val="22"/>
          <w:highlight w:val="none"/>
        </w:rPr>
        <w:t>。本项目业主为</w:t>
      </w:r>
      <w:r>
        <w:rPr>
          <w:rFonts w:hint="eastAsia" w:hAnsi="宋体" w:cs="宋体"/>
          <w:color w:val="auto"/>
          <w:kern w:val="0"/>
          <w:szCs w:val="22"/>
          <w:highlight w:val="none"/>
          <w:u w:val="single"/>
          <w:lang w:val="en-US" w:eastAsia="zh-CN"/>
        </w:rPr>
        <w:t>翁源县翁城镇人民政府</w:t>
      </w:r>
      <w:r>
        <w:rPr>
          <w:rFonts w:hint="eastAsia" w:hAnsi="宋体" w:cs="宋体"/>
          <w:color w:val="auto"/>
          <w:kern w:val="0"/>
          <w:szCs w:val="22"/>
          <w:highlight w:val="none"/>
        </w:rPr>
        <w:t>，建设资金来</w:t>
      </w:r>
      <w:r>
        <w:rPr>
          <w:rFonts w:hint="eastAsia" w:hAnsi="宋体" w:cs="宋体"/>
          <w:color w:val="auto"/>
          <w:kern w:val="0"/>
          <w:szCs w:val="22"/>
          <w:highlight w:val="none"/>
          <w:lang w:val="en-US" w:eastAsia="zh-CN"/>
        </w:rPr>
        <w:t>源：</w:t>
      </w:r>
      <w:r>
        <w:rPr>
          <w:rFonts w:hint="eastAsia" w:hAnsi="宋体" w:cs="宋体"/>
          <w:color w:val="auto"/>
          <w:kern w:val="0"/>
          <w:szCs w:val="22"/>
          <w:highlight w:val="none"/>
          <w:u w:val="single"/>
          <w:lang w:val="en-US" w:eastAsia="zh-CN"/>
        </w:rPr>
        <w:t>申请上级资金安排解决、不足部分由地方统筹解决</w:t>
      </w:r>
      <w:r>
        <w:rPr>
          <w:rFonts w:hint="eastAsia" w:hAnsi="宋体" w:cs="宋体"/>
          <w:color w:val="auto"/>
          <w:kern w:val="0"/>
          <w:szCs w:val="22"/>
          <w:highlight w:val="none"/>
        </w:rPr>
        <w:t>，</w:t>
      </w:r>
      <w:r>
        <w:rPr>
          <w:rFonts w:hint="eastAsia" w:hAnsi="宋体" w:cs="宋体"/>
          <w:snapToGrid w:val="0"/>
          <w:color w:val="auto"/>
          <w:kern w:val="0"/>
          <w:highlight w:val="none"/>
        </w:rPr>
        <w:t>出资比例为</w:t>
      </w:r>
      <w:r>
        <w:rPr>
          <w:rFonts w:hint="eastAsia" w:hAnsi="宋体" w:cs="宋体"/>
          <w:snapToGrid w:val="0"/>
          <w:color w:val="auto"/>
          <w:kern w:val="0"/>
          <w:highlight w:val="none"/>
          <w:u w:val="single"/>
        </w:rPr>
        <w:t>100%</w:t>
      </w:r>
      <w:r>
        <w:rPr>
          <w:rFonts w:hint="eastAsia" w:hAnsi="宋体" w:cs="宋体"/>
          <w:snapToGrid w:val="0"/>
          <w:color w:val="auto"/>
          <w:kern w:val="0"/>
          <w:highlight w:val="none"/>
        </w:rPr>
        <w:t>，</w:t>
      </w:r>
      <w:r>
        <w:rPr>
          <w:rFonts w:hint="eastAsia" w:hAnsi="宋体" w:cs="宋体"/>
          <w:color w:val="auto"/>
          <w:kern w:val="0"/>
          <w:szCs w:val="22"/>
          <w:highlight w:val="none"/>
        </w:rPr>
        <w:t>招标人为</w:t>
      </w:r>
      <w:r>
        <w:rPr>
          <w:rFonts w:hint="eastAsia" w:hAnsi="宋体" w:cs="宋体"/>
          <w:color w:val="auto"/>
          <w:kern w:val="0"/>
          <w:sz w:val="24"/>
          <w:szCs w:val="22"/>
          <w:highlight w:val="none"/>
          <w:u w:val="single"/>
          <w:lang w:eastAsia="zh-CN"/>
        </w:rPr>
        <w:t>翁源县公共资产管理中心</w:t>
      </w:r>
      <w:r>
        <w:rPr>
          <w:rFonts w:hint="eastAsia" w:hAnsi="宋体" w:cs="宋体"/>
          <w:color w:val="auto"/>
          <w:kern w:val="0"/>
          <w:szCs w:val="22"/>
          <w:highlight w:val="none"/>
        </w:rPr>
        <w:t>，</w:t>
      </w:r>
      <w:r>
        <w:rPr>
          <w:rFonts w:hint="eastAsia" w:hAnsi="宋体" w:cs="宋体"/>
          <w:snapToGrid w:val="0"/>
          <w:color w:val="auto"/>
          <w:kern w:val="0"/>
          <w:highlight w:val="none"/>
        </w:rPr>
        <w:t>招标代理机构为</w:t>
      </w:r>
      <w:r>
        <w:rPr>
          <w:rFonts w:hint="eastAsia" w:hAnsi="宋体" w:cs="宋体"/>
          <w:snapToGrid w:val="0"/>
          <w:color w:val="auto"/>
          <w:kern w:val="0"/>
          <w:highlight w:val="none"/>
          <w:u w:val="single"/>
          <w:lang w:eastAsia="zh-CN"/>
        </w:rPr>
        <w:t>广州穗峰建设工程监理有限公司</w:t>
      </w:r>
      <w:r>
        <w:rPr>
          <w:rFonts w:hint="eastAsia" w:hAnsi="宋体" w:cs="宋体"/>
          <w:snapToGrid w:val="0"/>
          <w:color w:val="auto"/>
          <w:kern w:val="0"/>
          <w:highlight w:val="none"/>
        </w:rPr>
        <w:t>。项目已具备招标条件，现对该项目的</w:t>
      </w:r>
      <w:r>
        <w:rPr>
          <w:rFonts w:hint="eastAsia" w:hAnsi="宋体" w:cs="宋体"/>
          <w:snapToGrid w:val="0"/>
          <w:color w:val="auto"/>
          <w:kern w:val="0"/>
          <w:highlight w:val="none"/>
          <w:u w:val="single"/>
          <w:lang w:eastAsia="zh-CN"/>
        </w:rPr>
        <w:t>翁源县典型镇（翁城镇、官渡镇）污水管网补短板项目-子项目一：翁源县典型镇（翁城镇）污水管网补短板项目施工监理</w:t>
      </w:r>
      <w:r>
        <w:rPr>
          <w:rFonts w:hint="eastAsia" w:hAnsi="宋体" w:cs="宋体"/>
          <w:snapToGrid w:val="0"/>
          <w:color w:val="auto"/>
          <w:kern w:val="0"/>
          <w:highlight w:val="none"/>
        </w:rPr>
        <w:t>进行公开招标。</w:t>
      </w:r>
      <w:bookmarkStart w:id="16" w:name="_Hlt119991399"/>
      <w:bookmarkEnd w:id="16"/>
      <w:bookmarkStart w:id="17" w:name="_Hlt74474735"/>
      <w:bookmarkEnd w:id="17"/>
      <w:bookmarkStart w:id="18" w:name="_Hlt109358474"/>
      <w:bookmarkEnd w:id="18"/>
      <w:bookmarkStart w:id="19" w:name="_Hlt78795222"/>
      <w:bookmarkEnd w:id="19"/>
      <w:bookmarkStart w:id="20" w:name="_Hlt87948285"/>
      <w:bookmarkEnd w:id="20"/>
    </w:p>
    <w:p w14:paraId="4EECAB24">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outlineLvl w:val="2"/>
        <w:rPr>
          <w:b/>
          <w:bCs/>
          <w:snapToGrid w:val="0"/>
          <w:color w:val="auto"/>
          <w:kern w:val="0"/>
          <w:sz w:val="24"/>
          <w:highlight w:val="none"/>
        </w:rPr>
      </w:pPr>
      <w:bookmarkStart w:id="21" w:name="_Toc25314"/>
      <w:r>
        <w:rPr>
          <w:rFonts w:hint="eastAsia"/>
          <w:b/>
          <w:bCs/>
          <w:snapToGrid w:val="0"/>
          <w:color w:val="auto"/>
          <w:kern w:val="0"/>
          <w:sz w:val="24"/>
          <w:highlight w:val="none"/>
        </w:rPr>
        <w:t>1．项目概况、招标范围和标段划分、投标费用</w:t>
      </w:r>
      <w:bookmarkEnd w:id="21"/>
    </w:p>
    <w:p w14:paraId="3364302D">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w:t>
      </w:r>
      <w:r>
        <w:rPr>
          <w:rFonts w:hint="eastAsia" w:ascii="宋体" w:hAnsi="宋体" w:cs="宋体"/>
          <w:snapToGrid w:val="0"/>
          <w:color w:val="auto"/>
          <w:kern w:val="0"/>
          <w:sz w:val="24"/>
          <w:highlight w:val="none"/>
        </w:rPr>
        <w:t xml:space="preserve"> 项目概况</w:t>
      </w:r>
    </w:p>
    <w:p w14:paraId="2D3F1B4D">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default" w:ascii="宋体" w:hAnsi="宋体" w:eastAsia="宋体" w:cs="宋体"/>
          <w:snapToGrid w:val="0"/>
          <w:color w:val="auto"/>
          <w:kern w:val="0"/>
          <w:sz w:val="24"/>
          <w:highlight w:val="none"/>
          <w:lang w:val="en-US" w:eastAsia="zh-CN"/>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 xml:space="preserve"> 建设地点：</w:t>
      </w:r>
      <w:r>
        <w:rPr>
          <w:rFonts w:hint="eastAsia"/>
          <w:snapToGrid w:val="0"/>
          <w:color w:val="auto"/>
          <w:kern w:val="0"/>
          <w:sz w:val="24"/>
          <w:highlight w:val="none"/>
          <w:u w:val="none"/>
          <w:lang w:eastAsia="zh-CN"/>
        </w:rPr>
        <w:t>韶关市翁源县翁城镇。</w:t>
      </w:r>
    </w:p>
    <w:p w14:paraId="1625FAEC">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cs="宋体"/>
          <w:snapToGrid w:val="0"/>
          <w:color w:val="auto"/>
          <w:kern w:val="0"/>
          <w:sz w:val="24"/>
          <w:highlight w:val="none"/>
          <w:lang w:eastAsia="zh-CN"/>
        </w:rPr>
      </w:pPr>
      <w:r>
        <w:rPr>
          <w:rFonts w:hint="eastAsia" w:ascii="宋体" w:hAnsi="宋体" w:eastAsia="宋体" w:cs="宋体"/>
          <w:b/>
          <w:bCs/>
          <w:snapToGrid w:val="0"/>
          <w:color w:val="auto"/>
          <w:kern w:val="0"/>
          <w:sz w:val="24"/>
          <w:highlight w:val="none"/>
        </w:rPr>
        <w:t xml:space="preserve">1.1.2 </w:t>
      </w:r>
      <w:r>
        <w:rPr>
          <w:rFonts w:hint="eastAsia"/>
          <w:snapToGrid w:val="0"/>
          <w:color w:val="auto"/>
          <w:kern w:val="0"/>
          <w:sz w:val="24"/>
          <w:highlight w:val="none"/>
        </w:rPr>
        <w:t>建设内容和规模：</w:t>
      </w:r>
      <w:r>
        <w:rPr>
          <w:rFonts w:hint="eastAsia" w:ascii="宋体" w:hAnsi="宋体" w:cs="宋体"/>
          <w:snapToGrid w:val="0"/>
          <w:color w:val="auto"/>
          <w:kern w:val="0"/>
          <w:sz w:val="24"/>
          <w:highlight w:val="none"/>
          <w:lang w:eastAsia="zh-CN"/>
        </w:rPr>
        <w:t>翁源县典型镇（翁城镇）污水管网补短板项目，建设污水管网约20.12km 、化粪池160座、隔油池80座、路面破复、配套检查井若干等。</w:t>
      </w:r>
    </w:p>
    <w:p w14:paraId="00D8E67F">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u w:val="single"/>
        </w:rPr>
      </w:pPr>
      <w:r>
        <w:rPr>
          <w:rFonts w:hint="eastAsia" w:ascii="宋体" w:hAnsi="宋体" w:cs="宋体"/>
          <w:b/>
          <w:bCs/>
          <w:snapToGrid w:val="0"/>
          <w:color w:val="auto"/>
          <w:kern w:val="0"/>
          <w:sz w:val="24"/>
          <w:highlight w:val="none"/>
        </w:rPr>
        <w:t xml:space="preserve">1.1.3 </w:t>
      </w:r>
      <w:r>
        <w:rPr>
          <w:rFonts w:hint="eastAsia" w:ascii="宋体" w:hAnsi="宋体" w:cs="宋体"/>
          <w:snapToGrid w:val="0"/>
          <w:color w:val="auto"/>
          <w:kern w:val="0"/>
          <w:sz w:val="24"/>
          <w:highlight w:val="none"/>
        </w:rPr>
        <w:t>项目总投资：</w:t>
      </w:r>
      <w:r>
        <w:rPr>
          <w:rFonts w:hint="eastAsia" w:ascii="宋体" w:hAnsi="宋体" w:cs="宋体"/>
          <w:snapToGrid w:val="0"/>
          <w:color w:val="auto"/>
          <w:kern w:val="0"/>
          <w:sz w:val="24"/>
          <w:highlight w:val="none"/>
          <w:lang w:eastAsia="zh-CN"/>
        </w:rPr>
        <w:t>项目估算总投资4011.97万元，本次招标项目建安工程费3441.51万元，本次招标监理服务费为59.00万元</w:t>
      </w:r>
      <w:r>
        <w:rPr>
          <w:rFonts w:hint="eastAsia" w:ascii="宋体" w:hAnsi="宋体" w:cs="宋体"/>
          <w:snapToGrid w:val="0"/>
          <w:color w:val="auto"/>
          <w:kern w:val="0"/>
          <w:sz w:val="24"/>
          <w:highlight w:val="none"/>
        </w:rPr>
        <w:t>。</w:t>
      </w:r>
    </w:p>
    <w:p w14:paraId="0E9922A3">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 xml:space="preserve">1.2 </w:t>
      </w:r>
      <w:r>
        <w:rPr>
          <w:rFonts w:hint="eastAsia" w:ascii="宋体" w:hAnsi="宋体" w:cs="宋体"/>
          <w:snapToGrid w:val="0"/>
          <w:color w:val="auto"/>
          <w:kern w:val="0"/>
          <w:sz w:val="24"/>
          <w:highlight w:val="none"/>
        </w:rPr>
        <w:t>招标范围和标段划分</w:t>
      </w:r>
    </w:p>
    <w:p w14:paraId="5AF843F0">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 xml:space="preserve"> 招标范围</w:t>
      </w:r>
    </w:p>
    <w:p w14:paraId="5F8F23D2">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监理：项目建设施工阶段监理（含施工准备阶段、施工阶段、工程竣工结算阶段和保修阶段监理）</w:t>
      </w:r>
    </w:p>
    <w:p w14:paraId="3BE4110B">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1.2.2</w:t>
      </w:r>
      <w:r>
        <w:rPr>
          <w:rFonts w:hint="eastAsia" w:hAnsi="宋体" w:cs="宋体"/>
          <w:snapToGrid w:val="0"/>
          <w:color w:val="auto"/>
          <w:kern w:val="0"/>
          <w:szCs w:val="24"/>
          <w:highlight w:val="none"/>
        </w:rPr>
        <w:t xml:space="preserve"> 标段划分：本招标项目不划分标段。</w:t>
      </w:r>
    </w:p>
    <w:p w14:paraId="38839700">
      <w:pPr>
        <w:keepNext w:val="0"/>
        <w:keepLines w:val="0"/>
        <w:pageBreakBefore w:val="0"/>
        <w:kinsoku/>
        <w:wordWrap w:val="0"/>
        <w:overflowPunct/>
        <w:topLinePunct w:val="0"/>
        <w:autoSpaceDE/>
        <w:autoSpaceDN/>
        <w:bidi w:val="0"/>
        <w:adjustRightInd w:val="0"/>
        <w:snapToGrid w:val="0"/>
        <w:spacing w:line="360" w:lineRule="exact"/>
        <w:ind w:firstLine="532" w:firstLineChars="221"/>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1.3</w:t>
      </w:r>
      <w:r>
        <w:rPr>
          <w:rFonts w:hint="eastAsia" w:hAnsi="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2448BA98">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napToGrid w:val="0"/>
          <w:color w:val="auto"/>
          <w:szCs w:val="24"/>
          <w:highlight w:val="none"/>
        </w:rPr>
      </w:pPr>
      <w:bookmarkStart w:id="22" w:name="_Toc31707"/>
      <w:bookmarkStart w:id="23" w:name="_Toc31795"/>
      <w:r>
        <w:rPr>
          <w:rFonts w:hint="eastAsia" w:hAnsi="宋体" w:cs="宋体"/>
          <w:b/>
          <w:snapToGrid w:val="0"/>
          <w:color w:val="auto"/>
          <w:szCs w:val="24"/>
          <w:highlight w:val="none"/>
        </w:rPr>
        <w:t>2．投标人资格要求</w:t>
      </w:r>
      <w:bookmarkEnd w:id="22"/>
      <w:bookmarkEnd w:id="23"/>
      <w:bookmarkStart w:id="24" w:name="_Hlt74496495"/>
      <w:bookmarkEnd w:id="24"/>
    </w:p>
    <w:p w14:paraId="396053B9">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2.1</w:t>
      </w:r>
      <w:r>
        <w:rPr>
          <w:rFonts w:hint="eastAsia" w:ascii="宋体" w:hAnsi="宋体" w:cs="宋体"/>
          <w:snapToGrid w:val="0"/>
          <w:color w:val="auto"/>
          <w:kern w:val="0"/>
          <w:sz w:val="24"/>
          <w:highlight w:val="none"/>
        </w:rPr>
        <w:t xml:space="preserve"> 本次招标不接受联合体投标。</w:t>
      </w:r>
    </w:p>
    <w:p w14:paraId="400A4F5A">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w:t>
      </w:r>
      <w:r>
        <w:rPr>
          <w:rFonts w:hint="eastAsia" w:ascii="宋体" w:hAnsi="宋体" w:cs="宋体"/>
          <w:snapToGrid w:val="0"/>
          <w:color w:val="auto"/>
          <w:kern w:val="0"/>
          <w:sz w:val="24"/>
          <w:highlight w:val="none"/>
        </w:rPr>
        <w:t xml:space="preserve"> 资格资质要求</w:t>
      </w:r>
    </w:p>
    <w:p w14:paraId="2149145D">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2.2.1</w:t>
      </w:r>
      <w:r>
        <w:rPr>
          <w:rFonts w:hint="eastAsia" w:ascii="宋体" w:hAnsi="宋体" w:cs="宋体"/>
          <w:snapToGrid w:val="0"/>
          <w:color w:val="auto"/>
          <w:kern w:val="0"/>
          <w:sz w:val="24"/>
          <w:highlight w:val="none"/>
        </w:rPr>
        <w:t xml:space="preserve"> 投标人须具备独立法人资格，按国家法律经营。</w:t>
      </w:r>
    </w:p>
    <w:p w14:paraId="2A266F80">
      <w:pPr>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2.2.2</w:t>
      </w:r>
      <w:r>
        <w:rPr>
          <w:rFonts w:hint="eastAsia" w:hAnsi="宋体" w:cs="宋体"/>
          <w:snapToGrid w:val="0"/>
          <w:color w:val="auto"/>
          <w:kern w:val="0"/>
          <w:szCs w:val="24"/>
          <w:highlight w:val="none"/>
        </w:rPr>
        <w:t xml:space="preserve"> 投标人须具备以下资质：投标人必须是具有工程监理综合资质或</w:t>
      </w:r>
      <w:r>
        <w:rPr>
          <w:rFonts w:hint="eastAsia" w:hAnsi="宋体" w:cs="宋体"/>
          <w:color w:val="auto"/>
          <w:szCs w:val="24"/>
          <w:highlight w:val="none"/>
          <w:lang w:eastAsia="zh-CN"/>
        </w:rPr>
        <w:t>市政公用工程专业监理乙级以上（含乙级）资质</w:t>
      </w:r>
      <w:r>
        <w:rPr>
          <w:rFonts w:hint="eastAsia" w:hAnsi="宋体" w:cs="宋体"/>
          <w:snapToGrid w:val="0"/>
          <w:color w:val="auto"/>
          <w:kern w:val="0"/>
          <w:szCs w:val="24"/>
          <w:highlight w:val="none"/>
        </w:rPr>
        <w:t>的独立法人。</w:t>
      </w:r>
    </w:p>
    <w:p w14:paraId="45398239">
      <w:pPr>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Ansi="宋体" w:cs="宋体"/>
          <w:color w:val="auto"/>
          <w:szCs w:val="24"/>
          <w:highlight w:val="none"/>
        </w:rPr>
      </w:pPr>
      <w:r>
        <w:rPr>
          <w:rFonts w:hint="eastAsia" w:hAnsi="宋体" w:cs="宋体"/>
          <w:b/>
          <w:bCs/>
          <w:snapToGrid w:val="0"/>
          <w:color w:val="auto"/>
          <w:kern w:val="0"/>
          <w:szCs w:val="24"/>
          <w:highlight w:val="none"/>
        </w:rPr>
        <w:t>2.2.3</w:t>
      </w:r>
      <w:r>
        <w:rPr>
          <w:rFonts w:hint="eastAsia" w:hAnsi="宋体" w:cs="宋体"/>
          <w:snapToGrid w:val="0"/>
          <w:color w:val="auto"/>
          <w:kern w:val="0"/>
          <w:szCs w:val="24"/>
          <w:highlight w:val="none"/>
        </w:rPr>
        <w:t xml:space="preserve"> </w:t>
      </w:r>
      <w:r>
        <w:rPr>
          <w:rFonts w:hint="eastAsia" w:hAnsi="宋体" w:cs="宋体"/>
          <w:color w:val="auto"/>
          <w:szCs w:val="24"/>
          <w:highlight w:val="none"/>
        </w:rPr>
        <w:t>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71AFAC95">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w:t>
      </w:r>
      <w:r>
        <w:rPr>
          <w:rFonts w:hint="eastAsia" w:ascii="宋体" w:hAnsi="宋体" w:cs="宋体"/>
          <w:snapToGrid w:val="0"/>
          <w:color w:val="auto"/>
          <w:kern w:val="0"/>
          <w:sz w:val="24"/>
          <w:highlight w:val="none"/>
        </w:rPr>
        <w:t xml:space="preserve"> 相关人员要求</w:t>
      </w:r>
    </w:p>
    <w:p w14:paraId="0AC23043">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2.3.1</w:t>
      </w:r>
      <w:r>
        <w:rPr>
          <w:rFonts w:hint="eastAsia" w:ascii="宋体" w:hAnsi="宋体" w:cs="宋体"/>
          <w:snapToGrid w:val="0"/>
          <w:color w:val="auto"/>
          <w:kern w:val="0"/>
          <w:sz w:val="24"/>
          <w:highlight w:val="none"/>
        </w:rPr>
        <w:t xml:space="preserve"> 投标人拟派总监理工程师为市政公用工程专业注册监理工程师，应持有国家住建部印发的有效注册证书，其担任总监理工程师职务的其他在施（包括已中标未开工、已开工未竣工）建设工程项目不得超过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ascii="宋体" w:hAnsi="宋体" w:cs="宋体"/>
          <w:snapToGrid w:val="0"/>
          <w:color w:val="auto"/>
          <w:kern w:val="0"/>
          <w:sz w:val="24"/>
          <w:highlight w:val="none"/>
          <w:u w:val="single"/>
        </w:rPr>
        <w:t xml:space="preserve"> 2 </w:t>
      </w:r>
      <w:r>
        <w:rPr>
          <w:rFonts w:hint="eastAsia" w:ascii="宋体" w:hAnsi="宋体" w:cs="宋体"/>
          <w:snapToGrid w:val="0"/>
          <w:color w:val="auto"/>
          <w:kern w:val="0"/>
          <w:sz w:val="24"/>
          <w:highlight w:val="none"/>
        </w:rPr>
        <w:t>个。</w:t>
      </w:r>
    </w:p>
    <w:p w14:paraId="66E945CB">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拟派总监理工程师现阶段有担任其他在施建设工程项目总监理工程师职务的，须得到任职项目建设单位书面同意后方可担任本招标项目总监理工程师。</w:t>
      </w:r>
    </w:p>
    <w:p w14:paraId="3E92753E">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2.3.2</w:t>
      </w:r>
      <w:r>
        <w:rPr>
          <w:rFonts w:hint="eastAsia" w:ascii="宋体" w:hAnsi="宋体" w:cs="宋体"/>
          <w:snapToGrid w:val="0"/>
          <w:color w:val="auto"/>
          <w:kern w:val="0"/>
          <w:sz w:val="24"/>
          <w:highlight w:val="none"/>
        </w:rPr>
        <w:t xml:space="preserve"> 投标人与其拟派往本项目监理机构的所有人员之间必须具备合法、唯一的劳动聘用关系。拟派人员中具备注册执业资格的，其注册单位须与投标人保持一致。</w:t>
      </w:r>
    </w:p>
    <w:p w14:paraId="631A5D99">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w:t>
      </w:r>
      <w:r>
        <w:rPr>
          <w:rFonts w:hint="eastAsia" w:ascii="宋体" w:hAnsi="宋体" w:cs="宋体"/>
          <w:snapToGrid w:val="0"/>
          <w:color w:val="auto"/>
          <w:kern w:val="0"/>
          <w:sz w:val="24"/>
          <w:highlight w:val="none"/>
        </w:rPr>
        <w:t xml:space="preserve"> 禁止投标条款</w:t>
      </w:r>
    </w:p>
    <w:p w14:paraId="555885B4">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2.4.1</w:t>
      </w:r>
      <w:r>
        <w:rPr>
          <w:rFonts w:hint="eastAsia" w:ascii="宋体" w:hAnsi="宋体" w:cs="宋体"/>
          <w:snapToGrid w:val="0"/>
          <w:color w:val="auto"/>
          <w:kern w:val="0"/>
          <w:sz w:val="24"/>
          <w:highlight w:val="none"/>
        </w:rPr>
        <w:t xml:space="preserve"> 投标人不得存在下列情形之一：</w:t>
      </w:r>
    </w:p>
    <w:p w14:paraId="1C4D78D9">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（1）为招标人不具有独立法人资格的附属机构（单位）；</w:t>
      </w:r>
    </w:p>
    <w:p w14:paraId="0FF8C1DE">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（2）与招标人存在利害关系且可能影响招标公正性；</w:t>
      </w:r>
    </w:p>
    <w:p w14:paraId="2A094E65">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（3）与本招标项目的其他投标人为同一个单位负责人；</w:t>
      </w:r>
    </w:p>
    <w:p w14:paraId="38068CE5">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（4）与本招标项目的其他投标人存在控股、管理关系；</w:t>
      </w:r>
    </w:p>
    <w:p w14:paraId="06C404B5">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（5）为本招标项目的代建人；</w:t>
      </w:r>
    </w:p>
    <w:p w14:paraId="5374378A">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（6）为本招标项目的招标代理机构；</w:t>
      </w:r>
    </w:p>
    <w:p w14:paraId="497192F7">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（7）与本招标项目的代建人或招标代理机构同为一个法定代表人；</w:t>
      </w:r>
    </w:p>
    <w:p w14:paraId="2B9AEE81">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（8）与本招标项目的代建人或招标代理机构存在控股或参股关系；</w:t>
      </w:r>
    </w:p>
    <w:p w14:paraId="404FDB41">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（9）与本招标项目的</w:t>
      </w:r>
      <w:r>
        <w:rPr>
          <w:rFonts w:hint="eastAsia" w:ascii="宋体" w:hAnsi="宋体" w:cs="宋体"/>
          <w:snapToGrid w:val="0"/>
          <w:color w:val="auto"/>
          <w:kern w:val="0"/>
          <w:sz w:val="24"/>
          <w:highlight w:val="none"/>
          <w:lang w:eastAsia="zh-CN"/>
        </w:rPr>
        <w:t>施工单位</w:t>
      </w:r>
      <w:r>
        <w:rPr>
          <w:rFonts w:hint="eastAsia" w:ascii="宋体" w:hAnsi="宋体" w:cs="宋体"/>
          <w:snapToGrid w:val="0"/>
          <w:color w:val="auto"/>
          <w:kern w:val="0"/>
          <w:sz w:val="24"/>
          <w:highlight w:val="none"/>
        </w:rPr>
        <w:t>以及建筑材料、建筑构配件和设备供应商有隶属关系或者其他利害关系；</w:t>
      </w:r>
    </w:p>
    <w:p w14:paraId="471B0069">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（10）被依法暂停或者取消投标资格；</w:t>
      </w:r>
    </w:p>
    <w:p w14:paraId="0F3DC943">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（11）被责令停产停业、暂扣或者吊销许可证、暂扣或者吊销执照；</w:t>
      </w:r>
    </w:p>
    <w:p w14:paraId="18DBB54B">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（12）进入清算程序，或被宣告破产，或其他丧失履约能力的情形；</w:t>
      </w:r>
    </w:p>
    <w:p w14:paraId="4BAD4850">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（13）在最近三年内发生重大监理质量问题（以相关行业主管部门的行政处罚决定或司法机关出具的有关法律文书为准）；</w:t>
      </w:r>
    </w:p>
    <w:p w14:paraId="478169D0">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（14）</w:t>
      </w:r>
      <w:r>
        <w:rPr>
          <w:rFonts w:hint="eastAsia" w:ascii="宋体" w:hAnsi="宋体" w:cs="宋体"/>
          <w:color w:val="auto"/>
          <w:kern w:val="0"/>
          <w:sz w:val="24"/>
          <w:highlight w:val="none"/>
        </w:rPr>
        <w:t>被“信用中国”网站（https://www.creditchina.gov.cn）发布的《法人和非法人组织公共信用信息报告》列为严重失信主体名单的</w:t>
      </w:r>
      <w:r>
        <w:rPr>
          <w:rFonts w:hint="eastAsia" w:ascii="宋体" w:hAnsi="宋体" w:cs="宋体"/>
          <w:snapToGrid w:val="0"/>
          <w:color w:val="auto"/>
          <w:kern w:val="0"/>
          <w:sz w:val="24"/>
          <w:highlight w:val="none"/>
        </w:rPr>
        <w:t>。</w:t>
      </w:r>
    </w:p>
    <w:p w14:paraId="6EFD8666">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2.4.2</w:t>
      </w:r>
      <w:r>
        <w:rPr>
          <w:rFonts w:hint="eastAsia" w:ascii="宋体" w:hAnsi="宋体" w:cs="宋体"/>
          <w:snapToGrid w:val="0"/>
          <w:color w:val="auto"/>
          <w:kern w:val="0"/>
          <w:sz w:val="24"/>
          <w:highlight w:val="none"/>
        </w:rPr>
        <w:t xml:space="preserve"> 招标人拒绝以下名单中的单位参加本次投标：</w:t>
      </w:r>
    </w:p>
    <w:tbl>
      <w:tblPr>
        <w:tblStyle w:val="21"/>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3903"/>
        <w:gridCol w:w="4559"/>
      </w:tblGrid>
      <w:tr w14:paraId="7240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48DD3389">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序号</w:t>
            </w:r>
          </w:p>
        </w:tc>
        <w:tc>
          <w:tcPr>
            <w:tcW w:w="3903" w:type="dxa"/>
            <w:vAlign w:val="center"/>
          </w:tcPr>
          <w:p w14:paraId="3EB783E3">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单位名称</w:t>
            </w:r>
          </w:p>
        </w:tc>
        <w:tc>
          <w:tcPr>
            <w:tcW w:w="4559" w:type="dxa"/>
            <w:vAlign w:val="center"/>
          </w:tcPr>
          <w:p w14:paraId="3D17FB0D">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拒绝原因</w:t>
            </w:r>
          </w:p>
        </w:tc>
      </w:tr>
      <w:tr w14:paraId="2CD1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58A638EF">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1</w:t>
            </w:r>
          </w:p>
        </w:tc>
        <w:tc>
          <w:tcPr>
            <w:tcW w:w="3903" w:type="dxa"/>
            <w:vAlign w:val="center"/>
          </w:tcPr>
          <w:p w14:paraId="09040C5D">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翁源县翁城镇人民政府</w:t>
            </w:r>
          </w:p>
        </w:tc>
        <w:tc>
          <w:tcPr>
            <w:tcW w:w="4559" w:type="dxa"/>
            <w:vAlign w:val="center"/>
          </w:tcPr>
          <w:p w14:paraId="0C312B5E">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为本招标项目的</w:t>
            </w:r>
            <w:r>
              <w:rPr>
                <w:rFonts w:hint="eastAsia" w:ascii="宋体" w:hAnsi="宋体" w:cs="宋体"/>
                <w:color w:val="auto"/>
                <w:sz w:val="24"/>
                <w:highlight w:val="none"/>
                <w:lang w:val="en-US" w:eastAsia="zh-CN"/>
              </w:rPr>
              <w:t>业主</w:t>
            </w:r>
          </w:p>
        </w:tc>
      </w:tr>
      <w:tr w14:paraId="48C4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4F8E6466">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3903" w:type="dxa"/>
            <w:vAlign w:val="center"/>
          </w:tcPr>
          <w:p w14:paraId="29E59DA4">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eastAsia="zh-CN"/>
              </w:rPr>
            </w:pPr>
            <w:r>
              <w:rPr>
                <w:rFonts w:hint="eastAsia" w:ascii="宋体" w:hAnsi="宋体" w:cs="宋体"/>
                <w:snapToGrid w:val="0"/>
                <w:color w:val="auto"/>
                <w:kern w:val="0"/>
                <w:sz w:val="24"/>
                <w:szCs w:val="24"/>
                <w:highlight w:val="none"/>
                <w:lang w:eastAsia="zh-CN"/>
              </w:rPr>
              <w:t>翁源县公共资产管理中心</w:t>
            </w:r>
          </w:p>
        </w:tc>
        <w:tc>
          <w:tcPr>
            <w:tcW w:w="4559" w:type="dxa"/>
            <w:vAlign w:val="center"/>
          </w:tcPr>
          <w:p w14:paraId="4BB9A011">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为本招标项目的招标人</w:t>
            </w:r>
          </w:p>
        </w:tc>
      </w:tr>
      <w:tr w14:paraId="18F7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0D7B4277">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3903" w:type="dxa"/>
            <w:vAlign w:val="center"/>
          </w:tcPr>
          <w:p w14:paraId="138E4CBA">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广州穗峰建设工程监理有限公司</w:t>
            </w:r>
          </w:p>
        </w:tc>
        <w:tc>
          <w:tcPr>
            <w:tcW w:w="4559" w:type="dxa"/>
            <w:vAlign w:val="center"/>
          </w:tcPr>
          <w:p w14:paraId="57509B1F">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为本招标项目的招标代理机构</w:t>
            </w:r>
          </w:p>
        </w:tc>
      </w:tr>
      <w:tr w14:paraId="2D2E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5F5DEF42">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3903" w:type="dxa"/>
            <w:vAlign w:val="center"/>
          </w:tcPr>
          <w:p w14:paraId="2594092B">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广东中咨工程设计有限公司</w:t>
            </w:r>
          </w:p>
        </w:tc>
        <w:tc>
          <w:tcPr>
            <w:tcW w:w="4559" w:type="dxa"/>
            <w:vAlign w:val="center"/>
          </w:tcPr>
          <w:p w14:paraId="2AF0189A">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为本项目的可研编制单位</w:t>
            </w:r>
          </w:p>
        </w:tc>
      </w:tr>
      <w:tr w14:paraId="175A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5F16BB0A">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3903" w:type="dxa"/>
            <w:vAlign w:val="center"/>
          </w:tcPr>
          <w:p w14:paraId="45A17747">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中智投工程管理有限公司</w:t>
            </w:r>
          </w:p>
        </w:tc>
        <w:tc>
          <w:tcPr>
            <w:tcW w:w="4559" w:type="dxa"/>
            <w:vAlign w:val="center"/>
          </w:tcPr>
          <w:p w14:paraId="7DC24422">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为本招标项目的初步设计及概算编制单位</w:t>
            </w:r>
          </w:p>
        </w:tc>
      </w:tr>
      <w:tr w14:paraId="1B4E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dxa"/>
            <w:vAlign w:val="center"/>
          </w:tcPr>
          <w:p w14:paraId="39891C87">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lang w:val="en-US" w:eastAsia="zh-CN"/>
              </w:rPr>
              <w:t>6</w:t>
            </w:r>
          </w:p>
        </w:tc>
        <w:tc>
          <w:tcPr>
            <w:tcW w:w="3903" w:type="dxa"/>
            <w:vAlign w:val="center"/>
          </w:tcPr>
          <w:p w14:paraId="092EE73D">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博智兴华工程顾问有限公司</w:t>
            </w:r>
          </w:p>
        </w:tc>
        <w:tc>
          <w:tcPr>
            <w:tcW w:w="4559" w:type="dxa"/>
            <w:vAlign w:val="center"/>
          </w:tcPr>
          <w:p w14:paraId="153A51BD">
            <w:pPr>
              <w:pStyle w:val="31"/>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为本招标项目的全过程工程造价咨询</w:t>
            </w:r>
          </w:p>
        </w:tc>
      </w:tr>
    </w:tbl>
    <w:p w14:paraId="4523E1DA">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2.5</w:t>
      </w:r>
      <w:r>
        <w:rPr>
          <w:rFonts w:hint="eastAsia" w:ascii="宋体" w:hAnsi="宋体" w:cs="宋体"/>
          <w:snapToGrid w:val="0"/>
          <w:color w:val="auto"/>
          <w:kern w:val="0"/>
          <w:sz w:val="24"/>
          <w:highlight w:val="none"/>
        </w:rPr>
        <w:t xml:space="preserve"> 其他要求</w:t>
      </w:r>
    </w:p>
    <w:p w14:paraId="70D082D7">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15DAD3EF">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outlineLvl w:val="2"/>
        <w:rPr>
          <w:rFonts w:ascii="宋体" w:hAnsi="宋体" w:cs="宋体"/>
          <w:b/>
          <w:bCs/>
          <w:snapToGrid w:val="0"/>
          <w:color w:val="auto"/>
          <w:kern w:val="0"/>
          <w:sz w:val="24"/>
          <w:highlight w:val="none"/>
        </w:rPr>
      </w:pPr>
      <w:bookmarkStart w:id="25" w:name="_Toc7762"/>
      <w:r>
        <w:rPr>
          <w:rFonts w:hint="eastAsia" w:ascii="宋体" w:hAnsi="宋体" w:cs="宋体"/>
          <w:b/>
          <w:bCs/>
          <w:snapToGrid w:val="0"/>
          <w:color w:val="auto"/>
          <w:kern w:val="0"/>
          <w:sz w:val="24"/>
          <w:highlight w:val="none"/>
        </w:rPr>
        <w:t>3．获取招标文件</w:t>
      </w:r>
      <w:bookmarkEnd w:id="25"/>
    </w:p>
    <w:p w14:paraId="59052DC8">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color w:val="auto"/>
          <w:sz w:val="24"/>
          <w:highlight w:val="none"/>
          <w:shd w:val="clear" w:color="auto" w:fill="FFFFFF"/>
        </w:rPr>
      </w:pPr>
      <w:r>
        <w:rPr>
          <w:rFonts w:hint="eastAsia" w:ascii="宋体" w:hAnsi="宋体" w:cs="宋体"/>
          <w:snapToGrid w:val="0"/>
          <w:color w:val="auto"/>
          <w:kern w:val="0"/>
          <w:sz w:val="24"/>
          <w:highlight w:val="none"/>
        </w:rPr>
        <w:t xml:space="preserve">3.1 </w:t>
      </w:r>
      <w:r>
        <w:rPr>
          <w:rFonts w:hint="eastAsia" w:ascii="宋体" w:hAnsi="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重要事项时间地点一览表”）前完成电子投标。   </w:t>
      </w:r>
    </w:p>
    <w:p w14:paraId="3EB3155D">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629ADDA3">
      <w:pPr>
        <w:pStyle w:val="20"/>
        <w:keepNext w:val="0"/>
        <w:keepLines w:val="0"/>
        <w:pageBreakBefore w:val="0"/>
        <w:kinsoku/>
        <w:overflowPunct/>
        <w:topLinePunct w:val="0"/>
        <w:autoSpaceDE/>
        <w:autoSpaceDN/>
        <w:bidi w:val="0"/>
        <w:spacing w:before="0" w:beforeAutospacing="0" w:after="0" w:afterAutospacing="0" w:line="360" w:lineRule="exact"/>
        <w:ind w:firstLine="480" w:firstLineChars="200"/>
        <w:textAlignment w:val="auto"/>
        <w:rPr>
          <w:snapToGrid w:val="0"/>
          <w:color w:val="auto"/>
          <w:highlight w:val="none"/>
        </w:rPr>
      </w:pPr>
      <w:r>
        <w:rPr>
          <w:rFonts w:hint="eastAsia"/>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EE6D475">
      <w:pPr>
        <w:pStyle w:val="20"/>
        <w:keepNext w:val="0"/>
        <w:keepLines w:val="0"/>
        <w:pageBreakBefore w:val="0"/>
        <w:kinsoku/>
        <w:overflowPunct/>
        <w:topLinePunct w:val="0"/>
        <w:autoSpaceDE/>
        <w:autoSpaceDN/>
        <w:bidi w:val="0"/>
        <w:spacing w:before="0" w:beforeAutospacing="0" w:after="0" w:afterAutospacing="0" w:line="360" w:lineRule="exact"/>
        <w:ind w:firstLine="480" w:firstLineChars="200"/>
        <w:textAlignment w:val="auto"/>
        <w:rPr>
          <w:bCs/>
          <w:color w:val="auto"/>
          <w:highlight w:val="none"/>
        </w:rPr>
      </w:pPr>
      <w:r>
        <w:rPr>
          <w:rFonts w:hint="eastAsia"/>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auto"/>
          <w:highlight w:val="none"/>
        </w:rPr>
        <w:t xml:space="preserve"> </w:t>
      </w:r>
    </w:p>
    <w:p w14:paraId="021F6908">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3FA1A6D6">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 投标保证</w:t>
      </w:r>
    </w:p>
    <w:p w14:paraId="1F87EF3C">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eastAsia="zh-CN"/>
        </w:rPr>
        <w:t>10000.00元</w:t>
      </w:r>
      <w:r>
        <w:rPr>
          <w:rFonts w:hint="eastAsia" w:ascii="宋体" w:hAnsi="宋体" w:cs="宋体"/>
          <w:color w:val="auto"/>
          <w:sz w:val="24"/>
          <w:highlight w:val="none"/>
          <w:shd w:val="clear" w:color="auto" w:fill="FFFFFF"/>
        </w:rPr>
        <w:t xml:space="preserve">的投标保证。 </w:t>
      </w:r>
    </w:p>
    <w:p w14:paraId="76E923E0">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3.3.2 投标保证的形式包括投标保证金、投标保证担保、投标保证保险三种，由投标人自主选择。</w:t>
      </w:r>
    </w:p>
    <w:p w14:paraId="1178649C">
      <w:pPr>
        <w:keepNext w:val="0"/>
        <w:keepLines w:val="0"/>
        <w:pageBreakBefore w:val="0"/>
        <w:kinsoku/>
        <w:overflowPunct/>
        <w:topLinePunct w:val="0"/>
        <w:autoSpaceDE/>
        <w:autoSpaceDN/>
        <w:bidi w:val="0"/>
        <w:snapToGrid w:val="0"/>
        <w:spacing w:line="36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599BFA32">
      <w:pPr>
        <w:keepNext w:val="0"/>
        <w:keepLines w:val="0"/>
        <w:pageBreakBefore w:val="0"/>
        <w:kinsoku/>
        <w:overflowPunct/>
        <w:topLinePunct w:val="0"/>
        <w:autoSpaceDE/>
        <w:autoSpaceDN/>
        <w:bidi w:val="0"/>
        <w:snapToGrid w:val="0"/>
        <w:spacing w:line="36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51B47F72">
      <w:pPr>
        <w:keepNext w:val="0"/>
        <w:keepLines w:val="0"/>
        <w:pageBreakBefore w:val="0"/>
        <w:kinsoku/>
        <w:overflowPunct/>
        <w:topLinePunct w:val="0"/>
        <w:autoSpaceDE/>
        <w:autoSpaceDN/>
        <w:bidi w:val="0"/>
        <w:snapToGrid w:val="0"/>
        <w:spacing w:line="360" w:lineRule="exact"/>
        <w:ind w:firstLine="480" w:firstLineChars="200"/>
        <w:textAlignment w:val="auto"/>
        <w:rPr>
          <w:rFonts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23D101EB">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auto"/>
          <w:sz w:val="24"/>
          <w:highlight w:val="none"/>
        </w:rPr>
        <w:t>延长</w:t>
      </w:r>
      <w:r>
        <w:rPr>
          <w:rFonts w:hint="eastAsia" w:ascii="宋体" w:hAnsi="宋体" w:cs="宋体"/>
          <w:color w:val="auto"/>
          <w:sz w:val="24"/>
          <w:highlight w:val="none"/>
        </w:rPr>
        <w:t>不少于20个日历天。</w:t>
      </w:r>
    </w:p>
    <w:p w14:paraId="526A1C86">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3.4</w:t>
      </w:r>
      <w:r>
        <w:rPr>
          <w:rFonts w:hint="eastAsia" w:hAnsi="宋体" w:cs="宋体"/>
          <w:snapToGrid w:val="0"/>
          <w:color w:val="auto"/>
          <w:kern w:val="0"/>
          <w:highlight w:val="none"/>
        </w:rPr>
        <w:t xml:space="preserve"> 若投标人因自身原因未能正确完成获取招标文件、电子投标、缴纳投标保证的，其投标无效。</w:t>
      </w:r>
    </w:p>
    <w:p w14:paraId="5D51BE45">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outlineLvl w:val="2"/>
        <w:rPr>
          <w:rFonts w:hAnsi="宋体" w:cs="宋体"/>
          <w:snapToGrid w:val="0"/>
          <w:color w:val="auto"/>
          <w:kern w:val="0"/>
          <w:highlight w:val="none"/>
        </w:rPr>
      </w:pPr>
      <w:bookmarkStart w:id="26" w:name="_Toc22391"/>
      <w:r>
        <w:rPr>
          <w:rFonts w:hint="eastAsia" w:hAnsi="宋体" w:cs="宋体"/>
          <w:b/>
          <w:bCs/>
          <w:snapToGrid w:val="0"/>
          <w:color w:val="auto"/>
          <w:kern w:val="0"/>
          <w:highlight w:val="none"/>
        </w:rPr>
        <w:t>4．服务期限</w:t>
      </w:r>
      <w:bookmarkEnd w:id="26"/>
    </w:p>
    <w:p w14:paraId="3A5F96AC">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4.1</w:t>
      </w:r>
      <w:r>
        <w:rPr>
          <w:rFonts w:hint="eastAsia" w:hAnsi="宋体" w:cs="宋体"/>
          <w:snapToGrid w:val="0"/>
          <w:color w:val="auto"/>
          <w:kern w:val="0"/>
          <w:highlight w:val="none"/>
        </w:rPr>
        <w:t xml:space="preserve"> 监理：</w:t>
      </w:r>
      <w:r>
        <w:rPr>
          <w:rFonts w:hint="eastAsia" w:hAnsi="宋体" w:cs="宋体"/>
          <w:snapToGrid w:val="0"/>
          <w:color w:val="auto"/>
          <w:kern w:val="0"/>
          <w:highlight w:val="none"/>
          <w:lang w:eastAsia="zh-CN"/>
        </w:rPr>
        <w:t>监理服务期不少于365日历天。监理服务期</w:t>
      </w:r>
      <w:r>
        <w:rPr>
          <w:rFonts w:hint="eastAsia" w:hAnsi="宋体" w:cs="宋体"/>
          <w:snapToGrid w:val="0"/>
          <w:color w:val="auto"/>
          <w:kern w:val="0"/>
          <w:highlight w:val="none"/>
        </w:rPr>
        <w:t>从监理合同签订之日起计，至本工程缺陷责任保修期结束且本工程结算金额经政府主管部门审定且双方的责任义务履行完毕时止。</w:t>
      </w:r>
    </w:p>
    <w:p w14:paraId="57E57FC3">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napToGrid w:val="0"/>
          <w:color w:val="auto"/>
          <w:highlight w:val="none"/>
        </w:rPr>
      </w:pPr>
      <w:bookmarkStart w:id="27" w:name="_Toc20574"/>
      <w:bookmarkStart w:id="28" w:name="_Toc10746"/>
      <w:r>
        <w:rPr>
          <w:rFonts w:hint="eastAsia" w:hAnsi="宋体" w:cs="宋体"/>
          <w:b/>
          <w:snapToGrid w:val="0"/>
          <w:color w:val="auto"/>
          <w:highlight w:val="none"/>
        </w:rPr>
        <w:t>5．服务标准</w:t>
      </w:r>
      <w:bookmarkEnd w:id="27"/>
      <w:bookmarkEnd w:id="28"/>
    </w:p>
    <w:p w14:paraId="054FE7F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5.1</w:t>
      </w:r>
      <w:r>
        <w:rPr>
          <w:rFonts w:hint="eastAsia" w:hAnsi="宋体" w:cs="宋体"/>
          <w:snapToGrid w:val="0"/>
          <w:color w:val="auto"/>
          <w:kern w:val="0"/>
          <w:highlight w:val="none"/>
        </w:rPr>
        <w:t xml:space="preserve"> 监理：</w:t>
      </w:r>
      <w:r>
        <w:rPr>
          <w:rFonts w:hint="eastAsia" w:hAnsi="宋体" w:cs="宋体"/>
          <w:color w:val="auto"/>
          <w:szCs w:val="24"/>
          <w:highlight w:val="none"/>
        </w:rPr>
        <w:t>工程质量达到合格标准。</w:t>
      </w:r>
      <w:r>
        <w:rPr>
          <w:rFonts w:hint="eastAsia" w:hAnsi="宋体" w:cs="宋体"/>
          <w:snapToGrid w:val="0"/>
          <w:color w:val="auto"/>
          <w:kern w:val="0"/>
          <w:highlight w:val="none"/>
        </w:rPr>
        <w:t xml:space="preserve"> </w:t>
      </w:r>
    </w:p>
    <w:p w14:paraId="66E065E1">
      <w:pPr>
        <w:pStyle w:val="3"/>
        <w:keepNext w:val="0"/>
        <w:keepLines w:val="0"/>
        <w:pageBreakBefore w:val="0"/>
        <w:kinsoku/>
        <w:wordWrap w:val="0"/>
        <w:overflowPunct/>
        <w:topLinePunct w:val="0"/>
        <w:autoSpaceDE/>
        <w:autoSpaceDN/>
        <w:bidi w:val="0"/>
        <w:snapToGrid w:val="0"/>
        <w:spacing w:line="360" w:lineRule="exact"/>
        <w:ind w:firstLine="482" w:firstLineChars="200"/>
        <w:jc w:val="both"/>
        <w:textAlignment w:val="auto"/>
        <w:rPr>
          <w:rFonts w:hAnsi="宋体" w:cs="宋体"/>
          <w:b/>
          <w:snapToGrid w:val="0"/>
          <w:color w:val="auto"/>
          <w:highlight w:val="none"/>
        </w:rPr>
      </w:pPr>
      <w:bookmarkStart w:id="29" w:name="_Toc32757"/>
      <w:bookmarkStart w:id="30" w:name="_Toc9941"/>
      <w:r>
        <w:rPr>
          <w:rFonts w:hint="eastAsia" w:hAnsi="宋体" w:cs="宋体"/>
          <w:b/>
          <w:snapToGrid w:val="0"/>
          <w:color w:val="auto"/>
          <w:highlight w:val="none"/>
        </w:rPr>
        <w:t>6．现场踏勘</w:t>
      </w:r>
      <w:bookmarkEnd w:id="29"/>
      <w:bookmarkEnd w:id="30"/>
    </w:p>
    <w:p w14:paraId="0D090578">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6.1</w:t>
      </w:r>
      <w:r>
        <w:rPr>
          <w:rFonts w:hint="eastAsia" w:hAnsi="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21E55CE9">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6.2</w:t>
      </w:r>
      <w:r>
        <w:rPr>
          <w:rFonts w:hint="eastAsia" w:hAnsi="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70745EA6">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b/>
          <w:snapToGrid w:val="0"/>
          <w:color w:val="auto"/>
          <w:highlight w:val="none"/>
        </w:rPr>
      </w:pPr>
      <w:r>
        <w:rPr>
          <w:rFonts w:hint="eastAsia" w:hAnsi="宋体" w:cs="宋体"/>
          <w:b/>
          <w:bCs/>
          <w:snapToGrid w:val="0"/>
          <w:color w:val="auto"/>
          <w:kern w:val="0"/>
          <w:highlight w:val="none"/>
        </w:rPr>
        <w:t>6.3</w:t>
      </w:r>
      <w:r>
        <w:rPr>
          <w:rFonts w:hint="eastAsia" w:hAnsi="宋体" w:cs="宋体"/>
          <w:snapToGrid w:val="0"/>
          <w:color w:val="auto"/>
          <w:kern w:val="0"/>
          <w:highlight w:val="none"/>
        </w:rPr>
        <w:t xml:space="preserve"> 现场踏勘期间的交通、食宿由投标人自行安排，费用自理。</w:t>
      </w:r>
    </w:p>
    <w:p w14:paraId="31757935">
      <w:pPr>
        <w:pStyle w:val="3"/>
        <w:keepNext w:val="0"/>
        <w:keepLines w:val="0"/>
        <w:pageBreakBefore w:val="0"/>
        <w:kinsoku/>
        <w:wordWrap w:val="0"/>
        <w:overflowPunct/>
        <w:topLinePunct w:val="0"/>
        <w:autoSpaceDE/>
        <w:autoSpaceDN/>
        <w:bidi w:val="0"/>
        <w:snapToGrid w:val="0"/>
        <w:spacing w:line="360" w:lineRule="exact"/>
        <w:ind w:firstLine="482" w:firstLineChars="200"/>
        <w:jc w:val="both"/>
        <w:textAlignment w:val="auto"/>
        <w:rPr>
          <w:rFonts w:hAnsi="宋体" w:cs="宋体"/>
          <w:b/>
          <w:snapToGrid w:val="0"/>
          <w:color w:val="auto"/>
          <w:highlight w:val="none"/>
        </w:rPr>
      </w:pPr>
      <w:bookmarkStart w:id="31" w:name="_Toc5461"/>
      <w:bookmarkStart w:id="32" w:name="_Toc8198"/>
      <w:r>
        <w:rPr>
          <w:rFonts w:hint="eastAsia" w:hAnsi="宋体" w:cs="宋体"/>
          <w:b/>
          <w:snapToGrid w:val="0"/>
          <w:color w:val="auto"/>
          <w:highlight w:val="none"/>
        </w:rPr>
        <w:t>7．招标文件的提问和答疑</w:t>
      </w:r>
      <w:bookmarkEnd w:id="31"/>
      <w:bookmarkEnd w:id="32"/>
      <w:bookmarkStart w:id="33" w:name="_Hlt74496410"/>
      <w:bookmarkEnd w:id="33"/>
    </w:p>
    <w:p w14:paraId="669C592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lang w:bidi="ar"/>
        </w:rPr>
      </w:pPr>
      <w:r>
        <w:rPr>
          <w:rFonts w:hint="eastAsia" w:hAnsi="宋体" w:cs="宋体"/>
          <w:b/>
          <w:bCs/>
          <w:snapToGrid w:val="0"/>
          <w:color w:val="auto"/>
          <w:kern w:val="0"/>
          <w:highlight w:val="none"/>
        </w:rPr>
        <w:t>7.1</w:t>
      </w:r>
      <w:r>
        <w:rPr>
          <w:rFonts w:hint="eastAsia" w:hAnsi="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auto"/>
          <w:kern w:val="0"/>
          <w:szCs w:val="24"/>
          <w:highlight w:val="none"/>
          <w:lang w:bidi="ar"/>
        </w:rPr>
        <w:t>。</w:t>
      </w:r>
    </w:p>
    <w:p w14:paraId="525C623C">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7.2 </w:t>
      </w:r>
      <w:r>
        <w:rPr>
          <w:rFonts w:hint="eastAsia" w:hAnsi="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CFC882A">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7.3</w:t>
      </w:r>
      <w:r>
        <w:rPr>
          <w:rFonts w:hint="eastAsia" w:hAnsi="宋体" w:cs="宋体"/>
          <w:snapToGrid w:val="0"/>
          <w:color w:val="auto"/>
          <w:kern w:val="0"/>
          <w:highlight w:val="none"/>
        </w:rPr>
        <w:t xml:space="preserve"> 招标人对招标文件所作的答疑（或修改）公告，构成招标文件的组成部分。</w:t>
      </w:r>
    </w:p>
    <w:p w14:paraId="06A1ACDE">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napToGrid w:val="0"/>
          <w:color w:val="auto"/>
          <w:highlight w:val="none"/>
        </w:rPr>
      </w:pPr>
      <w:bookmarkStart w:id="34" w:name="_Hlt92513711"/>
      <w:bookmarkEnd w:id="34"/>
      <w:bookmarkStart w:id="35" w:name="_Hlt69699188"/>
      <w:bookmarkEnd w:id="35"/>
      <w:bookmarkStart w:id="36" w:name="_Hlt92513715"/>
      <w:bookmarkEnd w:id="36"/>
      <w:bookmarkStart w:id="37" w:name="_Toc23036"/>
      <w:bookmarkStart w:id="38" w:name="_Toc5082"/>
      <w:r>
        <w:rPr>
          <w:rFonts w:hint="eastAsia" w:hAnsi="宋体" w:cs="宋体"/>
          <w:b/>
          <w:snapToGrid w:val="0"/>
          <w:color w:val="auto"/>
          <w:highlight w:val="none"/>
        </w:rPr>
        <w:t>8．最高投标限价</w:t>
      </w:r>
      <w:bookmarkEnd w:id="37"/>
      <w:bookmarkEnd w:id="38"/>
    </w:p>
    <w:p w14:paraId="2C00EC44">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8.1</w:t>
      </w:r>
      <w:r>
        <w:rPr>
          <w:rFonts w:hint="eastAsia" w:hAnsi="宋体" w:cs="宋体"/>
          <w:snapToGrid w:val="0"/>
          <w:color w:val="auto"/>
          <w:kern w:val="0"/>
          <w:highlight w:val="none"/>
        </w:rPr>
        <w:t xml:space="preserve"> 本招标项目参考以下依据编制最高投标限价：</w:t>
      </w:r>
    </w:p>
    <w:p w14:paraId="7C677BF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（1）项目</w:t>
      </w:r>
      <w:r>
        <w:rPr>
          <w:rFonts w:hint="eastAsia" w:hAnsi="宋体" w:cs="宋体"/>
          <w:snapToGrid w:val="0"/>
          <w:color w:val="auto"/>
          <w:kern w:val="0"/>
          <w:highlight w:val="none"/>
          <w:lang w:val="en-US" w:eastAsia="zh-CN"/>
        </w:rPr>
        <w:t>概算</w:t>
      </w:r>
      <w:r>
        <w:rPr>
          <w:rFonts w:hint="eastAsia" w:hAnsi="宋体" w:cs="宋体"/>
          <w:snapToGrid w:val="0"/>
          <w:color w:val="auto"/>
          <w:kern w:val="0"/>
          <w:highlight w:val="none"/>
        </w:rPr>
        <w:t>总投资；</w:t>
      </w:r>
    </w:p>
    <w:p w14:paraId="291B5D9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（2）《建设工程监理与相关服务收费标准》；</w:t>
      </w:r>
    </w:p>
    <w:p w14:paraId="4EF0175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（3）监理及相关服务内容；</w:t>
      </w:r>
    </w:p>
    <w:p w14:paraId="73711E4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（4）施工现场情况、工程特点；</w:t>
      </w:r>
    </w:p>
    <w:p w14:paraId="1D80C05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（5）项目所在地市场价格。</w:t>
      </w:r>
    </w:p>
    <w:p w14:paraId="0E7D73B3">
      <w:pPr>
        <w:pStyle w:val="24"/>
        <w:keepNext w:val="0"/>
        <w:keepLines w:val="0"/>
        <w:pageBreakBefore w:val="0"/>
        <w:kinsoku/>
        <w:overflowPunct/>
        <w:topLinePunct w:val="0"/>
        <w:autoSpaceDE/>
        <w:autoSpaceDN/>
        <w:bidi w:val="0"/>
        <w:spacing w:line="360" w:lineRule="exact"/>
        <w:jc w:val="left"/>
        <w:textAlignment w:val="auto"/>
        <w:rPr>
          <w:rFonts w:ascii="宋体" w:hAnsi="宋体" w:cs="宋体"/>
          <w:b w:val="0"/>
          <w:bCs/>
          <w:color w:val="auto"/>
          <w:sz w:val="24"/>
          <w:highlight w:val="none"/>
        </w:rPr>
      </w:pPr>
      <w:r>
        <w:rPr>
          <w:rFonts w:hint="eastAsia" w:ascii="宋体" w:hAnsi="宋体" w:cs="宋体"/>
          <w:bCs/>
          <w:snapToGrid w:val="0"/>
          <w:color w:val="auto"/>
          <w:kern w:val="0"/>
          <w:sz w:val="24"/>
          <w:highlight w:val="none"/>
        </w:rPr>
        <w:t xml:space="preserve">   8.2</w:t>
      </w:r>
      <w:r>
        <w:rPr>
          <w:rFonts w:hint="eastAsia" w:ascii="宋体" w:hAnsi="宋体" w:cs="宋体"/>
          <w:snapToGrid w:val="0"/>
          <w:color w:val="auto"/>
          <w:kern w:val="0"/>
          <w:sz w:val="24"/>
          <w:highlight w:val="none"/>
        </w:rPr>
        <w:t xml:space="preserve"> </w:t>
      </w:r>
      <w:r>
        <w:rPr>
          <w:rFonts w:hint="eastAsia" w:ascii="宋体" w:hAnsi="宋体" w:cs="宋体"/>
          <w:b w:val="0"/>
          <w:bCs/>
          <w:snapToGrid w:val="0"/>
          <w:color w:val="auto"/>
          <w:kern w:val="0"/>
          <w:sz w:val="24"/>
          <w:highlight w:val="none"/>
        </w:rPr>
        <w:t>本次招标最高投标限价为人民币（大写）：</w:t>
      </w:r>
      <w:r>
        <w:rPr>
          <w:rFonts w:hint="eastAsia" w:ascii="宋体" w:hAnsi="宋体" w:cs="宋体"/>
          <w:b w:val="0"/>
          <w:bCs/>
          <w:snapToGrid w:val="0"/>
          <w:color w:val="auto"/>
          <w:kern w:val="0"/>
          <w:sz w:val="24"/>
          <w:highlight w:val="none"/>
          <w:lang w:val="en-US" w:eastAsia="zh-CN"/>
        </w:rPr>
        <w:t>伍拾玖万元整</w:t>
      </w:r>
      <w:r>
        <w:rPr>
          <w:rFonts w:hint="eastAsia" w:hAnsi="宋体" w:cs="宋体"/>
          <w:b w:val="0"/>
          <w:bCs/>
          <w:snapToGrid w:val="0"/>
          <w:color w:val="auto"/>
          <w:kern w:val="0"/>
          <w:sz w:val="24"/>
          <w:highlight w:val="none"/>
          <w:u w:val="single"/>
        </w:rPr>
        <w:t>（小写：</w:t>
      </w:r>
      <w:r>
        <w:rPr>
          <w:rFonts w:hint="eastAsia" w:ascii="宋体" w:hAnsi="宋体" w:cs="宋体"/>
          <w:b w:val="0"/>
          <w:bCs/>
          <w:snapToGrid w:val="0"/>
          <w:color w:val="auto"/>
          <w:kern w:val="0"/>
          <w:sz w:val="24"/>
          <w:highlight w:val="none"/>
          <w:u w:val="single"/>
        </w:rPr>
        <w:t>¥</w:t>
      </w:r>
      <w:r>
        <w:rPr>
          <w:rFonts w:hint="eastAsia" w:ascii="宋体" w:hAnsi="宋体" w:cs="宋体"/>
          <w:b w:val="0"/>
          <w:bCs/>
          <w:snapToGrid w:val="0"/>
          <w:color w:val="auto"/>
          <w:kern w:val="0"/>
          <w:sz w:val="24"/>
          <w:highlight w:val="none"/>
          <w:u w:val="single"/>
          <w:lang w:val="en-US" w:eastAsia="zh-CN"/>
        </w:rPr>
        <w:t>590000.00</w:t>
      </w:r>
      <w:r>
        <w:rPr>
          <w:rFonts w:hint="eastAsia" w:ascii="宋体" w:hAnsi="宋体" w:cs="宋体"/>
          <w:b w:val="0"/>
          <w:bCs/>
          <w:snapToGrid w:val="0"/>
          <w:color w:val="auto"/>
          <w:kern w:val="0"/>
          <w:sz w:val="24"/>
          <w:highlight w:val="none"/>
          <w:u w:val="single"/>
        </w:rPr>
        <w:t>元）；监理服务费投标取费费率上限为</w:t>
      </w:r>
      <w:r>
        <w:rPr>
          <w:rFonts w:hint="eastAsia" w:ascii="宋体" w:hAnsi="宋体" w:cs="宋体"/>
          <w:b w:val="0"/>
          <w:bCs/>
          <w:snapToGrid w:val="0"/>
          <w:color w:val="auto"/>
          <w:kern w:val="0"/>
          <w:sz w:val="24"/>
          <w:highlight w:val="none"/>
          <w:u w:val="single"/>
          <w:lang w:val="en-US" w:eastAsia="zh-CN"/>
        </w:rPr>
        <w:t>1.714%</w:t>
      </w:r>
      <w:r>
        <w:rPr>
          <w:rFonts w:hint="eastAsia" w:ascii="宋体" w:hAnsi="宋体" w:cs="宋体"/>
          <w:b w:val="0"/>
          <w:bCs/>
          <w:snapToGrid w:val="0"/>
          <w:color w:val="auto"/>
          <w:kern w:val="0"/>
          <w:sz w:val="24"/>
          <w:highlight w:val="none"/>
          <w:u w:val="single"/>
        </w:rPr>
        <w:t>。</w:t>
      </w:r>
    </w:p>
    <w:p w14:paraId="0C08338C">
      <w:pPr>
        <w:pStyle w:val="3"/>
        <w:keepNext w:val="0"/>
        <w:keepLines w:val="0"/>
        <w:pageBreakBefore w:val="0"/>
        <w:kinsoku/>
        <w:wordWrap w:val="0"/>
        <w:overflowPunct/>
        <w:topLinePunct w:val="0"/>
        <w:autoSpaceDE/>
        <w:autoSpaceDN/>
        <w:bidi w:val="0"/>
        <w:snapToGrid w:val="0"/>
        <w:spacing w:line="360" w:lineRule="exact"/>
        <w:ind w:firstLine="482" w:firstLineChars="200"/>
        <w:jc w:val="both"/>
        <w:textAlignment w:val="auto"/>
        <w:rPr>
          <w:rFonts w:hAnsi="宋体" w:cs="宋体"/>
          <w:b/>
          <w:snapToGrid w:val="0"/>
          <w:color w:val="auto"/>
          <w:highlight w:val="none"/>
        </w:rPr>
      </w:pPr>
      <w:bookmarkStart w:id="39" w:name="_Toc7437"/>
      <w:bookmarkStart w:id="40" w:name="_Toc6959"/>
      <w:r>
        <w:rPr>
          <w:rFonts w:hint="eastAsia" w:hAnsi="宋体" w:cs="宋体"/>
          <w:b/>
          <w:snapToGrid w:val="0"/>
          <w:color w:val="auto"/>
          <w:highlight w:val="none"/>
        </w:rPr>
        <w:t>9．投标报价</w:t>
      </w:r>
      <w:bookmarkEnd w:id="39"/>
      <w:bookmarkEnd w:id="40"/>
      <w:bookmarkStart w:id="41" w:name="_Hlt74498519"/>
      <w:bookmarkEnd w:id="41"/>
    </w:p>
    <w:p w14:paraId="29D01F5F">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9.1</w:t>
      </w:r>
      <w:r>
        <w:rPr>
          <w:rFonts w:hint="eastAsia" w:hAnsi="宋体" w:cs="宋体"/>
          <w:snapToGrid w:val="0"/>
          <w:color w:val="auto"/>
          <w:kern w:val="0"/>
          <w:highlight w:val="none"/>
        </w:rPr>
        <w:t xml:space="preserve"> 本次招标采用填报</w:t>
      </w:r>
      <w:r>
        <w:rPr>
          <w:rFonts w:hint="eastAsia" w:hAnsi="宋体" w:cs="宋体"/>
          <w:snapToGrid w:val="0"/>
          <w:color w:val="auto"/>
          <w:kern w:val="0"/>
          <w:highlight w:val="none"/>
          <w:u w:val="single"/>
        </w:rPr>
        <w:t xml:space="preserve"> </w:t>
      </w:r>
      <w:r>
        <w:rPr>
          <w:rFonts w:hint="eastAsia" w:ascii="Times New Roman"/>
          <w:snapToGrid w:val="0"/>
          <w:color w:val="auto"/>
          <w:kern w:val="0"/>
          <w:highlight w:val="none"/>
          <w:u w:val="single"/>
        </w:rPr>
        <w:t xml:space="preserve">投标报价及取费费率 </w:t>
      </w:r>
      <w:r>
        <w:rPr>
          <w:rFonts w:hint="eastAsia" w:ascii="Times New Roman"/>
          <w:snapToGrid w:val="0"/>
          <w:color w:val="auto"/>
          <w:kern w:val="0"/>
          <w:highlight w:val="none"/>
        </w:rPr>
        <w:t>的方式进行报价</w:t>
      </w:r>
      <w:r>
        <w:rPr>
          <w:rFonts w:hint="eastAsia" w:hAnsi="宋体" w:cs="宋体"/>
          <w:snapToGrid w:val="0"/>
          <w:color w:val="auto"/>
          <w:kern w:val="0"/>
          <w:highlight w:val="none"/>
        </w:rPr>
        <w:t>。</w:t>
      </w:r>
      <w:r>
        <w:rPr>
          <w:rFonts w:hint="eastAsia" w:ascii="Times New Roman"/>
          <w:snapToGrid w:val="0"/>
          <w:color w:val="auto"/>
          <w:kern w:val="0"/>
          <w:highlight w:val="none"/>
        </w:rPr>
        <w:t>投标人应在《投标函》（格式二）中进行报价。</w:t>
      </w:r>
    </w:p>
    <w:p w14:paraId="578E2B6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9.2</w:t>
      </w:r>
      <w:r>
        <w:rPr>
          <w:rFonts w:hint="eastAsia" w:hAnsi="宋体" w:cs="宋体"/>
          <w:snapToGrid w:val="0"/>
          <w:color w:val="auto"/>
          <w:kern w:val="0"/>
          <w:highlight w:val="none"/>
        </w:rPr>
        <w:t xml:space="preserve"> 所有报价均以人民币“元”为单位，并保留两位小数。投标取费费率=投标总价÷建安工程费暂定价×100%，并保留3位小数。</w:t>
      </w:r>
    </w:p>
    <w:p w14:paraId="389273D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hAnsi="宋体" w:cs="宋体"/>
          <w:snapToGrid w:val="0"/>
          <w:color w:val="auto"/>
          <w:kern w:val="0"/>
          <w:szCs w:val="24"/>
          <w:highlight w:val="none"/>
        </w:rPr>
      </w:pPr>
      <w:r>
        <w:rPr>
          <w:rFonts w:hint="eastAsia" w:hAnsi="宋体" w:cs="宋体"/>
          <w:b/>
          <w:bCs/>
          <w:snapToGrid w:val="0"/>
          <w:color w:val="auto"/>
          <w:kern w:val="0"/>
          <w:highlight w:val="none"/>
        </w:rPr>
        <w:t xml:space="preserve">9.3 </w:t>
      </w:r>
      <w:r>
        <w:rPr>
          <w:rFonts w:hint="eastAsia" w:hAnsi="宋体" w:cs="宋体"/>
          <w:snapToGrid w:val="0"/>
          <w:color w:val="auto"/>
          <w:kern w:val="0"/>
          <w:szCs w:val="24"/>
          <w:highlight w:val="none"/>
        </w:rPr>
        <w:t>在最高投标限价范围内，投标人自行报价。监理服务费结算时以县财政投资评审中心审核后的建安工程费为准。结算价按以下方式结算：监理费=县财政投资评审中心审核后的建安工程费×监理费的中标费率（监理费的中标费率=监理费中标价÷</w:t>
      </w:r>
      <w:r>
        <w:rPr>
          <w:rFonts w:hint="eastAsia" w:hAnsi="宋体" w:cs="宋体"/>
          <w:snapToGrid w:val="0"/>
          <w:color w:val="auto"/>
          <w:kern w:val="0"/>
          <w:highlight w:val="none"/>
        </w:rPr>
        <w:t>建安工程费暂定价</w:t>
      </w:r>
      <w:r>
        <w:rPr>
          <w:rFonts w:hint="eastAsia" w:hAnsi="宋体" w:cs="宋体"/>
          <w:snapToGrid w:val="0"/>
          <w:color w:val="auto"/>
          <w:kern w:val="0"/>
          <w:szCs w:val="24"/>
          <w:highlight w:val="none"/>
        </w:rPr>
        <w:t>3441.51万元×100%）。</w:t>
      </w:r>
    </w:p>
    <w:p w14:paraId="33B3A55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监理服务费的中标费率，四舍五入保留三位小数。本项目的建安工程费暂定价为人民币</w:t>
      </w:r>
      <w:r>
        <w:rPr>
          <w:rFonts w:hint="eastAsia" w:hAnsi="宋体" w:cs="宋体"/>
          <w:snapToGrid w:val="0"/>
          <w:color w:val="auto"/>
          <w:kern w:val="0"/>
          <w:szCs w:val="24"/>
          <w:highlight w:val="none"/>
          <w:lang w:val="en-US" w:eastAsia="zh-CN"/>
        </w:rPr>
        <w:t>3441.51万元</w:t>
      </w:r>
      <w:r>
        <w:rPr>
          <w:rFonts w:hint="eastAsia" w:hAnsi="宋体" w:cs="宋体"/>
          <w:snapToGrid w:val="0"/>
          <w:color w:val="auto"/>
          <w:kern w:val="0"/>
          <w:szCs w:val="24"/>
          <w:highlight w:val="none"/>
        </w:rPr>
        <w:t>。</w:t>
      </w:r>
    </w:p>
    <w:p w14:paraId="5CAAA2E6">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9.4</w:t>
      </w:r>
      <w:r>
        <w:rPr>
          <w:rFonts w:hint="eastAsia" w:hAnsi="宋体" w:cs="宋体"/>
          <w:snapToGrid w:val="0"/>
          <w:color w:val="auto"/>
          <w:kern w:val="0"/>
          <w:szCs w:val="24"/>
          <w:highlight w:val="none"/>
        </w:rPr>
        <w:t xml:space="preserve"> 投标人只允许有一个投标总价。投标总价必须同时用大、小写表示，大、小写报价应保持一致，若不一致，以大写报价为准。</w:t>
      </w:r>
    </w:p>
    <w:p w14:paraId="38E89C06">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9.5</w:t>
      </w:r>
      <w:r>
        <w:rPr>
          <w:rFonts w:hint="eastAsia" w:hAnsi="宋体" w:cs="宋体"/>
          <w:snapToGrid w:val="0"/>
          <w:color w:val="auto"/>
          <w:kern w:val="0"/>
          <w:szCs w:val="24"/>
          <w:highlight w:val="none"/>
        </w:rPr>
        <w:t>投标总价应包括国家规定的增值税税金。本次招标增值税税金按</w:t>
      </w:r>
      <w:r>
        <w:rPr>
          <w:rFonts w:hint="eastAsia" w:hAnsi="宋体" w:cs="宋体"/>
          <w:snapToGrid w:val="0"/>
          <w:color w:val="auto"/>
          <w:kern w:val="0"/>
          <w:szCs w:val="24"/>
          <w:highlight w:val="none"/>
          <w:u w:val="single"/>
        </w:rPr>
        <w:t xml:space="preserve"> 一般 </w:t>
      </w:r>
      <w:r>
        <w:rPr>
          <w:rFonts w:hint="eastAsia" w:hAnsi="宋体" w:cs="宋体"/>
          <w:snapToGrid w:val="0"/>
          <w:color w:val="auto"/>
          <w:kern w:val="0"/>
          <w:szCs w:val="24"/>
          <w:highlight w:val="none"/>
        </w:rPr>
        <w:t>计税方法计算。</w:t>
      </w:r>
    </w:p>
    <w:p w14:paraId="676E75F3">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9.6</w:t>
      </w:r>
      <w:r>
        <w:rPr>
          <w:rFonts w:hint="eastAsia" w:hAnsi="宋体" w:cs="宋体"/>
          <w:snapToGrid w:val="0"/>
          <w:color w:val="auto"/>
          <w:kern w:val="0"/>
          <w:szCs w:val="24"/>
          <w:highlight w:val="none"/>
        </w:rPr>
        <w:t xml:space="preserve"> </w:t>
      </w:r>
      <w:r>
        <w:rPr>
          <w:rFonts w:hint="eastAsia" w:ascii="Times New Roman"/>
          <w:snapToGrid w:val="0"/>
          <w:color w:val="auto"/>
          <w:kern w:val="0"/>
          <w:highlight w:val="none"/>
        </w:rPr>
        <w:t>投标总价不得高于最高投标限价，也不得低于成本。</w:t>
      </w:r>
    </w:p>
    <w:p w14:paraId="51278CC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b/>
          <w:snapToGrid w:val="0"/>
          <w:color w:val="auto"/>
          <w:szCs w:val="24"/>
          <w:highlight w:val="none"/>
        </w:rPr>
      </w:pPr>
      <w:r>
        <w:rPr>
          <w:rFonts w:hint="eastAsia" w:hAnsi="宋体" w:cs="宋体"/>
          <w:b/>
          <w:bCs/>
          <w:snapToGrid w:val="0"/>
          <w:color w:val="auto"/>
          <w:kern w:val="0"/>
          <w:szCs w:val="24"/>
          <w:highlight w:val="none"/>
        </w:rPr>
        <w:t>9.7</w:t>
      </w:r>
      <w:r>
        <w:rPr>
          <w:rFonts w:hint="eastAsia" w:hAnsi="宋体" w:cs="宋体"/>
          <w:snapToGrid w:val="0"/>
          <w:color w:val="auto"/>
          <w:kern w:val="0"/>
          <w:szCs w:val="24"/>
          <w:highlight w:val="none"/>
        </w:rPr>
        <w:t xml:space="preserve"> 投标人应充分了解招标项目的总体情况以及影响投标报价的其他要素。</w:t>
      </w:r>
      <w:bookmarkStart w:id="42" w:name="_（十）投标文件的编制、包装、密封"/>
      <w:bookmarkEnd w:id="42"/>
    </w:p>
    <w:p w14:paraId="0583B02D">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trike/>
          <w:snapToGrid w:val="0"/>
          <w:color w:val="auto"/>
          <w:szCs w:val="24"/>
          <w:highlight w:val="none"/>
        </w:rPr>
      </w:pPr>
      <w:bookmarkStart w:id="43" w:name="_Toc684"/>
      <w:bookmarkStart w:id="44" w:name="_Toc6576"/>
      <w:r>
        <w:rPr>
          <w:rFonts w:hint="eastAsia" w:hAnsi="宋体" w:cs="宋体"/>
          <w:b/>
          <w:snapToGrid w:val="0"/>
          <w:color w:val="auto"/>
          <w:szCs w:val="24"/>
          <w:highlight w:val="none"/>
        </w:rPr>
        <w:t>10．投标文件的编制</w:t>
      </w:r>
      <w:bookmarkStart w:id="45" w:name="_Hlt69332370"/>
      <w:bookmarkEnd w:id="45"/>
      <w:bookmarkStart w:id="46" w:name="_Hlt69208262"/>
      <w:bookmarkEnd w:id="46"/>
      <w:r>
        <w:rPr>
          <w:rFonts w:hint="eastAsia" w:hAnsi="宋体" w:cs="宋体"/>
          <w:b/>
          <w:snapToGrid w:val="0"/>
          <w:color w:val="auto"/>
          <w:szCs w:val="24"/>
          <w:highlight w:val="none"/>
        </w:rPr>
        <w:t>要求</w:t>
      </w:r>
      <w:bookmarkEnd w:id="43"/>
      <w:bookmarkEnd w:id="44"/>
      <w:bookmarkStart w:id="47" w:name="_Hlt78768224"/>
      <w:bookmarkEnd w:id="47"/>
      <w:bookmarkStart w:id="48" w:name="_Hlt74495594"/>
      <w:bookmarkEnd w:id="48"/>
      <w:bookmarkStart w:id="49" w:name="_Hlt74497202"/>
      <w:bookmarkEnd w:id="49"/>
    </w:p>
    <w:p w14:paraId="06814CC3">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b/>
          <w:snapToGrid w:val="0"/>
          <w:color w:val="auto"/>
          <w:kern w:val="0"/>
          <w:szCs w:val="24"/>
          <w:highlight w:val="none"/>
        </w:rPr>
      </w:pPr>
      <w:r>
        <w:rPr>
          <w:rFonts w:hint="eastAsia" w:hAnsi="宋体" w:cs="宋体"/>
          <w:b/>
          <w:bCs/>
          <w:snapToGrid w:val="0"/>
          <w:color w:val="auto"/>
          <w:kern w:val="0"/>
          <w:szCs w:val="24"/>
          <w:highlight w:val="none"/>
        </w:rPr>
        <w:t>10.1</w:t>
      </w:r>
      <w:r>
        <w:rPr>
          <w:rFonts w:hint="eastAsia" w:hAnsi="宋体" w:cs="宋体"/>
          <w:bCs/>
          <w:snapToGrid w:val="0"/>
          <w:color w:val="auto"/>
          <w:kern w:val="0"/>
          <w:szCs w:val="24"/>
          <w:highlight w:val="none"/>
        </w:rPr>
        <w:t xml:space="preserve"> 一般要求</w:t>
      </w:r>
    </w:p>
    <w:p w14:paraId="4A98FB0D">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bookmarkStart w:id="50" w:name="_Hlt74496890"/>
      <w:bookmarkEnd w:id="50"/>
      <w:r>
        <w:rPr>
          <w:rFonts w:hint="eastAsia" w:hAnsi="宋体" w:cs="宋体"/>
          <w:snapToGrid w:val="0"/>
          <w:color w:val="auto"/>
          <w:kern w:val="0"/>
          <w:szCs w:val="24"/>
          <w:highlight w:val="none"/>
        </w:rPr>
        <w:t>投标文件应按第五章 投标文件格式规定的内容，投标人提交的投标文件应当使用招标文件所提供的投标文件全部格式。</w:t>
      </w:r>
    </w:p>
    <w:p w14:paraId="0B3B4561">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10.1.1</w:t>
      </w:r>
      <w:r>
        <w:rPr>
          <w:rFonts w:hint="eastAsia" w:hAnsi="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4C7D802A">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10.1.2</w:t>
      </w:r>
      <w:r>
        <w:rPr>
          <w:rFonts w:hint="eastAsia" w:hAnsi="宋体" w:cs="宋体"/>
          <w:snapToGrid w:val="0"/>
          <w:color w:val="auto"/>
          <w:kern w:val="0"/>
          <w:szCs w:val="24"/>
          <w:highlight w:val="none"/>
        </w:rPr>
        <w:t xml:space="preserve"> 投标文件包括商务标书、监理大纲两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7884F718">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w:t>
      </w:r>
      <w:r>
        <w:rPr>
          <w:rFonts w:hint="eastAsia" w:hAnsi="宋体" w:cs="宋体"/>
          <w:snapToGrid w:val="0"/>
          <w:color w:val="auto"/>
          <w:kern w:val="0"/>
          <w:szCs w:val="24"/>
          <w:highlight w:val="none"/>
        </w:rPr>
        <w:t xml:space="preserve"> 投标文件需按以下要求签字、盖章：</w:t>
      </w:r>
    </w:p>
    <w:p w14:paraId="4EA4C96B">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10.1.3.1</w:t>
      </w:r>
      <w:r>
        <w:rPr>
          <w:rFonts w:hint="eastAsia" w:hAnsi="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1024EE94">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10.1.3.2</w:t>
      </w:r>
      <w:r>
        <w:rPr>
          <w:rFonts w:hint="eastAsia" w:hAnsi="宋体" w:cs="宋体"/>
          <w:snapToGrid w:val="0"/>
          <w:color w:val="auto"/>
          <w:kern w:val="0"/>
          <w:szCs w:val="24"/>
          <w:highlight w:val="none"/>
        </w:rPr>
        <w:t xml:space="preserve"> 投标文件封套、封面、组成内容中凡要求录入投标人名称且注明“盖单位章”处盖单位法人公章（电子印章）。</w:t>
      </w:r>
    </w:p>
    <w:p w14:paraId="14027F1E">
      <w:pPr>
        <w:pStyle w:val="8"/>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10.1.3.3</w:t>
      </w:r>
      <w:r>
        <w:rPr>
          <w:rFonts w:hint="eastAsia" w:hAnsi="宋体" w:cs="宋体"/>
          <w:snapToGrid w:val="0"/>
          <w:color w:val="auto"/>
          <w:kern w:val="0"/>
          <w:szCs w:val="24"/>
          <w:highlight w:val="none"/>
        </w:rPr>
        <w:t xml:space="preserve"> 投标文件的签字均为签字人本人亲笔署名或签章（电子印章），其余部分的扫描件无须另行签字、盖章。</w:t>
      </w:r>
    </w:p>
    <w:p w14:paraId="7CF5406B">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10.1.4</w:t>
      </w:r>
      <w:r>
        <w:rPr>
          <w:rFonts w:hint="eastAsia" w:hAnsi="宋体" w:cs="宋体"/>
          <w:snapToGrid w:val="0"/>
          <w:color w:val="auto"/>
          <w:kern w:val="0"/>
          <w:szCs w:val="24"/>
          <w:highlight w:val="none"/>
        </w:rPr>
        <w:t xml:space="preserve"> 联合体投标的，除《联合体协议书》外，由联合体牵头人按以上要求签亲笔署名或签章（电子印章）即可。</w:t>
      </w:r>
      <w:r>
        <w:rPr>
          <w:rFonts w:hint="eastAsia" w:hAnsi="宋体" w:cs="宋体"/>
          <w:b/>
          <w:bCs/>
          <w:snapToGrid w:val="0"/>
          <w:color w:val="auto"/>
          <w:kern w:val="0"/>
          <w:szCs w:val="24"/>
          <w:highlight w:val="none"/>
        </w:rPr>
        <w:t>（本项目不适用）</w:t>
      </w:r>
    </w:p>
    <w:p w14:paraId="140DE097">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b/>
          <w:snapToGrid w:val="0"/>
          <w:color w:val="auto"/>
          <w:kern w:val="0"/>
          <w:szCs w:val="24"/>
          <w:highlight w:val="none"/>
        </w:rPr>
      </w:pPr>
      <w:bookmarkStart w:id="51" w:name="_Toc274313880"/>
      <w:bookmarkStart w:id="52" w:name="_Toc257031159"/>
      <w:r>
        <w:rPr>
          <w:rFonts w:hint="eastAsia" w:hAnsi="宋体" w:cs="宋体"/>
          <w:b/>
          <w:bCs/>
          <w:snapToGrid w:val="0"/>
          <w:color w:val="auto"/>
          <w:kern w:val="0"/>
          <w:szCs w:val="24"/>
          <w:highlight w:val="none"/>
        </w:rPr>
        <w:t>10.2</w:t>
      </w:r>
      <w:r>
        <w:rPr>
          <w:rFonts w:hint="eastAsia" w:hAnsi="宋体" w:cs="宋体"/>
          <w:bCs/>
          <w:snapToGrid w:val="0"/>
          <w:color w:val="auto"/>
          <w:kern w:val="0"/>
          <w:szCs w:val="24"/>
          <w:highlight w:val="none"/>
        </w:rPr>
        <w:t xml:space="preserve"> 商务标书的编制要求</w:t>
      </w:r>
      <w:bookmarkEnd w:id="51"/>
      <w:bookmarkEnd w:id="52"/>
    </w:p>
    <w:p w14:paraId="519EA294">
      <w:pPr>
        <w:keepNext w:val="0"/>
        <w:keepLines w:val="0"/>
        <w:pageBreakBefore w:val="0"/>
        <w:kinsoku/>
        <w:wordWrap w:val="0"/>
        <w:overflowPunct/>
        <w:topLinePunct w:val="0"/>
        <w:autoSpaceDE/>
        <w:autoSpaceDN/>
        <w:bidi w:val="0"/>
        <w:adjustRightInd w:val="0"/>
        <w:snapToGrid w:val="0"/>
        <w:spacing w:line="360" w:lineRule="exact"/>
        <w:ind w:firstLine="561"/>
        <w:textAlignment w:val="auto"/>
        <w:rPr>
          <w:rFonts w:hAnsi="宋体" w:cs="宋体"/>
          <w:snapToGrid w:val="0"/>
          <w:color w:val="auto"/>
          <w:kern w:val="0"/>
          <w:szCs w:val="24"/>
          <w:highlight w:val="none"/>
          <w:u w:val="single"/>
        </w:rPr>
      </w:pP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商务标书</w:t>
      </w:r>
      <w:r>
        <w:rPr>
          <w:rFonts w:hint="eastAsia" w:hAnsi="宋体" w:cs="宋体"/>
          <w:snapToGrid w:val="0"/>
          <w:color w:val="auto"/>
          <w:kern w:val="0"/>
          <w:szCs w:val="24"/>
          <w:highlight w:val="none"/>
        </w:rPr>
        <w:t>包括但不限于以下内容：</w:t>
      </w:r>
    </w:p>
    <w:p w14:paraId="521EEDA9">
      <w:pPr>
        <w:keepNext w:val="0"/>
        <w:keepLines w:val="0"/>
        <w:pageBreakBefore w:val="0"/>
        <w:kinsoku/>
        <w:wordWrap w:val="0"/>
        <w:overflowPunct/>
        <w:topLinePunct w:val="0"/>
        <w:autoSpaceDE/>
        <w:autoSpaceDN/>
        <w:bidi w:val="0"/>
        <w:adjustRightInd w:val="0"/>
        <w:snapToGrid w:val="0"/>
        <w:spacing w:line="360" w:lineRule="exac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（1）封面（格式一）；</w:t>
      </w:r>
    </w:p>
    <w:p w14:paraId="1C70903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265140F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（3）《投标函》（格式二）；</w:t>
      </w:r>
    </w:p>
    <w:p w14:paraId="50B36C6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（4）《各项承诺一览表》（格式三）；</w:t>
      </w:r>
    </w:p>
    <w:p w14:paraId="34DD838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（5）《授权委托书》（格式四）；</w:t>
      </w:r>
    </w:p>
    <w:p w14:paraId="262E907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（6）《法定代表人身份证明》（格式五）；</w:t>
      </w:r>
    </w:p>
    <w:p w14:paraId="4CED5F7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2A66574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（8）《投标人基本情况表》（格式六）及所附资料；</w:t>
      </w:r>
    </w:p>
    <w:p w14:paraId="648BF22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（9）《总监理工程师任职声明》（格式七或格式八，由投标人根据拟派总监理工程师任职情况选用）；</w:t>
      </w:r>
    </w:p>
    <w:p w14:paraId="1EEB7AC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（10）《总监理工程师任职项目情况表》（格式九）及所附资料；</w:t>
      </w:r>
    </w:p>
    <w:p w14:paraId="66C6947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（11）《项目监理机构组成人员汇总表》（格式十）；</w:t>
      </w:r>
    </w:p>
    <w:p w14:paraId="04BD19B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（12）《总监理工程师简历表》（格式十一）及所附资料；</w:t>
      </w:r>
    </w:p>
    <w:p w14:paraId="40E497E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（13）《其他拟派人员简历表》（格式十二）及所附资料；</w:t>
      </w:r>
    </w:p>
    <w:p w14:paraId="19303639">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（14）详细评审阶段要求提供的评审资料（详见本节第</w:t>
      </w:r>
      <w:r>
        <w:rPr>
          <w:rFonts w:hint="eastAsia" w:hAnsi="宋体" w:cs="宋体"/>
          <w:b/>
          <w:bCs/>
          <w:snapToGrid w:val="0"/>
          <w:color w:val="auto"/>
          <w:kern w:val="0"/>
          <w:szCs w:val="24"/>
          <w:highlight w:val="none"/>
        </w:rPr>
        <w:t>15.5.1</w:t>
      </w:r>
      <w:r>
        <w:rPr>
          <w:rFonts w:hint="eastAsia" w:hAnsi="宋体" w:cs="宋体"/>
          <w:snapToGrid w:val="0"/>
          <w:color w:val="auto"/>
          <w:kern w:val="0"/>
          <w:szCs w:val="24"/>
          <w:highlight w:val="none"/>
        </w:rPr>
        <w:t>目）；</w:t>
      </w:r>
    </w:p>
    <w:p w14:paraId="2C47BB1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06D21937">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10.2.2</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目中所列出的商务标书组成内容中，第（1）至第（13）项所有投标人均应提供。</w:t>
      </w:r>
      <w:r>
        <w:rPr>
          <w:rFonts w:hint="eastAsia" w:hAnsi="宋体" w:cs="宋体"/>
          <w:b/>
          <w:bCs/>
          <w:snapToGrid w:val="0"/>
          <w:color w:val="auto"/>
          <w:kern w:val="0"/>
          <w:szCs w:val="24"/>
          <w:highlight w:val="none"/>
        </w:rPr>
        <w:t>但拟派总监理工程师现阶段未担任任何在施建设工程项目总监理工程师的，无需提供第（10）项内容。</w:t>
      </w:r>
    </w:p>
    <w:p w14:paraId="213A5A02">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10.2.3</w:t>
      </w:r>
      <w:r>
        <w:rPr>
          <w:rFonts w:hint="eastAsia" w:hAnsi="宋体" w:cs="宋体"/>
          <w:snapToGrid w:val="0"/>
          <w:color w:val="auto"/>
          <w:kern w:val="0"/>
          <w:szCs w:val="24"/>
          <w:highlight w:val="none"/>
        </w:rPr>
        <w:t xml:space="preserve"> 商务标书的组成内容按本节第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目规定的顺序整理、编排后，逐页（页码起始从封面开始）连续标记页码。</w:t>
      </w:r>
    </w:p>
    <w:p w14:paraId="7BD4D3C4">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
          <w:bCs/>
          <w:snapToGrid w:val="0"/>
          <w:color w:val="auto"/>
          <w:kern w:val="0"/>
          <w:szCs w:val="24"/>
          <w:highlight w:val="none"/>
        </w:rPr>
        <w:t>10.3</w:t>
      </w:r>
      <w:r>
        <w:rPr>
          <w:rFonts w:hint="eastAsia" w:hAnsi="宋体" w:cs="宋体"/>
          <w:bCs/>
          <w:snapToGrid w:val="0"/>
          <w:color w:val="auto"/>
          <w:kern w:val="0"/>
          <w:szCs w:val="24"/>
          <w:highlight w:val="none"/>
        </w:rPr>
        <w:t xml:space="preserve"> 监理大纲的编制要求</w:t>
      </w:r>
    </w:p>
    <w:p w14:paraId="51A4C11E">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
          <w:snapToGrid w:val="0"/>
          <w:color w:val="auto"/>
          <w:kern w:val="0"/>
          <w:szCs w:val="24"/>
          <w:highlight w:val="none"/>
        </w:rPr>
        <w:t>10.3.1</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的编制依据包括且不限于</w:t>
      </w:r>
      <w:r>
        <w:rPr>
          <w:rFonts w:hint="eastAsia" w:hAnsi="宋体" w:cs="宋体"/>
          <w:bCs/>
          <w:snapToGrid w:val="0"/>
          <w:color w:val="auto"/>
          <w:kern w:val="0"/>
          <w:szCs w:val="24"/>
          <w:highlight w:val="none"/>
        </w:rPr>
        <w:t>：</w:t>
      </w:r>
    </w:p>
    <w:p w14:paraId="39F2DCA0">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（1）招标文件及</w:t>
      </w:r>
      <w:r>
        <w:rPr>
          <w:rFonts w:hint="eastAsia" w:hAnsi="宋体" w:cs="宋体"/>
          <w:snapToGrid w:val="0"/>
          <w:color w:val="auto"/>
          <w:kern w:val="0"/>
          <w:szCs w:val="24"/>
          <w:highlight w:val="none"/>
        </w:rPr>
        <w:t>其答疑（或修改）公告；</w:t>
      </w:r>
    </w:p>
    <w:p w14:paraId="7FE6CF64">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（2）施工现场情况、工程特点；</w:t>
      </w:r>
    </w:p>
    <w:p w14:paraId="0106AAEC">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（3）相关法律、法规、规定；</w:t>
      </w:r>
    </w:p>
    <w:p w14:paraId="1C23374C">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750B1A78">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snapToGrid w:val="0"/>
          <w:color w:val="auto"/>
          <w:kern w:val="0"/>
          <w:szCs w:val="24"/>
          <w:highlight w:val="none"/>
        </w:rPr>
        <w:t>10.3.2</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包括但不限于以下内容：</w:t>
      </w:r>
    </w:p>
    <w:p w14:paraId="6889266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（1）封面（格式一）；</w:t>
      </w:r>
    </w:p>
    <w:p w14:paraId="7273BD3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158A5A6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（3）监理工程概况；</w:t>
      </w:r>
    </w:p>
    <w:p w14:paraId="2A4D65F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（4）监理及相关服务的范围、内容；</w:t>
      </w:r>
    </w:p>
    <w:p w14:paraId="722D508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（5）监理及相关服务的依据、目标；</w:t>
      </w:r>
    </w:p>
    <w:p w14:paraId="56BF972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（6）项目监理机构设置（框图）、岗位职责；</w:t>
      </w:r>
    </w:p>
    <w:p w14:paraId="393887D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（7）监理及相关服务的工作程序、方法和制度；</w:t>
      </w:r>
    </w:p>
    <w:p w14:paraId="582FDE7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（8）拟投入的监理及相关服务人员；</w:t>
      </w:r>
    </w:p>
    <w:p w14:paraId="0718B32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（9）质量、进度、造价、安全、绿色施工监理措施；</w:t>
      </w:r>
    </w:p>
    <w:p w14:paraId="7669464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（10）合同、信息管理方案；</w:t>
      </w:r>
    </w:p>
    <w:p w14:paraId="4609062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（11）组织协调内容及措施；</w:t>
      </w:r>
    </w:p>
    <w:p w14:paraId="5FC6FA4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（12）监理及相关服务的工作重点、难点分析；</w:t>
      </w:r>
    </w:p>
    <w:p w14:paraId="37222DC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（13）对本工程监理及相关服务的合理化建议。</w:t>
      </w:r>
    </w:p>
    <w:p w14:paraId="397E520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10.3.3</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目中所列出的</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组成内容，所有投标人均应提供。</w:t>
      </w:r>
    </w:p>
    <w:p w14:paraId="4741A291">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10.3.4</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的组成内容按本节第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目规定的顺序整理、编排后，逐页（页码起始从封面开始）连续标记页码。</w:t>
      </w:r>
    </w:p>
    <w:p w14:paraId="7AABDEC4">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napToGrid w:val="0"/>
          <w:color w:val="auto"/>
          <w:szCs w:val="24"/>
          <w:highlight w:val="none"/>
        </w:rPr>
      </w:pPr>
      <w:bookmarkStart w:id="53" w:name="_Toc2864"/>
      <w:bookmarkStart w:id="54" w:name="_Toc18720"/>
      <w:r>
        <w:rPr>
          <w:rFonts w:hint="eastAsia" w:hAnsi="宋体" w:cs="宋体"/>
          <w:b/>
          <w:snapToGrid w:val="0"/>
          <w:color w:val="auto"/>
          <w:szCs w:val="24"/>
          <w:highlight w:val="none"/>
        </w:rPr>
        <w:t>11．</w:t>
      </w:r>
      <w:bookmarkEnd w:id="53"/>
      <w:r>
        <w:rPr>
          <w:rFonts w:hint="eastAsia" w:hAnsi="宋体" w:cs="宋体"/>
          <w:b/>
          <w:snapToGrid w:val="0"/>
          <w:color w:val="auto"/>
          <w:szCs w:val="24"/>
          <w:highlight w:val="none"/>
        </w:rPr>
        <w:t>电子投标</w:t>
      </w:r>
      <w:bookmarkEnd w:id="54"/>
    </w:p>
    <w:p w14:paraId="580C2120">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在建设工程交易系统上传加盖了电子印章的投标文件、录入相关信息及标书页码信息，（页码起始从封面开始）并提交投标标书，提交标书为已加密投标文件。具体操作参照</w:t>
      </w:r>
      <w:r>
        <w:rPr>
          <w:rFonts w:hint="eastAsia"/>
          <w:color w:val="auto"/>
          <w:highlight w:val="none"/>
        </w:rPr>
        <w:t>《韶关市公共资源建设工程交易系统-投标人操作指南（电子评标）》</w:t>
      </w:r>
      <w:r>
        <w:rPr>
          <w:rFonts w:hint="eastAsia" w:ascii="宋体" w:hAnsi="宋体" w:cs="宋体"/>
          <w:snapToGrid w:val="0"/>
          <w:color w:val="auto"/>
          <w:kern w:val="0"/>
          <w:sz w:val="24"/>
          <w:highlight w:val="none"/>
        </w:rPr>
        <w:t>。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0AC9A777">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11.2</w:t>
      </w:r>
      <w:r>
        <w:rPr>
          <w:rFonts w:hint="eastAsia" w:ascii="宋体" w:hAnsi="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B101EC3">
      <w:pPr>
        <w:keepNext w:val="0"/>
        <w:keepLines w:val="0"/>
        <w:pageBreakBefore w:val="0"/>
        <w:kinsoku/>
        <w:overflowPunct/>
        <w:topLinePunct w:val="0"/>
        <w:autoSpaceDE/>
        <w:autoSpaceDN/>
        <w:bidi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11.3 </w:t>
      </w:r>
      <w:r>
        <w:rPr>
          <w:rFonts w:hint="eastAsia" w:hAnsi="宋体" w:cs="宋体"/>
          <w:snapToGrid w:val="0"/>
          <w:color w:val="auto"/>
          <w:kern w:val="0"/>
          <w:szCs w:val="24"/>
          <w:highlight w:val="none"/>
        </w:rPr>
        <w:t>电子投标解密失败及突发情况的补救</w:t>
      </w:r>
    </w:p>
    <w:p w14:paraId="27227D5E">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11.3.1</w:t>
      </w:r>
      <w:r>
        <w:rPr>
          <w:rFonts w:hint="eastAsia" w:ascii="宋体" w:hAnsi="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3E063C99">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11.3.2</w:t>
      </w:r>
      <w:r>
        <w:rPr>
          <w:rFonts w:hint="eastAsia" w:ascii="宋体" w:hAnsi="宋体" w:cs="宋体"/>
          <w:snapToGrid w:val="0"/>
          <w:color w:val="auto"/>
          <w:kern w:val="0"/>
          <w:sz w:val="24"/>
          <w:highlight w:val="none"/>
        </w:rPr>
        <w:t>补救方案：</w:t>
      </w:r>
    </w:p>
    <w:p w14:paraId="04CB3EDE">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74E3E8B1">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84C6694">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（3）除发生上述情况外，开标评标均以投标人通过交易平台网上提交的电子投标文件为准。</w:t>
      </w:r>
    </w:p>
    <w:p w14:paraId="2EBCAF3F">
      <w:pPr>
        <w:pStyle w:val="3"/>
        <w:keepNext w:val="0"/>
        <w:keepLines w:val="0"/>
        <w:pageBreakBefore w:val="0"/>
        <w:kinsoku/>
        <w:wordWrap w:val="0"/>
        <w:overflowPunct/>
        <w:topLinePunct w:val="0"/>
        <w:autoSpaceDE/>
        <w:autoSpaceDN/>
        <w:bidi w:val="0"/>
        <w:snapToGrid w:val="0"/>
        <w:spacing w:line="360" w:lineRule="exact"/>
        <w:ind w:firstLine="480"/>
        <w:jc w:val="both"/>
        <w:textAlignment w:val="auto"/>
        <w:rPr>
          <w:rFonts w:hAnsi="宋体" w:cs="宋体"/>
          <w:b/>
          <w:snapToGrid w:val="0"/>
          <w:color w:val="auto"/>
          <w:szCs w:val="24"/>
          <w:highlight w:val="none"/>
        </w:rPr>
      </w:pPr>
      <w:bookmarkStart w:id="55" w:name="_Toc16552"/>
      <w:r>
        <w:rPr>
          <w:rFonts w:hint="eastAsia" w:hAnsi="宋体" w:cs="宋体"/>
          <w:b/>
          <w:snapToGrid w:val="0"/>
          <w:color w:val="auto"/>
          <w:szCs w:val="24"/>
          <w:highlight w:val="none"/>
        </w:rPr>
        <w:t>12. 投标文件的提交</w:t>
      </w:r>
      <w:bookmarkEnd w:id="55"/>
    </w:p>
    <w:p w14:paraId="6F4108A8">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5BD8C0E9">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12.2</w:t>
      </w:r>
      <w:r>
        <w:rPr>
          <w:rFonts w:hint="eastAsia" w:ascii="宋体" w:hAnsi="宋体" w:cs="宋体"/>
          <w:snapToGrid w:val="0"/>
          <w:color w:val="auto"/>
          <w:kern w:val="0"/>
          <w:sz w:val="24"/>
          <w:highlight w:val="none"/>
        </w:rPr>
        <w:t>投标文件提交截止时间（同电子投标截止时间）：见本章第二节“重要事项时间地点一览表”。</w:t>
      </w:r>
    </w:p>
    <w:p w14:paraId="1624BC27">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12.3</w:t>
      </w:r>
      <w:r>
        <w:rPr>
          <w:rFonts w:hint="eastAsia" w:ascii="宋体" w:hAnsi="宋体" w:cs="宋体"/>
          <w:snapToGrid w:val="0"/>
          <w:color w:val="auto"/>
          <w:kern w:val="0"/>
          <w:sz w:val="24"/>
          <w:highlight w:val="none"/>
        </w:rPr>
        <w:t>代理机构对因不可抗力事件造成的投标文件的损坏、丢失的，不承担责任。</w:t>
      </w:r>
      <w:r>
        <w:rPr>
          <w:rFonts w:hint="eastAsia" w:ascii="宋体" w:hAnsi="宋体" w:cs="宋体"/>
          <w:b/>
          <w:bCs/>
          <w:snapToGrid w:val="0"/>
          <w:color w:val="auto"/>
          <w:kern w:val="0"/>
          <w:sz w:val="24"/>
          <w:highlight w:val="none"/>
        </w:rPr>
        <w:t xml:space="preserve">  </w:t>
      </w:r>
    </w:p>
    <w:p w14:paraId="53E36D66">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 xml:space="preserve">12.4 </w:t>
      </w:r>
      <w:r>
        <w:rPr>
          <w:rFonts w:hint="eastAsia" w:ascii="宋体" w:hAnsi="宋体" w:cs="宋体"/>
          <w:snapToGrid w:val="0"/>
          <w:color w:val="auto"/>
          <w:kern w:val="0"/>
          <w:sz w:val="24"/>
          <w:highlight w:val="none"/>
        </w:rPr>
        <w:t>投标人法定代表人或其委托代理人（以下简称“投标人代表”）应在指定的时间和地点递交以下的资料</w:t>
      </w:r>
      <w:r>
        <w:rPr>
          <w:rFonts w:hint="eastAsia" w:ascii="宋体" w:hAnsi="宋体" w:cs="宋体"/>
          <w:b/>
          <w:bCs/>
          <w:snapToGrid w:val="0"/>
          <w:color w:val="auto"/>
          <w:kern w:val="0"/>
          <w:sz w:val="24"/>
          <w:highlight w:val="none"/>
        </w:rPr>
        <w:t>（如有）</w:t>
      </w:r>
      <w:r>
        <w:rPr>
          <w:rFonts w:hint="eastAsia" w:ascii="宋体" w:hAnsi="宋体" w:cs="宋体"/>
          <w:snapToGrid w:val="0"/>
          <w:color w:val="auto"/>
          <w:kern w:val="0"/>
          <w:sz w:val="24"/>
          <w:highlight w:val="none"/>
        </w:rPr>
        <w:t>：招标文件要求提交的用于评审的证书、证件、证明原件（附一式</w:t>
      </w:r>
      <w:r>
        <w:rPr>
          <w:rFonts w:hint="eastAsia" w:ascii="宋体" w:hAnsi="宋体" w:cs="宋体"/>
          <w:snapToGrid w:val="0"/>
          <w:color w:val="auto"/>
          <w:kern w:val="0"/>
          <w:sz w:val="24"/>
          <w:highlight w:val="none"/>
          <w:u w:val="single"/>
        </w:rPr>
        <w:t xml:space="preserve"> 两 </w:t>
      </w:r>
      <w:r>
        <w:rPr>
          <w:rFonts w:hint="eastAsia" w:ascii="宋体" w:hAnsi="宋体" w:cs="宋体"/>
          <w:snapToGrid w:val="0"/>
          <w:color w:val="auto"/>
          <w:kern w:val="0"/>
          <w:sz w:val="24"/>
          <w:highlight w:val="none"/>
        </w:rPr>
        <w:t>份清单）。</w:t>
      </w:r>
    </w:p>
    <w:p w14:paraId="519116BE">
      <w:pPr>
        <w:pStyle w:val="31"/>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12.5</w:t>
      </w:r>
      <w:r>
        <w:rPr>
          <w:rFonts w:hint="eastAsia" w:ascii="宋体" w:hAnsi="宋体" w:cs="宋体"/>
          <w:snapToGrid w:val="0"/>
          <w:color w:val="auto"/>
          <w:kern w:val="0"/>
          <w:sz w:val="24"/>
          <w:highlight w:val="none"/>
        </w:rPr>
        <w:t>出现下述情形之一，属于未成功提交投标文件，按无效投标处理：</w:t>
      </w:r>
    </w:p>
    <w:p w14:paraId="6B5E987E">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（1）至电子投标截止时间时，投标文件未完整上传或未提交投标。</w:t>
      </w:r>
    </w:p>
    <w:p w14:paraId="2E7ABD8C">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（2）投标文件未按投标格式中注明需签字盖章的要求进行签名（含电子签名）和加盖电子印章，或签名（含电子签名）或电子印章不完整的。</w:t>
      </w:r>
    </w:p>
    <w:p w14:paraId="3AD8E674">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（3）解密失败且在规定时间内未重新提交投标文件的；</w:t>
      </w:r>
    </w:p>
    <w:p w14:paraId="64458235">
      <w:pPr>
        <w:pStyle w:val="31"/>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（4）投标文件损坏或格式不正确的。</w:t>
      </w:r>
    </w:p>
    <w:p w14:paraId="46B884C2">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Ansi="宋体" w:cs="宋体"/>
          <w:snapToGrid w:val="0"/>
          <w:color w:val="auto"/>
          <w:kern w:val="0"/>
          <w:szCs w:val="24"/>
          <w:highlight w:val="none"/>
        </w:rPr>
      </w:pPr>
      <w:bookmarkStart w:id="56" w:name="_Toc29810"/>
      <w:r>
        <w:rPr>
          <w:rFonts w:hint="eastAsia" w:hAnsi="宋体" w:cs="宋体"/>
          <w:b/>
          <w:snapToGrid w:val="0"/>
          <w:color w:val="auto"/>
          <w:kern w:val="0"/>
          <w:szCs w:val="24"/>
          <w:highlight w:val="none"/>
        </w:rPr>
        <w:t>13．投标有效期</w:t>
      </w:r>
      <w:bookmarkEnd w:id="56"/>
    </w:p>
    <w:p w14:paraId="73EACF5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3FA28F7B">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Ansi="宋体" w:cs="宋体"/>
          <w:snapToGrid w:val="0"/>
          <w:color w:val="auto"/>
          <w:kern w:val="0"/>
          <w:szCs w:val="24"/>
          <w:highlight w:val="none"/>
        </w:rPr>
      </w:pPr>
      <w:bookmarkStart w:id="57" w:name="_Toc17952"/>
      <w:r>
        <w:rPr>
          <w:rFonts w:hint="eastAsia" w:hAnsi="宋体" w:cs="宋体"/>
          <w:b/>
          <w:snapToGrid w:val="0"/>
          <w:color w:val="auto"/>
          <w:kern w:val="0"/>
          <w:szCs w:val="24"/>
          <w:highlight w:val="none"/>
        </w:rPr>
        <w:t>14．开标</w:t>
      </w:r>
      <w:bookmarkEnd w:id="57"/>
    </w:p>
    <w:p w14:paraId="05340905">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w:t>
      </w:r>
      <w:r>
        <w:rPr>
          <w:rFonts w:hint="eastAsia" w:ascii="宋体" w:hAnsi="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4341EDFD">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14.1.1</w:t>
      </w:r>
      <w:r>
        <w:rPr>
          <w:rFonts w:hint="eastAsia" w:ascii="宋体" w:hAnsi="宋体" w:cs="宋体"/>
          <w:snapToGrid w:val="0"/>
          <w:color w:val="auto"/>
          <w:kern w:val="0"/>
          <w:sz w:val="24"/>
          <w:highlight w:val="none"/>
        </w:rPr>
        <w:t xml:space="preserve"> 开标时间和地点：见本章第二节“重要事项时间地点一览表”。</w:t>
      </w:r>
    </w:p>
    <w:p w14:paraId="748FE5D2">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14.1.2</w:t>
      </w:r>
      <w:r>
        <w:rPr>
          <w:rFonts w:hint="eastAsia" w:ascii="宋体" w:hAnsi="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23262FEE">
      <w:pPr>
        <w:pStyle w:val="31"/>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A07D8BE">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14.2</w:t>
      </w:r>
      <w:r>
        <w:rPr>
          <w:rFonts w:hint="eastAsia" w:hAnsi="宋体" w:cs="宋体"/>
          <w:snapToGrid w:val="0"/>
          <w:color w:val="auto"/>
          <w:kern w:val="0"/>
          <w:szCs w:val="24"/>
          <w:highlight w:val="none"/>
        </w:rPr>
        <w:t xml:space="preserve"> 开标程序</w:t>
      </w:r>
    </w:p>
    <w:p w14:paraId="78E696B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（1）主持人（招标人代表或招标人授权的招标代理机构人员）宣读开标纪律。</w:t>
      </w:r>
    </w:p>
    <w:p w14:paraId="6C62957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（2）主持人宣布唱标人、记录人、见证人、监督人等有关人员姓名。</w:t>
      </w:r>
    </w:p>
    <w:p w14:paraId="328BCBE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2E3B79C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46F2231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245BA99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（6）投标人代表、招标人代表、唱标人、记录人等有关人员在《投标保证缴纳情况表》以及《开标一览表》上签字确认。</w:t>
      </w:r>
    </w:p>
    <w:p w14:paraId="7E61F3C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（7）主持人宣布有关注意事项后，宣布开标结束。</w:t>
      </w:r>
    </w:p>
    <w:p w14:paraId="3C3C2DB7">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278C71CF">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14.3</w:t>
      </w:r>
      <w:r>
        <w:rPr>
          <w:rFonts w:hint="eastAsia" w:hAnsi="宋体" w:cs="宋体"/>
          <w:snapToGrid w:val="0"/>
          <w:color w:val="auto"/>
          <w:kern w:val="0"/>
          <w:highlight w:val="none"/>
        </w:rPr>
        <w:t xml:space="preserve"> </w:t>
      </w:r>
      <w:r>
        <w:rPr>
          <w:rFonts w:hint="eastAsia" w:hAnsi="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72EAAF6B">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14.4</w:t>
      </w:r>
      <w:r>
        <w:rPr>
          <w:rFonts w:hint="eastAsia" w:hAnsi="宋体" w:cs="宋体"/>
          <w:snapToGrid w:val="0"/>
          <w:color w:val="auto"/>
          <w:kern w:val="0"/>
          <w:highlight w:val="none"/>
        </w:rPr>
        <w:t xml:space="preserve"> 招标代理机构将资料原件（如有）、《开标一览表》以及其他有关资料移交评标委员会。</w:t>
      </w:r>
    </w:p>
    <w:p w14:paraId="231845D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Ansi="宋体" w:cs="宋体"/>
          <w:b/>
          <w:snapToGrid w:val="0"/>
          <w:color w:val="auto"/>
          <w:kern w:val="0"/>
          <w:highlight w:val="none"/>
        </w:rPr>
      </w:pPr>
      <w:bookmarkStart w:id="58" w:name="_Hlt127093805"/>
      <w:bookmarkEnd w:id="58"/>
      <w:bookmarkStart w:id="59" w:name="_Toc5475"/>
      <w:r>
        <w:rPr>
          <w:rFonts w:hint="eastAsia" w:hAnsi="宋体" w:cs="宋体"/>
          <w:b/>
          <w:snapToGrid w:val="0"/>
          <w:color w:val="auto"/>
          <w:kern w:val="0"/>
          <w:highlight w:val="none"/>
        </w:rPr>
        <w:t>15．评标</w:t>
      </w:r>
      <w:bookmarkEnd w:id="59"/>
    </w:p>
    <w:p w14:paraId="70E1196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077BFA52">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bCs/>
          <w:snapToGrid w:val="0"/>
          <w:color w:val="auto"/>
          <w:kern w:val="0"/>
          <w:highlight w:val="none"/>
        </w:rPr>
      </w:pPr>
      <w:r>
        <w:rPr>
          <w:rFonts w:hint="eastAsia" w:hAnsi="宋体" w:cs="宋体"/>
          <w:b/>
          <w:bCs/>
          <w:snapToGrid w:val="0"/>
          <w:color w:val="auto"/>
          <w:kern w:val="0"/>
          <w:highlight w:val="none"/>
        </w:rPr>
        <w:t>15.1</w:t>
      </w:r>
      <w:r>
        <w:rPr>
          <w:rFonts w:hint="eastAsia" w:hAnsi="宋体" w:cs="宋体"/>
          <w:bCs/>
          <w:snapToGrid w:val="0"/>
          <w:color w:val="auto"/>
          <w:kern w:val="0"/>
          <w:highlight w:val="none"/>
        </w:rPr>
        <w:t xml:space="preserve"> 评标委员会</w:t>
      </w:r>
    </w:p>
    <w:p w14:paraId="16E8769A">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snapToGrid w:val="0"/>
          <w:color w:val="auto"/>
          <w:kern w:val="0"/>
          <w:highlight w:val="none"/>
        </w:rPr>
      </w:pPr>
      <w:r>
        <w:rPr>
          <w:rFonts w:hint="eastAsia" w:hAnsi="宋体" w:cs="宋体"/>
          <w:b/>
          <w:bCs/>
          <w:snapToGrid w:val="0"/>
          <w:color w:val="auto"/>
          <w:kern w:val="0"/>
          <w:highlight w:val="none"/>
        </w:rPr>
        <w:t>15.1.1</w:t>
      </w:r>
      <w:r>
        <w:rPr>
          <w:rFonts w:hint="eastAsia" w:hAnsi="宋体" w:cs="宋体"/>
          <w:snapToGrid w:val="0"/>
          <w:color w:val="auto"/>
          <w:kern w:val="0"/>
          <w:highlight w:val="none"/>
        </w:rPr>
        <w:t xml:space="preserve"> 评标委员会由</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人组成，其中招标人代表</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人，专家</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人。专家从广东省综合评标评审专家库</w:t>
      </w:r>
      <w:r>
        <w:rPr>
          <w:rFonts w:hint="eastAsia" w:hAnsi="宋体" w:cs="宋体"/>
          <w:snapToGrid w:val="0"/>
          <w:color w:val="auto"/>
          <w:kern w:val="0"/>
          <w:highlight w:val="none"/>
          <w:lang w:val="en-US" w:eastAsia="zh-CN"/>
        </w:rPr>
        <w:t>-韶关区域</w:t>
      </w:r>
      <w:r>
        <w:rPr>
          <w:rFonts w:hint="eastAsia" w:hAnsi="宋体" w:cs="宋体"/>
          <w:snapToGrid w:val="0"/>
          <w:color w:val="auto"/>
          <w:kern w:val="0"/>
          <w:highlight w:val="none"/>
        </w:rPr>
        <w:t>中随机抽取，其中技术类专家</w:t>
      </w:r>
      <w:r>
        <w:rPr>
          <w:rFonts w:hint="eastAsia" w:hAnsi="宋体" w:cs="宋体"/>
          <w:snapToGrid w:val="0"/>
          <w:color w:val="auto"/>
          <w:kern w:val="0"/>
          <w:highlight w:val="none"/>
          <w:u w:val="single"/>
        </w:rPr>
        <w:t xml:space="preserve">3 </w:t>
      </w:r>
      <w:r>
        <w:rPr>
          <w:rFonts w:hint="eastAsia" w:hAnsi="宋体" w:cs="宋体"/>
          <w:snapToGrid w:val="0"/>
          <w:color w:val="auto"/>
          <w:kern w:val="0"/>
          <w:highlight w:val="none"/>
        </w:rPr>
        <w:t>人，经济类专家</w:t>
      </w:r>
      <w:r>
        <w:rPr>
          <w:rFonts w:hint="eastAsia" w:hAnsi="宋体" w:cs="宋体"/>
          <w:snapToGrid w:val="0"/>
          <w:color w:val="auto"/>
          <w:kern w:val="0"/>
          <w:highlight w:val="none"/>
          <w:u w:val="single"/>
        </w:rPr>
        <w:t xml:space="preserve"> 2</w:t>
      </w:r>
      <w:r>
        <w:rPr>
          <w:rFonts w:hint="eastAsia" w:hAnsi="宋体" w:cs="宋体"/>
          <w:snapToGrid w:val="0"/>
          <w:color w:val="auto"/>
          <w:kern w:val="0"/>
          <w:highlight w:val="none"/>
        </w:rPr>
        <w:t>人。评标委员会设负责人，由评标委员会成员推举产生。评标委员会负责人与评标委员会的其他成员有同等的表决权。</w:t>
      </w:r>
    </w:p>
    <w:p w14:paraId="7C40BECD">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15.1.2</w:t>
      </w:r>
      <w:r>
        <w:rPr>
          <w:rFonts w:hint="eastAsia" w:hAnsi="宋体" w:cs="宋体"/>
          <w:snapToGrid w:val="0"/>
          <w:color w:val="auto"/>
          <w:kern w:val="0"/>
          <w:highlight w:val="none"/>
        </w:rPr>
        <w:t xml:space="preserve"> 评标委员会应认真、公正、诚实、廉洁地履行职责。有下列情形之一的，不得担任评标委员会成员：</w:t>
      </w:r>
    </w:p>
    <w:p w14:paraId="2E86AFD2">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（1）投标人或投标人主要负责人的近亲属；</w:t>
      </w:r>
    </w:p>
    <w:p w14:paraId="6055A192">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（2）项目主管部门或者行政监督部门的人员；</w:t>
      </w:r>
    </w:p>
    <w:p w14:paraId="49C6B685">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（3）与投标人有经济利益关系，可能影响对投标公正评审的；</w:t>
      </w:r>
    </w:p>
    <w:p w14:paraId="4B41FEF9">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（4）曾因在招标、评标以及其他与招标投标有关活动中从事违法行为而受过行政处罚或刑事处罚的。</w:t>
      </w:r>
    </w:p>
    <w:p w14:paraId="2C82644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评标委员会成员有以上情形之一的，应主动提出回避。</w:t>
      </w:r>
    </w:p>
    <w:p w14:paraId="246F8476">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15.1.3</w:t>
      </w:r>
      <w:r>
        <w:rPr>
          <w:rFonts w:hint="eastAsia" w:hAnsi="宋体" w:cs="宋体"/>
          <w:snapToGrid w:val="0"/>
          <w:color w:val="auto"/>
          <w:kern w:val="0"/>
          <w:highlight w:val="none"/>
        </w:rPr>
        <w:t xml:space="preserve"> 评标全过程实行封闭式管理，在中标结果公布前，禁止评标委员会成员以任何方式私下接触投标人。</w:t>
      </w:r>
    </w:p>
    <w:p w14:paraId="6C3AA9C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过程中，招标文件明确指定采用现场实时查询的信息资料（如“信用中国”信息、诚信综合考评等级信息等），由招标代理机构工作人员在评标委员会成员、交易场所工作人员共同见证下，使用指定设备登录相关发布网站进行下载、打印，并移交评标委员会。完成评标后，相关查询资料应予妥善保存、归档。</w:t>
      </w:r>
    </w:p>
    <w:p w14:paraId="5D244FF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15.1.4</w:t>
      </w:r>
      <w:r>
        <w:rPr>
          <w:rFonts w:hint="eastAsia" w:hAnsi="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1741EF5F">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b/>
          <w:snapToGrid w:val="0"/>
          <w:color w:val="auto"/>
          <w:kern w:val="0"/>
          <w:szCs w:val="22"/>
          <w:highlight w:val="none"/>
        </w:rPr>
      </w:pPr>
      <w:r>
        <w:rPr>
          <w:rFonts w:hint="eastAsia" w:hAnsi="宋体" w:cs="宋体"/>
          <w:b/>
          <w:bCs/>
          <w:snapToGrid w:val="0"/>
          <w:color w:val="auto"/>
          <w:kern w:val="0"/>
          <w:highlight w:val="none"/>
        </w:rPr>
        <w:t>15.1.5</w:t>
      </w:r>
      <w:r>
        <w:rPr>
          <w:rFonts w:hint="eastAsia" w:hAnsi="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B97E501">
      <w:pPr>
        <w:keepNext w:val="0"/>
        <w:keepLines w:val="0"/>
        <w:pageBreakBefore w:val="0"/>
        <w:kinsoku/>
        <w:wordWrap w:val="0"/>
        <w:overflowPunct/>
        <w:topLinePunct w:val="0"/>
        <w:autoSpaceDE/>
        <w:autoSpaceDN/>
        <w:bidi w:val="0"/>
        <w:adjustRightInd w:val="0"/>
        <w:snapToGrid w:val="0"/>
        <w:spacing w:line="360" w:lineRule="exact"/>
        <w:ind w:firstLine="561"/>
        <w:textAlignment w:val="auto"/>
        <w:rPr>
          <w:rFonts w:hAnsi="宋体" w:cs="宋体"/>
          <w:bCs/>
          <w:snapToGrid w:val="0"/>
          <w:color w:val="auto"/>
          <w:kern w:val="0"/>
          <w:highlight w:val="none"/>
        </w:rPr>
      </w:pPr>
      <w:r>
        <w:rPr>
          <w:rFonts w:hint="eastAsia" w:hAnsi="宋体" w:cs="宋体"/>
          <w:b/>
          <w:bCs/>
          <w:snapToGrid w:val="0"/>
          <w:color w:val="auto"/>
          <w:kern w:val="0"/>
          <w:highlight w:val="none"/>
        </w:rPr>
        <w:t>15.2</w:t>
      </w:r>
      <w:r>
        <w:rPr>
          <w:rFonts w:hint="eastAsia" w:hAnsi="宋体" w:cs="宋体"/>
          <w:bCs/>
          <w:snapToGrid w:val="0"/>
          <w:color w:val="auto"/>
          <w:kern w:val="0"/>
          <w:szCs w:val="22"/>
          <w:highlight w:val="none"/>
        </w:rPr>
        <w:t xml:space="preserve"> 评标方法</w:t>
      </w:r>
    </w:p>
    <w:p w14:paraId="3FD36C28">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i/>
          <w:iCs/>
          <w:snapToGrid w:val="0"/>
          <w:color w:val="auto"/>
          <w:kern w:val="0"/>
          <w:highlight w:val="none"/>
        </w:rPr>
      </w:pPr>
      <w:r>
        <w:rPr>
          <w:rFonts w:hint="eastAsia" w:hAnsi="宋体" w:cs="宋体"/>
          <w:snapToGrid w:val="0"/>
          <w:color w:val="auto"/>
          <w:kern w:val="0"/>
          <w:highlight w:val="none"/>
        </w:rPr>
        <w:t>根据有关法律、法规的相关规定，结合本招标项目资金来源和规模特点，本次招标采用“综合评估法”进行评标。</w:t>
      </w:r>
    </w:p>
    <w:p w14:paraId="71FDF6AC">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15.3</w:t>
      </w:r>
      <w:r>
        <w:rPr>
          <w:rFonts w:hint="eastAsia" w:hAnsi="宋体" w:cs="宋体"/>
          <w:bCs/>
          <w:snapToGrid w:val="0"/>
          <w:color w:val="auto"/>
          <w:kern w:val="0"/>
          <w:szCs w:val="22"/>
          <w:highlight w:val="none"/>
        </w:rPr>
        <w:t xml:space="preserve"> 评审范围：</w:t>
      </w:r>
      <w:r>
        <w:rPr>
          <w:rFonts w:hint="eastAsia" w:hAnsi="宋体" w:cs="宋体"/>
          <w:snapToGrid w:val="0"/>
          <w:color w:val="auto"/>
          <w:kern w:val="0"/>
          <w:highlight w:val="none"/>
        </w:rPr>
        <w:t>评标委员会应对所有进入评标投标人的投标文件进行评审。</w:t>
      </w:r>
    </w:p>
    <w:p w14:paraId="1B73D4F1">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w:t>
      </w:r>
      <w:r>
        <w:rPr>
          <w:rFonts w:hint="eastAsia" w:hAnsi="宋体" w:cs="宋体"/>
          <w:snapToGrid w:val="0"/>
          <w:color w:val="auto"/>
          <w:kern w:val="0"/>
          <w:highlight w:val="none"/>
        </w:rPr>
        <w:t xml:space="preserve"> 初步评审阶段</w:t>
      </w:r>
    </w:p>
    <w:p w14:paraId="10F7A07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初步评审阶段分为资格评审、形式评审和响应性评审三个环节。</w:t>
      </w:r>
    </w:p>
    <w:p w14:paraId="42B481F1">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15.4.1</w:t>
      </w:r>
      <w:r>
        <w:rPr>
          <w:rFonts w:hint="eastAsia" w:hAnsi="宋体" w:cs="宋体"/>
          <w:snapToGrid w:val="0"/>
          <w:color w:val="auto"/>
          <w:kern w:val="0"/>
          <w:highlight w:val="none"/>
        </w:rPr>
        <w:t xml:space="preserve"> 资格评审环节</w:t>
      </w:r>
    </w:p>
    <w:p w14:paraId="16FED18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资格评审事项包括：</w:t>
      </w:r>
    </w:p>
    <w:p w14:paraId="089AEF3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（1）投标人是否符合本章第三节第2.4条“禁止投标条款”规定。</w:t>
      </w:r>
    </w:p>
    <w:p w14:paraId="5F05CB8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（2）投标人名称是否与营业执照、资质证书一致。</w:t>
      </w:r>
    </w:p>
    <w:p w14:paraId="236C678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（3）投标人的资质是否符合招标文件规定；其营业执照、资质证书是否合法、有效。</w:t>
      </w:r>
    </w:p>
    <w:p w14:paraId="1528CC1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 xml:space="preserve">》内盖章同意或另行出具了书面同意意见。 </w:t>
      </w:r>
    </w:p>
    <w:p w14:paraId="0ADCFD4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ascii="宋体" w:hAnsi="宋体" w:eastAsia="宋体" w:cs="宋体"/>
          <w:snapToGrid w:val="0"/>
          <w:color w:val="auto"/>
          <w:kern w:val="0"/>
          <w:szCs w:val="18"/>
          <w:highlight w:val="none"/>
        </w:rPr>
        <w:t>（5）拟委派的总监理</w:t>
      </w:r>
      <w:r>
        <w:rPr>
          <w:rFonts w:hint="eastAsia" w:ascii="Times New Roman"/>
          <w:snapToGrid w:val="0"/>
          <w:color w:val="auto"/>
          <w:kern w:val="0"/>
          <w:highlight w:val="none"/>
        </w:rPr>
        <w:t>工程师的注册证书是否为住房和城乡建设主管部门颁发的，注册单位与投标人是否一致，是否在有效期内</w:t>
      </w:r>
      <w:r>
        <w:rPr>
          <w:rFonts w:hint="eastAsia" w:ascii="Times New Roman"/>
          <w:snapToGrid w:val="0"/>
          <w:color w:val="auto"/>
          <w:kern w:val="0"/>
          <w:highlight w:val="none"/>
          <w:lang w:eastAsia="zh-CN"/>
        </w:rPr>
        <w:t>。</w:t>
      </w:r>
    </w:p>
    <w:p w14:paraId="27D8F42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（6）投标人为外省建筑企业的，是否按规定在“进粤企业和人员诚信信息登记平台”录入企业及其拟派往人员相关信息并通过数据规范检查。</w:t>
      </w:r>
    </w:p>
    <w:p w14:paraId="2B99BCE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15.4.2</w:t>
      </w:r>
      <w:r>
        <w:rPr>
          <w:rFonts w:hint="eastAsia" w:hAnsi="宋体" w:cs="宋体"/>
          <w:snapToGrid w:val="0"/>
          <w:color w:val="auto"/>
          <w:kern w:val="0"/>
          <w:highlight w:val="none"/>
        </w:rPr>
        <w:t xml:space="preserve"> 形式评审环节</w:t>
      </w:r>
    </w:p>
    <w:p w14:paraId="2254C15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形式评审事项包括：</w:t>
      </w:r>
    </w:p>
    <w:p w14:paraId="5436BB7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（1）各分册是否按招标文件规定加盖电子印章。</w:t>
      </w:r>
    </w:p>
    <w:p w14:paraId="433FB37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（2）本节第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”的组成内容（包括该组成内容的所附资料）是否完整、齐全。</w:t>
      </w:r>
    </w:p>
    <w:p w14:paraId="761181E2">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15.4.3</w:t>
      </w:r>
      <w:r>
        <w:rPr>
          <w:rFonts w:hint="eastAsia" w:hAnsi="宋体" w:cs="宋体"/>
          <w:snapToGrid w:val="0"/>
          <w:color w:val="auto"/>
          <w:kern w:val="0"/>
          <w:highlight w:val="none"/>
        </w:rPr>
        <w:t xml:space="preserve"> 响应性评审环节</w:t>
      </w:r>
    </w:p>
    <w:p w14:paraId="4EF9DA5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响应性评审事项包括：</w:t>
      </w:r>
    </w:p>
    <w:p w14:paraId="7602E8A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（1）投标有效期、监理及相关服务期限等是否响应招标文件实质性要求；是否擅自修改、遗漏《投标函》《各项承诺一览表》的实质性内容。</w:t>
      </w:r>
    </w:p>
    <w:p w14:paraId="1BCC064A">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（2）投标总价是否唯一；投标总价是否超出最高投标限价。</w:t>
      </w:r>
    </w:p>
    <w:p w14:paraId="3E2FC7B3">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（3）监理大纲中的监理及相关服务的范围、内容、目标是否符合招标文件规定。</w:t>
      </w:r>
    </w:p>
    <w:p w14:paraId="62ACB928">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15.4.4</w:t>
      </w:r>
      <w:r>
        <w:rPr>
          <w:rFonts w:hint="eastAsia" w:hAnsi="宋体" w:cs="宋体"/>
          <w:snapToGrid w:val="0"/>
          <w:color w:val="auto"/>
          <w:kern w:val="0"/>
          <w:highlight w:val="none"/>
        </w:rPr>
        <w:t xml:space="preserve"> 否决投标说明</w:t>
      </w:r>
    </w:p>
    <w:p w14:paraId="6816E18D">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初步评审阶段各个环节否决投标的全部条件，在本章第四节“否决投标条件”第</w:t>
      </w:r>
      <w:r>
        <w:rPr>
          <w:rFonts w:hint="eastAsia" w:hAnsi="宋体" w:cs="宋体"/>
          <w:b/>
          <w:bCs/>
          <w:snapToGrid w:val="0"/>
          <w:color w:val="auto"/>
          <w:kern w:val="0"/>
          <w:highlight w:val="none"/>
        </w:rPr>
        <w:t>1</w:t>
      </w:r>
      <w:r>
        <w:rPr>
          <w:rFonts w:hint="eastAsia" w:hAnsi="宋体" w:cs="宋体"/>
          <w:snapToGrid w:val="0"/>
          <w:color w:val="auto"/>
          <w:kern w:val="0"/>
          <w:highlight w:val="none"/>
        </w:rPr>
        <w:t>条至第</w:t>
      </w:r>
      <w:r>
        <w:rPr>
          <w:rFonts w:hint="eastAsia" w:hAnsi="宋体" w:cs="宋体"/>
          <w:b/>
          <w:bCs/>
          <w:snapToGrid w:val="0"/>
          <w:color w:val="auto"/>
          <w:kern w:val="0"/>
          <w:highlight w:val="none"/>
        </w:rPr>
        <w:t>4</w:t>
      </w:r>
      <w:r>
        <w:rPr>
          <w:rFonts w:hint="eastAsia" w:hAnsi="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60286023">
      <w:pPr>
        <w:keepNext w:val="0"/>
        <w:keepLines w:val="0"/>
        <w:pageBreakBefore w:val="0"/>
        <w:kinsoku/>
        <w:wordWrap w:val="0"/>
        <w:overflowPunct/>
        <w:topLinePunct w:val="0"/>
        <w:autoSpaceDE/>
        <w:autoSpaceDN/>
        <w:bidi w:val="0"/>
        <w:adjustRightInd w:val="0"/>
        <w:snapToGrid w:val="0"/>
        <w:spacing w:line="36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w:t>
      </w:r>
      <w:r>
        <w:rPr>
          <w:rFonts w:hint="eastAsia" w:hAnsi="宋体" w:cs="宋体"/>
          <w:snapToGrid w:val="0"/>
          <w:color w:val="auto"/>
          <w:kern w:val="0"/>
          <w:highlight w:val="none"/>
        </w:rPr>
        <w:t xml:space="preserve"> 详细评审</w:t>
      </w:r>
      <w:bookmarkStart w:id="60" w:name="_Hlt121629839"/>
      <w:r>
        <w:rPr>
          <w:rFonts w:hint="eastAsia" w:hAnsi="宋体" w:cs="宋体"/>
          <w:snapToGrid w:val="0"/>
          <w:color w:val="auto"/>
          <w:kern w:val="0"/>
          <w:highlight w:val="none"/>
        </w:rPr>
        <w:t>阶段</w:t>
      </w:r>
    </w:p>
    <w:p w14:paraId="14429833">
      <w:pPr>
        <w:keepNext w:val="0"/>
        <w:keepLines w:val="0"/>
        <w:pageBreakBefore w:val="0"/>
        <w:kinsoku/>
        <w:wordWrap w:val="0"/>
        <w:overflowPunct/>
        <w:topLinePunct w:val="0"/>
        <w:autoSpaceDE/>
        <w:autoSpaceDN/>
        <w:bidi w:val="0"/>
        <w:adjustRightInd w:val="0"/>
        <w:snapToGrid w:val="0"/>
        <w:spacing w:line="36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15.5.1</w:t>
      </w:r>
      <w:r>
        <w:rPr>
          <w:rFonts w:hint="eastAsia" w:hAnsi="宋体" w:cs="宋体"/>
          <w:bCs/>
          <w:snapToGrid w:val="0"/>
          <w:color w:val="auto"/>
          <w:kern w:val="0"/>
          <w:highlight w:val="none"/>
        </w:rPr>
        <w:t xml:space="preserve"> “综合评估法”评审程序</w:t>
      </w:r>
    </w:p>
    <w:p w14:paraId="0CF8184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评审内容分为商务、技术和投标报价三大部分，综合得分满分为100分。其中，商务满分为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50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分，技术满分为</w:t>
      </w:r>
      <w:r>
        <w:rPr>
          <w:rFonts w:hint="eastAsia" w:hAnsi="宋体" w:cs="宋体"/>
          <w:snapToGrid w:val="0"/>
          <w:color w:val="auto"/>
          <w:kern w:val="0"/>
          <w:highlight w:val="none"/>
          <w:u w:val="single"/>
        </w:rPr>
        <w:t xml:space="preserve"> 30 </w:t>
      </w:r>
      <w:r>
        <w:rPr>
          <w:rFonts w:hint="eastAsia" w:hAnsi="宋体" w:cs="宋体"/>
          <w:snapToGrid w:val="0"/>
          <w:color w:val="auto"/>
          <w:kern w:val="0"/>
          <w:highlight w:val="none"/>
        </w:rPr>
        <w:t>分，投标报价部分满分为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20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w:t>
      </w:r>
    </w:p>
    <w:p w14:paraId="4B3BAC3D">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Ansi="宋体" w:cs="宋体"/>
          <w:snapToGrid w:val="0"/>
          <w:color w:val="auto"/>
          <w:kern w:val="0"/>
          <w:highlight w:val="none"/>
        </w:rPr>
      </w:pPr>
      <w:r>
        <w:rPr>
          <w:rFonts w:hint="eastAsia" w:hAnsi="宋体" w:cs="宋体"/>
          <w:snapToGrid w:val="0"/>
          <w:color w:val="auto"/>
          <w:kern w:val="0"/>
          <w:highlight w:val="none"/>
        </w:rPr>
        <w:t>除特别注明外，综合得分以及商务、技术、投标报价得分的中间过程计算值和最终值，均按“四舍五入”原则精确到两位小数。</w:t>
      </w:r>
    </w:p>
    <w:p w14:paraId="050F05A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（1）商务得分M</w:t>
      </w:r>
      <w:r>
        <w:rPr>
          <w:rFonts w:hint="eastAsia" w:hAnsi="宋体" w:cs="宋体"/>
          <w:snapToGrid w:val="0"/>
          <w:color w:val="auto"/>
          <w:kern w:val="0"/>
          <w:highlight w:val="none"/>
          <w:vertAlign w:val="subscript"/>
        </w:rPr>
        <w:t>1</w:t>
      </w:r>
    </w:p>
    <w:p w14:paraId="2772DA1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w:t>
      </w:r>
    </w:p>
    <w:p w14:paraId="6E4CECC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（2）技术得分M</w:t>
      </w:r>
      <w:r>
        <w:rPr>
          <w:rFonts w:hint="eastAsia" w:hAnsi="宋体" w:cs="宋体"/>
          <w:snapToGrid w:val="0"/>
          <w:color w:val="auto"/>
          <w:kern w:val="0"/>
          <w:highlight w:val="none"/>
          <w:vertAlign w:val="subscript"/>
        </w:rPr>
        <w:t>2</w:t>
      </w:r>
    </w:p>
    <w:p w14:paraId="15BBFFD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w:t>
      </w:r>
    </w:p>
    <w:p w14:paraId="2B7FD8A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（3）投标报价得分M</w:t>
      </w:r>
      <w:r>
        <w:rPr>
          <w:rFonts w:hint="eastAsia" w:hAnsi="宋体" w:cs="宋体"/>
          <w:snapToGrid w:val="0"/>
          <w:color w:val="auto"/>
          <w:kern w:val="0"/>
          <w:highlight w:val="none"/>
          <w:vertAlign w:val="subscript"/>
        </w:rPr>
        <w:t>3</w:t>
      </w:r>
    </w:p>
    <w:p w14:paraId="7869F1C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a．评标委员会按照《综合评分表》投标报价部分指定的方法计算评标基准价D。</w:t>
      </w:r>
    </w:p>
    <w:p w14:paraId="409DDA6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b．采用内插法计算某投标人的投标报价得分M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1</w:t>
      </w:r>
      <w:r>
        <w:rPr>
          <w:rFonts w:hint="eastAsia" w:hAnsi="宋体" w:cs="宋体"/>
          <w:snapToGrid w:val="0"/>
          <w:color w:val="auto"/>
          <w:kern w:val="0"/>
          <w:highlight w:val="none"/>
        </w:rPr>
        <w:t>分, 每低于评标基准价一个百分点扣</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分，扣完为止。公式如下：</w:t>
      </w:r>
    </w:p>
    <w:p w14:paraId="466B1256">
      <w:pPr>
        <w:keepNext w:val="0"/>
        <w:keepLines w:val="0"/>
        <w:pageBreakBefore w:val="0"/>
        <w:kinsoku/>
        <w:wordWrap w:val="0"/>
        <w:overflowPunct/>
        <w:topLinePunct w:val="0"/>
        <w:autoSpaceDE/>
        <w:autoSpaceDN/>
        <w:bidi w:val="0"/>
        <w:adjustRightInd w:val="0"/>
        <w:snapToGrid w:val="0"/>
        <w:spacing w:line="360" w:lineRule="exact"/>
        <w:ind w:firstLine="480" w:firstLineChars="200"/>
        <w:jc w:val="center"/>
        <w:textAlignment w:val="auto"/>
        <w:rPr>
          <w:rFonts w:hAnsi="宋体" w:cs="宋体"/>
          <w:snapToGrid w:val="0"/>
          <w:color w:val="auto"/>
          <w:kern w:val="0"/>
          <w:highlight w:val="none"/>
        </w:rPr>
      </w:pP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w:t>
      </w:r>
      <w:r>
        <w:rPr>
          <w:rFonts w:hint="eastAsia" w:hAnsi="宋体" w:cs="宋体"/>
          <w:snapToGrid w:val="0"/>
          <w:color w:val="auto"/>
          <w:kern w:val="0"/>
          <w:highlight w:val="none"/>
          <w:lang w:val="en-US" w:eastAsia="zh-CN"/>
        </w:rPr>
        <w:t>投标报价满分</w:t>
      </w:r>
      <w:r>
        <w:rPr>
          <w:rFonts w:hint="eastAsia" w:hAnsi="宋体" w:cs="宋体"/>
          <w:snapToGrid w:val="0"/>
          <w:color w:val="auto"/>
          <w:kern w:val="0"/>
          <w:highlight w:val="none"/>
        </w:rPr>
        <w:t>－（|Di－D|÷D）×100×E</w:t>
      </w:r>
    </w:p>
    <w:p w14:paraId="07CE05A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式中：D为评标基准价，Di为某投标人的投标总价；</w:t>
      </w:r>
    </w:p>
    <w:p w14:paraId="2FE834C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E为扣分因子。当Di＞D时，E＝</w:t>
      </w:r>
      <w:r>
        <w:rPr>
          <w:rFonts w:hint="eastAsia" w:hAnsi="宋体" w:cs="宋体"/>
          <w:snapToGrid w:val="0"/>
          <w:color w:val="auto"/>
          <w:kern w:val="0"/>
          <w:highlight w:val="none"/>
          <w:lang w:val="en-US" w:eastAsia="zh-CN"/>
        </w:rPr>
        <w:t>1</w:t>
      </w:r>
      <w:r>
        <w:rPr>
          <w:rFonts w:hint="eastAsia" w:hAnsi="宋体" w:cs="宋体"/>
          <w:snapToGrid w:val="0"/>
          <w:color w:val="auto"/>
          <w:kern w:val="0"/>
          <w:highlight w:val="none"/>
        </w:rPr>
        <w:t>；当Di＜D时，E＝0.</w:t>
      </w:r>
      <w:r>
        <w:rPr>
          <w:rFonts w:hint="eastAsia" w:hAnsi="宋体" w:cs="宋体"/>
          <w:snapToGrid w:val="0"/>
          <w:color w:val="auto"/>
          <w:kern w:val="0"/>
          <w:highlight w:val="none"/>
          <w:lang w:val="en-US" w:eastAsia="zh-CN"/>
        </w:rPr>
        <w:t>5</w:t>
      </w:r>
      <w:r>
        <w:rPr>
          <w:rFonts w:hint="eastAsia" w:hAnsi="宋体" w:cs="宋体"/>
          <w:snapToGrid w:val="0"/>
          <w:color w:val="auto"/>
          <w:kern w:val="0"/>
          <w:highlight w:val="none"/>
        </w:rPr>
        <w:t>。</w:t>
      </w:r>
    </w:p>
    <w:p w14:paraId="388D995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（4）综合得分M</w:t>
      </w:r>
    </w:p>
    <w:p w14:paraId="32B6B368">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Ansi="宋体" w:cs="宋体"/>
          <w:snapToGrid w:val="0"/>
          <w:color w:val="auto"/>
          <w:kern w:val="0"/>
          <w:highlight w:val="none"/>
        </w:rPr>
      </w:pPr>
      <w:r>
        <w:rPr>
          <w:rFonts w:hint="eastAsia" w:hAnsi="宋体" w:cs="宋体"/>
          <w:snapToGrid w:val="0"/>
          <w:color w:val="auto"/>
          <w:kern w:val="0"/>
          <w:highlight w:val="none"/>
        </w:rPr>
        <w:t>M＝M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p>
    <w:p w14:paraId="076B608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ascii="Times New Roman"/>
          <w:snapToGrid w:val="0"/>
          <w:color w:val="auto"/>
          <w:kern w:val="0"/>
          <w:highlight w:val="none"/>
        </w:rPr>
      </w:pPr>
      <w:r>
        <w:rPr>
          <w:rFonts w:hint="eastAsia" w:hAnsi="宋体" w:cs="宋体"/>
          <w:snapToGrid w:val="0"/>
          <w:color w:val="auto"/>
          <w:kern w:val="0"/>
          <w:highlight w:val="none"/>
        </w:rPr>
        <w:t>式中：M为综合得分，M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为商务得分，M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为技术得分，M</w:t>
      </w:r>
      <w:r>
        <w:rPr>
          <w:rFonts w:hint="eastAsia" w:hAnsi="宋体" w:cs="宋体"/>
          <w:snapToGrid w:val="0"/>
          <w:color w:val="auto"/>
          <w:kern w:val="0"/>
          <w:highlight w:val="none"/>
          <w:vertAlign w:val="subscript"/>
        </w:rPr>
        <w:t>3</w:t>
      </w:r>
      <w:r>
        <w:rPr>
          <w:rFonts w:hint="eastAsia" w:ascii="Times New Roman"/>
          <w:snapToGrid w:val="0"/>
          <w:color w:val="auto"/>
          <w:kern w:val="0"/>
          <w:highlight w:val="none"/>
        </w:rPr>
        <w:t>为投标报价得分。</w:t>
      </w:r>
    </w:p>
    <w:p w14:paraId="4B754E1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ascii="Times New Roman"/>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11BDCBD0">
      <w:pPr>
        <w:pStyle w:val="4"/>
        <w:rPr>
          <w:b/>
          <w:bCs/>
          <w:color w:val="auto"/>
          <w:highlight w:val="none"/>
        </w:rPr>
      </w:pPr>
      <w:bookmarkStart w:id="61" w:name="_Toc6276"/>
      <w:bookmarkStart w:id="62" w:name="_Toc31548"/>
      <w:bookmarkStart w:id="63" w:name="_Toc30822"/>
      <w:r>
        <w:rPr>
          <w:rFonts w:hint="eastAsia"/>
          <w:b/>
          <w:bCs/>
          <w:color w:val="auto"/>
          <w:highlight w:val="none"/>
          <w:lang w:val="en-US" w:eastAsia="zh-CN"/>
        </w:rPr>
        <w:t xml:space="preserve"> </w:t>
      </w:r>
      <w:r>
        <w:rPr>
          <w:rFonts w:hint="eastAsia"/>
          <w:b/>
          <w:bCs/>
          <w:color w:val="auto"/>
          <w:highlight w:val="none"/>
        </w:rPr>
        <w:t>表1 综合评分表</w:t>
      </w:r>
      <w:bookmarkEnd w:id="61"/>
      <w:bookmarkEnd w:id="62"/>
      <w:bookmarkEnd w:id="63"/>
    </w:p>
    <w:tbl>
      <w:tblPr>
        <w:tblStyle w:val="21"/>
        <w:tblW w:w="9553" w:type="dxa"/>
        <w:jc w:val="center"/>
        <w:tblLayout w:type="fixed"/>
        <w:tblCellMar>
          <w:top w:w="0" w:type="dxa"/>
          <w:left w:w="10" w:type="dxa"/>
          <w:bottom w:w="0" w:type="dxa"/>
          <w:right w:w="10" w:type="dxa"/>
        </w:tblCellMar>
      </w:tblPr>
      <w:tblGrid>
        <w:gridCol w:w="1252"/>
        <w:gridCol w:w="4391"/>
        <w:gridCol w:w="3910"/>
      </w:tblGrid>
      <w:tr w14:paraId="23BA132C">
        <w:tblPrEx>
          <w:tblCellMar>
            <w:top w:w="0" w:type="dxa"/>
            <w:left w:w="10" w:type="dxa"/>
            <w:bottom w:w="0" w:type="dxa"/>
            <w:right w:w="10" w:type="dxa"/>
          </w:tblCellMar>
        </w:tblPrEx>
        <w:trPr>
          <w:trHeight w:val="509" w:hRule="exact"/>
          <w:jc w:val="center"/>
        </w:trPr>
        <w:tc>
          <w:tcPr>
            <w:tcW w:w="9553" w:type="dxa"/>
            <w:gridSpan w:val="3"/>
            <w:tcBorders>
              <w:top w:val="single" w:color="000000" w:sz="4" w:space="0"/>
              <w:left w:val="single" w:color="000000" w:sz="4" w:space="0"/>
              <w:bottom w:val="single" w:color="000000" w:sz="4" w:space="0"/>
              <w:right w:val="single" w:color="000000" w:sz="4" w:space="0"/>
            </w:tcBorders>
            <w:shd w:val="clear" w:color="000000" w:fill="D7D7D7"/>
            <w:tcMar>
              <w:top w:w="0" w:type="dxa"/>
              <w:left w:w="108" w:type="dxa"/>
              <w:bottom w:w="0" w:type="dxa"/>
              <w:right w:w="108" w:type="dxa"/>
            </w:tcMar>
            <w:vAlign w:val="center"/>
          </w:tcPr>
          <w:p w14:paraId="53251F42">
            <w:pPr>
              <w:tabs>
                <w:tab w:val="left" w:pos="1354"/>
                <w:tab w:val="left" w:pos="1459"/>
                <w:tab w:val="center" w:pos="3902"/>
                <w:tab w:val="right" w:pos="7805"/>
              </w:tabs>
              <w:spacing w:line="240" w:lineRule="auto"/>
              <w:rPr>
                <w:rFonts w:hAnsi="宋体" w:cs="宋体"/>
                <w:b/>
                <w:bCs/>
                <w:color w:val="auto"/>
                <w:szCs w:val="24"/>
                <w:highlight w:val="none"/>
              </w:rPr>
            </w:pPr>
            <w:r>
              <w:rPr>
                <w:rFonts w:hint="eastAsia" w:hAnsi="宋体" w:cs="宋体"/>
                <w:b/>
                <w:bCs/>
                <w:color w:val="auto"/>
                <w:szCs w:val="24"/>
                <w:highlight w:val="none"/>
              </w:rPr>
              <w:t>商务部分，满分：</w:t>
            </w:r>
            <w:r>
              <w:rPr>
                <w:rFonts w:hint="eastAsia" w:hAnsi="宋体" w:cs="宋体"/>
                <w:b/>
                <w:bCs/>
                <w:color w:val="auto"/>
                <w:szCs w:val="24"/>
                <w:highlight w:val="none"/>
                <w:u w:val="single"/>
              </w:rPr>
              <w:t xml:space="preserve"> </w:t>
            </w:r>
            <w:r>
              <w:rPr>
                <w:rFonts w:hint="eastAsia" w:hAnsi="宋体" w:cs="宋体"/>
                <w:b/>
                <w:bCs/>
                <w:color w:val="auto"/>
                <w:szCs w:val="24"/>
                <w:highlight w:val="none"/>
                <w:u w:val="single"/>
                <w:lang w:val="en-US" w:eastAsia="zh-CN"/>
              </w:rPr>
              <w:t>50</w:t>
            </w:r>
            <w:r>
              <w:rPr>
                <w:rFonts w:hint="eastAsia" w:hAnsi="宋体" w:cs="宋体"/>
                <w:b/>
                <w:bCs/>
                <w:color w:val="auto"/>
                <w:szCs w:val="24"/>
                <w:highlight w:val="none"/>
              </w:rPr>
              <w:t>分。</w:t>
            </w:r>
          </w:p>
        </w:tc>
      </w:tr>
      <w:tr w14:paraId="18B5BD44">
        <w:tblPrEx>
          <w:tblCellMar>
            <w:top w:w="0" w:type="dxa"/>
            <w:left w:w="10" w:type="dxa"/>
            <w:bottom w:w="0" w:type="dxa"/>
            <w:right w:w="10" w:type="dxa"/>
          </w:tblCellMar>
        </w:tblPrEx>
        <w:trPr>
          <w:trHeight w:val="526" w:hRule="exac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D0888CC">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评分因素</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11A6CD">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评分标准</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6DB5AE">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备注</w:t>
            </w:r>
          </w:p>
        </w:tc>
      </w:tr>
      <w:tr w14:paraId="11B59848">
        <w:tblPrEx>
          <w:tblCellMar>
            <w:top w:w="0" w:type="dxa"/>
            <w:left w:w="10" w:type="dxa"/>
            <w:bottom w:w="0" w:type="dxa"/>
            <w:right w:w="10" w:type="dxa"/>
          </w:tblCellMar>
        </w:tblPrEx>
        <w:trPr>
          <w:trHeight w:val="765" w:hRule="atLeast"/>
          <w:jc w:val="center"/>
        </w:trPr>
        <w:tc>
          <w:tcPr>
            <w:tcW w:w="1252" w:type="dxa"/>
            <w:tcBorders>
              <w:top w:val="nil"/>
              <w:left w:val="single" w:color="000000" w:sz="4" w:space="0"/>
              <w:bottom w:val="single" w:color="000000" w:sz="4" w:space="0"/>
              <w:right w:val="single" w:color="000000" w:sz="4" w:space="0"/>
            </w:tcBorders>
            <w:tcMar>
              <w:top w:w="0" w:type="dxa"/>
              <w:left w:w="108" w:type="dxa"/>
              <w:bottom w:w="0" w:type="dxa"/>
              <w:right w:w="108" w:type="dxa"/>
            </w:tcMar>
            <w:vAlign w:val="center"/>
          </w:tcPr>
          <w:p w14:paraId="4A8BDE38">
            <w:pPr>
              <w:pStyle w:val="6"/>
              <w:spacing w:line="360" w:lineRule="auto"/>
              <w:jc w:val="center"/>
              <w:textAlignment w:val="auto"/>
              <w:rPr>
                <w:color w:val="auto"/>
                <w:highlight w:val="none"/>
              </w:rPr>
            </w:pPr>
            <w:r>
              <w:rPr>
                <w:color w:val="auto"/>
                <w:spacing w:val="6"/>
                <w:highlight w:val="none"/>
              </w:rPr>
              <w:t>企业奖项</w:t>
            </w:r>
            <w:r>
              <w:rPr>
                <w:color w:val="auto"/>
                <w:spacing w:val="1"/>
                <w:highlight w:val="none"/>
              </w:rPr>
              <w:t xml:space="preserve"> </w:t>
            </w:r>
            <w:r>
              <w:rPr>
                <w:color w:val="auto"/>
                <w:spacing w:val="-2"/>
                <w:highlight w:val="none"/>
              </w:rPr>
              <w:t>（1</w:t>
            </w:r>
            <w:r>
              <w:rPr>
                <w:rFonts w:hint="eastAsia"/>
                <w:color w:val="auto"/>
                <w:spacing w:val="-2"/>
                <w:highlight w:val="none"/>
                <w:lang w:val="en-US" w:eastAsia="zh-CN"/>
              </w:rPr>
              <w:t>0</w:t>
            </w:r>
            <w:r>
              <w:rPr>
                <w:color w:val="auto"/>
                <w:spacing w:val="-2"/>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0274F1">
            <w:pPr>
              <w:pStyle w:val="6"/>
              <w:rPr>
                <w:rFonts w:hint="eastAsia"/>
                <w:color w:val="auto"/>
                <w:highlight w:val="none"/>
              </w:rPr>
            </w:pPr>
            <w:r>
              <w:rPr>
                <w:rFonts w:hint="eastAsia"/>
                <w:color w:val="auto"/>
                <w:highlight w:val="none"/>
              </w:rPr>
              <w:t>企业近年来（2022年1 月1日至今）所监理过的</w:t>
            </w:r>
            <w:r>
              <w:rPr>
                <w:rFonts w:hint="eastAsia"/>
                <w:color w:val="auto"/>
                <w:spacing w:val="2"/>
                <w:highlight w:val="none"/>
                <w:lang w:val="en-US" w:eastAsia="zh-CN"/>
              </w:rPr>
              <w:t>类似</w:t>
            </w:r>
            <w:r>
              <w:rPr>
                <w:rFonts w:hint="eastAsia"/>
                <w:color w:val="auto"/>
                <w:highlight w:val="none"/>
              </w:rPr>
              <w:t>项目获奖情况：</w:t>
            </w:r>
          </w:p>
          <w:p w14:paraId="41FD60E7">
            <w:pPr>
              <w:pStyle w:val="6"/>
              <w:rPr>
                <w:rFonts w:hint="eastAsia"/>
                <w:color w:val="auto"/>
                <w:highlight w:val="none"/>
              </w:rPr>
            </w:pPr>
            <w:r>
              <w:rPr>
                <w:rFonts w:hint="eastAsia"/>
                <w:color w:val="auto"/>
                <w:highlight w:val="none"/>
              </w:rPr>
              <w:t>1.获得过省级以上（含省级）奖项的，每提供一项得4分；</w:t>
            </w:r>
          </w:p>
          <w:p w14:paraId="02F80FC3">
            <w:pPr>
              <w:pStyle w:val="6"/>
              <w:rPr>
                <w:rFonts w:hint="eastAsia"/>
                <w:color w:val="auto"/>
                <w:highlight w:val="none"/>
              </w:rPr>
            </w:pPr>
            <w:r>
              <w:rPr>
                <w:rFonts w:hint="eastAsia"/>
                <w:color w:val="auto"/>
                <w:highlight w:val="none"/>
              </w:rPr>
              <w:t>2.获得过市级奖项的，每提供一项得2分；</w:t>
            </w:r>
          </w:p>
          <w:p w14:paraId="04C5CD95">
            <w:pPr>
              <w:pStyle w:val="6"/>
              <w:rPr>
                <w:rFonts w:hint="eastAsia"/>
                <w:color w:val="auto"/>
                <w:highlight w:val="none"/>
              </w:rPr>
            </w:pPr>
            <w:r>
              <w:rPr>
                <w:rFonts w:hint="eastAsia"/>
                <w:color w:val="auto"/>
                <w:highlight w:val="none"/>
              </w:rPr>
              <w:t>3.其他情形的，不予计分。</w:t>
            </w:r>
          </w:p>
          <w:p w14:paraId="23608F0A">
            <w:pPr>
              <w:pStyle w:val="6"/>
              <w:rPr>
                <w:color w:val="auto"/>
                <w:highlight w:val="none"/>
              </w:rPr>
            </w:pPr>
            <w:r>
              <w:rPr>
                <w:rFonts w:hint="eastAsia"/>
                <w:color w:val="auto"/>
                <w:highlight w:val="none"/>
              </w:rPr>
              <w:t>注：本项累计最高得10分。</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A8B16B">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highlight w:val="none"/>
              </w:rPr>
            </w:pPr>
            <w:r>
              <w:rPr>
                <w:rFonts w:hint="eastAsia"/>
                <w:color w:val="auto"/>
                <w:highlight w:val="none"/>
              </w:rPr>
              <w:t>1.</w:t>
            </w:r>
            <w:r>
              <w:rPr>
                <w:color w:val="auto"/>
                <w:spacing w:val="14"/>
                <w:highlight w:val="none"/>
              </w:rPr>
              <w:t>同一业绩只按最高级别奖项</w:t>
            </w:r>
            <w:r>
              <w:rPr>
                <w:color w:val="auto"/>
                <w:spacing w:val="16"/>
                <w:highlight w:val="none"/>
              </w:rPr>
              <w:t>计分一次，不同业绩按照各自</w:t>
            </w:r>
            <w:r>
              <w:rPr>
                <w:color w:val="auto"/>
                <w:spacing w:val="12"/>
                <w:highlight w:val="none"/>
              </w:rPr>
              <w:t>最高获奖等级的得分累加。</w:t>
            </w:r>
            <w:r>
              <w:rPr>
                <w:rFonts w:hint="eastAsia"/>
                <w:color w:val="auto"/>
                <w:spacing w:val="2"/>
                <w:highlight w:val="none"/>
                <w:lang w:val="en-US" w:eastAsia="zh-CN"/>
              </w:rPr>
              <w:t>类似</w:t>
            </w:r>
            <w:r>
              <w:rPr>
                <w:color w:val="auto"/>
                <w:spacing w:val="16"/>
                <w:highlight w:val="none"/>
              </w:rPr>
              <w:t>项目是指</w:t>
            </w:r>
            <w:r>
              <w:rPr>
                <w:rFonts w:hint="eastAsia"/>
                <w:color w:val="auto"/>
                <w:spacing w:val="16"/>
                <w:highlight w:val="none"/>
                <w:lang w:eastAsia="zh-CN"/>
              </w:rPr>
              <w:t>市政公用工程</w:t>
            </w:r>
            <w:r>
              <w:rPr>
                <w:color w:val="auto"/>
                <w:spacing w:val="16"/>
                <w:highlight w:val="none"/>
              </w:rPr>
              <w:t>类监</w:t>
            </w:r>
            <w:r>
              <w:rPr>
                <w:color w:val="auto"/>
                <w:spacing w:val="5"/>
                <w:highlight w:val="none"/>
              </w:rPr>
              <w:t>理项目。</w:t>
            </w:r>
          </w:p>
          <w:p w14:paraId="203918E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color w:val="auto"/>
                <w:highlight w:val="none"/>
              </w:rPr>
              <w:t>2.</w:t>
            </w:r>
            <w:r>
              <w:rPr>
                <w:rFonts w:hint="eastAsia"/>
                <w:color w:val="auto"/>
                <w:highlight w:val="none"/>
                <w:lang w:val="en-US" w:eastAsia="zh-CN"/>
              </w:rPr>
              <w:t>需</w:t>
            </w:r>
            <w:r>
              <w:rPr>
                <w:rFonts w:hint="eastAsia"/>
                <w:color w:val="auto"/>
                <w:highlight w:val="none"/>
              </w:rPr>
              <w:t>提供行政主管部门或</w:t>
            </w:r>
            <w:r>
              <w:rPr>
                <w:rFonts w:hint="eastAsia"/>
                <w:color w:val="auto"/>
                <w:highlight w:val="none"/>
                <w:lang w:val="en-US" w:eastAsia="zh-CN"/>
              </w:rPr>
              <w:t>建筑/市政</w:t>
            </w:r>
            <w:r>
              <w:rPr>
                <w:rFonts w:hint="eastAsia"/>
                <w:color w:val="auto"/>
                <w:highlight w:val="none"/>
              </w:rPr>
              <w:t>类</w:t>
            </w:r>
            <w:r>
              <w:rPr>
                <w:rFonts w:hint="eastAsia"/>
                <w:color w:val="auto"/>
                <w:highlight w:val="none"/>
                <w:lang w:val="en-US" w:eastAsia="zh-CN"/>
              </w:rPr>
              <w:t>相关</w:t>
            </w:r>
            <w:r>
              <w:rPr>
                <w:rFonts w:hint="eastAsia"/>
                <w:color w:val="auto"/>
                <w:highlight w:val="none"/>
              </w:rPr>
              <w:t>协会颁发的监理单位获奖证书</w:t>
            </w:r>
            <w:r>
              <w:rPr>
                <w:rFonts w:hint="eastAsia"/>
                <w:color w:val="auto"/>
                <w:highlight w:val="none"/>
                <w:lang w:val="en-US" w:eastAsia="zh-CN"/>
              </w:rPr>
              <w:t>或发文材料</w:t>
            </w:r>
            <w:r>
              <w:rPr>
                <w:rFonts w:hint="eastAsia"/>
                <w:color w:val="auto"/>
                <w:highlight w:val="none"/>
              </w:rPr>
              <w:t>彩色扫描件</w:t>
            </w:r>
            <w:r>
              <w:rPr>
                <w:rFonts w:hint="eastAsia"/>
                <w:color w:val="auto"/>
                <w:highlight w:val="none"/>
                <w:lang w:eastAsia="zh-CN"/>
              </w:rPr>
              <w:t>（</w:t>
            </w:r>
            <w:r>
              <w:rPr>
                <w:rFonts w:hint="eastAsia"/>
                <w:color w:val="auto"/>
                <w:highlight w:val="none"/>
                <w:lang w:val="en-US" w:eastAsia="zh-CN"/>
              </w:rPr>
              <w:t>若上述获奖证明材料未能体现监理单位名称</w:t>
            </w:r>
            <w:r>
              <w:rPr>
                <w:rFonts w:hint="eastAsia" w:ascii="宋体" w:hAnsi="Times New Roman" w:eastAsia="宋体" w:cs="Times New Roman"/>
                <w:color w:val="auto"/>
                <w:highlight w:val="none"/>
                <w:lang w:val="en-US" w:eastAsia="zh-CN"/>
              </w:rPr>
              <w:t>的，则须另外提供中标通知书或服务合同作为评审依据）。</w:t>
            </w:r>
          </w:p>
          <w:p w14:paraId="69BD803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3.建筑/市政类相关协会需经民政部门备案，提供中华人民共和国民政部网站全国社会组织信息查询 (</w:t>
            </w:r>
            <w:r>
              <w:rPr>
                <w:rFonts w:hint="eastAsia" w:ascii="宋体" w:hAnsi="Times New Roman" w:eastAsia="宋体" w:cs="Times New Roman"/>
                <w:color w:val="auto"/>
                <w:highlight w:val="none"/>
                <w:lang w:val="en-US" w:eastAsia="zh-CN"/>
              </w:rPr>
              <w:fldChar w:fldCharType="begin"/>
            </w:r>
            <w:r>
              <w:rPr>
                <w:rFonts w:hint="eastAsia" w:ascii="宋体" w:hAnsi="Times New Roman" w:eastAsia="宋体" w:cs="Times New Roman"/>
                <w:color w:val="auto"/>
                <w:highlight w:val="none"/>
                <w:lang w:val="en-US" w:eastAsia="zh-CN"/>
              </w:rPr>
              <w:instrText xml:space="preserve"> HYPERLINK "https://xxgs.chinanpo.mca.gov.cn/gsxt/newList" </w:instrText>
            </w:r>
            <w:r>
              <w:rPr>
                <w:rFonts w:hint="eastAsia" w:ascii="宋体" w:hAnsi="Times New Roman" w:eastAsia="宋体" w:cs="Times New Roman"/>
                <w:color w:val="auto"/>
                <w:highlight w:val="none"/>
                <w:lang w:val="en-US" w:eastAsia="zh-CN"/>
              </w:rPr>
              <w:fldChar w:fldCharType="separate"/>
            </w:r>
            <w:r>
              <w:rPr>
                <w:rFonts w:hint="eastAsia" w:ascii="宋体" w:hAnsi="Times New Roman" w:eastAsia="宋体" w:cs="Times New Roman"/>
                <w:color w:val="auto"/>
                <w:highlight w:val="none"/>
                <w:lang w:val="en-US" w:eastAsia="zh-CN"/>
              </w:rPr>
              <w:t>https://xxgs.chinanpo.mca.gov.cn/gsxt/newL</w:t>
            </w:r>
            <w:r>
              <w:rPr>
                <w:rFonts w:hint="eastAsia" w:ascii="宋体" w:hAnsi="Times New Roman" w:eastAsia="宋体" w:cs="Times New Roman"/>
                <w:color w:val="auto"/>
                <w:highlight w:val="none"/>
                <w:lang w:val="en-US" w:eastAsia="zh-CN"/>
              </w:rPr>
              <w:fldChar w:fldCharType="end"/>
            </w:r>
            <w:r>
              <w:rPr>
                <w:rFonts w:hint="eastAsia" w:ascii="宋体" w:hAnsi="Times New Roman" w:eastAsia="宋体" w:cs="Times New Roman"/>
                <w:color w:val="auto"/>
                <w:highlight w:val="none"/>
                <w:lang w:val="en-US" w:eastAsia="zh-CN"/>
              </w:rPr>
              <w:t xml:space="preserve"> </w:t>
            </w:r>
            <w:r>
              <w:rPr>
                <w:rFonts w:hint="eastAsia" w:ascii="宋体" w:hAnsi="Times New Roman" w:eastAsia="宋体" w:cs="Times New Roman"/>
                <w:color w:val="auto"/>
                <w:highlight w:val="none"/>
                <w:lang w:val="en-US" w:eastAsia="zh-CN"/>
              </w:rPr>
              <w:fldChar w:fldCharType="begin"/>
            </w:r>
            <w:r>
              <w:rPr>
                <w:rFonts w:hint="eastAsia" w:ascii="宋体" w:hAnsi="Times New Roman" w:eastAsia="宋体" w:cs="Times New Roman"/>
                <w:color w:val="auto"/>
                <w:highlight w:val="none"/>
                <w:lang w:val="en-US" w:eastAsia="zh-CN"/>
              </w:rPr>
              <w:instrText xml:space="preserve"> HYPERLINK "https://xxgs.chinanpo.mca.gov.cn/gsxt/newList" </w:instrText>
            </w:r>
            <w:r>
              <w:rPr>
                <w:rFonts w:hint="eastAsia" w:ascii="宋体" w:hAnsi="Times New Roman" w:eastAsia="宋体" w:cs="Times New Roman"/>
                <w:color w:val="auto"/>
                <w:highlight w:val="none"/>
                <w:lang w:val="en-US" w:eastAsia="zh-CN"/>
              </w:rPr>
              <w:fldChar w:fldCharType="separate"/>
            </w:r>
            <w:r>
              <w:rPr>
                <w:rFonts w:hint="eastAsia" w:ascii="宋体" w:hAnsi="Times New Roman" w:eastAsia="宋体" w:cs="Times New Roman"/>
                <w:color w:val="auto"/>
                <w:highlight w:val="none"/>
                <w:lang w:val="en-US" w:eastAsia="zh-CN"/>
              </w:rPr>
              <w:t>ist</w:t>
            </w:r>
            <w:r>
              <w:rPr>
                <w:rFonts w:hint="eastAsia" w:ascii="宋体" w:hAnsi="Times New Roman" w:eastAsia="宋体" w:cs="Times New Roman"/>
                <w:color w:val="auto"/>
                <w:highlight w:val="none"/>
                <w:lang w:val="en-US" w:eastAsia="zh-CN"/>
              </w:rPr>
              <w:fldChar w:fldCharType="end"/>
            </w:r>
            <w:r>
              <w:rPr>
                <w:rFonts w:hint="eastAsia" w:ascii="宋体" w:hAnsi="Times New Roman" w:eastAsia="宋体" w:cs="Times New Roman"/>
                <w:color w:val="auto"/>
                <w:highlight w:val="none"/>
                <w:lang w:val="en-US" w:eastAsia="zh-CN"/>
              </w:rPr>
              <w:t xml:space="preserve"> )备案登记网站截图)。</w:t>
            </w:r>
          </w:p>
          <w:p w14:paraId="4344560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4.获奖时间以发证或发文时间为准。</w:t>
            </w:r>
          </w:p>
          <w:p w14:paraId="6C5231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5.任一奖项有以下情形之一的，该奖项视为无效，不予计分：</w:t>
            </w:r>
          </w:p>
          <w:p w14:paraId="1C67DB9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①奖项不属于指定类别的；</w:t>
            </w:r>
          </w:p>
          <w:p w14:paraId="4179F3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②颁发机构不符合要求的；</w:t>
            </w:r>
          </w:p>
          <w:p w14:paraId="1C4083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③获奖时间不符合要求的；</w:t>
            </w:r>
          </w:p>
          <w:p w14:paraId="383A8C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rPr>
            </w:pPr>
            <w:r>
              <w:rPr>
                <w:rFonts w:hint="eastAsia" w:ascii="宋体" w:hAnsi="Times New Roman" w:eastAsia="宋体" w:cs="Times New Roman"/>
                <w:color w:val="auto"/>
                <w:highlight w:val="none"/>
                <w:lang w:val="en-US" w:eastAsia="zh-CN"/>
              </w:rPr>
              <w:t>④获奖证明材料未能体现监理单位名称的。</w:t>
            </w:r>
          </w:p>
        </w:tc>
      </w:tr>
      <w:tr w14:paraId="68600DF2">
        <w:tblPrEx>
          <w:tblCellMar>
            <w:top w:w="0" w:type="dxa"/>
            <w:left w:w="10" w:type="dxa"/>
            <w:bottom w:w="0" w:type="dxa"/>
            <w:right w:w="10" w:type="dxa"/>
          </w:tblCellMar>
        </w:tblPrEx>
        <w:trPr>
          <w:trHeight w:val="3187"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3F33EE">
            <w:pPr>
              <w:pStyle w:val="6"/>
              <w:keepNext w:val="0"/>
              <w:keepLines w:val="0"/>
              <w:pageBreakBefore w:val="0"/>
              <w:shd w:val="clear"/>
              <w:kinsoku/>
              <w:overflowPunct/>
              <w:topLinePunct w:val="0"/>
              <w:autoSpaceDE/>
              <w:autoSpaceDN/>
              <w:bidi w:val="0"/>
              <w:spacing w:line="360" w:lineRule="auto"/>
              <w:jc w:val="center"/>
              <w:textAlignment w:val="auto"/>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监理业绩</w:t>
            </w:r>
          </w:p>
          <w:p w14:paraId="02C6A12A">
            <w:pPr>
              <w:pStyle w:val="6"/>
              <w:keepNext w:val="0"/>
              <w:keepLines w:val="0"/>
              <w:pageBreakBefore w:val="0"/>
              <w:shd w:val="clear"/>
              <w:kinsoku/>
              <w:overflowPunct/>
              <w:topLinePunct w:val="0"/>
              <w:autoSpaceDE/>
              <w:autoSpaceDN/>
              <w:bidi w:val="0"/>
              <w:spacing w:line="360" w:lineRule="auto"/>
              <w:jc w:val="center"/>
              <w:textAlignment w:val="auto"/>
              <w:rPr>
                <w:color w:val="auto"/>
                <w:highlight w:val="none"/>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w:t>
            </w:r>
            <w:r>
              <w:rPr>
                <w:rFonts w:hint="eastAsia" w:hAnsi="宋体" w:cs="宋体"/>
                <w:b w:val="0"/>
                <w:bCs w:val="0"/>
                <w:caps w:val="0"/>
                <w:smallCaps w:val="0"/>
                <w:snapToGrid w:val="0"/>
                <w:color w:val="auto"/>
                <w:spacing w:val="0"/>
                <w:kern w:val="0"/>
                <w:sz w:val="24"/>
                <w:szCs w:val="24"/>
                <w:highlight w:val="none"/>
                <w:u w:val="none"/>
                <w:lang w:val="en-US" w:eastAsia="zh-CN"/>
              </w:rPr>
              <w:t>10</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C7003E">
            <w:pPr>
              <w:keepNext w:val="0"/>
              <w:keepLines w:val="0"/>
              <w:pageBreakBefore w:val="0"/>
              <w:numPr>
                <w:ilvl w:val="0"/>
                <w:numId w:val="0"/>
              </w:numPr>
              <w:shd w:val="clear"/>
              <w:kinsoku/>
              <w:wordWrap w:val="0"/>
              <w:overflowPunct/>
              <w:topLinePunct w:val="0"/>
              <w:autoSpaceDE/>
              <w:autoSpaceDN/>
              <w:bidi w:val="0"/>
              <w:adjustRightInd w:val="0"/>
              <w:snapToGrid w:val="0"/>
              <w:spacing w:line="360" w:lineRule="auto"/>
              <w:ind w:left="0" w:leftChars="0" w:firstLine="0" w:firstLineChars="0"/>
              <w:textAlignment w:val="auto"/>
              <w:rPr>
                <w:color w:val="auto"/>
                <w:highlight w:val="none"/>
              </w:rPr>
            </w:pPr>
            <w:r>
              <w:rPr>
                <w:rFonts w:hint="eastAsia"/>
                <w:color w:val="auto"/>
                <w:sz w:val="24"/>
                <w:szCs w:val="24"/>
                <w:highlight w:val="none"/>
                <w:lang w:eastAsia="zh-CN"/>
              </w:rPr>
              <w:t>投标人近年来(20</w:t>
            </w:r>
            <w:r>
              <w:rPr>
                <w:rFonts w:hint="eastAsia"/>
                <w:color w:val="auto"/>
                <w:sz w:val="24"/>
                <w:szCs w:val="24"/>
                <w:highlight w:val="none"/>
                <w:lang w:val="en-US" w:eastAsia="zh-CN"/>
              </w:rPr>
              <w:t>22</w:t>
            </w:r>
            <w:r>
              <w:rPr>
                <w:rFonts w:hint="eastAsia"/>
                <w:color w:val="auto"/>
                <w:sz w:val="24"/>
                <w:szCs w:val="24"/>
                <w:highlight w:val="none"/>
                <w:lang w:eastAsia="zh-CN"/>
              </w:rPr>
              <w:t xml:space="preserve">年1月1日至今) </w:t>
            </w:r>
            <w:r>
              <w:rPr>
                <w:color w:val="auto"/>
                <w:spacing w:val="2"/>
                <w:highlight w:val="none"/>
              </w:rPr>
              <w:t>完成过的</w:t>
            </w:r>
            <w:r>
              <w:rPr>
                <w:rFonts w:hint="eastAsia"/>
                <w:color w:val="auto"/>
                <w:spacing w:val="2"/>
                <w:highlight w:val="none"/>
                <w:lang w:val="en-US" w:eastAsia="zh-CN"/>
              </w:rPr>
              <w:t>类似</w:t>
            </w:r>
            <w:r>
              <w:rPr>
                <w:color w:val="auto"/>
                <w:spacing w:val="6"/>
                <w:highlight w:val="none"/>
              </w:rPr>
              <w:t>项目业绩情况</w:t>
            </w:r>
            <w:r>
              <w:rPr>
                <w:rFonts w:hint="eastAsia"/>
                <w:color w:val="auto"/>
                <w:sz w:val="24"/>
                <w:szCs w:val="24"/>
                <w:highlight w:val="none"/>
                <w:lang w:eastAsia="zh-CN"/>
              </w:rPr>
              <w:t>，每提供一个项目得</w:t>
            </w:r>
            <w:r>
              <w:rPr>
                <w:rFonts w:hint="eastAsia"/>
                <w:color w:val="auto"/>
                <w:sz w:val="24"/>
                <w:szCs w:val="24"/>
                <w:highlight w:val="none"/>
                <w:lang w:val="en-US" w:eastAsia="zh-CN"/>
              </w:rPr>
              <w:t>2.5</w:t>
            </w:r>
            <w:r>
              <w:rPr>
                <w:rFonts w:hint="eastAsia"/>
                <w:color w:val="auto"/>
                <w:sz w:val="24"/>
                <w:szCs w:val="24"/>
                <w:highlight w:val="none"/>
                <w:lang w:eastAsia="zh-CN"/>
              </w:rPr>
              <w:t>分，本小项最高得</w:t>
            </w:r>
            <w:r>
              <w:rPr>
                <w:rFonts w:hint="eastAsia"/>
                <w:color w:val="auto"/>
                <w:sz w:val="24"/>
                <w:szCs w:val="24"/>
                <w:highlight w:val="none"/>
                <w:lang w:val="en-US" w:eastAsia="zh-CN"/>
              </w:rPr>
              <w:t>10</w:t>
            </w:r>
            <w:r>
              <w:rPr>
                <w:rFonts w:hint="eastAsia"/>
                <w:color w:val="auto"/>
                <w:sz w:val="24"/>
                <w:szCs w:val="24"/>
                <w:highlight w:val="none"/>
                <w:lang w:eastAsia="zh-CN"/>
              </w:rPr>
              <w:t>分。</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8332D2">
            <w:pPr>
              <w:pStyle w:val="7"/>
              <w:wordWrap w:val="0"/>
              <w:adjustRightInd w:val="0"/>
              <w:snapToGrid w:val="0"/>
              <w:spacing w:after="0" w:line="240" w:lineRule="auto"/>
              <w:rPr>
                <w:rFonts w:hAnsi="宋体" w:cs="宋体"/>
                <w:bCs/>
                <w:snapToGrid w:val="0"/>
                <w:color w:val="auto"/>
                <w:kern w:val="0"/>
                <w:sz w:val="24"/>
                <w:szCs w:val="24"/>
                <w:highlight w:val="none"/>
              </w:rPr>
            </w:pPr>
            <w:r>
              <w:rPr>
                <w:rFonts w:hint="eastAsia" w:hAnsi="宋体" w:cs="宋体"/>
                <w:bCs/>
                <w:snapToGrid w:val="0"/>
                <w:color w:val="auto"/>
                <w:kern w:val="0"/>
                <w:sz w:val="24"/>
                <w:szCs w:val="24"/>
                <w:highlight w:val="none"/>
              </w:rPr>
              <w:t>1.类似工程指：</w:t>
            </w:r>
            <w:r>
              <w:rPr>
                <w:rFonts w:hint="eastAsia" w:hAnsi="宋体" w:cs="宋体"/>
                <w:b w:val="0"/>
                <w:bCs w:val="0"/>
                <w:caps w:val="0"/>
                <w:smallCaps w:val="0"/>
                <w:snapToGrid w:val="0"/>
                <w:color w:val="auto"/>
                <w:spacing w:val="0"/>
                <w:kern w:val="0"/>
                <w:sz w:val="24"/>
                <w:szCs w:val="24"/>
                <w:highlight w:val="none"/>
                <w:u w:val="single"/>
                <w:lang w:val="en-US" w:eastAsia="zh-CN"/>
              </w:rPr>
              <w:t>市政公用工程施工监理服务项目</w:t>
            </w:r>
            <w:r>
              <w:rPr>
                <w:rFonts w:hint="eastAsia" w:hAnsi="宋体" w:cs="宋体"/>
                <w:bCs/>
                <w:snapToGrid w:val="0"/>
                <w:color w:val="auto"/>
                <w:kern w:val="0"/>
                <w:sz w:val="24"/>
                <w:szCs w:val="24"/>
                <w:highlight w:val="none"/>
              </w:rPr>
              <w:t>。</w:t>
            </w:r>
          </w:p>
          <w:p w14:paraId="6C015BA2">
            <w:pPr>
              <w:pStyle w:val="7"/>
              <w:wordWrap w:val="0"/>
              <w:adjustRightInd w:val="0"/>
              <w:snapToGrid w:val="0"/>
              <w:spacing w:after="0" w:line="240" w:lineRule="auto"/>
              <w:rPr>
                <w:rFonts w:hint="eastAsia" w:hAnsi="宋体" w:cs="宋体"/>
                <w:bCs/>
                <w:snapToGrid w:val="0"/>
                <w:color w:val="auto"/>
                <w:kern w:val="0"/>
                <w:sz w:val="24"/>
                <w:szCs w:val="24"/>
                <w:highlight w:val="none"/>
              </w:rPr>
            </w:pPr>
            <w:r>
              <w:rPr>
                <w:rFonts w:hint="eastAsia" w:hAnsi="宋体" w:cs="宋体"/>
                <w:bCs/>
                <w:snapToGrid w:val="0"/>
                <w:color w:val="auto"/>
                <w:kern w:val="0"/>
                <w:sz w:val="24"/>
                <w:szCs w:val="24"/>
                <w:highlight w:val="none"/>
              </w:rPr>
              <w:t>2.</w:t>
            </w:r>
            <w:r>
              <w:rPr>
                <w:color w:val="auto"/>
                <w:spacing w:val="7"/>
                <w:highlight w:val="none"/>
              </w:rPr>
              <w:t>需提供中标通知书或中选通</w:t>
            </w:r>
            <w:r>
              <w:rPr>
                <w:color w:val="auto"/>
                <w:spacing w:val="15"/>
                <w:highlight w:val="none"/>
              </w:rPr>
              <w:t>知书及监理合同</w:t>
            </w:r>
            <w:r>
              <w:rPr>
                <w:rFonts w:hint="eastAsia"/>
                <w:color w:val="auto"/>
                <w:spacing w:val="15"/>
                <w:highlight w:val="none"/>
                <w:lang w:eastAsia="zh-CN"/>
              </w:rPr>
              <w:t>关键页</w:t>
            </w:r>
            <w:r>
              <w:rPr>
                <w:color w:val="auto"/>
                <w:spacing w:val="15"/>
                <w:highlight w:val="none"/>
              </w:rPr>
              <w:t>和竣工验收证</w:t>
            </w:r>
            <w:r>
              <w:rPr>
                <w:color w:val="auto"/>
                <w:spacing w:val="14"/>
                <w:highlight w:val="none"/>
              </w:rPr>
              <w:t>明彩色扫描件。</w:t>
            </w:r>
            <w:r>
              <w:rPr>
                <w:color w:val="auto"/>
                <w:spacing w:val="-76"/>
                <w:highlight w:val="none"/>
              </w:rPr>
              <w:t xml:space="preserve"> </w:t>
            </w:r>
            <w:r>
              <w:rPr>
                <w:color w:val="auto"/>
                <w:spacing w:val="14"/>
                <w:highlight w:val="none"/>
              </w:rPr>
              <w:t>（业绩认定时</w:t>
            </w:r>
            <w:r>
              <w:rPr>
                <w:color w:val="auto"/>
                <w:spacing w:val="7"/>
                <w:highlight w:val="none"/>
              </w:rPr>
              <w:t>间以竣工验收时间为准）</w:t>
            </w:r>
            <w:r>
              <w:rPr>
                <w:rFonts w:hint="eastAsia" w:hAnsi="宋体" w:cs="宋体"/>
                <w:bCs/>
                <w:snapToGrid w:val="0"/>
                <w:color w:val="auto"/>
                <w:kern w:val="0"/>
                <w:sz w:val="24"/>
                <w:szCs w:val="24"/>
                <w:highlight w:val="none"/>
              </w:rPr>
              <w:t>。</w:t>
            </w:r>
          </w:p>
          <w:p w14:paraId="78040093">
            <w:pPr>
              <w:pStyle w:val="7"/>
              <w:wordWrap w:val="0"/>
              <w:adjustRightInd w:val="0"/>
              <w:snapToGrid w:val="0"/>
              <w:spacing w:after="0" w:line="240" w:lineRule="auto"/>
              <w:rPr>
                <w:color w:val="auto"/>
                <w:highlight w:val="none"/>
              </w:rPr>
            </w:pPr>
            <w:r>
              <w:rPr>
                <w:rFonts w:hint="eastAsia" w:hAnsi="宋体" w:cs="宋体"/>
                <w:bCs/>
                <w:snapToGrid w:val="0"/>
                <w:color w:val="auto"/>
                <w:kern w:val="0"/>
                <w:sz w:val="24"/>
                <w:szCs w:val="24"/>
                <w:highlight w:val="none"/>
              </w:rPr>
              <w:t>3.</w:t>
            </w:r>
            <w:r>
              <w:rPr>
                <w:rFonts w:hint="eastAsia" w:hAnsi="宋体" w:cs="宋体"/>
                <w:bCs/>
                <w:snapToGrid w:val="0"/>
                <w:color w:val="auto"/>
                <w:kern w:val="0"/>
                <w:sz w:val="24"/>
                <w:szCs w:val="24"/>
                <w:highlight w:val="none"/>
                <w:lang w:eastAsia="zh-CN"/>
              </w:rPr>
              <w:t>业绩不符合评分标准和备注规定的，不予计分。</w:t>
            </w:r>
          </w:p>
        </w:tc>
      </w:tr>
      <w:tr w14:paraId="569E657C">
        <w:tblPrEx>
          <w:tblCellMar>
            <w:top w:w="0" w:type="dxa"/>
            <w:left w:w="10" w:type="dxa"/>
            <w:bottom w:w="0" w:type="dxa"/>
            <w:right w:w="10" w:type="dxa"/>
          </w:tblCellMar>
        </w:tblPrEx>
        <w:trPr>
          <w:trHeight w:val="2001"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6BFE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color w:val="auto"/>
                <w:highlight w:val="none"/>
                <w:lang w:eastAsia="zh-CN"/>
              </w:rPr>
            </w:pPr>
            <w:r>
              <w:rPr>
                <w:rFonts w:hint="eastAsia" w:ascii="宋体" w:hAnsi="宋体" w:eastAsia="宋体" w:cs="宋体"/>
                <w:b w:val="0"/>
                <w:bCs w:val="0"/>
                <w:snapToGrid w:val="0"/>
                <w:color w:val="auto"/>
                <w:kern w:val="0"/>
                <w:sz w:val="24"/>
                <w:szCs w:val="24"/>
                <w:highlight w:val="none"/>
                <w:u w:val="none"/>
              </w:rPr>
              <w:t>企业</w:t>
            </w:r>
            <w:r>
              <w:rPr>
                <w:rFonts w:hint="eastAsia" w:ascii="宋体" w:hAnsi="宋体" w:eastAsia="宋体" w:cs="宋体"/>
                <w:b w:val="0"/>
                <w:bCs w:val="0"/>
                <w:snapToGrid w:val="0"/>
                <w:color w:val="auto"/>
                <w:kern w:val="0"/>
                <w:sz w:val="24"/>
                <w:szCs w:val="24"/>
                <w:highlight w:val="none"/>
                <w:u w:val="none"/>
                <w:lang w:eastAsia="zh-CN"/>
              </w:rPr>
              <w:t>管理体系</w:t>
            </w:r>
          </w:p>
          <w:p w14:paraId="44084A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C2F4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1.投标人同时具有质量管理体系认证证书、职业健康安全管理体系认证证书、环境管理体系认证证书的得2分，在此基础上，提供信息安全管理体系认证证书、风险管理体系认证证书的，每提供一项得1.5分。</w:t>
            </w:r>
          </w:p>
          <w:p w14:paraId="3C7DD0CE">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注：本项最高得5分。</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8C0DEA">
            <w:pPr>
              <w:keepNext w:val="0"/>
              <w:keepLines w:val="0"/>
              <w:pageBreakBefore w:val="0"/>
              <w:kinsoku/>
              <w:wordWrap/>
              <w:overflowPunct/>
              <w:topLinePunct w:val="0"/>
              <w:autoSpaceDE/>
              <w:autoSpaceDN/>
              <w:bidi w:val="0"/>
              <w:adjustRightInd/>
              <w:snapToGrid/>
              <w:spacing w:line="400" w:lineRule="exact"/>
              <w:textAlignment w:val="auto"/>
              <w:rPr>
                <w:rFonts w:hint="eastAsia"/>
                <w:color w:val="auto"/>
                <w:highlight w:val="none"/>
              </w:rPr>
            </w:pPr>
            <w:r>
              <w:rPr>
                <w:rFonts w:hint="eastAsia"/>
                <w:color w:val="auto"/>
                <w:highlight w:val="none"/>
              </w:rPr>
              <w:t>1．企业管理体系需提供官方认可的第三方机构出具的有效的“管理体系认证证书”彩色扫描件及全国认证认可信息公共服务平台（http://cx.cnca.cn/）查询结果截图，证书状态必须为“有效”。</w:t>
            </w:r>
          </w:p>
          <w:p w14:paraId="41BFB481">
            <w:pPr>
              <w:keepNext w:val="0"/>
              <w:keepLines w:val="0"/>
              <w:pageBreakBefore w:val="0"/>
              <w:kinsoku/>
              <w:wordWrap/>
              <w:overflowPunct/>
              <w:topLinePunct w:val="0"/>
              <w:autoSpaceDE/>
              <w:autoSpaceDN/>
              <w:bidi w:val="0"/>
              <w:adjustRightInd/>
              <w:snapToGrid/>
              <w:spacing w:line="400" w:lineRule="exact"/>
              <w:textAlignment w:val="auto"/>
              <w:rPr>
                <w:color w:val="auto"/>
                <w:highlight w:val="none"/>
              </w:rPr>
            </w:pPr>
            <w:r>
              <w:rPr>
                <w:rFonts w:hint="eastAsia"/>
                <w:color w:val="auto"/>
                <w:highlight w:val="none"/>
              </w:rPr>
              <w:t>2．证书不在有效期内的，不予计分</w:t>
            </w:r>
          </w:p>
        </w:tc>
      </w:tr>
      <w:tr w14:paraId="69620571">
        <w:tblPrEx>
          <w:tblCellMar>
            <w:top w:w="0" w:type="dxa"/>
            <w:left w:w="10" w:type="dxa"/>
            <w:bottom w:w="0" w:type="dxa"/>
            <w:right w:w="10" w:type="dxa"/>
          </w:tblCellMar>
        </w:tblPrEx>
        <w:trPr>
          <w:trHeight w:val="1956" w:hRule="atLeast"/>
          <w:jc w:val="center"/>
        </w:trPr>
        <w:tc>
          <w:tcPr>
            <w:tcW w:w="1252"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48D81E44">
            <w:pPr>
              <w:keepNext w:val="0"/>
              <w:keepLines w:val="0"/>
              <w:pageBreakBefore w:val="0"/>
              <w:widowControl w:val="0"/>
              <w:kinsoku/>
              <w:wordWrap/>
              <w:overflowPunct/>
              <w:topLinePunct w:val="0"/>
              <w:autoSpaceDE/>
              <w:autoSpaceDN/>
              <w:bidi w:val="0"/>
              <w:adjustRightInd/>
              <w:snapToGrid/>
              <w:spacing w:line="400" w:lineRule="exact"/>
              <w:jc w:val="both"/>
              <w:textAlignment w:val="auto"/>
              <w:rPr>
                <w:color w:val="auto"/>
                <w:highlight w:val="none"/>
              </w:rPr>
            </w:pPr>
            <w:r>
              <w:rPr>
                <w:rFonts w:hint="eastAsia"/>
                <w:color w:val="auto"/>
                <w:highlight w:val="none"/>
              </w:rPr>
              <w:t>监理机构人员配备（</w:t>
            </w:r>
            <w:r>
              <w:rPr>
                <w:rFonts w:hint="eastAsia"/>
                <w:color w:val="auto"/>
                <w:highlight w:val="none"/>
                <w:lang w:val="en-US" w:eastAsia="zh-CN"/>
              </w:rPr>
              <w:t>5</w:t>
            </w:r>
            <w:r>
              <w:rPr>
                <w:rFonts w:hint="eastAsia"/>
                <w:color w:val="auto"/>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5309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color w:val="auto"/>
                <w:highlight w:val="none"/>
              </w:rPr>
            </w:pPr>
            <w:r>
              <w:rPr>
                <w:rFonts w:hint="eastAsia"/>
                <w:color w:val="auto"/>
                <w:highlight w:val="none"/>
              </w:rPr>
              <w:t>1.拟派人员的数量和专业完全满足表2《项目监理机构其他人员需求表》(以下简称《需求表》)要求的，得2分</w:t>
            </w:r>
            <w:r>
              <w:rPr>
                <w:color w:val="auto"/>
                <w:spacing w:val="6"/>
                <w:highlight w:val="none"/>
              </w:rPr>
              <w:t>；不满足《需求表》的不得</w:t>
            </w:r>
            <w:r>
              <w:rPr>
                <w:color w:val="auto"/>
                <w:spacing w:val="-1"/>
                <w:highlight w:val="none"/>
              </w:rPr>
              <w:t>分。</w:t>
            </w:r>
          </w:p>
        </w:tc>
        <w:tc>
          <w:tcPr>
            <w:tcW w:w="3910"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627F7EE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color w:val="auto"/>
                <w:highlight w:val="none"/>
                <w:lang w:val="en-US" w:eastAsia="zh-CN"/>
              </w:rPr>
            </w:pPr>
            <w:r>
              <w:rPr>
                <w:rFonts w:hint="eastAsia"/>
                <w:color w:val="auto"/>
                <w:highlight w:val="none"/>
                <w:lang w:val="en-US" w:eastAsia="zh-CN"/>
              </w:rPr>
              <w:t>1.提供相关证书或证明材料彩色扫描件。</w:t>
            </w:r>
          </w:p>
          <w:p w14:paraId="4AA0F8F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color w:val="auto"/>
                <w:highlight w:val="none"/>
                <w:lang w:val="en-US" w:eastAsia="zh-CN"/>
              </w:rPr>
            </w:pPr>
            <w:r>
              <w:rPr>
                <w:rFonts w:hint="eastAsia"/>
                <w:color w:val="auto"/>
                <w:highlight w:val="none"/>
                <w:lang w:val="en-US" w:eastAsia="zh-CN"/>
              </w:rPr>
              <w:t>2.拟派专业监理工程师按照《需求表》“持证要求”栏目提供的证书中，有任意一类符合专业要求的，即视其专业满足要求；</w:t>
            </w:r>
          </w:p>
          <w:p w14:paraId="58668F0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eastAsia="宋体"/>
                <w:color w:val="auto"/>
                <w:highlight w:val="none"/>
                <w:lang w:val="en-US" w:eastAsia="zh-CN"/>
              </w:rPr>
            </w:pPr>
            <w:r>
              <w:rPr>
                <w:rFonts w:hint="eastAsia"/>
                <w:color w:val="auto"/>
                <w:highlight w:val="none"/>
                <w:lang w:val="en-US" w:eastAsia="zh-CN"/>
              </w:rPr>
              <w:t>3.其他拟派人员的数量或专业不满足《需求表》要求的；均视为“不符合要求”。</w:t>
            </w:r>
          </w:p>
        </w:tc>
      </w:tr>
      <w:tr w14:paraId="471A3479">
        <w:tblPrEx>
          <w:tblCellMar>
            <w:top w:w="0" w:type="dxa"/>
            <w:left w:w="10" w:type="dxa"/>
            <w:bottom w:w="0" w:type="dxa"/>
            <w:right w:w="10" w:type="dxa"/>
          </w:tblCellMar>
        </w:tblPrEx>
        <w:trPr>
          <w:trHeight w:val="1345" w:hRule="atLeast"/>
          <w:jc w:val="center"/>
        </w:trPr>
        <w:tc>
          <w:tcPr>
            <w:tcW w:w="1252" w:type="dxa"/>
            <w:vMerge w:val="continue"/>
            <w:tcBorders>
              <w:left w:val="single" w:color="000000" w:sz="4" w:space="0"/>
              <w:right w:val="single" w:color="000000" w:sz="4" w:space="0"/>
            </w:tcBorders>
            <w:tcMar>
              <w:top w:w="0" w:type="dxa"/>
              <w:left w:w="108" w:type="dxa"/>
              <w:bottom w:w="0" w:type="dxa"/>
              <w:right w:w="108" w:type="dxa"/>
            </w:tcMar>
            <w:vAlign w:val="center"/>
          </w:tcPr>
          <w:p w14:paraId="7BB0227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Ansi="宋体" w:cs="宋体"/>
                <w:snapToGrid w:val="0"/>
                <w:color w:val="auto"/>
                <w:kern w:val="0"/>
                <w:szCs w:val="24"/>
                <w:highlight w:val="none"/>
              </w:rPr>
            </w:pP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A1467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color w:val="auto"/>
                <w:highlight w:val="none"/>
              </w:rPr>
            </w:pPr>
            <w:r>
              <w:rPr>
                <w:rFonts w:hint="eastAsia"/>
                <w:color w:val="auto"/>
                <w:highlight w:val="none"/>
              </w:rPr>
              <w:t>2.《项目监理机构其他人员需求表》中：</w:t>
            </w:r>
          </w:p>
          <w:p w14:paraId="51B8344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hAnsi="宋体" w:eastAsia="宋体" w:cs="宋体"/>
                <w:color w:val="auto"/>
                <w:szCs w:val="24"/>
                <w:highlight w:val="none"/>
                <w:lang w:val="en-US" w:eastAsia="zh-CN"/>
              </w:rPr>
            </w:pPr>
            <w:r>
              <w:rPr>
                <w:rFonts w:hint="default" w:hAnsi="宋体" w:eastAsia="宋体" w:cs="宋体"/>
                <w:color w:val="auto"/>
                <w:szCs w:val="24"/>
                <w:highlight w:val="none"/>
                <w:lang w:val="en-US" w:eastAsia="zh-CN"/>
              </w:rPr>
              <w:t>在完全满足《需求表》的基础上，拟委派本项目的监理人员(总监理工程师除外)中：具有高级（或以上）职称或注册监理工程师的，每人得1.5分，最高得3分。</w:t>
            </w:r>
          </w:p>
        </w:tc>
        <w:tc>
          <w:tcPr>
            <w:tcW w:w="3910"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3FFE848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Ansi="宋体" w:cs="宋体"/>
                <w:color w:val="auto"/>
                <w:szCs w:val="24"/>
                <w:highlight w:val="none"/>
              </w:rPr>
            </w:pPr>
          </w:p>
        </w:tc>
      </w:tr>
      <w:tr w14:paraId="2917944A">
        <w:tblPrEx>
          <w:tblCellMar>
            <w:top w:w="0" w:type="dxa"/>
            <w:left w:w="10" w:type="dxa"/>
            <w:bottom w:w="0" w:type="dxa"/>
            <w:right w:w="10" w:type="dxa"/>
          </w:tblCellMar>
        </w:tblPrEx>
        <w:trPr>
          <w:trHeight w:val="419" w:hRule="atLeast"/>
          <w:jc w:val="center"/>
        </w:trPr>
        <w:tc>
          <w:tcPr>
            <w:tcW w:w="1252"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8C4897F">
            <w:pPr>
              <w:pStyle w:val="7"/>
              <w:keepNext w:val="0"/>
              <w:keepLines w:val="0"/>
              <w:pageBreakBefore w:val="0"/>
              <w:kinsoku/>
              <w:wordWrap w:val="0"/>
              <w:overflowPunct/>
              <w:topLinePunct w:val="0"/>
              <w:autoSpaceDE/>
              <w:autoSpaceDN/>
              <w:bidi w:val="0"/>
              <w:adjustRightInd w:val="0"/>
              <w:snapToGrid w:val="0"/>
              <w:spacing w:after="0" w:afterLines="0" w:line="360" w:lineRule="auto"/>
              <w:jc w:val="center"/>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lang w:eastAsia="zh-CN"/>
              </w:rPr>
              <w:t>企业荣誉</w:t>
            </w:r>
          </w:p>
          <w:p w14:paraId="325015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highlight w:val="none"/>
              </w:rPr>
            </w:pPr>
            <w:r>
              <w:rPr>
                <w:rFonts w:hint="eastAsia" w:ascii="宋体" w:hAnsi="宋体" w:eastAsia="宋体" w:cs="宋体"/>
                <w:strike w:val="0"/>
                <w:dstrike w:val="0"/>
                <w:color w:val="auto"/>
                <w:sz w:val="24"/>
                <w:szCs w:val="24"/>
                <w:highlight w:val="none"/>
                <w:u w:val="none"/>
                <w:lang w:eastAsia="zh-CN"/>
              </w:rPr>
              <w:t>（</w:t>
            </w:r>
            <w:r>
              <w:rPr>
                <w:rFonts w:hint="eastAsia" w:hAnsi="宋体" w:cs="宋体"/>
                <w:strike w:val="0"/>
                <w:dstrike w:val="0"/>
                <w:color w:val="auto"/>
                <w:sz w:val="24"/>
                <w:szCs w:val="24"/>
                <w:highlight w:val="none"/>
                <w:u w:val="none"/>
                <w:lang w:val="en-US" w:eastAsia="zh-CN"/>
              </w:rPr>
              <w:t>10</w:t>
            </w:r>
            <w:r>
              <w:rPr>
                <w:rFonts w:hint="eastAsia" w:ascii="宋体" w:hAnsi="宋体" w:eastAsia="宋体" w:cs="宋体"/>
                <w:strike w:val="0"/>
                <w:dstrike w:val="0"/>
                <w:color w:val="auto"/>
                <w:sz w:val="24"/>
                <w:szCs w:val="24"/>
                <w:highlight w:val="none"/>
                <w:u w:val="none"/>
                <w:lang w:val="en-US" w:eastAsia="zh-CN"/>
              </w:rPr>
              <w:t>分</w:t>
            </w:r>
            <w:r>
              <w:rPr>
                <w:rFonts w:hint="eastAsia" w:ascii="宋体" w:hAnsi="宋体" w:eastAsia="宋体" w:cs="宋体"/>
                <w:strike w:val="0"/>
                <w:dstrike w:val="0"/>
                <w:color w:val="auto"/>
                <w:sz w:val="24"/>
                <w:szCs w:val="24"/>
                <w:highlight w:val="none"/>
                <w:u w:val="none"/>
                <w:lang w:eastAsia="zh-CN"/>
              </w:rPr>
              <w:t>）</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0713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投标人近年来(202</w:t>
            </w:r>
            <w:r>
              <w:rPr>
                <w:rFonts w:hint="eastAsia" w:ascii="宋体" w:hAnsi="宋体" w:eastAsia="宋体" w:cs="宋体"/>
                <w:color w:val="auto"/>
                <w:szCs w:val="24"/>
                <w:highlight w:val="none"/>
                <w:lang w:val="en-US" w:eastAsia="zh-CN"/>
              </w:rPr>
              <w:t>2</w:t>
            </w:r>
            <w:r>
              <w:rPr>
                <w:rFonts w:hint="default" w:ascii="宋体" w:hAnsi="宋体" w:eastAsia="宋体" w:cs="宋体"/>
                <w:color w:val="auto"/>
                <w:szCs w:val="24"/>
                <w:highlight w:val="none"/>
                <w:lang w:val="en-US" w:eastAsia="zh-CN"/>
              </w:rPr>
              <w:t xml:space="preserve"> 年 1 月 1 日至今</w:t>
            </w:r>
            <w:r>
              <w:rPr>
                <w:rFonts w:hint="eastAsia" w:ascii="宋体" w:hAnsi="宋体" w:eastAsia="宋体" w:cs="宋体"/>
                <w:color w:val="auto"/>
                <w:szCs w:val="24"/>
                <w:highlight w:val="none"/>
                <w:lang w:val="en-US" w:eastAsia="zh-CN"/>
              </w:rPr>
              <w:t>）</w:t>
            </w:r>
            <w:r>
              <w:rPr>
                <w:rFonts w:hint="default" w:ascii="宋体" w:hAnsi="宋体" w:eastAsia="宋体" w:cs="宋体"/>
                <w:color w:val="auto"/>
                <w:szCs w:val="24"/>
                <w:highlight w:val="none"/>
                <w:lang w:val="en-US" w:eastAsia="zh-CN"/>
              </w:rPr>
              <w:t>获得过“高新技术企业”荣誉，且在有效期内的，得</w:t>
            </w:r>
            <w:r>
              <w:rPr>
                <w:rFonts w:hint="eastAsia" w:ascii="宋体" w:hAnsi="宋体" w:eastAsia="宋体" w:cs="宋体"/>
                <w:color w:val="auto"/>
                <w:szCs w:val="24"/>
                <w:highlight w:val="none"/>
                <w:lang w:val="en-US" w:eastAsia="zh-CN"/>
              </w:rPr>
              <w:t>5</w:t>
            </w:r>
            <w:r>
              <w:rPr>
                <w:rFonts w:hint="default" w:ascii="宋体" w:hAnsi="宋体" w:eastAsia="宋体" w:cs="宋体"/>
                <w:color w:val="auto"/>
                <w:szCs w:val="24"/>
                <w:highlight w:val="none"/>
                <w:lang w:val="en-US" w:eastAsia="zh-CN"/>
              </w:rPr>
              <w:t>分，没有则不得分。</w:t>
            </w:r>
          </w:p>
          <w:p w14:paraId="4F06EAB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注</w:t>
            </w:r>
            <w:r>
              <w:rPr>
                <w:rFonts w:hint="default" w:ascii="宋体" w:hAnsi="宋体" w:eastAsia="宋体" w:cs="宋体"/>
                <w:color w:val="auto"/>
                <w:szCs w:val="24"/>
                <w:highlight w:val="none"/>
                <w:lang w:val="en-US" w:eastAsia="zh-CN"/>
              </w:rPr>
              <w:t>：本项最高得</w:t>
            </w:r>
            <w:r>
              <w:rPr>
                <w:rFonts w:hint="eastAsia" w:ascii="宋体" w:hAnsi="宋体" w:eastAsia="宋体" w:cs="宋体"/>
                <w:color w:val="auto"/>
                <w:szCs w:val="24"/>
                <w:highlight w:val="none"/>
                <w:lang w:val="en-US" w:eastAsia="zh-CN"/>
              </w:rPr>
              <w:t>5</w:t>
            </w:r>
            <w:r>
              <w:rPr>
                <w:rFonts w:hint="default" w:ascii="宋体" w:hAnsi="宋体" w:eastAsia="宋体" w:cs="宋体"/>
                <w:color w:val="auto"/>
                <w:szCs w:val="24"/>
                <w:highlight w:val="none"/>
                <w:lang w:val="en-US" w:eastAsia="zh-CN"/>
              </w:rPr>
              <w:t>分。</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D4CE4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color w:val="auto"/>
                <w:highlight w:val="none"/>
              </w:rPr>
            </w:pPr>
            <w:r>
              <w:rPr>
                <w:rFonts w:hint="eastAsia" w:ascii="宋体" w:hAnsi="宋体" w:eastAsia="宋体" w:cs="宋体"/>
                <w:strike w:val="0"/>
                <w:dstrike w:val="0"/>
                <w:color w:val="auto"/>
                <w:sz w:val="24"/>
                <w:szCs w:val="24"/>
                <w:highlight w:val="none"/>
                <w:u w:val="none"/>
              </w:rPr>
              <w:t>提供高新技术企业证书彩色扫描件</w:t>
            </w:r>
            <w:r>
              <w:rPr>
                <w:rFonts w:hint="eastAsia" w:ascii="宋体" w:hAnsi="宋体" w:eastAsia="宋体" w:cs="宋体"/>
                <w:strike w:val="0"/>
                <w:dstrike w:val="0"/>
                <w:color w:val="auto"/>
                <w:sz w:val="24"/>
                <w:szCs w:val="24"/>
                <w:highlight w:val="none"/>
                <w:u w:val="none"/>
                <w:lang w:val="en-US" w:eastAsia="zh-CN"/>
              </w:rPr>
              <w:t>及</w:t>
            </w:r>
            <w:r>
              <w:rPr>
                <w:rFonts w:hint="eastAsia" w:ascii="宋体" w:hAnsi="宋体" w:eastAsia="宋体" w:cs="宋体"/>
                <w:strike w:val="0"/>
                <w:dstrike w:val="0"/>
                <w:color w:val="auto"/>
                <w:sz w:val="24"/>
                <w:szCs w:val="24"/>
                <w:highlight w:val="none"/>
                <w:u w:val="none"/>
              </w:rPr>
              <w:t>提供网上查询</w:t>
            </w: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b w:val="0"/>
                <w:bCs w:val="0"/>
                <w:strike w:val="0"/>
                <w:dstrike w:val="0"/>
                <w:snapToGrid w:val="0"/>
                <w:color w:val="auto"/>
                <w:kern w:val="0"/>
                <w:sz w:val="24"/>
                <w:szCs w:val="24"/>
                <w:highlight w:val="none"/>
                <w:u w:val="none"/>
                <w:lang w:eastAsia="zh-CN"/>
              </w:rPr>
              <w:t>http://www.innocom.gov.cn/</w:t>
            </w: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截图。</w:t>
            </w:r>
          </w:p>
        </w:tc>
      </w:tr>
      <w:tr w14:paraId="50AFB081">
        <w:tblPrEx>
          <w:tblCellMar>
            <w:top w:w="0" w:type="dxa"/>
            <w:left w:w="10" w:type="dxa"/>
            <w:bottom w:w="0" w:type="dxa"/>
            <w:right w:w="10" w:type="dxa"/>
          </w:tblCellMar>
        </w:tblPrEx>
        <w:trPr>
          <w:trHeight w:val="419" w:hRule="atLeast"/>
          <w:jc w:val="center"/>
        </w:trPr>
        <w:tc>
          <w:tcPr>
            <w:tcW w:w="1252"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023CCF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trike w:val="0"/>
                <w:dstrike w:val="0"/>
                <w:color w:val="auto"/>
                <w:sz w:val="24"/>
                <w:szCs w:val="24"/>
                <w:highlight w:val="none"/>
                <w:u w:val="none"/>
                <w:lang w:eastAsia="zh-CN"/>
              </w:rPr>
            </w:pP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0E75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color w:val="auto"/>
                <w:highlight w:val="none"/>
              </w:rPr>
            </w:pPr>
            <w:r>
              <w:rPr>
                <w:rFonts w:hint="eastAsia"/>
                <w:color w:val="auto"/>
                <w:highlight w:val="none"/>
              </w:rPr>
              <w:t>1、投标人连续3年或以上（须含2024年度）获得省级或以上公共资源交易行业信用优秀单位(交易项目响应方和交易中介服务机构）的得5分。</w:t>
            </w:r>
          </w:p>
          <w:p w14:paraId="2D6D6E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color w:val="auto"/>
                <w:highlight w:val="none"/>
              </w:rPr>
            </w:pPr>
            <w:r>
              <w:rPr>
                <w:rFonts w:hint="eastAsia"/>
                <w:color w:val="auto"/>
                <w:highlight w:val="none"/>
              </w:rPr>
              <w:t>2、投标人连续2年（须含2024年度）获得省级或以上公共资源交易行业信用优秀单位(交易项目响应方和交易中介服务机构）的得3分。</w:t>
            </w:r>
          </w:p>
          <w:p w14:paraId="348DA7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color w:val="auto"/>
                <w:highlight w:val="none"/>
              </w:rPr>
            </w:pPr>
            <w:r>
              <w:rPr>
                <w:rFonts w:hint="eastAsia"/>
                <w:color w:val="auto"/>
                <w:highlight w:val="none"/>
              </w:rPr>
              <w:t>3、投标人获得过省级或以上公共资源交易行业信用优秀单位(交易项目响应方和交易中介服务机构）的得1分；</w:t>
            </w:r>
          </w:p>
          <w:p w14:paraId="6A6597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color w:val="auto"/>
                <w:highlight w:val="none"/>
              </w:rPr>
            </w:pPr>
            <w:r>
              <w:rPr>
                <w:rFonts w:hint="eastAsia"/>
                <w:color w:val="auto"/>
                <w:highlight w:val="none"/>
              </w:rPr>
              <w:t>4、其他情形的，不予计分。</w:t>
            </w:r>
          </w:p>
          <w:p w14:paraId="0F0729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4"/>
                <w:highlight w:val="none"/>
                <w:lang w:val="en-US" w:eastAsia="zh-CN"/>
              </w:rPr>
            </w:pPr>
            <w:r>
              <w:rPr>
                <w:rFonts w:hint="eastAsia"/>
                <w:color w:val="auto"/>
                <w:highlight w:val="none"/>
              </w:rPr>
              <w:t>注：本项最高得5分。</w:t>
            </w:r>
            <w:r>
              <w:rPr>
                <w:rFonts w:hint="eastAsia"/>
                <w:color w:val="auto"/>
                <w:highlight w:val="none"/>
              </w:rPr>
              <w:tab/>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6AEB909">
            <w:pPr>
              <w:keepNext w:val="0"/>
              <w:keepLines w:val="0"/>
              <w:pageBreakBefore w:val="0"/>
              <w:widowControl w:val="0"/>
              <w:kinsoku/>
              <w:wordWrap/>
              <w:overflowPunct/>
              <w:topLinePunct w:val="0"/>
              <w:autoSpaceDE/>
              <w:autoSpaceDN/>
              <w:bidi w:val="0"/>
              <w:adjustRightInd/>
              <w:snapToGrid w:val="0"/>
              <w:spacing w:line="288" w:lineRule="auto"/>
              <w:jc w:val="both"/>
              <w:textAlignment w:val="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1.提供证书彩色扫描件。</w:t>
            </w:r>
          </w:p>
          <w:p w14:paraId="2EDEBF88">
            <w:pPr>
              <w:keepNext w:val="0"/>
              <w:keepLines w:val="0"/>
              <w:pageBreakBefore w:val="0"/>
              <w:widowControl w:val="0"/>
              <w:kinsoku/>
              <w:wordWrap/>
              <w:overflowPunct/>
              <w:topLinePunct w:val="0"/>
              <w:autoSpaceDE/>
              <w:autoSpaceDN/>
              <w:bidi w:val="0"/>
              <w:adjustRightInd/>
              <w:snapToGrid w:val="0"/>
              <w:spacing w:line="288" w:lineRule="auto"/>
              <w:jc w:val="both"/>
              <w:textAlignment w:val="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2.不符合评分标准和备注规定的，不予计分。</w:t>
            </w:r>
          </w:p>
        </w:tc>
      </w:tr>
      <w:tr w14:paraId="4FE1DD70">
        <w:tblPrEx>
          <w:tblCellMar>
            <w:top w:w="0" w:type="dxa"/>
            <w:left w:w="10" w:type="dxa"/>
            <w:bottom w:w="0" w:type="dxa"/>
            <w:right w:w="10" w:type="dxa"/>
          </w:tblCellMar>
        </w:tblPrEx>
        <w:trPr>
          <w:trHeight w:val="90" w:hRule="atLeast"/>
          <w:jc w:val="center"/>
        </w:trPr>
        <w:tc>
          <w:tcPr>
            <w:tcW w:w="125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8259D66">
            <w:pPr>
              <w:pStyle w:val="7"/>
              <w:keepNext w:val="0"/>
              <w:keepLines w:val="0"/>
              <w:pageBreakBefore w:val="0"/>
              <w:kinsoku/>
              <w:wordWrap w:val="0"/>
              <w:overflowPunct/>
              <w:topLinePunct w:val="0"/>
              <w:autoSpaceDE/>
              <w:autoSpaceDN/>
              <w:bidi w:val="0"/>
              <w:adjustRightInd w:val="0"/>
              <w:snapToGrid w:val="0"/>
              <w:spacing w:after="0" w:afterLines="0" w:line="240" w:lineRule="auto"/>
              <w:jc w:val="center"/>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lang w:eastAsia="zh-CN"/>
              </w:rPr>
              <w:t>履约能力评价</w:t>
            </w:r>
          </w:p>
          <w:p w14:paraId="2C35973E">
            <w:pPr>
              <w:pStyle w:val="7"/>
              <w:keepNext w:val="0"/>
              <w:keepLines w:val="0"/>
              <w:pageBreakBefore w:val="0"/>
              <w:kinsoku/>
              <w:wordWrap w:val="0"/>
              <w:overflowPunct/>
              <w:topLinePunct w:val="0"/>
              <w:autoSpaceDE/>
              <w:autoSpaceDN/>
              <w:bidi w:val="0"/>
              <w:adjustRightInd w:val="0"/>
              <w:snapToGrid w:val="0"/>
              <w:spacing w:after="0" w:afterLines="0" w:line="240" w:lineRule="auto"/>
              <w:jc w:val="center"/>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lang w:eastAsia="zh-CN"/>
              </w:rPr>
              <w:t>分）</w:t>
            </w:r>
          </w:p>
        </w:tc>
        <w:tc>
          <w:tcPr>
            <w:tcW w:w="43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E5D75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投标人具有履约能力</w:t>
            </w:r>
            <w:r>
              <w:rPr>
                <w:rFonts w:hint="eastAsia" w:hAnsi="宋体" w:cs="宋体"/>
                <w:color w:val="auto"/>
                <w:szCs w:val="24"/>
                <w:highlight w:val="none"/>
                <w:lang w:val="en-US" w:eastAsia="zh-CN"/>
              </w:rPr>
              <w:t>评价服务</w:t>
            </w:r>
            <w:r>
              <w:rPr>
                <w:rFonts w:hint="default" w:ascii="宋体" w:hAnsi="宋体" w:eastAsia="宋体" w:cs="宋体"/>
                <w:color w:val="auto"/>
                <w:szCs w:val="24"/>
                <w:highlight w:val="none"/>
                <w:lang w:val="en-US" w:eastAsia="zh-CN"/>
              </w:rPr>
              <w:t>认证证书情况：</w:t>
            </w:r>
          </w:p>
          <w:p w14:paraId="03B8726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具有AAA等级或以上的得</w:t>
            </w:r>
            <w:r>
              <w:rPr>
                <w:rFonts w:hint="eastAsia" w:ascii="宋体" w:hAnsi="宋体" w:eastAsia="宋体" w:cs="宋体"/>
                <w:color w:val="auto"/>
                <w:szCs w:val="24"/>
                <w:highlight w:val="none"/>
                <w:lang w:val="en-US" w:eastAsia="zh-CN"/>
              </w:rPr>
              <w:t>5</w:t>
            </w:r>
            <w:r>
              <w:rPr>
                <w:rFonts w:hint="default" w:ascii="宋体" w:hAnsi="宋体" w:eastAsia="宋体" w:cs="宋体"/>
                <w:color w:val="auto"/>
                <w:szCs w:val="24"/>
                <w:highlight w:val="none"/>
                <w:lang w:val="en-US" w:eastAsia="zh-CN"/>
              </w:rPr>
              <w:t>分；</w:t>
            </w:r>
          </w:p>
          <w:p w14:paraId="6061ED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具有AA等级的得</w:t>
            </w:r>
            <w:r>
              <w:rPr>
                <w:rFonts w:hint="eastAsia" w:ascii="宋体" w:hAnsi="宋体" w:eastAsia="宋体" w:cs="宋体"/>
                <w:color w:val="auto"/>
                <w:szCs w:val="24"/>
                <w:highlight w:val="none"/>
                <w:lang w:val="en-US" w:eastAsia="zh-CN"/>
              </w:rPr>
              <w:t>3</w:t>
            </w:r>
            <w:r>
              <w:rPr>
                <w:rFonts w:hint="default" w:ascii="宋体" w:hAnsi="宋体" w:eastAsia="宋体" w:cs="宋体"/>
                <w:color w:val="auto"/>
                <w:szCs w:val="24"/>
                <w:highlight w:val="none"/>
                <w:lang w:val="en-US" w:eastAsia="zh-CN"/>
              </w:rPr>
              <w:t>分；</w:t>
            </w:r>
          </w:p>
          <w:p w14:paraId="73B07B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具有A等级或以下的得1分。</w:t>
            </w:r>
          </w:p>
          <w:p w14:paraId="2AADAD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其他情形的，不予计分</w:t>
            </w:r>
          </w:p>
          <w:p w14:paraId="47927F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注</w:t>
            </w:r>
            <w:r>
              <w:rPr>
                <w:rFonts w:hint="default" w:ascii="宋体" w:hAnsi="宋体" w:eastAsia="宋体" w:cs="宋体"/>
                <w:color w:val="auto"/>
                <w:szCs w:val="24"/>
                <w:highlight w:val="none"/>
                <w:lang w:val="en-US" w:eastAsia="zh-CN"/>
              </w:rPr>
              <w:t>：本项最高得</w:t>
            </w:r>
            <w:r>
              <w:rPr>
                <w:rFonts w:hint="eastAsia" w:ascii="宋体" w:hAnsi="宋体" w:eastAsia="宋体" w:cs="宋体"/>
                <w:color w:val="auto"/>
                <w:szCs w:val="24"/>
                <w:highlight w:val="none"/>
                <w:lang w:val="en-US" w:eastAsia="zh-CN"/>
              </w:rPr>
              <w:t>5</w:t>
            </w:r>
            <w:r>
              <w:rPr>
                <w:rFonts w:hint="default" w:ascii="宋体" w:hAnsi="宋体" w:eastAsia="宋体" w:cs="宋体"/>
                <w:color w:val="auto"/>
                <w:szCs w:val="24"/>
                <w:highlight w:val="none"/>
                <w:lang w:val="en-US" w:eastAsia="zh-CN"/>
              </w:rPr>
              <w:t>分。</w:t>
            </w:r>
          </w:p>
        </w:tc>
        <w:tc>
          <w:tcPr>
            <w:tcW w:w="39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9F671E">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lang w:val="en-US" w:eastAsia="zh-CN"/>
              </w:rPr>
              <w:t>1.</w:t>
            </w:r>
            <w:r>
              <w:rPr>
                <w:rFonts w:hint="eastAsia" w:ascii="宋体" w:hAnsi="宋体" w:eastAsia="宋体" w:cs="宋体"/>
                <w:strike w:val="0"/>
                <w:dstrike w:val="0"/>
                <w:color w:val="auto"/>
                <w:sz w:val="24"/>
                <w:szCs w:val="24"/>
                <w:highlight w:val="none"/>
                <w:u w:val="none"/>
              </w:rPr>
              <w:t>履约能力评价需提供第三方机构出具的有效的“</w:t>
            </w:r>
            <w:r>
              <w:rPr>
                <w:rFonts w:hint="default" w:ascii="宋体" w:hAnsi="宋体" w:eastAsia="宋体" w:cs="宋体"/>
                <w:color w:val="auto"/>
                <w:szCs w:val="24"/>
                <w:highlight w:val="none"/>
                <w:lang w:val="en-US" w:eastAsia="zh-CN"/>
              </w:rPr>
              <w:t>履约能力</w:t>
            </w:r>
            <w:r>
              <w:rPr>
                <w:rFonts w:hint="eastAsia" w:hAnsi="宋体" w:cs="宋体"/>
                <w:color w:val="auto"/>
                <w:szCs w:val="24"/>
                <w:highlight w:val="none"/>
                <w:lang w:val="en-US" w:eastAsia="zh-CN"/>
              </w:rPr>
              <w:t>评价服务</w:t>
            </w:r>
            <w:r>
              <w:rPr>
                <w:rFonts w:hint="default" w:ascii="宋体" w:hAnsi="宋体" w:eastAsia="宋体" w:cs="宋体"/>
                <w:color w:val="auto"/>
                <w:szCs w:val="24"/>
                <w:highlight w:val="none"/>
                <w:lang w:val="en-US" w:eastAsia="zh-CN"/>
              </w:rPr>
              <w:t>认证证书</w:t>
            </w:r>
            <w:r>
              <w:rPr>
                <w:rFonts w:hint="eastAsia" w:ascii="宋体" w:hAnsi="宋体" w:eastAsia="宋体" w:cs="宋体"/>
                <w:strike w:val="0"/>
                <w:dstrike w:val="0"/>
                <w:color w:val="auto"/>
                <w:sz w:val="24"/>
                <w:szCs w:val="24"/>
                <w:highlight w:val="none"/>
                <w:u w:val="none"/>
              </w:rPr>
              <w:t>”</w:t>
            </w:r>
            <w:r>
              <w:rPr>
                <w:rFonts w:hint="eastAsia" w:ascii="宋体" w:hAnsi="宋体" w:eastAsia="宋体" w:cs="宋体"/>
                <w:strike w:val="0"/>
                <w:dstrike w:val="0"/>
                <w:color w:val="auto"/>
                <w:sz w:val="24"/>
                <w:szCs w:val="24"/>
                <w:highlight w:val="none"/>
                <w:u w:val="none"/>
                <w:lang w:eastAsia="zh-CN"/>
              </w:rPr>
              <w:t>彩色</w:t>
            </w:r>
            <w:r>
              <w:rPr>
                <w:rFonts w:hint="eastAsia" w:ascii="宋体" w:hAnsi="宋体" w:eastAsia="宋体" w:cs="宋体"/>
                <w:strike w:val="0"/>
                <w:dstrike w:val="0"/>
                <w:color w:val="auto"/>
                <w:sz w:val="24"/>
                <w:szCs w:val="24"/>
                <w:highlight w:val="none"/>
                <w:u w:val="none"/>
              </w:rPr>
              <w:t>扫描件及全国认证认可信息公共服务平台（</w:t>
            </w:r>
            <w:r>
              <w:rPr>
                <w:rFonts w:hint="eastAsia" w:ascii="宋体" w:hAnsi="宋体" w:eastAsia="宋体" w:cs="宋体"/>
                <w:strike w:val="0"/>
                <w:dstrike w:val="0"/>
                <w:color w:val="auto"/>
                <w:sz w:val="24"/>
                <w:szCs w:val="24"/>
                <w:highlight w:val="none"/>
                <w:u w:val="none"/>
              </w:rPr>
              <w:fldChar w:fldCharType="begin"/>
            </w:r>
            <w:r>
              <w:rPr>
                <w:rFonts w:hint="eastAsia" w:ascii="宋体" w:hAnsi="宋体" w:eastAsia="宋体" w:cs="宋体"/>
                <w:strike w:val="0"/>
                <w:dstrike w:val="0"/>
                <w:color w:val="auto"/>
                <w:sz w:val="24"/>
                <w:szCs w:val="24"/>
                <w:highlight w:val="none"/>
                <w:u w:val="none"/>
              </w:rPr>
              <w:instrText xml:space="preserve"> HYPERLINK "http://cx.cnca.cn/" </w:instrText>
            </w:r>
            <w:r>
              <w:rPr>
                <w:rFonts w:hint="eastAsia" w:ascii="宋体" w:hAnsi="宋体" w:eastAsia="宋体" w:cs="宋体"/>
                <w:strike w:val="0"/>
                <w:dstrike w:val="0"/>
                <w:color w:val="auto"/>
                <w:sz w:val="24"/>
                <w:szCs w:val="24"/>
                <w:highlight w:val="none"/>
                <w:u w:val="none"/>
              </w:rPr>
              <w:fldChar w:fldCharType="separate"/>
            </w:r>
            <w:r>
              <w:rPr>
                <w:rFonts w:hint="eastAsia" w:ascii="宋体" w:hAnsi="宋体" w:eastAsia="宋体" w:cs="宋体"/>
                <w:strike w:val="0"/>
                <w:dstrike w:val="0"/>
                <w:color w:val="auto"/>
                <w:sz w:val="24"/>
                <w:szCs w:val="24"/>
                <w:highlight w:val="none"/>
                <w:u w:val="none"/>
              </w:rPr>
              <w:t>http://cx.cnca.cn/</w:t>
            </w:r>
            <w:r>
              <w:rPr>
                <w:rFonts w:hint="eastAsia" w:ascii="宋体" w:hAnsi="宋体" w:eastAsia="宋体" w:cs="宋体"/>
                <w:strike w:val="0"/>
                <w:dstrike w:val="0"/>
                <w:color w:val="auto"/>
                <w:sz w:val="24"/>
                <w:szCs w:val="24"/>
                <w:highlight w:val="none"/>
                <w:u w:val="none"/>
              </w:rPr>
              <w:fldChar w:fldCharType="end"/>
            </w:r>
            <w:r>
              <w:rPr>
                <w:rFonts w:hint="eastAsia" w:ascii="宋体" w:hAnsi="宋体" w:eastAsia="宋体" w:cs="宋体"/>
                <w:strike w:val="0"/>
                <w:dstrike w:val="0"/>
                <w:color w:val="auto"/>
                <w:sz w:val="24"/>
                <w:szCs w:val="24"/>
                <w:highlight w:val="none"/>
                <w:u w:val="none"/>
              </w:rPr>
              <w:t>）查询到企业已认证的相关信息结果截图。</w:t>
            </w:r>
          </w:p>
          <w:p w14:paraId="7118AB6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rPr>
              <w:t>2．证书不在有效期内的，不予计分。</w:t>
            </w:r>
          </w:p>
        </w:tc>
      </w:tr>
      <w:tr w14:paraId="03CA5C22">
        <w:tblPrEx>
          <w:tblCellMar>
            <w:top w:w="0" w:type="dxa"/>
            <w:left w:w="10" w:type="dxa"/>
            <w:bottom w:w="0" w:type="dxa"/>
            <w:right w:w="10" w:type="dxa"/>
          </w:tblCellMar>
        </w:tblPrEx>
        <w:trPr>
          <w:trHeight w:val="419" w:hRule="atLeast"/>
          <w:jc w:val="center"/>
        </w:trPr>
        <w:tc>
          <w:tcPr>
            <w:tcW w:w="125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CF9141">
            <w:pPr>
              <w:pStyle w:val="7"/>
              <w:keepNext w:val="0"/>
              <w:keepLines w:val="0"/>
              <w:pageBreakBefore w:val="0"/>
              <w:kinsoku/>
              <w:wordWrap w:val="0"/>
              <w:overflowPunct/>
              <w:topLinePunct w:val="0"/>
              <w:autoSpaceDE/>
              <w:autoSpaceDN/>
              <w:bidi w:val="0"/>
              <w:adjustRightInd w:val="0"/>
              <w:snapToGrid w:val="0"/>
              <w:spacing w:after="0" w:afterLines="0" w:line="240" w:lineRule="auto"/>
              <w:jc w:val="center"/>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lang w:eastAsia="zh-CN"/>
              </w:rPr>
              <w:t>技术管理能力</w:t>
            </w:r>
          </w:p>
          <w:p w14:paraId="485AC019">
            <w:pPr>
              <w:pStyle w:val="7"/>
              <w:keepNext w:val="0"/>
              <w:keepLines w:val="0"/>
              <w:pageBreakBefore w:val="0"/>
              <w:kinsoku/>
              <w:wordWrap w:val="0"/>
              <w:overflowPunct/>
              <w:topLinePunct w:val="0"/>
              <w:autoSpaceDE/>
              <w:autoSpaceDN/>
              <w:bidi w:val="0"/>
              <w:adjustRightInd w:val="0"/>
              <w:snapToGrid w:val="0"/>
              <w:spacing w:after="0" w:afterLines="0" w:line="240" w:lineRule="auto"/>
              <w:jc w:val="center"/>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lang w:eastAsia="zh-CN"/>
              </w:rPr>
              <w:t>分）</w:t>
            </w:r>
          </w:p>
        </w:tc>
        <w:tc>
          <w:tcPr>
            <w:tcW w:w="43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7780E3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4"/>
                <w:highlight w:val="none"/>
                <w:lang w:val="en-US" w:eastAsia="zh-CN"/>
              </w:rPr>
            </w:pPr>
            <w:r>
              <w:rPr>
                <w:rFonts w:hint="default" w:ascii="宋体" w:hAnsi="宋体" w:eastAsia="宋体" w:cs="宋体"/>
                <w:color w:val="auto"/>
                <w:szCs w:val="24"/>
                <w:highlight w:val="none"/>
                <w:lang w:val="en-US" w:eastAsia="zh-CN"/>
              </w:rPr>
              <w:t>近年来(202</w:t>
            </w:r>
            <w:r>
              <w:rPr>
                <w:rFonts w:hint="eastAsia" w:ascii="宋体" w:hAnsi="宋体" w:eastAsia="宋体" w:cs="宋体"/>
                <w:color w:val="auto"/>
                <w:szCs w:val="24"/>
                <w:highlight w:val="none"/>
                <w:lang w:val="en-US" w:eastAsia="zh-CN"/>
              </w:rPr>
              <w:t>2</w:t>
            </w:r>
            <w:r>
              <w:rPr>
                <w:rFonts w:hint="default" w:ascii="宋体" w:hAnsi="宋体" w:eastAsia="宋体" w:cs="宋体"/>
                <w:color w:val="auto"/>
                <w:szCs w:val="24"/>
                <w:highlight w:val="none"/>
                <w:lang w:val="en-US" w:eastAsia="zh-CN"/>
              </w:rPr>
              <w:t xml:space="preserve"> 年 1 月 1 日至今)</w:t>
            </w:r>
            <w:r>
              <w:rPr>
                <w:rFonts w:hint="eastAsia" w:ascii="宋体" w:hAnsi="宋体" w:eastAsia="宋体" w:cs="宋体"/>
                <w:color w:val="auto"/>
                <w:szCs w:val="24"/>
                <w:highlight w:val="none"/>
                <w:lang w:val="en-US" w:eastAsia="zh-CN"/>
              </w:rPr>
              <w:t>获得过工程类科学技术奖励证书的，每年得2.5分，最多得5分。</w:t>
            </w:r>
          </w:p>
          <w:p w14:paraId="226E94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注</w:t>
            </w:r>
            <w:r>
              <w:rPr>
                <w:rFonts w:hint="default" w:ascii="宋体" w:hAnsi="宋体" w:eastAsia="宋体" w:cs="宋体"/>
                <w:color w:val="auto"/>
                <w:szCs w:val="24"/>
                <w:highlight w:val="none"/>
                <w:lang w:val="en-US" w:eastAsia="zh-CN"/>
              </w:rPr>
              <w:t>：</w:t>
            </w:r>
            <w:r>
              <w:rPr>
                <w:rFonts w:hint="eastAsia" w:ascii="宋体" w:hAnsi="宋体" w:eastAsia="宋体" w:cs="宋体"/>
                <w:color w:val="auto"/>
                <w:szCs w:val="24"/>
                <w:highlight w:val="none"/>
                <w:lang w:val="en-US" w:eastAsia="zh-CN"/>
              </w:rPr>
              <w:t>本项最高得5分。</w:t>
            </w:r>
          </w:p>
        </w:tc>
        <w:tc>
          <w:tcPr>
            <w:tcW w:w="39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C3596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lang w:eastAsia="zh-CN"/>
              </w:rPr>
              <w:t>1.工程类科学技术奖励以各省科技厅颁发或科技部备案的证书为准，获奖时间以获奖证书颁发时间为准。</w:t>
            </w:r>
          </w:p>
          <w:p w14:paraId="4D7C8F5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eastAsia="zh-CN"/>
              </w:rPr>
              <w:t>2.不符合评分标准的，不予计分。</w:t>
            </w:r>
          </w:p>
        </w:tc>
      </w:tr>
      <w:tr w14:paraId="219F48CD">
        <w:tblPrEx>
          <w:tblCellMar>
            <w:top w:w="0" w:type="dxa"/>
            <w:left w:w="10" w:type="dxa"/>
            <w:bottom w:w="0" w:type="dxa"/>
            <w:right w:w="10" w:type="dxa"/>
          </w:tblCellMar>
        </w:tblPrEx>
        <w:trPr>
          <w:trHeight w:val="519" w:hRule="exact"/>
          <w:jc w:val="center"/>
        </w:trPr>
        <w:tc>
          <w:tcPr>
            <w:tcW w:w="9553" w:type="dxa"/>
            <w:gridSpan w:val="3"/>
            <w:tcBorders>
              <w:top w:val="single" w:color="000000" w:sz="4" w:space="0"/>
              <w:left w:val="single" w:color="000000" w:sz="4" w:space="0"/>
              <w:bottom w:val="single" w:color="auto" w:sz="4" w:space="0"/>
              <w:right w:val="single" w:color="000000" w:sz="4" w:space="0"/>
            </w:tcBorders>
            <w:shd w:val="clear" w:color="000000" w:fill="D9D9D9"/>
            <w:tcMar>
              <w:top w:w="0" w:type="dxa"/>
              <w:left w:w="108" w:type="dxa"/>
              <w:bottom w:w="0" w:type="dxa"/>
              <w:right w:w="108" w:type="dxa"/>
            </w:tcMar>
            <w:vAlign w:val="center"/>
          </w:tcPr>
          <w:p w14:paraId="6262D067">
            <w:pPr>
              <w:spacing w:line="240" w:lineRule="auto"/>
              <w:jc w:val="left"/>
              <w:rPr>
                <w:rFonts w:hAnsi="宋体" w:cs="宋体"/>
                <w:b/>
                <w:bCs/>
                <w:color w:val="auto"/>
                <w:szCs w:val="24"/>
                <w:highlight w:val="none"/>
              </w:rPr>
            </w:pPr>
            <w:r>
              <w:rPr>
                <w:rFonts w:hint="eastAsia" w:hAnsi="宋体" w:cs="宋体"/>
                <w:b/>
                <w:bCs/>
                <w:color w:val="auto"/>
                <w:szCs w:val="24"/>
                <w:highlight w:val="none"/>
              </w:rPr>
              <w:t>技术部分（监理大纲），满分：</w:t>
            </w:r>
            <w:r>
              <w:rPr>
                <w:rFonts w:hint="eastAsia" w:hAnsi="宋体" w:cs="宋体"/>
                <w:b/>
                <w:bCs/>
                <w:color w:val="auto"/>
                <w:szCs w:val="24"/>
                <w:highlight w:val="none"/>
                <w:u w:val="single"/>
              </w:rPr>
              <w:t xml:space="preserve"> 30 </w:t>
            </w:r>
            <w:r>
              <w:rPr>
                <w:rFonts w:hint="eastAsia" w:hAnsi="宋体" w:cs="宋体"/>
                <w:b/>
                <w:bCs/>
                <w:color w:val="auto"/>
                <w:szCs w:val="24"/>
                <w:highlight w:val="none"/>
              </w:rPr>
              <w:t>分。</w:t>
            </w:r>
          </w:p>
        </w:tc>
      </w:tr>
      <w:tr w14:paraId="7C1B97AB">
        <w:tblPrEx>
          <w:tblCellMar>
            <w:top w:w="0" w:type="dxa"/>
            <w:left w:w="10" w:type="dxa"/>
            <w:bottom w:w="0" w:type="dxa"/>
            <w:right w:w="10" w:type="dxa"/>
          </w:tblCellMar>
        </w:tblPrEx>
        <w:trPr>
          <w:trHeight w:val="487" w:hRule="exac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6D34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评分因素</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26D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评分标准</w:t>
            </w:r>
          </w:p>
        </w:tc>
        <w:tc>
          <w:tcPr>
            <w:tcW w:w="3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4FCA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备注</w:t>
            </w:r>
          </w:p>
        </w:tc>
      </w:tr>
      <w:tr w14:paraId="16050662">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2F780F">
            <w:pPr>
              <w:pStyle w:val="32"/>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监理依据及工作目标</w:t>
            </w:r>
          </w:p>
          <w:p w14:paraId="65FE8E00">
            <w:pPr>
              <w:pStyle w:val="7"/>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Ansi="宋体" w:cs="宋体"/>
                <w:color w:val="auto"/>
                <w:szCs w:val="24"/>
                <w:highlight w:val="none"/>
              </w:rPr>
            </w:pP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u w:val="single"/>
              </w:rPr>
              <w:t>3</w:t>
            </w:r>
            <w:r>
              <w:rPr>
                <w:rFonts w:hint="eastAsia" w:hAnsi="宋体" w:cs="宋体"/>
                <w:snapToGrid w:val="0"/>
                <w:color w:val="auto"/>
                <w:kern w:val="0"/>
                <w:szCs w:val="24"/>
                <w:highlight w:val="none"/>
              </w:rPr>
              <w:t>分）</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BE9E18">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5227F0C7">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04443B73">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5F683F0A">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Ansi="宋体" w:cs="宋体"/>
                <w:color w:val="auto"/>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52F0427">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要求依据全面、适用；目标清晰、正确；针对性强。</w:t>
            </w:r>
          </w:p>
        </w:tc>
      </w:tr>
      <w:tr w14:paraId="65540F4F">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3A6D2C">
            <w:pPr>
              <w:pStyle w:val="34"/>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工程质量</w:t>
            </w:r>
          </w:p>
          <w:p w14:paraId="5930B850">
            <w:pPr>
              <w:pStyle w:val="34"/>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监理措施</w:t>
            </w:r>
          </w:p>
          <w:p w14:paraId="374D0364">
            <w:pPr>
              <w:pStyle w:val="34"/>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1A89EE">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2DF076F4">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5E1ADE4F">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7729CF12">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48A4B7">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要求目标正确、方法可行、预控和动态管理措施具体、针对性强。脱离本工程实际、机械照搬照抄规范和技术标准的，不能得满分。</w:t>
            </w:r>
          </w:p>
        </w:tc>
      </w:tr>
      <w:tr w14:paraId="49401C17">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9EB7180">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工程进度</w:t>
            </w:r>
          </w:p>
          <w:p w14:paraId="1D666CE6">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监理措施</w:t>
            </w:r>
          </w:p>
          <w:p w14:paraId="77E77E1D">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22C0BCB">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1C6A50D2">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69193BB7">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75E44EDC">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DCB658">
            <w:pPr>
              <w:pStyle w:val="33"/>
              <w:rPr>
                <w:rFonts w:ascii="宋体" w:hAnsi="宋体" w:eastAsia="宋体" w:cs="宋体"/>
                <w:color w:val="auto"/>
                <w:sz w:val="24"/>
                <w:szCs w:val="24"/>
                <w:highlight w:val="none"/>
              </w:rPr>
            </w:pPr>
          </w:p>
        </w:tc>
      </w:tr>
      <w:tr w14:paraId="7EE8DD31">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17F355">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工程造价</w:t>
            </w:r>
          </w:p>
          <w:p w14:paraId="5B4B0C04">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监理措施</w:t>
            </w:r>
          </w:p>
          <w:p w14:paraId="62D2B71A">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4029B1">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2E6859BC">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180A5A0E">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7B7AE4C4">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A1AC78">
            <w:pPr>
              <w:pStyle w:val="33"/>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1CD7E248">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6A879CA">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安全防护</w:t>
            </w:r>
          </w:p>
          <w:p w14:paraId="3FE479F5">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监理措施</w:t>
            </w:r>
          </w:p>
          <w:p w14:paraId="0454C679">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DBB45C">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1C9E61F1">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0D3502A4">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447B670C">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5806E6">
            <w:pPr>
              <w:pStyle w:val="33"/>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238DAF76">
        <w:tblPrEx>
          <w:tblCellMar>
            <w:top w:w="0" w:type="dxa"/>
            <w:left w:w="10" w:type="dxa"/>
            <w:bottom w:w="0" w:type="dxa"/>
            <w:right w:w="10" w:type="dxa"/>
          </w:tblCellMar>
        </w:tblPrEx>
        <w:trPr>
          <w:trHeight w:val="90" w:hRule="atLeast"/>
          <w:jc w:val="center"/>
        </w:trPr>
        <w:tc>
          <w:tcPr>
            <w:tcW w:w="1252"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616E56">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绿色施工</w:t>
            </w:r>
          </w:p>
          <w:p w14:paraId="20A88FE4">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、文明施工监理措施</w:t>
            </w:r>
          </w:p>
          <w:p w14:paraId="393168D1">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186A41">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25549840">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2D83B081">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41582F21">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vMerge w:val="continue"/>
            <w:tcBorders>
              <w:top w:val="single" w:color="auto"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3A9884CB">
            <w:pPr>
              <w:pStyle w:val="33"/>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66012061">
        <w:tblPrEx>
          <w:tblCellMar>
            <w:top w:w="0" w:type="dxa"/>
            <w:left w:w="10" w:type="dxa"/>
            <w:bottom w:w="0" w:type="dxa"/>
            <w:right w:w="10" w:type="dxa"/>
          </w:tblCellMar>
        </w:tblPrEx>
        <w:trPr>
          <w:trHeight w:val="9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7B6636">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合同、信息管理方案</w:t>
            </w:r>
          </w:p>
          <w:p w14:paraId="24DF8E79">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E7FD1D">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06DE8B97">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4E7AC22F">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3B587AF9">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C28F1">
            <w:pPr>
              <w:pStyle w:val="3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要求各项制度规范清晰，方法科学合理，措施及时有效，针对性强。能够切实防范和处理合同纠纷，提升监理工作效能。</w:t>
            </w:r>
          </w:p>
        </w:tc>
      </w:tr>
      <w:tr w14:paraId="02D7DFBF">
        <w:tblPrEx>
          <w:tblCellMar>
            <w:top w:w="0" w:type="dxa"/>
            <w:left w:w="10" w:type="dxa"/>
            <w:bottom w:w="0" w:type="dxa"/>
            <w:right w:w="10" w:type="dxa"/>
          </w:tblCellMar>
        </w:tblPrEx>
        <w:trPr>
          <w:trHeight w:val="9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1DFC83">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组织协调</w:t>
            </w:r>
          </w:p>
          <w:p w14:paraId="2DCF5E86">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内容及措施</w:t>
            </w:r>
          </w:p>
          <w:p w14:paraId="6D5D942D">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2AC37F">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06C65CF2">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0910612F">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4D6BD65C">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6968D7">
            <w:pPr>
              <w:pStyle w:val="3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要求各项制度规范清晰，方法科学合理，措施及时有效，针对性强。能够高效收集、协调、处理、反馈各方各类问题。</w:t>
            </w:r>
          </w:p>
        </w:tc>
      </w:tr>
      <w:tr w14:paraId="2C53791D">
        <w:tblPrEx>
          <w:tblCellMar>
            <w:top w:w="0" w:type="dxa"/>
            <w:left w:w="10" w:type="dxa"/>
            <w:bottom w:w="0" w:type="dxa"/>
            <w:right w:w="10" w:type="dxa"/>
          </w:tblCellMar>
        </w:tblPrEx>
        <w:trPr>
          <w:trHeight w:val="9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00AD85">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监理工作重点、难点分析</w:t>
            </w:r>
          </w:p>
          <w:p w14:paraId="41E38D5A">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47B25D">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1023D5A8">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6E5748A5">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2219647A">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86970E">
            <w:pPr>
              <w:pStyle w:val="3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要求方法可行、措施具体、针对性强。</w:t>
            </w:r>
          </w:p>
        </w:tc>
      </w:tr>
      <w:tr w14:paraId="471742E0">
        <w:tblPrEx>
          <w:tblCellMar>
            <w:top w:w="0" w:type="dxa"/>
            <w:left w:w="10" w:type="dxa"/>
            <w:bottom w:w="0" w:type="dxa"/>
            <w:right w:w="10" w:type="dxa"/>
          </w:tblCellMar>
        </w:tblPrEx>
        <w:trPr>
          <w:trHeight w:val="9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E42AB8">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合理化建议</w:t>
            </w:r>
          </w:p>
          <w:p w14:paraId="35B71EE6">
            <w:pPr>
              <w:pStyle w:val="34"/>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43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35B13F">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【优】得该项因素分的</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%～100%（含</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w:t>
            </w:r>
          </w:p>
          <w:p w14:paraId="718925C9">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【良】得该项因素分的</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90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w:t>
            </w:r>
          </w:p>
          <w:p w14:paraId="3C2AC04C">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【中】得该项因素分的</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80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70</w:t>
            </w:r>
            <w:r>
              <w:rPr>
                <w:rFonts w:hint="eastAsia" w:ascii="宋体" w:hAnsi="宋体" w:eastAsia="宋体" w:cs="宋体"/>
                <w:snapToGrid w:val="0"/>
                <w:color w:val="auto"/>
                <w:kern w:val="0"/>
                <w:sz w:val="24"/>
                <w:szCs w:val="24"/>
                <w:highlight w:val="none"/>
              </w:rPr>
              <w:t>%）；</w:t>
            </w:r>
          </w:p>
          <w:p w14:paraId="47C7611E">
            <w:pPr>
              <w:pStyle w:val="7"/>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宋体" w:hAnsi="宋体" w:eastAsia="宋体" w:cs="宋体"/>
                <w:color w:val="auto"/>
                <w:sz w:val="24"/>
                <w:szCs w:val="24"/>
                <w:highlight w:val="none"/>
              </w:rPr>
            </w:pPr>
            <w:r>
              <w:rPr>
                <w:rFonts w:hint="eastAsia" w:hAnsi="宋体" w:cs="宋体"/>
                <w:snapToGrid w:val="0"/>
                <w:color w:val="auto"/>
                <w:kern w:val="0"/>
                <w:szCs w:val="24"/>
                <w:highlight w:val="none"/>
              </w:rPr>
              <w:t>【差】得该项因素分的</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7</w:t>
            </w:r>
            <w:r>
              <w:rPr>
                <w:rFonts w:hint="eastAsia" w:hAnsi="宋体" w:cs="宋体"/>
                <w:snapToGrid w:val="0"/>
                <w:color w:val="auto"/>
                <w:kern w:val="0"/>
                <w:szCs w:val="24"/>
                <w:highlight w:val="none"/>
              </w:rPr>
              <w:t>0%（含</w:t>
            </w:r>
            <w:r>
              <w:rPr>
                <w:rFonts w:hint="eastAsia" w:hAnsi="宋体" w:cs="宋体"/>
                <w:snapToGrid w:val="0"/>
                <w:color w:val="auto"/>
                <w:kern w:val="0"/>
                <w:szCs w:val="24"/>
                <w:highlight w:val="none"/>
                <w:lang w:val="en-US" w:eastAsia="zh-CN"/>
              </w:rPr>
              <w:t>60</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Cs w:val="24"/>
                <w:highlight w:val="none"/>
              </w:rPr>
              <w:t>）。</w:t>
            </w:r>
          </w:p>
        </w:tc>
        <w:tc>
          <w:tcPr>
            <w:tcW w:w="39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8852CD">
            <w:pPr>
              <w:pStyle w:val="3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要求方法可行、措施具体、针对性强。</w:t>
            </w:r>
          </w:p>
        </w:tc>
      </w:tr>
      <w:tr w14:paraId="235A91C4">
        <w:tblPrEx>
          <w:tblCellMar>
            <w:top w:w="0" w:type="dxa"/>
            <w:left w:w="10" w:type="dxa"/>
            <w:bottom w:w="0" w:type="dxa"/>
            <w:right w:w="10" w:type="dxa"/>
          </w:tblCellMar>
        </w:tblPrEx>
        <w:trPr>
          <w:trHeight w:val="579" w:hRule="exact"/>
          <w:jc w:val="center"/>
        </w:trPr>
        <w:tc>
          <w:tcPr>
            <w:tcW w:w="9553" w:type="dxa"/>
            <w:gridSpan w:val="3"/>
            <w:tcBorders>
              <w:top w:val="single" w:color="000000" w:sz="4" w:space="0"/>
              <w:left w:val="single" w:color="000000" w:sz="4" w:space="0"/>
              <w:bottom w:val="single" w:color="000000" w:sz="4" w:space="0"/>
              <w:right w:val="single" w:color="000000" w:sz="4" w:space="0"/>
            </w:tcBorders>
            <w:shd w:val="clear" w:color="000000" w:fill="D9D9D9"/>
            <w:tcMar>
              <w:top w:w="0" w:type="dxa"/>
              <w:left w:w="108" w:type="dxa"/>
              <w:bottom w:w="0" w:type="dxa"/>
              <w:right w:w="108" w:type="dxa"/>
            </w:tcMar>
            <w:vAlign w:val="center"/>
          </w:tcPr>
          <w:p w14:paraId="6959B9AF">
            <w:pPr>
              <w:spacing w:line="240" w:lineRule="auto"/>
              <w:jc w:val="left"/>
              <w:rPr>
                <w:rFonts w:hAnsi="宋体" w:cs="宋体"/>
                <w:b/>
                <w:bCs/>
                <w:color w:val="auto"/>
                <w:szCs w:val="24"/>
                <w:highlight w:val="none"/>
              </w:rPr>
            </w:pPr>
            <w:r>
              <w:rPr>
                <w:rFonts w:hint="eastAsia" w:hAnsi="宋体" w:cs="宋体"/>
                <w:b/>
                <w:bCs/>
                <w:color w:val="auto"/>
                <w:szCs w:val="24"/>
                <w:highlight w:val="none"/>
              </w:rPr>
              <w:t>投标报价部分，满分：</w:t>
            </w:r>
            <w:r>
              <w:rPr>
                <w:rFonts w:hint="eastAsia" w:hAnsi="宋体" w:cs="宋体"/>
                <w:b/>
                <w:bCs/>
                <w:color w:val="auto"/>
                <w:szCs w:val="24"/>
                <w:highlight w:val="none"/>
                <w:u w:val="single"/>
                <w:lang w:val="en-US" w:eastAsia="zh-CN"/>
              </w:rPr>
              <w:t>20</w:t>
            </w:r>
            <w:r>
              <w:rPr>
                <w:rFonts w:hint="eastAsia" w:hAnsi="宋体" w:cs="宋体"/>
                <w:b/>
                <w:bCs/>
                <w:color w:val="auto"/>
                <w:szCs w:val="24"/>
                <w:highlight w:val="none"/>
              </w:rPr>
              <w:t>分。</w:t>
            </w:r>
          </w:p>
        </w:tc>
      </w:tr>
      <w:tr w14:paraId="57C94FED">
        <w:tblPrEx>
          <w:tblCellMar>
            <w:top w:w="0" w:type="dxa"/>
            <w:left w:w="10" w:type="dxa"/>
            <w:bottom w:w="0" w:type="dxa"/>
            <w:right w:w="10" w:type="dxa"/>
          </w:tblCellMar>
        </w:tblPrEx>
        <w:trPr>
          <w:trHeight w:val="54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ED5A12">
            <w:pPr>
              <w:spacing w:line="240" w:lineRule="auto"/>
              <w:jc w:val="center"/>
              <w:rPr>
                <w:rFonts w:hAnsi="宋体" w:cs="宋体"/>
                <w:b/>
                <w:bCs/>
                <w:color w:val="auto"/>
                <w:szCs w:val="24"/>
                <w:highlight w:val="none"/>
              </w:rPr>
            </w:pPr>
            <w:r>
              <w:rPr>
                <w:rFonts w:hint="eastAsia" w:hAnsi="宋体" w:cs="宋体"/>
                <w:b/>
                <w:bCs/>
                <w:color w:val="auto"/>
                <w:szCs w:val="24"/>
                <w:highlight w:val="none"/>
              </w:rPr>
              <w:t>评分事项</w:t>
            </w:r>
          </w:p>
        </w:tc>
        <w:tc>
          <w:tcPr>
            <w:tcW w:w="830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A3E61E">
            <w:pPr>
              <w:spacing w:line="240" w:lineRule="auto"/>
              <w:jc w:val="center"/>
              <w:rPr>
                <w:rFonts w:hAnsi="宋体" w:cs="宋体"/>
                <w:b/>
                <w:bCs/>
                <w:color w:val="auto"/>
                <w:szCs w:val="24"/>
                <w:highlight w:val="none"/>
              </w:rPr>
            </w:pPr>
            <w:r>
              <w:rPr>
                <w:rFonts w:hint="eastAsia" w:hAnsi="宋体" w:cs="宋体"/>
                <w:b/>
                <w:bCs/>
                <w:color w:val="auto"/>
                <w:szCs w:val="24"/>
                <w:highlight w:val="none"/>
              </w:rPr>
              <w:t>评分方法</w:t>
            </w:r>
          </w:p>
        </w:tc>
      </w:tr>
      <w:tr w14:paraId="7D7010E5">
        <w:tblPrEx>
          <w:tblCellMar>
            <w:top w:w="0" w:type="dxa"/>
            <w:left w:w="10" w:type="dxa"/>
            <w:bottom w:w="0" w:type="dxa"/>
            <w:right w:w="10" w:type="dxa"/>
          </w:tblCellMar>
        </w:tblPrEx>
        <w:trPr>
          <w:trHeight w:val="4050"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A6553A">
            <w:pPr>
              <w:pStyle w:val="35"/>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评标基准价D</w:t>
            </w:r>
          </w:p>
        </w:tc>
        <w:tc>
          <w:tcPr>
            <w:tcW w:w="830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BC604">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（1）确定最高投标限价下浮系数n：用1～21号球分别代表一个下浮系数，由评委代表从这21个号码中随机抽取</w:t>
            </w:r>
            <w:r>
              <w:rPr>
                <w:rFonts w:hint="eastAsia" w:hAnsi="宋体" w:cs="宋体"/>
                <w:snapToGrid w:val="0"/>
                <w:color w:val="auto"/>
                <w:kern w:val="0"/>
                <w:szCs w:val="24"/>
                <w:highlight w:val="none"/>
                <w:u w:val="single"/>
              </w:rPr>
              <w:t>3</w:t>
            </w:r>
            <w:r>
              <w:rPr>
                <w:rFonts w:hint="eastAsia" w:hAnsi="宋体" w:cs="宋体"/>
                <w:snapToGrid w:val="0"/>
                <w:color w:val="auto"/>
                <w:kern w:val="0"/>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21"/>
              <w:tblW w:w="8015" w:type="dxa"/>
              <w:jc w:val="center"/>
              <w:tblLayout w:type="fixed"/>
              <w:tblCellMar>
                <w:top w:w="0" w:type="dxa"/>
                <w:left w:w="108" w:type="dxa"/>
                <w:bottom w:w="0" w:type="dxa"/>
                <w:right w:w="108" w:type="dxa"/>
              </w:tblCellMar>
            </w:tblPr>
            <w:tblGrid>
              <w:gridCol w:w="1666"/>
              <w:gridCol w:w="907"/>
              <w:gridCol w:w="907"/>
              <w:gridCol w:w="907"/>
              <w:gridCol w:w="907"/>
              <w:gridCol w:w="907"/>
              <w:gridCol w:w="907"/>
              <w:gridCol w:w="907"/>
            </w:tblGrid>
            <w:tr w14:paraId="758B15E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40D1D511">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035BBA5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w:t>
                  </w:r>
                </w:p>
              </w:tc>
              <w:tc>
                <w:tcPr>
                  <w:tcW w:w="907" w:type="dxa"/>
                  <w:tcBorders>
                    <w:top w:val="single" w:color="000000" w:sz="4" w:space="0"/>
                    <w:left w:val="nil"/>
                    <w:bottom w:val="single" w:color="000000" w:sz="4" w:space="0"/>
                    <w:right w:val="single" w:color="000000" w:sz="4" w:space="0"/>
                  </w:tcBorders>
                  <w:vAlign w:val="center"/>
                </w:tcPr>
                <w:p w14:paraId="45F343F5">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w:t>
                  </w:r>
                </w:p>
              </w:tc>
              <w:tc>
                <w:tcPr>
                  <w:tcW w:w="907" w:type="dxa"/>
                  <w:tcBorders>
                    <w:top w:val="single" w:color="000000" w:sz="4" w:space="0"/>
                    <w:left w:val="nil"/>
                    <w:bottom w:val="single" w:color="000000" w:sz="4" w:space="0"/>
                    <w:right w:val="single" w:color="000000" w:sz="4" w:space="0"/>
                  </w:tcBorders>
                  <w:vAlign w:val="center"/>
                </w:tcPr>
                <w:p w14:paraId="03AA5CB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3</w:t>
                  </w:r>
                </w:p>
              </w:tc>
              <w:tc>
                <w:tcPr>
                  <w:tcW w:w="907" w:type="dxa"/>
                  <w:tcBorders>
                    <w:top w:val="single" w:color="000000" w:sz="4" w:space="0"/>
                    <w:left w:val="nil"/>
                    <w:bottom w:val="single" w:color="000000" w:sz="4" w:space="0"/>
                    <w:right w:val="single" w:color="000000" w:sz="4" w:space="0"/>
                  </w:tcBorders>
                  <w:vAlign w:val="center"/>
                </w:tcPr>
                <w:p w14:paraId="0D659A56">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4</w:t>
                  </w:r>
                </w:p>
              </w:tc>
              <w:tc>
                <w:tcPr>
                  <w:tcW w:w="907" w:type="dxa"/>
                  <w:tcBorders>
                    <w:top w:val="single" w:color="000000" w:sz="4" w:space="0"/>
                    <w:left w:val="nil"/>
                    <w:bottom w:val="single" w:color="000000" w:sz="4" w:space="0"/>
                    <w:right w:val="single" w:color="000000" w:sz="4" w:space="0"/>
                  </w:tcBorders>
                  <w:vAlign w:val="center"/>
                </w:tcPr>
                <w:p w14:paraId="788BB5F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5</w:t>
                  </w:r>
                </w:p>
              </w:tc>
              <w:tc>
                <w:tcPr>
                  <w:tcW w:w="907" w:type="dxa"/>
                  <w:tcBorders>
                    <w:top w:val="single" w:color="000000" w:sz="4" w:space="0"/>
                    <w:left w:val="nil"/>
                    <w:bottom w:val="single" w:color="000000" w:sz="4" w:space="0"/>
                    <w:right w:val="single" w:color="000000" w:sz="4" w:space="0"/>
                  </w:tcBorders>
                  <w:vAlign w:val="center"/>
                </w:tcPr>
                <w:p w14:paraId="19CF0B3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6</w:t>
                  </w:r>
                </w:p>
              </w:tc>
              <w:tc>
                <w:tcPr>
                  <w:tcW w:w="907" w:type="dxa"/>
                  <w:tcBorders>
                    <w:top w:val="single" w:color="000000" w:sz="4" w:space="0"/>
                    <w:left w:val="nil"/>
                    <w:bottom w:val="single" w:color="000000" w:sz="4" w:space="0"/>
                    <w:right w:val="single" w:color="000000" w:sz="4" w:space="0"/>
                  </w:tcBorders>
                  <w:vAlign w:val="center"/>
                </w:tcPr>
                <w:p w14:paraId="65AB404F">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7</w:t>
                  </w:r>
                </w:p>
              </w:tc>
            </w:tr>
            <w:tr w14:paraId="3053EFDA">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20B7C5ED">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684788D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w:t>
                  </w:r>
                </w:p>
              </w:tc>
              <w:tc>
                <w:tcPr>
                  <w:tcW w:w="907" w:type="dxa"/>
                  <w:tcBorders>
                    <w:top w:val="single" w:color="000000" w:sz="4" w:space="0"/>
                    <w:left w:val="nil"/>
                    <w:bottom w:val="single" w:color="000000" w:sz="4" w:space="0"/>
                    <w:right w:val="single" w:color="000000" w:sz="4" w:space="0"/>
                  </w:tcBorders>
                  <w:vAlign w:val="center"/>
                </w:tcPr>
                <w:p w14:paraId="018843B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1.1</w:t>
                  </w:r>
                </w:p>
              </w:tc>
              <w:tc>
                <w:tcPr>
                  <w:tcW w:w="907" w:type="dxa"/>
                  <w:tcBorders>
                    <w:top w:val="single" w:color="000000" w:sz="4" w:space="0"/>
                    <w:left w:val="nil"/>
                    <w:bottom w:val="single" w:color="000000" w:sz="4" w:space="0"/>
                    <w:right w:val="single" w:color="000000" w:sz="4" w:space="0"/>
                  </w:tcBorders>
                  <w:vAlign w:val="center"/>
                </w:tcPr>
                <w:p w14:paraId="1E7B988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1.2</w:t>
                  </w:r>
                </w:p>
              </w:tc>
              <w:tc>
                <w:tcPr>
                  <w:tcW w:w="907" w:type="dxa"/>
                  <w:tcBorders>
                    <w:top w:val="single" w:color="000000" w:sz="4" w:space="0"/>
                    <w:left w:val="nil"/>
                    <w:bottom w:val="single" w:color="000000" w:sz="4" w:space="0"/>
                    <w:right w:val="single" w:color="000000" w:sz="4" w:space="0"/>
                  </w:tcBorders>
                  <w:vAlign w:val="center"/>
                </w:tcPr>
                <w:p w14:paraId="2D67BB1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1.3</w:t>
                  </w:r>
                </w:p>
              </w:tc>
              <w:tc>
                <w:tcPr>
                  <w:tcW w:w="907" w:type="dxa"/>
                  <w:tcBorders>
                    <w:top w:val="single" w:color="000000" w:sz="4" w:space="0"/>
                    <w:left w:val="nil"/>
                    <w:bottom w:val="single" w:color="000000" w:sz="4" w:space="0"/>
                    <w:right w:val="single" w:color="000000" w:sz="4" w:space="0"/>
                  </w:tcBorders>
                  <w:vAlign w:val="center"/>
                </w:tcPr>
                <w:p w14:paraId="174E831D">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1.4</w:t>
                  </w:r>
                </w:p>
              </w:tc>
              <w:tc>
                <w:tcPr>
                  <w:tcW w:w="907" w:type="dxa"/>
                  <w:tcBorders>
                    <w:top w:val="single" w:color="000000" w:sz="4" w:space="0"/>
                    <w:left w:val="nil"/>
                    <w:bottom w:val="single" w:color="000000" w:sz="4" w:space="0"/>
                    <w:right w:val="single" w:color="000000" w:sz="4" w:space="0"/>
                  </w:tcBorders>
                  <w:vAlign w:val="center"/>
                </w:tcPr>
                <w:p w14:paraId="5B3A0167">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1.5</w:t>
                  </w:r>
                </w:p>
              </w:tc>
              <w:tc>
                <w:tcPr>
                  <w:tcW w:w="907" w:type="dxa"/>
                  <w:tcBorders>
                    <w:top w:val="single" w:color="000000" w:sz="4" w:space="0"/>
                    <w:left w:val="nil"/>
                    <w:bottom w:val="single" w:color="000000" w:sz="4" w:space="0"/>
                    <w:right w:val="single" w:color="000000" w:sz="4" w:space="0"/>
                  </w:tcBorders>
                  <w:vAlign w:val="center"/>
                </w:tcPr>
                <w:p w14:paraId="70BB36C8">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1.6</w:t>
                  </w:r>
                </w:p>
              </w:tc>
            </w:tr>
            <w:tr w14:paraId="60496ED0">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80F192">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62C5568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8</w:t>
                  </w:r>
                </w:p>
              </w:tc>
              <w:tc>
                <w:tcPr>
                  <w:tcW w:w="907" w:type="dxa"/>
                  <w:tcBorders>
                    <w:top w:val="single" w:color="000000" w:sz="4" w:space="0"/>
                    <w:left w:val="nil"/>
                    <w:bottom w:val="single" w:color="000000" w:sz="4" w:space="0"/>
                    <w:right w:val="single" w:color="000000" w:sz="4" w:space="0"/>
                  </w:tcBorders>
                  <w:vAlign w:val="center"/>
                </w:tcPr>
                <w:p w14:paraId="6CAAA118">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9</w:t>
                  </w:r>
                </w:p>
              </w:tc>
              <w:tc>
                <w:tcPr>
                  <w:tcW w:w="907" w:type="dxa"/>
                  <w:tcBorders>
                    <w:top w:val="single" w:color="000000" w:sz="4" w:space="0"/>
                    <w:left w:val="nil"/>
                    <w:bottom w:val="single" w:color="000000" w:sz="4" w:space="0"/>
                    <w:right w:val="single" w:color="000000" w:sz="4" w:space="0"/>
                  </w:tcBorders>
                  <w:vAlign w:val="center"/>
                </w:tcPr>
                <w:p w14:paraId="09F8F75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10</w:t>
                  </w:r>
                </w:p>
              </w:tc>
              <w:tc>
                <w:tcPr>
                  <w:tcW w:w="907" w:type="dxa"/>
                  <w:tcBorders>
                    <w:top w:val="single" w:color="000000" w:sz="4" w:space="0"/>
                    <w:left w:val="nil"/>
                    <w:bottom w:val="single" w:color="000000" w:sz="4" w:space="0"/>
                    <w:right w:val="single" w:color="000000" w:sz="4" w:space="0"/>
                  </w:tcBorders>
                  <w:vAlign w:val="center"/>
                </w:tcPr>
                <w:p w14:paraId="2032880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11</w:t>
                  </w:r>
                </w:p>
              </w:tc>
              <w:tc>
                <w:tcPr>
                  <w:tcW w:w="907" w:type="dxa"/>
                  <w:tcBorders>
                    <w:top w:val="single" w:color="000000" w:sz="4" w:space="0"/>
                    <w:left w:val="nil"/>
                    <w:bottom w:val="single" w:color="000000" w:sz="4" w:space="0"/>
                    <w:right w:val="single" w:color="000000" w:sz="4" w:space="0"/>
                  </w:tcBorders>
                  <w:vAlign w:val="center"/>
                </w:tcPr>
                <w:p w14:paraId="39CD0AA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12</w:t>
                  </w:r>
                </w:p>
              </w:tc>
              <w:tc>
                <w:tcPr>
                  <w:tcW w:w="907" w:type="dxa"/>
                  <w:tcBorders>
                    <w:top w:val="single" w:color="000000" w:sz="4" w:space="0"/>
                    <w:left w:val="nil"/>
                    <w:bottom w:val="single" w:color="000000" w:sz="4" w:space="0"/>
                    <w:right w:val="single" w:color="000000" w:sz="4" w:space="0"/>
                  </w:tcBorders>
                  <w:vAlign w:val="center"/>
                </w:tcPr>
                <w:p w14:paraId="1EAA773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13</w:t>
                  </w:r>
                </w:p>
              </w:tc>
              <w:tc>
                <w:tcPr>
                  <w:tcW w:w="907" w:type="dxa"/>
                  <w:tcBorders>
                    <w:top w:val="single" w:color="000000" w:sz="4" w:space="0"/>
                    <w:left w:val="nil"/>
                    <w:bottom w:val="single" w:color="000000" w:sz="4" w:space="0"/>
                    <w:right w:val="single" w:color="000000" w:sz="4" w:space="0"/>
                  </w:tcBorders>
                  <w:vAlign w:val="center"/>
                </w:tcPr>
                <w:p w14:paraId="07EA67FE">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14</w:t>
                  </w:r>
                </w:p>
              </w:tc>
            </w:tr>
            <w:tr w14:paraId="3488E90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612083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2BE5147A">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1.7</w:t>
                  </w:r>
                </w:p>
              </w:tc>
              <w:tc>
                <w:tcPr>
                  <w:tcW w:w="907" w:type="dxa"/>
                  <w:tcBorders>
                    <w:top w:val="single" w:color="000000" w:sz="4" w:space="0"/>
                    <w:left w:val="nil"/>
                    <w:bottom w:val="single" w:color="000000" w:sz="4" w:space="0"/>
                    <w:right w:val="single" w:color="000000" w:sz="4" w:space="0"/>
                  </w:tcBorders>
                  <w:vAlign w:val="center"/>
                </w:tcPr>
                <w:p w14:paraId="59152AB4">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1.8</w:t>
                  </w:r>
                </w:p>
              </w:tc>
              <w:tc>
                <w:tcPr>
                  <w:tcW w:w="907" w:type="dxa"/>
                  <w:tcBorders>
                    <w:top w:val="single" w:color="000000" w:sz="4" w:space="0"/>
                    <w:left w:val="nil"/>
                    <w:bottom w:val="single" w:color="000000" w:sz="4" w:space="0"/>
                    <w:right w:val="single" w:color="000000" w:sz="4" w:space="0"/>
                  </w:tcBorders>
                  <w:vAlign w:val="center"/>
                </w:tcPr>
                <w:p w14:paraId="5495ABB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1.9</w:t>
                  </w:r>
                </w:p>
              </w:tc>
              <w:tc>
                <w:tcPr>
                  <w:tcW w:w="907" w:type="dxa"/>
                  <w:tcBorders>
                    <w:top w:val="single" w:color="000000" w:sz="4" w:space="0"/>
                    <w:left w:val="nil"/>
                    <w:bottom w:val="single" w:color="000000" w:sz="4" w:space="0"/>
                    <w:right w:val="single" w:color="000000" w:sz="4" w:space="0"/>
                  </w:tcBorders>
                  <w:vAlign w:val="center"/>
                </w:tcPr>
                <w:p w14:paraId="34D1000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2.0</w:t>
                  </w:r>
                </w:p>
              </w:tc>
              <w:tc>
                <w:tcPr>
                  <w:tcW w:w="907" w:type="dxa"/>
                  <w:tcBorders>
                    <w:top w:val="single" w:color="000000" w:sz="4" w:space="0"/>
                    <w:left w:val="nil"/>
                    <w:bottom w:val="single" w:color="000000" w:sz="4" w:space="0"/>
                    <w:right w:val="single" w:color="000000" w:sz="4" w:space="0"/>
                  </w:tcBorders>
                  <w:vAlign w:val="center"/>
                </w:tcPr>
                <w:p w14:paraId="6AE99D9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2.1</w:t>
                  </w:r>
                </w:p>
              </w:tc>
              <w:tc>
                <w:tcPr>
                  <w:tcW w:w="907" w:type="dxa"/>
                  <w:tcBorders>
                    <w:top w:val="single" w:color="000000" w:sz="4" w:space="0"/>
                    <w:left w:val="nil"/>
                    <w:bottom w:val="single" w:color="000000" w:sz="4" w:space="0"/>
                    <w:right w:val="single" w:color="000000" w:sz="4" w:space="0"/>
                  </w:tcBorders>
                  <w:vAlign w:val="center"/>
                </w:tcPr>
                <w:p w14:paraId="3B70085A">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2.2</w:t>
                  </w:r>
                </w:p>
              </w:tc>
              <w:tc>
                <w:tcPr>
                  <w:tcW w:w="907" w:type="dxa"/>
                  <w:tcBorders>
                    <w:top w:val="single" w:color="000000" w:sz="4" w:space="0"/>
                    <w:left w:val="nil"/>
                    <w:bottom w:val="single" w:color="000000" w:sz="4" w:space="0"/>
                    <w:right w:val="single" w:color="000000" w:sz="4" w:space="0"/>
                  </w:tcBorders>
                  <w:vAlign w:val="center"/>
                </w:tcPr>
                <w:p w14:paraId="466E2047">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2.3</w:t>
                  </w:r>
                </w:p>
              </w:tc>
            </w:tr>
            <w:tr w14:paraId="65C9AF8C">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929F3F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7DC4F20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15</w:t>
                  </w:r>
                </w:p>
              </w:tc>
              <w:tc>
                <w:tcPr>
                  <w:tcW w:w="907" w:type="dxa"/>
                  <w:tcBorders>
                    <w:top w:val="single" w:color="000000" w:sz="4" w:space="0"/>
                    <w:left w:val="nil"/>
                    <w:bottom w:val="single" w:color="000000" w:sz="4" w:space="0"/>
                    <w:right w:val="single" w:color="000000" w:sz="4" w:space="0"/>
                  </w:tcBorders>
                  <w:vAlign w:val="center"/>
                </w:tcPr>
                <w:p w14:paraId="35092086">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16</w:t>
                  </w:r>
                </w:p>
              </w:tc>
              <w:tc>
                <w:tcPr>
                  <w:tcW w:w="907" w:type="dxa"/>
                  <w:tcBorders>
                    <w:top w:val="single" w:color="000000" w:sz="4" w:space="0"/>
                    <w:left w:val="nil"/>
                    <w:bottom w:val="single" w:color="000000" w:sz="4" w:space="0"/>
                    <w:right w:val="single" w:color="000000" w:sz="4" w:space="0"/>
                  </w:tcBorders>
                  <w:vAlign w:val="center"/>
                </w:tcPr>
                <w:p w14:paraId="76DC3854">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17</w:t>
                  </w:r>
                </w:p>
              </w:tc>
              <w:tc>
                <w:tcPr>
                  <w:tcW w:w="907" w:type="dxa"/>
                  <w:tcBorders>
                    <w:top w:val="single" w:color="000000" w:sz="4" w:space="0"/>
                    <w:left w:val="nil"/>
                    <w:bottom w:val="single" w:color="000000" w:sz="4" w:space="0"/>
                    <w:right w:val="single" w:color="000000" w:sz="4" w:space="0"/>
                  </w:tcBorders>
                  <w:vAlign w:val="center"/>
                </w:tcPr>
                <w:p w14:paraId="24086F1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18</w:t>
                  </w:r>
                </w:p>
              </w:tc>
              <w:tc>
                <w:tcPr>
                  <w:tcW w:w="907" w:type="dxa"/>
                  <w:tcBorders>
                    <w:top w:val="single" w:color="000000" w:sz="4" w:space="0"/>
                    <w:left w:val="nil"/>
                    <w:bottom w:val="single" w:color="000000" w:sz="4" w:space="0"/>
                    <w:right w:val="single" w:color="000000" w:sz="4" w:space="0"/>
                  </w:tcBorders>
                  <w:vAlign w:val="center"/>
                </w:tcPr>
                <w:p w14:paraId="28E866F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19</w:t>
                  </w:r>
                </w:p>
              </w:tc>
              <w:tc>
                <w:tcPr>
                  <w:tcW w:w="907" w:type="dxa"/>
                  <w:tcBorders>
                    <w:top w:val="single" w:color="000000" w:sz="4" w:space="0"/>
                    <w:left w:val="nil"/>
                    <w:bottom w:val="single" w:color="000000" w:sz="4" w:space="0"/>
                    <w:right w:val="single" w:color="000000" w:sz="4" w:space="0"/>
                  </w:tcBorders>
                  <w:vAlign w:val="center"/>
                </w:tcPr>
                <w:p w14:paraId="37A50DEE">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20</w:t>
                  </w:r>
                </w:p>
              </w:tc>
              <w:tc>
                <w:tcPr>
                  <w:tcW w:w="907" w:type="dxa"/>
                  <w:tcBorders>
                    <w:top w:val="single" w:color="000000" w:sz="4" w:space="0"/>
                    <w:left w:val="nil"/>
                    <w:bottom w:val="single" w:color="000000" w:sz="4" w:space="0"/>
                    <w:right w:val="single" w:color="000000" w:sz="4" w:space="0"/>
                  </w:tcBorders>
                  <w:vAlign w:val="center"/>
                </w:tcPr>
                <w:p w14:paraId="51B2AE17">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21</w:t>
                  </w:r>
                </w:p>
              </w:tc>
            </w:tr>
            <w:tr w14:paraId="5E4A71AB">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EA8BF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57DAC3C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2.4</w:t>
                  </w:r>
                </w:p>
              </w:tc>
              <w:tc>
                <w:tcPr>
                  <w:tcW w:w="907" w:type="dxa"/>
                  <w:tcBorders>
                    <w:top w:val="single" w:color="000000" w:sz="4" w:space="0"/>
                    <w:left w:val="nil"/>
                    <w:bottom w:val="single" w:color="000000" w:sz="4" w:space="0"/>
                    <w:right w:val="single" w:color="000000" w:sz="4" w:space="0"/>
                  </w:tcBorders>
                  <w:vAlign w:val="center"/>
                </w:tcPr>
                <w:p w14:paraId="61CE9CC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2.5</w:t>
                  </w:r>
                </w:p>
              </w:tc>
              <w:tc>
                <w:tcPr>
                  <w:tcW w:w="907" w:type="dxa"/>
                  <w:tcBorders>
                    <w:top w:val="single" w:color="000000" w:sz="4" w:space="0"/>
                    <w:left w:val="nil"/>
                    <w:bottom w:val="single" w:color="000000" w:sz="4" w:space="0"/>
                    <w:right w:val="single" w:color="000000" w:sz="4" w:space="0"/>
                  </w:tcBorders>
                  <w:vAlign w:val="center"/>
                </w:tcPr>
                <w:p w14:paraId="77026F2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2.6</w:t>
                  </w:r>
                </w:p>
              </w:tc>
              <w:tc>
                <w:tcPr>
                  <w:tcW w:w="907" w:type="dxa"/>
                  <w:tcBorders>
                    <w:top w:val="single" w:color="000000" w:sz="4" w:space="0"/>
                    <w:left w:val="nil"/>
                    <w:bottom w:val="single" w:color="000000" w:sz="4" w:space="0"/>
                    <w:right w:val="single" w:color="000000" w:sz="4" w:space="0"/>
                  </w:tcBorders>
                  <w:vAlign w:val="center"/>
                </w:tcPr>
                <w:p w14:paraId="16ECB689">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2.7</w:t>
                  </w:r>
                </w:p>
              </w:tc>
              <w:tc>
                <w:tcPr>
                  <w:tcW w:w="907" w:type="dxa"/>
                  <w:tcBorders>
                    <w:top w:val="single" w:color="000000" w:sz="4" w:space="0"/>
                    <w:left w:val="nil"/>
                    <w:bottom w:val="single" w:color="000000" w:sz="4" w:space="0"/>
                    <w:right w:val="single" w:color="000000" w:sz="4" w:space="0"/>
                  </w:tcBorders>
                  <w:vAlign w:val="center"/>
                </w:tcPr>
                <w:p w14:paraId="576A3676">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2.8</w:t>
                  </w:r>
                </w:p>
              </w:tc>
              <w:tc>
                <w:tcPr>
                  <w:tcW w:w="907" w:type="dxa"/>
                  <w:tcBorders>
                    <w:top w:val="single" w:color="000000" w:sz="4" w:space="0"/>
                    <w:left w:val="nil"/>
                    <w:bottom w:val="single" w:color="000000" w:sz="4" w:space="0"/>
                    <w:right w:val="single" w:color="000000" w:sz="4" w:space="0"/>
                  </w:tcBorders>
                  <w:vAlign w:val="center"/>
                </w:tcPr>
                <w:p w14:paraId="1C2D1CE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2.9</w:t>
                  </w:r>
                </w:p>
              </w:tc>
              <w:tc>
                <w:tcPr>
                  <w:tcW w:w="907" w:type="dxa"/>
                  <w:tcBorders>
                    <w:top w:val="single" w:color="000000" w:sz="4" w:space="0"/>
                    <w:left w:val="nil"/>
                    <w:bottom w:val="single" w:color="000000" w:sz="4" w:space="0"/>
                    <w:right w:val="single" w:color="000000" w:sz="4" w:space="0"/>
                  </w:tcBorders>
                  <w:vAlign w:val="center"/>
                </w:tcPr>
                <w:p w14:paraId="200CE25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3.0</w:t>
                  </w:r>
                </w:p>
              </w:tc>
            </w:tr>
          </w:tbl>
          <w:p w14:paraId="7FC3A48E">
            <w:pPr>
              <w:pStyle w:val="35"/>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tc>
      </w:tr>
      <w:tr w14:paraId="2192D797">
        <w:tblPrEx>
          <w:tblCellMar>
            <w:top w:w="0" w:type="dxa"/>
            <w:left w:w="10" w:type="dxa"/>
            <w:bottom w:w="0" w:type="dxa"/>
            <w:right w:w="10" w:type="dxa"/>
          </w:tblCellMar>
        </w:tblPrEx>
        <w:trPr>
          <w:trHeight w:val="1401" w:hRule="atLeast"/>
          <w:jc w:val="center"/>
        </w:trPr>
        <w:tc>
          <w:tcPr>
            <w:tcW w:w="125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90CC6A">
            <w:pPr>
              <w:pStyle w:val="34"/>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351D5E04">
            <w:pPr>
              <w:pStyle w:val="34"/>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得分M</w:t>
            </w:r>
            <w:r>
              <w:rPr>
                <w:rFonts w:hint="eastAsia" w:ascii="宋体" w:hAnsi="宋体" w:eastAsia="宋体" w:cs="宋体"/>
                <w:color w:val="auto"/>
                <w:sz w:val="24"/>
                <w:szCs w:val="24"/>
                <w:highlight w:val="none"/>
                <w:vertAlign w:val="subscript"/>
              </w:rPr>
              <w:t>3</w:t>
            </w:r>
          </w:p>
        </w:tc>
        <w:tc>
          <w:tcPr>
            <w:tcW w:w="830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D10F02">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采用内插法计算某投标人的投标报价得分M</w:t>
            </w:r>
            <w:r>
              <w:rPr>
                <w:rFonts w:hint="eastAsia" w:hAnsi="宋体" w:cs="宋体"/>
                <w:snapToGrid w:val="0"/>
                <w:color w:val="auto"/>
                <w:kern w:val="0"/>
                <w:szCs w:val="24"/>
                <w:highlight w:val="none"/>
                <w:vertAlign w:val="subscript"/>
              </w:rPr>
              <w:t>3</w:t>
            </w:r>
            <w:r>
              <w:rPr>
                <w:rFonts w:hint="eastAsia" w:hAnsi="宋体" w:cs="宋体"/>
                <w:snapToGrid w:val="0"/>
                <w:color w:val="auto"/>
                <w:kern w:val="0"/>
                <w:szCs w:val="24"/>
                <w:highlight w:val="none"/>
              </w:rPr>
              <w:t>，即当投标人的投标总价等于评标基准价时得满分，每高于评标基准价一个百分点扣</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rPr>
              <w:t>分,每低于评标基准价一个百分点扣</w:t>
            </w:r>
            <w:r>
              <w:rPr>
                <w:rFonts w:hint="eastAsia" w:hAnsi="宋体" w:cs="宋体"/>
                <w:snapToGrid w:val="0"/>
                <w:color w:val="auto"/>
                <w:kern w:val="0"/>
                <w:szCs w:val="24"/>
                <w:highlight w:val="none"/>
                <w:lang w:val="en-US" w:eastAsia="zh-CN"/>
              </w:rPr>
              <w:t>0.5</w:t>
            </w:r>
            <w:r>
              <w:rPr>
                <w:rFonts w:hint="eastAsia" w:hAnsi="宋体" w:cs="宋体"/>
                <w:snapToGrid w:val="0"/>
                <w:color w:val="auto"/>
                <w:kern w:val="0"/>
                <w:szCs w:val="24"/>
                <w:highlight w:val="none"/>
              </w:rPr>
              <w:t>分，扣完为止。公式如下：</w:t>
            </w:r>
          </w:p>
          <w:p w14:paraId="4D52E386">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M</w:t>
            </w:r>
            <w:r>
              <w:rPr>
                <w:rFonts w:hint="eastAsia" w:hAnsi="宋体" w:cs="宋体"/>
                <w:snapToGrid w:val="0"/>
                <w:color w:val="auto"/>
                <w:kern w:val="0"/>
                <w:szCs w:val="24"/>
                <w:highlight w:val="none"/>
                <w:vertAlign w:val="subscript"/>
              </w:rPr>
              <w:t>3</w:t>
            </w:r>
            <w:r>
              <w:rPr>
                <w:rFonts w:hint="eastAsia" w:hAnsi="宋体" w:cs="宋体"/>
                <w:snapToGrid w:val="0"/>
                <w:color w:val="auto"/>
                <w:kern w:val="0"/>
                <w:szCs w:val="24"/>
                <w:highlight w:val="none"/>
              </w:rPr>
              <w:t>＝</w:t>
            </w:r>
            <w:r>
              <w:rPr>
                <w:rFonts w:hint="eastAsia" w:hAnsi="宋体" w:cs="宋体"/>
                <w:snapToGrid w:val="0"/>
                <w:color w:val="auto"/>
                <w:kern w:val="0"/>
                <w:highlight w:val="none"/>
                <w:lang w:val="en-US" w:eastAsia="zh-CN"/>
              </w:rPr>
              <w:t>投标报价满分</w:t>
            </w:r>
            <w:r>
              <w:rPr>
                <w:rFonts w:hint="eastAsia" w:hAnsi="宋体" w:cs="宋体"/>
                <w:snapToGrid w:val="0"/>
                <w:color w:val="auto"/>
                <w:kern w:val="0"/>
                <w:szCs w:val="24"/>
                <w:highlight w:val="none"/>
              </w:rPr>
              <w:t>－（|Di－D|÷D）×100×E</w:t>
            </w:r>
          </w:p>
          <w:p w14:paraId="7067B699">
            <w:pPr>
              <w:spacing w:line="240" w:lineRule="auto"/>
              <w:ind w:firstLine="480"/>
              <w:jc w:val="left"/>
              <w:rPr>
                <w:rFonts w:hAnsi="宋体" w:cs="宋体"/>
                <w:color w:val="auto"/>
                <w:szCs w:val="24"/>
                <w:highlight w:val="none"/>
              </w:rPr>
            </w:pPr>
            <w:r>
              <w:rPr>
                <w:rFonts w:hint="eastAsia" w:hAnsi="宋体" w:cs="宋体"/>
                <w:snapToGrid w:val="0"/>
                <w:color w:val="auto"/>
                <w:kern w:val="0"/>
                <w:szCs w:val="24"/>
                <w:highlight w:val="none"/>
              </w:rPr>
              <w:t>式中：D为评标基准价，Di为某投标人的投标总价；E为扣分因子。当Di＞D时，E＝</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rPr>
              <w:t>；当Di＜D时，E＝</w:t>
            </w:r>
            <w:r>
              <w:rPr>
                <w:rFonts w:hint="eastAsia" w:hAnsi="宋体" w:cs="宋体"/>
                <w:snapToGrid w:val="0"/>
                <w:color w:val="auto"/>
                <w:kern w:val="0"/>
                <w:szCs w:val="24"/>
                <w:highlight w:val="none"/>
                <w:lang w:val="en-US" w:eastAsia="zh-CN"/>
              </w:rPr>
              <w:t>0.5</w:t>
            </w:r>
            <w:r>
              <w:rPr>
                <w:rFonts w:hint="eastAsia" w:hAnsi="宋体" w:cs="宋体"/>
                <w:snapToGrid w:val="0"/>
                <w:color w:val="auto"/>
                <w:kern w:val="0"/>
                <w:szCs w:val="24"/>
                <w:highlight w:val="none"/>
              </w:rPr>
              <w:t>。</w:t>
            </w:r>
          </w:p>
        </w:tc>
      </w:tr>
    </w:tbl>
    <w:p w14:paraId="2C93EA0A">
      <w:pPr>
        <w:pStyle w:val="24"/>
        <w:jc w:val="both"/>
        <w:rPr>
          <w:rFonts w:ascii="宋体" w:hAnsi="宋体" w:cs="宋体"/>
          <w:color w:val="auto"/>
          <w:sz w:val="24"/>
          <w:highlight w:val="none"/>
        </w:rPr>
      </w:pPr>
    </w:p>
    <w:p w14:paraId="20F12D4F">
      <w:pPr>
        <w:wordWrap w:val="0"/>
        <w:adjustRightInd w:val="0"/>
        <w:snapToGrid w:val="0"/>
        <w:spacing w:line="440" w:lineRule="exact"/>
        <w:ind w:firstLine="480" w:firstLineChars="200"/>
        <w:rPr>
          <w:rFonts w:hAnsi="宋体" w:cs="宋体"/>
          <w:snapToGrid w:val="0"/>
          <w:color w:val="auto"/>
          <w:kern w:val="0"/>
          <w:szCs w:val="24"/>
          <w:highlight w:val="none"/>
        </w:rPr>
      </w:pPr>
    </w:p>
    <w:p w14:paraId="3B02AFA4">
      <w:pPr>
        <w:rPr>
          <w:rFonts w:hint="eastAsia"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br w:type="page"/>
      </w:r>
    </w:p>
    <w:p w14:paraId="1CA5169A">
      <w:pPr>
        <w:wordWrap w:val="0"/>
        <w:adjustRightInd w:val="0"/>
        <w:snapToGrid w:val="0"/>
        <w:spacing w:after="240" w:afterLines="100" w:line="440" w:lineRule="exact"/>
        <w:jc w:val="center"/>
        <w:rPr>
          <w:rFonts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t>表2 项目监理机构其他人员需求表</w:t>
      </w:r>
    </w:p>
    <w:tbl>
      <w:tblPr>
        <w:tblStyle w:val="21"/>
        <w:tblW w:w="9260" w:type="dxa"/>
        <w:jc w:val="center"/>
        <w:tblLayout w:type="autofit"/>
        <w:tblCellMar>
          <w:top w:w="0" w:type="dxa"/>
          <w:left w:w="108" w:type="dxa"/>
          <w:bottom w:w="0" w:type="dxa"/>
          <w:right w:w="108" w:type="dxa"/>
        </w:tblCellMar>
      </w:tblPr>
      <w:tblGrid>
        <w:gridCol w:w="1069"/>
        <w:gridCol w:w="2146"/>
        <w:gridCol w:w="840"/>
        <w:gridCol w:w="5205"/>
      </w:tblGrid>
      <w:tr w14:paraId="1DEB1274">
        <w:tblPrEx>
          <w:tblCellMar>
            <w:top w:w="0" w:type="dxa"/>
            <w:left w:w="108" w:type="dxa"/>
            <w:bottom w:w="0" w:type="dxa"/>
            <w:right w:w="108" w:type="dxa"/>
          </w:tblCellMar>
        </w:tblPrEx>
        <w:trPr>
          <w:trHeight w:val="664" w:hRule="atLeast"/>
          <w:jc w:val="center"/>
        </w:trPr>
        <w:tc>
          <w:tcPr>
            <w:tcW w:w="9260" w:type="dxa"/>
            <w:gridSpan w:val="4"/>
            <w:tcBorders>
              <w:top w:val="single" w:color="auto" w:sz="8" w:space="0"/>
              <w:left w:val="single" w:color="auto" w:sz="8" w:space="0"/>
              <w:bottom w:val="nil"/>
              <w:right w:val="single" w:color="000000" w:sz="8" w:space="0"/>
            </w:tcBorders>
            <w:vAlign w:val="center"/>
          </w:tcPr>
          <w:p w14:paraId="36CB91C2">
            <w:pPr>
              <w:widowControl/>
              <w:spacing w:line="240" w:lineRule="auto"/>
              <w:jc w:val="left"/>
              <w:rPr>
                <w:rFonts w:hAnsi="宋体" w:cs="宋体"/>
                <w:b/>
                <w:bCs/>
                <w:color w:val="auto"/>
                <w:kern w:val="0"/>
                <w:szCs w:val="24"/>
                <w:highlight w:val="none"/>
              </w:rPr>
            </w:pPr>
            <w:r>
              <w:rPr>
                <w:rFonts w:hint="eastAsia" w:hAnsi="宋体" w:cs="宋体"/>
                <w:b/>
                <w:bCs/>
                <w:color w:val="auto"/>
                <w:kern w:val="0"/>
                <w:szCs w:val="24"/>
                <w:highlight w:val="none"/>
              </w:rPr>
              <w:t>监理人员（除总监理工程师外）：共</w:t>
            </w:r>
            <w:r>
              <w:rPr>
                <w:rFonts w:hint="eastAsia" w:hAnsi="宋体" w:cs="宋体"/>
                <w:b/>
                <w:bCs/>
                <w:color w:val="auto"/>
                <w:kern w:val="0"/>
                <w:szCs w:val="24"/>
                <w:highlight w:val="none"/>
                <w:u w:val="single"/>
                <w:lang w:val="en-US" w:eastAsia="zh-CN"/>
              </w:rPr>
              <w:t>4</w:t>
            </w:r>
            <w:r>
              <w:rPr>
                <w:rFonts w:hint="eastAsia" w:hAnsi="宋体" w:cs="宋体"/>
                <w:b/>
                <w:bCs/>
                <w:color w:val="auto"/>
                <w:kern w:val="0"/>
                <w:szCs w:val="24"/>
                <w:highlight w:val="none"/>
              </w:rPr>
              <w:t>人</w:t>
            </w:r>
          </w:p>
        </w:tc>
      </w:tr>
      <w:tr w14:paraId="28B284D5">
        <w:tblPrEx>
          <w:tblCellMar>
            <w:top w:w="0" w:type="dxa"/>
            <w:left w:w="108" w:type="dxa"/>
            <w:bottom w:w="0" w:type="dxa"/>
            <w:right w:w="108" w:type="dxa"/>
          </w:tblCellMar>
        </w:tblPrEx>
        <w:trPr>
          <w:trHeight w:val="941" w:hRule="atLeast"/>
          <w:jc w:val="center"/>
        </w:trPr>
        <w:tc>
          <w:tcPr>
            <w:tcW w:w="1069" w:type="dxa"/>
            <w:tcBorders>
              <w:top w:val="single" w:color="auto" w:sz="4" w:space="0"/>
              <w:left w:val="single" w:color="auto" w:sz="4" w:space="0"/>
              <w:bottom w:val="single" w:color="auto" w:sz="4" w:space="0"/>
              <w:right w:val="single" w:color="auto" w:sz="4" w:space="0"/>
            </w:tcBorders>
            <w:vAlign w:val="center"/>
          </w:tcPr>
          <w:p w14:paraId="283099F7">
            <w:pPr>
              <w:jc w:val="center"/>
              <w:rPr>
                <w:color w:val="auto"/>
                <w:highlight w:val="none"/>
              </w:rPr>
            </w:pPr>
            <w:r>
              <w:rPr>
                <w:rFonts w:hint="eastAsia"/>
                <w:color w:val="auto"/>
                <w:highlight w:val="none"/>
              </w:rPr>
              <w:t>职务</w:t>
            </w:r>
          </w:p>
        </w:tc>
        <w:tc>
          <w:tcPr>
            <w:tcW w:w="2146" w:type="dxa"/>
            <w:tcBorders>
              <w:top w:val="single" w:color="auto" w:sz="4" w:space="0"/>
              <w:left w:val="single" w:color="auto" w:sz="4" w:space="0"/>
              <w:bottom w:val="single" w:color="auto" w:sz="4" w:space="0"/>
              <w:right w:val="single" w:color="auto" w:sz="4" w:space="0"/>
            </w:tcBorders>
            <w:vAlign w:val="center"/>
          </w:tcPr>
          <w:p w14:paraId="3EA12631">
            <w:pPr>
              <w:jc w:val="center"/>
              <w:rPr>
                <w:color w:val="auto"/>
                <w:highlight w:val="none"/>
              </w:rPr>
            </w:pPr>
            <w:r>
              <w:rPr>
                <w:rFonts w:hint="eastAsia"/>
                <w:color w:val="auto"/>
                <w:highlight w:val="none"/>
              </w:rPr>
              <w:t>专业要求</w:t>
            </w:r>
          </w:p>
        </w:tc>
        <w:tc>
          <w:tcPr>
            <w:tcW w:w="840" w:type="dxa"/>
            <w:tcBorders>
              <w:top w:val="single" w:color="auto" w:sz="4" w:space="0"/>
              <w:left w:val="nil"/>
              <w:bottom w:val="single" w:color="auto" w:sz="4" w:space="0"/>
              <w:right w:val="single" w:color="auto" w:sz="4" w:space="0"/>
            </w:tcBorders>
            <w:vAlign w:val="center"/>
          </w:tcPr>
          <w:p w14:paraId="3103BB9D">
            <w:pPr>
              <w:jc w:val="center"/>
              <w:rPr>
                <w:color w:val="auto"/>
                <w:highlight w:val="none"/>
              </w:rPr>
            </w:pPr>
            <w:r>
              <w:rPr>
                <w:rFonts w:hint="eastAsia"/>
                <w:color w:val="auto"/>
                <w:highlight w:val="none"/>
              </w:rPr>
              <w:t>数量</w:t>
            </w:r>
          </w:p>
          <w:p w14:paraId="35836F88">
            <w:pPr>
              <w:jc w:val="center"/>
              <w:rPr>
                <w:color w:val="auto"/>
                <w:highlight w:val="none"/>
              </w:rPr>
            </w:pPr>
            <w:r>
              <w:rPr>
                <w:rFonts w:hint="eastAsia"/>
                <w:color w:val="auto"/>
                <w:highlight w:val="none"/>
              </w:rPr>
              <w:t>要求</w:t>
            </w:r>
          </w:p>
        </w:tc>
        <w:tc>
          <w:tcPr>
            <w:tcW w:w="5205" w:type="dxa"/>
            <w:tcBorders>
              <w:top w:val="single" w:color="auto" w:sz="4" w:space="0"/>
              <w:left w:val="single" w:color="auto" w:sz="4" w:space="0"/>
              <w:bottom w:val="single" w:color="auto" w:sz="4" w:space="0"/>
              <w:right w:val="single" w:color="auto" w:sz="4" w:space="0"/>
            </w:tcBorders>
            <w:vAlign w:val="center"/>
          </w:tcPr>
          <w:p w14:paraId="60EC6C28">
            <w:pPr>
              <w:jc w:val="center"/>
              <w:rPr>
                <w:color w:val="auto"/>
                <w:highlight w:val="none"/>
              </w:rPr>
            </w:pPr>
            <w:r>
              <w:rPr>
                <w:rFonts w:hint="eastAsia"/>
                <w:color w:val="auto"/>
                <w:highlight w:val="none"/>
              </w:rPr>
              <w:t>持证要求</w:t>
            </w:r>
          </w:p>
        </w:tc>
      </w:tr>
      <w:tr w14:paraId="7E0ABD84">
        <w:tblPrEx>
          <w:tblCellMar>
            <w:top w:w="0" w:type="dxa"/>
            <w:left w:w="108" w:type="dxa"/>
            <w:bottom w:w="0" w:type="dxa"/>
            <w:right w:w="108" w:type="dxa"/>
          </w:tblCellMar>
        </w:tblPrEx>
        <w:trPr>
          <w:trHeight w:val="2759" w:hRule="atLeast"/>
          <w:jc w:val="center"/>
        </w:trPr>
        <w:tc>
          <w:tcPr>
            <w:tcW w:w="1069" w:type="dxa"/>
            <w:tcBorders>
              <w:top w:val="single" w:color="auto" w:sz="4" w:space="0"/>
              <w:left w:val="single" w:color="auto" w:sz="4" w:space="0"/>
              <w:right w:val="single" w:color="auto" w:sz="4" w:space="0"/>
            </w:tcBorders>
            <w:vAlign w:val="center"/>
          </w:tcPr>
          <w:p w14:paraId="394F8679">
            <w:pPr>
              <w:widowControl/>
              <w:spacing w:line="440" w:lineRule="exact"/>
              <w:jc w:val="center"/>
              <w:rPr>
                <w:rFonts w:hAnsi="宋体" w:cs="宋体"/>
                <w:color w:val="auto"/>
                <w:kern w:val="0"/>
                <w:szCs w:val="24"/>
                <w:highlight w:val="none"/>
              </w:rPr>
            </w:pPr>
            <w:r>
              <w:rPr>
                <w:rFonts w:hint="eastAsia"/>
                <w:color w:val="auto"/>
                <w:highlight w:val="none"/>
              </w:rPr>
              <w:t>专业监理工程师</w:t>
            </w:r>
          </w:p>
        </w:tc>
        <w:tc>
          <w:tcPr>
            <w:tcW w:w="2146" w:type="dxa"/>
            <w:tcBorders>
              <w:top w:val="single" w:color="auto" w:sz="4" w:space="0"/>
              <w:left w:val="single" w:color="auto" w:sz="4" w:space="0"/>
              <w:right w:val="single" w:color="auto" w:sz="4" w:space="0"/>
            </w:tcBorders>
            <w:vAlign w:val="center"/>
          </w:tcPr>
          <w:p w14:paraId="22D932DF">
            <w:pPr>
              <w:jc w:val="center"/>
              <w:rPr>
                <w:rFonts w:hint="default" w:eastAsia="宋体"/>
                <w:color w:val="auto"/>
                <w:highlight w:val="none"/>
                <w:lang w:val="en-US" w:eastAsia="zh-CN"/>
              </w:rPr>
            </w:pPr>
            <w:r>
              <w:rPr>
                <w:rFonts w:hint="eastAsia"/>
                <w:color w:val="auto"/>
                <w:highlight w:val="none"/>
              </w:rPr>
              <w:t>市政公用工程</w:t>
            </w:r>
          </w:p>
        </w:tc>
        <w:tc>
          <w:tcPr>
            <w:tcW w:w="840" w:type="dxa"/>
            <w:tcBorders>
              <w:top w:val="single" w:color="auto" w:sz="4" w:space="0"/>
              <w:left w:val="nil"/>
              <w:bottom w:val="single" w:color="auto" w:sz="4" w:space="0"/>
              <w:right w:val="single" w:color="auto" w:sz="4" w:space="0"/>
            </w:tcBorders>
            <w:vAlign w:val="center"/>
          </w:tcPr>
          <w:p w14:paraId="0A0F856F">
            <w:pPr>
              <w:jc w:val="center"/>
              <w:rPr>
                <w:rFonts w:hint="default"/>
                <w:color w:val="auto"/>
                <w:highlight w:val="none"/>
                <w:lang w:val="en-US" w:eastAsia="zh-CN"/>
              </w:rPr>
            </w:pPr>
            <w:r>
              <w:rPr>
                <w:rFonts w:hint="eastAsia"/>
                <w:color w:val="auto"/>
                <w:highlight w:val="none"/>
                <w:lang w:val="en-US" w:eastAsia="zh-CN"/>
              </w:rPr>
              <w:t>2</w:t>
            </w:r>
          </w:p>
        </w:tc>
        <w:tc>
          <w:tcPr>
            <w:tcW w:w="5205" w:type="dxa"/>
            <w:tcBorders>
              <w:top w:val="single" w:color="auto" w:sz="4" w:space="0"/>
              <w:left w:val="single" w:color="auto" w:sz="4" w:space="0"/>
              <w:right w:val="single" w:color="auto" w:sz="4" w:space="0"/>
            </w:tcBorders>
            <w:vAlign w:val="center"/>
          </w:tcPr>
          <w:p w14:paraId="290B977A">
            <w:pPr>
              <w:widowControl/>
              <w:spacing w:line="440" w:lineRule="exact"/>
              <w:rPr>
                <w:rFonts w:hAnsi="宋体" w:cs="宋体"/>
                <w:color w:val="auto"/>
                <w:kern w:val="0"/>
                <w:szCs w:val="24"/>
                <w:highlight w:val="none"/>
              </w:rPr>
            </w:pPr>
            <w:r>
              <w:rPr>
                <w:rFonts w:hint="eastAsia" w:hAnsi="宋体" w:cs="宋体"/>
                <w:color w:val="auto"/>
                <w:kern w:val="0"/>
                <w:szCs w:val="24"/>
                <w:highlight w:val="none"/>
              </w:rPr>
              <w:t>符合以下3种情形之一均可：</w:t>
            </w:r>
          </w:p>
          <w:p w14:paraId="613A257B">
            <w:pPr>
              <w:widowControl/>
              <w:spacing w:line="440" w:lineRule="exact"/>
              <w:ind w:firstLine="480" w:firstLineChars="200"/>
              <w:rPr>
                <w:rFonts w:hAnsi="宋体" w:cs="宋体"/>
                <w:color w:val="auto"/>
                <w:kern w:val="0"/>
                <w:szCs w:val="24"/>
                <w:highlight w:val="none"/>
              </w:rPr>
            </w:pPr>
            <w:r>
              <w:rPr>
                <w:rFonts w:hint="eastAsia" w:hAnsi="宋体" w:cs="宋体"/>
                <w:color w:val="auto"/>
                <w:kern w:val="0"/>
                <w:szCs w:val="24"/>
                <w:highlight w:val="none"/>
              </w:rPr>
              <w:t>1．具备所需专业注册监理工程师执业资格，持有效的注册证书；</w:t>
            </w:r>
          </w:p>
          <w:p w14:paraId="18BAF305">
            <w:pPr>
              <w:widowControl/>
              <w:spacing w:line="440" w:lineRule="exact"/>
              <w:ind w:firstLine="480" w:firstLineChars="200"/>
              <w:rPr>
                <w:rFonts w:hAnsi="宋体" w:cs="宋体"/>
                <w:color w:val="auto"/>
                <w:kern w:val="0"/>
                <w:szCs w:val="24"/>
                <w:highlight w:val="none"/>
              </w:rPr>
            </w:pPr>
            <w:r>
              <w:rPr>
                <w:rFonts w:hint="eastAsia" w:hAnsi="宋体" w:cs="宋体"/>
                <w:color w:val="auto"/>
                <w:kern w:val="0"/>
                <w:szCs w:val="24"/>
                <w:highlight w:val="none"/>
              </w:rPr>
              <w:t>2．具备工程类注册执业资格，并经监理业务培训。持有效的注册证书、省级建设行政主管部门或其授权的组织（机构）颁发的岗位证书；</w:t>
            </w:r>
          </w:p>
          <w:p w14:paraId="5D922820">
            <w:pPr>
              <w:widowControl/>
              <w:spacing w:line="440" w:lineRule="exact"/>
              <w:ind w:firstLine="480" w:firstLineChars="200"/>
              <w:rPr>
                <w:rFonts w:hAnsi="宋体" w:cs="宋体"/>
                <w:color w:val="auto"/>
                <w:kern w:val="0"/>
                <w:szCs w:val="24"/>
                <w:highlight w:val="none"/>
              </w:rPr>
            </w:pPr>
            <w:r>
              <w:rPr>
                <w:rFonts w:hint="eastAsia" w:hAnsi="宋体" w:cs="宋体"/>
                <w:color w:val="auto"/>
                <w:kern w:val="0"/>
                <w:szCs w:val="24"/>
                <w:highlight w:val="none"/>
              </w:rPr>
              <w:t>3．经监理业务培训，持有效的省级建设行政主管部门或其授权的组织（机构）颁发的岗位证书。</w:t>
            </w:r>
          </w:p>
        </w:tc>
      </w:tr>
      <w:tr w14:paraId="0AB03708">
        <w:tblPrEx>
          <w:tblCellMar>
            <w:top w:w="0" w:type="dxa"/>
            <w:left w:w="108" w:type="dxa"/>
            <w:bottom w:w="0" w:type="dxa"/>
            <w:right w:w="108" w:type="dxa"/>
          </w:tblCellMar>
        </w:tblPrEx>
        <w:trPr>
          <w:trHeight w:val="941" w:hRule="atLeast"/>
          <w:jc w:val="center"/>
        </w:trPr>
        <w:tc>
          <w:tcPr>
            <w:tcW w:w="1069" w:type="dxa"/>
            <w:tcBorders>
              <w:top w:val="single" w:color="auto" w:sz="4" w:space="0"/>
              <w:left w:val="single" w:color="auto" w:sz="4" w:space="0"/>
              <w:bottom w:val="single" w:color="auto" w:sz="4" w:space="0"/>
              <w:right w:val="single" w:color="auto" w:sz="4" w:space="0"/>
            </w:tcBorders>
            <w:vAlign w:val="center"/>
          </w:tcPr>
          <w:p w14:paraId="47749F53">
            <w:pPr>
              <w:jc w:val="cente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监理员</w:t>
            </w:r>
          </w:p>
        </w:tc>
        <w:tc>
          <w:tcPr>
            <w:tcW w:w="2146" w:type="dxa"/>
            <w:tcBorders>
              <w:top w:val="single" w:color="auto" w:sz="4" w:space="0"/>
              <w:left w:val="single" w:color="auto" w:sz="4" w:space="0"/>
              <w:bottom w:val="single" w:color="auto" w:sz="4" w:space="0"/>
              <w:right w:val="single" w:color="auto" w:sz="4" w:space="0"/>
            </w:tcBorders>
            <w:vAlign w:val="center"/>
          </w:tcPr>
          <w:p w14:paraId="5ACAA90B">
            <w:pPr>
              <w:jc w:val="center"/>
              <w:rPr>
                <w:color w:val="auto"/>
                <w:highlight w:val="none"/>
              </w:rPr>
            </w:pPr>
            <w:r>
              <w:rPr>
                <w:rFonts w:hint="eastAsia"/>
                <w:color w:val="auto"/>
                <w:highlight w:val="none"/>
              </w:rPr>
              <w:t>具备监理员岗位证书（有效期内）</w:t>
            </w:r>
          </w:p>
        </w:tc>
        <w:tc>
          <w:tcPr>
            <w:tcW w:w="840" w:type="dxa"/>
            <w:tcBorders>
              <w:top w:val="single" w:color="auto" w:sz="4" w:space="0"/>
              <w:left w:val="single" w:color="auto" w:sz="4" w:space="0"/>
              <w:bottom w:val="single" w:color="auto" w:sz="4" w:space="0"/>
              <w:right w:val="single" w:color="auto" w:sz="4" w:space="0"/>
            </w:tcBorders>
            <w:vAlign w:val="center"/>
          </w:tcPr>
          <w:p w14:paraId="15CB85CF">
            <w:pPr>
              <w:jc w:val="center"/>
              <w:rPr>
                <w:color w:val="auto"/>
                <w:highlight w:val="none"/>
              </w:rPr>
            </w:pPr>
            <w:r>
              <w:rPr>
                <w:rFonts w:hint="eastAsia"/>
                <w:color w:val="auto"/>
                <w:highlight w:val="none"/>
              </w:rPr>
              <w:t>1</w:t>
            </w:r>
          </w:p>
        </w:tc>
        <w:tc>
          <w:tcPr>
            <w:tcW w:w="5205" w:type="dxa"/>
            <w:tcBorders>
              <w:top w:val="single" w:color="auto" w:sz="4" w:space="0"/>
              <w:left w:val="single" w:color="auto" w:sz="4" w:space="0"/>
              <w:bottom w:val="single" w:color="auto" w:sz="4" w:space="0"/>
              <w:right w:val="single" w:color="auto" w:sz="4" w:space="0"/>
            </w:tcBorders>
            <w:vAlign w:val="center"/>
          </w:tcPr>
          <w:p w14:paraId="2E0D0E3C">
            <w:pPr>
              <w:widowControl/>
              <w:spacing w:line="440" w:lineRule="exact"/>
              <w:rPr>
                <w:rFonts w:hAnsi="宋体" w:cs="宋体"/>
                <w:color w:val="auto"/>
                <w:kern w:val="0"/>
                <w:szCs w:val="24"/>
                <w:highlight w:val="none"/>
              </w:rPr>
            </w:pPr>
            <w:r>
              <w:rPr>
                <w:rFonts w:hint="eastAsia" w:hAnsi="宋体" w:cs="宋体"/>
                <w:color w:val="auto"/>
                <w:kern w:val="0"/>
                <w:szCs w:val="24"/>
                <w:highlight w:val="none"/>
              </w:rPr>
              <w:t>经监理业务培训，持有效的省级建设行政主管部门或其授权的组织（机构）颁发的岗位证书。</w:t>
            </w:r>
          </w:p>
        </w:tc>
      </w:tr>
      <w:tr w14:paraId="60C762DA">
        <w:tblPrEx>
          <w:tblCellMar>
            <w:top w:w="0" w:type="dxa"/>
            <w:left w:w="108" w:type="dxa"/>
            <w:bottom w:w="0" w:type="dxa"/>
            <w:right w:w="108" w:type="dxa"/>
          </w:tblCellMar>
        </w:tblPrEx>
        <w:trPr>
          <w:trHeight w:val="951" w:hRule="atLeast"/>
          <w:jc w:val="center"/>
        </w:trPr>
        <w:tc>
          <w:tcPr>
            <w:tcW w:w="1069" w:type="dxa"/>
            <w:tcBorders>
              <w:top w:val="single" w:color="auto" w:sz="4" w:space="0"/>
              <w:left w:val="single" w:color="auto" w:sz="4" w:space="0"/>
              <w:bottom w:val="single" w:color="auto" w:sz="4" w:space="0"/>
              <w:right w:val="single" w:color="auto" w:sz="4" w:space="0"/>
            </w:tcBorders>
            <w:vAlign w:val="center"/>
          </w:tcPr>
          <w:p w14:paraId="027F05E8">
            <w:pPr>
              <w:jc w:val="cente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安全监理员</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2E59E23E">
            <w:pPr>
              <w:jc w:val="center"/>
              <w:rPr>
                <w:color w:val="auto"/>
                <w:highlight w:val="none"/>
              </w:rPr>
            </w:pPr>
            <w:r>
              <w:rPr>
                <w:rFonts w:hint="eastAsia"/>
                <w:color w:val="auto"/>
                <w:highlight w:val="none"/>
              </w:rPr>
              <w:t>具备监理员岗位证书（有效期内）</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4E1DB2BB">
            <w:pPr>
              <w:jc w:val="center"/>
              <w:rPr>
                <w:color w:val="auto"/>
                <w:highlight w:val="none"/>
              </w:rPr>
            </w:pPr>
            <w:r>
              <w:rPr>
                <w:rFonts w:hint="eastAsia"/>
                <w:color w:val="auto"/>
                <w:highlight w:val="none"/>
              </w:rPr>
              <w:t>1</w:t>
            </w:r>
          </w:p>
        </w:tc>
        <w:tc>
          <w:tcPr>
            <w:tcW w:w="5205" w:type="dxa"/>
            <w:tcBorders>
              <w:top w:val="single" w:color="auto" w:sz="4" w:space="0"/>
              <w:left w:val="single" w:color="auto" w:sz="4" w:space="0"/>
              <w:bottom w:val="single" w:color="auto" w:sz="4" w:space="0"/>
              <w:right w:val="single" w:color="auto" w:sz="4" w:space="0"/>
            </w:tcBorders>
            <w:shd w:val="clear" w:color="auto" w:fill="auto"/>
            <w:vAlign w:val="center"/>
          </w:tcPr>
          <w:p w14:paraId="01E3226A">
            <w:pPr>
              <w:widowControl/>
              <w:spacing w:line="440" w:lineRule="exact"/>
              <w:rPr>
                <w:rFonts w:hAnsi="宋体" w:cs="宋体"/>
                <w:color w:val="auto"/>
                <w:kern w:val="0"/>
                <w:szCs w:val="24"/>
                <w:highlight w:val="none"/>
              </w:rPr>
            </w:pPr>
            <w:r>
              <w:rPr>
                <w:rFonts w:hint="eastAsia" w:hAnsi="宋体" w:cs="宋体"/>
                <w:color w:val="auto"/>
                <w:kern w:val="0"/>
                <w:szCs w:val="24"/>
                <w:highlight w:val="none"/>
              </w:rPr>
              <w:t>经监理业务培训，持有效的省级建设行政主管部门或其授权的组织（机构）颁发的岗位证书。</w:t>
            </w:r>
          </w:p>
        </w:tc>
      </w:tr>
    </w:tbl>
    <w:p w14:paraId="4BA9FD45">
      <w:pPr>
        <w:adjustRightInd w:val="0"/>
        <w:snapToGrid w:val="0"/>
        <w:spacing w:line="440" w:lineRule="exact"/>
        <w:ind w:firstLine="480" w:firstLineChars="200"/>
        <w:rPr>
          <w:rFonts w:hAnsi="宋体" w:cs="宋体"/>
          <w:color w:val="auto"/>
          <w:kern w:val="0"/>
          <w:szCs w:val="24"/>
          <w:highlight w:val="none"/>
        </w:rPr>
      </w:pPr>
      <w:r>
        <w:rPr>
          <w:rFonts w:hint="eastAsia" w:hAnsi="宋体" w:cs="宋体"/>
          <w:color w:val="auto"/>
          <w:kern w:val="0"/>
          <w:szCs w:val="24"/>
          <w:highlight w:val="none"/>
        </w:rPr>
        <w:t>注：1、以上人员一人一岗，不得重复。总监理工程师外，拟委派的监理机构其他人员不作为形式评审、资格评审、响应性评审的审查内容，只作为综合评分的评审依据。</w:t>
      </w:r>
    </w:p>
    <w:p w14:paraId="280A296A">
      <w:pPr>
        <w:adjustRightInd w:val="0"/>
        <w:snapToGrid w:val="0"/>
        <w:spacing w:line="440" w:lineRule="exact"/>
        <w:ind w:firstLine="480" w:firstLineChars="200"/>
        <w:rPr>
          <w:rFonts w:hAnsi="宋体" w:cs="宋体"/>
          <w:snapToGrid w:val="0"/>
          <w:color w:val="auto"/>
          <w:kern w:val="0"/>
          <w:highlight w:val="none"/>
        </w:rPr>
      </w:pPr>
      <w:r>
        <w:rPr>
          <w:rFonts w:hint="eastAsia" w:hAnsi="宋体" w:cs="宋体"/>
          <w:color w:val="auto"/>
          <w:kern w:val="0"/>
          <w:szCs w:val="24"/>
          <w:highlight w:val="none"/>
        </w:rPr>
        <w:t xml:space="preserve">    </w:t>
      </w:r>
      <w:r>
        <w:rPr>
          <w:rFonts w:hint="eastAsia" w:hAnsi="宋体" w:cs="宋体"/>
          <w:snapToGrid w:val="0"/>
          <w:color w:val="auto"/>
          <w:kern w:val="0"/>
          <w:highlight w:val="none"/>
        </w:rPr>
        <w:br w:type="page"/>
      </w:r>
    </w:p>
    <w:p w14:paraId="169AED50">
      <w:pPr>
        <w:wordWrap w:val="0"/>
        <w:adjustRightInd w:val="0"/>
        <w:snapToGrid w:val="0"/>
        <w:spacing w:line="440" w:lineRule="exact"/>
        <w:ind w:firstLine="482" w:firstLineChars="200"/>
        <w:rPr>
          <w:rFonts w:hAnsi="宋体" w:cs="宋体"/>
          <w:b/>
          <w:bCs/>
          <w:snapToGrid w:val="0"/>
          <w:color w:val="auto"/>
          <w:kern w:val="0"/>
          <w:szCs w:val="24"/>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3C4A9CA3">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15.5.2 </w:t>
      </w:r>
      <w:r>
        <w:rPr>
          <w:rFonts w:hint="eastAsia" w:hAnsi="宋体" w:cs="宋体"/>
          <w:snapToGrid w:val="0"/>
          <w:color w:val="auto"/>
          <w:kern w:val="0"/>
          <w:szCs w:val="24"/>
          <w:highlight w:val="none"/>
        </w:rPr>
        <w:t>否决投标说明</w:t>
      </w:r>
    </w:p>
    <w:p w14:paraId="6AA755E1">
      <w:pPr>
        <w:wordWrap w:val="0"/>
        <w:adjustRightInd w:val="0"/>
        <w:snapToGrid w:val="0"/>
        <w:spacing w:line="440" w:lineRule="exact"/>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详细评审阶段否决投标的全部条件，在本章第四节“否决投标条件”第</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480E1D7B">
      <w:pPr>
        <w:wordWrap w:val="0"/>
        <w:adjustRightInd w:val="0"/>
        <w:snapToGrid w:val="0"/>
        <w:spacing w:line="440" w:lineRule="exact"/>
        <w:ind w:firstLine="482" w:firstLineChars="200"/>
        <w:rPr>
          <w:rFonts w:hAnsi="宋体" w:cs="宋体"/>
          <w:b/>
          <w:snapToGrid w:val="0"/>
          <w:color w:val="auto"/>
          <w:kern w:val="0"/>
          <w:szCs w:val="24"/>
          <w:highlight w:val="none"/>
        </w:rPr>
      </w:pPr>
      <w:r>
        <w:rPr>
          <w:rFonts w:hint="eastAsia" w:hAnsi="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1E389802">
      <w:pPr>
        <w:wordWrap w:val="0"/>
        <w:adjustRightInd w:val="0"/>
        <w:snapToGrid w:val="0"/>
        <w:spacing w:line="440" w:lineRule="exact"/>
        <w:ind w:firstLine="482" w:firstLineChars="200"/>
        <w:outlineLvl w:val="2"/>
        <w:rPr>
          <w:rFonts w:hAnsi="宋体" w:cs="宋体"/>
          <w:b/>
          <w:snapToGrid w:val="0"/>
          <w:color w:val="auto"/>
          <w:kern w:val="0"/>
          <w:szCs w:val="24"/>
          <w:highlight w:val="none"/>
        </w:rPr>
      </w:pPr>
      <w:bookmarkStart w:id="64" w:name="_Toc17383"/>
      <w:r>
        <w:rPr>
          <w:rFonts w:hint="eastAsia" w:hAnsi="宋体" w:cs="宋体"/>
          <w:b/>
          <w:snapToGrid w:val="0"/>
          <w:color w:val="auto"/>
          <w:kern w:val="0"/>
          <w:szCs w:val="24"/>
          <w:highlight w:val="none"/>
        </w:rPr>
        <w:t>16．推荐中标候选人</w:t>
      </w:r>
      <w:bookmarkEnd w:id="64"/>
    </w:p>
    <w:p w14:paraId="0874B04D">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16.1</w:t>
      </w:r>
      <w:r>
        <w:rPr>
          <w:rFonts w:hint="eastAsia" w:hAnsi="宋体" w:cs="宋体"/>
          <w:snapToGrid w:val="0"/>
          <w:color w:val="auto"/>
          <w:kern w:val="0"/>
          <w:szCs w:val="24"/>
          <w:highlight w:val="none"/>
        </w:rPr>
        <w:t xml:space="preserve"> 确定排名</w:t>
      </w:r>
    </w:p>
    <w:p w14:paraId="391BD148">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汇总、比较所有投标人的综合得分后，按照综合得分由高到低的次序排列。综合得分相等时，以投标总价低的优先；投标总价也相等的，以监理大纲得分高的优先；如果监理大纲得分也相等，由评标委员会投票确定。</w:t>
      </w:r>
    </w:p>
    <w:p w14:paraId="1D621FAF">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16.2</w:t>
      </w:r>
      <w:r>
        <w:rPr>
          <w:rFonts w:hint="eastAsia" w:hAnsi="宋体" w:cs="宋体"/>
          <w:snapToGrid w:val="0"/>
          <w:color w:val="auto"/>
          <w:kern w:val="0"/>
          <w:szCs w:val="24"/>
          <w:highlight w:val="none"/>
        </w:rPr>
        <w:t xml:space="preserve"> 推荐方法</w:t>
      </w:r>
    </w:p>
    <w:p w14:paraId="0E09F8BE">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（1）有效投标人数量达到或超过3个的，评标委员会将前三名投标人作为中标候选人向招标人推荐，并标明排列顺序。</w:t>
      </w:r>
    </w:p>
    <w:p w14:paraId="471E085C">
      <w:pPr>
        <w:wordWrap w:val="0"/>
        <w:adjustRightInd w:val="0"/>
        <w:snapToGrid w:val="0"/>
        <w:spacing w:line="440" w:lineRule="exact"/>
        <w:ind w:firstLine="480" w:firstLineChars="200"/>
        <w:rPr>
          <w:rFonts w:hAnsi="宋体" w:cs="宋体"/>
          <w:color w:val="auto"/>
          <w:szCs w:val="24"/>
          <w:highlight w:val="none"/>
        </w:rPr>
      </w:pPr>
      <w:r>
        <w:rPr>
          <w:rFonts w:hint="eastAsia" w:hAnsi="宋体" w:cs="宋体"/>
          <w:snapToGrid w:val="0"/>
          <w:color w:val="auto"/>
          <w:kern w:val="0"/>
          <w:szCs w:val="24"/>
          <w:highlight w:val="none"/>
        </w:rPr>
        <w:t>（2）有效投标人数量不足3个的，评标委员会将所有有效投标人均作为中标候选人向招标人推荐，并标明排列顺序。若评标委员会认为有效投标不足3个使得投标明显缺乏竞争的，可以在评标报告中建议招标人重新招标。</w:t>
      </w:r>
    </w:p>
    <w:p w14:paraId="44A8AB45">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16.3</w:t>
      </w:r>
      <w:r>
        <w:rPr>
          <w:rFonts w:hint="eastAsia" w:hAnsi="宋体" w:cs="宋体"/>
          <w:snapToGrid w:val="0"/>
          <w:color w:val="auto"/>
          <w:kern w:val="0"/>
          <w:szCs w:val="24"/>
          <w:highlight w:val="none"/>
        </w:rPr>
        <w:t xml:space="preserve"> 评标委员会完成评标后，应向招标人提交由全体评标委员会成员签字的评标报告和中标候选人名单。</w:t>
      </w:r>
    </w:p>
    <w:p w14:paraId="4D214F5D">
      <w:pPr>
        <w:wordWrap w:val="0"/>
        <w:adjustRightInd w:val="0"/>
        <w:snapToGrid w:val="0"/>
        <w:spacing w:line="440" w:lineRule="exact"/>
        <w:ind w:firstLine="482" w:firstLineChars="200"/>
        <w:outlineLvl w:val="2"/>
        <w:rPr>
          <w:rFonts w:hAnsi="宋体" w:cs="宋体"/>
          <w:b/>
          <w:snapToGrid w:val="0"/>
          <w:color w:val="auto"/>
          <w:kern w:val="0"/>
          <w:szCs w:val="24"/>
          <w:highlight w:val="none"/>
        </w:rPr>
      </w:pPr>
      <w:bookmarkStart w:id="65" w:name="_Toc3832"/>
      <w:r>
        <w:rPr>
          <w:rFonts w:hint="eastAsia" w:hAnsi="宋体" w:cs="宋体"/>
          <w:b/>
          <w:snapToGrid w:val="0"/>
          <w:color w:val="auto"/>
          <w:kern w:val="0"/>
          <w:szCs w:val="24"/>
          <w:highlight w:val="none"/>
        </w:rPr>
        <w:t>17．中标候选人公示</w:t>
      </w:r>
      <w:bookmarkEnd w:id="65"/>
    </w:p>
    <w:p w14:paraId="70C29BB5">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17.1</w:t>
      </w:r>
      <w:r>
        <w:rPr>
          <w:rFonts w:hint="eastAsia" w:hAnsi="宋体" w:cs="宋体"/>
          <w:bCs/>
          <w:snapToGrid w:val="0"/>
          <w:color w:val="auto"/>
          <w:kern w:val="0"/>
          <w:szCs w:val="24"/>
          <w:highlight w:val="none"/>
        </w:rPr>
        <w:t xml:space="preserve"> </w:t>
      </w:r>
      <w:r>
        <w:rPr>
          <w:rFonts w:hint="eastAsia" w:hAnsi="宋体" w:cs="宋体"/>
          <w:snapToGrid w:val="0"/>
          <w:color w:val="auto"/>
          <w:kern w:val="0"/>
          <w:szCs w:val="24"/>
          <w:highlight w:val="none"/>
        </w:rPr>
        <w:t>招标人自收到评标委员会提交的书面评标报告和中标候选人名单之日起3日内，将评标结果（即中标候选人名单）、中标候选人投标文件（指商务标书分册）、评标过程（评标专家姓名用代码标记）一并在广东省招标投标监管网（https://www.gdzwfw.gov.cn/ztbjg-portal/#/index）及全国公共资源交易平台（广东省·韶关市）（https://ygp.gdzwfw.gov.cn/ggzy-portal/#/440200/index）进行公示，公示期不得少于3天。</w:t>
      </w:r>
    </w:p>
    <w:p w14:paraId="757D105E">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17.2</w:t>
      </w:r>
      <w:r>
        <w:rPr>
          <w:rFonts w:hint="eastAsia" w:hAnsi="宋体" w:cs="宋体"/>
          <w:snapToGrid w:val="0"/>
          <w:color w:val="auto"/>
          <w:kern w:val="0"/>
          <w:szCs w:val="24"/>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9EE128C">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17.3</w:t>
      </w:r>
      <w:r>
        <w:rPr>
          <w:rFonts w:hint="eastAsia" w:hAnsi="宋体" w:cs="宋体"/>
          <w:snapToGrid w:val="0"/>
          <w:color w:val="auto"/>
          <w:kern w:val="0"/>
          <w:szCs w:val="24"/>
          <w:highlight w:val="none"/>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退还给中标候选人以外的投标人。</w:t>
      </w:r>
    </w:p>
    <w:p w14:paraId="1F1170F2">
      <w:pPr>
        <w:wordWrap w:val="0"/>
        <w:adjustRightInd w:val="0"/>
        <w:snapToGrid w:val="0"/>
        <w:spacing w:line="440" w:lineRule="exact"/>
        <w:outlineLvl w:val="1"/>
        <w:rPr>
          <w:rFonts w:hAnsi="宋体" w:cs="宋体"/>
          <w:snapToGrid w:val="0"/>
          <w:color w:val="auto"/>
          <w:kern w:val="0"/>
          <w:highlight w:val="none"/>
        </w:rPr>
      </w:pPr>
      <w:bookmarkStart w:id="66" w:name="_Toc17270"/>
      <w:r>
        <w:rPr>
          <w:rFonts w:hint="eastAsia" w:hAnsi="宋体" w:cs="宋体"/>
          <w:b/>
          <w:bCs/>
          <w:snapToGrid w:val="0"/>
          <w:color w:val="auto"/>
          <w:kern w:val="0"/>
          <w:highlight w:val="none"/>
        </w:rPr>
        <w:t>第四节 否决投标条件</w:t>
      </w:r>
      <w:bookmarkEnd w:id="66"/>
    </w:p>
    <w:p w14:paraId="116257FB">
      <w:pPr>
        <w:wordWrap w:val="0"/>
        <w:adjustRightInd w:val="0"/>
        <w:snapToGrid w:val="0"/>
        <w:spacing w:line="440" w:lineRule="exact"/>
        <w:rPr>
          <w:rFonts w:hAnsi="宋体" w:cs="宋体"/>
          <w:snapToGrid w:val="0"/>
          <w:color w:val="auto"/>
          <w:kern w:val="0"/>
          <w:highlight w:val="none"/>
        </w:rPr>
      </w:pPr>
      <w:r>
        <w:rPr>
          <w:rFonts w:hint="eastAsia" w:hAnsi="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auto"/>
          <w:kern w:val="0"/>
          <w:highlight w:val="none"/>
        </w:rPr>
        <w:t>投标人未有列入本节情形的，评标时一律不得否决其投标。</w:t>
      </w:r>
      <w:r>
        <w:rPr>
          <w:rFonts w:hint="eastAsia" w:hAnsi="宋体" w:cs="宋体"/>
          <w:snapToGrid w:val="0"/>
          <w:color w:val="auto"/>
          <w:kern w:val="0"/>
          <w:highlight w:val="none"/>
        </w:rPr>
        <w:t>本节所称“规定”均指招标文件的规定。</w:t>
      </w:r>
    </w:p>
    <w:p w14:paraId="1DE22C70">
      <w:pPr>
        <w:wordWrap w:val="0"/>
        <w:adjustRightInd w:val="0"/>
        <w:snapToGrid w:val="0"/>
        <w:spacing w:line="440" w:lineRule="exact"/>
        <w:ind w:firstLine="480"/>
        <w:outlineLvl w:val="2"/>
        <w:rPr>
          <w:rFonts w:hAnsi="宋体" w:cs="宋体"/>
          <w:snapToGrid w:val="0"/>
          <w:color w:val="auto"/>
          <w:kern w:val="0"/>
          <w:highlight w:val="none"/>
        </w:rPr>
      </w:pPr>
      <w:bookmarkStart w:id="67" w:name="_Toc18839"/>
      <w:r>
        <w:rPr>
          <w:rFonts w:hint="eastAsia" w:hAnsi="宋体" w:cs="宋体"/>
          <w:b/>
          <w:bCs/>
          <w:snapToGrid w:val="0"/>
          <w:color w:val="auto"/>
          <w:kern w:val="0"/>
          <w:highlight w:val="none"/>
        </w:rPr>
        <w:t>1．资格评审环节</w:t>
      </w:r>
      <w:bookmarkEnd w:id="67"/>
    </w:p>
    <w:p w14:paraId="13794DAB">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投标人有下列情形之一的，评标委员会应否决其投标。被否决的投标，不进入形式评审环节。</w:t>
      </w:r>
    </w:p>
    <w:p w14:paraId="5AFA717A">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（1）有本章第三节第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条“禁止投标条款”规定的任何一种情形；</w:t>
      </w:r>
    </w:p>
    <w:p w14:paraId="7827D646">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（2）投标人资质不符合</w:t>
      </w:r>
      <w:r>
        <w:rPr>
          <w:rFonts w:hint="eastAsia" w:hAnsi="宋体" w:cs="宋体"/>
          <w:snapToGrid w:val="0"/>
          <w:color w:val="auto"/>
          <w:kern w:val="0"/>
          <w:szCs w:val="18"/>
          <w:highlight w:val="none"/>
        </w:rPr>
        <w:t>规定的；</w:t>
      </w:r>
    </w:p>
    <w:p w14:paraId="2D116EBA">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259B65CF">
      <w:pPr>
        <w:wordWrap w:val="0"/>
        <w:adjustRightInd w:val="0"/>
        <w:snapToGrid w:val="0"/>
        <w:spacing w:line="440" w:lineRule="exact"/>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5D7D44DC">
      <w:pPr>
        <w:wordWrap w:val="0"/>
        <w:adjustRightInd w:val="0"/>
        <w:snapToGrid w:val="0"/>
        <w:spacing w:line="440" w:lineRule="exact"/>
        <w:ind w:firstLine="480"/>
        <w:rPr>
          <w:rFonts w:hAnsi="宋体" w:cs="宋体"/>
          <w:b/>
          <w:bCs/>
          <w:snapToGrid w:val="0"/>
          <w:color w:val="auto"/>
          <w:kern w:val="0"/>
          <w:szCs w:val="22"/>
          <w:highlight w:val="none"/>
        </w:rPr>
      </w:pPr>
      <w:r>
        <w:rPr>
          <w:rFonts w:hint="eastAsia" w:hAnsi="宋体" w:cs="宋体"/>
          <w:b/>
          <w:bCs/>
          <w:snapToGrid w:val="0"/>
          <w:color w:val="auto"/>
          <w:kern w:val="0"/>
          <w:highlight w:val="none"/>
        </w:rPr>
        <w:t>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r>
        <w:rPr>
          <w:rFonts w:hint="eastAsia" w:hAnsi="宋体" w:cs="宋体"/>
          <w:b/>
          <w:bCs/>
          <w:snapToGrid w:val="0"/>
          <w:color w:val="auto"/>
          <w:kern w:val="0"/>
          <w:szCs w:val="22"/>
          <w:highlight w:val="none"/>
        </w:rPr>
        <w:t xml:space="preserve">  </w:t>
      </w:r>
    </w:p>
    <w:p w14:paraId="37A64AF9">
      <w:pPr>
        <w:wordWrap w:val="0"/>
        <w:adjustRightInd w:val="0"/>
        <w:snapToGrid w:val="0"/>
        <w:spacing w:line="440" w:lineRule="exact"/>
        <w:rPr>
          <w:rFonts w:hAnsi="宋体" w:cs="宋体"/>
          <w:snapToGrid w:val="0"/>
          <w:color w:val="auto"/>
          <w:kern w:val="0"/>
          <w:highlight w:val="none"/>
        </w:rPr>
      </w:pPr>
      <w:r>
        <w:rPr>
          <w:rFonts w:hint="eastAsia" w:hAnsi="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》未经任职项目建设单位盖章同意、又未提交任职项目建设单位另行出具的书面同意意见的；</w:t>
      </w:r>
    </w:p>
    <w:p w14:paraId="4F97982C">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（5）拟派总监理工程师的注册证书不是住房和城乡建设主管部门颁发的，或注册单位与投标人不一致的，或不在有效期内的；</w:t>
      </w:r>
    </w:p>
    <w:p w14:paraId="5F0233B3">
      <w:pPr>
        <w:wordWrap w:val="0"/>
        <w:adjustRightInd w:val="0"/>
        <w:snapToGrid w:val="0"/>
        <w:spacing w:line="440" w:lineRule="exact"/>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注：投标人已经工商变更，但其员工执业资格注册证书的注册单位名称未完成变更的，不得否决其投标。</w:t>
      </w:r>
    </w:p>
    <w:p w14:paraId="4ACDD02E">
      <w:pPr>
        <w:wordWrap w:val="0"/>
        <w:adjustRightInd w:val="0"/>
        <w:snapToGrid w:val="0"/>
        <w:spacing w:line="400" w:lineRule="exact"/>
        <w:ind w:firstLine="480"/>
        <w:rPr>
          <w:rFonts w:hAnsi="宋体" w:cs="宋体"/>
          <w:snapToGrid w:val="0"/>
          <w:color w:val="auto"/>
          <w:kern w:val="0"/>
          <w:highlight w:val="none"/>
        </w:rPr>
      </w:pPr>
      <w:r>
        <w:rPr>
          <w:rFonts w:hint="eastAsia" w:hAnsi="宋体" w:cs="宋体"/>
          <w:snapToGrid w:val="0"/>
          <w:color w:val="auto"/>
          <w:kern w:val="0"/>
          <w:highlight w:val="none"/>
        </w:rPr>
        <w:t>（6）招标文件规定不接受联合体投标，但以联合体投标的；</w:t>
      </w:r>
    </w:p>
    <w:p w14:paraId="1A9D08A7">
      <w:pPr>
        <w:wordWrap w:val="0"/>
        <w:adjustRightInd w:val="0"/>
        <w:snapToGrid w:val="0"/>
        <w:spacing w:line="440" w:lineRule="exact"/>
        <w:ind w:firstLine="480"/>
        <w:rPr>
          <w:rFonts w:hAnsi="宋体" w:cs="宋体"/>
          <w:snapToGrid w:val="0"/>
          <w:color w:val="auto"/>
          <w:kern w:val="0"/>
          <w:highlight w:val="none"/>
        </w:rPr>
      </w:pPr>
      <w:r>
        <w:rPr>
          <w:rFonts w:hint="eastAsia" w:hAnsi="宋体" w:cs="宋体"/>
          <w:snapToGrid w:val="0"/>
          <w:color w:val="auto"/>
          <w:kern w:val="0"/>
          <w:highlight w:val="none"/>
        </w:rPr>
        <w:t>（7）投标人为外省企业，但未提供“进粤企业和人员诚信信息登记平台”企业和拟派人员信息情况打印页或网页截图的。</w:t>
      </w:r>
    </w:p>
    <w:p w14:paraId="5F68E4BC">
      <w:pPr>
        <w:wordWrap w:val="0"/>
        <w:adjustRightInd w:val="0"/>
        <w:snapToGrid w:val="0"/>
        <w:spacing w:line="460" w:lineRule="exact"/>
        <w:ind w:firstLine="480"/>
        <w:outlineLvl w:val="2"/>
        <w:rPr>
          <w:rFonts w:hAnsi="宋体" w:cs="宋体"/>
          <w:snapToGrid w:val="0"/>
          <w:color w:val="auto"/>
          <w:kern w:val="0"/>
          <w:highlight w:val="none"/>
        </w:rPr>
      </w:pPr>
      <w:bookmarkStart w:id="68" w:name="_Toc24146"/>
      <w:r>
        <w:rPr>
          <w:rFonts w:hint="eastAsia" w:hAnsi="宋体" w:cs="宋体"/>
          <w:b/>
          <w:bCs/>
          <w:snapToGrid w:val="0"/>
          <w:color w:val="auto"/>
          <w:kern w:val="0"/>
          <w:highlight w:val="none"/>
        </w:rPr>
        <w:t>2．形式评审环节</w:t>
      </w:r>
      <w:bookmarkEnd w:id="68"/>
    </w:p>
    <w:p w14:paraId="0A27CAE3">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投标人有下列情形之一的，评标委员会应否决其投标。被否决的投标，不进入响应性评审环节。</w:t>
      </w:r>
    </w:p>
    <w:p w14:paraId="2FC81629">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（8）投标文件各分册未按招标文件规定加盖电子印章的；</w:t>
      </w:r>
    </w:p>
    <w:p w14:paraId="62F39D5B">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（9）本章第三节第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”的组成内容（包括该组成内容的所附资料）中，任何一项有缺漏的；</w:t>
      </w:r>
    </w:p>
    <w:p w14:paraId="63CE63D0">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（10）关键字迹模糊、无法辨认，</w:t>
      </w:r>
      <w:r>
        <w:rPr>
          <w:rFonts w:hint="eastAsia" w:hAnsi="宋体" w:cs="宋体"/>
          <w:b/>
          <w:bCs/>
          <w:snapToGrid w:val="0"/>
          <w:color w:val="auto"/>
          <w:kern w:val="0"/>
          <w:highlight w:val="none"/>
        </w:rPr>
        <w:t>且该种过错将导致评标委员会无法作出投标文件是否响应招标文件实质性要求的</w:t>
      </w:r>
      <w:r>
        <w:rPr>
          <w:rFonts w:hint="eastAsia" w:hAnsi="宋体" w:cs="宋体"/>
          <w:snapToGrid w:val="0"/>
          <w:color w:val="auto"/>
          <w:kern w:val="0"/>
          <w:highlight w:val="none"/>
        </w:rPr>
        <w:t>；出现手工涂改、行间插字或删除，但未加盖单位章或由投标人的法定代表人或其委托代理人签字确认的；</w:t>
      </w:r>
    </w:p>
    <w:p w14:paraId="034867DA">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（11）投标文件未按规定签字、盖章的；</w:t>
      </w:r>
    </w:p>
    <w:p w14:paraId="107D9DB3">
      <w:pPr>
        <w:wordWrap w:val="0"/>
        <w:adjustRightInd w:val="0"/>
        <w:snapToGrid w:val="0"/>
        <w:spacing w:line="460" w:lineRule="exact"/>
        <w:ind w:firstLine="480"/>
        <w:outlineLvl w:val="2"/>
        <w:rPr>
          <w:rFonts w:hAnsi="宋体" w:cs="宋体"/>
          <w:b/>
          <w:bCs/>
          <w:snapToGrid w:val="0"/>
          <w:color w:val="auto"/>
          <w:kern w:val="0"/>
          <w:highlight w:val="none"/>
        </w:rPr>
      </w:pPr>
      <w:bookmarkStart w:id="69" w:name="_Toc13563"/>
      <w:r>
        <w:rPr>
          <w:rFonts w:hint="eastAsia" w:hAnsi="宋体" w:cs="宋体"/>
          <w:b/>
          <w:bCs/>
          <w:snapToGrid w:val="0"/>
          <w:color w:val="auto"/>
          <w:kern w:val="0"/>
          <w:highlight w:val="none"/>
        </w:rPr>
        <w:t>3．响应性评审环节</w:t>
      </w:r>
      <w:bookmarkEnd w:id="69"/>
    </w:p>
    <w:p w14:paraId="1F808FBF">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投标人有下列情形之一的，评标委员会应否决其投标。被否决的投标，不进入详细评审阶段。</w:t>
      </w:r>
    </w:p>
    <w:p w14:paraId="46E569E9">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（12）投标有效期、服务期限不符合规定的；擅自修改、遗漏《投标函》《各项承诺一览表》实质性内容的；</w:t>
      </w:r>
    </w:p>
    <w:p w14:paraId="6FEDA001">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（13）出现两个或两个以上投标总价的（同一个投标总价大、小写不一致的除外）；投标总价超出最高投标限价的；</w:t>
      </w:r>
    </w:p>
    <w:p w14:paraId="691E2F6D">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auto"/>
          <w:kern w:val="0"/>
          <w:highlight w:val="none"/>
        </w:rPr>
        <w:t>且该种过错将导致“三控制”目标无法实现的</w:t>
      </w:r>
      <w:r>
        <w:rPr>
          <w:rFonts w:hint="eastAsia" w:hAnsi="宋体" w:cs="宋体"/>
          <w:snapToGrid w:val="0"/>
          <w:color w:val="auto"/>
          <w:kern w:val="0"/>
          <w:highlight w:val="none"/>
        </w:rPr>
        <w:t>。</w:t>
      </w:r>
    </w:p>
    <w:p w14:paraId="6FA19D72">
      <w:pPr>
        <w:wordWrap w:val="0"/>
        <w:adjustRightInd w:val="0"/>
        <w:snapToGrid w:val="0"/>
        <w:spacing w:line="460" w:lineRule="exact"/>
        <w:ind w:firstLine="480"/>
        <w:outlineLvl w:val="2"/>
        <w:rPr>
          <w:rFonts w:hAnsi="宋体" w:cs="宋体"/>
          <w:b/>
          <w:bCs/>
          <w:snapToGrid w:val="0"/>
          <w:color w:val="auto"/>
          <w:kern w:val="0"/>
          <w:highlight w:val="none"/>
        </w:rPr>
      </w:pPr>
      <w:bookmarkStart w:id="70" w:name="_Toc5091"/>
      <w:r>
        <w:rPr>
          <w:rFonts w:hint="eastAsia" w:hAnsi="宋体" w:cs="宋体"/>
          <w:b/>
          <w:bCs/>
          <w:snapToGrid w:val="0"/>
          <w:color w:val="auto"/>
          <w:kern w:val="0"/>
          <w:highlight w:val="none"/>
        </w:rPr>
        <w:t>4．其他</w:t>
      </w:r>
      <w:bookmarkEnd w:id="70"/>
    </w:p>
    <w:p w14:paraId="7158557E">
      <w:pPr>
        <w:wordWrap w:val="0"/>
        <w:adjustRightInd w:val="0"/>
        <w:snapToGrid w:val="0"/>
        <w:spacing w:line="460" w:lineRule="exact"/>
        <w:ind w:firstLine="480"/>
        <w:rPr>
          <w:rFonts w:hAnsi="宋体" w:cs="宋体"/>
          <w:snapToGrid w:val="0"/>
          <w:color w:val="auto"/>
          <w:kern w:val="0"/>
          <w:szCs w:val="22"/>
          <w:highlight w:val="none"/>
        </w:rPr>
      </w:pPr>
      <w:r>
        <w:rPr>
          <w:rFonts w:hint="eastAsia" w:hAnsi="宋体" w:cs="宋体"/>
          <w:snapToGrid w:val="0"/>
          <w:color w:val="auto"/>
          <w:kern w:val="0"/>
          <w:highlight w:val="none"/>
        </w:rPr>
        <w:t>在任何评标环节（或阶段），投标人有下列情形之一的，评标委员会应否决其投标。</w:t>
      </w:r>
      <w:r>
        <w:rPr>
          <w:rFonts w:hint="eastAsia" w:hAnsi="宋体" w:cs="宋体"/>
          <w:snapToGrid w:val="0"/>
          <w:color w:val="auto"/>
          <w:kern w:val="0"/>
          <w:szCs w:val="22"/>
          <w:highlight w:val="none"/>
        </w:rPr>
        <w:t>被否决的投标，不进入下一环节（或阶段）。</w:t>
      </w:r>
    </w:p>
    <w:p w14:paraId="7CC9848C">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（15）不按评标委员会要求澄清、说明或补正的；</w:t>
      </w:r>
    </w:p>
    <w:p w14:paraId="128EC65B">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（16）有下列情形之一，被评标委员会认定属于串通投标的：</w:t>
      </w:r>
    </w:p>
    <w:p w14:paraId="42EE6DCD">
      <w:pPr>
        <w:wordWrap w:val="0"/>
        <w:adjustRightInd w:val="0"/>
        <w:snapToGrid w:val="0"/>
        <w:spacing w:line="460" w:lineRule="exact"/>
        <w:rPr>
          <w:rFonts w:hAnsi="宋体" w:cs="宋体"/>
          <w:snapToGrid w:val="0"/>
          <w:color w:val="auto"/>
          <w:kern w:val="0"/>
          <w:highlight w:val="none"/>
        </w:rPr>
      </w:pPr>
      <w:r>
        <w:rPr>
          <w:rFonts w:hint="eastAsia" w:hAnsi="宋体" w:cs="宋体"/>
          <w:snapToGrid w:val="0"/>
          <w:color w:val="auto"/>
          <w:kern w:val="0"/>
          <w:highlight w:val="none"/>
        </w:rPr>
        <w:t xml:space="preserve">    ①不同投标人的投标文件两处以上（含两处）错、漏一致；</w:t>
      </w:r>
    </w:p>
    <w:p w14:paraId="745C4EBB">
      <w:pPr>
        <w:wordWrap w:val="0"/>
        <w:adjustRightInd w:val="0"/>
        <w:snapToGrid w:val="0"/>
        <w:spacing w:line="460" w:lineRule="exact"/>
        <w:rPr>
          <w:rFonts w:hAnsi="宋体" w:cs="宋体"/>
          <w:snapToGrid w:val="0"/>
          <w:color w:val="auto"/>
          <w:kern w:val="0"/>
          <w:highlight w:val="none"/>
        </w:rPr>
      </w:pPr>
      <w:r>
        <w:rPr>
          <w:rFonts w:hint="eastAsia" w:hAnsi="宋体" w:cs="宋体"/>
          <w:snapToGrid w:val="0"/>
          <w:color w:val="auto"/>
          <w:kern w:val="0"/>
          <w:highlight w:val="none"/>
        </w:rPr>
        <w:t xml:space="preserve">    ②不同投标人的投标各项报价存在异常一致或者呈规律性变化；</w:t>
      </w:r>
    </w:p>
    <w:p w14:paraId="0F7DA667">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③不同投标人的投标文件由同一单位或者同一个人编制；</w:t>
      </w:r>
    </w:p>
    <w:p w14:paraId="51DAE438">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④不同投标人的投标文件中投标资料（包括电子资料）相互混装或项目班子成员出现同一人；</w:t>
      </w:r>
    </w:p>
    <w:p w14:paraId="07EF27EE">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⑤不同投标人的投标文件由同一电脑编制或同一台附属设备打印；</w:t>
      </w:r>
    </w:p>
    <w:p w14:paraId="7A1E3268">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⑥不同投标人的投标保证由同一企业或同一账户资金缴纳；</w:t>
      </w:r>
    </w:p>
    <w:p w14:paraId="6BD8BB7C">
      <w:pPr>
        <w:wordWrap w:val="0"/>
        <w:adjustRightInd w:val="0"/>
        <w:snapToGrid w:val="0"/>
        <w:spacing w:line="460" w:lineRule="exact"/>
        <w:ind w:firstLine="480"/>
        <w:rPr>
          <w:rFonts w:hAnsi="宋体" w:cs="宋体"/>
          <w:snapToGrid w:val="0"/>
          <w:color w:val="auto"/>
          <w:kern w:val="0"/>
          <w:highlight w:val="none"/>
        </w:rPr>
      </w:pPr>
      <w:r>
        <w:rPr>
          <w:rFonts w:hint="eastAsia" w:hAnsi="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bookmarkEnd w:id="60"/>
    <w:p w14:paraId="751FB1F9">
      <w:pPr>
        <w:wordWrap w:val="0"/>
        <w:adjustRightInd w:val="0"/>
        <w:snapToGrid w:val="0"/>
        <w:spacing w:line="460" w:lineRule="exact"/>
        <w:ind w:firstLine="480"/>
        <w:rPr>
          <w:rFonts w:hAnsi="宋体" w:cs="宋体"/>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4C650C92">
      <w:pPr>
        <w:pStyle w:val="2"/>
        <w:wordWrap w:val="0"/>
        <w:autoSpaceDE/>
        <w:autoSpaceDN/>
        <w:snapToGrid w:val="0"/>
        <w:spacing w:line="440" w:lineRule="exact"/>
        <w:jc w:val="center"/>
        <w:rPr>
          <w:rFonts w:hAnsi="宋体" w:cs="宋体"/>
          <w:b/>
          <w:snapToGrid w:val="0"/>
          <w:color w:val="auto"/>
          <w:sz w:val="32"/>
          <w:szCs w:val="22"/>
          <w:highlight w:val="none"/>
        </w:rPr>
      </w:pPr>
      <w:bookmarkStart w:id="71" w:name="_Hlt69669771"/>
      <w:bookmarkEnd w:id="71"/>
      <w:bookmarkStart w:id="72" w:name="_Hlt70150994"/>
      <w:bookmarkEnd w:id="72"/>
      <w:bookmarkStart w:id="73" w:name="_Hlt87952408"/>
      <w:bookmarkEnd w:id="73"/>
      <w:bookmarkStart w:id="74" w:name="_Hlt112206772"/>
      <w:bookmarkEnd w:id="74"/>
      <w:bookmarkStart w:id="75" w:name="_Toc10802"/>
      <w:bookmarkStart w:id="76" w:name="_Hlt69698741"/>
      <w:bookmarkStart w:id="77" w:name="_Hlt69698769"/>
      <w:bookmarkStart w:id="78" w:name="_Hlt69698722"/>
      <w:r>
        <w:rPr>
          <w:rFonts w:hint="eastAsia" w:hAnsi="宋体" w:cs="宋体"/>
          <w:b/>
          <w:snapToGrid w:val="0"/>
          <w:color w:val="auto"/>
          <w:sz w:val="32"/>
          <w:szCs w:val="22"/>
          <w:highlight w:val="none"/>
        </w:rPr>
        <w:t>第</w:t>
      </w:r>
      <w:bookmarkStart w:id="79" w:name="_Hlt69669171"/>
      <w:bookmarkEnd w:id="79"/>
      <w:r>
        <w:rPr>
          <w:rFonts w:hint="eastAsia" w:hAnsi="宋体" w:cs="宋体"/>
          <w:b/>
          <w:snapToGrid w:val="0"/>
          <w:color w:val="auto"/>
          <w:sz w:val="32"/>
          <w:szCs w:val="22"/>
          <w:highlight w:val="none"/>
        </w:rPr>
        <w:t>二章</w:t>
      </w:r>
      <w:bookmarkStart w:id="80" w:name="_Hlt87793839"/>
      <w:bookmarkEnd w:id="80"/>
      <w:r>
        <w:rPr>
          <w:rFonts w:hint="eastAsia" w:hAnsi="宋体" w:cs="宋体"/>
          <w:b/>
          <w:snapToGrid w:val="0"/>
          <w:color w:val="auto"/>
          <w:sz w:val="32"/>
          <w:szCs w:val="22"/>
          <w:highlight w:val="none"/>
        </w:rPr>
        <w:t xml:space="preserve"> 中标人须知</w:t>
      </w:r>
      <w:bookmarkEnd w:id="75"/>
    </w:p>
    <w:bookmarkEnd w:id="76"/>
    <w:bookmarkEnd w:id="77"/>
    <w:bookmarkEnd w:id="78"/>
    <w:p w14:paraId="679E75A4">
      <w:pPr>
        <w:pStyle w:val="2"/>
        <w:wordWrap w:val="0"/>
        <w:autoSpaceDE/>
        <w:autoSpaceDN/>
        <w:snapToGrid w:val="0"/>
        <w:spacing w:line="440" w:lineRule="exact"/>
        <w:jc w:val="center"/>
        <w:rPr>
          <w:rFonts w:hAnsi="宋体" w:cs="宋体"/>
          <w:b/>
          <w:snapToGrid w:val="0"/>
          <w:color w:val="auto"/>
          <w:sz w:val="32"/>
          <w:szCs w:val="22"/>
          <w:highlight w:val="none"/>
        </w:rPr>
      </w:pPr>
    </w:p>
    <w:p w14:paraId="5D6BD709">
      <w:pPr>
        <w:wordWrap w:val="0"/>
        <w:adjustRightInd w:val="0"/>
        <w:snapToGrid w:val="0"/>
        <w:spacing w:line="440" w:lineRule="exact"/>
        <w:ind w:firstLine="562"/>
        <w:outlineLvl w:val="1"/>
        <w:rPr>
          <w:rFonts w:hAnsi="宋体" w:cs="宋体"/>
          <w:snapToGrid w:val="0"/>
          <w:color w:val="auto"/>
          <w:kern w:val="0"/>
          <w:szCs w:val="24"/>
          <w:highlight w:val="none"/>
        </w:rPr>
      </w:pPr>
      <w:bookmarkStart w:id="81" w:name="_Toc18336"/>
      <w:bookmarkStart w:id="82" w:name="_Toc30174"/>
      <w:bookmarkStart w:id="83" w:name="_Toc15170"/>
      <w:bookmarkStart w:id="84" w:name="_Toc31521"/>
      <w:r>
        <w:rPr>
          <w:rFonts w:hint="eastAsia" w:hAnsi="宋体" w:cs="宋体"/>
          <w:b/>
          <w:snapToGrid w:val="0"/>
          <w:color w:val="auto"/>
          <w:kern w:val="0"/>
          <w:szCs w:val="24"/>
          <w:highlight w:val="none"/>
        </w:rPr>
        <w:t>1．中标通知书</w:t>
      </w:r>
      <w:bookmarkEnd w:id="81"/>
      <w:bookmarkEnd w:id="82"/>
      <w:bookmarkEnd w:id="83"/>
      <w:bookmarkEnd w:id="84"/>
    </w:p>
    <w:p w14:paraId="4A8F2F0F">
      <w:pPr>
        <w:wordWrap w:val="0"/>
        <w:adjustRightInd w:val="0"/>
        <w:snapToGrid w:val="0"/>
        <w:spacing w:line="440" w:lineRule="exact"/>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37A4DCC5">
      <w:pPr>
        <w:wordWrap w:val="0"/>
        <w:adjustRightInd w:val="0"/>
        <w:snapToGrid w:val="0"/>
        <w:spacing w:line="440" w:lineRule="exact"/>
        <w:ind w:firstLine="562"/>
        <w:outlineLvl w:val="1"/>
        <w:rPr>
          <w:rFonts w:hAnsi="宋体" w:cs="宋体"/>
          <w:snapToGrid w:val="0"/>
          <w:color w:val="auto"/>
          <w:kern w:val="0"/>
          <w:szCs w:val="24"/>
          <w:highlight w:val="none"/>
        </w:rPr>
      </w:pPr>
      <w:bookmarkStart w:id="85" w:name="_Toc1519"/>
      <w:bookmarkStart w:id="86" w:name="_Toc23133"/>
      <w:bookmarkStart w:id="87" w:name="_Toc28601"/>
      <w:bookmarkStart w:id="88" w:name="_Toc30560"/>
      <w:r>
        <w:rPr>
          <w:rFonts w:hint="eastAsia" w:hAnsi="宋体" w:cs="宋体"/>
          <w:b/>
          <w:bCs/>
          <w:snapToGrid w:val="0"/>
          <w:color w:val="auto"/>
          <w:kern w:val="0"/>
          <w:szCs w:val="24"/>
          <w:highlight w:val="none"/>
        </w:rPr>
        <w:t>2．中标结果公示</w:t>
      </w:r>
      <w:bookmarkEnd w:id="85"/>
      <w:bookmarkEnd w:id="86"/>
      <w:bookmarkEnd w:id="87"/>
      <w:bookmarkEnd w:id="88"/>
    </w:p>
    <w:p w14:paraId="77A95344">
      <w:pPr>
        <w:wordWrap w:val="0"/>
        <w:adjustRightInd w:val="0"/>
        <w:snapToGrid w:val="0"/>
        <w:spacing w:line="440" w:lineRule="exact"/>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中标通知书发出后15日内，招标人应将中标结果在广东省招标投标监管网（https://www.gdzwfw.gov.cn/ztbjg-portal/#/index）及全国公共资源交易平台（广东省·韶关市）（https://ygp.gdzwfw.gov.cn/ggzy-portal/#/440200/index）进行公示。</w:t>
      </w:r>
    </w:p>
    <w:p w14:paraId="66271C24">
      <w:pPr>
        <w:wordWrap w:val="0"/>
        <w:adjustRightInd w:val="0"/>
        <w:snapToGrid w:val="0"/>
        <w:spacing w:line="440" w:lineRule="exact"/>
        <w:ind w:firstLine="562"/>
        <w:outlineLvl w:val="1"/>
        <w:rPr>
          <w:rFonts w:hAnsi="宋体" w:cs="宋体"/>
          <w:snapToGrid w:val="0"/>
          <w:color w:val="auto"/>
          <w:kern w:val="0"/>
          <w:szCs w:val="24"/>
          <w:highlight w:val="none"/>
        </w:rPr>
      </w:pPr>
      <w:bookmarkStart w:id="89" w:name="_Toc21624"/>
      <w:bookmarkStart w:id="90" w:name="_Toc292"/>
      <w:bookmarkStart w:id="91" w:name="_Toc3075"/>
      <w:bookmarkStart w:id="92" w:name="_Toc11768"/>
      <w:r>
        <w:rPr>
          <w:rFonts w:hint="eastAsia" w:hAnsi="宋体" w:cs="宋体"/>
          <w:b/>
          <w:bCs/>
          <w:snapToGrid w:val="0"/>
          <w:color w:val="auto"/>
          <w:kern w:val="0"/>
          <w:szCs w:val="24"/>
          <w:highlight w:val="none"/>
        </w:rPr>
        <w:t>3．履约保证</w:t>
      </w:r>
      <w:bookmarkEnd w:id="89"/>
      <w:bookmarkEnd w:id="90"/>
      <w:bookmarkEnd w:id="91"/>
      <w:bookmarkEnd w:id="92"/>
    </w:p>
    <w:p w14:paraId="030DECC9">
      <w:pPr>
        <w:wordWrap w:val="0"/>
        <w:adjustRightInd w:val="0"/>
        <w:snapToGrid w:val="0"/>
        <w:spacing w:line="440" w:lineRule="exact"/>
        <w:ind w:firstLine="562"/>
        <w:rPr>
          <w:rFonts w:hAnsi="宋体" w:cs="宋体"/>
          <w:snapToGrid w:val="0"/>
          <w:color w:val="auto"/>
          <w:kern w:val="0"/>
          <w:szCs w:val="24"/>
          <w:highlight w:val="none"/>
        </w:rPr>
      </w:pPr>
      <w:r>
        <w:rPr>
          <w:rFonts w:hint="eastAsia" w:hAnsi="宋体" w:cs="宋体"/>
          <w:b/>
          <w:bCs/>
          <w:snapToGrid w:val="0"/>
          <w:color w:val="auto"/>
          <w:kern w:val="0"/>
          <w:szCs w:val="24"/>
          <w:highlight w:val="none"/>
        </w:rPr>
        <w:t>3.1</w:t>
      </w:r>
      <w:r>
        <w:rPr>
          <w:rFonts w:hint="eastAsia" w:hAnsi="宋体" w:cs="宋体"/>
          <w:snapToGrid w:val="0"/>
          <w:color w:val="auto"/>
          <w:kern w:val="0"/>
          <w:szCs w:val="24"/>
          <w:highlight w:val="none"/>
        </w:rPr>
        <w:t xml:space="preserve"> 中标人须在领取中标通知书之日起</w:t>
      </w:r>
      <w:r>
        <w:rPr>
          <w:rFonts w:hint="eastAsia" w:hAnsi="宋体" w:cs="宋体"/>
          <w:snapToGrid w:val="0"/>
          <w:color w:val="auto"/>
          <w:kern w:val="0"/>
          <w:szCs w:val="24"/>
          <w:highlight w:val="none"/>
          <w:u w:val="single"/>
        </w:rPr>
        <w:t xml:space="preserve"> 10 </w:t>
      </w:r>
      <w:r>
        <w:rPr>
          <w:rFonts w:hint="eastAsia" w:hAnsi="宋体" w:cs="宋体"/>
          <w:snapToGrid w:val="0"/>
          <w:color w:val="auto"/>
          <w:kern w:val="0"/>
          <w:szCs w:val="24"/>
          <w:highlight w:val="none"/>
        </w:rPr>
        <w:t>个工作日内、签订合同前向招标人提交金额为中标价</w:t>
      </w:r>
      <w:r>
        <w:rPr>
          <w:rFonts w:hint="eastAsia" w:hAnsi="宋体" w:cs="宋体"/>
          <w:snapToGrid w:val="0"/>
          <w:color w:val="auto"/>
          <w:kern w:val="0"/>
          <w:szCs w:val="24"/>
          <w:highlight w:val="none"/>
          <w:u w:val="single"/>
          <w:lang w:val="en-US" w:eastAsia="zh-CN"/>
        </w:rPr>
        <w:t>5</w:t>
      </w:r>
      <w:r>
        <w:rPr>
          <w:rFonts w:hint="eastAsia" w:hAnsi="宋体" w:cs="宋体"/>
          <w:snapToGrid w:val="0"/>
          <w:color w:val="auto"/>
          <w:kern w:val="0"/>
          <w:szCs w:val="24"/>
          <w:highlight w:val="none"/>
          <w:u w:val="single"/>
        </w:rPr>
        <w:t>%</w:t>
      </w:r>
      <w:r>
        <w:rPr>
          <w:rFonts w:hint="eastAsia" w:hAnsi="宋体" w:cs="宋体"/>
          <w:snapToGrid w:val="0"/>
          <w:color w:val="auto"/>
          <w:kern w:val="0"/>
          <w:szCs w:val="24"/>
          <w:highlight w:val="none"/>
        </w:rPr>
        <w:t xml:space="preserve">的履约保证。 </w:t>
      </w:r>
    </w:p>
    <w:p w14:paraId="66FC10AC">
      <w:pPr>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562" w:firstLineChars="0"/>
        <w:jc w:val="both"/>
        <w:textAlignment w:val="auto"/>
        <w:outlineLvl w:val="9"/>
        <w:rPr>
          <w:rFonts w:hint="eastAsia" w:ascii="Times New Roman" w:hAnsi="Times New Roman" w:cs="Times New Roman"/>
          <w:caps w:val="0"/>
          <w:smallCaps w:val="0"/>
          <w:snapToGrid w:val="0"/>
          <w:color w:val="auto"/>
          <w:spacing w:val="0"/>
          <w:kern w:val="0"/>
          <w:highlight w:val="none"/>
          <w:lang w:val="en-US" w:eastAsia="zh-CN"/>
        </w:rPr>
      </w:pPr>
      <w:r>
        <w:rPr>
          <w:rFonts w:hint="eastAsia" w:hAnsi="宋体" w:cs="宋体"/>
          <w:b/>
          <w:bCs/>
          <w:snapToGrid w:val="0"/>
          <w:color w:val="auto"/>
          <w:kern w:val="0"/>
          <w:szCs w:val="24"/>
          <w:highlight w:val="none"/>
        </w:rPr>
        <w:t xml:space="preserve">3.2 </w:t>
      </w:r>
      <w:r>
        <w:rPr>
          <w:rFonts w:hint="eastAsia" w:ascii="Times New Roman" w:hAnsi="Times New Roman" w:cs="Times New Roman"/>
          <w:caps w:val="0"/>
          <w:smallCaps w:val="0"/>
          <w:snapToGrid w:val="0"/>
          <w:color w:val="auto"/>
          <w:spacing w:val="0"/>
          <w:kern w:val="0"/>
          <w:highlight w:val="none"/>
          <w:lang w:val="en-US" w:eastAsia="zh-CN"/>
        </w:rPr>
        <w:t>履约保证的形式包括履约保证金、履约保证担保、履约保证保险三种，由中标人自主选择。</w:t>
      </w:r>
    </w:p>
    <w:p w14:paraId="170A94BA">
      <w:pPr>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right="0" w:rightChars="0" w:firstLine="480" w:firstLineChars="200"/>
        <w:jc w:val="both"/>
        <w:textAlignment w:val="auto"/>
        <w:outlineLvl w:val="9"/>
        <w:rPr>
          <w:rFonts w:hint="eastAsia" w:ascii="Times New Roman" w:hAnsi="Times New Roman" w:cs="Times New Roman"/>
          <w:caps w:val="0"/>
          <w:smallCaps w:val="0"/>
          <w:snapToGrid w:val="0"/>
          <w:color w:val="auto"/>
          <w:spacing w:val="0"/>
          <w:kern w:val="0"/>
          <w:highlight w:val="none"/>
          <w:lang w:val="en-US" w:eastAsia="zh-CN"/>
        </w:rPr>
      </w:pPr>
      <w:r>
        <w:rPr>
          <w:rFonts w:hint="eastAsia" w:ascii="Times New Roman" w:hAnsi="Times New Roman" w:cs="Times New Roman"/>
          <w:caps w:val="0"/>
          <w:smallCaps w:val="0"/>
          <w:snapToGrid w:val="0"/>
          <w:color w:val="auto"/>
          <w:spacing w:val="0"/>
          <w:kern w:val="0"/>
          <w:highlight w:val="none"/>
          <w:lang w:val="en-US" w:eastAsia="zh-CN"/>
        </w:rPr>
        <w:t>（1）采用履约保证金的，中标人须从其法人开户银行的账号将履约保证金划至招标人账户，并详细注明项目名称及用途。</w:t>
      </w:r>
    </w:p>
    <w:p w14:paraId="7C3FB4D0">
      <w:pPr>
        <w:wordWrap w:val="0"/>
        <w:adjustRightInd w:val="0"/>
        <w:snapToGrid w:val="0"/>
        <w:spacing w:line="440" w:lineRule="exact"/>
        <w:ind w:firstLine="480" w:firstLineChars="200"/>
        <w:rPr>
          <w:rFonts w:hint="eastAsia" w:hAnsi="宋体" w:cs="宋体"/>
          <w:snapToGrid w:val="0"/>
          <w:color w:val="auto"/>
          <w:kern w:val="0"/>
          <w:szCs w:val="24"/>
          <w:highlight w:val="none"/>
        </w:rPr>
      </w:pPr>
      <w:r>
        <w:rPr>
          <w:rFonts w:hint="eastAsia" w:ascii="Times New Roman" w:hAnsi="Times New Roman" w:cs="Times New Roman"/>
          <w:caps w:val="0"/>
          <w:smallCaps w:val="0"/>
          <w:snapToGrid w:val="0"/>
          <w:color w:val="auto"/>
          <w:spacing w:val="0"/>
          <w:kern w:val="0"/>
          <w:highlight w:val="none"/>
          <w:lang w:val="en-US" w:eastAsia="zh-CN"/>
        </w:rPr>
        <w:t>（2）采用履约保证担保或履约保证保险的，中标人应提交有效的银行保函或保险合同（或保险单）原件，银行保函或保险合同（或保险单）的有效期应当自合同生效之日起至项目通过竣工验收之日后28天止。如果中标人无法获得具体截止日期，银行保函或保险合同（或保险单）中应当有“变更项目竣工日期的，保证期间按照变更后的竣工日期做相应调整”或类似约定的条款</w:t>
      </w:r>
      <w:r>
        <w:rPr>
          <w:rFonts w:hint="eastAsia" w:hAnsi="宋体" w:cs="宋体"/>
          <w:snapToGrid w:val="0"/>
          <w:color w:val="auto"/>
          <w:kern w:val="0"/>
          <w:szCs w:val="24"/>
          <w:highlight w:val="none"/>
        </w:rPr>
        <w:t>。</w:t>
      </w:r>
    </w:p>
    <w:p w14:paraId="1B73A006">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3.3 </w:t>
      </w:r>
      <w:r>
        <w:rPr>
          <w:rFonts w:hint="eastAsia" w:hAnsi="宋体" w:cs="宋体"/>
          <w:snapToGrid w:val="0"/>
          <w:color w:val="auto"/>
          <w:kern w:val="0"/>
          <w:szCs w:val="24"/>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00E9EABB">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3.4</w:t>
      </w:r>
      <w:r>
        <w:rPr>
          <w:rFonts w:hint="eastAsia" w:hAnsi="宋体" w:cs="宋体"/>
          <w:snapToGrid w:val="0"/>
          <w:color w:val="auto"/>
          <w:kern w:val="0"/>
          <w:szCs w:val="24"/>
          <w:highlight w:val="none"/>
        </w:rPr>
        <w:t xml:space="preserve"> 在项目实施过程中，如果</w:t>
      </w:r>
      <w:r>
        <w:rPr>
          <w:rFonts w:hint="eastAsia" w:hAnsi="宋体" w:cs="宋体"/>
          <w:snapToGrid w:val="0"/>
          <w:color w:val="auto"/>
          <w:kern w:val="0"/>
          <w:szCs w:val="24"/>
          <w:highlight w:val="none"/>
          <w:lang w:val="en-US" w:eastAsia="zh-CN"/>
        </w:rPr>
        <w:t>施工单位</w:t>
      </w:r>
      <w:r>
        <w:rPr>
          <w:rFonts w:hint="eastAsia" w:hAnsi="宋体" w:cs="宋体"/>
          <w:snapToGrid w:val="0"/>
          <w:color w:val="auto"/>
          <w:kern w:val="0"/>
          <w:szCs w:val="24"/>
          <w:highlight w:val="none"/>
        </w:rPr>
        <w:t>由于自身的资金、技术、质量、非不可抗力等原因给</w:t>
      </w:r>
      <w:r>
        <w:rPr>
          <w:rFonts w:hint="eastAsia" w:hAnsi="宋体" w:cs="宋体"/>
          <w:snapToGrid w:val="0"/>
          <w:color w:val="auto"/>
          <w:kern w:val="0"/>
          <w:szCs w:val="24"/>
          <w:highlight w:val="none"/>
          <w:lang w:eastAsia="zh-CN"/>
        </w:rPr>
        <w:t>委托人</w:t>
      </w:r>
      <w:r>
        <w:rPr>
          <w:rFonts w:hint="eastAsia" w:hAnsi="宋体" w:cs="宋体"/>
          <w:snapToGrid w:val="0"/>
          <w:color w:val="auto"/>
          <w:kern w:val="0"/>
          <w:szCs w:val="24"/>
          <w:highlight w:val="none"/>
        </w:rPr>
        <w:t>造成经济损失，</w:t>
      </w:r>
      <w:r>
        <w:rPr>
          <w:rFonts w:hint="eastAsia" w:hAnsi="宋体" w:cs="宋体"/>
          <w:snapToGrid w:val="0"/>
          <w:color w:val="auto"/>
          <w:kern w:val="0"/>
          <w:szCs w:val="24"/>
          <w:highlight w:val="none"/>
          <w:lang w:eastAsia="zh-CN"/>
        </w:rPr>
        <w:t>委托人</w:t>
      </w:r>
      <w:r>
        <w:rPr>
          <w:rFonts w:hint="eastAsia" w:hAnsi="宋体" w:cs="宋体"/>
          <w:snapToGrid w:val="0"/>
          <w:color w:val="auto"/>
          <w:kern w:val="0"/>
          <w:szCs w:val="24"/>
          <w:highlight w:val="none"/>
        </w:rPr>
        <w:t>有权扣划相应金额的履约保证。</w:t>
      </w:r>
    </w:p>
    <w:p w14:paraId="470ADF02">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3.5</w:t>
      </w:r>
      <w:r>
        <w:rPr>
          <w:rFonts w:hint="eastAsia" w:hAnsi="宋体" w:cs="宋体"/>
          <w:snapToGrid w:val="0"/>
          <w:color w:val="auto"/>
          <w:kern w:val="0"/>
          <w:szCs w:val="24"/>
          <w:highlight w:val="none"/>
        </w:rPr>
        <w:t xml:space="preserve"> 项目通过竣工验收之日后28天内，</w:t>
      </w:r>
      <w:r>
        <w:rPr>
          <w:rFonts w:hint="eastAsia" w:hAnsi="宋体" w:cs="宋体"/>
          <w:snapToGrid w:val="0"/>
          <w:color w:val="auto"/>
          <w:kern w:val="0"/>
          <w:szCs w:val="24"/>
          <w:highlight w:val="none"/>
          <w:lang w:eastAsia="zh-CN"/>
        </w:rPr>
        <w:t>委托人</w:t>
      </w:r>
      <w:r>
        <w:rPr>
          <w:rFonts w:hint="eastAsia" w:hAnsi="宋体" w:cs="宋体"/>
          <w:snapToGrid w:val="0"/>
          <w:color w:val="auto"/>
          <w:kern w:val="0"/>
          <w:szCs w:val="24"/>
          <w:highlight w:val="none"/>
        </w:rPr>
        <w:t>将履约保证退还给监理人。</w:t>
      </w:r>
    </w:p>
    <w:p w14:paraId="5687AAEC">
      <w:pPr>
        <w:wordWrap w:val="0"/>
        <w:adjustRightInd w:val="0"/>
        <w:snapToGrid w:val="0"/>
        <w:spacing w:line="440" w:lineRule="exact"/>
        <w:ind w:firstLine="482" w:firstLineChars="200"/>
        <w:outlineLvl w:val="1"/>
        <w:rPr>
          <w:rFonts w:hAnsi="宋体" w:cs="宋体"/>
          <w:b/>
          <w:bCs/>
          <w:snapToGrid w:val="0"/>
          <w:color w:val="auto"/>
          <w:kern w:val="0"/>
          <w:szCs w:val="24"/>
          <w:highlight w:val="none"/>
        </w:rPr>
      </w:pPr>
      <w:bookmarkStart w:id="93" w:name="_Toc22628"/>
      <w:bookmarkStart w:id="94" w:name="_Toc20923"/>
      <w:bookmarkStart w:id="95" w:name="_Toc25367"/>
      <w:bookmarkStart w:id="96" w:name="_Toc16211"/>
      <w:r>
        <w:rPr>
          <w:rFonts w:hint="eastAsia" w:hAnsi="宋体" w:cs="宋体"/>
          <w:b/>
          <w:bCs/>
          <w:snapToGrid w:val="0"/>
          <w:color w:val="auto"/>
          <w:kern w:val="0"/>
          <w:szCs w:val="24"/>
          <w:highlight w:val="none"/>
        </w:rPr>
        <w:t>4．合同订立</w:t>
      </w:r>
      <w:bookmarkEnd w:id="93"/>
      <w:bookmarkEnd w:id="94"/>
      <w:bookmarkEnd w:id="95"/>
      <w:bookmarkEnd w:id="96"/>
    </w:p>
    <w:p w14:paraId="4E8B408F">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4.1</w:t>
      </w:r>
      <w:r>
        <w:rPr>
          <w:rFonts w:hint="eastAsia" w:hAnsi="宋体" w:cs="宋体"/>
          <w:snapToGrid w:val="0"/>
          <w:color w:val="auto"/>
          <w:kern w:val="0"/>
          <w:szCs w:val="24"/>
          <w:highlight w:val="none"/>
        </w:rPr>
        <w:t xml:space="preserve"> 招标人应当自中标通知书发出之日起</w:t>
      </w:r>
      <w:r>
        <w:rPr>
          <w:rFonts w:hint="eastAsia" w:hAnsi="宋体" w:cs="宋体"/>
          <w:snapToGrid w:val="0"/>
          <w:color w:val="auto"/>
          <w:kern w:val="0"/>
          <w:szCs w:val="24"/>
          <w:highlight w:val="none"/>
          <w:u w:val="single"/>
        </w:rPr>
        <w:t xml:space="preserve"> 30 </w:t>
      </w:r>
      <w:r>
        <w:rPr>
          <w:rFonts w:hint="eastAsia" w:hAnsi="宋体" w:cs="宋体"/>
          <w:snapToGrid w:val="0"/>
          <w:color w:val="auto"/>
          <w:kern w:val="0"/>
          <w:szCs w:val="24"/>
          <w:highlight w:val="none"/>
        </w:rPr>
        <w:t>日内，按照招标文件、中标人的投标文件与中标人订立书面合同。</w:t>
      </w:r>
    </w:p>
    <w:p w14:paraId="32D924B4">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4.2</w:t>
      </w:r>
      <w:r>
        <w:rPr>
          <w:rFonts w:hint="eastAsia" w:hAnsi="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3616E892">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4.3</w:t>
      </w:r>
      <w:r>
        <w:rPr>
          <w:rFonts w:hint="eastAsia" w:hAnsi="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41D3931D">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4.4</w:t>
      </w:r>
      <w:r>
        <w:rPr>
          <w:rFonts w:hint="eastAsia" w:hAnsi="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23476853">
      <w:pPr>
        <w:wordWrap w:val="0"/>
        <w:adjustRightInd w:val="0"/>
        <w:snapToGrid w:val="0"/>
        <w:spacing w:line="440" w:lineRule="exact"/>
        <w:ind w:firstLine="482" w:firstLineChars="200"/>
        <w:outlineLvl w:val="1"/>
        <w:rPr>
          <w:rFonts w:hAnsi="宋体" w:cs="宋体"/>
          <w:snapToGrid w:val="0"/>
          <w:color w:val="auto"/>
          <w:kern w:val="0"/>
          <w:szCs w:val="24"/>
          <w:highlight w:val="none"/>
        </w:rPr>
      </w:pPr>
      <w:bookmarkStart w:id="97" w:name="_Toc11598"/>
      <w:bookmarkStart w:id="98" w:name="_Toc25887"/>
      <w:bookmarkStart w:id="99" w:name="_Toc6741"/>
      <w:bookmarkStart w:id="100" w:name="_Toc3858"/>
      <w:r>
        <w:rPr>
          <w:rFonts w:hint="eastAsia" w:hAnsi="宋体" w:cs="宋体"/>
          <w:b/>
          <w:bCs/>
          <w:snapToGrid w:val="0"/>
          <w:color w:val="auto"/>
          <w:kern w:val="0"/>
          <w:szCs w:val="24"/>
          <w:highlight w:val="none"/>
        </w:rPr>
        <w:t>5．放弃中标的处理</w:t>
      </w:r>
      <w:bookmarkEnd w:id="97"/>
      <w:bookmarkEnd w:id="98"/>
      <w:bookmarkEnd w:id="99"/>
      <w:bookmarkEnd w:id="100"/>
    </w:p>
    <w:p w14:paraId="6FCEA84C">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5.1</w:t>
      </w:r>
      <w:r>
        <w:rPr>
          <w:rFonts w:hint="eastAsia" w:hAnsi="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2CC8B03A">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5.2</w:t>
      </w:r>
      <w:r>
        <w:rPr>
          <w:rFonts w:hint="eastAsia" w:hAnsi="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64E068F">
      <w:pPr>
        <w:wordWrap w:val="0"/>
        <w:adjustRightInd w:val="0"/>
        <w:snapToGrid w:val="0"/>
        <w:spacing w:line="440" w:lineRule="exact"/>
        <w:ind w:firstLine="482" w:firstLineChars="200"/>
        <w:outlineLvl w:val="1"/>
        <w:rPr>
          <w:rFonts w:hAnsi="宋体" w:cs="宋体"/>
          <w:snapToGrid w:val="0"/>
          <w:color w:val="auto"/>
          <w:kern w:val="0"/>
          <w:szCs w:val="24"/>
          <w:highlight w:val="none"/>
        </w:rPr>
      </w:pPr>
      <w:bookmarkStart w:id="101" w:name="_Toc500"/>
      <w:bookmarkStart w:id="102" w:name="_Toc26352"/>
      <w:bookmarkStart w:id="103" w:name="_Toc15893"/>
      <w:bookmarkStart w:id="104" w:name="_Toc8282"/>
      <w:r>
        <w:rPr>
          <w:rFonts w:hint="eastAsia" w:hAnsi="宋体" w:cs="宋体"/>
          <w:b/>
          <w:bCs/>
          <w:snapToGrid w:val="0"/>
          <w:color w:val="auto"/>
          <w:kern w:val="0"/>
          <w:szCs w:val="24"/>
          <w:highlight w:val="none"/>
        </w:rPr>
        <w:t>6．分包</w:t>
      </w:r>
      <w:bookmarkEnd w:id="101"/>
      <w:bookmarkEnd w:id="102"/>
      <w:bookmarkEnd w:id="103"/>
      <w:bookmarkEnd w:id="104"/>
    </w:p>
    <w:p w14:paraId="14134B11">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合同范围内的监理服务严禁分包，一经发现，委托人有权解除合同，由此引起的一切经济损失和法律责任由监理人自行承担。</w:t>
      </w:r>
    </w:p>
    <w:p w14:paraId="2A06BCD4">
      <w:pPr>
        <w:wordWrap w:val="0"/>
        <w:adjustRightInd w:val="0"/>
        <w:snapToGrid w:val="0"/>
        <w:spacing w:line="440" w:lineRule="exact"/>
        <w:ind w:firstLine="482" w:firstLineChars="200"/>
        <w:outlineLvl w:val="1"/>
        <w:rPr>
          <w:rFonts w:hAnsi="宋体" w:cs="宋体"/>
          <w:snapToGrid w:val="0"/>
          <w:color w:val="auto"/>
          <w:kern w:val="0"/>
          <w:szCs w:val="24"/>
          <w:highlight w:val="none"/>
        </w:rPr>
      </w:pPr>
      <w:bookmarkStart w:id="105" w:name="_Toc8110"/>
      <w:bookmarkStart w:id="106" w:name="_Toc24081"/>
      <w:bookmarkStart w:id="107" w:name="_Toc15764"/>
      <w:bookmarkStart w:id="108" w:name="_Toc31267"/>
      <w:r>
        <w:rPr>
          <w:rFonts w:hint="eastAsia" w:hAnsi="宋体" w:cs="宋体"/>
          <w:b/>
          <w:bCs/>
          <w:snapToGrid w:val="0"/>
          <w:color w:val="auto"/>
          <w:kern w:val="0"/>
          <w:szCs w:val="24"/>
          <w:highlight w:val="none"/>
        </w:rPr>
        <w:t>7．诚信登记</w:t>
      </w:r>
      <w:bookmarkEnd w:id="105"/>
      <w:bookmarkEnd w:id="106"/>
      <w:bookmarkEnd w:id="107"/>
      <w:bookmarkEnd w:id="108"/>
    </w:p>
    <w:p w14:paraId="74C04475">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按韶关市住房和城乡建设管理局的有关规定执行。</w:t>
      </w:r>
    </w:p>
    <w:p w14:paraId="685A3014">
      <w:pPr>
        <w:wordWrap w:val="0"/>
        <w:adjustRightInd w:val="0"/>
        <w:snapToGrid w:val="0"/>
        <w:spacing w:line="440" w:lineRule="exact"/>
        <w:ind w:firstLine="482" w:firstLineChars="200"/>
        <w:outlineLvl w:val="1"/>
        <w:rPr>
          <w:rFonts w:hAnsi="宋体" w:cs="宋体"/>
          <w:b/>
          <w:bCs/>
          <w:snapToGrid w:val="0"/>
          <w:color w:val="auto"/>
          <w:kern w:val="0"/>
          <w:szCs w:val="24"/>
          <w:highlight w:val="none"/>
        </w:rPr>
      </w:pPr>
      <w:bookmarkStart w:id="109" w:name="_Toc2527"/>
      <w:bookmarkStart w:id="110" w:name="_Toc18249"/>
      <w:bookmarkStart w:id="111" w:name="_Toc17560"/>
      <w:bookmarkStart w:id="112" w:name="_Toc19761"/>
      <w:r>
        <w:rPr>
          <w:rFonts w:hint="eastAsia" w:hAnsi="宋体" w:cs="宋体"/>
          <w:b/>
          <w:bCs/>
          <w:snapToGrid w:val="0"/>
          <w:color w:val="auto"/>
          <w:kern w:val="0"/>
          <w:szCs w:val="24"/>
          <w:highlight w:val="none"/>
        </w:rPr>
        <w:t>8．监理服务期限</w:t>
      </w:r>
      <w:bookmarkEnd w:id="109"/>
      <w:bookmarkEnd w:id="110"/>
      <w:bookmarkEnd w:id="111"/>
      <w:bookmarkEnd w:id="112"/>
    </w:p>
    <w:p w14:paraId="1C5F06F6">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8.1</w:t>
      </w:r>
      <w:r>
        <w:rPr>
          <w:rFonts w:hint="eastAsia" w:hAnsi="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48D92276">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8.2</w:t>
      </w:r>
      <w:r>
        <w:rPr>
          <w:rFonts w:hint="eastAsia" w:hAnsi="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016CF937">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（1）合同变更；</w:t>
      </w:r>
    </w:p>
    <w:p w14:paraId="5A8CC50C">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（2）因委托人原因导致的监理工作暂停；</w:t>
      </w:r>
    </w:p>
    <w:p w14:paraId="02F2202F">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（3）未按合同约定及时支付监理服务酬金；</w:t>
      </w:r>
    </w:p>
    <w:p w14:paraId="7578B024">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（4）未及时履行合同约定的相关义务；</w:t>
      </w:r>
    </w:p>
    <w:p w14:paraId="19B080FC">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6C7FA0D3">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（6）造成监理服务期限延误的其他原因。</w:t>
      </w:r>
    </w:p>
    <w:p w14:paraId="2F108C25">
      <w:pPr>
        <w:wordWrap w:val="0"/>
        <w:adjustRightInd w:val="0"/>
        <w:snapToGrid w:val="0"/>
        <w:spacing w:line="440" w:lineRule="exact"/>
        <w:ind w:firstLine="482" w:firstLineChars="200"/>
        <w:outlineLvl w:val="1"/>
        <w:rPr>
          <w:rFonts w:hAnsi="宋体" w:cs="宋体"/>
          <w:snapToGrid w:val="0"/>
          <w:color w:val="auto"/>
          <w:kern w:val="0"/>
          <w:szCs w:val="24"/>
          <w:highlight w:val="none"/>
        </w:rPr>
      </w:pPr>
      <w:bookmarkStart w:id="113" w:name="_Toc17664"/>
      <w:bookmarkStart w:id="114" w:name="_Toc13195"/>
      <w:bookmarkStart w:id="115" w:name="_Toc25479"/>
      <w:bookmarkStart w:id="116" w:name="_Toc6532"/>
      <w:r>
        <w:rPr>
          <w:rFonts w:hint="eastAsia" w:hAnsi="宋体" w:cs="宋体"/>
          <w:b/>
          <w:bCs/>
          <w:snapToGrid w:val="0"/>
          <w:color w:val="auto"/>
          <w:kern w:val="0"/>
          <w:szCs w:val="24"/>
          <w:highlight w:val="none"/>
        </w:rPr>
        <w:t>9．项目监理机构</w:t>
      </w:r>
      <w:bookmarkEnd w:id="113"/>
      <w:bookmarkEnd w:id="114"/>
      <w:bookmarkEnd w:id="115"/>
      <w:bookmarkEnd w:id="116"/>
    </w:p>
    <w:p w14:paraId="7C46AC97">
      <w:pPr>
        <w:wordWrap w:val="0"/>
        <w:adjustRightInd w:val="0"/>
        <w:snapToGrid w:val="0"/>
        <w:spacing w:line="440" w:lineRule="exact"/>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9.1</w:t>
      </w:r>
      <w:r>
        <w:rPr>
          <w:rFonts w:hint="eastAsia" w:hAnsi="宋体" w:cs="宋体"/>
          <w:snapToGrid w:val="0"/>
          <w:color w:val="auto"/>
          <w:kern w:val="0"/>
          <w:szCs w:val="24"/>
          <w:highlight w:val="none"/>
        </w:rPr>
        <w:t xml:space="preserve"> 监理人派驻项目监理机构的人员必须为其投标文件确定的人员，否则委托人有权解除合同。</w:t>
      </w:r>
    </w:p>
    <w:p w14:paraId="441C7ED2">
      <w:pPr>
        <w:wordWrap w:val="0"/>
        <w:adjustRightInd w:val="0"/>
        <w:snapToGrid w:val="0"/>
        <w:spacing w:line="440" w:lineRule="exact"/>
        <w:ind w:firstLine="560"/>
        <w:rPr>
          <w:rFonts w:hAnsi="宋体" w:cs="宋体"/>
          <w:snapToGrid w:val="0"/>
          <w:color w:val="auto"/>
          <w:kern w:val="0"/>
          <w:szCs w:val="24"/>
          <w:highlight w:val="none"/>
        </w:rPr>
      </w:pPr>
      <w:r>
        <w:rPr>
          <w:rFonts w:hint="eastAsia" w:hAnsi="宋体" w:cs="宋体"/>
          <w:b/>
          <w:bCs/>
          <w:snapToGrid w:val="0"/>
          <w:color w:val="auto"/>
          <w:kern w:val="0"/>
          <w:szCs w:val="24"/>
          <w:highlight w:val="none"/>
        </w:rPr>
        <w:t>9.2</w:t>
      </w:r>
      <w:r>
        <w:rPr>
          <w:rFonts w:hint="eastAsia" w:hAnsi="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51BE7339">
      <w:pPr>
        <w:wordWrap w:val="0"/>
        <w:adjustRightInd w:val="0"/>
        <w:snapToGrid w:val="0"/>
        <w:spacing w:line="440" w:lineRule="exact"/>
        <w:ind w:firstLine="482" w:firstLineChars="200"/>
        <w:outlineLvl w:val="1"/>
        <w:rPr>
          <w:rFonts w:hAnsi="宋体" w:cs="宋体"/>
          <w:strike/>
          <w:snapToGrid w:val="0"/>
          <w:color w:val="auto"/>
          <w:kern w:val="0"/>
          <w:szCs w:val="24"/>
          <w:highlight w:val="none"/>
        </w:rPr>
      </w:pPr>
      <w:bookmarkStart w:id="117" w:name="_Toc19789"/>
      <w:bookmarkStart w:id="118" w:name="_Toc20861"/>
      <w:bookmarkStart w:id="119" w:name="_Toc23097"/>
      <w:bookmarkStart w:id="120" w:name="_Toc27412"/>
      <w:r>
        <w:rPr>
          <w:rFonts w:hint="eastAsia" w:hAnsi="宋体" w:cs="宋体"/>
          <w:b/>
          <w:snapToGrid w:val="0"/>
          <w:color w:val="auto"/>
          <w:kern w:val="0"/>
          <w:szCs w:val="24"/>
          <w:highlight w:val="none"/>
        </w:rPr>
        <w:t>10．安全防护</w:t>
      </w:r>
      <w:bookmarkEnd w:id="117"/>
      <w:bookmarkEnd w:id="118"/>
      <w:bookmarkEnd w:id="119"/>
      <w:bookmarkEnd w:id="120"/>
    </w:p>
    <w:p w14:paraId="4F4C653A">
      <w:pPr>
        <w:wordWrap w:val="0"/>
        <w:adjustRightInd w:val="0"/>
        <w:snapToGrid w:val="0"/>
        <w:spacing w:line="44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监理人应按照安全监理有关规定，采取严格、科学的安全防护措施，确保监理人员人身安全，承担由于自身安全防护措施不力所造成的安全事故责任和发生的费用。</w:t>
      </w:r>
    </w:p>
    <w:p w14:paraId="5D77B63B">
      <w:pPr>
        <w:wordWrap w:val="0"/>
        <w:adjustRightInd w:val="0"/>
        <w:snapToGrid w:val="0"/>
        <w:spacing w:line="440" w:lineRule="exact"/>
        <w:ind w:firstLine="482" w:firstLineChars="200"/>
        <w:outlineLvl w:val="1"/>
        <w:rPr>
          <w:rFonts w:hAnsi="宋体" w:cs="宋体"/>
          <w:strike/>
          <w:snapToGrid w:val="0"/>
          <w:color w:val="auto"/>
          <w:kern w:val="0"/>
          <w:szCs w:val="24"/>
          <w:highlight w:val="none"/>
        </w:rPr>
      </w:pPr>
      <w:bookmarkStart w:id="121" w:name="_Toc16174"/>
      <w:bookmarkStart w:id="122" w:name="_Toc17881"/>
      <w:bookmarkStart w:id="123" w:name="_Toc1181"/>
      <w:bookmarkStart w:id="124" w:name="_Toc13413"/>
      <w:r>
        <w:rPr>
          <w:rFonts w:hint="eastAsia" w:hAnsi="宋体" w:cs="宋体"/>
          <w:b/>
          <w:snapToGrid w:val="0"/>
          <w:color w:val="auto"/>
          <w:kern w:val="0"/>
          <w:szCs w:val="24"/>
          <w:highlight w:val="none"/>
        </w:rPr>
        <w:t>11．接受监督</w:t>
      </w:r>
      <w:bookmarkEnd w:id="121"/>
      <w:bookmarkEnd w:id="122"/>
      <w:bookmarkEnd w:id="123"/>
      <w:bookmarkEnd w:id="124"/>
    </w:p>
    <w:p w14:paraId="54032ED8">
      <w:pPr>
        <w:wordWrap w:val="0"/>
        <w:adjustRightInd w:val="0"/>
        <w:snapToGrid w:val="0"/>
        <w:spacing w:line="440" w:lineRule="exact"/>
        <w:ind w:firstLine="480" w:firstLineChars="200"/>
        <w:rPr>
          <w:rFonts w:hAnsi="宋体" w:cs="宋体"/>
          <w:bCs/>
          <w:snapToGrid w:val="0"/>
          <w:color w:val="auto"/>
          <w:kern w:val="0"/>
          <w:szCs w:val="24"/>
          <w:highlight w:val="none"/>
        </w:rPr>
      </w:pPr>
      <w:r>
        <w:rPr>
          <w:rFonts w:hint="eastAsia" w:hAnsi="宋体" w:cs="宋体"/>
          <w:snapToGrid w:val="0"/>
          <w:color w:val="auto"/>
          <w:kern w:val="0"/>
          <w:szCs w:val="24"/>
          <w:highlight w:val="none"/>
        </w:rPr>
        <w:t>监理人应严格按照法律、法规以及</w:t>
      </w:r>
      <w:r>
        <w:rPr>
          <w:rFonts w:hint="eastAsia" w:hAnsi="宋体" w:cs="宋体"/>
          <w:bCs/>
          <w:snapToGrid w:val="0"/>
          <w:color w:val="auto"/>
          <w:kern w:val="0"/>
          <w:szCs w:val="24"/>
          <w:highlight w:val="none"/>
        </w:rPr>
        <w:t>《建设工程监理规范》（GB/T 50319—2013）有关规定实施监理，同时须</w:t>
      </w:r>
      <w:r>
        <w:rPr>
          <w:rFonts w:hint="eastAsia" w:hAnsi="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2EF75CF9">
      <w:pPr>
        <w:wordWrap w:val="0"/>
        <w:adjustRightInd w:val="0"/>
        <w:snapToGrid w:val="0"/>
        <w:spacing w:line="440" w:lineRule="exact"/>
        <w:ind w:firstLine="560"/>
        <w:outlineLvl w:val="1"/>
        <w:rPr>
          <w:rFonts w:hAnsi="宋体" w:cs="宋体"/>
          <w:bCs/>
          <w:snapToGrid w:val="0"/>
          <w:color w:val="auto"/>
          <w:kern w:val="0"/>
          <w:szCs w:val="24"/>
          <w:highlight w:val="none"/>
        </w:rPr>
      </w:pPr>
      <w:bookmarkStart w:id="125" w:name="_Toc25424"/>
      <w:bookmarkStart w:id="126" w:name="_Toc4730"/>
      <w:bookmarkStart w:id="127" w:name="_Toc18397"/>
      <w:bookmarkStart w:id="128" w:name="_Toc14327"/>
      <w:r>
        <w:rPr>
          <w:rFonts w:hint="eastAsia" w:hAnsi="宋体" w:cs="宋体"/>
          <w:b/>
          <w:snapToGrid w:val="0"/>
          <w:color w:val="auto"/>
          <w:kern w:val="0"/>
          <w:szCs w:val="24"/>
          <w:highlight w:val="none"/>
        </w:rPr>
        <w:t>12．监理档案移交</w:t>
      </w:r>
      <w:bookmarkEnd w:id="125"/>
      <w:bookmarkEnd w:id="126"/>
      <w:bookmarkEnd w:id="127"/>
      <w:bookmarkEnd w:id="128"/>
    </w:p>
    <w:p w14:paraId="5B8C046B">
      <w:pPr>
        <w:wordWrap w:val="0"/>
        <w:adjustRightInd w:val="0"/>
        <w:snapToGrid w:val="0"/>
        <w:spacing w:line="440" w:lineRule="exact"/>
        <w:ind w:firstLine="560"/>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项目竣工验收后，监理人应向委托人提交一式</w:t>
      </w:r>
      <w:r>
        <w:rPr>
          <w:rFonts w:hint="eastAsia" w:hAnsi="宋体" w:cs="宋体"/>
          <w:bCs/>
          <w:snapToGrid w:val="0"/>
          <w:color w:val="auto"/>
          <w:kern w:val="0"/>
          <w:szCs w:val="24"/>
          <w:highlight w:val="none"/>
          <w:u w:val="single"/>
        </w:rPr>
        <w:t xml:space="preserve"> 五 </w:t>
      </w:r>
      <w:r>
        <w:rPr>
          <w:rFonts w:hint="eastAsia" w:hAnsi="宋体" w:cs="宋体"/>
          <w:bCs/>
          <w:snapToGrid w:val="0"/>
          <w:color w:val="auto"/>
          <w:kern w:val="0"/>
          <w:szCs w:val="24"/>
          <w:highlight w:val="none"/>
        </w:rPr>
        <w:t>份符合《建设工程监理规范》（GB/T 50319—2013）以及《韶关市城市建设档案管理办法》要求的监理档案。</w:t>
      </w:r>
    </w:p>
    <w:p w14:paraId="0A78DB0D">
      <w:pPr>
        <w:wordWrap w:val="0"/>
        <w:adjustRightInd w:val="0"/>
        <w:snapToGrid w:val="0"/>
        <w:spacing w:line="440" w:lineRule="exact"/>
        <w:ind w:firstLine="560"/>
        <w:outlineLvl w:val="1"/>
        <w:rPr>
          <w:rFonts w:hAnsi="宋体" w:cs="宋体"/>
          <w:strike/>
          <w:snapToGrid w:val="0"/>
          <w:color w:val="auto"/>
          <w:kern w:val="0"/>
          <w:szCs w:val="24"/>
          <w:highlight w:val="none"/>
        </w:rPr>
      </w:pPr>
      <w:bookmarkStart w:id="129" w:name="_Toc2540"/>
      <w:bookmarkStart w:id="130" w:name="_Toc24329"/>
      <w:bookmarkStart w:id="131" w:name="_Toc13197"/>
      <w:bookmarkStart w:id="132" w:name="_Toc16612"/>
      <w:r>
        <w:rPr>
          <w:rFonts w:hint="eastAsia" w:hAnsi="宋体" w:cs="宋体"/>
          <w:b/>
          <w:bCs/>
          <w:snapToGrid w:val="0"/>
          <w:color w:val="auto"/>
          <w:kern w:val="0"/>
          <w:szCs w:val="24"/>
          <w:highlight w:val="none"/>
        </w:rPr>
        <w:t>13</w:t>
      </w:r>
      <w:r>
        <w:rPr>
          <w:rFonts w:hint="eastAsia" w:hAnsi="宋体" w:cs="宋体"/>
          <w:b/>
          <w:snapToGrid w:val="0"/>
          <w:color w:val="auto"/>
          <w:kern w:val="0"/>
          <w:szCs w:val="24"/>
          <w:highlight w:val="none"/>
        </w:rPr>
        <w:t>．不良行为处理</w:t>
      </w:r>
      <w:bookmarkEnd w:id="129"/>
      <w:bookmarkEnd w:id="130"/>
      <w:bookmarkEnd w:id="131"/>
      <w:bookmarkEnd w:id="132"/>
    </w:p>
    <w:p w14:paraId="6BBEC251">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监理人及其有关人员有下列行为之一的，委托人应及时报请建设行政主管部门查处。</w:t>
      </w:r>
    </w:p>
    <w:p w14:paraId="7AC17328">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（1）转让监理业务的；</w:t>
      </w:r>
    </w:p>
    <w:p w14:paraId="7BE2C7AF">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007207D3">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（3）与建设单位、施工单位串通，签认虚假工程量或工程造价的；</w:t>
      </w:r>
    </w:p>
    <w:p w14:paraId="62CAEAF3">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（4）现场监理不到位的；</w:t>
      </w:r>
    </w:p>
    <w:p w14:paraId="3607037B">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（5）非本人资格证书注册单位从事监理工作的；</w:t>
      </w:r>
    </w:p>
    <w:p w14:paraId="36001B26">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（6）总监理工程师承担超过三项工程监理任务的；</w:t>
      </w:r>
    </w:p>
    <w:p w14:paraId="2FA97E13">
      <w:pPr>
        <w:pStyle w:val="36"/>
        <w:wordWrap w:val="0"/>
        <w:adjustRightInd w:val="0"/>
        <w:snapToGrid w:val="0"/>
        <w:spacing w:line="440" w:lineRule="exact"/>
        <w:ind w:firstLine="480" w:firstLineChars="200"/>
        <w:jc w:val="left"/>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（7）违反有关法律、法规、规章规定的其它行为。</w:t>
      </w:r>
    </w:p>
    <w:p w14:paraId="14880F2C">
      <w:pPr>
        <w:pStyle w:val="36"/>
        <w:wordWrap w:val="0"/>
        <w:adjustRightInd w:val="0"/>
        <w:snapToGrid w:val="0"/>
        <w:spacing w:line="440" w:lineRule="exact"/>
        <w:ind w:firstLine="482" w:firstLineChars="200"/>
        <w:jc w:val="left"/>
        <w:outlineLvl w:val="1"/>
        <w:rPr>
          <w:rFonts w:ascii="宋体" w:hAnsi="宋体" w:cs="宋体"/>
          <w:b/>
          <w:bCs/>
          <w:snapToGrid w:val="0"/>
          <w:color w:val="auto"/>
          <w:kern w:val="0"/>
          <w:szCs w:val="24"/>
          <w:highlight w:val="none"/>
        </w:rPr>
      </w:pPr>
      <w:bookmarkStart w:id="133" w:name="_Toc15923"/>
      <w:bookmarkStart w:id="134" w:name="_Toc28837"/>
      <w:bookmarkStart w:id="135" w:name="_Toc15431"/>
      <w:bookmarkStart w:id="136" w:name="_Toc29467"/>
      <w:r>
        <w:rPr>
          <w:rFonts w:hint="eastAsia" w:ascii="宋体" w:hAnsi="宋体" w:cs="宋体"/>
          <w:b/>
          <w:bCs/>
          <w:snapToGrid w:val="0"/>
          <w:color w:val="auto"/>
          <w:kern w:val="0"/>
          <w:szCs w:val="24"/>
          <w:highlight w:val="none"/>
        </w:rPr>
        <w:t>14</w:t>
      </w:r>
      <w:r>
        <w:rPr>
          <w:rFonts w:hint="eastAsia" w:ascii="宋体" w:hAnsi="宋体" w:cs="宋体"/>
          <w:b/>
          <w:snapToGrid w:val="0"/>
          <w:color w:val="auto"/>
          <w:kern w:val="0"/>
          <w:szCs w:val="24"/>
          <w:highlight w:val="none"/>
        </w:rPr>
        <w:t>．</w:t>
      </w:r>
      <w:r>
        <w:rPr>
          <w:rFonts w:hint="eastAsia" w:ascii="宋体" w:hAnsi="宋体" w:cs="宋体"/>
          <w:b/>
          <w:bCs/>
          <w:snapToGrid w:val="0"/>
          <w:color w:val="auto"/>
          <w:kern w:val="0"/>
          <w:szCs w:val="24"/>
          <w:highlight w:val="none"/>
        </w:rPr>
        <w:t>信用评价条款内容</w:t>
      </w:r>
      <w:bookmarkEnd w:id="133"/>
      <w:bookmarkEnd w:id="134"/>
      <w:bookmarkEnd w:id="135"/>
      <w:bookmarkEnd w:id="136"/>
    </w:p>
    <w:p w14:paraId="6CF2C8EE">
      <w:pPr>
        <w:pStyle w:val="38"/>
        <w:wordWrap w:val="0"/>
        <w:adjustRightInd w:val="0"/>
        <w:snapToGrid w:val="0"/>
        <w:spacing w:line="440" w:lineRule="exact"/>
        <w:ind w:firstLine="560"/>
        <w:rPr>
          <w:rFonts w:hAnsi="宋体" w:cs="宋体"/>
          <w:snapToGrid w:val="0"/>
          <w:color w:val="auto"/>
          <w:kern w:val="0"/>
          <w:highlight w:val="none"/>
        </w:rPr>
      </w:pPr>
      <w:r>
        <w:rPr>
          <w:rFonts w:hint="eastAsia" w:hAnsi="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0B957C4A">
      <w:pPr>
        <w:pStyle w:val="38"/>
        <w:wordWrap w:val="0"/>
        <w:adjustRightInd w:val="0"/>
        <w:snapToGrid w:val="0"/>
        <w:spacing w:line="440" w:lineRule="exact"/>
        <w:ind w:firstLine="560"/>
        <w:rPr>
          <w:rFonts w:hAnsi="宋体" w:cs="宋体"/>
          <w:b/>
          <w:bCs/>
          <w:snapToGrid w:val="0"/>
          <w:color w:val="auto"/>
          <w:kern w:val="0"/>
          <w:highlight w:val="none"/>
        </w:rPr>
      </w:pPr>
    </w:p>
    <w:p w14:paraId="72DC4DD2">
      <w:pPr>
        <w:pStyle w:val="38"/>
        <w:wordWrap w:val="0"/>
        <w:adjustRightInd w:val="0"/>
        <w:snapToGrid w:val="0"/>
        <w:spacing w:line="440" w:lineRule="exact"/>
        <w:ind w:firstLine="560"/>
        <w:rPr>
          <w:rFonts w:hAnsi="宋体" w:cs="宋体"/>
          <w:b/>
          <w:bCs/>
          <w:snapToGrid w:val="0"/>
          <w:color w:val="auto"/>
          <w:kern w:val="0"/>
          <w:highlight w:val="none"/>
        </w:rPr>
      </w:pPr>
    </w:p>
    <w:p w14:paraId="44F7CD97">
      <w:pPr>
        <w:pStyle w:val="38"/>
        <w:wordWrap w:val="0"/>
        <w:adjustRightInd w:val="0"/>
        <w:snapToGrid w:val="0"/>
        <w:spacing w:line="440" w:lineRule="exact"/>
        <w:ind w:firstLine="560"/>
        <w:rPr>
          <w:rFonts w:hAnsi="宋体" w:cs="宋体"/>
          <w:b/>
          <w:bCs/>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01A3E6AB">
      <w:pPr>
        <w:pStyle w:val="2"/>
        <w:keepNext w:val="0"/>
        <w:keepLines w:val="0"/>
        <w:pageBreakBefore w:val="0"/>
        <w:wordWrap w:val="0"/>
        <w:overflowPunct/>
        <w:topLinePunct w:val="0"/>
        <w:autoSpaceDE/>
        <w:autoSpaceDN/>
        <w:bidi w:val="0"/>
        <w:snapToGrid w:val="0"/>
        <w:spacing w:line="360" w:lineRule="exact"/>
        <w:jc w:val="center"/>
        <w:rPr>
          <w:rFonts w:hAnsi="宋体" w:cs="宋体"/>
          <w:b/>
          <w:snapToGrid w:val="0"/>
          <w:color w:val="auto"/>
          <w:sz w:val="32"/>
          <w:szCs w:val="32"/>
          <w:highlight w:val="none"/>
        </w:rPr>
      </w:pPr>
      <w:bookmarkStart w:id="137" w:name="_Hlt69698776"/>
      <w:r>
        <w:rPr>
          <w:rFonts w:hint="eastAsia" w:hAnsi="宋体" w:cs="宋体"/>
          <w:b/>
          <w:snapToGrid w:val="0"/>
          <w:color w:val="auto"/>
          <w:sz w:val="32"/>
          <w:szCs w:val="32"/>
          <w:highlight w:val="none"/>
        </w:rPr>
        <w:t>　</w:t>
      </w:r>
      <w:bookmarkStart w:id="138" w:name="_Toc29099"/>
      <w:bookmarkStart w:id="139" w:name="_Toc12562"/>
      <w:bookmarkStart w:id="140" w:name="_Hlt69698713"/>
      <w:bookmarkStart w:id="141" w:name="_Hlt69698765"/>
      <w:r>
        <w:rPr>
          <w:rFonts w:hint="eastAsia" w:hAnsi="宋体" w:cs="宋体"/>
          <w:b/>
          <w:snapToGrid w:val="0"/>
          <w:color w:val="auto"/>
          <w:sz w:val="32"/>
          <w:szCs w:val="32"/>
          <w:highlight w:val="none"/>
        </w:rPr>
        <w:t>第三章</w:t>
      </w:r>
      <w:bookmarkStart w:id="142" w:name="_Hlt87793831"/>
      <w:bookmarkEnd w:id="142"/>
      <w:r>
        <w:rPr>
          <w:rFonts w:hint="eastAsia" w:hAnsi="宋体" w:cs="宋体"/>
          <w:b/>
          <w:snapToGrid w:val="0"/>
          <w:color w:val="auto"/>
          <w:sz w:val="32"/>
          <w:szCs w:val="32"/>
          <w:highlight w:val="none"/>
        </w:rPr>
        <w:t xml:space="preserve"> 拟签订合同的主要条款</w:t>
      </w:r>
      <w:bookmarkEnd w:id="138"/>
      <w:bookmarkEnd w:id="139"/>
    </w:p>
    <w:bookmarkEnd w:id="140"/>
    <w:bookmarkEnd w:id="141"/>
    <w:p w14:paraId="1CAFBCF1">
      <w:pPr>
        <w:pStyle w:val="3"/>
        <w:keepNext w:val="0"/>
        <w:keepLines w:val="0"/>
        <w:pageBreakBefore w:val="0"/>
        <w:wordWrap w:val="0"/>
        <w:overflowPunct/>
        <w:topLinePunct w:val="0"/>
        <w:autoSpaceDE/>
        <w:autoSpaceDN/>
        <w:bidi w:val="0"/>
        <w:snapToGrid w:val="0"/>
        <w:spacing w:line="360" w:lineRule="exact"/>
        <w:ind w:firstLine="480"/>
        <w:jc w:val="both"/>
        <w:rPr>
          <w:rFonts w:hAnsi="宋体" w:cs="宋体"/>
          <w:b/>
          <w:snapToGrid w:val="0"/>
          <w:color w:val="auto"/>
          <w:szCs w:val="24"/>
          <w:highlight w:val="none"/>
        </w:rPr>
      </w:pPr>
      <w:bookmarkStart w:id="143" w:name="_Toc322793288"/>
      <w:bookmarkStart w:id="144" w:name="_Toc326916629"/>
    </w:p>
    <w:bookmarkEnd w:id="143"/>
    <w:bookmarkEnd w:id="144"/>
    <w:p w14:paraId="6AD3C0A3">
      <w:pPr>
        <w:keepNext w:val="0"/>
        <w:keepLines w:val="0"/>
        <w:pageBreakBefore w:val="0"/>
        <w:tabs>
          <w:tab w:val="left" w:pos="3120"/>
        </w:tabs>
        <w:overflowPunct/>
        <w:topLinePunct w:val="0"/>
        <w:autoSpaceDE w:val="0"/>
        <w:autoSpaceDN/>
        <w:bidi w:val="0"/>
        <w:spacing w:line="360" w:lineRule="exact"/>
        <w:jc w:val="center"/>
        <w:rPr>
          <w:rFonts w:ascii="宋体" w:hAnsi="宋体" w:cs="宋体"/>
          <w:b/>
          <w:bCs/>
          <w:color w:val="auto"/>
          <w:kern w:val="0"/>
          <w:sz w:val="36"/>
          <w:szCs w:val="36"/>
          <w:highlight w:val="none"/>
          <w:lang w:val="zh-CN"/>
        </w:rPr>
      </w:pPr>
      <w:bookmarkStart w:id="145" w:name="_Toc12203"/>
      <w:bookmarkStart w:id="146" w:name="_Toc4588"/>
      <w:bookmarkStart w:id="147" w:name="_Toc6392"/>
      <w:bookmarkStart w:id="148" w:name="_Toc11616"/>
      <w:r>
        <w:rPr>
          <w:rFonts w:ascii="宋体" w:hAnsi="宋体" w:cs="宋体"/>
          <w:b/>
          <w:bCs/>
          <w:color w:val="auto"/>
          <w:kern w:val="0"/>
          <w:sz w:val="32"/>
          <w:szCs w:val="32"/>
          <w:highlight w:val="none"/>
          <w:lang w:val="zh-CN"/>
        </w:rPr>
        <w:t>第二部分  通用条件</w:t>
      </w:r>
    </w:p>
    <w:p w14:paraId="7C82EF7C">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p>
    <w:p w14:paraId="745ABA6A">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1. 定义与解释</w:t>
      </w:r>
    </w:p>
    <w:p w14:paraId="63FE01A1">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1.1 定义</w:t>
      </w:r>
    </w:p>
    <w:p w14:paraId="677D335C">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lang w:val="zh-CN"/>
        </w:rPr>
      </w:pPr>
      <w:r>
        <w:rPr>
          <w:rFonts w:ascii="宋体" w:hAnsi="宋体" w:cs="宋体"/>
          <w:color w:val="auto"/>
          <w:kern w:val="0"/>
          <w:sz w:val="24"/>
          <w:highlight w:val="none"/>
          <w:lang w:val="zh-CN"/>
        </w:rPr>
        <w:t>除根据上下文另有其意义外，组成本合同的全部文件中的下列名词和用语应具有本款所赋予的含义：</w:t>
      </w:r>
    </w:p>
    <w:p w14:paraId="56715C3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 “工程”是指按照本合同约定实施监理与相关服务的建设工程。</w:t>
      </w:r>
    </w:p>
    <w:p w14:paraId="694C0477">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1.1.2 “委托人”是指本合同中委托监理与相关服务的一方，及其合法的继承人或受让人。</w:t>
      </w:r>
    </w:p>
    <w:p w14:paraId="72491A9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1.1.3 “监理人”是指本合同中提供监理与相关服务的一方，及其合法的继承人。</w:t>
      </w:r>
    </w:p>
    <w:p w14:paraId="786BA705">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lang w:val="zh-CN"/>
        </w:rPr>
      </w:pPr>
      <w:r>
        <w:rPr>
          <w:rFonts w:ascii="宋体" w:hAnsi="宋体" w:eastAsia="宋体" w:cs="宋体"/>
          <w:color w:val="auto"/>
          <w:kern w:val="0"/>
          <w:sz w:val="24"/>
          <w:highlight w:val="none"/>
          <w:lang w:val="zh-CN"/>
        </w:rPr>
        <w:t>1.1.4 “承包人”是</w:t>
      </w:r>
      <w:r>
        <w:rPr>
          <w:rFonts w:ascii="宋体" w:hAnsi="宋体" w:cs="宋体"/>
          <w:color w:val="auto"/>
          <w:kern w:val="0"/>
          <w:sz w:val="24"/>
          <w:highlight w:val="none"/>
          <w:lang w:val="zh-CN"/>
        </w:rPr>
        <w:t>指在工程范围内与委托人签订勘察、设计、施工等有关合同的当事人，及其合法的继承人。</w:t>
      </w:r>
    </w:p>
    <w:p w14:paraId="5C71A9B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5B54D9A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1.1.6 “相关服务”是指监理人受委托人的委托 ，按照本合同约定，在勘察、设计、保修等阶段提供的服务活动。</w:t>
      </w:r>
    </w:p>
    <w:p w14:paraId="0C14759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1.1.7 “正常工作”指本合同订立时通用条件和专用条件中约定的监理人的工作。</w:t>
      </w:r>
    </w:p>
    <w:p w14:paraId="0CFCEA1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1.1.8 “附加工作”是指本合同约定的正常工作以外监理人的工作。</w:t>
      </w:r>
    </w:p>
    <w:p w14:paraId="6467DC0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1.1.9 “项目监理机构”是指监理人派驻工程负责履行本合同的组织机构。</w:t>
      </w:r>
    </w:p>
    <w:p w14:paraId="4286781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1.1.10 “总监理工程师”是指由监理人的法定代表人书面授权，全面负责履行本合同、主持项目监理机构工作的注册监理工程师。</w:t>
      </w:r>
    </w:p>
    <w:p w14:paraId="1E18DC3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1.1.11 “酬金”是指监理人履行本合同义务，委托人按照本合同约定给付监理人的金额。</w:t>
      </w:r>
    </w:p>
    <w:p w14:paraId="4757C97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1.1.12 “正常工作酬金”是指监理人完成正常工作，委托人应给付监理人并在协议书中载明的签约酬金额。</w:t>
      </w:r>
    </w:p>
    <w:p w14:paraId="79A71BA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1.1.13 “附加工作酬金”是指监理人完成附加工作，委托人应给付监理人的金额。</w:t>
      </w:r>
    </w:p>
    <w:p w14:paraId="2E745BF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1.1.14 “一方”是指委托人或监理人；“双方”是指委托人和监理人；“第三方”是指除委托人和监理人以外的有关方。</w:t>
      </w:r>
    </w:p>
    <w:p w14:paraId="7B846D9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1.1.15 “书面形式”是指合同书、信件和数据电文（包括电报、电传、传真、电子数据交换和电子邮件）等可以有形地表现所载内容的形式。</w:t>
      </w:r>
    </w:p>
    <w:p w14:paraId="249EAA3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1.1.16 “天”是指第一天零时至第二天零时的时间。</w:t>
      </w:r>
    </w:p>
    <w:p w14:paraId="0062AC3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1.1.17“月”是指按公历从一个月中任何一天开始的一个公历月时间。</w:t>
      </w:r>
    </w:p>
    <w:p w14:paraId="3D51A1B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1.1.18 “不可抗力”是指委托人和监理人在订立本合同时不可预见，在工程施工过程中不可避免发生并不能克服的自然灾害和社会性突发事件，如</w:t>
      </w:r>
      <w:r>
        <w:rPr>
          <w:rFonts w:hint="eastAsia" w:ascii="宋体" w:hAnsi="宋体" w:eastAsia="宋体" w:cs="宋体"/>
          <w:color w:val="auto"/>
          <w:kern w:val="0"/>
          <w:sz w:val="24"/>
          <w:highlight w:val="none"/>
          <w:lang w:val="en-US" w:eastAsia="zh-CN"/>
        </w:rPr>
        <w:t>高温、干旱、龙卷风、</w:t>
      </w:r>
      <w:r>
        <w:rPr>
          <w:rFonts w:ascii="宋体" w:hAnsi="宋体" w:eastAsia="宋体" w:cs="宋体"/>
          <w:color w:val="auto"/>
          <w:kern w:val="0"/>
          <w:sz w:val="24"/>
          <w:highlight w:val="none"/>
          <w:lang w:val="zh-CN"/>
        </w:rPr>
        <w:t>地震、海啸、</w:t>
      </w:r>
      <w:r>
        <w:rPr>
          <w:rFonts w:hint="eastAsia" w:ascii="宋体" w:hAnsi="宋体" w:eastAsia="宋体" w:cs="宋体"/>
          <w:color w:val="auto"/>
          <w:kern w:val="0"/>
          <w:sz w:val="24"/>
          <w:highlight w:val="none"/>
          <w:lang w:val="en-US" w:eastAsia="zh-CN"/>
        </w:rPr>
        <w:t>台风、飓风、</w:t>
      </w:r>
      <w:r>
        <w:rPr>
          <w:rFonts w:ascii="宋体" w:hAnsi="宋体" w:eastAsia="宋体" w:cs="宋体"/>
          <w:color w:val="auto"/>
          <w:kern w:val="0"/>
          <w:sz w:val="24"/>
          <w:highlight w:val="none"/>
          <w:lang w:val="zh-CN"/>
        </w:rPr>
        <w:t>瘟疫、水灾、骚乱、暴动、战争和专用条件约定的其他情形。</w:t>
      </w:r>
    </w:p>
    <w:p w14:paraId="63AA290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1.2 解释</w:t>
      </w:r>
    </w:p>
    <w:p w14:paraId="46549B5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1.2.1本合同使用中文书写、解释和说明。如专用条件约定使用两种及以上语言文字时，应以中文为准。</w:t>
      </w:r>
    </w:p>
    <w:p w14:paraId="63AE15A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1.2.2 组成本合同的下列文件彼此应能相互解释、互为说明。除专用条件另有约定外，本合同文件的解释顺序如下：</w:t>
      </w:r>
    </w:p>
    <w:p w14:paraId="2B82D68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（1）协议书；</w:t>
      </w:r>
    </w:p>
    <w:p w14:paraId="5BAB95D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（2）中标通知书（适用于招标工程）或委托书（适用于非招标工程）；</w:t>
      </w:r>
    </w:p>
    <w:p w14:paraId="163991F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（3）专用条件及附录A、附录B；</w:t>
      </w:r>
    </w:p>
    <w:p w14:paraId="0B9B5AA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（4）通用条件；</w:t>
      </w:r>
    </w:p>
    <w:p w14:paraId="668E658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（5）投标文件（适用于招标工程）或监理与相关服务建议书（适用于非招标工程）。</w:t>
      </w:r>
    </w:p>
    <w:p w14:paraId="0A66928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双方签订的补充协议与其他文件发生矛盾或歧义时，属于同一类内容的文件，应以最新签署的为准。</w:t>
      </w:r>
    </w:p>
    <w:p w14:paraId="2A8B07BE">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2. 监理人的义务</w:t>
      </w:r>
    </w:p>
    <w:p w14:paraId="20A069D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 监理的范围和内容</w:t>
      </w:r>
    </w:p>
    <w:p w14:paraId="0410433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2.1.1 监理范围：</w:t>
      </w:r>
    </w:p>
    <w:p w14:paraId="3D98C13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包括但不限于以下内容：工程合同、工程质量、材料、安全、进度监理；配合本项目造价咨询单位进行投资监理；进度审核、工程结算审核监理（进度审核及结算审核均需出具审核报告）；施工、验收、结算及保修阶段的全过程监理；项目建设施工阶段监理（含施工准备阶段、施工阶段、工程竣工结算阶段和缺陷责任期阶段监理）等相关工作。</w:t>
      </w:r>
    </w:p>
    <w:p w14:paraId="100C8FB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（2）除上述工作范围外，监理人还须按</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的要求提前进场参与开工前期的准备和筹划工作，协助</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制定工程管理办法、各参建方职责及有关事务性工作等。</w:t>
      </w:r>
    </w:p>
    <w:p w14:paraId="7776317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2.1.2 监理工作内容还包括：</w:t>
      </w:r>
    </w:p>
    <w:p w14:paraId="32F367C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（1）监理人作为</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的顾问，应在受委托的监理业务范围内向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负责，在执行和遵守国家有关建设法规的前提下，维护</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的正当权益。收到工程设计文件后编制监理规划，并在第一次工地会议7天前报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根据有关规定和监理工作需要，编制监理实施细则；制定现场工程监理工作制度，填写监理日记及大事记。每周定期召开监理例会，通报监理情况及工程的有关事宜，并根据工程需要组织专题会议，会议并须由总监理工程师主持。</w:t>
      </w:r>
    </w:p>
    <w:p w14:paraId="2195C42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熟悉工程设计文件，并对图纸中存在的问题通过建设单位向设计单位提出书面意见和建议，参加设计技术交底会，并对会议纪要进行签认，协调设计单位落实施工图纸的出图供应计划。审核设计文件、图纸和各项设计变更，提出意见（优化设计等）并参加由</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主持的图纸会审和设计交底会议；</w:t>
      </w:r>
    </w:p>
    <w:p w14:paraId="03DC9A0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（3）参加由</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主持的第一次工地会议；主持监理例会并根据工程需要主持或参加专题会议；关于重大的设计修改和技术洽商，除提出监理意见外，应征得</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及设计人的书面意见，并由原设计人进行修改。</w:t>
      </w:r>
    </w:p>
    <w:p w14:paraId="5E54FBE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审查施工承包人提交的施工组织设计，重点审查其中的质量安全技术措施、专项施工方案与工程建设强制性标准的符合性；审查批准承包单位提出的开工报告及施工进度计划，签收检查承包人填报的旬、月、季等报表。核实</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与承包人开工前基建程序所需的各种批准文件及手续、检查实施情况，督促施工承包单位采取措施实现合同目标要求。当施工计划变动时，及时提出调整计划的意见，负责组织和协调各承包人的配合安排，定期向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汇报总进度计划控制情况</w:t>
      </w:r>
    </w:p>
    <w:p w14:paraId="53BB0D4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（5）检查施工承包人工程质量、安全生产管理制度及组织机构和人员资格；</w:t>
      </w:r>
    </w:p>
    <w:p w14:paraId="274F0D1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（6）检查施工承包人专职安全生产管理人员的配备情况。</w:t>
      </w:r>
    </w:p>
    <w:p w14:paraId="65C6FC8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（7）审查施工承包人提交的施工进度计划，核查承包人对施工进度计划的调整。</w:t>
      </w:r>
    </w:p>
    <w:p w14:paraId="2560DB1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（8）检查施工承包人的试验室。</w:t>
      </w:r>
    </w:p>
    <w:p w14:paraId="16841F6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（9）审核施工分包人资质条件。</w:t>
      </w:r>
    </w:p>
    <w:p w14:paraId="41C73C1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（10）查验施工承包人的施工测量放线成果。</w:t>
      </w:r>
    </w:p>
    <w:p w14:paraId="7C8E06E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（11）审查工程开工条件，对条件具备的签发开工令。</w:t>
      </w:r>
    </w:p>
    <w:p w14:paraId="423FB72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（12）审查施工承包人报送的工程材料、构配件、设备质量证明文件的有效性和符合性，并按规定对用于工程的材料采取平行检验或见证取样方式进行抽检。</w:t>
      </w:r>
    </w:p>
    <w:p w14:paraId="3A58B98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（13）审核施工承包人提交的工程款支付申请，签发或出具工程款支付证书，并报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审核、批准。</w:t>
      </w:r>
    </w:p>
    <w:p w14:paraId="5731035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（14）在巡视、旁站和检验过程中，发现工程质量、施工安全存在事故隐患的，要求施工承包人整改并报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w:t>
      </w:r>
    </w:p>
    <w:p w14:paraId="6E5D7A0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（15）经</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同意，签发工程暂停令和复工令。</w:t>
      </w:r>
    </w:p>
    <w:p w14:paraId="2AC6F43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（16）审查施工承包人提交的采用新材料、新工艺、新技术、新设备的论证材料及相关验收标准。</w:t>
      </w:r>
    </w:p>
    <w:p w14:paraId="5D2E015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（17）验收隐蔽工程、分部分项工程。</w:t>
      </w:r>
    </w:p>
    <w:p w14:paraId="5D791F2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（18）审查施工承包人提交的工程变更申请，协调处理施工进度调整、费用索赔、合同争议等事项；根据施工合同及有关文件规定，督促检查承包人及时完成各阶段施工资料的整理及竣工资料的编制，并按时交</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归档。</w:t>
      </w:r>
    </w:p>
    <w:p w14:paraId="3AF44AC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（19）审查施工承包人提交的竣工验收申请，编写工程质量评估报告。</w:t>
      </w:r>
    </w:p>
    <w:p w14:paraId="45903B9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（20）参加工程竣工验收，签署竣工验收意见。</w:t>
      </w:r>
    </w:p>
    <w:p w14:paraId="4EB480B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（21）审查施工承包人提交的竣工结算申请并报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w:t>
      </w:r>
    </w:p>
    <w:p w14:paraId="6277F33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（22）编制、整理工程监理归档文件并报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。根据有关文件规定，向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提交工程竣工备案的监理资料。</w:t>
      </w:r>
    </w:p>
    <w:p w14:paraId="633F6E0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（23）监理人在监理期间应严格遵守国家、省、市有关防火、爆破和监理安全以及文明监理、深夜监理、环卫城管等规定，建立规章制度和防护措施。否则，由此造成的经济和法律责任，均由监理人负责。</w:t>
      </w:r>
    </w:p>
    <w:p w14:paraId="7DF837D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24）依据有关法律、法规、工程建设强制性标准、设计文件及施工合同，对承包人报送的竣工资料进行审查，并对工程质量进行竣工预验收。审查《工程竣工报告书》，对存在的问题，及时要求承包人整改，编写《工程质量评估报告》及整理监理资料，负责组织初验，签署由承包人提出的全部工程竣工验收报告，组织工程竣工验收，负责办理竣工资料的归档,并通过市城建档案馆的验收,协助</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备案手续</w:t>
      </w:r>
      <w:r>
        <w:rPr>
          <w:rFonts w:ascii="宋体" w:hAnsi="宋体" w:eastAsia="宋体" w:cs="宋体"/>
          <w:color w:val="auto"/>
          <w:kern w:val="0"/>
          <w:sz w:val="24"/>
          <w:highlight w:val="none"/>
          <w:lang w:val="zh-CN"/>
        </w:rPr>
        <w:t>。</w:t>
      </w:r>
    </w:p>
    <w:p w14:paraId="6A0B337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2.1.3 相关服务的范围和内容在附录A中约定。</w:t>
      </w:r>
    </w:p>
    <w:p w14:paraId="2DFC46C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2.2 监理与相关服务依据</w:t>
      </w:r>
    </w:p>
    <w:p w14:paraId="56D9E7C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2.2.1 监理依据包括：</w:t>
      </w:r>
    </w:p>
    <w:p w14:paraId="7394FAA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（1）适用的法律、行政法规及部门规章；</w:t>
      </w:r>
    </w:p>
    <w:p w14:paraId="6823F7C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（2）与工程有关的标准；</w:t>
      </w:r>
    </w:p>
    <w:p w14:paraId="4665F9D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（3）工程设计及有关文件；</w:t>
      </w:r>
    </w:p>
    <w:p w14:paraId="5CDC335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（4）本合同及委托人与第三方签订的与实施工程有关的其他合同。</w:t>
      </w:r>
    </w:p>
    <w:p w14:paraId="76D4741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双方根据工程的行业和地域特点，在专用条件中具体约定监理依据。</w:t>
      </w:r>
    </w:p>
    <w:p w14:paraId="7447AB9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2.2.2 相关服务依据在专用条件中约定。</w:t>
      </w:r>
    </w:p>
    <w:p w14:paraId="4700DCA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2.3项目监理机构和人员</w:t>
      </w:r>
    </w:p>
    <w:p w14:paraId="52BBEA6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2.3.1 监理人按合同约定、《投标文件》承诺派出监理工作需要的监理机构及监理人员。</w:t>
      </w:r>
    </w:p>
    <w:p w14:paraId="1F95963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2.3.2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 xml:space="preserve">有权以书面形式要求监理人更换不能按照监理合同的约定进行监理服务的派驻人员。 </w:t>
      </w:r>
    </w:p>
    <w:p w14:paraId="6CB3B83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2.3.3 更换监理人员的其他情形： </w:t>
      </w:r>
    </w:p>
    <w:p w14:paraId="0241C9C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有权要求监理人更换不称职的监理人员，直到终止合同。</w:t>
      </w:r>
    </w:p>
    <w:p w14:paraId="2E0FE1C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当总监理工程师需要调整时，监理人须提前14天书面通知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，征得</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书面同意后方可调整，否则，因监理人擅自变更总监理工程师对</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造成的损失应由监理人承担赔偿责任。</w:t>
      </w:r>
    </w:p>
    <w:p w14:paraId="102F30C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监理人应保持现场监理人员相对固定。监理人因工作安排或其他原因，需要更换派驻到工程所在地的重要岗位监理人员时，应事先得到</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的同意且至少提前7天以书面形式通知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，即使是</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要求或同意更换的监理人员，其代替人员的资质不得低于被代替人员。变更或调整监理人员必须经</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同意并经建设项目行政主管部门备案批准后方可进行</w:t>
      </w:r>
      <w:r>
        <w:rPr>
          <w:rFonts w:ascii="宋体" w:hAnsi="宋体" w:eastAsia="宋体" w:cs="宋体"/>
          <w:color w:val="auto"/>
          <w:kern w:val="0"/>
          <w:sz w:val="24"/>
          <w:highlight w:val="none"/>
          <w:lang w:val="zh-CN"/>
        </w:rPr>
        <w:t>。</w:t>
      </w:r>
    </w:p>
    <w:p w14:paraId="14AF711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2.3.4 监理人应及时更换有下列情形之一的监理人员：</w:t>
      </w:r>
    </w:p>
    <w:p w14:paraId="4C72F67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（1）严重过失行为的；</w:t>
      </w:r>
    </w:p>
    <w:p w14:paraId="7094C3F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（2）有违法行为不能履行职责的；</w:t>
      </w:r>
    </w:p>
    <w:p w14:paraId="4C26A27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（3）涉嫌犯罪的；</w:t>
      </w:r>
    </w:p>
    <w:p w14:paraId="669B1A6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（4）不能胜任岗位职责的；</w:t>
      </w:r>
    </w:p>
    <w:p w14:paraId="659EDD3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（5）严重违反职业道德的；</w:t>
      </w:r>
    </w:p>
    <w:p w14:paraId="6FF6A577">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（6）专用条件约定的其他情形。</w:t>
      </w:r>
    </w:p>
    <w:p w14:paraId="245A451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2.3.5 委托人可要求监理人更换不能胜任本职工作的项目监理机构人员。</w:t>
      </w:r>
    </w:p>
    <w:p w14:paraId="1944450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 履行职责</w:t>
      </w:r>
    </w:p>
    <w:p w14:paraId="64F5CA4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监理人应遵循职业道德准则和行为规范，严格按照法律法规、工程建设有关标准及本合同履行职责。</w:t>
      </w:r>
    </w:p>
    <w:p w14:paraId="121F75E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2.4.1 在监理与相关服务范围内，委托人和承包人提出的意见和要求，监理人应及时提出处置意见。当委托人与承包人之间发生合同争议时，监理人应协助委托人、承包人协商解决。</w:t>
      </w:r>
    </w:p>
    <w:p w14:paraId="3635E23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2.4.2 当委托人与承包人之间的合同争议提交仲裁机构仲裁或人民法院审理时，监理人应提供必要的证明资料。</w:t>
      </w:r>
    </w:p>
    <w:p w14:paraId="3AB0EBB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2.4.3 监理人应在专用条件约定的授权范围内，处理委托人与承包人所签订合同的变更事宜。如果变更超过授权范围，应以书面形式报委托人批准。</w:t>
      </w:r>
    </w:p>
    <w:p w14:paraId="3E4CB46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在紧急情况下，为了保护财产和人身安全，监理人所发出的指令未能事先报委托人批准时，应在发出指令后的24小时内以书面形式报委托人。</w:t>
      </w:r>
    </w:p>
    <w:p w14:paraId="6B20721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2.4.4 除专用条件另有约定外，监理人发现承包人的人员不能胜任本职工作的，有权要求承包人予以调换。</w:t>
      </w:r>
    </w:p>
    <w:p w14:paraId="0C7B448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2.5 提交报告</w:t>
      </w:r>
    </w:p>
    <w:p w14:paraId="3A1424E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监理人应按专用条件约定的种类、时间和份数向委托人提交监理与相关服务的报告。</w:t>
      </w:r>
    </w:p>
    <w:p w14:paraId="75A11B1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2.6 文件资料</w:t>
      </w:r>
    </w:p>
    <w:p w14:paraId="4A8E634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在本合同履行期内，监理人应在现场保留工作所用的图纸、报告及记录监理工作的相关文件。工程竣工后，应当按照档案管理规定将监理有关文件归档。</w:t>
      </w:r>
    </w:p>
    <w:p w14:paraId="0CCA083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2.7 使用委托人的财产</w:t>
      </w:r>
    </w:p>
    <w:p w14:paraId="632BB3C2">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lang w:val="zh-CN"/>
        </w:rPr>
      </w:pPr>
      <w:r>
        <w:rPr>
          <w:rFonts w:ascii="宋体" w:hAnsi="宋体" w:eastAsia="宋体" w:cs="宋体"/>
          <w:color w:val="auto"/>
          <w:kern w:val="0"/>
          <w:sz w:val="24"/>
          <w:highlight w:val="none"/>
          <w:lang w:val="zh-CN"/>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04DF84C1">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3．委托人的义务</w:t>
      </w:r>
    </w:p>
    <w:p w14:paraId="58184B9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3.1 告知</w:t>
      </w:r>
    </w:p>
    <w:p w14:paraId="4BA5B93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委托人应在委托人与承包人签订的合同中明确监理人、总监理工程师和授予项目监理机构的权限。如有变更，应及时通知承包人。</w:t>
      </w:r>
    </w:p>
    <w:p w14:paraId="09AAB45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3.2 提供资料</w:t>
      </w:r>
    </w:p>
    <w:p w14:paraId="51C7C8B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委托人应按照附录B约定，无偿向监理人提供工程有关的资料。在本合同履行过程中，委托人应及时向监理人提供最新的与工程有关的资料。</w:t>
      </w:r>
    </w:p>
    <w:p w14:paraId="024F5B7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3.3 提供工作条件</w:t>
      </w:r>
    </w:p>
    <w:p w14:paraId="45CBBD4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委托人应为监理人完成监理与相关服务提供必要的条件。</w:t>
      </w:r>
    </w:p>
    <w:p w14:paraId="556CE81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3.3.1 委托人应按照附录B约定，派遣相应人员，不需提供房屋、设备，监理人自行安排。</w:t>
      </w:r>
    </w:p>
    <w:p w14:paraId="5C6803C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3.3.2 委托人应负责协调工程建设中所有外部关系，为监理人履行本合同提供必要的外部条件。</w:t>
      </w:r>
    </w:p>
    <w:p w14:paraId="55593CB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3.4 委托人代表</w:t>
      </w:r>
    </w:p>
    <w:p w14:paraId="6A7D35B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委托人应授权一名熟悉工程情况的代表，负责与监理人联系。委托人应在双方签订本合同后7天内，将委托人代表的姓名和职责书面告知监理人。当委托人更换委托人代表时，应提前7天通知监理人。</w:t>
      </w:r>
    </w:p>
    <w:p w14:paraId="796F79E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3.5 委托人意见或要求</w:t>
      </w:r>
    </w:p>
    <w:p w14:paraId="4D3B8FB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在本合同约定的监理与相关服务工作范围内，委托人对承包人的任何意见或要求应通知监理人，由监理人向承包人发出相应指令。</w:t>
      </w:r>
    </w:p>
    <w:p w14:paraId="12CAEB0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3.6 答复</w:t>
      </w:r>
    </w:p>
    <w:p w14:paraId="05ABEE4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委托人应在专用条件约定的时间内，对监理人以书面形式提交并要求作出决定的事宜，给予书面答复。逾期未答复的，视为委托人认可。</w:t>
      </w:r>
    </w:p>
    <w:p w14:paraId="5502994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3.7 支付</w:t>
      </w:r>
    </w:p>
    <w:p w14:paraId="035306D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委托人应按本合同约定，向监理人支付酬金。</w:t>
      </w:r>
    </w:p>
    <w:p w14:paraId="77A43FD5">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4. 违约责任</w:t>
      </w:r>
    </w:p>
    <w:p w14:paraId="29F543F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4.1 监理人的违约责任</w:t>
      </w:r>
    </w:p>
    <w:p w14:paraId="6AE4390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监理人未履行本合同义务的，应承担相应的责任。</w:t>
      </w:r>
    </w:p>
    <w:p w14:paraId="4E2DEB4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4.1.1 因监理人违反本合同约定给委托人造成损失的，监理人应当赔偿委托人损失。赔偿金额的确定方法在专用条件中约定。监理人承担部分赔偿责任的，其承担赔偿金额由双方协商确定。</w:t>
      </w:r>
    </w:p>
    <w:p w14:paraId="64F6E31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4.1.2 监理人向委托人的索赔不成立时，监理人应赔偿委托人由此发生的费用。</w:t>
      </w:r>
    </w:p>
    <w:p w14:paraId="60E2096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4.2 委托人的违约责任</w:t>
      </w:r>
    </w:p>
    <w:p w14:paraId="7216631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委托人未履行本合同义务的，应承担相应的责任。</w:t>
      </w:r>
    </w:p>
    <w:p w14:paraId="4D0C2F4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4.2.1 委托人违反本合同约定造成监理人损失的，委托人应予以赔偿。</w:t>
      </w:r>
    </w:p>
    <w:p w14:paraId="5343D14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4.2.2 委托人向监理人的索赔不成立时，应赔偿监理人由此引起的费用。</w:t>
      </w:r>
    </w:p>
    <w:p w14:paraId="3881E77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4.3 除外责任</w:t>
      </w:r>
    </w:p>
    <w:p w14:paraId="628A931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因非监理人的原因，且监理人无过错，发生工程质量事故、安全事故、工期延误等造成的损失，监理人不承担赔偿责任。</w:t>
      </w:r>
    </w:p>
    <w:p w14:paraId="51430E43">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lang w:val="zh-CN"/>
        </w:rPr>
      </w:pPr>
      <w:r>
        <w:rPr>
          <w:rFonts w:ascii="宋体" w:hAnsi="宋体" w:eastAsia="宋体" w:cs="宋体"/>
          <w:color w:val="auto"/>
          <w:kern w:val="0"/>
          <w:sz w:val="24"/>
          <w:highlight w:val="none"/>
          <w:lang w:val="zh-CN"/>
        </w:rPr>
        <w:t>因不可抗力导致本合同全部或部分不能履行时，双方各自承担其因此而造成的损失、损害。</w:t>
      </w:r>
    </w:p>
    <w:p w14:paraId="41CB2BD7">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5. 支付</w:t>
      </w:r>
    </w:p>
    <w:p w14:paraId="23846DE2">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5.1 支付货币</w:t>
      </w:r>
    </w:p>
    <w:p w14:paraId="17B09FC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除专用条件另有约定外，酬金均以人民币支付。涉及外币支付的，所采用的货币种类、比例和汇率在专用条件中约定。</w:t>
      </w:r>
    </w:p>
    <w:p w14:paraId="12D9C72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5.2 支付申请</w:t>
      </w:r>
    </w:p>
    <w:p w14:paraId="4C94702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监理人应在本合同约定的每次应付款时间的7天前，向委托人提交支付申请书。支付申请书应当说明当期应付款总额，并列出当期应支付的款项及其金额。</w:t>
      </w:r>
    </w:p>
    <w:p w14:paraId="7122246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5.3 支付酬金</w:t>
      </w:r>
    </w:p>
    <w:p w14:paraId="386658A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支付的酬金包括正常工作酬金、附加工作酬金、合理化建议奖励金额及费用。</w:t>
      </w:r>
    </w:p>
    <w:p w14:paraId="4422B8B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5.4 有争议部分的付款</w:t>
      </w:r>
    </w:p>
    <w:p w14:paraId="5108863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委托人对监理人提交的支付申请书有异议时，应当在收到监理人提交的支付申请书后7天内，以书面形式向监理人发出异议通知。无异议部分的款项应按期支付，有异议部分的款项按第7条约定办理。</w:t>
      </w:r>
    </w:p>
    <w:p w14:paraId="09022CE5">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6. 合同生效、变更、暂停、解除与终止</w:t>
      </w:r>
    </w:p>
    <w:p w14:paraId="74157C6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6.1生效</w:t>
      </w:r>
    </w:p>
    <w:p w14:paraId="1DFAEC0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除法律另有规定或者专用条件另有约定外，委托人和监理人的法定代表人或其授权代理人在协议书上签字并盖单位章后本合同生效。</w:t>
      </w:r>
    </w:p>
    <w:p w14:paraId="6E2342A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6.2变更</w:t>
      </w:r>
    </w:p>
    <w:p w14:paraId="1CB5470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6.2.1 任何一方提出变更请求时，双方经协商一致后可进行变更。</w:t>
      </w:r>
    </w:p>
    <w:p w14:paraId="699D730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13EA5DA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6.2.3合同生效后，如果实际情况发生变化使得监理人不能完成全部或部分工作时，监理人应立即通知委托人。除不可抗力及监理人原因外，其善后工作以及恢复服务的准备工作应为附加工作，附加工作酬金的确定方法在专用条件中约定。监理人用于恢复服务的准备时间不应超过28天。</w:t>
      </w:r>
    </w:p>
    <w:p w14:paraId="28C56A1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6.2.4合同签订后，遇有与工程相关的法律法规、标准颁布或修订的，双方应遵照执行。由此引起监理与相关服务的范围、时间、酬金变化的，双方应通过协商进行相应调整。</w:t>
      </w:r>
    </w:p>
    <w:p w14:paraId="4425EEFD">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6.2.5 因非监理人原因造成工程概算投资额或建筑安装工程费增加时，正常工作酬金应作相应调整。调整方法在专用条件中约定。</w:t>
      </w:r>
    </w:p>
    <w:p w14:paraId="2B50D9B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6.2.6 因工程规模、监理范围的变化导致监理人的正常工作量减少时，正常工作酬金应作相应调整。调整方法在专用条件中约定。</w:t>
      </w:r>
    </w:p>
    <w:p w14:paraId="110A277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 暂停与解除</w:t>
      </w:r>
    </w:p>
    <w:p w14:paraId="2E5C041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除双方协商一致可以解除本合同外，当一方无正当理由未履行本合同约定的义务时，另一方可以根据本合同约定暂停履行本合同直至解除本合同。</w:t>
      </w:r>
    </w:p>
    <w:p w14:paraId="67B71F5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662ABCAF">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因解除本合同或解除监理人的部分义务导致监理人遭受的损失，除依法可以免除责任的情况外，应由委托人予以补偿，补偿金额由双方协商确定。</w:t>
      </w:r>
    </w:p>
    <w:p w14:paraId="73DE239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解除本合同的协议必须采取书面形式，协议未达成之前，本合同仍然有效。</w:t>
      </w:r>
    </w:p>
    <w:p w14:paraId="6E50AD2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7435E27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暂停部分监理与相关服务时间超过365天，监理人可发出解除本合同约定的该部分义务的通知；暂停全部工作时间超过365天，监理人可发出解除本合同的通知，本合同自通知到达委托人时解除。委托人应将监理与相关服务的酬金支付至本合同解除日，且应承担第4.2款约定的责任。</w:t>
      </w:r>
    </w:p>
    <w:p w14:paraId="2A7049F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14:paraId="71A5E4B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6.3.4 监理人在专用条件5.</w:t>
      </w:r>
      <w:r>
        <w:rPr>
          <w:rFonts w:hint="eastAsia" w:ascii="宋体" w:hAnsi="宋体" w:eastAsia="宋体" w:cs="宋体"/>
          <w:color w:val="auto"/>
          <w:kern w:val="0"/>
          <w:sz w:val="24"/>
          <w:highlight w:val="none"/>
          <w:lang w:val="en-US" w:eastAsia="zh-CN"/>
        </w:rPr>
        <w:t>2</w:t>
      </w:r>
      <w:r>
        <w:rPr>
          <w:rFonts w:ascii="宋体" w:hAnsi="宋体" w:eastAsia="宋体" w:cs="宋体"/>
          <w:color w:val="auto"/>
          <w:kern w:val="0"/>
          <w:sz w:val="24"/>
          <w:highlight w:val="none"/>
          <w:lang w:val="zh-CN"/>
        </w:rPr>
        <w:t>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w:t>
      </w:r>
      <w:r>
        <w:rPr>
          <w:rFonts w:hint="eastAsia" w:ascii="宋体" w:hAnsi="宋体" w:eastAsia="宋体" w:cs="宋体"/>
          <w:color w:val="auto"/>
          <w:kern w:val="0"/>
          <w:sz w:val="24"/>
          <w:highlight w:val="none"/>
          <w:lang w:val="en-US" w:eastAsia="zh-CN"/>
        </w:rPr>
        <w:t>2</w:t>
      </w:r>
      <w:r>
        <w:rPr>
          <w:rFonts w:ascii="宋体" w:hAnsi="宋体" w:eastAsia="宋体" w:cs="宋体"/>
          <w:color w:val="auto"/>
          <w:kern w:val="0"/>
          <w:sz w:val="24"/>
          <w:highlight w:val="none"/>
          <w:lang w:val="zh-CN"/>
        </w:rPr>
        <w:t>款约定的责任。</w:t>
      </w:r>
    </w:p>
    <w:p w14:paraId="1F6C57E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6.3.5 因不可抗力致使本合同部分或全部不能履行时，一方应立即通知另一方，可暂停或解除本合同。</w:t>
      </w:r>
    </w:p>
    <w:p w14:paraId="48BBC1A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6.3.6 本合同解除后，本合同约定的有关结算、清理、争议解决方式的条件仍然有效。</w:t>
      </w:r>
    </w:p>
    <w:p w14:paraId="57598DA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6.4 终止</w:t>
      </w:r>
    </w:p>
    <w:p w14:paraId="5C5198D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以下条件全部满足时，本合同即告终止：</w:t>
      </w:r>
    </w:p>
    <w:p w14:paraId="7D396C7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（1）监理人完成本合同约定的全部工作；</w:t>
      </w:r>
    </w:p>
    <w:p w14:paraId="5766384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（2）委托人与监理人结清并支付全部酬金。</w:t>
      </w:r>
    </w:p>
    <w:p w14:paraId="611D156A">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7. 争议解决</w:t>
      </w:r>
    </w:p>
    <w:p w14:paraId="7127C52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7.1协商</w:t>
      </w:r>
    </w:p>
    <w:p w14:paraId="13365E8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双方应本着诚信原则协商解决彼此间的争议。</w:t>
      </w:r>
    </w:p>
    <w:p w14:paraId="40C8AA5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7.2调解</w:t>
      </w:r>
    </w:p>
    <w:p w14:paraId="014AADE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如果双方不能在14天内或双方商定的其他时间内解决本合同争议，可以将其提交给专用条件约定的或事后达成协议的调解人进行调解。</w:t>
      </w:r>
    </w:p>
    <w:p w14:paraId="1574859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7.3仲裁或诉讼</w:t>
      </w:r>
    </w:p>
    <w:p w14:paraId="168D32A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双方均有权不经调解直接向专用条件约定的仲裁机构申请仲裁或向有管辖权的人民法院提起诉讼。</w:t>
      </w:r>
    </w:p>
    <w:p w14:paraId="3FB5E463">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8. 其他</w:t>
      </w:r>
    </w:p>
    <w:p w14:paraId="4441ECC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8.1 外出考察费用</w:t>
      </w:r>
    </w:p>
    <w:p w14:paraId="25CD210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经委托人同意，监理人员外出考察发生的费用由委托人审核后支付。</w:t>
      </w:r>
    </w:p>
    <w:p w14:paraId="6E4F966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8.2 检测费用</w:t>
      </w:r>
    </w:p>
    <w:p w14:paraId="12A8D15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委托人要求监理人进行的材料和设备检测所发生的费用，由委托人支付，支付时间在专用条件中约定。</w:t>
      </w:r>
    </w:p>
    <w:p w14:paraId="4C387E4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8.3 咨询费用</w:t>
      </w:r>
    </w:p>
    <w:p w14:paraId="5A3B001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经委托人同意，根据工程需要由监理人组织的相关咨询论证会以及聘请相关专家等发生的费用由委托人支付，支付时间在专用条件中约定。</w:t>
      </w:r>
    </w:p>
    <w:p w14:paraId="1A86D68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8.4 奖励</w:t>
      </w:r>
    </w:p>
    <w:p w14:paraId="7D16B6DC">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监理人在服务过程中提出的合理化建议，使委托人获得经济效益的，双方在专用条件中约定奖励金额的确定方法。奖励金额在合理化建议被采纳后，与最近一期正常工作酬金同期支付。</w:t>
      </w:r>
    </w:p>
    <w:p w14:paraId="73AE889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8.5 守法诚信</w:t>
      </w:r>
    </w:p>
    <w:p w14:paraId="12A3289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监理人及其工作人员不得从与实施工程有关的第三方处获得任何经济利益。</w:t>
      </w:r>
    </w:p>
    <w:p w14:paraId="5E517D9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8.6 保密</w:t>
      </w:r>
    </w:p>
    <w:p w14:paraId="7240556E">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双方不得泄露对方申明的保密资料，亦不得泄露与实施工程有关的第三方所提供的保密资料，保密事项在专用条件中约定。</w:t>
      </w:r>
    </w:p>
    <w:p w14:paraId="430F2FB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8.7 通知</w:t>
      </w:r>
    </w:p>
    <w:p w14:paraId="204717F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本合同涉及的通知均应当采用书面形式，并在送达对方时生效，收件人应书面签收。</w:t>
      </w:r>
    </w:p>
    <w:p w14:paraId="4AA43BB1">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8.8 著作权</w:t>
      </w:r>
    </w:p>
    <w:p w14:paraId="5D2BA090">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监理人对其编制的文件拥有著作权。</w:t>
      </w:r>
    </w:p>
    <w:p w14:paraId="613E96E8">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25B65489">
      <w:pPr>
        <w:keepNext w:val="0"/>
        <w:keepLines w:val="0"/>
        <w:pageBreakBefore w:val="0"/>
        <w:overflowPunct/>
        <w:topLinePunct w:val="0"/>
        <w:autoSpaceDE w:val="0"/>
        <w:autoSpaceDN/>
        <w:bidi w:val="0"/>
        <w:spacing w:line="360" w:lineRule="exact"/>
        <w:ind w:firstLine="3534" w:firstLineChars="1100"/>
        <w:rPr>
          <w:rFonts w:ascii="宋体" w:hAnsi="宋体" w:cs="宋体"/>
          <w:b/>
          <w:bCs/>
          <w:color w:val="auto"/>
          <w:kern w:val="0"/>
          <w:sz w:val="36"/>
          <w:szCs w:val="36"/>
          <w:highlight w:val="none"/>
          <w:lang w:val="zh-CN"/>
        </w:rPr>
      </w:pPr>
      <w:r>
        <w:rPr>
          <w:rFonts w:ascii="宋体" w:hAnsi="宋体" w:cs="宋体"/>
          <w:b/>
          <w:bCs/>
          <w:color w:val="auto"/>
          <w:kern w:val="0"/>
          <w:sz w:val="32"/>
          <w:szCs w:val="32"/>
          <w:highlight w:val="none"/>
          <w:lang w:val="zh-CN"/>
        </w:rPr>
        <w:t>第三部分  专用条件</w:t>
      </w:r>
    </w:p>
    <w:p w14:paraId="7EAD6468">
      <w:pPr>
        <w:keepNext w:val="0"/>
        <w:keepLines w:val="0"/>
        <w:pageBreakBefore w:val="0"/>
        <w:overflowPunct/>
        <w:topLinePunct w:val="0"/>
        <w:autoSpaceDE w:val="0"/>
        <w:autoSpaceDN/>
        <w:bidi w:val="0"/>
        <w:spacing w:line="360" w:lineRule="exact"/>
        <w:ind w:firstLine="482" w:firstLineChars="200"/>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1. 定义与解释</w:t>
      </w:r>
    </w:p>
    <w:p w14:paraId="47A9D28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1</w:t>
      </w:r>
      <w:r>
        <w:rPr>
          <w:rFonts w:ascii="宋体" w:hAnsi="宋体" w:eastAsia="宋体" w:cs="宋体"/>
          <w:color w:val="auto"/>
          <w:kern w:val="0"/>
          <w:sz w:val="24"/>
          <w:highlight w:val="none"/>
          <w:lang w:val="zh-CN"/>
        </w:rPr>
        <w:t xml:space="preserve">  解释</w:t>
      </w:r>
    </w:p>
    <w:p w14:paraId="425F13F7">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2</w:t>
      </w:r>
      <w:r>
        <w:rPr>
          <w:rFonts w:ascii="宋体" w:hAnsi="宋体" w:eastAsia="宋体" w:cs="宋体"/>
          <w:color w:val="auto"/>
          <w:kern w:val="0"/>
          <w:sz w:val="24"/>
          <w:highlight w:val="none"/>
          <w:lang w:val="zh-CN"/>
        </w:rPr>
        <w:t xml:space="preserve"> 本合同文件除使用中文外，还可用</w:t>
      </w:r>
      <w:r>
        <w:rPr>
          <w:rFonts w:ascii="宋体" w:hAnsi="宋体" w:eastAsia="宋体" w:cs="宋体"/>
          <w:color w:val="auto"/>
          <w:kern w:val="0"/>
          <w:sz w:val="24"/>
          <w:highlight w:val="none"/>
          <w:u w:val="single"/>
          <w:lang w:val="zh-CN"/>
        </w:rPr>
        <w:t xml:space="preserve">／ </w:t>
      </w:r>
      <w:r>
        <w:rPr>
          <w:rFonts w:ascii="宋体" w:hAnsi="宋体" w:eastAsia="宋体" w:cs="宋体"/>
          <w:color w:val="auto"/>
          <w:kern w:val="0"/>
          <w:sz w:val="24"/>
          <w:highlight w:val="none"/>
          <w:lang w:val="zh-CN"/>
        </w:rPr>
        <w:t>。</w:t>
      </w:r>
    </w:p>
    <w:p w14:paraId="1AB958B2">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lang w:val="zh-CN"/>
        </w:rPr>
      </w:pPr>
      <w:r>
        <w:rPr>
          <w:rFonts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3</w:t>
      </w:r>
      <w:r>
        <w:rPr>
          <w:rFonts w:ascii="宋体" w:hAnsi="宋体" w:eastAsia="宋体" w:cs="宋体"/>
          <w:color w:val="auto"/>
          <w:kern w:val="0"/>
          <w:sz w:val="24"/>
          <w:highlight w:val="none"/>
          <w:lang w:val="zh-CN"/>
        </w:rPr>
        <w:t xml:space="preserve"> 约定本合同文件的解释顺</w:t>
      </w:r>
      <w:r>
        <w:rPr>
          <w:rFonts w:ascii="宋体" w:hAnsi="宋体" w:cs="宋体"/>
          <w:color w:val="auto"/>
          <w:kern w:val="0"/>
          <w:sz w:val="24"/>
          <w:highlight w:val="none"/>
          <w:lang w:val="zh-CN"/>
        </w:rPr>
        <w:t>序为：</w:t>
      </w:r>
      <w:r>
        <w:rPr>
          <w:rFonts w:ascii="宋体" w:hAnsi="宋体" w:cs="宋体"/>
          <w:color w:val="auto"/>
          <w:kern w:val="0"/>
          <w:sz w:val="24"/>
          <w:highlight w:val="none"/>
          <w:u w:val="single"/>
          <w:lang w:val="zh-CN"/>
        </w:rPr>
        <w:t>1、协议书  2、</w:t>
      </w:r>
      <w:r>
        <w:rPr>
          <w:rFonts w:hint="eastAsia" w:ascii="宋体" w:hAnsi="宋体" w:cs="宋体"/>
          <w:color w:val="auto"/>
          <w:kern w:val="0"/>
          <w:sz w:val="24"/>
          <w:highlight w:val="none"/>
          <w:u w:val="single"/>
          <w:lang w:val="en-US" w:eastAsia="zh-CN"/>
        </w:rPr>
        <w:t>投标文件  3、</w:t>
      </w:r>
      <w:r>
        <w:rPr>
          <w:rFonts w:ascii="宋体" w:hAnsi="宋体" w:cs="宋体"/>
          <w:color w:val="auto"/>
          <w:kern w:val="0"/>
          <w:sz w:val="24"/>
          <w:highlight w:val="none"/>
          <w:u w:val="single"/>
          <w:lang w:val="zh-CN"/>
        </w:rPr>
        <w:t xml:space="preserve">专用条款 </w:t>
      </w:r>
      <w:r>
        <w:rPr>
          <w:rFonts w:hint="eastAsia" w:ascii="宋体" w:hAnsi="宋体" w:cs="宋体"/>
          <w:color w:val="auto"/>
          <w:kern w:val="0"/>
          <w:sz w:val="24"/>
          <w:highlight w:val="none"/>
          <w:u w:val="single"/>
          <w:lang w:val="en-US" w:eastAsia="zh-CN"/>
        </w:rPr>
        <w:t xml:space="preserve"> 4</w:t>
      </w:r>
      <w:r>
        <w:rPr>
          <w:rFonts w:ascii="宋体" w:hAnsi="宋体" w:cs="宋体"/>
          <w:color w:val="auto"/>
          <w:kern w:val="0"/>
          <w:sz w:val="24"/>
          <w:highlight w:val="none"/>
          <w:u w:val="single"/>
          <w:lang w:val="zh-CN"/>
        </w:rPr>
        <w:t>、通用条款</w:t>
      </w:r>
      <w:r>
        <w:rPr>
          <w:rFonts w:hint="eastAsia" w:ascii="宋体" w:hAnsi="宋体" w:cs="宋体"/>
          <w:color w:val="auto"/>
          <w:kern w:val="0"/>
          <w:sz w:val="24"/>
          <w:highlight w:val="none"/>
          <w:u w:val="single"/>
          <w:lang w:val="en-US" w:eastAsia="zh-CN"/>
        </w:rPr>
        <w:t xml:space="preserve">  5、相关法律法规</w:t>
      </w:r>
      <w:r>
        <w:rPr>
          <w:rFonts w:ascii="宋体" w:hAnsi="宋体" w:cs="宋体"/>
          <w:color w:val="auto"/>
          <w:kern w:val="0"/>
          <w:sz w:val="24"/>
          <w:highlight w:val="none"/>
          <w:u w:val="single"/>
          <w:lang w:val="zh-CN"/>
        </w:rPr>
        <w:t xml:space="preserve">  </w:t>
      </w:r>
      <w:r>
        <w:rPr>
          <w:rFonts w:ascii="宋体" w:hAnsi="宋体" w:cs="宋体"/>
          <w:color w:val="auto"/>
          <w:kern w:val="0"/>
          <w:sz w:val="24"/>
          <w:highlight w:val="none"/>
          <w:lang w:val="zh-CN"/>
        </w:rPr>
        <w:t>。</w:t>
      </w:r>
    </w:p>
    <w:p w14:paraId="719B156E">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1"/>
        <w:rPr>
          <w:rFonts w:hAnsi="宋体" w:cs="宋体"/>
          <w:snapToGrid w:val="0"/>
          <w:color w:val="auto"/>
          <w:kern w:val="0"/>
          <w:szCs w:val="24"/>
          <w:highlight w:val="none"/>
        </w:rPr>
      </w:pPr>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.1</w:t>
      </w:r>
      <w:r>
        <w:rPr>
          <w:rFonts w:hint="eastAsia" w:hAnsi="宋体" w:cs="宋体"/>
          <w:b/>
          <w:bCs/>
          <w:snapToGrid w:val="0"/>
          <w:color w:val="auto"/>
          <w:kern w:val="0"/>
          <w:szCs w:val="24"/>
          <w:highlight w:val="none"/>
        </w:rPr>
        <w:t>．现场办公条件</w:t>
      </w:r>
      <w:bookmarkEnd w:id="145"/>
      <w:bookmarkEnd w:id="146"/>
      <w:bookmarkEnd w:id="147"/>
      <w:bookmarkEnd w:id="148"/>
    </w:p>
    <w:p w14:paraId="2E5B98A8">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1.1</w:t>
      </w:r>
      <w:r>
        <w:rPr>
          <w:rFonts w:hint="eastAsia" w:hAnsi="宋体" w:cs="宋体"/>
          <w:b/>
          <w:bCs/>
          <w:snapToGrid w:val="0"/>
          <w:color w:val="auto"/>
          <w:kern w:val="0"/>
          <w:szCs w:val="24"/>
          <w:highlight w:val="none"/>
          <w:lang w:val="en-US" w:eastAsia="zh-CN"/>
        </w:rPr>
        <w:t>.1</w:t>
      </w:r>
      <w:r>
        <w:rPr>
          <w:rFonts w:hint="eastAsia" w:hAnsi="宋体" w:cs="宋体"/>
          <w:snapToGrid w:val="0"/>
          <w:color w:val="auto"/>
          <w:kern w:val="0"/>
          <w:szCs w:val="24"/>
          <w:highlight w:val="none"/>
        </w:rPr>
        <w:t>监理人的办公、休息场所不得与</w:t>
      </w:r>
      <w:r>
        <w:rPr>
          <w:rFonts w:hint="eastAsia" w:hAnsi="宋体" w:cs="宋体"/>
          <w:snapToGrid w:val="0"/>
          <w:color w:val="auto"/>
          <w:kern w:val="0"/>
          <w:szCs w:val="24"/>
          <w:highlight w:val="none"/>
          <w:lang w:eastAsia="zh-CN"/>
        </w:rPr>
        <w:t>施工单位</w:t>
      </w:r>
      <w:r>
        <w:rPr>
          <w:rFonts w:hint="eastAsia" w:hAnsi="宋体" w:cs="宋体"/>
          <w:snapToGrid w:val="0"/>
          <w:color w:val="auto"/>
          <w:kern w:val="0"/>
          <w:szCs w:val="24"/>
          <w:highlight w:val="none"/>
        </w:rPr>
        <w:t>混用。所需场所、水电网络接入由委托人征求监理人意见后，与</w:t>
      </w:r>
      <w:r>
        <w:rPr>
          <w:rFonts w:hint="eastAsia" w:hAnsi="宋体" w:cs="宋体"/>
          <w:snapToGrid w:val="0"/>
          <w:color w:val="auto"/>
          <w:kern w:val="0"/>
          <w:szCs w:val="24"/>
          <w:highlight w:val="none"/>
          <w:lang w:eastAsia="zh-CN"/>
        </w:rPr>
        <w:t>施工单位</w:t>
      </w:r>
      <w:r>
        <w:rPr>
          <w:rFonts w:hint="eastAsia" w:hAnsi="宋体" w:cs="宋体"/>
          <w:snapToGrid w:val="0"/>
          <w:color w:val="auto"/>
          <w:kern w:val="0"/>
          <w:szCs w:val="24"/>
          <w:highlight w:val="none"/>
        </w:rPr>
        <w:t>协调明确，但费用（若有）由监理人支付。监理人所需场所的数量及其面积应与项目规模、特点相匹配，并应满足监理工作正常运作的需要。</w:t>
      </w:r>
    </w:p>
    <w:p w14:paraId="03FFB05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1.2</w:t>
      </w:r>
      <w:r>
        <w:rPr>
          <w:rFonts w:hint="eastAsia" w:hAnsi="宋体" w:cs="宋体"/>
          <w:snapToGrid w:val="0"/>
          <w:color w:val="auto"/>
          <w:kern w:val="0"/>
          <w:szCs w:val="24"/>
          <w:highlight w:val="none"/>
        </w:rPr>
        <w:t xml:space="preserve"> 监理人应按照工程需要，自行配备以下的设施、设备：</w:t>
      </w:r>
    </w:p>
    <w:p w14:paraId="4B55FFF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（1）办公桌椅、文件柜、床铺被褥、供冷采暖设施等办公和生活设施；</w:t>
      </w:r>
    </w:p>
    <w:p w14:paraId="43C9764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（2）电脑、投影、打印机、复印机、传真机等办公设备及其耗材；</w:t>
      </w:r>
    </w:p>
    <w:p w14:paraId="676BC4E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（3）拍摄、录音、录像等取证器材；</w:t>
      </w:r>
    </w:p>
    <w:p w14:paraId="78976BE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（4）信息化管理软件或系统；</w:t>
      </w:r>
    </w:p>
    <w:p w14:paraId="53C859B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（5）通信和交通工具；</w:t>
      </w:r>
    </w:p>
    <w:p w14:paraId="5F9F011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（6）本招标项目必备的规范标准、图集等书籍手册；</w:t>
      </w:r>
    </w:p>
    <w:p w14:paraId="2D3E5B1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（7）安全帽、安全鞋、安全手套、安全服装、手电筒等安全防护用具；</w:t>
      </w:r>
    </w:p>
    <w:p w14:paraId="786A44C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w:t>
      </w:r>
      <w:r>
        <w:rPr>
          <w:rFonts w:hint="eastAsia" w:hAnsi="宋体" w:cs="宋体"/>
          <w:snapToGrid w:val="0"/>
          <w:color w:val="auto"/>
          <w:kern w:val="0"/>
          <w:szCs w:val="24"/>
          <w:highlight w:val="none"/>
          <w:u w:val="single"/>
        </w:rPr>
        <w:t xml:space="preserve"> 打卡  </w:t>
      </w:r>
      <w:r>
        <w:rPr>
          <w:rFonts w:hint="eastAsia" w:hAnsi="宋体" w:cs="宋体"/>
          <w:snapToGrid w:val="0"/>
          <w:color w:val="auto"/>
          <w:kern w:val="0"/>
          <w:szCs w:val="24"/>
          <w:highlight w:val="none"/>
        </w:rPr>
        <w:t>考勤设备；</w:t>
      </w:r>
    </w:p>
    <w:p w14:paraId="2B13C5E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（9）其他与监理工作有关的设备与用品。</w:t>
      </w:r>
    </w:p>
    <w:p w14:paraId="410482BC">
      <w:pPr>
        <w:pStyle w:val="39"/>
        <w:keepNext w:val="0"/>
        <w:keepLines w:val="0"/>
        <w:pageBreakBefore w:val="0"/>
        <w:kinsoku/>
        <w:overflowPunct/>
        <w:topLinePunct w:val="0"/>
        <w:autoSpaceDE/>
        <w:autoSpaceDN/>
        <w:bidi w:val="0"/>
        <w:spacing w:line="360" w:lineRule="exact"/>
        <w:jc w:val="left"/>
        <w:textAlignment w:val="auto"/>
        <w:rPr>
          <w:rFonts w:hint="default" w:ascii="宋体" w:hAnsi="宋体" w:eastAsia="宋体" w:cs="宋体"/>
          <w:b/>
          <w:bCs/>
          <w:snapToGrid w:val="0"/>
          <w:color w:val="auto"/>
          <w:highlight w:val="none"/>
          <w:lang w:val="en-US" w:eastAsia="zh-CN"/>
        </w:rPr>
      </w:pPr>
    </w:p>
    <w:p w14:paraId="13DD6349">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2. 监理人义务</w:t>
      </w:r>
    </w:p>
    <w:p w14:paraId="663AA4E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 监理的范围和内容</w:t>
      </w:r>
    </w:p>
    <w:p w14:paraId="665E710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2.1.1 监理范围：</w:t>
      </w:r>
    </w:p>
    <w:p w14:paraId="654BBC8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包括但不限于以下内容：工程合同、工程质量、材料、安全、进度监理；配合本项目造价咨询单位进行投资监理；进度审核、工程结算审核监理（进度审核及结算审核均需出具审核报告）；施工、验收、结算及保修阶段的全过程监理；项目建设施工阶段监理（含施工准备阶段、施工阶段、工程竣工结算阶段和缺陷责任期阶段监理）等相关工作。</w:t>
      </w:r>
    </w:p>
    <w:p w14:paraId="3134288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（2）除上述工作范围外，监理人还须按</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的要求提前进场参与开工前期的准备和筹划工作，协助</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制定工程管理办法、各参建方职责及有关事务性工作等。</w:t>
      </w:r>
    </w:p>
    <w:p w14:paraId="31055DD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2.1.2 监理工作内容还包括：</w:t>
      </w:r>
    </w:p>
    <w:p w14:paraId="292C154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（1）监理人作为</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的顾问，应在受委托的监理业务范围内向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负责，在执行和遵守国家有关建设法规的前提下，维护</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的正当权益。收到工程设计文件后编制监理规划，并在第一次工地会议7天前报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根据有关规定和监理工作需要，编制监理实施细则；制定现场工程监理工作制度，填写监理日记及大事记。每周定期召开监理例会，通报监理情况及工程的有关事宜，并根据工程需要组织专题会议，会议并须由总监理工程师主持。</w:t>
      </w:r>
    </w:p>
    <w:p w14:paraId="75048A9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熟悉工程设计文件，并对图纸中存在的问题通过建设单位向设计单位提出书面意见和建议，参加设计技术交底会，并对会议纪要进行签认，协调设计单位落实施工图纸的出图供应计划。审核设计文件、图纸和各项设计变更，提出意见（优化设计等）并参加由</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主持的图纸会审和设计交底会议；</w:t>
      </w:r>
    </w:p>
    <w:p w14:paraId="62ECE9B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（3）参加由</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主持的第一次工地会议；主持监理例会并根据工程需要主持或参加专题会议；关于重大的设计修改和技术洽商，除提出监理意见外，应征得</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及设计人的书面意见，并由原设计人进行修改。</w:t>
      </w:r>
    </w:p>
    <w:p w14:paraId="7901A2F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审查施工承包人提交的施工组织设计，重点审查其中的质量安全技术措施、专项施工方案与工程建设强制性标准的符合性；审查批准承包单位提出的开工报告及施工进度计划，签收检查承包人填报的旬、月、季等报表。核实</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与承包人开工前基建程序所需的各种批准文件及手续、检查实施情况，督促施工承包单位采取措施实现合同目标要求。当施工计划变动时，及时提出调整计划的意见，负责组织和协调各承包人的配合安排，定期向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汇报总进度计划控制情况</w:t>
      </w:r>
    </w:p>
    <w:p w14:paraId="16D27C6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（5）检查施工承包人工程质量、安全生产管理制度及组织机构和人员资格；</w:t>
      </w:r>
    </w:p>
    <w:p w14:paraId="2379C35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（6）检查施工承包人专职安全生产管理人员的配备情况。</w:t>
      </w:r>
    </w:p>
    <w:p w14:paraId="13E4A0F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（7）审查施工承包人提交的施工进度计划，核查承包人对施工进度计划的调整。</w:t>
      </w:r>
    </w:p>
    <w:p w14:paraId="206E07C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（8）检查施工承包人的试验室。</w:t>
      </w:r>
    </w:p>
    <w:p w14:paraId="1616BE9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（9）审核施工分包人资质条件。</w:t>
      </w:r>
    </w:p>
    <w:p w14:paraId="52A0F0E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（10）查验施工承包人的施工测量放线成果。</w:t>
      </w:r>
    </w:p>
    <w:p w14:paraId="39E9CDF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（11）审查工程开工条件，对条件具备的签发开工令。</w:t>
      </w:r>
    </w:p>
    <w:p w14:paraId="27A3E65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（12）审查施工承包人报送的工程材料、构配件、设备质量证明文件的有效性和符合性，并按规定对用于工程的材料采取平行检验或见证取样方式进行抽检。</w:t>
      </w:r>
    </w:p>
    <w:p w14:paraId="4009CAC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（13）审核施工承包人提交的工程款支付申请，签发或出具工程款支付证书，并报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审核、批准。</w:t>
      </w:r>
    </w:p>
    <w:p w14:paraId="0EE935E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（14）在巡视、旁站和检验过程中，发现工程质量、施工安全存在事故隐患的，要求施工承包人整改并报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w:t>
      </w:r>
    </w:p>
    <w:p w14:paraId="0110A51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（15）经</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同意，签发工程暂停令和复工令。</w:t>
      </w:r>
    </w:p>
    <w:p w14:paraId="6CF2CD6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（16）审查施工承包人提交的采用新材料、新工艺、新技术、新设备的论证材料及相关验收标准。</w:t>
      </w:r>
    </w:p>
    <w:p w14:paraId="34B8A74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（17）验收隐蔽工程、分部分项工程。</w:t>
      </w:r>
    </w:p>
    <w:p w14:paraId="73C1C09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（18）审查施工承包人提交的工程变更申请，协调处理施工进度调整、费用索赔、合同争议等事项；根据施工合同及有关文件规定，督促检查承包人及时完成各阶段施工资料的整理及竣工资料的编制，并按时交</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归档。</w:t>
      </w:r>
    </w:p>
    <w:p w14:paraId="5C7FD8C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（19）审查施工承包人提交的竣工验收申请，编写工程质量评估报告。</w:t>
      </w:r>
    </w:p>
    <w:p w14:paraId="4EF369C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（20）参加工程竣工验收，签署竣工验收意见。</w:t>
      </w:r>
    </w:p>
    <w:p w14:paraId="35872DC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（21）审查施工承包人提交的竣工结算申请并报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w:t>
      </w:r>
    </w:p>
    <w:p w14:paraId="12290DB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（22）编制、整理工程监理归档文件并报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。根据有关文件规定，向</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提交工程竣工备案的监理资料。</w:t>
      </w:r>
    </w:p>
    <w:p w14:paraId="1F4F745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（23）监理人在监理期间应严格遵守国家、省、市有关防火、爆破和监理安全以及文明监理、深夜监理、环卫城管等规定，建立规章制度和防护措施。否则，由此造成的经济和法律责任，均由监理人负责。</w:t>
      </w:r>
    </w:p>
    <w:p w14:paraId="3025BE6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24）依据有关法律、法规、工程建设强制性标准、设计文件及施工合同，对承包人报送的竣工资料进行审查，并对工程质量进行竣工预验收。审查《工程竣工报告书》，对存在的问题，及时要求承包人整改，编写《工程质量评估报告》及整理监理资料，负责组织初验，签署由承包人提出的全部工程竣工验收报告，组织工程竣工验收，负责办理竣工资料的归档,并通过市城建档案馆的验收,协助</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备案手续</w:t>
      </w:r>
      <w:r>
        <w:rPr>
          <w:rFonts w:ascii="宋体" w:hAnsi="宋体" w:eastAsia="宋体" w:cs="宋体"/>
          <w:color w:val="auto"/>
          <w:kern w:val="0"/>
          <w:sz w:val="24"/>
          <w:highlight w:val="none"/>
          <w:lang w:val="zh-CN"/>
        </w:rPr>
        <w:t>。</w:t>
      </w:r>
    </w:p>
    <w:p w14:paraId="325B871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2.2 监理与相关服务依据</w:t>
      </w:r>
    </w:p>
    <w:p w14:paraId="6E99D32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 xml:space="preserve">2.2.1 </w:t>
      </w:r>
      <w:r>
        <w:rPr>
          <w:rFonts w:hint="eastAsia" w:ascii="宋体" w:hAnsi="宋体" w:eastAsia="宋体" w:cs="宋体"/>
          <w:color w:val="auto"/>
          <w:kern w:val="0"/>
          <w:sz w:val="24"/>
          <w:highlight w:val="none"/>
          <w:lang w:val="zh-CN"/>
        </w:rPr>
        <w:t>监理依据包括：</w:t>
      </w:r>
    </w:p>
    <w:p w14:paraId="11C4491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(1)贯彻执行&lt;&lt;建设工程监理规范&gt;&gt; (GB\T50319-2013)以及国家对 工程建设的政策、法律、法规和工程监理的有关规定。</w:t>
      </w:r>
    </w:p>
    <w:p w14:paraId="786E2AD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(2)建设主管部门批准的建设规划、计划和设计文件。</w:t>
      </w:r>
    </w:p>
    <w:p w14:paraId="438B657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(3)经批准的本项工程的施工图纸，技术文件及说明书和其相应的国家、 部门所制定的施工及验收规范。</w:t>
      </w:r>
    </w:p>
    <w:p w14:paraId="5A34271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(4)广东省、韶关市有关工程造价管理的文件。</w:t>
      </w:r>
    </w:p>
    <w:p w14:paraId="4C80E34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(5)委托人与承包人签订的工程承包合同</w:t>
      </w:r>
      <w:r>
        <w:rPr>
          <w:rFonts w:ascii="宋体" w:hAnsi="宋体" w:eastAsia="宋体" w:cs="宋体"/>
          <w:color w:val="auto"/>
          <w:kern w:val="0"/>
          <w:sz w:val="24"/>
          <w:highlight w:val="none"/>
          <w:lang w:val="zh-CN"/>
        </w:rPr>
        <w:t>。</w:t>
      </w:r>
    </w:p>
    <w:p w14:paraId="1DF2B69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eastAsia="zh-CN"/>
        </w:rPr>
        <w:t>（</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lang w:val="zh-CN" w:eastAsia="zh-CN"/>
        </w:rPr>
        <w:t>）</w:t>
      </w:r>
      <w:r>
        <w:rPr>
          <w:rFonts w:hint="eastAsia" w:ascii="宋体" w:hAnsi="宋体" w:eastAsia="宋体" w:cs="宋体"/>
          <w:color w:val="auto"/>
          <w:kern w:val="0"/>
          <w:sz w:val="24"/>
          <w:highlight w:val="none"/>
          <w:lang w:val="zh-CN"/>
        </w:rPr>
        <w:t>法律、行政法规；广东省及韶关市的地方性法规、地方政府规章</w:t>
      </w:r>
      <w:r>
        <w:rPr>
          <w:rFonts w:ascii="宋体" w:hAnsi="宋体" w:eastAsia="宋体" w:cs="宋体"/>
          <w:color w:val="auto"/>
          <w:kern w:val="0"/>
          <w:sz w:val="24"/>
          <w:highlight w:val="none"/>
          <w:lang w:val="zh-CN"/>
        </w:rPr>
        <w:t>；国家及建设部的技术标准、规范、规程等；本合同的通用条件及专用条件等。</w:t>
      </w:r>
    </w:p>
    <w:p w14:paraId="511F4419">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2.2.2 相关服务依据包括：为使施工监理服务能有效地进行，委托人有责任 积极创造良好条件，在工程开工前，委托人应向监理人提供工程的有关资料：包括工程立项投资批文、建设工程规划许可证、施工许可证、地质勘察资料、工程初步设计、施工图、标准图及相应的技术资料、设计概(预)算书，施工承包合同及其附件等监理工作所需的资料，均各一份。</w:t>
      </w:r>
    </w:p>
    <w:p w14:paraId="411F424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2.3项目监理机构和人员</w:t>
      </w:r>
    </w:p>
    <w:p w14:paraId="70768D5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2.3.1 监理人按合同约定、《投标文件》承诺派出监理工作需要的监理机构及监理人员。</w:t>
      </w:r>
    </w:p>
    <w:p w14:paraId="3029788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2.3.2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 xml:space="preserve">有权以书面形式要求监理人更换不能按照监理合同的约定进行监理服务的派驻人员。 </w:t>
      </w:r>
    </w:p>
    <w:p w14:paraId="0562C35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2.3.3 更换监理人员的其他情形： </w:t>
      </w:r>
    </w:p>
    <w:p w14:paraId="00D58C1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有权要求监理人更换不称职的监理人员，直到终止合同。</w:t>
      </w:r>
    </w:p>
    <w:p w14:paraId="0CAA794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当总监理工程师需要调整时，监理人须提前14天书面通知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，征得</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书面同意后方可调整，否则，因监理人擅自变更总监理工程师对</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造成的损失应由监理人承担赔偿责任。</w:t>
      </w:r>
    </w:p>
    <w:p w14:paraId="633C62BA">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监理人应保持现场监理人员相对固定。监理人因工作安排或其他原因，需要更换派驻到工程所在地的重要岗位监理人员时，应事先得到</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的同意且至少提前7天以书面形式通知</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，即使是</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要求或同意更换的监理人员，其代替人员的资质不得低于被代替人员。变更或调整监理人员必须经</w:t>
      </w:r>
      <w:r>
        <w:rPr>
          <w:rFonts w:hint="eastAsia" w:ascii="宋体" w:hAnsi="宋体" w:cs="宋体"/>
          <w:color w:val="auto"/>
          <w:kern w:val="0"/>
          <w:sz w:val="24"/>
          <w:highlight w:val="none"/>
          <w:lang w:val="zh-CN"/>
        </w:rPr>
        <w:t>委托人</w:t>
      </w:r>
      <w:r>
        <w:rPr>
          <w:rFonts w:hint="eastAsia" w:ascii="宋体" w:hAnsi="宋体" w:eastAsia="宋体" w:cs="宋体"/>
          <w:color w:val="auto"/>
          <w:kern w:val="0"/>
          <w:sz w:val="24"/>
          <w:highlight w:val="none"/>
          <w:lang w:val="zh-CN"/>
        </w:rPr>
        <w:t>同意并经建设项目行政主管部门备案批准后方可进行</w:t>
      </w:r>
      <w:r>
        <w:rPr>
          <w:rFonts w:ascii="宋体" w:hAnsi="宋体" w:eastAsia="宋体" w:cs="宋体"/>
          <w:color w:val="auto"/>
          <w:kern w:val="0"/>
          <w:sz w:val="24"/>
          <w:highlight w:val="none"/>
          <w:lang w:val="zh-CN"/>
        </w:rPr>
        <w:t>。</w:t>
      </w:r>
    </w:p>
    <w:p w14:paraId="2FF4CC9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 履行职责</w:t>
      </w:r>
    </w:p>
    <w:p w14:paraId="3146C32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2.4.3 对监理人的授权范围：</w:t>
      </w:r>
      <w:r>
        <w:rPr>
          <w:rFonts w:ascii="宋体" w:hAnsi="宋体" w:eastAsia="宋体" w:cs="宋体"/>
          <w:color w:val="auto"/>
          <w:kern w:val="0"/>
          <w:sz w:val="24"/>
          <w:highlight w:val="none"/>
          <w:u w:val="single"/>
          <w:lang w:val="zh-CN"/>
        </w:rPr>
        <w:t>执行本合同专用条</w:t>
      </w:r>
      <w:r>
        <w:rPr>
          <w:rFonts w:hint="eastAsia" w:ascii="宋体" w:hAnsi="宋体" w:cs="宋体"/>
          <w:color w:val="auto"/>
          <w:kern w:val="0"/>
          <w:sz w:val="24"/>
          <w:highlight w:val="none"/>
          <w:u w:val="single"/>
          <w:lang w:val="en-US" w:eastAsia="zh-CN"/>
        </w:rPr>
        <w:t>件</w:t>
      </w:r>
      <w:r>
        <w:rPr>
          <w:rFonts w:ascii="宋体" w:hAnsi="宋体" w:eastAsia="宋体" w:cs="宋体"/>
          <w:color w:val="auto"/>
          <w:kern w:val="0"/>
          <w:sz w:val="24"/>
          <w:highlight w:val="none"/>
          <w:u w:val="single"/>
          <w:lang w:val="zh-CN"/>
        </w:rPr>
        <w:t>第9条相关规定</w:t>
      </w:r>
      <w:r>
        <w:rPr>
          <w:rFonts w:ascii="宋体" w:hAnsi="宋体" w:eastAsia="宋体" w:cs="宋体"/>
          <w:color w:val="auto"/>
          <w:kern w:val="0"/>
          <w:sz w:val="24"/>
          <w:highlight w:val="none"/>
          <w:lang w:val="zh-CN"/>
        </w:rPr>
        <w:t>。</w:t>
      </w:r>
    </w:p>
    <w:p w14:paraId="5F4CBBE5">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2.4.4 监理人有权要求承包人调换其人员的限制条件：</w:t>
      </w:r>
      <w:r>
        <w:rPr>
          <w:rFonts w:ascii="宋体" w:hAnsi="宋体" w:eastAsia="宋体" w:cs="宋体"/>
          <w:color w:val="auto"/>
          <w:kern w:val="0"/>
          <w:sz w:val="24"/>
          <w:highlight w:val="none"/>
          <w:u w:val="single"/>
          <w:lang w:val="zh-CN"/>
        </w:rPr>
        <w:t>执行本合同专用条</w:t>
      </w:r>
      <w:r>
        <w:rPr>
          <w:rFonts w:hint="eastAsia" w:ascii="宋体" w:hAnsi="宋体" w:cs="宋体"/>
          <w:color w:val="auto"/>
          <w:kern w:val="0"/>
          <w:sz w:val="24"/>
          <w:highlight w:val="none"/>
          <w:u w:val="single"/>
          <w:lang w:val="en-US" w:eastAsia="zh-CN"/>
        </w:rPr>
        <w:t>件</w:t>
      </w:r>
      <w:r>
        <w:rPr>
          <w:rFonts w:ascii="宋体" w:hAnsi="宋体" w:eastAsia="宋体" w:cs="宋体"/>
          <w:color w:val="auto"/>
          <w:kern w:val="0"/>
          <w:sz w:val="24"/>
          <w:highlight w:val="none"/>
          <w:u w:val="single"/>
          <w:lang w:val="zh-CN"/>
        </w:rPr>
        <w:t>第9条相关规定</w:t>
      </w:r>
      <w:r>
        <w:rPr>
          <w:rFonts w:ascii="宋体" w:hAnsi="宋体" w:eastAsia="宋体" w:cs="宋体"/>
          <w:color w:val="auto"/>
          <w:kern w:val="0"/>
          <w:sz w:val="24"/>
          <w:highlight w:val="none"/>
          <w:lang w:val="zh-CN"/>
        </w:rPr>
        <w:t>。</w:t>
      </w:r>
    </w:p>
    <w:p w14:paraId="0667B34B">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2.5 提交报告</w:t>
      </w:r>
    </w:p>
    <w:p w14:paraId="126CC5A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监理人应提交报告的种类(包括监理规划及约定的报告</w:t>
      </w:r>
      <w:r>
        <w:rPr>
          <w:rFonts w:hint="eastAsia" w:ascii="宋体" w:hAnsi="宋体" w:eastAsia="宋体" w:cs="宋体"/>
          <w:color w:val="auto"/>
          <w:kern w:val="0"/>
          <w:sz w:val="24"/>
          <w:highlight w:val="none"/>
          <w:lang w:val="zh-CN"/>
        </w:rPr>
        <w:t>等</w:t>
      </w:r>
      <w:r>
        <w:rPr>
          <w:rFonts w:ascii="宋体" w:hAnsi="宋体" w:eastAsia="宋体" w:cs="宋体"/>
          <w:color w:val="auto"/>
          <w:kern w:val="0"/>
          <w:sz w:val="24"/>
          <w:highlight w:val="none"/>
          <w:lang w:val="zh-CN"/>
        </w:rPr>
        <w:t>)、时间和份数：</w:t>
      </w:r>
      <w:r>
        <w:rPr>
          <w:rFonts w:ascii="宋体" w:hAnsi="宋体" w:eastAsia="宋体" w:cs="宋体"/>
          <w:color w:val="auto"/>
          <w:kern w:val="0"/>
          <w:sz w:val="24"/>
          <w:highlight w:val="none"/>
          <w:u w:val="single"/>
          <w:lang w:val="zh-CN"/>
        </w:rPr>
        <w:t>执行本合同专用条</w:t>
      </w:r>
      <w:r>
        <w:rPr>
          <w:rFonts w:hint="eastAsia" w:ascii="宋体" w:hAnsi="宋体" w:cs="宋体"/>
          <w:color w:val="auto"/>
          <w:kern w:val="0"/>
          <w:sz w:val="24"/>
          <w:highlight w:val="none"/>
          <w:u w:val="single"/>
          <w:lang w:val="en-US" w:eastAsia="zh-CN"/>
        </w:rPr>
        <w:t>件</w:t>
      </w:r>
      <w:r>
        <w:rPr>
          <w:rFonts w:ascii="宋体" w:hAnsi="宋体" w:eastAsia="宋体" w:cs="宋体"/>
          <w:color w:val="auto"/>
          <w:kern w:val="0"/>
          <w:sz w:val="24"/>
          <w:highlight w:val="none"/>
          <w:u w:val="single"/>
          <w:lang w:val="zh-CN"/>
        </w:rPr>
        <w:t>第9条相关规定</w:t>
      </w:r>
      <w:r>
        <w:rPr>
          <w:rFonts w:ascii="宋体" w:hAnsi="宋体" w:eastAsia="宋体" w:cs="宋体"/>
          <w:color w:val="auto"/>
          <w:kern w:val="0"/>
          <w:sz w:val="24"/>
          <w:highlight w:val="none"/>
          <w:lang w:val="zh-CN"/>
        </w:rPr>
        <w:t>。</w:t>
      </w:r>
    </w:p>
    <w:p w14:paraId="7692EC0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2.6现场办公条件</w:t>
      </w:r>
    </w:p>
    <w:p w14:paraId="580C4333">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2.6.1</w:t>
      </w:r>
      <w:r>
        <w:rPr>
          <w:rFonts w:hint="default" w:ascii="宋体" w:hAnsi="宋体" w:eastAsia="宋体" w:cs="宋体"/>
          <w:color w:val="auto"/>
          <w:kern w:val="0"/>
          <w:sz w:val="24"/>
          <w:highlight w:val="none"/>
          <w:lang w:val="en-US" w:eastAsia="zh-CN"/>
        </w:rPr>
        <w:t>监理人的办公、休息场所不得与施工单位混用。所需场所、水电网络接入由委托人征求监理人意见后，与施工单位协调明确，但费用（若有）由监理人支付。监理人所需场所的数量及其面积应与项目规模、特点相匹配，并应满足监理工作正常运作的需要。</w:t>
      </w:r>
    </w:p>
    <w:p w14:paraId="1DD86B3A">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2.6</w:t>
      </w:r>
      <w:r>
        <w:rPr>
          <w:rFonts w:hint="default" w:ascii="宋体" w:hAnsi="宋体" w:eastAsia="宋体" w:cs="宋体"/>
          <w:color w:val="auto"/>
          <w:kern w:val="0"/>
          <w:sz w:val="24"/>
          <w:highlight w:val="none"/>
          <w:lang w:val="en-US" w:eastAsia="zh-CN"/>
        </w:rPr>
        <w:t>.2 监理人应按照工程需要，自行配备以下的设施、设备：</w:t>
      </w:r>
    </w:p>
    <w:p w14:paraId="39D9F891">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（1）办公桌椅、文件柜、床铺被褥、供冷采暖设施等办公和生活设施；</w:t>
      </w:r>
    </w:p>
    <w:p w14:paraId="6E6CBFC6">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（2）电脑、投影、打印机、复印机、传真机等办公设备及其耗材；</w:t>
      </w:r>
    </w:p>
    <w:p w14:paraId="7D5DDC1E">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（3）拍摄、录音、录像等取证器材；</w:t>
      </w:r>
    </w:p>
    <w:p w14:paraId="0174E544">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（4）信息化管理软件或系统；</w:t>
      </w:r>
    </w:p>
    <w:p w14:paraId="31AE972F">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（5）通信和交通工具；</w:t>
      </w:r>
    </w:p>
    <w:p w14:paraId="75898C8C">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（6）本招标项目必备的规范标准、图集等书籍手册；</w:t>
      </w:r>
    </w:p>
    <w:p w14:paraId="5ABE18BC">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（7）安全帽、安全鞋、安全手套、安全服装、手电筒等安全防护用具；</w:t>
      </w:r>
    </w:p>
    <w:p w14:paraId="5AD6DB3D">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（8） 打卡  考勤设备；</w:t>
      </w:r>
    </w:p>
    <w:p w14:paraId="442ADBBC">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（9）其他与监理工作有关的设备与用品。</w:t>
      </w:r>
    </w:p>
    <w:p w14:paraId="1B215340">
      <w:pPr>
        <w:keepNext w:val="0"/>
        <w:keepLines w:val="0"/>
        <w:pageBreakBefore w:val="0"/>
        <w:tabs>
          <w:tab w:val="left" w:pos="8460"/>
        </w:tabs>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 xml:space="preserve">3. 委托人义务  </w:t>
      </w:r>
    </w:p>
    <w:p w14:paraId="56AE3D76">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w:t>
      </w:r>
      <w:r>
        <w:rPr>
          <w:rFonts w:hint="eastAsia" w:ascii="宋体" w:hAnsi="宋体" w:eastAsia="宋体" w:cs="宋体"/>
          <w:color w:val="auto"/>
          <w:kern w:val="0"/>
          <w:sz w:val="24"/>
          <w:highlight w:val="none"/>
          <w:lang w:val="en-US" w:eastAsia="zh-CN"/>
        </w:rPr>
        <w:t>1</w:t>
      </w:r>
      <w:r>
        <w:rPr>
          <w:rFonts w:ascii="宋体" w:hAnsi="宋体" w:eastAsia="宋体" w:cs="宋体"/>
          <w:color w:val="auto"/>
          <w:kern w:val="0"/>
          <w:sz w:val="24"/>
          <w:highlight w:val="none"/>
          <w:lang w:val="zh-CN"/>
        </w:rPr>
        <w:t xml:space="preserve"> 委托人代表</w:t>
      </w:r>
    </w:p>
    <w:p w14:paraId="336886C6">
      <w:pPr>
        <w:keepNext w:val="0"/>
        <w:keepLines w:val="0"/>
        <w:pageBreakBefore w:val="0"/>
        <w:overflowPunct/>
        <w:topLinePunct w:val="0"/>
        <w:autoSpaceDE w:val="0"/>
        <w:autoSpaceDN/>
        <w:bidi w:val="0"/>
        <w:spacing w:line="360" w:lineRule="exact"/>
        <w:ind w:firstLine="480" w:firstLineChars="200"/>
        <w:rPr>
          <w:rFonts w:ascii="宋体" w:hAnsi="宋体" w:cs="宋体"/>
          <w:color w:val="auto"/>
          <w:kern w:val="0"/>
          <w:sz w:val="24"/>
          <w:highlight w:val="none"/>
          <w:u w:val="single"/>
          <w:lang w:val="zh-CN"/>
        </w:rPr>
      </w:pPr>
      <w:r>
        <w:rPr>
          <w:rFonts w:ascii="宋体" w:hAnsi="宋体" w:eastAsia="宋体" w:cs="宋体"/>
          <w:color w:val="auto"/>
          <w:kern w:val="0"/>
          <w:sz w:val="24"/>
          <w:highlight w:val="none"/>
          <w:lang w:val="zh-CN"/>
        </w:rPr>
        <w:t>委托人代表为：</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lang w:val="en-US" w:eastAsia="zh-CN"/>
        </w:rPr>
        <w:t>。</w:t>
      </w:r>
    </w:p>
    <w:p w14:paraId="0C23DC24">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3.</w:t>
      </w:r>
      <w:r>
        <w:rPr>
          <w:rFonts w:hint="eastAsia" w:ascii="宋体" w:hAnsi="宋体" w:eastAsia="宋体" w:cs="宋体"/>
          <w:color w:val="auto"/>
          <w:kern w:val="0"/>
          <w:sz w:val="24"/>
          <w:highlight w:val="none"/>
          <w:lang w:val="en-US" w:eastAsia="zh-CN"/>
        </w:rPr>
        <w:t>2</w:t>
      </w:r>
      <w:r>
        <w:rPr>
          <w:rFonts w:ascii="宋体" w:hAnsi="宋体" w:eastAsia="宋体" w:cs="宋体"/>
          <w:color w:val="auto"/>
          <w:kern w:val="0"/>
          <w:sz w:val="24"/>
          <w:highlight w:val="none"/>
          <w:lang w:val="zh-CN"/>
        </w:rPr>
        <w:t xml:space="preserve"> 答复</w:t>
      </w:r>
    </w:p>
    <w:p w14:paraId="61923CD3">
      <w:pPr>
        <w:keepNext w:val="0"/>
        <w:keepLines w:val="0"/>
        <w:pageBreakBefore w:val="0"/>
        <w:overflowPunct/>
        <w:topLinePunct w:val="0"/>
        <w:autoSpaceDE w:val="0"/>
        <w:autoSpaceDN/>
        <w:bidi w:val="0"/>
        <w:spacing w:line="360" w:lineRule="exact"/>
        <w:ind w:firstLine="480" w:firstLineChars="200"/>
        <w:rPr>
          <w:rFonts w:ascii="宋体" w:hAnsi="宋体" w:eastAsia="宋体" w:cs="宋体"/>
          <w:color w:val="auto"/>
          <w:kern w:val="0"/>
          <w:sz w:val="24"/>
          <w:highlight w:val="none"/>
          <w:lang w:val="zh-CN"/>
        </w:rPr>
      </w:pPr>
      <w:r>
        <w:rPr>
          <w:rFonts w:ascii="宋体" w:hAnsi="宋体" w:eastAsia="宋体" w:cs="宋体"/>
          <w:color w:val="auto"/>
          <w:kern w:val="0"/>
          <w:sz w:val="24"/>
          <w:highlight w:val="none"/>
          <w:lang w:val="zh-CN"/>
        </w:rPr>
        <w:t>委托人同意在</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u w:val="single"/>
          <w:lang w:val="en-US" w:eastAsia="zh-CN"/>
        </w:rPr>
        <w:t>15</w:t>
      </w:r>
      <w:r>
        <w:rPr>
          <w:rFonts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个工作日</w:t>
      </w:r>
      <w:r>
        <w:rPr>
          <w:rFonts w:ascii="宋体" w:hAnsi="宋体" w:eastAsia="宋体" w:cs="宋体"/>
          <w:color w:val="auto"/>
          <w:kern w:val="0"/>
          <w:sz w:val="24"/>
          <w:highlight w:val="none"/>
          <w:lang w:val="zh-CN"/>
        </w:rPr>
        <w:t>内，对监理人书面提交并要求做出决定的事宜给予书面答复。</w:t>
      </w:r>
    </w:p>
    <w:p w14:paraId="17EA9925">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4. 违约责任</w:t>
      </w:r>
    </w:p>
    <w:p w14:paraId="688F724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4.1 监理人的违约责任</w:t>
      </w:r>
    </w:p>
    <w:p w14:paraId="4EE15A9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监理人未履行本合同义务的，应承担相应的责任。</w:t>
      </w:r>
    </w:p>
    <w:p w14:paraId="6051CDE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4.1.1 因监理人违反本合同约定给委托人造成损失的，监理人应当赔偿委托人损失。</w:t>
      </w:r>
    </w:p>
    <w:p w14:paraId="36A67A5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eastAsia="zh-CN"/>
        </w:rPr>
        <w:t xml:space="preserve"> 监理人赔偿金额按下列方法确定：赔偿金＝直接经济损失×正常工作酬金÷项目建安费（总额不超过税后合同监理服务费）。</w:t>
      </w:r>
    </w:p>
    <w:p w14:paraId="0E406C3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监理人承担部分赔偿责任的，其承担赔偿金额由双方协商确定。</w:t>
      </w:r>
    </w:p>
    <w:p w14:paraId="63ADB8D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4.1.2 监理人向委托人的索赔不成立时，监理人应赔偿委托人由此发生的费用。</w:t>
      </w:r>
    </w:p>
    <w:p w14:paraId="6143461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4.2 委托人的违约责任</w:t>
      </w:r>
    </w:p>
    <w:p w14:paraId="661D3B3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委托人未履行本合同义务的，应承担相应的责任。</w:t>
      </w:r>
    </w:p>
    <w:p w14:paraId="63F6ABC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4.2.1 委托人违反本合同约定造成监理人损失的，委托人应予以赔偿。</w:t>
      </w:r>
    </w:p>
    <w:p w14:paraId="2107455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4.2.2 委托人向监理人的索赔不成立时，应赔偿监理人由此引起的费用。</w:t>
      </w:r>
    </w:p>
    <w:p w14:paraId="7E1C2B1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4.2.3 委托人未能按期支付酬金超过28天，应支付逾期付款利息。委托人逾期付款利息按下列方法确定：逾期付款利息＝当期应付款总额×银行同期贷款利率×拖延支付天数。</w:t>
      </w:r>
    </w:p>
    <w:p w14:paraId="18A95FA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4.3 除外责任</w:t>
      </w:r>
    </w:p>
    <w:p w14:paraId="69B6D93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因非监理人的原因，且监理人无过错，发生工程质量事故、安全事故、工期延误等造成的损失，监理人不承担赔偿责任。</w:t>
      </w:r>
    </w:p>
    <w:p w14:paraId="5869BEA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因不可抗力导致本合同全部或部分不能履行时，双方各自承担其因此而造成的损失、损害。</w:t>
      </w:r>
    </w:p>
    <w:p w14:paraId="3889A1AD">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5. 支付</w:t>
      </w:r>
    </w:p>
    <w:p w14:paraId="2744376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5.1 支付货币</w:t>
      </w:r>
    </w:p>
    <w:p w14:paraId="4EC9EB5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酬金均以人民币支付。</w:t>
      </w:r>
    </w:p>
    <w:p w14:paraId="295DB00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5.2 支付申请</w:t>
      </w:r>
    </w:p>
    <w:p w14:paraId="3320DED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监理人应在本合同约定的每次应付款时间的7天前，向委托人提交支付申请书。支付申请书应当说明当期应付款总额，并列出当期应支付的款项及其金额。监理人均应提供有效的增值税</w:t>
      </w:r>
      <w:r>
        <w:rPr>
          <w:rFonts w:hint="eastAsia" w:ascii="宋体" w:hAnsi="宋体" w:eastAsia="宋体" w:cs="宋体"/>
          <w:color w:val="auto"/>
          <w:kern w:val="0"/>
          <w:sz w:val="24"/>
          <w:highlight w:val="none"/>
          <w:u w:val="single"/>
          <w:lang w:val="zh-CN" w:eastAsia="zh-CN"/>
        </w:rPr>
        <w:t xml:space="preserve"> 普通 </w:t>
      </w:r>
      <w:r>
        <w:rPr>
          <w:rFonts w:hint="eastAsia" w:ascii="宋体" w:hAnsi="宋体" w:eastAsia="宋体" w:cs="宋体"/>
          <w:color w:val="auto"/>
          <w:kern w:val="0"/>
          <w:sz w:val="24"/>
          <w:highlight w:val="none"/>
          <w:lang w:val="zh-CN" w:eastAsia="zh-CN"/>
        </w:rPr>
        <w:t>发票。如果监理人无法提供符合要求的酬金发票，由此造成的相应损失由监理人承担。</w:t>
      </w:r>
    </w:p>
    <w:p w14:paraId="7A205F8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5.3 支付酬金</w:t>
      </w:r>
    </w:p>
    <w:p w14:paraId="328D642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（1）本项目支付监理服务费</w:t>
      </w:r>
      <w:r>
        <w:rPr>
          <w:rFonts w:hint="eastAsia" w:ascii="宋体" w:hAnsi="宋体" w:eastAsia="宋体" w:cs="宋体"/>
          <w:color w:val="auto"/>
          <w:kern w:val="0"/>
          <w:sz w:val="24"/>
          <w:highlight w:val="none"/>
          <w:lang w:val="en-US" w:eastAsia="zh-CN"/>
        </w:rPr>
        <w:t>30%的</w:t>
      </w:r>
      <w:r>
        <w:rPr>
          <w:rFonts w:hint="eastAsia" w:ascii="宋体" w:hAnsi="宋体" w:eastAsia="宋体" w:cs="宋体"/>
          <w:color w:val="auto"/>
          <w:kern w:val="0"/>
          <w:sz w:val="24"/>
          <w:highlight w:val="none"/>
          <w:lang w:val="zh-CN" w:eastAsia="zh-CN"/>
        </w:rPr>
        <w:t>预付款；</w:t>
      </w:r>
    </w:p>
    <w:p w14:paraId="3E7AA37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（2）本项目施工阶段按</w:t>
      </w:r>
      <w:r>
        <w:rPr>
          <w:rFonts w:hint="eastAsia" w:hAnsi="宋体" w:cs="宋体"/>
          <w:color w:val="auto"/>
          <w:kern w:val="0"/>
          <w:sz w:val="24"/>
          <w:highlight w:val="none"/>
          <w:lang w:val="en-US" w:eastAsia="zh-CN"/>
        </w:rPr>
        <w:t>月度</w:t>
      </w:r>
      <w:r>
        <w:rPr>
          <w:rFonts w:hint="eastAsia" w:ascii="宋体" w:hAnsi="宋体" w:eastAsia="宋体" w:cs="宋体"/>
          <w:color w:val="auto"/>
          <w:kern w:val="0"/>
          <w:sz w:val="24"/>
          <w:highlight w:val="none"/>
          <w:lang w:val="zh-CN" w:eastAsia="zh-CN"/>
        </w:rPr>
        <w:t>分期支付监理服务费；具体分期支付方式如下：</w:t>
      </w:r>
    </w:p>
    <w:p w14:paraId="292FF21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hAnsi="宋体" w:cs="宋体"/>
          <w:color w:val="auto"/>
          <w:kern w:val="0"/>
          <w:sz w:val="24"/>
          <w:highlight w:val="none"/>
          <w:lang w:val="en-US" w:eastAsia="zh-CN"/>
        </w:rPr>
        <w:t>月度</w:t>
      </w:r>
      <w:r>
        <w:rPr>
          <w:rFonts w:hint="eastAsia" w:ascii="宋体" w:hAnsi="宋体" w:eastAsia="宋体" w:cs="宋体"/>
          <w:color w:val="auto"/>
          <w:kern w:val="0"/>
          <w:sz w:val="24"/>
          <w:highlight w:val="none"/>
          <w:lang w:val="zh-CN" w:eastAsia="zh-CN"/>
        </w:rPr>
        <w:t>监理服务费=</w:t>
      </w:r>
      <w:r>
        <w:rPr>
          <w:rFonts w:hint="eastAsia" w:hAnsi="宋体" w:cs="宋体"/>
          <w:color w:val="auto"/>
          <w:kern w:val="0"/>
          <w:sz w:val="24"/>
          <w:highlight w:val="none"/>
          <w:lang w:val="en-US" w:eastAsia="zh-CN"/>
        </w:rPr>
        <w:t>月度</w:t>
      </w:r>
      <w:r>
        <w:rPr>
          <w:rFonts w:hint="eastAsia" w:ascii="宋体" w:hAnsi="宋体" w:eastAsia="宋体" w:cs="宋体"/>
          <w:color w:val="auto"/>
          <w:kern w:val="0"/>
          <w:sz w:val="24"/>
          <w:highlight w:val="none"/>
          <w:lang w:val="zh-CN" w:eastAsia="zh-CN"/>
        </w:rPr>
        <w:t>实际所有专业施工完成投资额×80%作为计算基数计算监理服务费，施工过程中累计支付的监理服务费（含预付款）不得超过监理服务费合同价款的80%；</w:t>
      </w:r>
    </w:p>
    <w:p w14:paraId="173AA19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lang w:val="zh-CN" w:eastAsia="zh-CN"/>
        </w:rPr>
        <w:t>）工程竣工验收合格并经</w:t>
      </w:r>
      <w:r>
        <w:rPr>
          <w:rFonts w:hint="eastAsia" w:ascii="宋体" w:hAnsi="宋体" w:eastAsia="宋体" w:cs="宋体"/>
          <w:color w:val="auto"/>
          <w:kern w:val="0"/>
          <w:sz w:val="24"/>
          <w:highlight w:val="none"/>
          <w:lang w:val="en-US" w:eastAsia="zh-CN"/>
        </w:rPr>
        <w:t>财政局</w:t>
      </w:r>
      <w:r>
        <w:rPr>
          <w:rFonts w:hint="eastAsia" w:ascii="宋体" w:hAnsi="宋体" w:eastAsia="宋体" w:cs="宋体"/>
          <w:color w:val="auto"/>
          <w:kern w:val="0"/>
          <w:sz w:val="24"/>
          <w:highlight w:val="none"/>
          <w:lang w:val="zh-CN" w:eastAsia="zh-CN"/>
        </w:rPr>
        <w:t>投资评审中心结算审核后，委托人于次</w:t>
      </w:r>
      <w:r>
        <w:rPr>
          <w:rFonts w:hint="eastAsia" w:ascii="宋体" w:hAnsi="宋体" w:eastAsia="宋体" w:cs="宋体"/>
          <w:color w:val="auto"/>
          <w:kern w:val="0"/>
          <w:sz w:val="24"/>
          <w:highlight w:val="none"/>
          <w:lang w:val="en-US" w:eastAsia="zh-CN"/>
        </w:rPr>
        <w:t>月度</w:t>
      </w:r>
      <w:r>
        <w:rPr>
          <w:rFonts w:hint="eastAsia" w:ascii="宋体" w:hAnsi="宋体" w:eastAsia="宋体" w:cs="宋体"/>
          <w:color w:val="auto"/>
          <w:kern w:val="0"/>
          <w:sz w:val="24"/>
          <w:highlight w:val="none"/>
          <w:lang w:val="zh-CN" w:eastAsia="zh-CN"/>
        </w:rPr>
        <w:t>向监理人支付至监理服务费结算价的</w:t>
      </w:r>
      <w:r>
        <w:rPr>
          <w:rFonts w:hint="eastAsia" w:ascii="宋体" w:hAnsi="宋体" w:eastAsia="宋体" w:cs="宋体"/>
          <w:color w:val="auto"/>
          <w:kern w:val="0"/>
          <w:sz w:val="24"/>
          <w:highlight w:val="none"/>
          <w:lang w:val="en-US" w:eastAsia="zh-CN"/>
        </w:rPr>
        <w:t>100</w:t>
      </w:r>
      <w:r>
        <w:rPr>
          <w:rFonts w:hint="eastAsia" w:ascii="宋体" w:hAnsi="宋体" w:eastAsia="宋体" w:cs="宋体"/>
          <w:color w:val="auto"/>
          <w:kern w:val="0"/>
          <w:sz w:val="24"/>
          <w:highlight w:val="none"/>
          <w:lang w:val="zh-CN" w:eastAsia="zh-CN"/>
        </w:rPr>
        <w:t>%。</w:t>
      </w:r>
    </w:p>
    <w:p w14:paraId="0424218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5.4结算方式：监理服务费结算时以县财政投资评审中心审核后的建安工程费为准。结算价按以下方式结算：监理费=县财政投资评审中心审核后的建安工程费×监理费的中标费率（监理费的中标费率=监理费中标价÷</w:t>
      </w:r>
      <w:r>
        <w:rPr>
          <w:rFonts w:hint="eastAsia" w:hAnsi="宋体" w:cs="宋体"/>
          <w:snapToGrid w:val="0"/>
          <w:color w:val="auto"/>
          <w:kern w:val="0"/>
          <w:highlight w:val="none"/>
        </w:rPr>
        <w:t>建安工程费暂定价</w:t>
      </w:r>
      <w:r>
        <w:rPr>
          <w:rFonts w:hint="eastAsia" w:ascii="宋体" w:hAnsi="宋体" w:eastAsia="宋体" w:cs="宋体"/>
          <w:color w:val="auto"/>
          <w:kern w:val="0"/>
          <w:sz w:val="24"/>
          <w:highlight w:val="none"/>
          <w:lang w:val="zh-CN" w:eastAsia="zh-CN"/>
        </w:rPr>
        <w:t>3441.51万元×100%）。监理服务费的中标费率，四舍五入保留三位小数。</w:t>
      </w:r>
    </w:p>
    <w:p w14:paraId="1283B2E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5.</w:t>
      </w:r>
      <w:r>
        <w:rPr>
          <w:rFonts w:hint="eastAsia" w:hAnsi="宋体" w:cs="宋体"/>
          <w:color w:val="auto"/>
          <w:kern w:val="0"/>
          <w:sz w:val="24"/>
          <w:highlight w:val="none"/>
          <w:lang w:val="en-US" w:eastAsia="zh-CN"/>
        </w:rPr>
        <w:t>5</w:t>
      </w:r>
      <w:r>
        <w:rPr>
          <w:rFonts w:hint="eastAsia" w:ascii="宋体" w:hAnsi="宋体" w:eastAsia="宋体" w:cs="宋体"/>
          <w:color w:val="auto"/>
          <w:kern w:val="0"/>
          <w:sz w:val="24"/>
          <w:highlight w:val="none"/>
          <w:lang w:val="zh-CN" w:eastAsia="zh-CN"/>
        </w:rPr>
        <w:t>有争议部分的付款</w:t>
      </w:r>
    </w:p>
    <w:p w14:paraId="33BD704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委托人对监理人提交的支付申请书有异议时，应当在收到监理人提交的支付申请书后7天内，以书面形式向监理人发出异议通知。无异议部分的款项应按期支付，有异议部分的款项按本章第7条处理。</w:t>
      </w:r>
    </w:p>
    <w:p w14:paraId="10171EF2">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6. 合同生效、变更、暂停、解除与终止</w:t>
      </w:r>
    </w:p>
    <w:p w14:paraId="314613F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6.1 生效</w:t>
      </w:r>
    </w:p>
    <w:p w14:paraId="65D995C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委托人和监理人的法定代表人或其授权代理人在协议书上签字并盖单位章后本合同生效。</w:t>
      </w:r>
    </w:p>
    <w:p w14:paraId="3CF3329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 变更</w:t>
      </w:r>
    </w:p>
    <w:p w14:paraId="33716A4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6.2.1 任何一方提出变更请求时，双方经协商一致后可进行变更。</w:t>
      </w:r>
    </w:p>
    <w:p w14:paraId="6AB440C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6.2.2除不可抗力外，因非监理人原因导致监理人履行合同期限延长、内容增加时，监理人应当将此情况与可能产生的影响及时通知委托人。增加的监理工作时间、工作内容应视为附加工作。</w:t>
      </w:r>
    </w:p>
    <w:p w14:paraId="4CC945B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eastAsia="zh-CN"/>
        </w:rPr>
        <w:t>发生以上情形的附加工作酬金的确定方法为：</w:t>
      </w:r>
      <w:r>
        <w:rPr>
          <w:rFonts w:hint="eastAsia" w:ascii="宋体" w:hAnsi="宋体" w:eastAsia="宋体" w:cs="宋体"/>
          <w:color w:val="auto"/>
          <w:kern w:val="0"/>
          <w:sz w:val="24"/>
          <w:highlight w:val="none"/>
          <w:u w:val="single"/>
          <w:lang w:val="zh-CN" w:eastAsia="zh-CN"/>
        </w:rPr>
        <w:t>双方协商</w:t>
      </w:r>
      <w:r>
        <w:rPr>
          <w:rFonts w:hint="eastAsia" w:ascii="宋体" w:hAnsi="宋体" w:eastAsia="宋体" w:cs="宋体"/>
          <w:color w:val="auto"/>
          <w:kern w:val="0"/>
          <w:sz w:val="24"/>
          <w:highlight w:val="none"/>
          <w:lang w:val="zh-CN" w:eastAsia="zh-CN"/>
        </w:rPr>
        <w:t xml:space="preserve"> 。</w:t>
      </w:r>
    </w:p>
    <w:p w14:paraId="730F15F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6.2.3 合同生效后，如果实际情况发生变化使得监理人不能完成全部或部分工作时，监理人应立即通知委托人。除不可抗力外，其善后工作以及恢复服务的准备工作应为附加工作。监理人用于恢复服务的准备时间不应超过28天。</w:t>
      </w:r>
    </w:p>
    <w:p w14:paraId="357E321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eastAsia="zh-CN"/>
        </w:rPr>
        <w:t xml:space="preserve">发生以上情形的附加工作酬金的确定方法为： </w:t>
      </w:r>
      <w:r>
        <w:rPr>
          <w:rFonts w:hint="eastAsia" w:ascii="宋体" w:hAnsi="宋体" w:eastAsia="宋体" w:cs="宋体"/>
          <w:color w:val="auto"/>
          <w:kern w:val="0"/>
          <w:sz w:val="24"/>
          <w:highlight w:val="none"/>
          <w:u w:val="single"/>
          <w:lang w:val="zh-CN" w:eastAsia="zh-CN"/>
        </w:rPr>
        <w:t>双方协商</w:t>
      </w:r>
      <w:r>
        <w:rPr>
          <w:rFonts w:hint="eastAsia" w:ascii="宋体" w:hAnsi="宋体" w:eastAsia="宋体" w:cs="宋体"/>
          <w:color w:val="auto"/>
          <w:kern w:val="0"/>
          <w:sz w:val="24"/>
          <w:highlight w:val="none"/>
          <w:lang w:val="zh-CN" w:eastAsia="zh-CN"/>
        </w:rPr>
        <w:t xml:space="preserve"> 。</w:t>
      </w:r>
    </w:p>
    <w:p w14:paraId="7A55E46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6.2.4 合同签订后，遇有与招标项目相关的法律法规、标准颁布或修订的，双方应遵照执行。由此引起监理与相关服务的范围、时间、酬金变化的，双方应通过协商进行相应调整。</w:t>
      </w:r>
    </w:p>
    <w:p w14:paraId="082BC84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6.2.5 因非监理人原因造成项目 预算 投资额增加时，正常工作酬金应作相应调整。</w:t>
      </w:r>
    </w:p>
    <w:p w14:paraId="454EA0B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eastAsia="zh-CN"/>
        </w:rPr>
        <w:t xml:space="preserve">发生以上情形的正常工作酬金增加额的确定方法为： </w:t>
      </w:r>
      <w:r>
        <w:rPr>
          <w:rFonts w:hint="eastAsia" w:ascii="宋体" w:hAnsi="宋体" w:eastAsia="宋体" w:cs="宋体"/>
          <w:color w:val="auto"/>
          <w:kern w:val="0"/>
          <w:sz w:val="24"/>
          <w:highlight w:val="none"/>
          <w:u w:val="single"/>
          <w:lang w:val="zh-CN" w:eastAsia="zh-CN"/>
        </w:rPr>
        <w:t xml:space="preserve">双方协商 </w:t>
      </w:r>
      <w:r>
        <w:rPr>
          <w:rFonts w:hint="eastAsia" w:ascii="宋体" w:hAnsi="宋体" w:eastAsia="宋体" w:cs="宋体"/>
          <w:color w:val="auto"/>
          <w:kern w:val="0"/>
          <w:sz w:val="24"/>
          <w:highlight w:val="none"/>
          <w:lang w:val="zh-CN" w:eastAsia="zh-CN"/>
        </w:rPr>
        <w:t>。</w:t>
      </w:r>
    </w:p>
    <w:p w14:paraId="7B27D6E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6.2.6 因工程规模、监理范围的变化导致监理人的正常工作量减少时，按减少工作量的比例从协议书约定的正常工作酬金中扣减相同比例的酬金。</w:t>
      </w:r>
    </w:p>
    <w:p w14:paraId="7805A53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 暂停与解除</w:t>
      </w:r>
    </w:p>
    <w:p w14:paraId="4E167F9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除双方协商一致可以解除本合同外，当一方无正当理由未履行本合同约定的义务时，另一方可以根据本合同约定暂停履行本合同直至解除本合同。</w:t>
      </w:r>
    </w:p>
    <w:p w14:paraId="5CEC07E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1438315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因解除本合同或解除监理人的部分义务导致监理人遭受的损失，除依法可以免除责任的情况外，应由委托人予以补偿，补偿金额由双方协商确定。</w:t>
      </w:r>
    </w:p>
    <w:p w14:paraId="7A509EB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解除本合同的协议必须采取书面形式，协议未达成之前，本合同仍然有效。</w:t>
      </w:r>
    </w:p>
    <w:p w14:paraId="70F60BB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3A6E4DB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本章第4.2条约定的责任。</w:t>
      </w:r>
    </w:p>
    <w:p w14:paraId="2AA9EE6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本章第4.1条约定的责任。</w:t>
      </w:r>
    </w:p>
    <w:p w14:paraId="7990372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本章第4.2.3目约定的责任。</w:t>
      </w:r>
    </w:p>
    <w:p w14:paraId="2CB2ADA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6.3.5 因不可抗力致使本合同部分或全部不能履行时，一方应立即通知另一方，可暂停或解除本合同。</w:t>
      </w:r>
    </w:p>
    <w:p w14:paraId="45E8816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6.3.6 本合同解除后，本合同约定的有关结算、清理、争议解决方式的条件仍然有效。</w:t>
      </w:r>
    </w:p>
    <w:p w14:paraId="594CB1E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6.4 终止</w:t>
      </w:r>
    </w:p>
    <w:p w14:paraId="39CA82D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以下条件全部满足时，本合同即告终止：</w:t>
      </w:r>
    </w:p>
    <w:p w14:paraId="31F6F80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（1）监理人完成本合同约定的全部工作；</w:t>
      </w:r>
    </w:p>
    <w:p w14:paraId="7FE8F04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（2）委托人与监理人结清并支付全部酬金。</w:t>
      </w:r>
    </w:p>
    <w:p w14:paraId="48EC8180">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7. 争议解决</w:t>
      </w:r>
    </w:p>
    <w:p w14:paraId="419F79E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7.1 协商</w:t>
      </w:r>
    </w:p>
    <w:p w14:paraId="1388BB2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双方应本着诚信原则协商解决彼此间的争议。</w:t>
      </w:r>
    </w:p>
    <w:p w14:paraId="4A619A7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7.2 调解</w:t>
      </w:r>
    </w:p>
    <w:p w14:paraId="173B60E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如果双方不能在14天内或双方商定的其他时间内解决本合同争议，可以将其提交给 行政主管部门 进行调解。</w:t>
      </w:r>
    </w:p>
    <w:p w14:paraId="396164D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7.3 仲裁或诉讼</w:t>
      </w:r>
    </w:p>
    <w:p w14:paraId="38B1915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双方均有权不经调解直接向专用条件约定的仲裁机构申请仲裁或向有管辖权的人民法院提起诉讼。</w:t>
      </w:r>
    </w:p>
    <w:p w14:paraId="4F0D025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本合同争议的最终解决方式为下列第</w:t>
      </w:r>
      <w:r>
        <w:rPr>
          <w:rFonts w:hint="eastAsia" w:ascii="宋体" w:hAnsi="宋体" w:eastAsia="宋体" w:cs="宋体"/>
          <w:color w:val="auto"/>
          <w:kern w:val="0"/>
          <w:sz w:val="24"/>
          <w:highlight w:val="none"/>
          <w:u w:val="single"/>
          <w:lang w:val="en-US" w:eastAsia="zh-CN"/>
        </w:rPr>
        <w:t>2</w:t>
      </w:r>
      <w:r>
        <w:rPr>
          <w:rFonts w:hint="eastAsia" w:ascii="宋体" w:hAnsi="宋体" w:eastAsia="宋体" w:cs="宋体"/>
          <w:color w:val="auto"/>
          <w:kern w:val="0"/>
          <w:sz w:val="24"/>
          <w:highlight w:val="none"/>
          <w:lang w:val="zh-CN" w:eastAsia="zh-CN"/>
        </w:rPr>
        <w:t>种方式：</w:t>
      </w:r>
    </w:p>
    <w:p w14:paraId="28A926E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（1）提请</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u w:val="single"/>
          <w:lang w:val="en-US" w:eastAsia="zh-CN"/>
        </w:rPr>
        <w:t>/</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lang w:val="zh-CN" w:eastAsia="zh-CN"/>
        </w:rPr>
        <w:t>仲裁委员会进行仲裁。</w:t>
      </w:r>
    </w:p>
    <w:p w14:paraId="7698A66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（2）向</w:t>
      </w:r>
      <w:r>
        <w:rPr>
          <w:rFonts w:hint="eastAsia" w:ascii="宋体" w:hAnsi="宋体" w:eastAsia="宋体" w:cs="宋体"/>
          <w:color w:val="auto"/>
          <w:kern w:val="0"/>
          <w:sz w:val="24"/>
          <w:highlight w:val="none"/>
          <w:u w:val="single"/>
          <w:lang w:val="zh-CN" w:eastAsia="zh-CN"/>
        </w:rPr>
        <w:t xml:space="preserve">  </w:t>
      </w:r>
      <w:r>
        <w:rPr>
          <w:rFonts w:hint="eastAsia" w:ascii="宋体" w:hAnsi="宋体" w:cs="宋体"/>
          <w:color w:val="auto"/>
          <w:kern w:val="0"/>
          <w:sz w:val="24"/>
          <w:highlight w:val="none"/>
          <w:u w:val="single"/>
          <w:lang w:val="en-US" w:eastAsia="zh-CN"/>
        </w:rPr>
        <w:t>翁源县</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lang w:val="zh-CN" w:eastAsia="zh-CN"/>
        </w:rPr>
        <w:t>人民法院提起诉讼。</w:t>
      </w:r>
    </w:p>
    <w:p w14:paraId="4F34E94D">
      <w:pPr>
        <w:keepNext w:val="0"/>
        <w:keepLines w:val="0"/>
        <w:pageBreakBefore w:val="0"/>
        <w:overflowPunct/>
        <w:topLinePunct w:val="0"/>
        <w:autoSpaceDE w:val="0"/>
        <w:autoSpaceDN/>
        <w:bidi w:val="0"/>
        <w:spacing w:line="360" w:lineRule="exact"/>
        <w:rPr>
          <w:rFonts w:ascii="宋体" w:hAnsi="宋体" w:cs="宋体"/>
          <w:b/>
          <w:bCs/>
          <w:color w:val="auto"/>
          <w:kern w:val="0"/>
          <w:sz w:val="24"/>
          <w:highlight w:val="none"/>
          <w:lang w:val="zh-CN"/>
        </w:rPr>
      </w:pPr>
      <w:r>
        <w:rPr>
          <w:rFonts w:ascii="宋体" w:hAnsi="宋体" w:cs="宋体"/>
          <w:b/>
          <w:bCs/>
          <w:color w:val="auto"/>
          <w:kern w:val="0"/>
          <w:sz w:val="24"/>
          <w:highlight w:val="none"/>
          <w:lang w:val="zh-CN"/>
        </w:rPr>
        <w:t>8. 其他</w:t>
      </w:r>
    </w:p>
    <w:p w14:paraId="3BA0675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8.</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lang w:val="zh-CN" w:eastAsia="zh-CN"/>
        </w:rPr>
        <w:t xml:space="preserve"> 检测费用</w:t>
      </w:r>
    </w:p>
    <w:p w14:paraId="1643FF7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委托人应在检测工作完成后</w:t>
      </w:r>
      <w:r>
        <w:rPr>
          <w:rFonts w:hint="eastAsia" w:ascii="宋体" w:hAnsi="宋体" w:eastAsia="宋体" w:cs="宋体"/>
          <w:color w:val="auto"/>
          <w:kern w:val="0"/>
          <w:sz w:val="24"/>
          <w:highlight w:val="none"/>
          <w:u w:val="single"/>
          <w:lang w:val="zh-CN" w:eastAsia="zh-CN"/>
        </w:rPr>
        <w:t>／</w:t>
      </w:r>
      <w:r>
        <w:rPr>
          <w:rFonts w:hint="eastAsia" w:ascii="宋体" w:hAnsi="宋体" w:eastAsia="宋体" w:cs="宋体"/>
          <w:color w:val="auto"/>
          <w:kern w:val="0"/>
          <w:sz w:val="24"/>
          <w:highlight w:val="none"/>
          <w:lang w:val="zh-CN" w:eastAsia="zh-CN"/>
        </w:rPr>
        <w:t>天内支付检测费用。</w:t>
      </w:r>
    </w:p>
    <w:p w14:paraId="7C331BB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8.</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eastAsia="zh-CN"/>
        </w:rPr>
        <w:t xml:space="preserve"> 咨询费用</w:t>
      </w:r>
    </w:p>
    <w:p w14:paraId="1F74DB1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委托人应在咨询工作完成后</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lang w:val="zh-CN" w:eastAsia="zh-CN"/>
        </w:rPr>
        <w:t>天内支付咨询费用。</w:t>
      </w:r>
    </w:p>
    <w:p w14:paraId="4BC531F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8.</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lang w:val="zh-CN" w:eastAsia="zh-CN"/>
        </w:rPr>
        <w:t xml:space="preserve"> 奖励</w:t>
      </w:r>
    </w:p>
    <w:p w14:paraId="5EF25A9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合理化建议的奖励金额按下列方法确定为：</w:t>
      </w:r>
    </w:p>
    <w:p w14:paraId="0630519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奖励金额＝</w:t>
      </w:r>
      <w:r>
        <w:rPr>
          <w:rFonts w:hint="eastAsia" w:ascii="宋体" w:hAnsi="宋体" w:eastAsia="宋体" w:cs="宋体"/>
          <w:color w:val="auto"/>
          <w:kern w:val="0"/>
          <w:sz w:val="24"/>
          <w:highlight w:val="none"/>
          <w:u w:val="single"/>
          <w:lang w:val="zh-CN" w:eastAsia="zh-CN"/>
        </w:rPr>
        <w:t>工程投资节省额×奖励金额的比</w:t>
      </w:r>
      <w:r>
        <w:rPr>
          <w:rFonts w:hint="eastAsia" w:ascii="宋体" w:hAnsi="宋体" w:eastAsia="宋体" w:cs="宋体"/>
          <w:color w:val="auto"/>
          <w:kern w:val="0"/>
          <w:sz w:val="24"/>
          <w:highlight w:val="none"/>
          <w:lang w:val="zh-CN" w:eastAsia="zh-CN"/>
        </w:rPr>
        <w:t>率；</w:t>
      </w:r>
    </w:p>
    <w:p w14:paraId="21DA0CE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奖励金额的比率为</w:t>
      </w:r>
      <w:r>
        <w:rPr>
          <w:rFonts w:hint="eastAsia" w:ascii="宋体" w:hAnsi="宋体" w:eastAsia="宋体" w:cs="宋体"/>
          <w:color w:val="auto"/>
          <w:kern w:val="0"/>
          <w:sz w:val="24"/>
          <w:highlight w:val="none"/>
          <w:u w:val="single"/>
          <w:lang w:val="zh-CN" w:eastAsia="zh-CN"/>
        </w:rPr>
        <w:t>／</w:t>
      </w:r>
      <w:r>
        <w:rPr>
          <w:rFonts w:hint="eastAsia" w:ascii="宋体" w:hAnsi="宋体" w:eastAsia="宋体" w:cs="宋体"/>
          <w:color w:val="auto"/>
          <w:kern w:val="0"/>
          <w:sz w:val="24"/>
          <w:highlight w:val="none"/>
          <w:lang w:val="zh-CN" w:eastAsia="zh-CN"/>
        </w:rPr>
        <w:t>％。</w:t>
      </w:r>
    </w:p>
    <w:p w14:paraId="3F1340C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8.</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CN" w:eastAsia="zh-CN"/>
        </w:rPr>
        <w:t xml:space="preserve"> 保密</w:t>
      </w:r>
    </w:p>
    <w:p w14:paraId="421E6EA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委托人申明的保密事项和期限</w:t>
      </w:r>
      <w:r>
        <w:rPr>
          <w:rFonts w:hint="eastAsia" w:ascii="宋体" w:hAnsi="宋体" w:eastAsia="宋体" w:cs="宋体"/>
          <w:color w:val="auto"/>
          <w:kern w:val="0"/>
          <w:sz w:val="24"/>
          <w:highlight w:val="none"/>
          <w:u w:val="single"/>
          <w:lang w:val="zh-CN" w:eastAsia="zh-CN"/>
        </w:rPr>
        <w:t xml:space="preserve">：        ／                 </w:t>
      </w:r>
      <w:r>
        <w:rPr>
          <w:rFonts w:hint="eastAsia" w:ascii="宋体" w:hAnsi="宋体" w:eastAsia="宋体" w:cs="宋体"/>
          <w:color w:val="auto"/>
          <w:kern w:val="0"/>
          <w:sz w:val="24"/>
          <w:highlight w:val="none"/>
          <w:lang w:val="zh-CN" w:eastAsia="zh-CN"/>
        </w:rPr>
        <w:t>。</w:t>
      </w:r>
    </w:p>
    <w:p w14:paraId="0F0380C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监理人申明的保密事项和期限</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lang w:val="zh-CN" w:eastAsia="zh-CN"/>
        </w:rPr>
        <w:t xml:space="preserve"> 。</w:t>
      </w:r>
    </w:p>
    <w:p w14:paraId="7321D81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第三方申明的保密事项和期限</w:t>
      </w:r>
      <w:r>
        <w:rPr>
          <w:rFonts w:hint="eastAsia" w:ascii="宋体" w:hAnsi="宋体" w:eastAsia="宋体" w:cs="宋体"/>
          <w:color w:val="auto"/>
          <w:kern w:val="0"/>
          <w:sz w:val="24"/>
          <w:highlight w:val="none"/>
          <w:u w:val="single"/>
          <w:lang w:val="zh-CN" w:eastAsia="zh-CN"/>
        </w:rPr>
        <w:t xml:space="preserve">：  ／                          </w:t>
      </w:r>
      <w:r>
        <w:rPr>
          <w:rFonts w:hint="eastAsia" w:ascii="宋体" w:hAnsi="宋体" w:eastAsia="宋体" w:cs="宋体"/>
          <w:color w:val="auto"/>
          <w:kern w:val="0"/>
          <w:sz w:val="24"/>
          <w:highlight w:val="none"/>
          <w:lang w:val="zh-CN" w:eastAsia="zh-CN"/>
        </w:rPr>
        <w:t>。</w:t>
      </w:r>
    </w:p>
    <w:p w14:paraId="2D5B808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8.</w:t>
      </w:r>
      <w:r>
        <w:rPr>
          <w:rFonts w:hint="eastAsia" w:ascii="宋体" w:hAnsi="宋体" w:eastAsia="宋体" w:cs="宋体"/>
          <w:color w:val="auto"/>
          <w:kern w:val="0"/>
          <w:sz w:val="24"/>
          <w:highlight w:val="none"/>
          <w:lang w:val="en-US" w:eastAsia="zh-CN"/>
        </w:rPr>
        <w:t xml:space="preserve">5 </w:t>
      </w:r>
      <w:r>
        <w:rPr>
          <w:rFonts w:hint="eastAsia" w:ascii="宋体" w:hAnsi="宋体" w:eastAsia="宋体" w:cs="宋体"/>
          <w:color w:val="auto"/>
          <w:kern w:val="0"/>
          <w:sz w:val="24"/>
          <w:highlight w:val="none"/>
          <w:lang w:val="zh-CN" w:eastAsia="zh-CN"/>
        </w:rPr>
        <w:t>著作权</w:t>
      </w:r>
    </w:p>
    <w:p w14:paraId="36C24E8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zh-CN" w:eastAsia="zh-CN"/>
        </w:rPr>
        <w:t>监理人在本合同履行期间及本合同终止后两年内出版涉及本工程的有关监理与相关服务的资料的限制条件</w:t>
      </w:r>
      <w:r>
        <w:rPr>
          <w:rFonts w:hint="eastAsia" w:ascii="宋体" w:hAnsi="宋体" w:eastAsia="宋体" w:cs="宋体"/>
          <w:color w:val="auto"/>
          <w:kern w:val="0"/>
          <w:sz w:val="24"/>
          <w:highlight w:val="none"/>
          <w:u w:val="single"/>
          <w:lang w:val="zh-CN" w:eastAsia="zh-CN"/>
        </w:rPr>
        <w:t>：</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lang w:val="zh-CN" w:eastAsia="zh-CN"/>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lang w:val="en-US" w:eastAsia="zh-CN"/>
        </w:rPr>
        <w:t>。</w:t>
      </w:r>
    </w:p>
    <w:p w14:paraId="6B7C8D96">
      <w:pPr>
        <w:keepNext w:val="0"/>
        <w:keepLines w:val="0"/>
        <w:pageBreakBefore w:val="0"/>
        <w:overflowPunct/>
        <w:topLinePunct w:val="0"/>
        <w:autoSpaceDE w:val="0"/>
        <w:autoSpaceDN/>
        <w:bidi w:val="0"/>
        <w:spacing w:line="360" w:lineRule="exact"/>
        <w:rPr>
          <w:rFonts w:hint="eastAsia" w:ascii="宋体" w:hAnsi="宋体" w:eastAsia="宋体" w:cs="宋体"/>
          <w:b/>
          <w:bCs/>
          <w:color w:val="auto"/>
          <w:kern w:val="0"/>
          <w:sz w:val="24"/>
          <w:highlight w:val="none"/>
          <w:lang w:val="zh-CN"/>
        </w:rPr>
      </w:pPr>
      <w:r>
        <w:rPr>
          <w:rFonts w:hint="eastAsia" w:ascii="宋体" w:hAnsi="宋体" w:eastAsia="宋体" w:cs="宋体"/>
          <w:b/>
          <w:bCs/>
          <w:color w:val="auto"/>
          <w:kern w:val="0"/>
          <w:sz w:val="24"/>
          <w:highlight w:val="none"/>
          <w:lang w:val="zh-CN"/>
        </w:rPr>
        <w:t>9. 补充条款</w:t>
      </w:r>
      <w:r>
        <w:rPr>
          <w:rFonts w:hint="eastAsia" w:ascii="宋体" w:hAnsi="宋体" w:cs="宋体"/>
          <w:b/>
          <w:bCs/>
          <w:color w:val="auto"/>
          <w:kern w:val="0"/>
          <w:sz w:val="24"/>
          <w:highlight w:val="none"/>
          <w:lang w:val="zh-CN"/>
        </w:rPr>
        <w:t>（</w:t>
      </w:r>
      <w:r>
        <w:rPr>
          <w:rFonts w:hint="eastAsia" w:ascii="宋体" w:hAnsi="宋体" w:eastAsia="宋体" w:cs="宋体"/>
          <w:b/>
          <w:bCs/>
          <w:color w:val="auto"/>
          <w:kern w:val="0"/>
          <w:sz w:val="24"/>
          <w:highlight w:val="none"/>
          <w:lang w:val="zh-CN"/>
        </w:rPr>
        <w:t>监理人违约及违约责任条款</w:t>
      </w:r>
      <w:r>
        <w:rPr>
          <w:rFonts w:hint="eastAsia" w:ascii="宋体" w:hAnsi="宋体" w:cs="宋体"/>
          <w:b/>
          <w:bCs/>
          <w:color w:val="auto"/>
          <w:kern w:val="0"/>
          <w:sz w:val="24"/>
          <w:highlight w:val="none"/>
          <w:lang w:val="zh-CN"/>
        </w:rPr>
        <w:t>）</w:t>
      </w:r>
    </w:p>
    <w:p w14:paraId="1D576BA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9.1履约保证金</w:t>
      </w:r>
    </w:p>
    <w:p w14:paraId="31C06CA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（1）在监理过程中，如监理人由于自身的资金、技术、质量、非不可抗力等原因给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造成经济损失时，</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扣除相应履约保证金。</w:t>
      </w:r>
    </w:p>
    <w:p w14:paraId="51641CA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（2）有争议时各方协商解决或由当地法院裁判，法律有规定按规定执行。</w:t>
      </w:r>
    </w:p>
    <w:p w14:paraId="23D950A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（3）工程竣工验收合格后30日历天内委托人退回剩余履约保证金（不计算利息）。</w:t>
      </w:r>
    </w:p>
    <w:p w14:paraId="7230C6E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9.2工程质量、造价、进度控制及安全生产管理</w:t>
      </w:r>
    </w:p>
    <w:p w14:paraId="408121D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9.2.1工程质量控制</w:t>
      </w:r>
    </w:p>
    <w:p w14:paraId="4872F08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9.2.1.1工程开工前，监理人应审查施工单位现场的质量管理组织机构、管理制度及专职管理人员和特种作业人员的资格。</w:t>
      </w:r>
    </w:p>
    <w:p w14:paraId="53E461B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9.2.1.2总监理工程师应组织专业监理工程师审查施工单位报审的施工方案，符合要求后应予以签认。施工方案审查应包括下列基本内容：</w:t>
      </w:r>
    </w:p>
    <w:p w14:paraId="352F568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（1）编审程序应符合相关规定。</w:t>
      </w:r>
    </w:p>
    <w:p w14:paraId="008C7E5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（2）工程质量保证措施应符合有关标准。</w:t>
      </w:r>
    </w:p>
    <w:p w14:paraId="3AC3B37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9.2.1.3施工方案报审表应按相应规范的要求填写。</w:t>
      </w:r>
    </w:p>
    <w:p w14:paraId="6FF9C78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9.2.1.4专业监理工程师应审查施工单位报送的新材料、新工艺、新技术、新设备的质量认证材料和相关验收标准的适用性，必要时，应要求施工单位组织专题论证，审查合格后报总监理工程师签认。</w:t>
      </w:r>
    </w:p>
    <w:p w14:paraId="5E54C0D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9.2.1.5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223102B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（1）施工单位测量人员的资格证书及测量设备检定证书。</w:t>
      </w:r>
    </w:p>
    <w:p w14:paraId="086376F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（2）施工平面控制网、高程控制网和临时水准点的测量成果及控制桩的保护措施。</w:t>
      </w:r>
    </w:p>
    <w:p w14:paraId="14722C3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9.2.1.6施工控制测量成果报验表应按相应规范的要求填写。</w:t>
      </w:r>
    </w:p>
    <w:p w14:paraId="0FC5CD0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9.2.1.7专业监理工程师应检查施工单位为工程提供服务的试验室。</w:t>
      </w:r>
    </w:p>
    <w:p w14:paraId="7B031A8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试验室的检查应包括下列内容：</w:t>
      </w:r>
    </w:p>
    <w:p w14:paraId="55F00CA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（1）试验室的资质等级及试验范围。</w:t>
      </w:r>
    </w:p>
    <w:p w14:paraId="7259322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（2）法定计量部门对试验设备出具的计量检定证明。</w:t>
      </w:r>
    </w:p>
    <w:p w14:paraId="4A0E4FE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（3）试验室管理制度。</w:t>
      </w:r>
    </w:p>
    <w:p w14:paraId="43C49FF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（4）试验人员资格证书。</w:t>
      </w:r>
    </w:p>
    <w:p w14:paraId="770E6C0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9.2.1.8施工单位的试验室报审表应按相应规范的要求填写。</w:t>
      </w:r>
    </w:p>
    <w:p w14:paraId="36F5001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9.2.1.9项目监理机人应审查施工单位报送的用于工程的材料、构配件、设备的质量证明文件，并应按有关规定、建设工程监理合同约定，对用于工程的材料进行见证取样、平行检验。监理人对已进场经检验不合格的工程材料、构配件、设备，应要求施工单位限期将其撤出施工现场。工程材料、构配件、设备报审表应按相应规范的要求填写。</w:t>
      </w:r>
    </w:p>
    <w:p w14:paraId="7B54077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9.2.1.10专业监理工程师应审查施工单位定期提交影响工程质量的计量设备的检查和检定报告。</w:t>
      </w:r>
    </w:p>
    <w:p w14:paraId="6DEB323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9.2.1.11监理人应根据工程特点和施工单位报送的施工组织设计，确定旁站的关键部位、关键工序，安排监理人员进行旁站，并应及时记录旁站情况。旁站记录应按相应规范的要求填写。</w:t>
      </w:r>
    </w:p>
    <w:p w14:paraId="346B418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9.2.1.12监理人应安排监理人员对工程施工质量进行巡视。巡视应包括下列主要内容：</w:t>
      </w:r>
    </w:p>
    <w:p w14:paraId="4AA9E84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（1）施工单位是否按工程设计文件、工程建设标准和批准的施工组织设计、(专项)施工方案施工。</w:t>
      </w:r>
    </w:p>
    <w:p w14:paraId="51CDE0C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（2）使用的工程材料、构配件和设备是否合格。</w:t>
      </w:r>
    </w:p>
    <w:p w14:paraId="4952599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（3）施工现场管理人员，特别是施工质量管理人员是否到位。</w:t>
      </w:r>
    </w:p>
    <w:p w14:paraId="025F044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（4）特种作业人员是否持证上岗。</w:t>
      </w:r>
    </w:p>
    <w:p w14:paraId="2E184A6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9.2.1.13监理人应根据工程特点、专业要求，以及建设工程监理合同约定，对施工质量进行平行检验。</w:t>
      </w:r>
    </w:p>
    <w:p w14:paraId="751B17C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9.2.1.14监理人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监理人应要求施工单位对该隐蔽部位进行钻孔探测、剥离或其他方法进行重新检验。隐蔽工程、检验批、分项工程报验表及分部工程报验表应按相应规范的要求填写。</w:t>
      </w:r>
    </w:p>
    <w:p w14:paraId="2A74A31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9.2.1.15监理人发现施工存在质量问题的，或施工单位采用不适当的施工工艺，或施工不当，造成工程质量不合格的，应及时签发监理通知单，要求施工单位整改。整改完毕后，监理人应根据施工单位报送的监理通知回复单对整改情况进行复查，提出复查意见。监理通知单及监理通知回复单应按相应规范的要求填写。</w:t>
      </w:r>
    </w:p>
    <w:p w14:paraId="58E2F2B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9.2.1.16对需要返工处理或加固补强的质量缺陷，监理人应要求施工单位报送经设计等相关单位认可的处理方案，并应对质量缺陷的处理过程进行跟踪检查，同时应对处理结果进行验收。</w:t>
      </w:r>
    </w:p>
    <w:p w14:paraId="370DC79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9.2.1.17对需要返工处理或加固补强的质量事故，监理人应要求施工单位报送质量事故调查报告和经设计等相关单位认可的处理方案，并应对质量事故的处理过程进行跟踪检查，同时应对处理结果进行验收。监理人应及时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提交质量事故书面报告，并应将完整的质量事故处理记录整理归档。</w:t>
      </w:r>
    </w:p>
    <w:p w14:paraId="1F4430F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9.2.1.18监理人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00B1D47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9.2.1.19工程竣工预验收合格后，监理人应编写工程质量评估报告，并应经总监理工程师和工程监理单位技术负责人审核签字后报委托人。</w:t>
      </w:r>
    </w:p>
    <w:p w14:paraId="3EA07EC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9.2.1.20监理人应参加由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组织的竣工验收，对验收中提出的整改问题，应督促施工单位及时整改。工程质量符合要求的，总监理工程师应在工程竣工验收报告中签署意见。</w:t>
      </w:r>
    </w:p>
    <w:p w14:paraId="4642115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9.2.1.21保修期满后，监理人应参与保修期满质量复检，对复检中发现的问题提出整改意见并督促施工单位整改；整改合格后，总监理工程师在复检报告中签署意见。</w:t>
      </w:r>
    </w:p>
    <w:p w14:paraId="0CD59A5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9.2.1.22监理人受</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的委托对工程项目实施进行监督与管理，必须按照国家和广东省的有关施工技术规范及现行标准，保证工程达到合格标准，若因监理人原因，工程在竣工验收或分部工程验收时没有达到此标准，监理人按监理按合同价款的3%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返纳质量违约金，并无条件免费监理服务至工程质量达到合格止。</w:t>
      </w:r>
    </w:p>
    <w:p w14:paraId="6AD82E8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9.2.1.23对于重点、难点及专业性较强的工程项目，在相应工程施工开始一个月前编制完成《监理实施细则》提交</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审核，监理实施细则应有预控措施。</w:t>
      </w:r>
    </w:p>
    <w:p w14:paraId="0C56113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9.2.1.24在施工过程中，当施工单位对已批准的施工组织设计进行调整、补充或变动时，提出专业意见并报</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。要求施工单位报送重点部位、关键工序的施工工艺和确保工程质量的措施，审查同意后签认。定期检查施工单位直接影响工程质量的工程计量设备的技术情况。</w:t>
      </w:r>
    </w:p>
    <w:p w14:paraId="3D80DE0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9.2.1.25对施工过程中出现的质量缺陷，及时下达监理工程师通知，要求施工单位整改，并检查整改结果。</w:t>
      </w:r>
    </w:p>
    <w:p w14:paraId="18B0869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9.2.1.26发现施工存在重大质量隐患，可能造成质量事故或已经造成质量事故，及时下达工程暂停令，要求施工单位停工整改。整改完毕并经复查，符合规定要求后，及时签署工程复工令。总监理工程师下达工程暂停令和签署工程复工令，应事先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w:t>
      </w:r>
    </w:p>
    <w:p w14:paraId="4E05AEA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9.2.1.27对需要返工处理或加固补强的质量事故，责令施工单位报送质量事故调查报告和经设计单位等相关单位认可的处理方案，对质量事故的处理过程和处理结果进行跟踪检查和验收。</w:t>
      </w:r>
    </w:p>
    <w:p w14:paraId="1FBABDB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9.2.1.28督促施工单位及时整理工程技术资料办理各项验收，通过监督管理使实体工程、工程技术资料均能达到验收要求，按计划完成各项验收工作。</w:t>
      </w:r>
    </w:p>
    <w:p w14:paraId="3381C0B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9.2.2工程造价控制</w:t>
      </w:r>
    </w:p>
    <w:p w14:paraId="509F76E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9.2.2.1监理人应按下列程序进行工程计量和付款签证：</w:t>
      </w:r>
    </w:p>
    <w:p w14:paraId="680BABD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（1）专业监理工程师对施工单位在工程款支付报审表中提交的工程量和支付金额进行复核，确定实际完成的工程量，提出到期应支付给施工单位的金额，并提出相应的支持性材料。</w:t>
      </w:r>
    </w:p>
    <w:p w14:paraId="2E46958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（2）总监理工程师对专业监理工程师的审查意见进行审核，签认后报委托人审批。</w:t>
      </w:r>
    </w:p>
    <w:p w14:paraId="6F9E767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（3）总监理工程师根据委托人的审批意见，向施工单位签发工程款支付证书。</w:t>
      </w:r>
    </w:p>
    <w:p w14:paraId="64E44CA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工程款支付报审表及工程款支付证书应按相应规范的要求填写。</w:t>
      </w:r>
    </w:p>
    <w:p w14:paraId="55BEB19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9.2.2.2监理人应编制月完成工程量统计表，对实际完成量与计划完成量进行比较分析，发现偏差的，应提出调整建议，并应在监理月报中向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w:t>
      </w:r>
    </w:p>
    <w:p w14:paraId="1A43455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9.2.2.3监理人应按下列程序进行竣工结算款审核：</w:t>
      </w:r>
    </w:p>
    <w:p w14:paraId="5D2203D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（1）专业监理工程师审查施工单位提交的竣工结算款支付申请，提出审查意见。</w:t>
      </w:r>
    </w:p>
    <w:p w14:paraId="2A25F1B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（2）总监理工程师对专业监理工程师的审查意见进行审核，签认后报委托人审批，同时抄送施工单位，并就工程竣工结算事宜与</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、施工单位协商；达成一致意见的，根据</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审批意见向施工单位签发竣工结算款支付证书；不能达成一致意见的，应按施工合同约定处理。</w:t>
      </w:r>
    </w:p>
    <w:p w14:paraId="269D292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工程竣工结算款支付报审表及竣工结算款支付证书应按相应规范的要求填写。</w:t>
      </w:r>
    </w:p>
    <w:p w14:paraId="55776E0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9.2.2.4复核工程现场签证并签署原始凭证，对各种现场签证的真实性负责。</w:t>
      </w:r>
    </w:p>
    <w:p w14:paraId="66222E0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9.2.2.5每月定期审核工程形象进度（含甲供物料），并将有关资料提交</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指定的造价咨询公司进行审核计量。</w:t>
      </w:r>
    </w:p>
    <w:p w14:paraId="3A088EB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9.2.2.6督促施工单位按施工合同要求在规定时间内提交工程结算或分部结算资料，并在资料齐备后7天内完成工程结算完整性的审核工作，提交</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指定的造价咨询公司进行审核。</w:t>
      </w:r>
    </w:p>
    <w:p w14:paraId="2FB3399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监理人应按上述要求和有关规定控制本项目的工程造价，若由于监理人的过失造成工程造价提高，</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按所提高造价额的50%从监理服务费中扣除，扣除累计不超过监理服务费的70%。</w:t>
      </w:r>
    </w:p>
    <w:p w14:paraId="3199C0B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9.2.3工程进度控制</w:t>
      </w:r>
    </w:p>
    <w:p w14:paraId="17D10FC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9.2.3.1监理人应审查施工单位报审的施工总进度计划和阶段性施工进度计划，提出审查意见，并应由总监理工程师审核后报</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w:t>
      </w:r>
    </w:p>
    <w:p w14:paraId="7AA039C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施工进度计划审查应包括下列基本内容：</w:t>
      </w:r>
    </w:p>
    <w:p w14:paraId="3183EC8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（1）施工进度计划应符合施工合同中工期的约定。</w:t>
      </w:r>
    </w:p>
    <w:p w14:paraId="0BC9D60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（2）施工进度计划中主要工程项目无遗漏，应满足分批投入试运、分批动用的需要，阶段性施工进度计划应满足总进度控制目标的要求。</w:t>
      </w:r>
    </w:p>
    <w:p w14:paraId="3260667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（3）施工顺序的安排应符合施工工艺要求。</w:t>
      </w:r>
    </w:p>
    <w:p w14:paraId="2B1493A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（4）施工人员、工程材料、施工机械等资源供应计划应满足施工进度计划的需要。</w:t>
      </w:r>
    </w:p>
    <w:p w14:paraId="4A9E18E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（5）施工进度计划应符合</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提供的资金、施工图纸、施工场地、物资等施工条件。</w:t>
      </w:r>
    </w:p>
    <w:p w14:paraId="23CB450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施工进度计划报审表应按相应规范的要求填写。</w:t>
      </w:r>
    </w:p>
    <w:p w14:paraId="4799307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9.2.3.2监理人应检查施工进度计划的实施情况，发现实际进度严重滞后于计划进度且影响合同工期时，应签发监理通知单，要求施工单位采取调整措施加快施工进度。总监理工程师应向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报告工期延误风险。</w:t>
      </w:r>
    </w:p>
    <w:p w14:paraId="79ADF4D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9.2.3.3监理人应比较分析工程施工实际进度与计划进度，预测实际进度对工程总工期的影响，并应在监理月报中向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报告工程实际进展情况。</w:t>
      </w:r>
    </w:p>
    <w:p w14:paraId="7BFF7ED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9.2.3.4审批施工单位报送的施工总进度计划和年、季、月度施工进度计划，对进度计划实施情况检查、分析。</w:t>
      </w:r>
    </w:p>
    <w:p w14:paraId="37894AD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9.2.3.5每周检查和书面汇报工程实际进展情况，审核施工单位进度报表，并提出监理建议，发现进度滞后应向委托人提交进度滞后原因分析报告，制定具体处理方案。</w:t>
      </w:r>
    </w:p>
    <w:p w14:paraId="5AD20A5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9.2.3.6当实际进度符合计划进度时，要求施工单位编制下一期进度计划；当实际进度滞后于计划进度时，书面通知施工单位采取纠偏措施并监督实施。</w:t>
      </w:r>
    </w:p>
    <w:p w14:paraId="7BCEB1B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9.2.3.7每天检查进度计划的实施，并记录实际进度及其相关情况。当发现实际进度比计划滞后7天时，需向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提交进度滞后分析报告，提出处理意见，并签发监理工程师通知单指令施工单位采取调整措施，审核施工单位措施提出合理建议，并督促施工单位落实纠偏措施。当实际进度严重滞后于计划进度时，与</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商定采取进一步措施。</w:t>
      </w:r>
    </w:p>
    <w:p w14:paraId="601A3A6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9.2.3.8在监理月报中向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报告工程进度和所采取进度控制措施的执行情况，并提出预防由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原因导致的工程延期及其相关费用索赔的建议。</w:t>
      </w:r>
    </w:p>
    <w:p w14:paraId="32AAD9F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9.2.3.9定期检查施工单位是否按照施工合同和施工进度计划的要求组织配置足够的人员、材料和设备，并就检查情况提出相应措施加以落实。</w:t>
      </w:r>
    </w:p>
    <w:p w14:paraId="6ECCE7A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9.2.4工程安全生产管理</w:t>
      </w:r>
    </w:p>
    <w:p w14:paraId="5AF0B6F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9.2.4.1监理人应根据法律法规、工程建设强制性标准，履行建设工程安全生产管理的监理职责，并应将安全生产管理的监理工作内容、方法和措施纳入监理规划及监理实施细则。</w:t>
      </w:r>
    </w:p>
    <w:p w14:paraId="1B0FB19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9.2.4.2监理人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25D8C11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9.2.4.3监理人应审查施工单位报审的专项施工方案，符合要求的，应由总监理工程师签认后报委托人。超过一定规模的危险性较大的分部分项工程的专项施工方案，应检查施工单位组织专家进行论证、审查的情况，以及是否附具安全验算结果。监理人应要求施工单位按已批准的专项施工方案组织施工。专项施工方案需要调整时，施工单位应按程序重新提交监理人审查。</w:t>
      </w:r>
    </w:p>
    <w:p w14:paraId="2479BB3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专项施工方案审查应包括下列基本内容：</w:t>
      </w:r>
    </w:p>
    <w:p w14:paraId="73FF0D3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（1）编审程序应符合相关规定。</w:t>
      </w:r>
    </w:p>
    <w:p w14:paraId="173D606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（2）安全技术措施应符合工程建设强制性标准。</w:t>
      </w:r>
    </w:p>
    <w:p w14:paraId="3B26394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专项施工方案报审表应按相应规范的要求填写。</w:t>
      </w:r>
    </w:p>
    <w:p w14:paraId="7751679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9.2.4.4监理人应巡视检查危险性较大的分部分项工程专项施工方案实施情况。发现未按专项施工方案实施时，应签发监理通知单，要求施工单位按专项施工方案实施。</w:t>
      </w:r>
    </w:p>
    <w:p w14:paraId="66DC3D5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9.2.4.5监理人在实施监理过程中，发现工程存在安全事故隐患时，应签发监理通知单，要求施工单位整改；情况严重时，应签发工程暂停令，并应及时报告委托人。施工单位拒不整改或不停止施工时，监理人应及时向有关主管部门报送监理报告：监理报告应按相应规范的要求填写。</w:t>
      </w:r>
    </w:p>
    <w:p w14:paraId="5439203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9.2.4.6监理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和《广东省安全生产委员会办公室广东省住房和城乡建设厅关于&lt;严格落实危险性较大的分部分项工程“六不施工”要求的通知&gt;》（粤安办〔2020〕151号）等有关危险性较大的分部分项工程的法规规定通知，履行建设工程安全生产管理的监理职责。</w:t>
      </w:r>
    </w:p>
    <w:p w14:paraId="160CA4E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9.2.4.7审核施工企业应急救援预案和安全防护、安全文明施工措施费用使用计划情况。并按规定对安全防护、文明施工措施费用的列支和使用实施监理；</w:t>
      </w:r>
    </w:p>
    <w:p w14:paraId="5840D86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9.2.4.8在实施监理过程中，发现存在安全事故隐患的，应当要求施工单位整改，情况严重的，应当要求施工单位暂时停止施工，并及时报告</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。施工单位拒不整改或不停止施工的应当及时向有关主管部门报告。</w:t>
      </w:r>
    </w:p>
    <w:p w14:paraId="26EFF12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9.2.4.9按照省、市及施工合同中对文明施工要求的有关规定，定期组织工地范围内文明施工情况的检查，对不符合要求的施工单位采取措施督促其进行整改，并将检查、整改的情况向委托方报告。</w:t>
      </w:r>
    </w:p>
    <w:p w14:paraId="741936A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9.2.4.10每月组织定期的安全检查，并将检查情况向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报告。明确整改完成时间，并督促施工单位按期完成整改工作。</w:t>
      </w:r>
    </w:p>
    <w:p w14:paraId="068FBA2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9.2.4.11按照法律、法规和工程建设强制性标准实施监理，并对建设工程安全生产承担监理责任。</w:t>
      </w:r>
    </w:p>
    <w:p w14:paraId="72DDE2D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9.3监理人违约及违约责任</w:t>
      </w:r>
    </w:p>
    <w:p w14:paraId="2ECA540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通常情况下，监理人不能按合同履行其义务和职责，因工作过失或渎职而造成了工程的经济和工期损失，为监理人违约，监理人应当向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赔偿经济损失，并承担相关的行政、法律责任。在本监理合同中，双方约定将监理人违约范围适当扩大，增加两种视为监理人违约的情况，一是监理人未按约定履行其义务工作时，即使未造成损失，视为监理人违约；二是监理目标未能达标，无论主要原因是什么，视为监理人违约。监理人违约分为监理不良行为、监理过失、监理渎职及监理不达标四大情形造成的违约，这五种违约情形及违约责任的承担作如下规定：</w:t>
      </w:r>
    </w:p>
    <w:p w14:paraId="219D27E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9.3.1监理不良行为违约</w:t>
      </w:r>
    </w:p>
    <w:p w14:paraId="290CA2F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9.3.1.1监理不良行为违约的认定</w:t>
      </w:r>
    </w:p>
    <w:p w14:paraId="7ABBCFF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员一切不按相关法规规定和要求履行义务工作的行为均可视为监理不良行为。监理不良行为特征主要体现是：1、项目监理架构未按相关法规及投标文件承诺规定组建，监理人员未完全到位和未按规定在岗的情形；2、相关法律、法规、地方规范性文件、监理规范、本项目相关合同文件规定及</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指明的监理人的义务工作，监理人却未能执行或执行不及时；3、</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指出或发现监理人在实施监理行为过程中明显的签证错误、审批错误及指令错误。</w:t>
      </w:r>
    </w:p>
    <w:p w14:paraId="11CA506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监理人的不良行为一旦被发现，由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管理人员在“监理行为记录档案”作记录，无论是否造成损失，即构成监理人违约。若该行为已造成实际损失，按本附件界定的监理过失违约规定处理。</w:t>
      </w:r>
    </w:p>
    <w:p w14:paraId="7063BD0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所有监理不良行为违约发生的违约金均从监理人进度款中扣除，监理服务费结算以扣除违约金总数后的金额为准。</w:t>
      </w:r>
    </w:p>
    <w:p w14:paraId="3B0BE9B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9.3.1.2监理不良行为违约的责任承担</w:t>
      </w:r>
    </w:p>
    <w:p w14:paraId="0B9C686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监理人发生监理不良行为一次，承担一般违约责任一次。本项目对驻场总监实施指纹考勤，指纹考勤每月累计不少于20天，未经</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书面同意，每少1天，视为监理人发生监理不良行为一次，承担一般违约责任一次，按¥</w:t>
      </w:r>
      <w:r>
        <w:rPr>
          <w:rFonts w:hint="eastAsia" w:hAnsi="宋体" w:cs="宋体"/>
          <w:color w:val="auto"/>
          <w:kern w:val="0"/>
          <w:sz w:val="24"/>
          <w:highlight w:val="none"/>
          <w:lang w:val="en-US" w:eastAsia="zh-CN"/>
        </w:rPr>
        <w:t>3000元/天</w:t>
      </w:r>
      <w:r>
        <w:rPr>
          <w:rFonts w:hint="eastAsia" w:ascii="宋体" w:hAnsi="宋体" w:eastAsia="宋体" w:cs="宋体"/>
          <w:color w:val="auto"/>
          <w:kern w:val="0"/>
          <w:sz w:val="24"/>
          <w:highlight w:val="none"/>
          <w:lang w:val="en-US" w:eastAsia="zh-CN"/>
        </w:rPr>
        <w:t>支付违约金给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w:t>
      </w:r>
    </w:p>
    <w:p w14:paraId="30F3062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监理人发生一般违约行为应向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，具体一般违约责任情况如下：</w:t>
      </w:r>
    </w:p>
    <w:p w14:paraId="7B11B9E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9.3.1.2.1本项目对驻场监理人员实施指纹考勤，指纹考勤每月累计不到位天数超过6天的，按¥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/人/天支付违约金给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w:t>
      </w:r>
    </w:p>
    <w:p w14:paraId="3C94119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9.3.1.2.2其他监理人员必须按配备要求在现场驻场监理，离开项目现场必须经</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书面同意，如</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发现监理人员非正常离岗，监理人向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每人次交纳违约金¥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。监理人员需与报审人员相符一致，如不符支付违约金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681C849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9.3.1.2.3同一问题未能按时整改，每重复一次监理人向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w:t>
      </w:r>
    </w:p>
    <w:p w14:paraId="3B6BFBC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9.3.1.2.4投标人必须充分考虑总监的履职能力和可行性，充分评估总监的身体健康状况及合同约定服务期限，同时符合《广东省住房和城乡建设厅关于建设工程项目招标中标后监督检查办法》的相关规定。</w:t>
      </w:r>
    </w:p>
    <w:p w14:paraId="6C80714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9.3.1.2.5监理人在施工单位进场前未对相关监理人员进行专项工程交底的（以书面记录为准），向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127AD08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9.3.1.2.6对施工单位未按图纸或招标文件的规定施工的，监理人未及时发现的，经</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指正属实后，向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/次。监理人对发现施工单位的施工质量不符合要求而未及时发出整改通知，或对发出通知但施工单位未予整改的情况下不采取有效措施的，向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1AE5EC6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9.3.1.2.7对于需要审批的技术文件,不进行审批或不进行认真分析、核对即盲目批准，或没有按已审批的技术文件检查、督促施工单位按技术文件、有关规定进行施工，导致工程出现质量缺陷、安全事故或进度延误，</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 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4E3FB22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9.3.1.2.8没有按规定做好材料见证送检工作，没有做好工程材料、构配件、设备进场审批，</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46AE3F2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9.3.1.2.9对必须进行检查验收的项目，不进行检查验收或不按照规定方法进行检查验收，</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7D5BB75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xml:space="preserve">9.3.1.2.10连续3次检查发现重要工序没有监理人员旁站的；明知工程存在缺陷，仍不采取措施加以处理，放任缺陷存在；或者将明显不合格的工程按照合格进行验收，致使工程留下隐患, </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因此遭受损失的，向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43D8B8E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9.3.1.2.11进度滞后超过7天没有书面分析原因提出处理意见，进度滞后情况发生后没有督促施工单位采取有效措施纠偏致使进度失控，</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因此遭受损失的，向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18C322A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8.3.1.2.12对质监站、安监站等政府有关部门和</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上级部门提出的需整改问题没有督促施工单位落实整改，被政府部门勒令停工，</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因此遭受损失的，向委托人缴纳违约金¥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6DA067C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9.3.1.2.13没有及时签发验收资料，督促施工单位按要求整理好验收资料，致使无法办理工程验收，工期延误，委托人因此遭受损失的，向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缴纳违约金¥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377746A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9.3.1.2.14如因监理人工作不力造成重大工程事故，或管理不力阻碍工程顺利进行，并经委托人5次敦促改善仍未有结果，</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有权提出终止合同。</w:t>
      </w:r>
    </w:p>
    <w:p w14:paraId="772599E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9.3.1.2.15如监理人拒不配合</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对监理人在合作期间内的阳光合作监督及调查工作的，或者被证实存在隐 瞒信息、提供虚假信息和伪证行为的，</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有权视情节严重程度，对原合同的履行采取暂停支付业务进度款、终止合作、追究经济损失、解除合同等措施，且无需承担任何违约责任。</w:t>
      </w:r>
    </w:p>
    <w:p w14:paraId="25D12D0E">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9.3.1.2.16监理人需每天发送监理日志给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，未按要求发送监理日志的，按¥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/天支付违约金给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w:t>
      </w:r>
    </w:p>
    <w:p w14:paraId="349F227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9.3.2监理过失事件违约</w:t>
      </w:r>
    </w:p>
    <w:p w14:paraId="03D71A8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9.3.2.1监理过失事件违约的认定</w:t>
      </w:r>
    </w:p>
    <w:p w14:paraId="6EFAA93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工程建设过程中，如发生以下情况：①</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发现勘察（或设计或施工）中存在问题，而监理人未发现的；②监理人发现勘察（或设计或施工）中存在的问题，但未督促勘察（或设计或施工）单位整改或整改不到位的（以监理人发出的整改通知和勘察（或设计或施工）单位回复及监理复查意见为准）；③监理人三次及以上发出整改通知勘察（或设计或施工）单位未能给予响应的，但监理人未能采取果断措施的；以上三种情况一旦</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向监理人发出整改通知，即认定为监理人监理过失事件违约，每发出一份整改通知即认定为监理过失事件违约一次。并由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管理人员在“监理行为记录档案”作记录。</w:t>
      </w:r>
    </w:p>
    <w:p w14:paraId="6E17F0A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9.3.2.2监理过失事件违约的责任承担。</w:t>
      </w:r>
    </w:p>
    <w:p w14:paraId="119A653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9.3.2.2.1监理人发生监理过失事件违约一次，承担严重违约责任一次，监理人向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交纳违约金¥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w:t>
      </w:r>
    </w:p>
    <w:p w14:paraId="24B4FD5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9.3.2.2.2如因监理人的原因而造成的经济损失，按如下规定向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赔偿：</w:t>
      </w:r>
    </w:p>
    <w:p w14:paraId="421C7E5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（1）根据损失额（或工程变更引起增加额）与本工程签订的施工合同金额的比例，按相应比例双倍扣减监理酬金；若增加工程投资比例超过施工合同金额的20%时，</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有权单方解除合同，并要求监理人赔偿</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由此遭受的实际损失中的50%。</w:t>
      </w:r>
    </w:p>
    <w:p w14:paraId="06CB95C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（2）因监理人责任导致工期延误，其中分项工期延误日数占该项总工期的30%时，则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有权扣除该分项工程监理酬金的60%；分项工期延误日数达到该项总工期的50%时，则</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有权单方解除合同。因监理人责任导致工程竣工拖延的，依据拖延的日数，监理人应每日按监理酬金总额的1%向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支付违约金。由于监理人责任导致工期延误，致使</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要承担赔偿第三方责任的，监理人必须承担赔偿</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由此遭受的实际损失中的50%。</w:t>
      </w:r>
    </w:p>
    <w:p w14:paraId="35C1CEB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9.3.2.2.3监理人发生监理过失违约后，当</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认为监理人无正当理由而又未履行监理义务时，有权部分解除合同或完全解除合同。</w:t>
      </w:r>
    </w:p>
    <w:p w14:paraId="6AF528C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9.3.3监理渎职事件违约</w:t>
      </w:r>
    </w:p>
    <w:p w14:paraId="207BD27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8.3.3.1监理渎职事件违约的认定</w:t>
      </w:r>
    </w:p>
    <w:p w14:paraId="618CD11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监理人员不按监理合同履行职责，滥用监理职权，或与其他人故意串通，行为恶劣造成严重社会影响的，无论是否造成损失，一经发现并认定为监理渎职违约，并由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管理人员在“监理行为记录档案”作记录。</w:t>
      </w:r>
    </w:p>
    <w:p w14:paraId="3B11A0C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9.3.3.2监理渎职事件违约的责任承担。</w:t>
      </w:r>
    </w:p>
    <w:p w14:paraId="5F65AC6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9.3.3.2.1监理人发生监理渎职违约一次，承担非常严重违约责任一次，扣除监理人违约金¥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w:t>
      </w:r>
    </w:p>
    <w:p w14:paraId="0713E91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9.3.3.2.2</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勒令监理人更换监理人员，直至解除合同（合同解除办法同上）。</w:t>
      </w:r>
    </w:p>
    <w:p w14:paraId="5AC8EDC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9.3.3.2.3如监理人的原因造成委托人或工程损失的，监理人承担全部赔偿责任。</w:t>
      </w:r>
    </w:p>
    <w:p w14:paraId="6587A5C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9.3.3.2.4监理人必须加强对监理人员职业操守、廉政建设的培训和教育，本项目监理人员利用职业身份“吃、拿、卡、要”或有其他违反职业操守及廉政建设相关规定的，一经查实，监理人应立即清退该监理人员，并承担1次非常严重违约责任，扣除监理人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。若监理人违背了以下7款的任何情形之一，不仅视为非常严重的违约，承担1次非常严重违约责任，扣除监理人违约金¥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，而且直接解除合同，不做费用补偿，且对已完成的监理服务，不再支付监理费用，并通报建设行政主管部门，构成犯罪的，依法移交司法机关处理：</w:t>
      </w:r>
    </w:p>
    <w:p w14:paraId="2603A6B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1）禁止向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及施工方推销材料、设备，或以倾向性、排他性变相推销。</w:t>
      </w:r>
    </w:p>
    <w:p w14:paraId="5CE8B79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2）禁止与施工方串通，对不合格材料、产品、工程进行包庇及验收。</w:t>
      </w:r>
    </w:p>
    <w:p w14:paraId="33105D3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3）禁止与施工方串通，对材料用量、工程量进行虚假签认。</w:t>
      </w:r>
    </w:p>
    <w:p w14:paraId="6E60BE3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4）禁止与施工方串通，不合理提高施工难度及增加材料用量，以增大施工费用，获取不正当收益。</w:t>
      </w:r>
    </w:p>
    <w:p w14:paraId="18CFB71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5）禁止接受施工方的请吃送礼或变相受礼。</w:t>
      </w:r>
    </w:p>
    <w:p w14:paraId="5E495F4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6）禁止向施工方介绍分包或推销材料、设备等。</w:t>
      </w:r>
    </w:p>
    <w:p w14:paraId="7B0DF5D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7）禁止故意刁难施工方以谋取私利，损害</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的合法利益。</w:t>
      </w:r>
    </w:p>
    <w:p w14:paraId="224B5EB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9.3.3.2.5如监理人在投标时根据招标文件《商务评分表》“人员配置”作出了增加人员的承诺，而开工后，实际上没有增加，经委托人要求后，在10天内仍未能配齐增加的造价工程师和专业工程师，则视为非常严重的违约，直接解除合同。</w:t>
      </w:r>
    </w:p>
    <w:p w14:paraId="5FEE8D4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9.3.4监理不达标造成的违约</w:t>
      </w:r>
    </w:p>
    <w:p w14:paraId="6F22E511">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9.3.4.1监理不达标违约的认定</w:t>
      </w:r>
    </w:p>
    <w:p w14:paraId="33EAEA7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工程竣工结算后，监理协议书第三项监理目标的任何一项目标的不达标，均视为监理人的监理目标违约。</w:t>
      </w:r>
    </w:p>
    <w:p w14:paraId="4B9CE75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9.3.4.2监理目标违约的责任承担。</w:t>
      </w:r>
    </w:p>
    <w:p w14:paraId="3790787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9.3.4.2.1质量控制不达标：工程竣工验收质量未达到施工合同等级要求的，不管任何原因，结算扣减监理合同价款的5％，同时不免除追究当事人和监理人的法律责任，监理人需无条件免费监理服务至工程质量达到合格止。</w:t>
      </w:r>
    </w:p>
    <w:p w14:paraId="2F30F03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9.3.4.2.2投资控制不达标：如监理人原因造成工程建安费结算价突破投资控制值的，每突破1％，结算扣减监理合同价款的1％。</w:t>
      </w:r>
    </w:p>
    <w:p w14:paraId="452D198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9.3.4.2.3进度控制不达标：工程竣工验收通过日延误的，</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视监理人的责任情况结算索赔监理合同价款1％－3％的违约金。</w:t>
      </w:r>
    </w:p>
    <w:p w14:paraId="46F58AE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9.3.4.2.4安全管理不达标：工程发生一般安全生产事故，或被上级主管部门通报批评、被新闻媒体曝光的，监理人需支付监理合同价款的1%作为违约金；发生较大以上安全质量事故（按国家及合同有关规定界定）的，监理人需支付监理合同价款的3%作为违约金。情节严重的，</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有权部分或全部解除合同。</w:t>
      </w:r>
    </w:p>
    <w:p w14:paraId="6EFE8E8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9.3.4.2.5监理人应保证每季度进度计量（价）数据的准确性，如发生计量（价）误差＞5%，则视为监理人违约一次，扣除监理人违约金¥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w:t>
      </w:r>
    </w:p>
    <w:p w14:paraId="70DF4AB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9.3.4.2.6监理人未按要求配备用于监理现场抽检所用的试验设备和仪器的（如不具备条件的须委托有相应资质的单位进行现场检测），扣除违约金¥</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，并无条件在整改期内达到要求为止，配备满足。</w:t>
      </w:r>
    </w:p>
    <w:p w14:paraId="29A2386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9.3.4.2.7对监理人上述违约处罚，不免除追究当事人和监理人的法律责任。</w:t>
      </w:r>
    </w:p>
    <w:p w14:paraId="4341909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9.3.5监理违约的处理程序</w:t>
      </w:r>
    </w:p>
    <w:p w14:paraId="7ABF7B2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9.3.5.1由</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管理人员在“监理行为记录档案”中将监理人的具体违约情况记录，并将记录内容书面告知监理人。</w:t>
      </w:r>
    </w:p>
    <w:p w14:paraId="1E105D7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9.3.5.2</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不定期将有关监理人的违约情况以记录、通知、会议纪要等书面形式通知监理人，指明其未能履约的内容和</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要求其承担违约责任的等级。</w:t>
      </w:r>
    </w:p>
    <w:p w14:paraId="14AC908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9.3.5.3监理人收到书面处理通知后，如有足够证据证明不应由其承担违约责任的，应在收到违约处理决定后3天内以书面形式向</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提出异议并附上有关证据，</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在收到监理人的异议后15天内审核完毕且作出书面决定并通知监理人。否则书面通知则作为处理决定。</w:t>
      </w:r>
    </w:p>
    <w:p w14:paraId="06EA6A6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9.3.5.4</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将进一步将监理人执行国家强制性规范、标准和履行合同、招投标文件义务的情况（包括但不限于由委托人组织的考核、考评通报、违约责任处理决定等）再报当地建设行政主管部门并在媒体上公开披露。</w:t>
      </w:r>
    </w:p>
    <w:p w14:paraId="7B2E85D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9.3.5.5部分解除合同：</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向监理人发出部分解除合同的通知后，合同部分解除即生效，监理人必须在3日内停止被解除部分的工作，5日内配合</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完成现场工作和有关资料的移交，所交接资料必须完整。监理人无特殊原因未在规定期限内完成移交和撤出，或交接资料不完整的，</w:t>
      </w:r>
      <w:r>
        <w:rPr>
          <w:rFonts w:hint="eastAsia" w:ascii="宋体" w:hAnsi="宋体" w:eastAsia="宋体" w:cs="宋体"/>
          <w:color w:val="auto"/>
          <w:kern w:val="0"/>
          <w:sz w:val="24"/>
          <w:highlight w:val="none"/>
          <w:lang w:val="zh-CN" w:eastAsia="zh-CN"/>
        </w:rPr>
        <w:t>委托人</w:t>
      </w:r>
      <w:r>
        <w:rPr>
          <w:rFonts w:hint="eastAsia" w:ascii="宋体" w:hAnsi="宋体" w:eastAsia="宋体" w:cs="宋体"/>
          <w:color w:val="auto"/>
          <w:kern w:val="0"/>
          <w:sz w:val="24"/>
          <w:highlight w:val="none"/>
          <w:lang w:val="en-US" w:eastAsia="zh-CN"/>
        </w:rPr>
        <w:t>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1AFF450B">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9.3.5.6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监理人需赔偿委托人损失额的10%。委托人在发出解除合同的通知后，委托人即可委托新的监理人承接该工程，监理人不得影响或阻碍新的监理人办理进场手续和相关工作。</w:t>
      </w:r>
    </w:p>
    <w:p w14:paraId="0C8290A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9.3.6其他违约及违约责任</w:t>
      </w:r>
    </w:p>
    <w:p w14:paraId="6A83DD8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9.3.6.1根据《韶关市人民政府办公室关于加强市本级政府投资项目财政投资评审监督管理的实施意见》（韶府办发函〔2021〕32号，以下简称“本实施意见”）文件精神，监理人违反本实施意见，造成项目投资失控或浪费的，建设行政主管部门将在市场诚信管理、市场准入、资质管理等方面，依法对监理人进行相应处理，并责成项目委托人按合同约定予以相应处罚。</w:t>
      </w:r>
    </w:p>
    <w:p w14:paraId="5DBCE15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（1）本工程变更的程序和管理按本实施意见执行，凡不符合本实施意见要求的变更均为无效变更。</w:t>
      </w:r>
    </w:p>
    <w:p w14:paraId="0DE8992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（2）责任追究办法如下，根据合同约定扣减监理人的费用及追究相应法律责任,在合同中明确约定下列违约责任条款：</w:t>
      </w:r>
    </w:p>
    <w:p w14:paraId="0818C6FC">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①因监理人责任引起变更造成投资规模增加10%以上的,监理人需支付合同价款的20%作为违约金。</w:t>
      </w:r>
    </w:p>
    <w:p w14:paraId="3B59CE86">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②因监理人责任引起变更造成投资规模增加15%以上的,监理人需支付合同价款的30%作为违约金。</w:t>
      </w:r>
    </w:p>
    <w:p w14:paraId="7D0831C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③因监理人责任引起变更造成投资规模增加20%以上的,监理人需支付合同价款的40%作为违约金。</w:t>
      </w:r>
    </w:p>
    <w:p w14:paraId="4E03CF7D">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出现以上情况造成需支付的违约金等，违约金由监理人直接将违约金转入委托人或通过“广东省非税收入管理系统”缴纳。</w:t>
      </w:r>
    </w:p>
    <w:p w14:paraId="59F9442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9.3.6.2本工程质量必须达到合格标准。若因监理人原因，工程在竣工验收或分部工程验收时没有达到此标准，监理人按监理合同价款（指监理结算价款）的5％向委托人返纳质量违约金。</w:t>
      </w:r>
    </w:p>
    <w:p w14:paraId="13CD3EE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9.3.6.3监理人在监理期间应严格遵守国家、省、市有关防火、爆破和监理安全以及文明监理、深夜监理、环卫城管等规定，建立规章制度和防护措施。否则，由此造成的经济和法律责任，均由监理人负责。</w:t>
      </w:r>
    </w:p>
    <w:p w14:paraId="1975364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9.3.6.4监理人应按安全监理的要求，采取严格科学的安全措施，确保监理安全和第三者的安全，承担由于自身安全措施不力所造成的事故责任和发生的费用。</w:t>
      </w:r>
    </w:p>
    <w:p w14:paraId="2CD5480F">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9.3.6.5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委托人有权以书面形式要求监理人更换不能按照监理合同的约定进行监理服务的派驻人员，若监理人拒不执行或无法在15个工作日内完成更换，则每发生一次扣除签约合同价的10%作为违约金。</w:t>
      </w:r>
    </w:p>
    <w:p w14:paraId="67B87E30">
      <w:pPr>
        <w:keepNext w:val="0"/>
        <w:keepLines w:val="0"/>
        <w:pageBreakBefore w:val="0"/>
        <w:overflowPunct/>
        <w:topLinePunct w:val="0"/>
        <w:autoSpaceDE w:val="0"/>
        <w:autoSpaceDN/>
        <w:bidi w:val="0"/>
        <w:spacing w:line="3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zh-CN" w:eastAsia="zh-CN"/>
        </w:rPr>
        <w:t>监理人需在施工现场设置总监办公室组织机构场地，监理人设置的机构场地、设备等需满足整个监理实施过程中的正常运作。本工程监理人现场办公场所、试验室、生活住所、办公设备及生活家具等由监理人自行解决，委托人不另外提供。</w:t>
      </w:r>
      <w:r>
        <w:rPr>
          <w:rFonts w:hint="eastAsia" w:ascii="宋体" w:hAnsi="宋体" w:eastAsia="宋体" w:cs="宋体"/>
          <w:color w:val="auto"/>
          <w:kern w:val="0"/>
          <w:sz w:val="24"/>
          <w:highlight w:val="none"/>
          <w:lang w:val="en-US" w:eastAsia="zh-CN"/>
        </w:rPr>
        <w:t>如未设置场地的，</w:t>
      </w:r>
      <w:r>
        <w:rPr>
          <w:rFonts w:hint="eastAsia" w:ascii="宋体" w:hAnsi="宋体" w:eastAsia="宋体" w:cs="宋体"/>
          <w:color w:val="auto"/>
          <w:kern w:val="0"/>
          <w:sz w:val="24"/>
          <w:highlight w:val="none"/>
          <w:lang w:val="zh-CN" w:eastAsia="zh-CN"/>
        </w:rPr>
        <w:t>按违约处理，</w:t>
      </w:r>
      <w:r>
        <w:rPr>
          <w:rFonts w:hint="eastAsia" w:ascii="宋体" w:hAnsi="宋体" w:eastAsia="宋体" w:cs="宋体"/>
          <w:color w:val="auto"/>
          <w:kern w:val="0"/>
          <w:sz w:val="24"/>
          <w:highlight w:val="none"/>
          <w:lang w:val="en-US" w:eastAsia="zh-CN"/>
        </w:rPr>
        <w:t>支付¥</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违约金。如未按规定落实配置，委托人警告督促未落实的，按每次支付¥</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/次违约金。</w:t>
      </w:r>
    </w:p>
    <w:p w14:paraId="7A69F8D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9.3.6.6监理人应在每月28日前根据工程进度向委托人报审下月的工作计划表（样表见下表）。如未按时提交，每推迟一天，按¥</w:t>
      </w:r>
      <w:r>
        <w:rPr>
          <w:rFonts w:hint="eastAsia" w:hAnsi="宋体" w:cs="宋体"/>
          <w:color w:val="auto"/>
          <w:kern w:val="0"/>
          <w:sz w:val="24"/>
          <w:highlight w:val="none"/>
          <w:lang w:val="en-US" w:eastAsia="zh-CN"/>
        </w:rPr>
        <w:t>3000元/天</w:t>
      </w:r>
      <w:r>
        <w:rPr>
          <w:rFonts w:hint="eastAsia" w:ascii="宋体" w:hAnsi="宋体" w:eastAsia="宋体" w:cs="宋体"/>
          <w:color w:val="auto"/>
          <w:kern w:val="0"/>
          <w:sz w:val="24"/>
          <w:highlight w:val="none"/>
          <w:lang w:val="en-US" w:eastAsia="zh-CN"/>
        </w:rPr>
        <w:t>支付违约金；如未实施工作计划表中内容，每项按¥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/项支付违约金。</w:t>
      </w:r>
    </w:p>
    <w:p w14:paraId="585B46FE">
      <w:pPr>
        <w:keepNext w:val="0"/>
        <w:keepLines w:val="0"/>
        <w:pageBreakBefore w:val="0"/>
        <w:widowControl w:val="0"/>
        <w:suppressLineNumbers w:val="0"/>
        <w:kinsoku/>
        <w:overflowPunct/>
        <w:topLinePunct w:val="0"/>
        <w:autoSpaceDN/>
        <w:bidi w:val="0"/>
        <w:spacing w:before="0" w:beforeAutospacing="0" w:after="0" w:afterAutospacing="0" w:line="36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月监理工作计划及完成情况表</w:t>
      </w:r>
    </w:p>
    <w:tbl>
      <w:tblPr>
        <w:tblStyle w:val="21"/>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2280"/>
        <w:gridCol w:w="1900"/>
        <w:gridCol w:w="1955"/>
        <w:gridCol w:w="2250"/>
      </w:tblGrid>
      <w:tr w14:paraId="5ED4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14" w:type="dxa"/>
            <w:tcBorders>
              <w:top w:val="single" w:color="auto" w:sz="4" w:space="0"/>
              <w:left w:val="single" w:color="auto" w:sz="4" w:space="0"/>
              <w:bottom w:val="single" w:color="auto" w:sz="4" w:space="0"/>
              <w:right w:val="single" w:color="auto" w:sz="4" w:space="0"/>
            </w:tcBorders>
            <w:noWrap w:val="0"/>
            <w:vAlign w:val="top"/>
          </w:tcPr>
          <w:p w14:paraId="51C9364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编号</w:t>
            </w:r>
          </w:p>
        </w:tc>
        <w:tc>
          <w:tcPr>
            <w:tcW w:w="2280" w:type="dxa"/>
            <w:tcBorders>
              <w:top w:val="single" w:color="auto" w:sz="4" w:space="0"/>
              <w:left w:val="single" w:color="auto" w:sz="4" w:space="0"/>
              <w:bottom w:val="single" w:color="auto" w:sz="4" w:space="0"/>
              <w:right w:val="single" w:color="auto" w:sz="4" w:space="0"/>
            </w:tcBorders>
            <w:noWrap w:val="0"/>
            <w:vAlign w:val="top"/>
          </w:tcPr>
          <w:p w14:paraId="529DCEB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工作内容</w:t>
            </w:r>
          </w:p>
        </w:tc>
        <w:tc>
          <w:tcPr>
            <w:tcW w:w="1900" w:type="dxa"/>
            <w:tcBorders>
              <w:top w:val="single" w:color="auto" w:sz="4" w:space="0"/>
              <w:left w:val="single" w:color="auto" w:sz="4" w:space="0"/>
              <w:bottom w:val="single" w:color="auto" w:sz="4" w:space="0"/>
              <w:right w:val="single" w:color="auto" w:sz="4" w:space="0"/>
            </w:tcBorders>
            <w:noWrap w:val="0"/>
            <w:vAlign w:val="top"/>
          </w:tcPr>
          <w:p w14:paraId="5B17D19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计划开始时间</w:t>
            </w:r>
          </w:p>
        </w:tc>
        <w:tc>
          <w:tcPr>
            <w:tcW w:w="1955" w:type="dxa"/>
            <w:tcBorders>
              <w:top w:val="single" w:color="auto" w:sz="4" w:space="0"/>
              <w:left w:val="single" w:color="auto" w:sz="4" w:space="0"/>
              <w:bottom w:val="single" w:color="auto" w:sz="4" w:space="0"/>
              <w:right w:val="single" w:color="auto" w:sz="4" w:space="0"/>
            </w:tcBorders>
            <w:noWrap w:val="0"/>
            <w:vAlign w:val="top"/>
          </w:tcPr>
          <w:p w14:paraId="5883532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计划完成时间</w:t>
            </w:r>
          </w:p>
        </w:tc>
        <w:tc>
          <w:tcPr>
            <w:tcW w:w="2250" w:type="dxa"/>
            <w:tcBorders>
              <w:top w:val="single" w:color="auto" w:sz="4" w:space="0"/>
              <w:left w:val="single" w:color="auto" w:sz="4" w:space="0"/>
              <w:bottom w:val="single" w:color="auto" w:sz="4" w:space="0"/>
              <w:right w:val="single" w:color="auto" w:sz="4" w:space="0"/>
            </w:tcBorders>
            <w:noWrap w:val="0"/>
            <w:vAlign w:val="top"/>
          </w:tcPr>
          <w:p w14:paraId="44E6578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完成的佐证材料</w:t>
            </w:r>
          </w:p>
        </w:tc>
      </w:tr>
      <w:tr w14:paraId="38A0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tcBorders>
              <w:top w:val="single" w:color="auto" w:sz="4" w:space="0"/>
              <w:left w:val="single" w:color="auto" w:sz="4" w:space="0"/>
              <w:bottom w:val="single" w:color="auto" w:sz="4" w:space="0"/>
              <w:right w:val="single" w:color="auto" w:sz="4" w:space="0"/>
            </w:tcBorders>
            <w:noWrap w:val="0"/>
            <w:vAlign w:val="top"/>
          </w:tcPr>
          <w:p w14:paraId="42A33211">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w:t>
            </w:r>
          </w:p>
        </w:tc>
        <w:tc>
          <w:tcPr>
            <w:tcW w:w="2280" w:type="dxa"/>
            <w:tcBorders>
              <w:top w:val="single" w:color="auto" w:sz="4" w:space="0"/>
              <w:left w:val="single" w:color="auto" w:sz="4" w:space="0"/>
              <w:bottom w:val="single" w:color="auto" w:sz="4" w:space="0"/>
              <w:right w:val="single" w:color="auto" w:sz="4" w:space="0"/>
            </w:tcBorders>
            <w:noWrap w:val="0"/>
            <w:vAlign w:val="top"/>
          </w:tcPr>
          <w:p w14:paraId="50660E4C">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top"/>
          </w:tcPr>
          <w:p w14:paraId="34F514F4">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55" w:type="dxa"/>
            <w:tcBorders>
              <w:top w:val="single" w:color="auto" w:sz="4" w:space="0"/>
              <w:left w:val="single" w:color="auto" w:sz="4" w:space="0"/>
              <w:bottom w:val="single" w:color="auto" w:sz="4" w:space="0"/>
              <w:right w:val="single" w:color="auto" w:sz="4" w:space="0"/>
            </w:tcBorders>
            <w:noWrap w:val="0"/>
            <w:vAlign w:val="top"/>
          </w:tcPr>
          <w:p w14:paraId="5972DE7F">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244472C8">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r>
      <w:tr w14:paraId="5485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tcBorders>
              <w:top w:val="single" w:color="auto" w:sz="4" w:space="0"/>
              <w:left w:val="single" w:color="auto" w:sz="4" w:space="0"/>
              <w:bottom w:val="single" w:color="auto" w:sz="4" w:space="0"/>
              <w:right w:val="single" w:color="auto" w:sz="4" w:space="0"/>
            </w:tcBorders>
            <w:noWrap w:val="0"/>
            <w:vAlign w:val="top"/>
          </w:tcPr>
          <w:p w14:paraId="096CCE14">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p>
        </w:tc>
        <w:tc>
          <w:tcPr>
            <w:tcW w:w="2280" w:type="dxa"/>
            <w:tcBorders>
              <w:top w:val="single" w:color="auto" w:sz="4" w:space="0"/>
              <w:left w:val="single" w:color="auto" w:sz="4" w:space="0"/>
              <w:bottom w:val="single" w:color="auto" w:sz="4" w:space="0"/>
              <w:right w:val="single" w:color="auto" w:sz="4" w:space="0"/>
            </w:tcBorders>
            <w:noWrap w:val="0"/>
            <w:vAlign w:val="top"/>
          </w:tcPr>
          <w:p w14:paraId="7A3C3C81">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top"/>
          </w:tcPr>
          <w:p w14:paraId="48E6E398">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55" w:type="dxa"/>
            <w:tcBorders>
              <w:top w:val="single" w:color="auto" w:sz="4" w:space="0"/>
              <w:left w:val="single" w:color="auto" w:sz="4" w:space="0"/>
              <w:bottom w:val="single" w:color="auto" w:sz="4" w:space="0"/>
              <w:right w:val="single" w:color="auto" w:sz="4" w:space="0"/>
            </w:tcBorders>
            <w:noWrap w:val="0"/>
            <w:vAlign w:val="top"/>
          </w:tcPr>
          <w:p w14:paraId="1F8FC9D2">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0F6B9A6B">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r>
      <w:tr w14:paraId="0137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tcBorders>
              <w:top w:val="single" w:color="auto" w:sz="4" w:space="0"/>
              <w:left w:val="single" w:color="auto" w:sz="4" w:space="0"/>
              <w:bottom w:val="single" w:color="auto" w:sz="4" w:space="0"/>
              <w:right w:val="single" w:color="auto" w:sz="4" w:space="0"/>
            </w:tcBorders>
            <w:noWrap w:val="0"/>
            <w:vAlign w:val="top"/>
          </w:tcPr>
          <w:p w14:paraId="2423AFD9">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p>
        </w:tc>
        <w:tc>
          <w:tcPr>
            <w:tcW w:w="2280" w:type="dxa"/>
            <w:tcBorders>
              <w:top w:val="single" w:color="auto" w:sz="4" w:space="0"/>
              <w:left w:val="single" w:color="auto" w:sz="4" w:space="0"/>
              <w:bottom w:val="single" w:color="auto" w:sz="4" w:space="0"/>
              <w:right w:val="single" w:color="auto" w:sz="4" w:space="0"/>
            </w:tcBorders>
            <w:noWrap w:val="0"/>
            <w:vAlign w:val="top"/>
          </w:tcPr>
          <w:p w14:paraId="40AA6ABA">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top"/>
          </w:tcPr>
          <w:p w14:paraId="033163D6">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1955" w:type="dxa"/>
            <w:tcBorders>
              <w:top w:val="single" w:color="auto" w:sz="4" w:space="0"/>
              <w:left w:val="single" w:color="auto" w:sz="4" w:space="0"/>
              <w:bottom w:val="single" w:color="auto" w:sz="4" w:space="0"/>
              <w:right w:val="single" w:color="auto" w:sz="4" w:space="0"/>
            </w:tcBorders>
            <w:noWrap w:val="0"/>
            <w:vAlign w:val="top"/>
          </w:tcPr>
          <w:p w14:paraId="44B3E19B">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top"/>
          </w:tcPr>
          <w:p w14:paraId="3E2F33AD">
            <w:pPr>
              <w:keepNext w:val="0"/>
              <w:keepLines w:val="0"/>
              <w:pageBreakBefore w:val="0"/>
              <w:widowControl w:val="0"/>
              <w:suppressLineNumbers w:val="0"/>
              <w:kinsoku/>
              <w:overflowPunct/>
              <w:topLinePunct w:val="0"/>
              <w:autoSpaceDE w:val="0"/>
              <w:autoSpaceDN/>
              <w:bidi w:val="0"/>
              <w:spacing w:before="0" w:beforeAutospacing="0" w:after="0" w:afterAutospacing="0" w:line="360" w:lineRule="exact"/>
              <w:ind w:left="0" w:right="0"/>
              <w:jc w:val="left"/>
              <w:rPr>
                <w:rFonts w:hint="eastAsia" w:ascii="宋体" w:hAnsi="宋体" w:eastAsia="宋体" w:cs="宋体"/>
                <w:color w:val="auto"/>
                <w:kern w:val="2"/>
                <w:sz w:val="24"/>
                <w:szCs w:val="24"/>
                <w:highlight w:val="none"/>
              </w:rPr>
            </w:pPr>
          </w:p>
        </w:tc>
      </w:tr>
    </w:tbl>
    <w:p w14:paraId="00BED898">
      <w:pPr>
        <w:keepNext w:val="0"/>
        <w:keepLines w:val="0"/>
        <w:pageBreakBefore w:val="0"/>
        <w:widowControl w:val="0"/>
        <w:suppressLineNumbers w:val="0"/>
        <w:kinsoku/>
        <w:overflowPunct/>
        <w:topLinePunct w:val="0"/>
        <w:autoSpaceDN/>
        <w:bidi w:val="0"/>
        <w:spacing w:before="0" w:beforeAutospacing="0" w:after="0" w:afterAutospacing="0" w:line="360" w:lineRule="exact"/>
        <w:ind w:right="0"/>
        <w:jc w:val="left"/>
        <w:rPr>
          <w:rFonts w:hint="eastAsia" w:ascii="宋体" w:hAnsi="宋体" w:eastAsia="宋体" w:cs="宋体"/>
          <w:color w:val="auto"/>
          <w:kern w:val="2"/>
          <w:sz w:val="24"/>
          <w:szCs w:val="24"/>
          <w:highlight w:val="none"/>
          <w:lang w:val="en-US" w:eastAsia="zh-CN" w:bidi="ar"/>
        </w:rPr>
      </w:pPr>
    </w:p>
    <w:p w14:paraId="3566A73D">
      <w:pPr>
        <w:keepNext w:val="0"/>
        <w:keepLines w:val="0"/>
        <w:pageBreakBefore w:val="0"/>
        <w:widowControl w:val="0"/>
        <w:suppressLineNumbers w:val="0"/>
        <w:kinsoku/>
        <w:overflowPunct/>
        <w:topLinePunct w:val="0"/>
        <w:autoSpaceDN/>
        <w:bidi w:val="0"/>
        <w:spacing w:before="0" w:beforeAutospacing="0" w:after="0" w:afterAutospacing="0" w:line="360" w:lineRule="exact"/>
        <w:ind w:left="0" w:right="0" w:firstLine="240" w:firstLineChars="100"/>
        <w:jc w:val="center"/>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监理单位项目总监签名：          建设单位项目现场负责人签名：</w:t>
      </w:r>
    </w:p>
    <w:p w14:paraId="1158C4D1">
      <w:pPr>
        <w:keepNext w:val="0"/>
        <w:keepLines w:val="0"/>
        <w:pageBreakBefore w:val="0"/>
        <w:widowControl w:val="0"/>
        <w:suppressLineNumbers w:val="0"/>
        <w:kinsoku/>
        <w:overflowPunct/>
        <w:topLinePunct w:val="0"/>
        <w:autoSpaceDN/>
        <w:bidi w:val="0"/>
        <w:spacing w:before="0" w:beforeAutospacing="0" w:after="0" w:afterAutospacing="0" w:line="360" w:lineRule="exact"/>
        <w:ind w:right="0" w:firstLine="1440" w:firstLineChars="600"/>
        <w:jc w:val="left"/>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b w:val="0"/>
          <w:bCs w:val="0"/>
          <w:color w:val="auto"/>
          <w:kern w:val="2"/>
          <w:sz w:val="24"/>
          <w:szCs w:val="24"/>
          <w:highlight w:val="none"/>
          <w:u w:val="single"/>
          <w:lang w:val="en-US" w:eastAsia="zh-CN" w:bidi="ar"/>
        </w:rPr>
        <w:t xml:space="preserve">                  </w:t>
      </w:r>
      <w:r>
        <w:rPr>
          <w:rFonts w:hint="eastAsia" w:ascii="宋体" w:hAnsi="宋体" w:eastAsia="宋体" w:cs="宋体"/>
          <w:b w:val="0"/>
          <w:bCs w:val="0"/>
          <w:color w:val="auto"/>
          <w:kern w:val="2"/>
          <w:sz w:val="24"/>
          <w:szCs w:val="24"/>
          <w:highlight w:val="none"/>
          <w:lang w:val="en-US" w:eastAsia="zh-CN" w:bidi="ar"/>
        </w:rPr>
        <w:t xml:space="preserve">（盖章）      </w:t>
      </w:r>
      <w:r>
        <w:rPr>
          <w:rFonts w:hint="eastAsia" w:ascii="宋体" w:hAnsi="宋体" w:eastAsia="宋体" w:cs="宋体"/>
          <w:b w:val="0"/>
          <w:bCs w:val="0"/>
          <w:color w:val="auto"/>
          <w:kern w:val="2"/>
          <w:sz w:val="24"/>
          <w:szCs w:val="24"/>
          <w:highlight w:val="none"/>
          <w:u w:val="single"/>
          <w:lang w:val="en-US" w:eastAsia="zh-CN" w:bidi="ar"/>
        </w:rPr>
        <w:t xml:space="preserve">                   </w:t>
      </w:r>
      <w:r>
        <w:rPr>
          <w:rFonts w:hint="eastAsia" w:ascii="宋体" w:hAnsi="宋体" w:eastAsia="宋体" w:cs="宋体"/>
          <w:b w:val="0"/>
          <w:bCs w:val="0"/>
          <w:color w:val="auto"/>
          <w:kern w:val="2"/>
          <w:sz w:val="24"/>
          <w:szCs w:val="24"/>
          <w:highlight w:val="none"/>
          <w:lang w:val="en-US" w:eastAsia="zh-CN" w:bidi="ar"/>
        </w:rPr>
        <w:t>（盖章</w:t>
      </w:r>
      <w:r>
        <w:rPr>
          <w:rFonts w:hint="eastAsia" w:ascii="宋体" w:hAnsi="宋体" w:eastAsia="宋体" w:cs="宋体"/>
          <w:b/>
          <w:bCs/>
          <w:color w:val="auto"/>
          <w:kern w:val="2"/>
          <w:sz w:val="24"/>
          <w:szCs w:val="24"/>
          <w:highlight w:val="none"/>
          <w:lang w:val="en-US" w:eastAsia="zh-CN" w:bidi="ar"/>
        </w:rPr>
        <w:t>）</w:t>
      </w:r>
    </w:p>
    <w:p w14:paraId="1F88FD0B">
      <w:pPr>
        <w:keepNext w:val="0"/>
        <w:keepLines w:val="0"/>
        <w:pageBreakBefore w:val="0"/>
        <w:widowControl w:val="0"/>
        <w:suppressLineNumbers w:val="0"/>
        <w:kinsoku/>
        <w:wordWrap w:val="0"/>
        <w:overflowPunct/>
        <w:topLinePunct w:val="0"/>
        <w:autoSpaceDN/>
        <w:bidi w:val="0"/>
        <w:adjustRightInd w:val="0"/>
        <w:snapToGrid w:val="0"/>
        <w:spacing w:before="0" w:beforeAutospacing="0" w:after="0" w:afterAutospacing="0" w:line="360" w:lineRule="exact"/>
        <w:ind w:right="0" w:firstLine="480" w:firstLineChars="200"/>
        <w:jc w:val="left"/>
        <w:rPr>
          <w:rFonts w:hint="eastAsia" w:ascii="宋体" w:hAnsi="宋体" w:eastAsia="宋体" w:cs="宋体"/>
          <w:b w:val="0"/>
          <w:bCs w:val="0"/>
          <w:color w:val="auto"/>
          <w:kern w:val="0"/>
          <w:sz w:val="24"/>
          <w:szCs w:val="24"/>
          <w:highlight w:val="none"/>
          <w:lang w:val="en-US" w:eastAsia="zh-CN" w:bidi="ar"/>
        </w:rPr>
      </w:pPr>
    </w:p>
    <w:p w14:paraId="3A407F62">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9.3.6.7监理人根据委托人与施工单位签订的施工合同中约定的工程进度节点计划考核内容，结合现场实际施工进度对比后，在考核节点后的5天内提交考核报告，报告每逾期一天，按¥</w:t>
      </w:r>
      <w:r>
        <w:rPr>
          <w:rFonts w:hint="eastAsia" w:hAnsi="宋体" w:cs="宋体"/>
          <w:color w:val="auto"/>
          <w:kern w:val="0"/>
          <w:sz w:val="24"/>
          <w:highlight w:val="none"/>
          <w:lang w:val="en-US" w:eastAsia="zh-CN"/>
        </w:rPr>
        <w:t>3000元/天</w:t>
      </w:r>
      <w:r>
        <w:rPr>
          <w:rFonts w:hint="eastAsia" w:ascii="宋体" w:hAnsi="宋体" w:eastAsia="宋体" w:cs="宋体"/>
          <w:color w:val="auto"/>
          <w:kern w:val="0"/>
          <w:sz w:val="24"/>
          <w:highlight w:val="none"/>
          <w:lang w:val="en-US" w:eastAsia="zh-CN"/>
        </w:rPr>
        <w:t>支付违约金。</w:t>
      </w:r>
    </w:p>
    <w:p w14:paraId="17458567">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9.3.6.8总监理工程师未按要求到场的，按¥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/次支付违约金。</w:t>
      </w:r>
    </w:p>
    <w:p w14:paraId="030E064E">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9.3.6.9施工期间，监理人员未经委托人同意擅自离岗的，按¥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/次支付违约金。</w:t>
      </w:r>
    </w:p>
    <w:p w14:paraId="0430B3A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9.3.6.10监理未按要求及时提供会议纪要、材料检查记录等施工过程的监理资料的，按¥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/次支付违约金。</w:t>
      </w:r>
    </w:p>
    <w:p w14:paraId="1D9A06D4">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9.3.6.11施工现场存在安全隐患，监理人未及时发现并发出整改指令，按¥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/次支付违约金。</w:t>
      </w:r>
    </w:p>
    <w:p w14:paraId="524F3DF5">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9.3.6.12施工现场出现与图纸不符的建设内容，监理人未及时发现并发出整改指令，导致资金浪费或工期延误，按¥</w:t>
      </w:r>
      <w:r>
        <w:rPr>
          <w:rFonts w:hint="eastAsia" w:hAnsi="宋体" w:cs="宋体"/>
          <w:color w:val="auto"/>
          <w:kern w:val="0"/>
          <w:sz w:val="24"/>
          <w:highlight w:val="none"/>
          <w:lang w:val="en-US" w:eastAsia="zh-CN"/>
        </w:rPr>
        <w:t>3000元</w:t>
      </w:r>
      <w:r>
        <w:rPr>
          <w:rFonts w:hint="eastAsia" w:ascii="宋体" w:hAnsi="宋体" w:eastAsia="宋体" w:cs="宋体"/>
          <w:color w:val="auto"/>
          <w:kern w:val="0"/>
          <w:sz w:val="24"/>
          <w:highlight w:val="none"/>
          <w:lang w:val="en-US" w:eastAsia="zh-CN"/>
        </w:rPr>
        <w:t>/次支付违约金。</w:t>
      </w:r>
    </w:p>
    <w:p w14:paraId="093087A9">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9.3.6.13服务期间，根据《建设工程监理规范》规定：3.2.1一名总监理工程师只宜担任一项委托监理合同的项目总监理工程师工作。当需要同时担任多项委托监理合同的项目总监理工程师工作时，须经委托人同意，且最多不得超过三项。若乙方违反，一经发现，按¥20000元/次支付违约金并赔偿由此给甲方造成的一切损失。</w:t>
      </w:r>
    </w:p>
    <w:p w14:paraId="79DCFD07">
      <w:pPr>
        <w:keepNext w:val="0"/>
        <w:keepLines w:val="0"/>
        <w:pageBreakBefore w:val="0"/>
        <w:widowControl w:val="0"/>
        <w:suppressLineNumbers w:val="0"/>
        <w:wordWrap w:val="0"/>
        <w:overflowPunct/>
        <w:topLinePunct w:val="0"/>
        <w:autoSpaceDN/>
        <w:bidi w:val="0"/>
        <w:adjustRightInd w:val="0"/>
        <w:snapToGrid w:val="0"/>
        <w:spacing w:before="0" w:beforeAutospacing="0" w:after="0" w:afterAutospacing="0" w:line="360" w:lineRule="exact"/>
        <w:ind w:right="0"/>
        <w:jc w:val="center"/>
        <w:rPr>
          <w:rFonts w:hint="eastAsia" w:ascii="宋体" w:hAnsi="宋体" w:eastAsia="宋体" w:cs="宋体"/>
          <w:color w:val="auto"/>
          <w:kern w:val="2"/>
          <w:sz w:val="24"/>
          <w:szCs w:val="24"/>
          <w:highlight w:val="none"/>
        </w:rPr>
      </w:pPr>
      <w:r>
        <w:rPr>
          <w:rFonts w:hint="eastAsia" w:ascii="宋体" w:hAnsi="宋体" w:eastAsia="宋体" w:cs="宋体"/>
          <w:b/>
          <w:bCs/>
          <w:color w:val="auto"/>
          <w:kern w:val="0"/>
          <w:sz w:val="24"/>
          <w:szCs w:val="24"/>
          <w:highlight w:val="none"/>
          <w:lang w:val="en-US" w:eastAsia="zh-CN" w:bidi="ar"/>
        </w:rPr>
        <w:t>监理违约行为一览表</w:t>
      </w:r>
    </w:p>
    <w:tbl>
      <w:tblPr>
        <w:tblStyle w:val="21"/>
        <w:tblW w:w="101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5"/>
        <w:gridCol w:w="4419"/>
        <w:gridCol w:w="1371"/>
        <w:gridCol w:w="3432"/>
      </w:tblGrid>
      <w:tr w14:paraId="2F11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FBC989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序号</w:t>
            </w:r>
          </w:p>
        </w:tc>
        <w:tc>
          <w:tcPr>
            <w:tcW w:w="4419" w:type="dxa"/>
            <w:tcBorders>
              <w:top w:val="single" w:color="000000" w:sz="4" w:space="0"/>
              <w:left w:val="nil"/>
              <w:bottom w:val="single" w:color="000000" w:sz="4" w:space="0"/>
              <w:right w:val="single" w:color="000000" w:sz="4" w:space="0"/>
            </w:tcBorders>
            <w:noWrap w:val="0"/>
            <w:vAlign w:val="center"/>
          </w:tcPr>
          <w:p w14:paraId="29AEBA0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b/>
                <w:bCs/>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违约行为</w:t>
            </w:r>
          </w:p>
        </w:tc>
        <w:tc>
          <w:tcPr>
            <w:tcW w:w="1371" w:type="dxa"/>
            <w:tcBorders>
              <w:top w:val="single" w:color="000000" w:sz="4" w:space="0"/>
              <w:left w:val="nil"/>
              <w:bottom w:val="single" w:color="000000" w:sz="4" w:space="0"/>
              <w:right w:val="single" w:color="000000" w:sz="4" w:space="0"/>
            </w:tcBorders>
            <w:noWrap w:val="0"/>
            <w:vAlign w:val="center"/>
          </w:tcPr>
          <w:p w14:paraId="5B62406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b/>
                <w:bCs/>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违约金额</w:t>
            </w:r>
          </w:p>
        </w:tc>
        <w:tc>
          <w:tcPr>
            <w:tcW w:w="3432" w:type="dxa"/>
            <w:tcBorders>
              <w:top w:val="single" w:color="000000" w:sz="4" w:space="0"/>
              <w:left w:val="nil"/>
              <w:bottom w:val="single" w:color="000000" w:sz="4" w:space="0"/>
              <w:right w:val="single" w:color="000000" w:sz="4" w:space="0"/>
            </w:tcBorders>
            <w:noWrap w:val="0"/>
            <w:vAlign w:val="center"/>
          </w:tcPr>
          <w:p w14:paraId="23967E6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b/>
                <w:bCs/>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备注</w:t>
            </w:r>
          </w:p>
        </w:tc>
      </w:tr>
      <w:tr w14:paraId="3686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93EEBB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9.3.1</w:t>
            </w:r>
          </w:p>
        </w:tc>
        <w:tc>
          <w:tcPr>
            <w:tcW w:w="4419" w:type="dxa"/>
            <w:tcBorders>
              <w:top w:val="single" w:color="000000" w:sz="4" w:space="0"/>
              <w:left w:val="nil"/>
              <w:bottom w:val="single" w:color="000000" w:sz="4" w:space="0"/>
              <w:right w:val="single" w:color="000000" w:sz="4" w:space="0"/>
            </w:tcBorders>
            <w:noWrap w:val="0"/>
            <w:vAlign w:val="center"/>
          </w:tcPr>
          <w:p w14:paraId="3642B9B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监理不良行为违约</w:t>
            </w:r>
          </w:p>
        </w:tc>
        <w:tc>
          <w:tcPr>
            <w:tcW w:w="1371" w:type="dxa"/>
            <w:tcBorders>
              <w:top w:val="single" w:color="000000" w:sz="4" w:space="0"/>
              <w:left w:val="nil"/>
              <w:bottom w:val="single" w:color="000000" w:sz="4" w:space="0"/>
              <w:right w:val="single" w:color="000000" w:sz="4" w:space="0"/>
            </w:tcBorders>
            <w:noWrap w:val="0"/>
            <w:vAlign w:val="center"/>
          </w:tcPr>
          <w:p w14:paraId="5D7EE81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p>
        </w:tc>
        <w:tc>
          <w:tcPr>
            <w:tcW w:w="3432" w:type="dxa"/>
            <w:tcBorders>
              <w:top w:val="single" w:color="000000" w:sz="4" w:space="0"/>
              <w:left w:val="nil"/>
              <w:bottom w:val="single" w:color="000000" w:sz="4" w:space="0"/>
              <w:right w:val="single" w:color="000000" w:sz="4" w:space="0"/>
            </w:tcBorders>
            <w:noWrap w:val="0"/>
            <w:vAlign w:val="center"/>
          </w:tcPr>
          <w:p w14:paraId="6805455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197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5"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DEA4D6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1</w:t>
            </w:r>
          </w:p>
        </w:tc>
        <w:tc>
          <w:tcPr>
            <w:tcW w:w="4419" w:type="dxa"/>
            <w:tcBorders>
              <w:top w:val="single" w:color="000000" w:sz="4" w:space="0"/>
              <w:left w:val="nil"/>
              <w:bottom w:val="single" w:color="000000" w:sz="4" w:space="0"/>
              <w:right w:val="single" w:color="000000" w:sz="4" w:space="0"/>
            </w:tcBorders>
            <w:noWrap w:val="0"/>
            <w:vAlign w:val="center"/>
          </w:tcPr>
          <w:p w14:paraId="0A9737A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本项目对驻场总监实施指纹考勤，指纹考勤每月累计不少于20天，未经</w:t>
            </w:r>
            <w:r>
              <w:rPr>
                <w:rFonts w:hint="eastAsia" w:hAnsi="宋体" w:cs="宋体"/>
                <w:snapToGrid w:val="0"/>
                <w:color w:val="auto"/>
                <w:kern w:val="0"/>
                <w:szCs w:val="24"/>
                <w:highlight w:val="none"/>
              </w:rPr>
              <w:t>委托人</w:t>
            </w:r>
            <w:r>
              <w:rPr>
                <w:rFonts w:hint="eastAsia" w:ascii="宋体" w:hAnsi="宋体" w:eastAsia="宋体" w:cs="宋体"/>
                <w:i w:val="0"/>
                <w:iCs w:val="0"/>
                <w:color w:val="auto"/>
                <w:kern w:val="0"/>
                <w:sz w:val="24"/>
                <w:szCs w:val="24"/>
                <w:highlight w:val="none"/>
                <w:lang w:val="en-US" w:eastAsia="zh-CN" w:bidi="ar"/>
              </w:rPr>
              <w:t>书面同意，每少1天，视为监理人发生监理不良行为一次，承担一般违约责任一次。</w:t>
            </w:r>
          </w:p>
        </w:tc>
        <w:tc>
          <w:tcPr>
            <w:tcW w:w="1371" w:type="dxa"/>
            <w:tcBorders>
              <w:top w:val="single" w:color="000000" w:sz="4" w:space="0"/>
              <w:left w:val="nil"/>
              <w:bottom w:val="single" w:color="000000" w:sz="4" w:space="0"/>
              <w:right w:val="single" w:color="000000" w:sz="4" w:space="0"/>
            </w:tcBorders>
            <w:noWrap w:val="0"/>
            <w:vAlign w:val="center"/>
          </w:tcPr>
          <w:p w14:paraId="31773B0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3000元/天</w:t>
            </w:r>
          </w:p>
        </w:tc>
        <w:tc>
          <w:tcPr>
            <w:tcW w:w="3432" w:type="dxa"/>
            <w:tcBorders>
              <w:top w:val="single" w:color="000000" w:sz="4" w:space="0"/>
              <w:left w:val="nil"/>
              <w:bottom w:val="single" w:color="000000" w:sz="4" w:space="0"/>
              <w:right w:val="single" w:color="000000" w:sz="4" w:space="0"/>
            </w:tcBorders>
            <w:noWrap w:val="0"/>
            <w:vAlign w:val="center"/>
          </w:tcPr>
          <w:p w14:paraId="50E6D1D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5B26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A59F927">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2</w:t>
            </w:r>
          </w:p>
        </w:tc>
        <w:tc>
          <w:tcPr>
            <w:tcW w:w="4419" w:type="dxa"/>
            <w:tcBorders>
              <w:top w:val="single" w:color="000000" w:sz="4" w:space="0"/>
              <w:left w:val="nil"/>
              <w:bottom w:val="single" w:color="000000" w:sz="4" w:space="0"/>
              <w:right w:val="single" w:color="000000" w:sz="4" w:space="0"/>
            </w:tcBorders>
            <w:noWrap w:val="0"/>
            <w:vAlign w:val="center"/>
          </w:tcPr>
          <w:p w14:paraId="0EF9643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本项目对驻场监理人员实施指纹考勤，指纹考勤每月累计不到位天数超过6天的</w:t>
            </w:r>
          </w:p>
        </w:tc>
        <w:tc>
          <w:tcPr>
            <w:tcW w:w="1371" w:type="dxa"/>
            <w:tcBorders>
              <w:top w:val="single" w:color="000000" w:sz="4" w:space="0"/>
              <w:left w:val="nil"/>
              <w:bottom w:val="single" w:color="000000" w:sz="4" w:space="0"/>
              <w:right w:val="single" w:color="000000" w:sz="4" w:space="0"/>
            </w:tcBorders>
            <w:noWrap w:val="0"/>
            <w:vAlign w:val="center"/>
          </w:tcPr>
          <w:p w14:paraId="3E0C0A1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/人/天</w:t>
            </w:r>
          </w:p>
        </w:tc>
        <w:tc>
          <w:tcPr>
            <w:tcW w:w="3432" w:type="dxa"/>
            <w:tcBorders>
              <w:top w:val="single" w:color="000000" w:sz="4" w:space="0"/>
              <w:left w:val="nil"/>
              <w:bottom w:val="single" w:color="000000" w:sz="4" w:space="0"/>
              <w:right w:val="single" w:color="000000" w:sz="4" w:space="0"/>
            </w:tcBorders>
            <w:noWrap w:val="0"/>
            <w:vAlign w:val="center"/>
          </w:tcPr>
          <w:p w14:paraId="4AD3DE2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0A73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A65ACC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3</w:t>
            </w:r>
          </w:p>
        </w:tc>
        <w:tc>
          <w:tcPr>
            <w:tcW w:w="4419" w:type="dxa"/>
            <w:tcBorders>
              <w:top w:val="single" w:color="000000" w:sz="4" w:space="0"/>
              <w:left w:val="nil"/>
              <w:bottom w:val="single" w:color="000000" w:sz="4" w:space="0"/>
              <w:right w:val="single" w:color="000000" w:sz="4" w:space="0"/>
            </w:tcBorders>
            <w:noWrap w:val="0"/>
            <w:vAlign w:val="center"/>
          </w:tcPr>
          <w:p w14:paraId="52843F6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其他监理人员必须按配备要求在现场驻场监理，离开项目现场必须经</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书面同意，如</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发现监理人员非正常离岗</w:t>
            </w:r>
          </w:p>
        </w:tc>
        <w:tc>
          <w:tcPr>
            <w:tcW w:w="1371" w:type="dxa"/>
            <w:tcBorders>
              <w:top w:val="single" w:color="000000" w:sz="4" w:space="0"/>
              <w:left w:val="nil"/>
              <w:bottom w:val="single" w:color="000000" w:sz="4" w:space="0"/>
              <w:right w:val="single" w:color="000000" w:sz="4" w:space="0"/>
            </w:tcBorders>
            <w:noWrap w:val="0"/>
            <w:vAlign w:val="center"/>
          </w:tcPr>
          <w:p w14:paraId="0C8804B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0180CF6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30A8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EDD89C4">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4</w:t>
            </w:r>
          </w:p>
        </w:tc>
        <w:tc>
          <w:tcPr>
            <w:tcW w:w="4419" w:type="dxa"/>
            <w:tcBorders>
              <w:top w:val="single" w:color="000000" w:sz="4" w:space="0"/>
              <w:left w:val="nil"/>
              <w:bottom w:val="single" w:color="000000" w:sz="4" w:space="0"/>
              <w:right w:val="single" w:color="000000" w:sz="4" w:space="0"/>
            </w:tcBorders>
            <w:noWrap w:val="0"/>
            <w:vAlign w:val="center"/>
          </w:tcPr>
          <w:p w14:paraId="6BB8C77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同一问题未能按时整改，每重复一次</w:t>
            </w:r>
          </w:p>
        </w:tc>
        <w:tc>
          <w:tcPr>
            <w:tcW w:w="1371" w:type="dxa"/>
            <w:tcBorders>
              <w:top w:val="single" w:color="000000" w:sz="4" w:space="0"/>
              <w:left w:val="nil"/>
              <w:bottom w:val="single" w:color="000000" w:sz="4" w:space="0"/>
              <w:right w:val="single" w:color="000000" w:sz="4" w:space="0"/>
            </w:tcBorders>
            <w:noWrap w:val="0"/>
            <w:vAlign w:val="center"/>
          </w:tcPr>
          <w:p w14:paraId="3E587EA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53B1680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7B53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0E31E32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9.3.2</w:t>
            </w:r>
          </w:p>
        </w:tc>
        <w:tc>
          <w:tcPr>
            <w:tcW w:w="4419" w:type="dxa"/>
            <w:tcBorders>
              <w:top w:val="single" w:color="000000" w:sz="4" w:space="0"/>
              <w:left w:val="nil"/>
              <w:bottom w:val="single" w:color="000000" w:sz="4" w:space="0"/>
              <w:right w:val="single" w:color="000000" w:sz="4" w:space="0"/>
            </w:tcBorders>
            <w:noWrap w:val="0"/>
            <w:vAlign w:val="center"/>
          </w:tcPr>
          <w:p w14:paraId="470542B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监理过失事件违约</w:t>
            </w:r>
          </w:p>
        </w:tc>
        <w:tc>
          <w:tcPr>
            <w:tcW w:w="1371" w:type="dxa"/>
            <w:tcBorders>
              <w:top w:val="single" w:color="000000" w:sz="4" w:space="0"/>
              <w:left w:val="nil"/>
              <w:bottom w:val="single" w:color="000000" w:sz="4" w:space="0"/>
              <w:right w:val="single" w:color="000000" w:sz="4" w:space="0"/>
            </w:tcBorders>
            <w:noWrap w:val="0"/>
            <w:vAlign w:val="center"/>
          </w:tcPr>
          <w:p w14:paraId="28C888D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p>
        </w:tc>
        <w:tc>
          <w:tcPr>
            <w:tcW w:w="3432" w:type="dxa"/>
            <w:tcBorders>
              <w:top w:val="single" w:color="000000" w:sz="4" w:space="0"/>
              <w:left w:val="nil"/>
              <w:bottom w:val="single" w:color="000000" w:sz="4" w:space="0"/>
              <w:right w:val="single" w:color="000000" w:sz="4" w:space="0"/>
            </w:tcBorders>
            <w:noWrap w:val="0"/>
            <w:vAlign w:val="center"/>
          </w:tcPr>
          <w:p w14:paraId="13CF69D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12DD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C90DCB0">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1</w:t>
            </w:r>
          </w:p>
        </w:tc>
        <w:tc>
          <w:tcPr>
            <w:tcW w:w="4419" w:type="dxa"/>
            <w:tcBorders>
              <w:top w:val="single" w:color="000000" w:sz="4" w:space="0"/>
              <w:left w:val="nil"/>
              <w:bottom w:val="single" w:color="000000" w:sz="4" w:space="0"/>
              <w:right w:val="single" w:color="000000" w:sz="4" w:space="0"/>
            </w:tcBorders>
            <w:noWrap w:val="0"/>
            <w:vAlign w:val="center"/>
          </w:tcPr>
          <w:p w14:paraId="40AE8BD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监理人发生监理过失事件违约一次，承担严重违约责任一次</w:t>
            </w:r>
          </w:p>
        </w:tc>
        <w:tc>
          <w:tcPr>
            <w:tcW w:w="1371" w:type="dxa"/>
            <w:tcBorders>
              <w:top w:val="single" w:color="000000" w:sz="4" w:space="0"/>
              <w:left w:val="nil"/>
              <w:bottom w:val="single" w:color="000000" w:sz="4" w:space="0"/>
              <w:right w:val="single" w:color="000000" w:sz="4" w:space="0"/>
            </w:tcBorders>
            <w:noWrap w:val="0"/>
            <w:vAlign w:val="center"/>
          </w:tcPr>
          <w:p w14:paraId="312DFD9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5C3D363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876F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892BE79">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2</w:t>
            </w:r>
          </w:p>
        </w:tc>
        <w:tc>
          <w:tcPr>
            <w:tcW w:w="4419" w:type="dxa"/>
            <w:tcBorders>
              <w:top w:val="single" w:color="000000" w:sz="4" w:space="0"/>
              <w:left w:val="nil"/>
              <w:bottom w:val="single" w:color="000000" w:sz="4" w:space="0"/>
              <w:right w:val="single" w:color="000000" w:sz="4" w:space="0"/>
            </w:tcBorders>
            <w:noWrap w:val="0"/>
            <w:vAlign w:val="center"/>
          </w:tcPr>
          <w:p w14:paraId="1B66600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因监理人责任导致工期延误，其中分项工期延误日数占该项总工期的30%时</w:t>
            </w:r>
          </w:p>
        </w:tc>
        <w:tc>
          <w:tcPr>
            <w:tcW w:w="1371" w:type="dxa"/>
            <w:tcBorders>
              <w:top w:val="single" w:color="000000" w:sz="4" w:space="0"/>
              <w:left w:val="nil"/>
              <w:bottom w:val="single" w:color="000000" w:sz="4" w:space="0"/>
              <w:right w:val="single" w:color="000000" w:sz="4" w:space="0"/>
            </w:tcBorders>
            <w:noWrap w:val="0"/>
            <w:vAlign w:val="center"/>
          </w:tcPr>
          <w:p w14:paraId="2C96906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B4B7BF1">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有权扣除该分项工程监理酬金的60%</w:t>
            </w:r>
          </w:p>
        </w:tc>
      </w:tr>
      <w:tr w14:paraId="455C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96C310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3</w:t>
            </w:r>
          </w:p>
        </w:tc>
        <w:tc>
          <w:tcPr>
            <w:tcW w:w="4419" w:type="dxa"/>
            <w:tcBorders>
              <w:top w:val="single" w:color="000000" w:sz="4" w:space="0"/>
              <w:left w:val="nil"/>
              <w:bottom w:val="single" w:color="000000" w:sz="4" w:space="0"/>
              <w:right w:val="single" w:color="000000" w:sz="4" w:space="0"/>
            </w:tcBorders>
            <w:noWrap w:val="0"/>
            <w:vAlign w:val="center"/>
          </w:tcPr>
          <w:p w14:paraId="0DE41A6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分项工期延误日数达到该项总工期的50%时</w:t>
            </w:r>
          </w:p>
        </w:tc>
        <w:tc>
          <w:tcPr>
            <w:tcW w:w="1371" w:type="dxa"/>
            <w:tcBorders>
              <w:top w:val="single" w:color="000000" w:sz="4" w:space="0"/>
              <w:left w:val="nil"/>
              <w:bottom w:val="single" w:color="000000" w:sz="4" w:space="0"/>
              <w:right w:val="single" w:color="000000" w:sz="4" w:space="0"/>
            </w:tcBorders>
            <w:noWrap w:val="0"/>
            <w:vAlign w:val="center"/>
          </w:tcPr>
          <w:p w14:paraId="606591F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17BD66E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有权单方解除合同</w:t>
            </w:r>
          </w:p>
        </w:tc>
      </w:tr>
      <w:tr w14:paraId="5683D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6F96032">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4</w:t>
            </w:r>
          </w:p>
        </w:tc>
        <w:tc>
          <w:tcPr>
            <w:tcW w:w="4419" w:type="dxa"/>
            <w:tcBorders>
              <w:top w:val="single" w:color="000000" w:sz="4" w:space="0"/>
              <w:left w:val="nil"/>
              <w:bottom w:val="single" w:color="000000" w:sz="4" w:space="0"/>
              <w:right w:val="single" w:color="000000" w:sz="4" w:space="0"/>
            </w:tcBorders>
            <w:noWrap w:val="0"/>
            <w:vAlign w:val="center"/>
          </w:tcPr>
          <w:p w14:paraId="6521DAD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因监理人责任导致工程竣工拖延的，依据拖延的日数</w:t>
            </w:r>
          </w:p>
        </w:tc>
        <w:tc>
          <w:tcPr>
            <w:tcW w:w="1371" w:type="dxa"/>
            <w:tcBorders>
              <w:top w:val="single" w:color="000000" w:sz="4" w:space="0"/>
              <w:left w:val="nil"/>
              <w:bottom w:val="single" w:color="000000" w:sz="4" w:space="0"/>
              <w:right w:val="single" w:color="000000" w:sz="4" w:space="0"/>
            </w:tcBorders>
            <w:noWrap w:val="0"/>
            <w:vAlign w:val="center"/>
          </w:tcPr>
          <w:p w14:paraId="0B5BBD1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33144E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监理人应每日按监理酬金总额的1%向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支付违约金</w:t>
            </w:r>
          </w:p>
        </w:tc>
      </w:tr>
      <w:tr w14:paraId="6AD7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BCA4C07">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5</w:t>
            </w:r>
          </w:p>
        </w:tc>
        <w:tc>
          <w:tcPr>
            <w:tcW w:w="4419" w:type="dxa"/>
            <w:tcBorders>
              <w:top w:val="single" w:color="000000" w:sz="4" w:space="0"/>
              <w:left w:val="nil"/>
              <w:bottom w:val="single" w:color="000000" w:sz="4" w:space="0"/>
              <w:right w:val="single" w:color="000000" w:sz="4" w:space="0"/>
            </w:tcBorders>
            <w:noWrap w:val="0"/>
            <w:vAlign w:val="center"/>
          </w:tcPr>
          <w:p w14:paraId="594F9AD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由于监理人责任导致工期延误，致使</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要承担赔偿第三方责任的</w:t>
            </w:r>
          </w:p>
        </w:tc>
        <w:tc>
          <w:tcPr>
            <w:tcW w:w="1371" w:type="dxa"/>
            <w:tcBorders>
              <w:top w:val="single" w:color="000000" w:sz="4" w:space="0"/>
              <w:left w:val="nil"/>
              <w:bottom w:val="single" w:color="000000" w:sz="4" w:space="0"/>
              <w:right w:val="single" w:color="000000" w:sz="4" w:space="0"/>
            </w:tcBorders>
            <w:noWrap w:val="0"/>
            <w:vAlign w:val="center"/>
          </w:tcPr>
          <w:p w14:paraId="400BC0E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123AEC4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监理人必须承担赔偿</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由此遭受的实际损失中的50%</w:t>
            </w:r>
          </w:p>
        </w:tc>
      </w:tr>
      <w:tr w14:paraId="137C1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53EA7C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6</w:t>
            </w:r>
          </w:p>
        </w:tc>
        <w:tc>
          <w:tcPr>
            <w:tcW w:w="4419" w:type="dxa"/>
            <w:tcBorders>
              <w:top w:val="single" w:color="000000" w:sz="4" w:space="0"/>
              <w:left w:val="nil"/>
              <w:bottom w:val="single" w:color="000000" w:sz="4" w:space="0"/>
              <w:right w:val="single" w:color="000000" w:sz="4" w:space="0"/>
            </w:tcBorders>
            <w:noWrap w:val="0"/>
            <w:vAlign w:val="center"/>
          </w:tcPr>
          <w:p w14:paraId="73B4B26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监理人发生监理过失违约后，当</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认为监理人无正当理由而又未履行监理义务时</w:t>
            </w:r>
          </w:p>
        </w:tc>
        <w:tc>
          <w:tcPr>
            <w:tcW w:w="1371" w:type="dxa"/>
            <w:tcBorders>
              <w:top w:val="single" w:color="000000" w:sz="4" w:space="0"/>
              <w:left w:val="nil"/>
              <w:bottom w:val="single" w:color="000000" w:sz="4" w:space="0"/>
              <w:right w:val="single" w:color="000000" w:sz="4" w:space="0"/>
            </w:tcBorders>
            <w:noWrap w:val="0"/>
            <w:vAlign w:val="center"/>
          </w:tcPr>
          <w:p w14:paraId="2E4EE1D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29D5F0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有权部分解除合同或完全解除合同</w:t>
            </w:r>
          </w:p>
        </w:tc>
      </w:tr>
      <w:tr w14:paraId="6E69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0349E597">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9.3.3</w:t>
            </w:r>
          </w:p>
        </w:tc>
        <w:tc>
          <w:tcPr>
            <w:tcW w:w="4419" w:type="dxa"/>
            <w:tcBorders>
              <w:top w:val="single" w:color="000000" w:sz="4" w:space="0"/>
              <w:left w:val="nil"/>
              <w:bottom w:val="single" w:color="000000" w:sz="4" w:space="0"/>
              <w:right w:val="single" w:color="000000" w:sz="4" w:space="0"/>
            </w:tcBorders>
            <w:noWrap w:val="0"/>
            <w:vAlign w:val="center"/>
          </w:tcPr>
          <w:p w14:paraId="23575D6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监理渎职事件违约</w:t>
            </w:r>
          </w:p>
        </w:tc>
        <w:tc>
          <w:tcPr>
            <w:tcW w:w="1371" w:type="dxa"/>
            <w:tcBorders>
              <w:top w:val="single" w:color="000000" w:sz="4" w:space="0"/>
              <w:left w:val="nil"/>
              <w:bottom w:val="single" w:color="000000" w:sz="4" w:space="0"/>
              <w:right w:val="single" w:color="000000" w:sz="4" w:space="0"/>
            </w:tcBorders>
            <w:noWrap w:val="0"/>
            <w:vAlign w:val="center"/>
          </w:tcPr>
          <w:p w14:paraId="6F95889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6B6C783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10ED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574A031">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1</w:t>
            </w:r>
          </w:p>
        </w:tc>
        <w:tc>
          <w:tcPr>
            <w:tcW w:w="4419" w:type="dxa"/>
            <w:tcBorders>
              <w:top w:val="single" w:color="000000" w:sz="4" w:space="0"/>
              <w:left w:val="nil"/>
              <w:bottom w:val="single" w:color="000000" w:sz="4" w:space="0"/>
              <w:right w:val="single" w:color="000000" w:sz="4" w:space="0"/>
            </w:tcBorders>
            <w:noWrap w:val="0"/>
            <w:vAlign w:val="center"/>
          </w:tcPr>
          <w:p w14:paraId="3F6C78E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监理人发生监理渎职违约一次，承担非常严重违约责任一次</w:t>
            </w:r>
          </w:p>
        </w:tc>
        <w:tc>
          <w:tcPr>
            <w:tcW w:w="1371" w:type="dxa"/>
            <w:tcBorders>
              <w:top w:val="single" w:color="000000" w:sz="4" w:space="0"/>
              <w:left w:val="nil"/>
              <w:bottom w:val="single" w:color="000000" w:sz="4" w:space="0"/>
              <w:right w:val="single" w:color="000000" w:sz="4" w:space="0"/>
            </w:tcBorders>
            <w:noWrap w:val="0"/>
            <w:vAlign w:val="center"/>
          </w:tcPr>
          <w:p w14:paraId="7BACE54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23A59AD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25A16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4C19E53">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2</w:t>
            </w:r>
          </w:p>
        </w:tc>
        <w:tc>
          <w:tcPr>
            <w:tcW w:w="4419" w:type="dxa"/>
            <w:tcBorders>
              <w:top w:val="single" w:color="000000" w:sz="4" w:space="0"/>
              <w:left w:val="nil"/>
              <w:bottom w:val="single" w:color="000000" w:sz="4" w:space="0"/>
              <w:right w:val="single" w:color="000000" w:sz="4" w:space="0"/>
            </w:tcBorders>
            <w:noWrap w:val="0"/>
            <w:vAlign w:val="center"/>
          </w:tcPr>
          <w:p w14:paraId="79B1B73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勒令监理人更换监理人员，直至解除合同</w:t>
            </w:r>
          </w:p>
        </w:tc>
        <w:tc>
          <w:tcPr>
            <w:tcW w:w="1371" w:type="dxa"/>
            <w:tcBorders>
              <w:top w:val="single" w:color="000000" w:sz="4" w:space="0"/>
              <w:left w:val="nil"/>
              <w:bottom w:val="single" w:color="000000" w:sz="4" w:space="0"/>
              <w:right w:val="single" w:color="000000" w:sz="4" w:space="0"/>
            </w:tcBorders>
            <w:noWrap w:val="0"/>
            <w:vAlign w:val="center"/>
          </w:tcPr>
          <w:p w14:paraId="378B450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F91AEA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有权部分解除合同或完全解除合同</w:t>
            </w:r>
          </w:p>
        </w:tc>
      </w:tr>
      <w:tr w14:paraId="7EAE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52E2D7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3</w:t>
            </w:r>
          </w:p>
        </w:tc>
        <w:tc>
          <w:tcPr>
            <w:tcW w:w="4419" w:type="dxa"/>
            <w:tcBorders>
              <w:top w:val="single" w:color="000000" w:sz="4" w:space="0"/>
              <w:left w:val="nil"/>
              <w:bottom w:val="single" w:color="000000" w:sz="4" w:space="0"/>
              <w:right w:val="single" w:color="000000" w:sz="4" w:space="0"/>
            </w:tcBorders>
            <w:noWrap w:val="0"/>
            <w:vAlign w:val="center"/>
          </w:tcPr>
          <w:p w14:paraId="78BAADF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如监理人的原因造成</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或工程损失的</w:t>
            </w:r>
          </w:p>
        </w:tc>
        <w:tc>
          <w:tcPr>
            <w:tcW w:w="1371" w:type="dxa"/>
            <w:tcBorders>
              <w:top w:val="single" w:color="000000" w:sz="4" w:space="0"/>
              <w:left w:val="nil"/>
              <w:bottom w:val="single" w:color="000000" w:sz="4" w:space="0"/>
              <w:right w:val="single" w:color="000000" w:sz="4" w:space="0"/>
            </w:tcBorders>
            <w:noWrap w:val="0"/>
            <w:vAlign w:val="center"/>
          </w:tcPr>
          <w:p w14:paraId="7E627E0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45B9280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监理人承担全部赔偿责任</w:t>
            </w:r>
          </w:p>
        </w:tc>
      </w:tr>
      <w:tr w14:paraId="657CD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79BA9A2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4</w:t>
            </w:r>
          </w:p>
        </w:tc>
        <w:tc>
          <w:tcPr>
            <w:tcW w:w="4419" w:type="dxa"/>
            <w:tcBorders>
              <w:top w:val="single" w:color="000000" w:sz="4" w:space="0"/>
              <w:left w:val="nil"/>
              <w:bottom w:val="single" w:color="000000" w:sz="4" w:space="0"/>
              <w:right w:val="single" w:color="000000" w:sz="4" w:space="0"/>
            </w:tcBorders>
            <w:noWrap w:val="0"/>
            <w:vAlign w:val="center"/>
          </w:tcPr>
          <w:p w14:paraId="3990F29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必须加强对监理人员职业操守、廉政建设的培训和教育，本项目监理人员利用职业身份“吃、拿、卡、要”或有其他违反职业操守及廉政建设相关规定的，一经查实，监理人应立即清退该监理人员，并承担1次非常严重违约责任</w:t>
            </w:r>
          </w:p>
        </w:tc>
        <w:tc>
          <w:tcPr>
            <w:tcW w:w="1371" w:type="dxa"/>
            <w:tcBorders>
              <w:top w:val="single" w:color="000000" w:sz="4" w:space="0"/>
              <w:left w:val="nil"/>
              <w:bottom w:val="single" w:color="000000" w:sz="4" w:space="0"/>
              <w:right w:val="single" w:color="000000" w:sz="4" w:space="0"/>
            </w:tcBorders>
            <w:noWrap w:val="0"/>
            <w:vAlign w:val="center"/>
          </w:tcPr>
          <w:p w14:paraId="0D8DF65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71CBDAF5">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0CB5D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5"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4CCD778">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5</w:t>
            </w:r>
          </w:p>
        </w:tc>
        <w:tc>
          <w:tcPr>
            <w:tcW w:w="4419" w:type="dxa"/>
            <w:tcBorders>
              <w:top w:val="single" w:color="000000" w:sz="4" w:space="0"/>
              <w:left w:val="nil"/>
              <w:bottom w:val="single" w:color="000000" w:sz="4" w:space="0"/>
              <w:right w:val="single" w:color="000000" w:sz="4" w:space="0"/>
            </w:tcBorders>
            <w:noWrap w:val="0"/>
            <w:vAlign w:val="center"/>
          </w:tcPr>
          <w:p w14:paraId="1DD8CCD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若监理人违背了以下7款的任何情形之一，不仅视为非常严重的违约，承担1次非常严重违约责任</w:t>
            </w:r>
          </w:p>
          <w:p w14:paraId="4FBC363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1）禁止向施工方推销材料、设备，或以倾向性、排他性变相推销；</w:t>
            </w:r>
          </w:p>
          <w:p w14:paraId="078648D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2）禁止与施工方串通，对不合格材料、产品、工程进行包庇及验收；</w:t>
            </w:r>
          </w:p>
          <w:p w14:paraId="2CEE12F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3）禁止与施工方串通，对材料用量、工程量进行虚假签认；</w:t>
            </w:r>
          </w:p>
          <w:p w14:paraId="2FE6994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4）禁止与施工方串通，不合理提高施工难度及增加材料用量，以增大施工费用，获取不正当收益。</w:t>
            </w:r>
          </w:p>
          <w:p w14:paraId="3792009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5）禁止接受施工方的请吃送礼或变相受礼；</w:t>
            </w:r>
          </w:p>
          <w:p w14:paraId="4C146DF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6）禁止向监理人介绍分包或推销材料、设备等；</w:t>
            </w:r>
          </w:p>
          <w:p w14:paraId="1AD0C01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7）禁止故意刁难施工方以谋取私利，损害</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的合法利益。</w:t>
            </w:r>
          </w:p>
        </w:tc>
        <w:tc>
          <w:tcPr>
            <w:tcW w:w="1371" w:type="dxa"/>
            <w:tcBorders>
              <w:top w:val="single" w:color="000000" w:sz="4" w:space="0"/>
              <w:left w:val="nil"/>
              <w:bottom w:val="single" w:color="000000" w:sz="4" w:space="0"/>
              <w:right w:val="single" w:color="000000" w:sz="4" w:space="0"/>
            </w:tcBorders>
            <w:noWrap w:val="0"/>
            <w:vAlign w:val="center"/>
          </w:tcPr>
          <w:p w14:paraId="5AD6AC6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12AA0BC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lang w:val="en-US"/>
              </w:rPr>
            </w:pPr>
            <w:r>
              <w:rPr>
                <w:rFonts w:hint="eastAsia" w:ascii="宋体" w:hAnsi="宋体" w:eastAsia="宋体" w:cs="宋体"/>
                <w:i w:val="0"/>
                <w:iCs w:val="0"/>
                <w:color w:val="auto"/>
                <w:kern w:val="0"/>
                <w:sz w:val="24"/>
                <w:szCs w:val="24"/>
                <w:highlight w:val="none"/>
                <w:lang w:val="en-US" w:eastAsia="zh-CN" w:bidi="ar"/>
              </w:rPr>
              <w:t>而且直接解除合同，不做费用补偿，且对已完成的监理服务，不再支付监理费用，并通报建设行政主管部门，构成犯罪的，依法移交司法机关处理</w:t>
            </w:r>
          </w:p>
        </w:tc>
      </w:tr>
      <w:tr w14:paraId="60DA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F300E34">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6</w:t>
            </w:r>
          </w:p>
        </w:tc>
        <w:tc>
          <w:tcPr>
            <w:tcW w:w="4419" w:type="dxa"/>
            <w:tcBorders>
              <w:top w:val="single" w:color="000000" w:sz="4" w:space="0"/>
              <w:left w:val="nil"/>
              <w:bottom w:val="single" w:color="000000" w:sz="4" w:space="0"/>
              <w:right w:val="single" w:color="000000" w:sz="4" w:space="0"/>
            </w:tcBorders>
            <w:noWrap w:val="0"/>
            <w:vAlign w:val="center"/>
          </w:tcPr>
          <w:p w14:paraId="7AAF93C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如监理人在投标时根据招标文件《商务评分表》“人员配置”作出了增加人员的承诺，而开工后，实际上没有增加，经</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要求后，在10天内仍未能配齐增加的造价工程师和专业工程师</w:t>
            </w:r>
          </w:p>
        </w:tc>
        <w:tc>
          <w:tcPr>
            <w:tcW w:w="1371" w:type="dxa"/>
            <w:tcBorders>
              <w:top w:val="single" w:color="000000" w:sz="4" w:space="0"/>
              <w:left w:val="nil"/>
              <w:bottom w:val="single" w:color="000000" w:sz="4" w:space="0"/>
              <w:right w:val="single" w:color="000000" w:sz="4" w:space="0"/>
            </w:tcBorders>
            <w:noWrap w:val="0"/>
            <w:vAlign w:val="center"/>
          </w:tcPr>
          <w:p w14:paraId="1C6FAD0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B92781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视为非常严重的违约，直接解除合同</w:t>
            </w:r>
          </w:p>
        </w:tc>
      </w:tr>
      <w:tr w14:paraId="32CD1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07AC602">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9.3.4</w:t>
            </w:r>
          </w:p>
        </w:tc>
        <w:tc>
          <w:tcPr>
            <w:tcW w:w="4419" w:type="dxa"/>
            <w:tcBorders>
              <w:top w:val="single" w:color="000000" w:sz="4" w:space="0"/>
              <w:left w:val="nil"/>
              <w:bottom w:val="single" w:color="000000" w:sz="4" w:space="0"/>
              <w:right w:val="single" w:color="000000" w:sz="4" w:space="0"/>
            </w:tcBorders>
            <w:noWrap w:val="0"/>
            <w:vAlign w:val="center"/>
          </w:tcPr>
          <w:p w14:paraId="533E703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监理不达标造成的违约</w:t>
            </w:r>
          </w:p>
        </w:tc>
        <w:tc>
          <w:tcPr>
            <w:tcW w:w="1371" w:type="dxa"/>
            <w:tcBorders>
              <w:top w:val="single" w:color="000000" w:sz="4" w:space="0"/>
              <w:left w:val="nil"/>
              <w:bottom w:val="single" w:color="000000" w:sz="4" w:space="0"/>
              <w:right w:val="single" w:color="000000" w:sz="4" w:space="0"/>
            </w:tcBorders>
            <w:noWrap w:val="0"/>
            <w:vAlign w:val="center"/>
          </w:tcPr>
          <w:p w14:paraId="235856A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p>
        </w:tc>
        <w:tc>
          <w:tcPr>
            <w:tcW w:w="3432" w:type="dxa"/>
            <w:tcBorders>
              <w:top w:val="single" w:color="000000" w:sz="4" w:space="0"/>
              <w:left w:val="nil"/>
              <w:bottom w:val="single" w:color="000000" w:sz="4" w:space="0"/>
              <w:right w:val="single" w:color="000000" w:sz="4" w:space="0"/>
            </w:tcBorders>
            <w:noWrap w:val="0"/>
            <w:vAlign w:val="center"/>
          </w:tcPr>
          <w:p w14:paraId="55D06ED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3D3C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6"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E18AC48">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1</w:t>
            </w:r>
          </w:p>
        </w:tc>
        <w:tc>
          <w:tcPr>
            <w:tcW w:w="4419" w:type="dxa"/>
            <w:tcBorders>
              <w:top w:val="single" w:color="000000" w:sz="4" w:space="0"/>
              <w:left w:val="nil"/>
              <w:bottom w:val="single" w:color="000000" w:sz="4" w:space="0"/>
              <w:right w:val="single" w:color="000000" w:sz="4" w:space="0"/>
            </w:tcBorders>
            <w:noWrap w:val="0"/>
            <w:vAlign w:val="center"/>
          </w:tcPr>
          <w:p w14:paraId="43BAF31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质量控制不达标：工程竣工验收质量未达到施工合同等级要求的，不管任何原因</w:t>
            </w:r>
          </w:p>
        </w:tc>
        <w:tc>
          <w:tcPr>
            <w:tcW w:w="1371" w:type="dxa"/>
            <w:tcBorders>
              <w:top w:val="single" w:color="000000" w:sz="4" w:space="0"/>
              <w:left w:val="nil"/>
              <w:bottom w:val="single" w:color="000000" w:sz="4" w:space="0"/>
              <w:right w:val="single" w:color="000000" w:sz="4" w:space="0"/>
            </w:tcBorders>
            <w:noWrap w:val="0"/>
            <w:vAlign w:val="center"/>
          </w:tcPr>
          <w:p w14:paraId="0AE1F24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78ED418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结算扣减监理合同价款的5％，同时不免除追究当事人和监理人的法律责任，监理人需无条件免费监理服务至工程质量达到合格止</w:t>
            </w:r>
          </w:p>
        </w:tc>
      </w:tr>
      <w:tr w14:paraId="62E8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103BE57">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2</w:t>
            </w:r>
          </w:p>
        </w:tc>
        <w:tc>
          <w:tcPr>
            <w:tcW w:w="4419" w:type="dxa"/>
            <w:tcBorders>
              <w:top w:val="single" w:color="000000" w:sz="4" w:space="0"/>
              <w:left w:val="nil"/>
              <w:bottom w:val="single" w:color="000000" w:sz="4" w:space="0"/>
              <w:right w:val="single" w:color="000000" w:sz="4" w:space="0"/>
            </w:tcBorders>
            <w:noWrap w:val="0"/>
            <w:vAlign w:val="center"/>
          </w:tcPr>
          <w:p w14:paraId="3670D83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投资控制不达标：如监理人原因造成工程建安费结算价突破投资控制值的</w:t>
            </w:r>
          </w:p>
        </w:tc>
        <w:tc>
          <w:tcPr>
            <w:tcW w:w="1371" w:type="dxa"/>
            <w:tcBorders>
              <w:top w:val="single" w:color="000000" w:sz="4" w:space="0"/>
              <w:left w:val="nil"/>
              <w:bottom w:val="single" w:color="000000" w:sz="4" w:space="0"/>
              <w:right w:val="single" w:color="000000" w:sz="4" w:space="0"/>
            </w:tcBorders>
            <w:noWrap w:val="0"/>
            <w:vAlign w:val="center"/>
          </w:tcPr>
          <w:p w14:paraId="4F22B85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7A484BD5">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每突破1％，结算扣减监理合同价款的1％</w:t>
            </w:r>
          </w:p>
        </w:tc>
      </w:tr>
      <w:tr w14:paraId="3E5FD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CFB7AB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3</w:t>
            </w:r>
          </w:p>
        </w:tc>
        <w:tc>
          <w:tcPr>
            <w:tcW w:w="4419" w:type="dxa"/>
            <w:tcBorders>
              <w:top w:val="single" w:color="000000" w:sz="4" w:space="0"/>
              <w:left w:val="nil"/>
              <w:bottom w:val="single" w:color="000000" w:sz="4" w:space="0"/>
              <w:right w:val="single" w:color="000000" w:sz="4" w:space="0"/>
            </w:tcBorders>
            <w:noWrap w:val="0"/>
            <w:vAlign w:val="center"/>
          </w:tcPr>
          <w:p w14:paraId="1B988D6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进度控制不达标：工程竣工验收通过日延误的</w:t>
            </w:r>
          </w:p>
        </w:tc>
        <w:tc>
          <w:tcPr>
            <w:tcW w:w="1371" w:type="dxa"/>
            <w:tcBorders>
              <w:top w:val="single" w:color="000000" w:sz="4" w:space="0"/>
              <w:left w:val="nil"/>
              <w:bottom w:val="single" w:color="000000" w:sz="4" w:space="0"/>
              <w:right w:val="single" w:color="000000" w:sz="4" w:space="0"/>
            </w:tcBorders>
            <w:noWrap w:val="0"/>
            <w:vAlign w:val="center"/>
          </w:tcPr>
          <w:p w14:paraId="2959183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7E8BC49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视监理人的责任情况结算索赔监理合同价款1％－3％的违约金</w:t>
            </w:r>
          </w:p>
        </w:tc>
      </w:tr>
      <w:tr w14:paraId="2E3E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095D70A">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4</w:t>
            </w:r>
          </w:p>
        </w:tc>
        <w:tc>
          <w:tcPr>
            <w:tcW w:w="4419" w:type="dxa"/>
            <w:tcBorders>
              <w:top w:val="single" w:color="000000" w:sz="4" w:space="0"/>
              <w:left w:val="nil"/>
              <w:bottom w:val="single" w:color="000000" w:sz="4" w:space="0"/>
              <w:right w:val="single" w:color="000000" w:sz="4" w:space="0"/>
            </w:tcBorders>
            <w:noWrap w:val="0"/>
            <w:vAlign w:val="center"/>
          </w:tcPr>
          <w:p w14:paraId="6662A7B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安全管理不达标：工程发生一般安全生产事故，或被上级主管部门通报批评、被新闻媒体曝光的</w:t>
            </w:r>
          </w:p>
        </w:tc>
        <w:tc>
          <w:tcPr>
            <w:tcW w:w="1371" w:type="dxa"/>
            <w:tcBorders>
              <w:top w:val="single" w:color="000000" w:sz="4" w:space="0"/>
              <w:left w:val="nil"/>
              <w:bottom w:val="single" w:color="000000" w:sz="4" w:space="0"/>
              <w:right w:val="single" w:color="000000" w:sz="4" w:space="0"/>
            </w:tcBorders>
            <w:noWrap w:val="0"/>
            <w:vAlign w:val="center"/>
          </w:tcPr>
          <w:p w14:paraId="72D1E56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512499E1">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监理人需支付监理合同价款的1%作为违约金</w:t>
            </w:r>
          </w:p>
        </w:tc>
      </w:tr>
      <w:tr w14:paraId="1B17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19B86E7">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5</w:t>
            </w:r>
          </w:p>
        </w:tc>
        <w:tc>
          <w:tcPr>
            <w:tcW w:w="4419" w:type="dxa"/>
            <w:tcBorders>
              <w:top w:val="single" w:color="000000" w:sz="4" w:space="0"/>
              <w:left w:val="nil"/>
              <w:bottom w:val="single" w:color="000000" w:sz="4" w:space="0"/>
              <w:right w:val="single" w:color="000000" w:sz="4" w:space="0"/>
            </w:tcBorders>
            <w:noWrap w:val="0"/>
            <w:vAlign w:val="center"/>
          </w:tcPr>
          <w:p w14:paraId="4B56A89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安全管理不达标：发生较大以上安全质量事故（按国家及合同有关规定界定）的</w:t>
            </w:r>
          </w:p>
        </w:tc>
        <w:tc>
          <w:tcPr>
            <w:tcW w:w="1371" w:type="dxa"/>
            <w:tcBorders>
              <w:top w:val="single" w:color="000000" w:sz="4" w:space="0"/>
              <w:left w:val="nil"/>
              <w:bottom w:val="single" w:color="000000" w:sz="4" w:space="0"/>
              <w:right w:val="single" w:color="000000" w:sz="4" w:space="0"/>
            </w:tcBorders>
            <w:noWrap w:val="0"/>
            <w:vAlign w:val="center"/>
          </w:tcPr>
          <w:p w14:paraId="08BE3E1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6B6247B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监理人需支付监理合同价款的3%作为违约金</w:t>
            </w:r>
          </w:p>
        </w:tc>
      </w:tr>
      <w:tr w14:paraId="3149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5631E1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6</w:t>
            </w:r>
          </w:p>
        </w:tc>
        <w:tc>
          <w:tcPr>
            <w:tcW w:w="4419" w:type="dxa"/>
            <w:tcBorders>
              <w:top w:val="single" w:color="000000" w:sz="4" w:space="0"/>
              <w:left w:val="nil"/>
              <w:bottom w:val="single" w:color="000000" w:sz="4" w:space="0"/>
              <w:right w:val="single" w:color="000000" w:sz="4" w:space="0"/>
            </w:tcBorders>
            <w:noWrap w:val="0"/>
            <w:vAlign w:val="center"/>
          </w:tcPr>
          <w:p w14:paraId="7ED403B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安全管理不达标：情节严重的</w:t>
            </w:r>
          </w:p>
        </w:tc>
        <w:tc>
          <w:tcPr>
            <w:tcW w:w="1371" w:type="dxa"/>
            <w:tcBorders>
              <w:top w:val="single" w:color="000000" w:sz="4" w:space="0"/>
              <w:left w:val="nil"/>
              <w:bottom w:val="single" w:color="000000" w:sz="4" w:space="0"/>
              <w:right w:val="single" w:color="000000" w:sz="4" w:space="0"/>
            </w:tcBorders>
            <w:noWrap w:val="0"/>
            <w:vAlign w:val="center"/>
          </w:tcPr>
          <w:p w14:paraId="1777BE11">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137355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有权部分或全部解除合同</w:t>
            </w:r>
          </w:p>
        </w:tc>
      </w:tr>
      <w:tr w14:paraId="41CC7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9503550">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7</w:t>
            </w:r>
          </w:p>
        </w:tc>
        <w:tc>
          <w:tcPr>
            <w:tcW w:w="4419" w:type="dxa"/>
            <w:tcBorders>
              <w:top w:val="single" w:color="000000" w:sz="4" w:space="0"/>
              <w:left w:val="nil"/>
              <w:bottom w:val="single" w:color="000000" w:sz="4" w:space="0"/>
              <w:right w:val="single" w:color="000000" w:sz="4" w:space="0"/>
            </w:tcBorders>
            <w:noWrap w:val="0"/>
            <w:vAlign w:val="center"/>
          </w:tcPr>
          <w:p w14:paraId="67B39D2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监理人应保证每季度进度计量（价）数据的准确性，如发生计量（价）误差＞5%，则视为监理人违约一次</w:t>
            </w:r>
          </w:p>
        </w:tc>
        <w:tc>
          <w:tcPr>
            <w:tcW w:w="1371" w:type="dxa"/>
            <w:tcBorders>
              <w:top w:val="single" w:color="000000" w:sz="4" w:space="0"/>
              <w:left w:val="nil"/>
              <w:bottom w:val="single" w:color="000000" w:sz="4" w:space="0"/>
              <w:right w:val="single" w:color="000000" w:sz="4" w:space="0"/>
            </w:tcBorders>
            <w:noWrap w:val="0"/>
            <w:vAlign w:val="center"/>
          </w:tcPr>
          <w:p w14:paraId="362E475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p>
        </w:tc>
        <w:tc>
          <w:tcPr>
            <w:tcW w:w="3432" w:type="dxa"/>
            <w:tcBorders>
              <w:top w:val="single" w:color="000000" w:sz="4" w:space="0"/>
              <w:left w:val="nil"/>
              <w:bottom w:val="single" w:color="000000" w:sz="4" w:space="0"/>
              <w:right w:val="single" w:color="000000" w:sz="4" w:space="0"/>
            </w:tcBorders>
            <w:noWrap w:val="0"/>
            <w:vAlign w:val="center"/>
          </w:tcPr>
          <w:p w14:paraId="49C26DC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并无条件在整改期内达到要求为止，配备满足</w:t>
            </w:r>
          </w:p>
        </w:tc>
      </w:tr>
      <w:tr w14:paraId="3AEA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77F6161A">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b/>
                <w:bCs/>
                <w:i w:val="0"/>
                <w:iCs w:val="0"/>
                <w:color w:val="auto"/>
                <w:kern w:val="0"/>
                <w:sz w:val="24"/>
                <w:szCs w:val="24"/>
                <w:highlight w:val="none"/>
                <w:lang w:val="en-US" w:eastAsia="zh-CN" w:bidi="ar"/>
              </w:rPr>
              <w:t>9.3.6</w:t>
            </w:r>
          </w:p>
        </w:tc>
        <w:tc>
          <w:tcPr>
            <w:tcW w:w="4419" w:type="dxa"/>
            <w:tcBorders>
              <w:top w:val="single" w:color="000000" w:sz="4" w:space="0"/>
              <w:left w:val="nil"/>
              <w:bottom w:val="single" w:color="000000" w:sz="4" w:space="0"/>
              <w:right w:val="single" w:color="000000" w:sz="4" w:space="0"/>
            </w:tcBorders>
            <w:noWrap w:val="0"/>
            <w:vAlign w:val="center"/>
          </w:tcPr>
          <w:p w14:paraId="2205F61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其他违约及违约责任</w:t>
            </w:r>
          </w:p>
        </w:tc>
        <w:tc>
          <w:tcPr>
            <w:tcW w:w="1371" w:type="dxa"/>
            <w:tcBorders>
              <w:top w:val="single" w:color="000000" w:sz="4" w:space="0"/>
              <w:left w:val="nil"/>
              <w:bottom w:val="single" w:color="000000" w:sz="4" w:space="0"/>
              <w:right w:val="single" w:color="000000" w:sz="4" w:space="0"/>
            </w:tcBorders>
            <w:noWrap w:val="0"/>
            <w:vAlign w:val="center"/>
          </w:tcPr>
          <w:p w14:paraId="3050445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p>
        </w:tc>
        <w:tc>
          <w:tcPr>
            <w:tcW w:w="3432" w:type="dxa"/>
            <w:tcBorders>
              <w:top w:val="single" w:color="000000" w:sz="4" w:space="0"/>
              <w:left w:val="nil"/>
              <w:bottom w:val="single" w:color="000000" w:sz="4" w:space="0"/>
              <w:right w:val="single" w:color="000000" w:sz="4" w:space="0"/>
            </w:tcBorders>
            <w:noWrap w:val="0"/>
            <w:vAlign w:val="center"/>
          </w:tcPr>
          <w:p w14:paraId="2147B86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5458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A6EBCBE">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1</w:t>
            </w:r>
          </w:p>
        </w:tc>
        <w:tc>
          <w:tcPr>
            <w:tcW w:w="4419" w:type="dxa"/>
            <w:tcBorders>
              <w:top w:val="single" w:color="000000" w:sz="4" w:space="0"/>
              <w:left w:val="nil"/>
              <w:bottom w:val="single" w:color="000000" w:sz="4" w:space="0"/>
              <w:right w:val="single" w:color="000000" w:sz="4" w:space="0"/>
            </w:tcBorders>
            <w:noWrap w:val="0"/>
            <w:vAlign w:val="center"/>
          </w:tcPr>
          <w:p w14:paraId="3D1B936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因监理人责任引起变更造成投资规模增加10%以上的</w:t>
            </w:r>
          </w:p>
        </w:tc>
        <w:tc>
          <w:tcPr>
            <w:tcW w:w="1371" w:type="dxa"/>
            <w:tcBorders>
              <w:top w:val="single" w:color="000000" w:sz="4" w:space="0"/>
              <w:left w:val="nil"/>
              <w:bottom w:val="single" w:color="000000" w:sz="4" w:space="0"/>
              <w:right w:val="single" w:color="000000" w:sz="4" w:space="0"/>
            </w:tcBorders>
            <w:noWrap w:val="0"/>
            <w:vAlign w:val="center"/>
          </w:tcPr>
          <w:p w14:paraId="4899E31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C7A644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监理人需支付合同价款的20%作为违约金</w:t>
            </w:r>
          </w:p>
        </w:tc>
      </w:tr>
      <w:tr w14:paraId="0B34F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082EC7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2</w:t>
            </w:r>
          </w:p>
        </w:tc>
        <w:tc>
          <w:tcPr>
            <w:tcW w:w="4419" w:type="dxa"/>
            <w:tcBorders>
              <w:top w:val="single" w:color="000000" w:sz="4" w:space="0"/>
              <w:left w:val="nil"/>
              <w:bottom w:val="single" w:color="000000" w:sz="4" w:space="0"/>
              <w:right w:val="single" w:color="000000" w:sz="4" w:space="0"/>
            </w:tcBorders>
            <w:noWrap w:val="0"/>
            <w:vAlign w:val="center"/>
          </w:tcPr>
          <w:p w14:paraId="1C0D0B55">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因监理人责任引起变更造成投资规模增加15%以上的</w:t>
            </w:r>
          </w:p>
        </w:tc>
        <w:tc>
          <w:tcPr>
            <w:tcW w:w="1371" w:type="dxa"/>
            <w:tcBorders>
              <w:top w:val="single" w:color="000000" w:sz="4" w:space="0"/>
              <w:left w:val="nil"/>
              <w:bottom w:val="single" w:color="000000" w:sz="4" w:space="0"/>
              <w:right w:val="single" w:color="000000" w:sz="4" w:space="0"/>
            </w:tcBorders>
            <w:noWrap w:val="0"/>
            <w:vAlign w:val="center"/>
          </w:tcPr>
          <w:p w14:paraId="309720B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70D3D02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监理人需支付合同价款的30%作为违约金</w:t>
            </w:r>
          </w:p>
        </w:tc>
      </w:tr>
      <w:tr w14:paraId="3162D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BAE3441">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3</w:t>
            </w:r>
          </w:p>
        </w:tc>
        <w:tc>
          <w:tcPr>
            <w:tcW w:w="4419" w:type="dxa"/>
            <w:tcBorders>
              <w:top w:val="single" w:color="000000" w:sz="4" w:space="0"/>
              <w:left w:val="nil"/>
              <w:bottom w:val="single" w:color="000000" w:sz="4" w:space="0"/>
              <w:right w:val="single" w:color="000000" w:sz="4" w:space="0"/>
            </w:tcBorders>
            <w:noWrap w:val="0"/>
            <w:vAlign w:val="center"/>
          </w:tcPr>
          <w:p w14:paraId="7A6B833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因监理人责任引起变更造成投资规模增加20%以上的</w:t>
            </w:r>
          </w:p>
        </w:tc>
        <w:tc>
          <w:tcPr>
            <w:tcW w:w="1371" w:type="dxa"/>
            <w:tcBorders>
              <w:top w:val="single" w:color="000000" w:sz="4" w:space="0"/>
              <w:left w:val="nil"/>
              <w:bottom w:val="single" w:color="000000" w:sz="4" w:space="0"/>
              <w:right w:val="single" w:color="000000" w:sz="4" w:space="0"/>
            </w:tcBorders>
            <w:noWrap w:val="0"/>
            <w:vAlign w:val="center"/>
          </w:tcPr>
          <w:p w14:paraId="1B5C159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55D769E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监理人需支付合同价款的40%作为违约金</w:t>
            </w:r>
          </w:p>
        </w:tc>
      </w:tr>
      <w:tr w14:paraId="36E7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F66C683">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4</w:t>
            </w:r>
          </w:p>
        </w:tc>
        <w:tc>
          <w:tcPr>
            <w:tcW w:w="4419" w:type="dxa"/>
            <w:tcBorders>
              <w:top w:val="single" w:color="000000" w:sz="4" w:space="0"/>
              <w:left w:val="nil"/>
              <w:bottom w:val="single" w:color="000000" w:sz="4" w:space="0"/>
              <w:right w:val="single" w:color="000000" w:sz="4" w:space="0"/>
            </w:tcBorders>
            <w:noWrap w:val="0"/>
            <w:vAlign w:val="center"/>
          </w:tcPr>
          <w:p w14:paraId="305BABC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本工程质量必须达到合格标准。若因监理人原因，工程在竣工验收或分部工程验收时没有达到此标准</w:t>
            </w:r>
          </w:p>
        </w:tc>
        <w:tc>
          <w:tcPr>
            <w:tcW w:w="1371" w:type="dxa"/>
            <w:tcBorders>
              <w:top w:val="single" w:color="000000" w:sz="4" w:space="0"/>
              <w:left w:val="nil"/>
              <w:bottom w:val="single" w:color="000000" w:sz="4" w:space="0"/>
              <w:right w:val="single" w:color="000000" w:sz="4" w:space="0"/>
            </w:tcBorders>
            <w:noWrap w:val="0"/>
            <w:vAlign w:val="center"/>
          </w:tcPr>
          <w:p w14:paraId="0852E33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66893D0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监理人按监理合同价款（指监理结算价款）的5％向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返纳质量违约金</w:t>
            </w:r>
          </w:p>
        </w:tc>
      </w:tr>
      <w:tr w14:paraId="0002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8"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53FD82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5</w:t>
            </w:r>
          </w:p>
        </w:tc>
        <w:tc>
          <w:tcPr>
            <w:tcW w:w="4419" w:type="dxa"/>
            <w:tcBorders>
              <w:top w:val="single" w:color="000000" w:sz="4" w:space="0"/>
              <w:left w:val="nil"/>
              <w:bottom w:val="single" w:color="000000" w:sz="4" w:space="0"/>
              <w:right w:val="single" w:color="000000" w:sz="4" w:space="0"/>
            </w:tcBorders>
            <w:noWrap w:val="0"/>
            <w:vAlign w:val="center"/>
          </w:tcPr>
          <w:p w14:paraId="244404A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监理人拟派驻监理机构组成人员数量须符合《广东省建设厅粤建管（2002）97号文》关于工程项目监理最少人数配置的要求,且在施工现场进行监理的总监理工程师、专业监理工程师、其他监理人员全部必须是投标文件中所拟派的人员。同时，监理人派驻到工程所在地进行监理服务的监理人员，应能够胜任监理合同约定的监理服务工作。</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有权以书面形式要求监理人更换不能按照监理合同的约定进行监理服务的派驻人员，若监理人拒不执行或无法在15个工作日内完成更换</w:t>
            </w:r>
          </w:p>
        </w:tc>
        <w:tc>
          <w:tcPr>
            <w:tcW w:w="1371" w:type="dxa"/>
            <w:tcBorders>
              <w:top w:val="single" w:color="000000" w:sz="4" w:space="0"/>
              <w:left w:val="nil"/>
              <w:bottom w:val="single" w:color="000000" w:sz="4" w:space="0"/>
              <w:right w:val="single" w:color="000000" w:sz="4" w:space="0"/>
            </w:tcBorders>
            <w:noWrap w:val="0"/>
            <w:vAlign w:val="center"/>
          </w:tcPr>
          <w:p w14:paraId="1F39DA5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2"/>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464A09E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每发生一次扣除签约合同价的10%作为违约金</w:t>
            </w:r>
          </w:p>
        </w:tc>
      </w:tr>
      <w:tr w14:paraId="55E8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F24027A">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6</w:t>
            </w:r>
          </w:p>
        </w:tc>
        <w:tc>
          <w:tcPr>
            <w:tcW w:w="4419" w:type="dxa"/>
            <w:tcBorders>
              <w:top w:val="single" w:color="000000" w:sz="4" w:space="0"/>
              <w:left w:val="nil"/>
              <w:bottom w:val="single" w:color="000000" w:sz="4" w:space="0"/>
              <w:right w:val="single" w:color="000000" w:sz="4" w:space="0"/>
            </w:tcBorders>
            <w:noWrap w:val="0"/>
            <w:vAlign w:val="center"/>
          </w:tcPr>
          <w:p w14:paraId="4D88861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监理</w:t>
            </w:r>
            <w:r>
              <w:rPr>
                <w:rFonts w:hint="eastAsia" w:hAnsi="宋体" w:cs="宋体"/>
                <w:color w:val="auto"/>
                <w:kern w:val="0"/>
                <w:sz w:val="24"/>
                <w:szCs w:val="24"/>
                <w:highlight w:val="none"/>
                <w:lang w:val="en-US" w:eastAsia="zh-CN" w:bidi="ar"/>
              </w:rPr>
              <w:t>人</w:t>
            </w:r>
            <w:r>
              <w:rPr>
                <w:rFonts w:hint="eastAsia" w:ascii="宋体" w:hAnsi="宋体" w:eastAsia="宋体" w:cs="宋体"/>
                <w:i w:val="0"/>
                <w:iCs w:val="0"/>
                <w:color w:val="auto"/>
                <w:kern w:val="0"/>
                <w:sz w:val="24"/>
                <w:szCs w:val="24"/>
                <w:highlight w:val="none"/>
                <w:lang w:val="en-US" w:eastAsia="zh-CN" w:bidi="ar"/>
              </w:rPr>
              <w:t>应在每月28日前根据工程进度向</w:t>
            </w:r>
            <w:r>
              <w:rPr>
                <w:rFonts w:hint="eastAsia" w:hAnsi="宋体" w:cs="宋体"/>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报审下月的工作计划表（样表见下表）。如未按时提交，每推迟一天</w:t>
            </w:r>
          </w:p>
        </w:tc>
        <w:tc>
          <w:tcPr>
            <w:tcW w:w="1371" w:type="dxa"/>
            <w:tcBorders>
              <w:top w:val="single" w:color="000000" w:sz="4" w:space="0"/>
              <w:left w:val="nil"/>
              <w:bottom w:val="single" w:color="000000" w:sz="4" w:space="0"/>
              <w:right w:val="single" w:color="000000" w:sz="4" w:space="0"/>
            </w:tcBorders>
            <w:noWrap w:val="0"/>
            <w:vAlign w:val="center"/>
          </w:tcPr>
          <w:p w14:paraId="7CFDD83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3000元/天</w:t>
            </w:r>
          </w:p>
        </w:tc>
        <w:tc>
          <w:tcPr>
            <w:tcW w:w="3432" w:type="dxa"/>
            <w:tcBorders>
              <w:top w:val="single" w:color="000000" w:sz="4" w:space="0"/>
              <w:left w:val="nil"/>
              <w:bottom w:val="single" w:color="000000" w:sz="4" w:space="0"/>
              <w:right w:val="single" w:color="000000" w:sz="4" w:space="0"/>
            </w:tcBorders>
            <w:noWrap w:val="0"/>
            <w:vAlign w:val="center"/>
          </w:tcPr>
          <w:p w14:paraId="2E6B576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5180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E4685AE">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7</w:t>
            </w:r>
          </w:p>
        </w:tc>
        <w:tc>
          <w:tcPr>
            <w:tcW w:w="4419" w:type="dxa"/>
            <w:tcBorders>
              <w:top w:val="single" w:color="000000" w:sz="4" w:space="0"/>
              <w:left w:val="nil"/>
              <w:bottom w:val="single" w:color="000000" w:sz="4" w:space="0"/>
              <w:right w:val="single" w:color="000000" w:sz="4" w:space="0"/>
            </w:tcBorders>
            <w:noWrap w:val="0"/>
            <w:vAlign w:val="center"/>
          </w:tcPr>
          <w:p w14:paraId="6098458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如未实施工作计划表中内容</w:t>
            </w:r>
          </w:p>
        </w:tc>
        <w:tc>
          <w:tcPr>
            <w:tcW w:w="1371" w:type="dxa"/>
            <w:tcBorders>
              <w:top w:val="single" w:color="000000" w:sz="4" w:space="0"/>
              <w:left w:val="nil"/>
              <w:bottom w:val="single" w:color="000000" w:sz="4" w:space="0"/>
              <w:right w:val="single" w:color="000000" w:sz="4" w:space="0"/>
            </w:tcBorders>
            <w:noWrap w:val="0"/>
            <w:vAlign w:val="center"/>
          </w:tcPr>
          <w:p w14:paraId="1DA15DC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/项</w:t>
            </w:r>
          </w:p>
        </w:tc>
        <w:tc>
          <w:tcPr>
            <w:tcW w:w="3432" w:type="dxa"/>
            <w:tcBorders>
              <w:top w:val="single" w:color="000000" w:sz="4" w:space="0"/>
              <w:left w:val="nil"/>
              <w:bottom w:val="single" w:color="000000" w:sz="4" w:space="0"/>
              <w:right w:val="single" w:color="000000" w:sz="4" w:space="0"/>
            </w:tcBorders>
            <w:noWrap w:val="0"/>
            <w:vAlign w:val="center"/>
          </w:tcPr>
          <w:p w14:paraId="52EDF5A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0BA0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5"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FA6315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8</w:t>
            </w:r>
          </w:p>
        </w:tc>
        <w:tc>
          <w:tcPr>
            <w:tcW w:w="4419" w:type="dxa"/>
            <w:tcBorders>
              <w:top w:val="single" w:color="000000" w:sz="4" w:space="0"/>
              <w:left w:val="nil"/>
              <w:bottom w:val="single" w:color="000000" w:sz="4" w:space="0"/>
              <w:right w:val="single" w:color="000000" w:sz="4" w:space="0"/>
            </w:tcBorders>
            <w:noWrap w:val="0"/>
            <w:vAlign w:val="center"/>
          </w:tcPr>
          <w:p w14:paraId="18A9242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监理</w:t>
            </w:r>
            <w:r>
              <w:rPr>
                <w:rFonts w:hint="eastAsia" w:hAnsi="宋体" w:cs="宋体"/>
                <w:color w:val="auto"/>
                <w:kern w:val="0"/>
                <w:sz w:val="24"/>
                <w:szCs w:val="24"/>
                <w:highlight w:val="none"/>
                <w:lang w:val="en-US" w:eastAsia="zh-CN" w:bidi="ar"/>
              </w:rPr>
              <w:t>人</w:t>
            </w:r>
            <w:r>
              <w:rPr>
                <w:rFonts w:hint="eastAsia" w:ascii="宋体" w:hAnsi="宋体" w:eastAsia="宋体" w:cs="宋体"/>
                <w:i w:val="0"/>
                <w:iCs w:val="0"/>
                <w:color w:val="auto"/>
                <w:kern w:val="0"/>
                <w:sz w:val="24"/>
                <w:szCs w:val="24"/>
                <w:highlight w:val="none"/>
                <w:lang w:val="en-US" w:eastAsia="zh-CN" w:bidi="ar"/>
              </w:rPr>
              <w:t>根据</w:t>
            </w:r>
            <w:r>
              <w:rPr>
                <w:rFonts w:hint="eastAsia" w:hAnsi="宋体" w:cs="宋体"/>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与施工单位签订的施工合同中约定的工程进度节点计划考核内容，结合现场实际施工进度对比后，在考核节点后的5天内提交考核报告，报告每逾期一天</w:t>
            </w:r>
          </w:p>
        </w:tc>
        <w:tc>
          <w:tcPr>
            <w:tcW w:w="1371" w:type="dxa"/>
            <w:tcBorders>
              <w:top w:val="single" w:color="000000" w:sz="4" w:space="0"/>
              <w:left w:val="nil"/>
              <w:bottom w:val="single" w:color="000000" w:sz="4" w:space="0"/>
              <w:right w:val="single" w:color="000000" w:sz="4" w:space="0"/>
            </w:tcBorders>
            <w:noWrap w:val="0"/>
            <w:vAlign w:val="center"/>
          </w:tcPr>
          <w:p w14:paraId="6B436FD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2"/>
                <w:sz w:val="24"/>
                <w:szCs w:val="24"/>
                <w:highlight w:val="none"/>
              </w:rPr>
            </w:pPr>
            <w:r>
              <w:rPr>
                <w:rFonts w:hint="eastAsia" w:hAnsi="宋体" w:cs="宋体"/>
                <w:i w:val="0"/>
                <w:iCs w:val="0"/>
                <w:color w:val="auto"/>
                <w:kern w:val="0"/>
                <w:sz w:val="24"/>
                <w:szCs w:val="24"/>
                <w:highlight w:val="none"/>
                <w:lang w:val="en-US" w:eastAsia="zh-CN" w:bidi="ar"/>
              </w:rPr>
              <w:t>3000元/天</w:t>
            </w:r>
          </w:p>
        </w:tc>
        <w:tc>
          <w:tcPr>
            <w:tcW w:w="3432" w:type="dxa"/>
            <w:tcBorders>
              <w:top w:val="single" w:color="000000" w:sz="4" w:space="0"/>
              <w:left w:val="nil"/>
              <w:bottom w:val="single" w:color="000000" w:sz="4" w:space="0"/>
              <w:right w:val="single" w:color="000000" w:sz="4" w:space="0"/>
            </w:tcBorders>
            <w:noWrap w:val="0"/>
            <w:vAlign w:val="center"/>
          </w:tcPr>
          <w:p w14:paraId="4EA70831">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45CD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81C5C4D">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9</w:t>
            </w:r>
          </w:p>
        </w:tc>
        <w:tc>
          <w:tcPr>
            <w:tcW w:w="4419" w:type="dxa"/>
            <w:tcBorders>
              <w:top w:val="single" w:color="000000" w:sz="4" w:space="0"/>
              <w:left w:val="nil"/>
              <w:bottom w:val="single" w:color="000000" w:sz="4" w:space="0"/>
              <w:right w:val="single" w:color="000000" w:sz="4" w:space="0"/>
            </w:tcBorders>
            <w:noWrap w:val="0"/>
            <w:vAlign w:val="center"/>
          </w:tcPr>
          <w:p w14:paraId="4670D16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施工现场存在安全隐患，</w:t>
            </w:r>
            <w:r>
              <w:rPr>
                <w:rFonts w:hint="eastAsia" w:ascii="宋体" w:hAnsi="宋体" w:eastAsia="宋体" w:cs="宋体"/>
                <w:color w:val="auto"/>
                <w:kern w:val="0"/>
                <w:sz w:val="24"/>
                <w:szCs w:val="24"/>
                <w:highlight w:val="none"/>
                <w:lang w:val="en-US" w:eastAsia="zh-CN" w:bidi="ar"/>
              </w:rPr>
              <w:t>监理</w:t>
            </w:r>
            <w:r>
              <w:rPr>
                <w:rFonts w:hint="eastAsia" w:hAnsi="宋体" w:cs="宋体"/>
                <w:color w:val="auto"/>
                <w:kern w:val="0"/>
                <w:sz w:val="24"/>
                <w:szCs w:val="24"/>
                <w:highlight w:val="none"/>
                <w:lang w:val="en-US" w:eastAsia="zh-CN" w:bidi="ar"/>
              </w:rPr>
              <w:t>人</w:t>
            </w:r>
            <w:r>
              <w:rPr>
                <w:rFonts w:hint="eastAsia" w:ascii="宋体" w:hAnsi="宋体" w:eastAsia="宋体" w:cs="宋体"/>
                <w:i w:val="0"/>
                <w:iCs w:val="0"/>
                <w:color w:val="auto"/>
                <w:kern w:val="0"/>
                <w:sz w:val="24"/>
                <w:szCs w:val="24"/>
                <w:highlight w:val="none"/>
                <w:lang w:val="en-US" w:eastAsia="zh-CN" w:bidi="ar"/>
              </w:rPr>
              <w:t>未及时发现并发出整改指令</w:t>
            </w:r>
          </w:p>
        </w:tc>
        <w:tc>
          <w:tcPr>
            <w:tcW w:w="1371" w:type="dxa"/>
            <w:tcBorders>
              <w:top w:val="single" w:color="000000" w:sz="4" w:space="0"/>
              <w:left w:val="nil"/>
              <w:bottom w:val="single" w:color="000000" w:sz="4" w:space="0"/>
              <w:right w:val="single" w:color="000000" w:sz="4" w:space="0"/>
            </w:tcBorders>
            <w:noWrap w:val="0"/>
            <w:vAlign w:val="center"/>
          </w:tcPr>
          <w:p w14:paraId="28AE2D9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6389E21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4C1E1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47F4065">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10</w:t>
            </w:r>
          </w:p>
        </w:tc>
        <w:tc>
          <w:tcPr>
            <w:tcW w:w="4419" w:type="dxa"/>
            <w:tcBorders>
              <w:top w:val="single" w:color="000000" w:sz="4" w:space="0"/>
              <w:left w:val="nil"/>
              <w:bottom w:val="single" w:color="000000" w:sz="4" w:space="0"/>
              <w:right w:val="single" w:color="000000" w:sz="4" w:space="0"/>
            </w:tcBorders>
            <w:noWrap w:val="0"/>
            <w:vAlign w:val="center"/>
          </w:tcPr>
          <w:p w14:paraId="3B2B1DD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施工现场出现与图纸不符的建设内容，</w:t>
            </w:r>
            <w:r>
              <w:rPr>
                <w:rFonts w:hint="eastAsia" w:ascii="宋体" w:hAnsi="宋体" w:eastAsia="宋体" w:cs="宋体"/>
                <w:color w:val="auto"/>
                <w:kern w:val="0"/>
                <w:sz w:val="24"/>
                <w:szCs w:val="24"/>
                <w:highlight w:val="none"/>
                <w:lang w:val="en-US" w:eastAsia="zh-CN" w:bidi="ar"/>
              </w:rPr>
              <w:t>监理</w:t>
            </w:r>
            <w:r>
              <w:rPr>
                <w:rFonts w:hint="eastAsia" w:hAnsi="宋体" w:cs="宋体"/>
                <w:color w:val="auto"/>
                <w:kern w:val="0"/>
                <w:sz w:val="24"/>
                <w:szCs w:val="24"/>
                <w:highlight w:val="none"/>
                <w:lang w:val="en-US" w:eastAsia="zh-CN" w:bidi="ar"/>
              </w:rPr>
              <w:t>人</w:t>
            </w:r>
            <w:r>
              <w:rPr>
                <w:rFonts w:hint="eastAsia" w:ascii="宋体" w:hAnsi="宋体" w:eastAsia="宋体" w:cs="宋体"/>
                <w:i w:val="0"/>
                <w:iCs w:val="0"/>
                <w:color w:val="auto"/>
                <w:kern w:val="0"/>
                <w:sz w:val="24"/>
                <w:szCs w:val="24"/>
                <w:highlight w:val="none"/>
                <w:lang w:val="en-US" w:eastAsia="zh-CN" w:bidi="ar"/>
              </w:rPr>
              <w:t>未及时发现并发出整改指令，导致资金浪费或工期延误</w:t>
            </w:r>
          </w:p>
        </w:tc>
        <w:tc>
          <w:tcPr>
            <w:tcW w:w="1371" w:type="dxa"/>
            <w:tcBorders>
              <w:top w:val="single" w:color="000000" w:sz="4" w:space="0"/>
              <w:left w:val="nil"/>
              <w:bottom w:val="single" w:color="000000" w:sz="4" w:space="0"/>
              <w:right w:val="single" w:color="000000" w:sz="4" w:space="0"/>
            </w:tcBorders>
            <w:noWrap w:val="0"/>
            <w:vAlign w:val="center"/>
          </w:tcPr>
          <w:p w14:paraId="7432235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312F07C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60C8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4651C3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11</w:t>
            </w:r>
          </w:p>
        </w:tc>
        <w:tc>
          <w:tcPr>
            <w:tcW w:w="4419" w:type="dxa"/>
            <w:tcBorders>
              <w:top w:val="single" w:color="000000" w:sz="4" w:space="0"/>
              <w:left w:val="nil"/>
              <w:bottom w:val="single" w:color="000000" w:sz="4" w:space="0"/>
              <w:right w:val="single" w:color="000000" w:sz="4" w:space="0"/>
            </w:tcBorders>
            <w:noWrap w:val="0"/>
            <w:vAlign w:val="center"/>
          </w:tcPr>
          <w:p w14:paraId="293D9BB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总监理工程师未按要求到场的</w:t>
            </w:r>
          </w:p>
        </w:tc>
        <w:tc>
          <w:tcPr>
            <w:tcW w:w="1371" w:type="dxa"/>
            <w:tcBorders>
              <w:top w:val="single" w:color="000000" w:sz="4" w:space="0"/>
              <w:left w:val="nil"/>
              <w:bottom w:val="single" w:color="000000" w:sz="4" w:space="0"/>
              <w:right w:val="single" w:color="000000" w:sz="4" w:space="0"/>
            </w:tcBorders>
            <w:noWrap w:val="0"/>
            <w:vAlign w:val="center"/>
          </w:tcPr>
          <w:p w14:paraId="197A247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31109A5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4678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DB9BDE6">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12</w:t>
            </w:r>
          </w:p>
        </w:tc>
        <w:tc>
          <w:tcPr>
            <w:tcW w:w="4419" w:type="dxa"/>
            <w:tcBorders>
              <w:top w:val="single" w:color="000000" w:sz="4" w:space="0"/>
              <w:left w:val="nil"/>
              <w:bottom w:val="single" w:color="000000" w:sz="4" w:space="0"/>
              <w:right w:val="single" w:color="000000" w:sz="4" w:space="0"/>
            </w:tcBorders>
            <w:noWrap w:val="0"/>
            <w:vAlign w:val="center"/>
          </w:tcPr>
          <w:p w14:paraId="0B20F56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施工期间，监理人员未经</w:t>
            </w:r>
            <w:r>
              <w:rPr>
                <w:rFonts w:hint="eastAsia" w:hAnsi="宋体" w:cs="宋体"/>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同意擅自离岗的</w:t>
            </w:r>
          </w:p>
        </w:tc>
        <w:tc>
          <w:tcPr>
            <w:tcW w:w="1371" w:type="dxa"/>
            <w:tcBorders>
              <w:top w:val="single" w:color="000000" w:sz="4" w:space="0"/>
              <w:left w:val="nil"/>
              <w:bottom w:val="single" w:color="000000" w:sz="4" w:space="0"/>
              <w:right w:val="single" w:color="000000" w:sz="4" w:space="0"/>
            </w:tcBorders>
            <w:noWrap w:val="0"/>
            <w:vAlign w:val="center"/>
          </w:tcPr>
          <w:p w14:paraId="401BFE9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17AD305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68C5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2520F3D">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13</w:t>
            </w:r>
          </w:p>
        </w:tc>
        <w:tc>
          <w:tcPr>
            <w:tcW w:w="4419" w:type="dxa"/>
            <w:tcBorders>
              <w:top w:val="single" w:color="000000" w:sz="4" w:space="0"/>
              <w:left w:val="nil"/>
              <w:bottom w:val="single" w:color="000000" w:sz="4" w:space="0"/>
              <w:right w:val="single" w:color="000000" w:sz="4" w:space="0"/>
            </w:tcBorders>
            <w:noWrap w:val="0"/>
            <w:vAlign w:val="center"/>
          </w:tcPr>
          <w:p w14:paraId="1052B6C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rPr>
            </w:pPr>
            <w:r>
              <w:rPr>
                <w:rFonts w:hint="eastAsia" w:ascii="宋体" w:hAnsi="宋体" w:eastAsia="宋体" w:cs="宋体"/>
                <w:i w:val="0"/>
                <w:iCs w:val="0"/>
                <w:color w:val="auto"/>
                <w:kern w:val="0"/>
                <w:sz w:val="24"/>
                <w:szCs w:val="24"/>
                <w:highlight w:val="none"/>
                <w:lang w:val="en-US" w:eastAsia="zh-CN" w:bidi="ar"/>
              </w:rPr>
              <w:t>监理未按要求及时提供会议纪要、材料检查记录等施工过程的监理资料的</w:t>
            </w:r>
          </w:p>
        </w:tc>
        <w:tc>
          <w:tcPr>
            <w:tcW w:w="1371" w:type="dxa"/>
            <w:tcBorders>
              <w:top w:val="single" w:color="000000" w:sz="4" w:space="0"/>
              <w:left w:val="nil"/>
              <w:bottom w:val="single" w:color="000000" w:sz="4" w:space="0"/>
              <w:right w:val="single" w:color="000000" w:sz="4" w:space="0"/>
            </w:tcBorders>
            <w:noWrap w:val="0"/>
            <w:vAlign w:val="center"/>
          </w:tcPr>
          <w:p w14:paraId="6C4B7EB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2D151B3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6FC7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640107D8">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14</w:t>
            </w:r>
          </w:p>
        </w:tc>
        <w:tc>
          <w:tcPr>
            <w:tcW w:w="4419" w:type="dxa"/>
            <w:tcBorders>
              <w:top w:val="single" w:color="000000" w:sz="4" w:space="0"/>
              <w:left w:val="nil"/>
              <w:bottom w:val="single" w:color="000000" w:sz="4" w:space="0"/>
              <w:right w:val="single" w:color="000000" w:sz="4" w:space="0"/>
            </w:tcBorders>
            <w:noWrap w:val="0"/>
            <w:vAlign w:val="center"/>
          </w:tcPr>
          <w:p w14:paraId="18D31AB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监理人在</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进场前未对相关监理人员进行专项工程交底的（以书面记录为准），向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2933FD3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529C79A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5DE6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0FDFB173">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15</w:t>
            </w:r>
          </w:p>
        </w:tc>
        <w:tc>
          <w:tcPr>
            <w:tcW w:w="4419" w:type="dxa"/>
            <w:tcBorders>
              <w:top w:val="single" w:color="000000" w:sz="4" w:space="0"/>
              <w:left w:val="nil"/>
              <w:bottom w:val="single" w:color="000000" w:sz="4" w:space="0"/>
              <w:right w:val="single" w:color="000000" w:sz="4" w:space="0"/>
            </w:tcBorders>
            <w:noWrap w:val="0"/>
            <w:vAlign w:val="center"/>
          </w:tcPr>
          <w:p w14:paraId="71B9EED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对</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未按图纸或招标文件的规定施工的，监理人未及时发现的，经</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指正属实后，向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1A3E928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17822C4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880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CE4A603">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16</w:t>
            </w:r>
          </w:p>
        </w:tc>
        <w:tc>
          <w:tcPr>
            <w:tcW w:w="4419" w:type="dxa"/>
            <w:tcBorders>
              <w:top w:val="single" w:color="000000" w:sz="4" w:space="0"/>
              <w:left w:val="nil"/>
              <w:bottom w:val="single" w:color="000000" w:sz="4" w:space="0"/>
              <w:right w:val="single" w:color="000000" w:sz="4" w:space="0"/>
            </w:tcBorders>
            <w:noWrap w:val="0"/>
            <w:vAlign w:val="center"/>
          </w:tcPr>
          <w:p w14:paraId="06107BE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监理人对发现</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的施工质量不符合要求而未及时发出整改通知，或对发出通知但</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未予整改的情况下不采取有效措施的，向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48FCC8B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5BBD9D1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6AA81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6"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0A80BB7C">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17</w:t>
            </w:r>
          </w:p>
        </w:tc>
        <w:tc>
          <w:tcPr>
            <w:tcW w:w="4419" w:type="dxa"/>
            <w:tcBorders>
              <w:top w:val="single" w:color="000000" w:sz="4" w:space="0"/>
              <w:left w:val="nil"/>
              <w:bottom w:val="single" w:color="000000" w:sz="4" w:space="0"/>
              <w:right w:val="single" w:color="000000" w:sz="4" w:space="0"/>
            </w:tcBorders>
            <w:noWrap w:val="0"/>
            <w:vAlign w:val="center"/>
          </w:tcPr>
          <w:p w14:paraId="7BB40C12">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对于需要审批的技术文件,不进行审批或不进行认真分析、核对即盲目批准，或没有按已审批的技术文件检查、督促</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按技术文件、有关规定进行施工，导致工程出现质量缺陷、安全事故或进度延误，</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 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6C05158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4632CD0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06E7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36CA86C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18</w:t>
            </w:r>
          </w:p>
        </w:tc>
        <w:tc>
          <w:tcPr>
            <w:tcW w:w="4419" w:type="dxa"/>
            <w:tcBorders>
              <w:top w:val="single" w:color="000000" w:sz="4" w:space="0"/>
              <w:left w:val="nil"/>
              <w:bottom w:val="single" w:color="000000" w:sz="4" w:space="0"/>
              <w:right w:val="single" w:color="000000" w:sz="4" w:space="0"/>
            </w:tcBorders>
            <w:noWrap w:val="0"/>
            <w:vAlign w:val="center"/>
          </w:tcPr>
          <w:p w14:paraId="09B967E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没有按规定做好材料见证送检工作，没有做好工程材料、构配件、设备进场审批，</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65337D3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1C0D762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452C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A02169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19</w:t>
            </w:r>
          </w:p>
        </w:tc>
        <w:tc>
          <w:tcPr>
            <w:tcW w:w="4419" w:type="dxa"/>
            <w:tcBorders>
              <w:top w:val="single" w:color="000000" w:sz="4" w:space="0"/>
              <w:left w:val="nil"/>
              <w:bottom w:val="single" w:color="000000" w:sz="4" w:space="0"/>
              <w:right w:val="single" w:color="000000" w:sz="4" w:space="0"/>
            </w:tcBorders>
            <w:noWrap w:val="0"/>
            <w:vAlign w:val="center"/>
          </w:tcPr>
          <w:p w14:paraId="12A100F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对必须进行检查验收的项目，不进行检查验收或不按照规定方法进行检查验收，</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07BD4254">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2B3CC05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152D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43483F3E">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20</w:t>
            </w:r>
          </w:p>
        </w:tc>
        <w:tc>
          <w:tcPr>
            <w:tcW w:w="4419" w:type="dxa"/>
            <w:tcBorders>
              <w:top w:val="single" w:color="000000" w:sz="4" w:space="0"/>
              <w:left w:val="nil"/>
              <w:bottom w:val="single" w:color="000000" w:sz="4" w:space="0"/>
              <w:right w:val="single" w:color="000000" w:sz="4" w:space="0"/>
            </w:tcBorders>
            <w:noWrap w:val="0"/>
            <w:vAlign w:val="center"/>
          </w:tcPr>
          <w:p w14:paraId="19957823">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连续3次检查发现重要工序没有监理人员旁站的；明知工程存在缺陷，仍不采取措施加以处理，放任缺陷存在；或者将明显不合格的工程按照合格进行验收，致使工程留下隐患, </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因此遭受损失的，向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0831476A">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604E958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568A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92E9DEF">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21</w:t>
            </w:r>
          </w:p>
        </w:tc>
        <w:tc>
          <w:tcPr>
            <w:tcW w:w="4419" w:type="dxa"/>
            <w:tcBorders>
              <w:top w:val="single" w:color="000000" w:sz="4" w:space="0"/>
              <w:left w:val="nil"/>
              <w:bottom w:val="single" w:color="000000" w:sz="4" w:space="0"/>
              <w:right w:val="single" w:color="000000" w:sz="4" w:space="0"/>
            </w:tcBorders>
            <w:noWrap w:val="0"/>
            <w:vAlign w:val="center"/>
          </w:tcPr>
          <w:p w14:paraId="2857D67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进度滞后超过7天没有书面分析原因提出处理意见，进度滞后情况发生后没有督促</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采取有效措施纠偏致使进度失控，</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因此遭受损失的，向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2657E765">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319B01D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D6D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5"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2D9B089B">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22</w:t>
            </w:r>
          </w:p>
        </w:tc>
        <w:tc>
          <w:tcPr>
            <w:tcW w:w="4419" w:type="dxa"/>
            <w:tcBorders>
              <w:top w:val="single" w:color="000000" w:sz="4" w:space="0"/>
              <w:left w:val="nil"/>
              <w:bottom w:val="single" w:color="000000" w:sz="4" w:space="0"/>
              <w:right w:val="single" w:color="000000" w:sz="4" w:space="0"/>
            </w:tcBorders>
            <w:noWrap w:val="0"/>
            <w:vAlign w:val="center"/>
          </w:tcPr>
          <w:p w14:paraId="5152AA9E">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对质监站、安监站等政府有关部门和</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上级部门提出的需整改问题没有督促</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落实整改，被政府部门勒令停工，</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因此遭受损失的，向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6089A9C6">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6FA9AD4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0069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1FB29528">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23</w:t>
            </w:r>
          </w:p>
        </w:tc>
        <w:tc>
          <w:tcPr>
            <w:tcW w:w="4419" w:type="dxa"/>
            <w:tcBorders>
              <w:top w:val="single" w:color="000000" w:sz="4" w:space="0"/>
              <w:left w:val="nil"/>
              <w:bottom w:val="single" w:color="000000" w:sz="4" w:space="0"/>
              <w:right w:val="single" w:color="000000" w:sz="4" w:space="0"/>
            </w:tcBorders>
            <w:noWrap w:val="0"/>
            <w:vAlign w:val="center"/>
          </w:tcPr>
          <w:p w14:paraId="03B10C30">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没有及时签发验收资料，督促</w:t>
            </w:r>
            <w:r>
              <w:rPr>
                <w:rFonts w:hint="eastAsia" w:hAnsi="宋体" w:cs="宋体"/>
                <w:i w:val="0"/>
                <w:iCs w:val="0"/>
                <w:color w:val="auto"/>
                <w:kern w:val="0"/>
                <w:sz w:val="24"/>
                <w:szCs w:val="24"/>
                <w:highlight w:val="none"/>
                <w:lang w:val="en-US" w:eastAsia="zh-CN" w:bidi="ar"/>
              </w:rPr>
              <w:t>施工单位</w:t>
            </w:r>
            <w:r>
              <w:rPr>
                <w:rFonts w:hint="eastAsia" w:ascii="宋体" w:hAnsi="宋体" w:eastAsia="宋体" w:cs="宋体"/>
                <w:i w:val="0"/>
                <w:iCs w:val="0"/>
                <w:color w:val="auto"/>
                <w:kern w:val="0"/>
                <w:sz w:val="24"/>
                <w:szCs w:val="24"/>
                <w:highlight w:val="none"/>
                <w:lang w:val="en-US" w:eastAsia="zh-CN" w:bidi="ar"/>
              </w:rPr>
              <w:t>按要求整理好验收资料，致使无法办理工程验收，工期延误，</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因此遭受损失的，向</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缴纳违约金</w:t>
            </w:r>
          </w:p>
        </w:tc>
        <w:tc>
          <w:tcPr>
            <w:tcW w:w="1371" w:type="dxa"/>
            <w:tcBorders>
              <w:top w:val="single" w:color="000000" w:sz="4" w:space="0"/>
              <w:left w:val="nil"/>
              <w:bottom w:val="single" w:color="000000" w:sz="4" w:space="0"/>
              <w:right w:val="single" w:color="000000" w:sz="4" w:space="0"/>
            </w:tcBorders>
            <w:noWrap w:val="0"/>
            <w:vAlign w:val="center"/>
          </w:tcPr>
          <w:p w14:paraId="238428E9">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hAnsi="宋体" w:cs="宋体"/>
                <w:i w:val="0"/>
                <w:iCs w:val="0"/>
                <w:color w:val="auto"/>
                <w:kern w:val="0"/>
                <w:sz w:val="24"/>
                <w:szCs w:val="24"/>
                <w:highlight w:val="none"/>
                <w:lang w:val="en-US" w:eastAsia="zh-CN" w:bidi="ar"/>
              </w:rPr>
              <w:t>3000元</w:t>
            </w:r>
            <w:r>
              <w:rPr>
                <w:rFonts w:hint="eastAsia" w:ascii="宋体" w:hAnsi="宋体" w:eastAsia="宋体" w:cs="宋体"/>
                <w:i w:val="0"/>
                <w:iCs w:val="0"/>
                <w:color w:val="auto"/>
                <w:kern w:val="0"/>
                <w:sz w:val="24"/>
                <w:szCs w:val="24"/>
                <w:highlight w:val="none"/>
                <w:lang w:val="en-US" w:eastAsia="zh-CN" w:bidi="ar"/>
              </w:rPr>
              <w:t>/次</w:t>
            </w:r>
          </w:p>
        </w:tc>
        <w:tc>
          <w:tcPr>
            <w:tcW w:w="3432" w:type="dxa"/>
            <w:tcBorders>
              <w:top w:val="single" w:color="000000" w:sz="4" w:space="0"/>
              <w:left w:val="nil"/>
              <w:bottom w:val="single" w:color="000000" w:sz="4" w:space="0"/>
              <w:right w:val="single" w:color="000000" w:sz="4" w:space="0"/>
            </w:tcBorders>
            <w:noWrap w:val="0"/>
            <w:vAlign w:val="center"/>
          </w:tcPr>
          <w:p w14:paraId="20E3BF7B">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745B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4D10BE1">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24</w:t>
            </w:r>
          </w:p>
        </w:tc>
        <w:tc>
          <w:tcPr>
            <w:tcW w:w="4419" w:type="dxa"/>
            <w:tcBorders>
              <w:top w:val="single" w:color="000000" w:sz="4" w:space="0"/>
              <w:left w:val="nil"/>
              <w:bottom w:val="single" w:color="000000" w:sz="4" w:space="0"/>
              <w:right w:val="single" w:color="000000" w:sz="4" w:space="0"/>
            </w:tcBorders>
            <w:noWrap w:val="0"/>
            <w:vAlign w:val="center"/>
          </w:tcPr>
          <w:p w14:paraId="5D641C78">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如因监理人工作不力造成重大工程事故，或管理不力阻碍工程顺利进行，并经</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5次敦促改善仍未有结果，</w:t>
            </w:r>
            <w:r>
              <w:rPr>
                <w:rFonts w:hint="eastAsia" w:hAnsi="宋体" w:cs="宋体"/>
                <w:i w:val="0"/>
                <w:iCs w:val="0"/>
                <w:color w:val="auto"/>
                <w:kern w:val="0"/>
                <w:sz w:val="24"/>
                <w:szCs w:val="24"/>
                <w:highlight w:val="none"/>
                <w:lang w:val="en-US" w:eastAsia="zh-CN" w:bidi="ar"/>
              </w:rPr>
              <w:t>委托人</w:t>
            </w:r>
            <w:r>
              <w:rPr>
                <w:rFonts w:hint="eastAsia" w:ascii="宋体" w:hAnsi="宋体" w:eastAsia="宋体" w:cs="宋体"/>
                <w:i w:val="0"/>
                <w:iCs w:val="0"/>
                <w:color w:val="auto"/>
                <w:kern w:val="0"/>
                <w:sz w:val="24"/>
                <w:szCs w:val="24"/>
                <w:highlight w:val="none"/>
                <w:lang w:val="en-US" w:eastAsia="zh-CN" w:bidi="ar"/>
              </w:rPr>
              <w:t>有权提出终止合同。</w:t>
            </w:r>
          </w:p>
        </w:tc>
        <w:tc>
          <w:tcPr>
            <w:tcW w:w="1371" w:type="dxa"/>
            <w:tcBorders>
              <w:top w:val="single" w:color="000000" w:sz="4" w:space="0"/>
              <w:left w:val="nil"/>
              <w:bottom w:val="single" w:color="000000" w:sz="4" w:space="0"/>
              <w:right w:val="single" w:color="000000" w:sz="4" w:space="0"/>
            </w:tcBorders>
            <w:noWrap w:val="0"/>
            <w:vAlign w:val="center"/>
          </w:tcPr>
          <w:p w14:paraId="68371E2C">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03EE5807">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r w14:paraId="3065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8" w:hRule="atLeast"/>
          <w:jc w:val="center"/>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DA5B85D">
            <w:pPr>
              <w:keepNext w:val="0"/>
              <w:keepLines w:val="0"/>
              <w:pageBreakBefore w:val="0"/>
              <w:widowControl/>
              <w:suppressLineNumbers w:val="0"/>
              <w:overflowPunct/>
              <w:topLinePunct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25</w:t>
            </w:r>
          </w:p>
        </w:tc>
        <w:tc>
          <w:tcPr>
            <w:tcW w:w="4419" w:type="dxa"/>
            <w:tcBorders>
              <w:top w:val="single" w:color="000000" w:sz="4" w:space="0"/>
              <w:left w:val="nil"/>
              <w:bottom w:val="single" w:color="000000" w:sz="4" w:space="0"/>
              <w:right w:val="single" w:color="000000" w:sz="4" w:space="0"/>
            </w:tcBorders>
            <w:noWrap w:val="0"/>
            <w:vAlign w:val="center"/>
          </w:tcPr>
          <w:p w14:paraId="16A5935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如乙方拒不配合甲方对乙方在合作期间内的阳光合作监督及调查工作的，或者被证实存在隐瞒信息、提供虚假信息和伪证行为的，甲方有权视情节严重程度，对原合同的履行采取暂停支付业务进度款、终止合作、追究经济损失、解除合同等措施，且无需承担任何违约责任。</w:t>
            </w:r>
          </w:p>
        </w:tc>
        <w:tc>
          <w:tcPr>
            <w:tcW w:w="1371" w:type="dxa"/>
            <w:tcBorders>
              <w:top w:val="single" w:color="000000" w:sz="4" w:space="0"/>
              <w:left w:val="nil"/>
              <w:bottom w:val="single" w:color="000000" w:sz="4" w:space="0"/>
              <w:right w:val="single" w:color="000000" w:sz="4" w:space="0"/>
            </w:tcBorders>
            <w:noWrap w:val="0"/>
            <w:vAlign w:val="center"/>
          </w:tcPr>
          <w:p w14:paraId="201AC17F">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w:t>
            </w:r>
          </w:p>
        </w:tc>
        <w:tc>
          <w:tcPr>
            <w:tcW w:w="3432" w:type="dxa"/>
            <w:tcBorders>
              <w:top w:val="single" w:color="000000" w:sz="4" w:space="0"/>
              <w:left w:val="nil"/>
              <w:bottom w:val="single" w:color="000000" w:sz="4" w:space="0"/>
              <w:right w:val="single" w:color="000000" w:sz="4" w:space="0"/>
            </w:tcBorders>
            <w:noWrap w:val="0"/>
            <w:vAlign w:val="center"/>
          </w:tcPr>
          <w:p w14:paraId="67D936ED">
            <w:pPr>
              <w:keepNext w:val="0"/>
              <w:keepLines w:val="0"/>
              <w:pageBreakBefore w:val="0"/>
              <w:widowControl w:val="0"/>
              <w:suppressLineNumbers w:val="0"/>
              <w:kinsoku w:val="0"/>
              <w:wordWrap w:val="0"/>
              <w:overflowPunct/>
              <w:topLinePunct w:val="0"/>
              <w:autoSpaceDE w:val="0"/>
              <w:autoSpaceDN/>
              <w:bidi w:val="0"/>
              <w:adjustRightInd/>
              <w:snapToGrid/>
              <w:spacing w:before="0" w:beforeAutospacing="0" w:after="0" w:afterAutospacing="0" w:line="360" w:lineRule="exact"/>
              <w:ind w:left="0" w:right="0"/>
              <w:jc w:val="left"/>
              <w:rPr>
                <w:rFonts w:hint="eastAsia" w:ascii="宋体" w:hAnsi="宋体" w:eastAsia="宋体" w:cs="宋体"/>
                <w:i w:val="0"/>
                <w:iCs w:val="0"/>
                <w:color w:val="auto"/>
                <w:kern w:val="2"/>
                <w:sz w:val="24"/>
                <w:szCs w:val="24"/>
                <w:highlight w:val="none"/>
              </w:rPr>
            </w:pPr>
          </w:p>
        </w:tc>
      </w:tr>
    </w:tbl>
    <w:p w14:paraId="104797B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9.4变更、签证“一月一清”工作</w:t>
      </w:r>
    </w:p>
    <w:p w14:paraId="131949DA">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9.4.1监理人应积极配合委托人进行办理施工单位的变更、签证“一月一清”工作，该工作纳入履约评价。</w:t>
      </w:r>
    </w:p>
    <w:p w14:paraId="1C37E580">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9.5各专项验收、竣工验收工作</w:t>
      </w:r>
    </w:p>
    <w:p w14:paraId="5C60050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9.5.1协助委托人组织和办理各专项验收、竣工验收手续。</w:t>
      </w:r>
    </w:p>
    <w:p w14:paraId="06FA737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9.5.2督促施工单位及时整理工程技术资料办理各项验收，通过监督管理使实体工程、工程技术资料均能达到验收要求，按计划完成各项验收工作。</w:t>
      </w:r>
    </w:p>
    <w:p w14:paraId="016976E8">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9.5.3当验收出现特殊情况未能办理时，提出合理化建议，并积极配合委托人尽快完成各项验收工作。</w:t>
      </w:r>
    </w:p>
    <w:p w14:paraId="3D60C073">
      <w:pPr>
        <w:keepNext w:val="0"/>
        <w:keepLines w:val="0"/>
        <w:pageBreakBefore w:val="0"/>
        <w:overflowPunct/>
        <w:topLinePunct w:val="0"/>
        <w:autoSpaceDE w:val="0"/>
        <w:autoSpaceDN/>
        <w:bidi w:val="0"/>
        <w:spacing w:line="3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9.5.4依据有关法律、法规、工程建设强制性标准、设计文件及施工合同，对施工单位报送的竣工资料进行审查，并对工程质量进行竣工预验收。</w:t>
      </w:r>
    </w:p>
    <w:p w14:paraId="313F6804">
      <w:pPr>
        <w:pStyle w:val="39"/>
        <w:keepNext w:val="0"/>
        <w:keepLines w:val="0"/>
        <w:pageBreakBefore w:val="0"/>
        <w:overflowPunct/>
        <w:topLinePunct w:val="0"/>
        <w:autoSpaceDN/>
        <w:bidi w:val="0"/>
        <w:spacing w:line="360" w:lineRule="exact"/>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highlight w:val="none"/>
          <w:lang w:val="en-US" w:eastAsia="zh-CN"/>
        </w:rPr>
        <w:t>9.5.5参加由委托人组织的竣工验收，并提供相关监理资料。对验收中提出的整改问题，督促施工单位进行整改。工程质量符合要求后，会同参加验收的各方签署竣工验收报告。</w:t>
      </w:r>
    </w:p>
    <w:p w14:paraId="55BC995F">
      <w:pPr>
        <w:pStyle w:val="39"/>
        <w:rPr>
          <w:rFonts w:ascii="宋体" w:hAnsi="宋体" w:cs="宋体"/>
          <w:snapToGrid w:val="0"/>
          <w:color w:val="auto"/>
          <w:highlight w:val="none"/>
        </w:rPr>
      </w:pPr>
    </w:p>
    <w:p w14:paraId="0138750C">
      <w:pPr>
        <w:pStyle w:val="39"/>
        <w:rPr>
          <w:rFonts w:ascii="宋体" w:hAnsi="宋体" w:cs="宋体"/>
          <w:snapToGrid w:val="0"/>
          <w:color w:val="auto"/>
          <w:highlight w:val="none"/>
        </w:rPr>
      </w:pPr>
    </w:p>
    <w:p w14:paraId="0A2E2DC2">
      <w:pPr>
        <w:pStyle w:val="39"/>
        <w:rPr>
          <w:rFonts w:ascii="宋体" w:hAnsi="宋体" w:cs="宋体"/>
          <w:snapToGrid w:val="0"/>
          <w:color w:val="auto"/>
          <w:highlight w:val="none"/>
        </w:rPr>
      </w:pPr>
    </w:p>
    <w:p w14:paraId="444BB513">
      <w:pPr>
        <w:pStyle w:val="39"/>
        <w:rPr>
          <w:rFonts w:ascii="宋体" w:hAnsi="宋体" w:cs="宋体"/>
          <w:snapToGrid w:val="0"/>
          <w:color w:val="auto"/>
          <w:highlight w:val="none"/>
        </w:rPr>
      </w:pPr>
    </w:p>
    <w:p w14:paraId="01D756B0">
      <w:pPr>
        <w:pStyle w:val="39"/>
        <w:rPr>
          <w:rFonts w:ascii="宋体" w:hAnsi="宋体" w:cs="宋体"/>
          <w:snapToGrid w:val="0"/>
          <w:color w:val="auto"/>
          <w:highlight w:val="none"/>
        </w:rPr>
      </w:pPr>
    </w:p>
    <w:p w14:paraId="63F4F28A">
      <w:pPr>
        <w:pStyle w:val="39"/>
        <w:rPr>
          <w:rFonts w:ascii="宋体" w:hAnsi="宋体" w:cs="宋体"/>
          <w:snapToGrid w:val="0"/>
          <w:color w:val="auto"/>
          <w:highlight w:val="none"/>
        </w:rPr>
      </w:pPr>
    </w:p>
    <w:p w14:paraId="751B93F3">
      <w:pPr>
        <w:pStyle w:val="39"/>
        <w:rPr>
          <w:rFonts w:ascii="宋体" w:hAnsi="宋体" w:cs="宋体"/>
          <w:snapToGrid w:val="0"/>
          <w:color w:val="auto"/>
          <w:highlight w:val="none"/>
        </w:rPr>
      </w:pPr>
    </w:p>
    <w:p w14:paraId="243066EC">
      <w:pPr>
        <w:pStyle w:val="39"/>
        <w:rPr>
          <w:rFonts w:ascii="宋体" w:hAnsi="宋体" w:cs="宋体"/>
          <w:snapToGrid w:val="0"/>
          <w:color w:val="auto"/>
          <w:highlight w:val="none"/>
        </w:rPr>
      </w:pPr>
    </w:p>
    <w:p w14:paraId="0A3F99E2">
      <w:pPr>
        <w:pStyle w:val="39"/>
        <w:rPr>
          <w:rFonts w:ascii="宋体" w:hAnsi="宋体" w:cs="宋体"/>
          <w:snapToGrid w:val="0"/>
          <w:color w:val="auto"/>
          <w:highlight w:val="none"/>
        </w:rPr>
      </w:pPr>
    </w:p>
    <w:p w14:paraId="0344A654">
      <w:pPr>
        <w:pStyle w:val="39"/>
        <w:ind w:left="0" w:leftChars="0" w:firstLine="0" w:firstLineChars="0"/>
        <w:rPr>
          <w:rFonts w:ascii="宋体" w:hAnsi="宋体" w:cs="宋体"/>
          <w:snapToGrid w:val="0"/>
          <w:color w:val="auto"/>
          <w:highlight w:val="none"/>
        </w:rPr>
      </w:pPr>
    </w:p>
    <w:p w14:paraId="1D6B048C">
      <w:pPr>
        <w:pStyle w:val="39"/>
        <w:rPr>
          <w:rFonts w:ascii="宋体" w:hAnsi="宋体" w:cs="宋体"/>
          <w:snapToGrid w:val="0"/>
          <w:color w:val="auto"/>
          <w:highlight w:val="none"/>
        </w:rPr>
      </w:pPr>
    </w:p>
    <w:bookmarkEnd w:id="137"/>
    <w:p w14:paraId="47074CD6">
      <w:pPr>
        <w:rPr>
          <w:rFonts w:hint="eastAsia" w:ascii="Times New Roman"/>
          <w:b/>
          <w:snapToGrid w:val="0"/>
          <w:color w:val="auto"/>
          <w:sz w:val="32"/>
          <w:szCs w:val="22"/>
          <w:highlight w:val="none"/>
        </w:rPr>
      </w:pPr>
      <w:bookmarkStart w:id="149" w:name="_Toc21669"/>
      <w:bookmarkStart w:id="150" w:name="_Toc12650"/>
      <w:bookmarkStart w:id="151" w:name="_Toc21554"/>
      <w:bookmarkStart w:id="152" w:name="_Hlt69698796"/>
      <w:r>
        <w:rPr>
          <w:rFonts w:hint="eastAsia" w:ascii="Times New Roman"/>
          <w:b/>
          <w:snapToGrid w:val="0"/>
          <w:color w:val="auto"/>
          <w:sz w:val="32"/>
          <w:szCs w:val="22"/>
          <w:highlight w:val="none"/>
        </w:rPr>
        <w:br w:type="page"/>
      </w:r>
    </w:p>
    <w:p w14:paraId="39EAB1B0">
      <w:pPr>
        <w:pStyle w:val="2"/>
        <w:keepNext w:val="0"/>
        <w:keepLines w:val="0"/>
        <w:pageBreakBefore w:val="0"/>
        <w:widowControl w:val="0"/>
        <w:tabs>
          <w:tab w:val="left" w:pos="885"/>
        </w:tabs>
        <w:kinsoku/>
        <w:wordWrap w:val="0"/>
        <w:overflowPunct/>
        <w:topLinePunct w:val="0"/>
        <w:autoSpaceDE/>
        <w:autoSpaceDN/>
        <w:bidi w:val="0"/>
        <w:adjustRightInd w:val="0"/>
        <w:snapToGrid w:val="0"/>
        <w:spacing w:line="360" w:lineRule="exact"/>
        <w:ind w:left="885" w:hanging="885"/>
        <w:jc w:val="center"/>
        <w:textAlignment w:val="auto"/>
        <w:rPr>
          <w:rFonts w:ascii="Times New Roman"/>
          <w:b/>
          <w:snapToGrid w:val="0"/>
          <w:color w:val="auto"/>
          <w:sz w:val="32"/>
          <w:szCs w:val="22"/>
          <w:highlight w:val="none"/>
        </w:rPr>
      </w:pPr>
      <w:r>
        <w:rPr>
          <w:rFonts w:hint="eastAsia" w:ascii="Times New Roman"/>
          <w:b/>
          <w:snapToGrid w:val="0"/>
          <w:color w:val="auto"/>
          <w:sz w:val="32"/>
          <w:szCs w:val="22"/>
          <w:highlight w:val="none"/>
        </w:rPr>
        <w:t>第四章</w:t>
      </w:r>
      <w:bookmarkStart w:id="153" w:name="_Hlt87793853"/>
      <w:bookmarkEnd w:id="153"/>
      <w:r>
        <w:rPr>
          <w:rFonts w:hint="eastAsia" w:ascii="Times New Roman"/>
          <w:b/>
          <w:snapToGrid w:val="0"/>
          <w:color w:val="auto"/>
          <w:sz w:val="32"/>
          <w:szCs w:val="22"/>
          <w:highlight w:val="none"/>
        </w:rPr>
        <w:t xml:space="preserve"> 技术要求</w:t>
      </w:r>
      <w:bookmarkEnd w:id="149"/>
      <w:bookmarkEnd w:id="150"/>
      <w:bookmarkEnd w:id="151"/>
    </w:p>
    <w:bookmarkEnd w:id="152"/>
    <w:p w14:paraId="2DD873F3">
      <w:pPr>
        <w:pStyle w:val="4"/>
        <w:keepNext w:val="0"/>
        <w:keepLines w:val="0"/>
        <w:pageBreakBefore w:val="0"/>
        <w:widowControl w:val="0"/>
        <w:kinsoku/>
        <w:wordWrap w:val="0"/>
        <w:overflowPunct/>
        <w:topLinePunct w:val="0"/>
        <w:autoSpaceDE/>
        <w:autoSpaceDN/>
        <w:bidi w:val="0"/>
        <w:adjustRightInd w:val="0"/>
        <w:snapToGrid w:val="0"/>
        <w:spacing w:before="0" w:after="0" w:line="360" w:lineRule="exact"/>
        <w:ind w:left="643"/>
        <w:jc w:val="both"/>
        <w:textAlignment w:val="auto"/>
        <w:rPr>
          <w:b/>
          <w:snapToGrid w:val="0"/>
          <w:color w:val="auto"/>
          <w:highlight w:val="none"/>
        </w:rPr>
      </w:pPr>
      <w:bookmarkStart w:id="154" w:name="_Hlt69357851"/>
      <w:bookmarkEnd w:id="154"/>
      <w:bookmarkStart w:id="155" w:name="_Hlt68774758"/>
      <w:bookmarkEnd w:id="155"/>
      <w:bookmarkStart w:id="156" w:name="_Hlt66104926"/>
      <w:bookmarkEnd w:id="156"/>
      <w:bookmarkStart w:id="157" w:name="_Hlt87793346"/>
      <w:bookmarkEnd w:id="157"/>
      <w:bookmarkStart w:id="158" w:name="_Hlt69359335"/>
      <w:bookmarkEnd w:id="158"/>
      <w:bookmarkStart w:id="159" w:name="_Hlt80411122"/>
      <w:bookmarkEnd w:id="159"/>
      <w:bookmarkStart w:id="160" w:name="_Hlt87793370"/>
      <w:bookmarkEnd w:id="160"/>
      <w:bookmarkStart w:id="161" w:name="_Hlt69358207"/>
      <w:bookmarkEnd w:id="161"/>
      <w:bookmarkStart w:id="162" w:name="_Hlt69265216"/>
      <w:bookmarkEnd w:id="162"/>
      <w:bookmarkStart w:id="163" w:name="_Hlt75685840"/>
      <w:bookmarkEnd w:id="163"/>
      <w:bookmarkStart w:id="164" w:name="_Hlt69116854"/>
      <w:bookmarkEnd w:id="164"/>
    </w:p>
    <w:p w14:paraId="4CF6546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textAlignment w:val="auto"/>
        <w:rPr>
          <w:rFonts w:hint="eastAsia" w:ascii="Times New Roman" w:hAnsi="Times New Roman" w:cs="Times New Roman"/>
          <w:b/>
          <w:bCs w:val="0"/>
          <w:caps w:val="0"/>
          <w:smallCaps w:val="0"/>
          <w:snapToGrid w:val="0"/>
          <w:color w:val="auto"/>
          <w:spacing w:val="0"/>
          <w:kern w:val="0"/>
          <w:highlight w:val="none"/>
        </w:rPr>
      </w:pPr>
      <w:bookmarkStart w:id="165" w:name="_Hlt69670335"/>
      <w:bookmarkEnd w:id="165"/>
      <w:r>
        <w:rPr>
          <w:rFonts w:hint="eastAsia" w:ascii="Times New Roman" w:hAnsi="Times New Roman" w:cs="Times New Roman"/>
          <w:b/>
          <w:bCs w:val="0"/>
          <w:caps w:val="0"/>
          <w:smallCaps w:val="0"/>
          <w:snapToGrid w:val="0"/>
          <w:color w:val="auto"/>
          <w:spacing w:val="0"/>
          <w:kern w:val="0"/>
          <w:highlight w:val="none"/>
        </w:rPr>
        <w:t>1</w:t>
      </w:r>
      <w:r>
        <w:rPr>
          <w:rFonts w:hint="eastAsia" w:ascii="Times New Roman" w:hAnsi="Times New Roman" w:cs="Times New Roman"/>
          <w:b/>
          <w:bCs w:val="0"/>
          <w:caps w:val="0"/>
          <w:smallCaps w:val="0"/>
          <w:snapToGrid w:val="0"/>
          <w:color w:val="auto"/>
          <w:spacing w:val="0"/>
          <w:kern w:val="0"/>
          <w:highlight w:val="none"/>
          <w:lang w:eastAsia="zh-CN"/>
        </w:rPr>
        <w:t>．房屋建筑工程建设项目</w:t>
      </w:r>
    </w:p>
    <w:p w14:paraId="673D5E1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lang w:eastAsia="zh-CN"/>
        </w:rPr>
      </w:pPr>
      <w:bookmarkStart w:id="166" w:name="_Hlt69635252"/>
      <w:bookmarkEnd w:id="166"/>
      <w:bookmarkStart w:id="167" w:name="_Hlt69358458"/>
      <w:bookmarkEnd w:id="167"/>
      <w:bookmarkStart w:id="168" w:name="_Hlt69116858"/>
      <w:bookmarkEnd w:id="168"/>
      <w:bookmarkStart w:id="169" w:name="_Hlt69359243"/>
      <w:bookmarkEnd w:id="169"/>
      <w:bookmarkStart w:id="170" w:name="_Hlt78709799"/>
      <w:bookmarkEnd w:id="170"/>
      <w:bookmarkStart w:id="171" w:name="_Hlt69359086"/>
      <w:bookmarkEnd w:id="171"/>
      <w:bookmarkStart w:id="172" w:name="_Hlt69359245"/>
      <w:bookmarkEnd w:id="172"/>
      <w:r>
        <w:rPr>
          <w:rFonts w:hint="eastAsia" w:ascii="Times New Roman" w:hAnsi="Times New Roman" w:cs="Times New Roman"/>
          <w:b w:val="0"/>
          <w:bCs/>
          <w:caps w:val="0"/>
          <w:smallCaps w:val="0"/>
          <w:snapToGrid w:val="0"/>
          <w:color w:val="auto"/>
          <w:spacing w:val="0"/>
          <w:kern w:val="0"/>
          <w:highlight w:val="none"/>
          <w:lang w:eastAsia="zh-CN"/>
        </w:rPr>
        <w:t>房屋建筑工程建设项目必须执行的现行技术规范，包括且不限于：</w:t>
      </w:r>
    </w:p>
    <w:p w14:paraId="416D762C">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《建筑工程施工质量验收统一标准》；</w:t>
      </w:r>
    </w:p>
    <w:p w14:paraId="339C790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《建筑地基基础工程施工质量验收规范》；</w:t>
      </w:r>
    </w:p>
    <w:p w14:paraId="5660F88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《砌体工程施工质量验收规范》；</w:t>
      </w:r>
    </w:p>
    <w:p w14:paraId="6E2A33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《混凝土结构工程施工质量验收规范》；</w:t>
      </w:r>
    </w:p>
    <w:p w14:paraId="4C3C4F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《屋面工程质量验收规范》；</w:t>
      </w:r>
    </w:p>
    <w:p w14:paraId="72A7C95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《地下防水工程质量验收规范》；</w:t>
      </w:r>
    </w:p>
    <w:p w14:paraId="3239F00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bookmarkStart w:id="173" w:name="_Hlt78795211"/>
      <w:bookmarkEnd w:id="173"/>
      <w:r>
        <w:rPr>
          <w:rFonts w:hint="eastAsia" w:ascii="Times New Roman" w:hAnsi="Times New Roman" w:cs="Times New Roman"/>
          <w:b w:val="0"/>
          <w:bCs/>
          <w:caps w:val="0"/>
          <w:smallCaps w:val="0"/>
          <w:snapToGrid w:val="0"/>
          <w:color w:val="auto"/>
          <w:spacing w:val="0"/>
          <w:kern w:val="0"/>
          <w:highlight w:val="none"/>
        </w:rPr>
        <w:t>《建筑地面工程施工质量验收规范》；</w:t>
      </w:r>
    </w:p>
    <w:p w14:paraId="2E79455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《建筑装饰装修工程施工质量验收规范》；</w:t>
      </w:r>
    </w:p>
    <w:p w14:paraId="5F4A3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《建筑给排水及采暖工程施工质量验收规范》；</w:t>
      </w:r>
    </w:p>
    <w:p w14:paraId="421E539E">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《建筑电气工程施工质量验收规范》；</w:t>
      </w:r>
    </w:p>
    <w:p w14:paraId="1C0AC1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）《广东省住房和城乡建设厅绿色施工导则》；</w:t>
      </w:r>
    </w:p>
    <w:p w14:paraId="72DA37E3">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default"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12</w:t>
      </w:r>
      <w:r>
        <w:rPr>
          <w:rFonts w:hint="eastAsia" w:ascii="Times New Roman" w:hAnsi="Times New Roman" w:cs="Times New Roman"/>
          <w:b w:val="0"/>
          <w:bCs/>
          <w:caps w:val="0"/>
          <w:smallCaps w:val="0"/>
          <w:snapToGrid w:val="0"/>
          <w:color w:val="auto"/>
          <w:spacing w:val="0"/>
          <w:kern w:val="0"/>
          <w:highlight w:val="none"/>
          <w:lang w:eastAsia="zh-CN"/>
        </w:rPr>
        <w:t>）《广东省建筑工程绿色施工评价标准》；</w:t>
      </w:r>
    </w:p>
    <w:p w14:paraId="09F49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其他现行国家</w:t>
      </w:r>
      <w:r>
        <w:rPr>
          <w:rFonts w:hint="eastAsia" w:ascii="Times New Roman" w:hAnsi="Times New Roman" w:cs="Times New Roman"/>
          <w:b w:val="0"/>
          <w:bCs/>
          <w:caps w:val="0"/>
          <w:smallCaps w:val="0"/>
          <w:snapToGrid w:val="0"/>
          <w:color w:val="auto"/>
          <w:spacing w:val="0"/>
          <w:kern w:val="0"/>
          <w:highlight w:val="none"/>
          <w:lang w:eastAsia="zh-CN"/>
        </w:rPr>
        <w:t>、广东省关于房建工程的</w:t>
      </w:r>
      <w:r>
        <w:rPr>
          <w:rFonts w:hint="eastAsia" w:ascii="Times New Roman" w:hAnsi="Times New Roman" w:cs="Times New Roman"/>
          <w:b w:val="0"/>
          <w:bCs/>
          <w:caps w:val="0"/>
          <w:smallCaps w:val="0"/>
          <w:snapToGrid w:val="0"/>
          <w:color w:val="auto"/>
          <w:spacing w:val="0"/>
          <w:kern w:val="0"/>
          <w:highlight w:val="none"/>
        </w:rPr>
        <w:t>施工</w:t>
      </w:r>
      <w:r>
        <w:rPr>
          <w:rFonts w:hint="eastAsia" w:ascii="Times New Roman" w:hAnsi="Times New Roman" w:cs="Times New Roman"/>
          <w:b w:val="0"/>
          <w:bCs/>
          <w:caps w:val="0"/>
          <w:smallCaps w:val="0"/>
          <w:snapToGrid w:val="0"/>
          <w:color w:val="auto"/>
          <w:spacing w:val="0"/>
          <w:kern w:val="0"/>
          <w:highlight w:val="none"/>
          <w:lang w:eastAsia="zh-CN"/>
        </w:rPr>
        <w:t>及验收</w:t>
      </w:r>
      <w:r>
        <w:rPr>
          <w:rFonts w:hint="eastAsia" w:ascii="Times New Roman" w:hAnsi="Times New Roman" w:cs="Times New Roman"/>
          <w:b w:val="0"/>
          <w:bCs/>
          <w:caps w:val="0"/>
          <w:smallCaps w:val="0"/>
          <w:snapToGrid w:val="0"/>
          <w:color w:val="auto"/>
          <w:spacing w:val="0"/>
          <w:kern w:val="0"/>
          <w:highlight w:val="none"/>
        </w:rPr>
        <w:t>规范</w:t>
      </w:r>
      <w:r>
        <w:rPr>
          <w:rFonts w:hint="eastAsia" w:ascii="Times New Roman" w:hAnsi="Times New Roman" w:cs="Times New Roman"/>
          <w:b w:val="0"/>
          <w:bCs/>
          <w:caps w:val="0"/>
          <w:smallCaps w:val="0"/>
          <w:snapToGrid w:val="0"/>
          <w:color w:val="auto"/>
          <w:spacing w:val="0"/>
          <w:kern w:val="0"/>
          <w:highlight w:val="none"/>
          <w:lang w:eastAsia="zh-CN"/>
        </w:rPr>
        <w:t>、规程、</w:t>
      </w:r>
      <w:r>
        <w:rPr>
          <w:rFonts w:hint="eastAsia" w:ascii="Times New Roman" w:hAnsi="Times New Roman" w:cs="Times New Roman"/>
          <w:b w:val="0"/>
          <w:bCs/>
          <w:caps w:val="0"/>
          <w:smallCaps w:val="0"/>
          <w:snapToGrid w:val="0"/>
          <w:color w:val="auto"/>
          <w:spacing w:val="0"/>
          <w:kern w:val="0"/>
          <w:highlight w:val="none"/>
        </w:rPr>
        <w:t>标准。</w:t>
      </w:r>
    </w:p>
    <w:p w14:paraId="535E5E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p>
    <w:p w14:paraId="193934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2</w:t>
      </w:r>
      <w:r>
        <w:rPr>
          <w:rFonts w:hint="eastAsia" w:ascii="Times New Roman" w:hAnsi="Times New Roman" w:cs="Times New Roman"/>
          <w:b/>
          <w:bCs w:val="0"/>
          <w:caps w:val="0"/>
          <w:smallCaps w:val="0"/>
          <w:snapToGrid w:val="0"/>
          <w:color w:val="auto"/>
          <w:spacing w:val="0"/>
          <w:kern w:val="0"/>
          <w:highlight w:val="none"/>
          <w:lang w:eastAsia="zh-CN"/>
        </w:rPr>
        <w:t>．市政基础设施工程建设项目</w:t>
      </w:r>
    </w:p>
    <w:p w14:paraId="562E69A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szCs w:val="28"/>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市政基础设施工程建设项目必须执行的现行技术规范，包括且不限于：</w:t>
      </w:r>
    </w:p>
    <w:p w14:paraId="66C6A86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lang w:val="en-US" w:eastAsia="zh-CN"/>
        </w:rPr>
        <w:t>1</w:t>
      </w: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rPr>
        <w:t>《公路路基施工技术规范》</w:t>
      </w:r>
      <w:r>
        <w:rPr>
          <w:rFonts w:hint="eastAsia" w:ascii="Times New Roman" w:hAnsi="Times New Roman" w:cs="Times New Roman"/>
          <w:b w:val="0"/>
          <w:bCs/>
          <w:caps w:val="0"/>
          <w:smallCaps w:val="0"/>
          <w:snapToGrid w:val="0"/>
          <w:color w:val="auto"/>
          <w:spacing w:val="0"/>
          <w:kern w:val="0"/>
          <w:highlight w:val="none"/>
        </w:rPr>
        <w:t>；</w:t>
      </w:r>
    </w:p>
    <w:p w14:paraId="38D3BDCF">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《市政道路工程质量检验评定标准》；</w:t>
      </w:r>
    </w:p>
    <w:p w14:paraId="786DCA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《市政排水管渠工程质量检验评定标准》；</w:t>
      </w:r>
    </w:p>
    <w:p w14:paraId="0F5FC001">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《给水排水管道工程施工及验收规范》；</w:t>
      </w:r>
    </w:p>
    <w:p w14:paraId="78A14B3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《城市道路路基工程施工及验收规范》；</w:t>
      </w:r>
    </w:p>
    <w:p w14:paraId="447D050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《水泥砼路面施工及验收规范》；</w:t>
      </w:r>
    </w:p>
    <w:p w14:paraId="7F5FC4E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《公路水泥砼路面施工技术规范》；</w:t>
      </w:r>
    </w:p>
    <w:p w14:paraId="7446DEF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《埋地硬聚氯乙烯排水管道工程技术规程》；</w:t>
      </w:r>
    </w:p>
    <w:p w14:paraId="0E0D12D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《沥青路面施工及验收规范》；</w:t>
      </w:r>
    </w:p>
    <w:p w14:paraId="7A4C0BA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《广东省</w:t>
      </w:r>
      <w:r>
        <w:rPr>
          <w:rFonts w:hint="eastAsia" w:ascii="Times New Roman" w:hAnsi="Times New Roman" w:cs="Times New Roman"/>
          <w:b w:val="0"/>
          <w:bCs/>
          <w:caps w:val="0"/>
          <w:smallCaps w:val="0"/>
          <w:snapToGrid w:val="0"/>
          <w:color w:val="auto"/>
          <w:spacing w:val="0"/>
          <w:kern w:val="0"/>
          <w:highlight w:val="none"/>
          <w:lang w:eastAsia="zh-CN"/>
        </w:rPr>
        <w:t>市政</w:t>
      </w:r>
      <w:r>
        <w:rPr>
          <w:rFonts w:hint="eastAsia" w:ascii="Times New Roman" w:hAnsi="Times New Roman" w:cs="Times New Roman"/>
          <w:b w:val="0"/>
          <w:bCs/>
          <w:caps w:val="0"/>
          <w:smallCaps w:val="0"/>
          <w:snapToGrid w:val="0"/>
          <w:color w:val="auto"/>
          <w:spacing w:val="0"/>
          <w:kern w:val="0"/>
          <w:highlight w:val="none"/>
        </w:rPr>
        <w:t>工程施工质量技术资料统一用表》。</w:t>
      </w:r>
    </w:p>
    <w:p w14:paraId="4005D75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）其他现行国家、广东省关于市政工程的技术及验收规范、规程、标准。</w:t>
      </w:r>
    </w:p>
    <w:p w14:paraId="5F8FEE3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p>
    <w:p w14:paraId="117A8F5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560"/>
        <w:textAlignment w:val="auto"/>
        <w:rPr>
          <w:rFonts w:hint="eastAsia" w:ascii="Times New Roman" w:hAnsi="Times New Roman" w:cs="Times New Roman"/>
          <w:caps w:val="0"/>
          <w:smallCaps w:val="0"/>
          <w:strike/>
          <w:dstrike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3．备查要求</w:t>
      </w:r>
    </w:p>
    <w:p w14:paraId="2184F0E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Ansi="宋体" w:cs="宋体"/>
          <w:strike/>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hAnsi="Times New Roman" w:cs="Times New Roman"/>
          <w:caps w:val="0"/>
          <w:smallCaps w:val="0"/>
          <w:snapToGrid w:val="0"/>
          <w:color w:val="auto"/>
          <w:spacing w:val="0"/>
          <w:kern w:val="0"/>
          <w:highlight w:val="none"/>
          <w:lang w:eastAsia="zh-CN"/>
        </w:rPr>
        <w:t>监理人</w:t>
      </w:r>
      <w:r>
        <w:rPr>
          <w:rFonts w:hint="eastAsia" w:ascii="Times New Roman" w:hAnsi="Times New Roman" w:cs="Times New Roman"/>
          <w:b w:val="0"/>
          <w:bCs/>
          <w:caps w:val="0"/>
          <w:smallCaps w:val="0"/>
          <w:snapToGrid w:val="0"/>
          <w:color w:val="auto"/>
          <w:spacing w:val="0"/>
          <w:kern w:val="0"/>
          <w:highlight w:val="none"/>
        </w:rPr>
        <w:t>必须在施工现场准备至少一套上述规范，</w:t>
      </w:r>
      <w:r>
        <w:rPr>
          <w:rFonts w:hint="eastAsia" w:ascii="Times New Roman" w:hAnsi="Times New Roman" w:cs="Times New Roman"/>
          <w:b w:val="0"/>
          <w:bCs/>
          <w:caps w:val="0"/>
          <w:smallCaps w:val="0"/>
          <w:snapToGrid w:val="0"/>
          <w:color w:val="auto"/>
          <w:spacing w:val="0"/>
          <w:kern w:val="0"/>
          <w:highlight w:val="none"/>
          <w:lang w:eastAsia="zh-CN"/>
        </w:rPr>
        <w:t>委托</w:t>
      </w:r>
      <w:r>
        <w:rPr>
          <w:rFonts w:hint="eastAsia" w:ascii="Times New Roman" w:hAnsi="Times New Roman" w:cs="Times New Roman"/>
          <w:b w:val="0"/>
          <w:bCs/>
          <w:caps w:val="0"/>
          <w:smallCaps w:val="0"/>
          <w:snapToGrid w:val="0"/>
          <w:color w:val="auto"/>
          <w:spacing w:val="0"/>
          <w:kern w:val="0"/>
          <w:highlight w:val="none"/>
        </w:rPr>
        <w:t>人可随时检查</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人的上述规范，并监督</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人按规范要求执行。</w:t>
      </w:r>
    </w:p>
    <w:p w14:paraId="73C306F0">
      <w:pPr>
        <w:pStyle w:val="2"/>
        <w:wordWrap w:val="0"/>
        <w:autoSpaceDE/>
        <w:autoSpaceDN/>
        <w:snapToGrid w:val="0"/>
        <w:spacing w:line="440" w:lineRule="exact"/>
        <w:jc w:val="center"/>
        <w:rPr>
          <w:rFonts w:ascii="Times New Roman"/>
          <w:b/>
          <w:snapToGrid w:val="0"/>
          <w:color w:val="auto"/>
          <w:sz w:val="32"/>
          <w:szCs w:val="22"/>
          <w:highlight w:val="none"/>
        </w:rPr>
      </w:pPr>
      <w:bookmarkStart w:id="174" w:name="_Hlt69358336"/>
      <w:bookmarkEnd w:id="174"/>
      <w:bookmarkStart w:id="175" w:name="_Hlt66848640"/>
      <w:bookmarkEnd w:id="175"/>
      <w:bookmarkStart w:id="176" w:name="_Hlt69116863"/>
      <w:bookmarkEnd w:id="176"/>
      <w:bookmarkStart w:id="177" w:name="_Hlt69338190"/>
      <w:bookmarkEnd w:id="177"/>
      <w:bookmarkStart w:id="178" w:name="_Hlt69265207"/>
      <w:bookmarkEnd w:id="178"/>
      <w:bookmarkStart w:id="179" w:name="_Hlt69635247"/>
      <w:bookmarkEnd w:id="179"/>
      <w:bookmarkStart w:id="180" w:name="_Toc16011"/>
      <w:bookmarkStart w:id="181" w:name="_Toc28412"/>
      <w:bookmarkStart w:id="182" w:name="_Hlt69698785"/>
      <w:r>
        <w:rPr>
          <w:rFonts w:hint="eastAsia" w:ascii="Times New Roman"/>
          <w:b/>
          <w:snapToGrid w:val="0"/>
          <w:color w:val="auto"/>
          <w:sz w:val="32"/>
          <w:szCs w:val="22"/>
          <w:highlight w:val="none"/>
        </w:rPr>
        <w:t xml:space="preserve">第五章 </w:t>
      </w:r>
      <w:bookmarkStart w:id="183" w:name="_Hlt75747044"/>
      <w:bookmarkEnd w:id="183"/>
      <w:r>
        <w:rPr>
          <w:rFonts w:hint="eastAsia" w:ascii="Times New Roman"/>
          <w:b/>
          <w:snapToGrid w:val="0"/>
          <w:color w:val="auto"/>
          <w:sz w:val="32"/>
          <w:szCs w:val="22"/>
          <w:highlight w:val="none"/>
        </w:rPr>
        <w:t>投标文件格式</w:t>
      </w:r>
      <w:bookmarkEnd w:id="180"/>
      <w:bookmarkEnd w:id="181"/>
    </w:p>
    <w:bookmarkEnd w:id="182"/>
    <w:p w14:paraId="3680C687">
      <w:pPr>
        <w:pStyle w:val="40"/>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auto"/>
          <w:highlight w:val="none"/>
        </w:rPr>
      </w:pPr>
      <w:bookmarkStart w:id="184" w:name="_附件一：对招标文件条款自愿接受承诺书"/>
      <w:bookmarkEnd w:id="184"/>
      <w:bookmarkStart w:id="185" w:name="_附件四：工期承诺书"/>
      <w:bookmarkEnd w:id="185"/>
      <w:bookmarkStart w:id="186" w:name="_附件二：工期承诺书"/>
      <w:bookmarkEnd w:id="186"/>
      <w:bookmarkStart w:id="187" w:name="_附件二：近三年度主要施工项目（竣工及在建）一览表"/>
      <w:bookmarkEnd w:id="187"/>
      <w:bookmarkStart w:id="188" w:name="_附件五：综合评审合理低价法"/>
      <w:bookmarkEnd w:id="188"/>
      <w:bookmarkStart w:id="189" w:name="_附件一：投标函"/>
      <w:bookmarkEnd w:id="189"/>
      <w:bookmarkStart w:id="190" w:name="_Toc66849200"/>
      <w:bookmarkStart w:id="191" w:name="_Hlt66847557"/>
      <w:bookmarkStart w:id="192" w:name="_Toc200338097"/>
      <w:bookmarkStart w:id="193" w:name="_Toc137621693"/>
    </w:p>
    <w:p w14:paraId="7C2C5F4E">
      <w:pPr>
        <w:pStyle w:val="40"/>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auto"/>
          <w:highlight w:val="none"/>
        </w:rPr>
      </w:pPr>
      <w:bookmarkStart w:id="194" w:name="_Toc24031"/>
      <w:bookmarkStart w:id="195" w:name="_Toc63"/>
      <w:r>
        <w:rPr>
          <w:rFonts w:hint="eastAsia" w:ascii="Times New Roman"/>
          <w:b/>
          <w:snapToGrid w:val="0"/>
          <w:color w:val="auto"/>
          <w:highlight w:val="none"/>
        </w:rPr>
        <w:t>格式一 封面</w:t>
      </w:r>
      <w:bookmarkEnd w:id="194"/>
      <w:bookmarkEnd w:id="195"/>
    </w:p>
    <w:p w14:paraId="0F298152">
      <w:pPr>
        <w:pStyle w:val="41"/>
        <w:widowControl w:val="0"/>
        <w:wordWrap w:val="0"/>
        <w:adjustRightInd w:val="0"/>
        <w:snapToGrid w:val="0"/>
        <w:spacing w:line="240" w:lineRule="auto"/>
        <w:rPr>
          <w:rFonts w:ascii="Times New Roman"/>
          <w:b/>
          <w:snapToGrid w:val="0"/>
          <w:color w:val="auto"/>
          <w:sz w:val="24"/>
          <w:highlight w:val="none"/>
        </w:rPr>
      </w:pPr>
    </w:p>
    <w:p w14:paraId="31B9ECBA">
      <w:pPr>
        <w:pStyle w:val="41"/>
        <w:widowControl w:val="0"/>
        <w:wordWrap w:val="0"/>
        <w:adjustRightInd w:val="0"/>
        <w:snapToGrid w:val="0"/>
        <w:spacing w:line="240" w:lineRule="auto"/>
        <w:jc w:val="right"/>
        <w:rPr>
          <w:rFonts w:ascii="Times New Roman"/>
          <w:b/>
          <w:snapToGrid w:val="0"/>
          <w:color w:val="auto"/>
          <w:sz w:val="24"/>
          <w:highlight w:val="none"/>
        </w:rPr>
      </w:pPr>
    </w:p>
    <w:p w14:paraId="06679FF1">
      <w:pPr>
        <w:pStyle w:val="41"/>
        <w:widowControl w:val="0"/>
        <w:wordWrap w:val="0"/>
        <w:adjustRightInd w:val="0"/>
        <w:snapToGrid w:val="0"/>
        <w:spacing w:line="240" w:lineRule="auto"/>
        <w:rPr>
          <w:rFonts w:ascii="Times New Roman"/>
          <w:b/>
          <w:snapToGrid w:val="0"/>
          <w:color w:val="auto"/>
          <w:sz w:val="24"/>
          <w:highlight w:val="none"/>
        </w:rPr>
      </w:pPr>
    </w:p>
    <w:p w14:paraId="12D64DD8">
      <w:pPr>
        <w:pStyle w:val="41"/>
        <w:widowControl w:val="0"/>
        <w:wordWrap w:val="0"/>
        <w:adjustRightInd w:val="0"/>
        <w:snapToGrid w:val="0"/>
        <w:spacing w:line="240" w:lineRule="auto"/>
        <w:rPr>
          <w:rFonts w:ascii="Times New Roman"/>
          <w:b/>
          <w:snapToGrid w:val="0"/>
          <w:color w:val="auto"/>
          <w:sz w:val="24"/>
          <w:highlight w:val="none"/>
        </w:rPr>
      </w:pPr>
    </w:p>
    <w:p w14:paraId="4101E78A">
      <w:pPr>
        <w:pStyle w:val="41"/>
        <w:widowControl w:val="0"/>
        <w:wordWrap w:val="0"/>
        <w:adjustRightInd w:val="0"/>
        <w:snapToGrid w:val="0"/>
        <w:spacing w:line="240" w:lineRule="auto"/>
        <w:rPr>
          <w:rFonts w:ascii="Times New Roman"/>
          <w:b/>
          <w:snapToGrid w:val="0"/>
          <w:color w:val="auto"/>
          <w:sz w:val="24"/>
          <w:highlight w:val="none"/>
        </w:rPr>
      </w:pPr>
    </w:p>
    <w:p w14:paraId="100B84E7">
      <w:pPr>
        <w:pStyle w:val="41"/>
        <w:widowControl w:val="0"/>
        <w:wordWrap w:val="0"/>
        <w:adjustRightInd w:val="0"/>
        <w:snapToGrid w:val="0"/>
        <w:spacing w:line="240" w:lineRule="auto"/>
        <w:rPr>
          <w:rFonts w:ascii="Times New Roman"/>
          <w:b/>
          <w:snapToGrid w:val="0"/>
          <w:color w:val="auto"/>
          <w:sz w:val="24"/>
          <w:highlight w:val="none"/>
        </w:rPr>
      </w:pPr>
    </w:p>
    <w:p w14:paraId="31C931B1">
      <w:pPr>
        <w:pStyle w:val="41"/>
        <w:widowControl w:val="0"/>
        <w:wordWrap w:val="0"/>
        <w:adjustRightInd w:val="0"/>
        <w:snapToGrid w:val="0"/>
        <w:spacing w:line="240" w:lineRule="auto"/>
        <w:rPr>
          <w:rFonts w:ascii="Times New Roman"/>
          <w:b/>
          <w:snapToGrid w:val="0"/>
          <w:color w:val="auto"/>
          <w:sz w:val="24"/>
          <w:highlight w:val="none"/>
        </w:rPr>
      </w:pPr>
    </w:p>
    <w:p w14:paraId="3A59B52F">
      <w:pPr>
        <w:pStyle w:val="41"/>
        <w:widowControl w:val="0"/>
        <w:wordWrap w:val="0"/>
        <w:adjustRightInd w:val="0"/>
        <w:snapToGrid w:val="0"/>
        <w:spacing w:line="240" w:lineRule="auto"/>
        <w:rPr>
          <w:rFonts w:ascii="Times New Roman"/>
          <w:b/>
          <w:snapToGrid w:val="0"/>
          <w:color w:val="auto"/>
          <w:sz w:val="24"/>
          <w:highlight w:val="none"/>
        </w:rPr>
      </w:pPr>
    </w:p>
    <w:p w14:paraId="79846296">
      <w:pPr>
        <w:pStyle w:val="41"/>
        <w:widowControl w:val="0"/>
        <w:wordWrap w:val="0"/>
        <w:adjustRightInd w:val="0"/>
        <w:snapToGrid w:val="0"/>
        <w:spacing w:line="240" w:lineRule="auto"/>
        <w:rPr>
          <w:rFonts w:ascii="Times New Roman"/>
          <w:b/>
          <w:snapToGrid w:val="0"/>
          <w:color w:val="auto"/>
          <w:sz w:val="24"/>
          <w:highlight w:val="none"/>
        </w:rPr>
      </w:pPr>
    </w:p>
    <w:p w14:paraId="1A9B6392">
      <w:pPr>
        <w:pStyle w:val="41"/>
        <w:widowControl w:val="0"/>
        <w:wordWrap w:val="0"/>
        <w:adjustRightInd w:val="0"/>
        <w:snapToGrid w:val="0"/>
        <w:spacing w:line="240" w:lineRule="auto"/>
        <w:rPr>
          <w:rFonts w:ascii="Times New Roman"/>
          <w:b/>
          <w:snapToGrid w:val="0"/>
          <w:color w:val="auto"/>
          <w:sz w:val="24"/>
          <w:highlight w:val="none"/>
        </w:rPr>
      </w:pPr>
    </w:p>
    <w:p w14:paraId="05758AD5">
      <w:pPr>
        <w:pStyle w:val="41"/>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Cs/>
          <w:snapToGrid w:val="0"/>
          <w:color w:val="auto"/>
          <w:sz w:val="48"/>
          <w:szCs w:val="48"/>
          <w:highlight w:val="none"/>
          <w:u w:val="single"/>
        </w:rPr>
        <w:t xml:space="preserve">             </w:t>
      </w:r>
      <w:r>
        <w:rPr>
          <w:rFonts w:hint="eastAsia" w:ascii="Times New Roman"/>
          <w:b/>
          <w:snapToGrid w:val="0"/>
          <w:color w:val="auto"/>
          <w:sz w:val="48"/>
          <w:szCs w:val="48"/>
          <w:highlight w:val="none"/>
        </w:rPr>
        <w:t>（项目名称）招标</w:t>
      </w:r>
    </w:p>
    <w:p w14:paraId="0EF7CCD7">
      <w:pPr>
        <w:pStyle w:val="41"/>
        <w:widowControl w:val="0"/>
        <w:wordWrap w:val="0"/>
        <w:adjustRightInd w:val="0"/>
        <w:snapToGrid w:val="0"/>
        <w:spacing w:line="240" w:lineRule="auto"/>
        <w:ind w:firstLine="0"/>
        <w:jc w:val="center"/>
        <w:rPr>
          <w:rFonts w:ascii="Times New Roman"/>
          <w:b/>
          <w:snapToGrid w:val="0"/>
          <w:color w:val="auto"/>
          <w:sz w:val="32"/>
          <w:highlight w:val="none"/>
        </w:rPr>
      </w:pPr>
    </w:p>
    <w:p w14:paraId="2B99ED15">
      <w:pPr>
        <w:pStyle w:val="41"/>
        <w:widowControl w:val="0"/>
        <w:wordWrap w:val="0"/>
        <w:adjustRightInd w:val="0"/>
        <w:snapToGrid w:val="0"/>
        <w:spacing w:line="240" w:lineRule="auto"/>
        <w:ind w:firstLine="0"/>
        <w:jc w:val="center"/>
        <w:rPr>
          <w:rFonts w:ascii="Times New Roman"/>
          <w:b/>
          <w:snapToGrid w:val="0"/>
          <w:color w:val="auto"/>
          <w:sz w:val="72"/>
          <w:highlight w:val="none"/>
        </w:rPr>
      </w:pPr>
      <w:r>
        <w:rPr>
          <w:rFonts w:hint="eastAsia" w:ascii="Times New Roman"/>
          <w:b/>
          <w:snapToGrid w:val="0"/>
          <w:color w:val="auto"/>
          <w:sz w:val="72"/>
          <w:highlight w:val="none"/>
        </w:rPr>
        <w:t>投  标  文  件</w:t>
      </w:r>
    </w:p>
    <w:p w14:paraId="6A98CB5C">
      <w:pPr>
        <w:pStyle w:val="41"/>
        <w:widowControl w:val="0"/>
        <w:wordWrap w:val="0"/>
        <w:adjustRightInd w:val="0"/>
        <w:snapToGrid w:val="0"/>
        <w:spacing w:line="240" w:lineRule="auto"/>
        <w:ind w:firstLine="0"/>
        <w:jc w:val="center"/>
        <w:rPr>
          <w:rFonts w:ascii="Times New Roman"/>
          <w:b/>
          <w:snapToGrid w:val="0"/>
          <w:color w:val="auto"/>
          <w:sz w:val="32"/>
          <w:highlight w:val="none"/>
        </w:rPr>
      </w:pPr>
    </w:p>
    <w:p w14:paraId="7C4DECDE">
      <w:pPr>
        <w:pStyle w:val="41"/>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
          <w:snapToGrid w:val="0"/>
          <w:color w:val="auto"/>
          <w:sz w:val="48"/>
          <w:szCs w:val="48"/>
          <w:highlight w:val="none"/>
        </w:rPr>
        <w:t>（商务标书／监理大纲）</w:t>
      </w:r>
    </w:p>
    <w:p w14:paraId="67B14DCA">
      <w:pPr>
        <w:pStyle w:val="41"/>
        <w:widowControl w:val="0"/>
        <w:wordWrap w:val="0"/>
        <w:adjustRightInd w:val="0"/>
        <w:snapToGrid w:val="0"/>
        <w:spacing w:line="240" w:lineRule="auto"/>
        <w:rPr>
          <w:rFonts w:ascii="Times New Roman"/>
          <w:b/>
          <w:snapToGrid w:val="0"/>
          <w:color w:val="auto"/>
          <w:highlight w:val="none"/>
        </w:rPr>
      </w:pPr>
    </w:p>
    <w:p w14:paraId="5195C3A0">
      <w:pPr>
        <w:pStyle w:val="41"/>
        <w:widowControl w:val="0"/>
        <w:wordWrap w:val="0"/>
        <w:adjustRightInd w:val="0"/>
        <w:snapToGrid w:val="0"/>
        <w:spacing w:line="240" w:lineRule="auto"/>
        <w:rPr>
          <w:rFonts w:ascii="Times New Roman"/>
          <w:b/>
          <w:snapToGrid w:val="0"/>
          <w:color w:val="auto"/>
          <w:sz w:val="32"/>
          <w:highlight w:val="none"/>
        </w:rPr>
      </w:pPr>
    </w:p>
    <w:p w14:paraId="1CBC8D83">
      <w:pPr>
        <w:pStyle w:val="41"/>
        <w:widowControl w:val="0"/>
        <w:wordWrap w:val="0"/>
        <w:adjustRightInd w:val="0"/>
        <w:snapToGrid w:val="0"/>
        <w:spacing w:line="240" w:lineRule="auto"/>
        <w:rPr>
          <w:rFonts w:ascii="Times New Roman"/>
          <w:b/>
          <w:snapToGrid w:val="0"/>
          <w:color w:val="auto"/>
          <w:sz w:val="32"/>
          <w:highlight w:val="none"/>
        </w:rPr>
      </w:pPr>
    </w:p>
    <w:p w14:paraId="5BFAFACB">
      <w:pPr>
        <w:pStyle w:val="41"/>
        <w:widowControl w:val="0"/>
        <w:wordWrap w:val="0"/>
        <w:adjustRightInd w:val="0"/>
        <w:snapToGrid w:val="0"/>
        <w:spacing w:line="240" w:lineRule="auto"/>
        <w:rPr>
          <w:rFonts w:ascii="Times New Roman"/>
          <w:b/>
          <w:snapToGrid w:val="0"/>
          <w:color w:val="auto"/>
          <w:sz w:val="32"/>
          <w:highlight w:val="none"/>
        </w:rPr>
      </w:pPr>
    </w:p>
    <w:p w14:paraId="1A5C7968">
      <w:pPr>
        <w:pStyle w:val="41"/>
        <w:widowControl w:val="0"/>
        <w:wordWrap w:val="0"/>
        <w:adjustRightInd w:val="0"/>
        <w:snapToGrid w:val="0"/>
        <w:spacing w:line="240" w:lineRule="auto"/>
        <w:rPr>
          <w:rFonts w:ascii="Times New Roman"/>
          <w:b/>
          <w:snapToGrid w:val="0"/>
          <w:color w:val="auto"/>
          <w:sz w:val="32"/>
          <w:highlight w:val="none"/>
        </w:rPr>
      </w:pPr>
    </w:p>
    <w:p w14:paraId="6ABC5DEA">
      <w:pPr>
        <w:pStyle w:val="41"/>
        <w:widowControl w:val="0"/>
        <w:wordWrap w:val="0"/>
        <w:adjustRightInd w:val="0"/>
        <w:snapToGrid w:val="0"/>
        <w:spacing w:line="240" w:lineRule="auto"/>
        <w:rPr>
          <w:rFonts w:ascii="Times New Roman"/>
          <w:b/>
          <w:snapToGrid w:val="0"/>
          <w:color w:val="auto"/>
          <w:sz w:val="32"/>
          <w:highlight w:val="none"/>
        </w:rPr>
      </w:pPr>
    </w:p>
    <w:p w14:paraId="21D461F2">
      <w:pPr>
        <w:pStyle w:val="41"/>
        <w:widowControl w:val="0"/>
        <w:wordWrap w:val="0"/>
        <w:adjustRightInd w:val="0"/>
        <w:snapToGrid w:val="0"/>
        <w:spacing w:line="240" w:lineRule="auto"/>
        <w:rPr>
          <w:rFonts w:ascii="Times New Roman"/>
          <w:b/>
          <w:snapToGrid w:val="0"/>
          <w:color w:val="auto"/>
          <w:sz w:val="32"/>
          <w:highlight w:val="none"/>
        </w:rPr>
      </w:pPr>
    </w:p>
    <w:p w14:paraId="348C7ABE">
      <w:pPr>
        <w:pStyle w:val="41"/>
        <w:widowControl w:val="0"/>
        <w:wordWrap w:val="0"/>
        <w:adjustRightInd w:val="0"/>
        <w:snapToGrid w:val="0"/>
        <w:spacing w:line="240" w:lineRule="auto"/>
        <w:rPr>
          <w:rFonts w:ascii="Times New Roman"/>
          <w:b/>
          <w:snapToGrid w:val="0"/>
          <w:color w:val="auto"/>
          <w:sz w:val="32"/>
          <w:highlight w:val="none"/>
        </w:rPr>
      </w:pPr>
    </w:p>
    <w:p w14:paraId="75B0FF2C">
      <w:pPr>
        <w:pStyle w:val="41"/>
        <w:widowControl w:val="0"/>
        <w:wordWrap w:val="0"/>
        <w:adjustRightInd w:val="0"/>
        <w:snapToGrid w:val="0"/>
        <w:spacing w:line="240" w:lineRule="auto"/>
        <w:rPr>
          <w:rFonts w:ascii="Times New Roman"/>
          <w:b/>
          <w:snapToGrid w:val="0"/>
          <w:color w:val="auto"/>
          <w:sz w:val="32"/>
          <w:highlight w:val="none"/>
        </w:rPr>
      </w:pPr>
    </w:p>
    <w:p w14:paraId="1EAE96EB">
      <w:pPr>
        <w:pStyle w:val="41"/>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投标人：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（盖单位章）</w:t>
      </w:r>
    </w:p>
    <w:p w14:paraId="658E095D">
      <w:pPr>
        <w:pStyle w:val="41"/>
        <w:widowControl w:val="0"/>
        <w:wordWrap w:val="0"/>
        <w:adjustRightInd w:val="0"/>
        <w:snapToGrid w:val="0"/>
        <w:spacing w:line="240" w:lineRule="auto"/>
        <w:ind w:firstLine="0"/>
        <w:jc w:val="center"/>
        <w:rPr>
          <w:rFonts w:ascii="Times New Roman"/>
          <w:bCs/>
          <w:snapToGrid w:val="0"/>
          <w:color w:val="auto"/>
          <w:sz w:val="32"/>
          <w:highlight w:val="none"/>
        </w:rPr>
      </w:pPr>
    </w:p>
    <w:p w14:paraId="6E772B18">
      <w:pPr>
        <w:pStyle w:val="41"/>
        <w:widowControl w:val="0"/>
        <w:wordWrap w:val="0"/>
        <w:adjustRightInd w:val="0"/>
        <w:snapToGrid w:val="0"/>
        <w:spacing w:line="240" w:lineRule="auto"/>
        <w:ind w:firstLine="0"/>
        <w:jc w:val="center"/>
        <w:rPr>
          <w:rFonts w:ascii="Times New Roman"/>
          <w:bCs/>
          <w:snapToGrid w:val="0"/>
          <w:color w:val="auto"/>
          <w:sz w:val="32"/>
          <w:highlight w:val="none"/>
        </w:rPr>
      </w:pPr>
    </w:p>
    <w:p w14:paraId="1003FEB6">
      <w:pPr>
        <w:pStyle w:val="41"/>
        <w:widowControl w:val="0"/>
        <w:wordWrap w:val="0"/>
        <w:adjustRightInd w:val="0"/>
        <w:snapToGrid w:val="0"/>
        <w:spacing w:line="240" w:lineRule="auto"/>
        <w:ind w:firstLine="0"/>
        <w:jc w:val="center"/>
        <w:rPr>
          <w:rFonts w:ascii="Times New Roman"/>
          <w:bCs/>
          <w:snapToGrid w:val="0"/>
          <w:color w:val="auto"/>
          <w:sz w:val="32"/>
          <w:highlight w:val="none"/>
        </w:rPr>
      </w:pPr>
    </w:p>
    <w:p w14:paraId="681BE007">
      <w:pPr>
        <w:pStyle w:val="41"/>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法定代表人或其委托代理人：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（签字或盖章）</w:t>
      </w:r>
    </w:p>
    <w:p w14:paraId="78F9DCCF">
      <w:pPr>
        <w:pStyle w:val="41"/>
        <w:widowControl w:val="0"/>
        <w:wordWrap w:val="0"/>
        <w:adjustRightInd w:val="0"/>
        <w:snapToGrid w:val="0"/>
        <w:spacing w:line="240" w:lineRule="auto"/>
        <w:ind w:firstLine="0"/>
        <w:jc w:val="center"/>
        <w:rPr>
          <w:rFonts w:ascii="Times New Roman"/>
          <w:bCs/>
          <w:snapToGrid w:val="0"/>
          <w:color w:val="auto"/>
          <w:sz w:val="32"/>
          <w:highlight w:val="none"/>
        </w:rPr>
      </w:pPr>
    </w:p>
    <w:p w14:paraId="17A147D1">
      <w:pPr>
        <w:pStyle w:val="41"/>
        <w:widowControl w:val="0"/>
        <w:wordWrap w:val="0"/>
        <w:adjustRightInd w:val="0"/>
        <w:snapToGrid w:val="0"/>
        <w:spacing w:line="240" w:lineRule="auto"/>
        <w:ind w:firstLine="0"/>
        <w:jc w:val="center"/>
        <w:rPr>
          <w:rFonts w:ascii="Times New Roman"/>
          <w:bCs/>
          <w:snapToGrid w:val="0"/>
          <w:color w:val="auto"/>
          <w:sz w:val="32"/>
          <w:highlight w:val="none"/>
          <w:u w:val="single"/>
        </w:rPr>
      </w:pPr>
    </w:p>
    <w:p w14:paraId="7C3B8344">
      <w:pPr>
        <w:pStyle w:val="41"/>
        <w:widowControl w:val="0"/>
        <w:wordWrap w:val="0"/>
        <w:adjustRightInd w:val="0"/>
        <w:snapToGrid w:val="0"/>
        <w:spacing w:line="240" w:lineRule="auto"/>
        <w:ind w:firstLine="0"/>
        <w:jc w:val="center"/>
        <w:rPr>
          <w:rFonts w:ascii="Times New Roman"/>
          <w:b/>
          <w:snapToGrid w:val="0"/>
          <w:color w:val="auto"/>
          <w:highlight w:val="none"/>
        </w:rPr>
      </w:pP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年</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月</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日</w:t>
      </w:r>
    </w:p>
    <w:p w14:paraId="5BE975C4">
      <w:pPr>
        <w:pStyle w:val="41"/>
        <w:widowControl w:val="0"/>
        <w:wordWrap w:val="0"/>
        <w:adjustRightInd w:val="0"/>
        <w:snapToGrid w:val="0"/>
        <w:rPr>
          <w:rFonts w:ascii="Times New Roman"/>
          <w:b/>
          <w:snapToGrid w:val="0"/>
          <w:color w:val="auto"/>
          <w:highlight w:val="none"/>
        </w:rPr>
      </w:pPr>
    </w:p>
    <w:p w14:paraId="18A47DB9">
      <w:pPr>
        <w:pStyle w:val="41"/>
        <w:widowControl w:val="0"/>
        <w:wordWrap w:val="0"/>
        <w:adjustRightInd w:val="0"/>
        <w:snapToGrid w:val="0"/>
        <w:rPr>
          <w:rFonts w:ascii="Times New Roman"/>
          <w:b/>
          <w:snapToGrid w:val="0"/>
          <w:color w:val="auto"/>
          <w:highlight w:val="none"/>
        </w:rPr>
      </w:pPr>
    </w:p>
    <w:p w14:paraId="2D0E69DA">
      <w:pPr>
        <w:pStyle w:val="41"/>
        <w:widowControl w:val="0"/>
        <w:wordWrap w:val="0"/>
        <w:adjustRightInd w:val="0"/>
        <w:snapToGrid w:val="0"/>
        <w:rPr>
          <w:rFonts w:ascii="Times New Roman"/>
          <w:b/>
          <w:snapToGrid w:val="0"/>
          <w:color w:val="auto"/>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6B051959">
      <w:pPr>
        <w:pStyle w:val="3"/>
        <w:wordWrap w:val="0"/>
        <w:autoSpaceDE/>
        <w:autoSpaceDN/>
        <w:snapToGrid w:val="0"/>
        <w:spacing w:line="440" w:lineRule="exact"/>
        <w:rPr>
          <w:rFonts w:ascii="Times New Roman"/>
          <w:b/>
          <w:snapToGrid w:val="0"/>
          <w:color w:val="auto"/>
          <w:highlight w:val="none"/>
        </w:rPr>
      </w:pPr>
      <w:bookmarkStart w:id="196" w:name="_Toc21838"/>
      <w:bookmarkStart w:id="197" w:name="_Toc31638"/>
      <w:bookmarkStart w:id="198" w:name="_Toc106418843"/>
      <w:bookmarkStart w:id="199" w:name="_Toc104711098"/>
      <w:r>
        <w:rPr>
          <w:rFonts w:hint="eastAsia" w:ascii="Times New Roman"/>
          <w:b/>
          <w:snapToGrid w:val="0"/>
          <w:color w:val="auto"/>
          <w:highlight w:val="none"/>
        </w:rPr>
        <w:t>格式</w:t>
      </w:r>
      <w:bookmarkStart w:id="200" w:name="_Hlt97526007"/>
      <w:bookmarkEnd w:id="200"/>
      <w:r>
        <w:rPr>
          <w:rFonts w:hint="eastAsia" w:ascii="Times New Roman"/>
          <w:b/>
          <w:snapToGrid w:val="0"/>
          <w:color w:val="auto"/>
          <w:highlight w:val="none"/>
        </w:rPr>
        <w:t>二 投标函</w:t>
      </w:r>
      <w:bookmarkEnd w:id="196"/>
      <w:bookmarkEnd w:id="197"/>
    </w:p>
    <w:p w14:paraId="095EE186">
      <w:pPr>
        <w:wordWrap w:val="0"/>
        <w:adjustRightInd w:val="0"/>
        <w:snapToGrid w:val="0"/>
        <w:spacing w:before="260" w:after="260" w:line="440" w:lineRule="exact"/>
        <w:jc w:val="center"/>
        <w:rPr>
          <w:rFonts w:ascii="Times New Roman"/>
          <w:b/>
          <w:snapToGrid w:val="0"/>
          <w:color w:val="auto"/>
          <w:kern w:val="0"/>
          <w:highlight w:val="none"/>
        </w:rPr>
      </w:pPr>
      <w:r>
        <w:rPr>
          <w:rFonts w:hint="eastAsia" w:ascii="Times New Roman"/>
          <w:b/>
          <w:snapToGrid w:val="0"/>
          <w:color w:val="auto"/>
          <w:kern w:val="0"/>
          <w:sz w:val="30"/>
          <w:highlight w:val="none"/>
        </w:rPr>
        <w:t>投</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标</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函</w:t>
      </w:r>
      <w:bookmarkEnd w:id="198"/>
      <w:bookmarkEnd w:id="199"/>
    </w:p>
    <w:p w14:paraId="2501E74E">
      <w:pPr>
        <w:wordWrap w:val="0"/>
        <w:adjustRightInd w:val="0"/>
        <w:snapToGrid w:val="0"/>
        <w:spacing w:line="440" w:lineRule="exact"/>
        <w:jc w:val="center"/>
        <w:rPr>
          <w:rFonts w:ascii="Times New Roman"/>
          <w:b/>
          <w:snapToGrid w:val="0"/>
          <w:color w:val="auto"/>
          <w:kern w:val="0"/>
          <w:highlight w:val="none"/>
        </w:rPr>
      </w:pPr>
    </w:p>
    <w:p w14:paraId="3990A923">
      <w:pPr>
        <w:wordWrap w:val="0"/>
        <w:adjustRightInd w:val="0"/>
        <w:snapToGrid w:val="0"/>
        <w:spacing w:line="440" w:lineRule="exact"/>
        <w:rPr>
          <w:rFonts w:ascii="Times New Roman"/>
          <w:snapToGrid w:val="0"/>
          <w:color w:val="auto"/>
          <w:kern w:val="0"/>
          <w:highlight w:val="none"/>
        </w:rPr>
      </w:pPr>
      <w:r>
        <w:rPr>
          <w:rFonts w:hint="eastAsia" w:ascii="Times New Roman"/>
          <w:snapToGrid w:val="0"/>
          <w:color w:val="auto"/>
          <w:kern w:val="0"/>
          <w:highlight w:val="none"/>
        </w:rPr>
        <w:t>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（招标人名称）</w:t>
      </w:r>
    </w:p>
    <w:p w14:paraId="6A613DE5">
      <w:pPr>
        <w:wordWrap w:val="0"/>
        <w:adjustRightInd w:val="0"/>
        <w:snapToGrid w:val="0"/>
        <w:spacing w:line="500" w:lineRule="exact"/>
        <w:ind w:firstLine="570"/>
        <w:rPr>
          <w:rFonts w:hAnsi="宋体" w:cs="宋体"/>
          <w:snapToGrid w:val="0"/>
          <w:color w:val="auto"/>
          <w:kern w:val="0"/>
          <w:highlight w:val="none"/>
          <w:u w:val="single"/>
        </w:rPr>
      </w:pPr>
      <w:r>
        <w:rPr>
          <w:rFonts w:hint="eastAsia" w:hAnsi="宋体" w:cs="宋体"/>
          <w:snapToGrid w:val="0"/>
          <w:color w:val="auto"/>
          <w:kern w:val="0"/>
          <w:highlight w:val="none"/>
        </w:rPr>
        <w:t xml:space="preserve">1. </w:t>
      </w:r>
      <w:r>
        <w:rPr>
          <w:rFonts w:hint="eastAsia" w:hAnsi="宋体" w:cs="宋体"/>
          <w:snapToGrid w:val="0"/>
          <w:color w:val="auto"/>
          <w:kern w:val="0"/>
          <w:szCs w:val="22"/>
          <w:highlight w:val="none"/>
        </w:rPr>
        <w:t>我方在仔细研究</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（项目名称）（以下简称“本项目”）监理招标文件的全部内容后，结合自身资质、能力和特点，愿意接受招标文件的全部内容和条件。兹以人民币（大写）：</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 xml:space="preserve">（小写）：（¥ </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）的投标总价（其中，增值税税率为</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）竞投本项目监理及相关服务，投标取费费率为</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w:t>
      </w:r>
    </w:p>
    <w:p w14:paraId="275FB275">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2. 如果我方中标，我方保证按照委托人发出的开始监理通知中写明的日期开始本项目的</w:t>
      </w:r>
      <w:r>
        <w:rPr>
          <w:rFonts w:hint="eastAsia" w:hAnsi="宋体" w:cs="宋体"/>
          <w:snapToGrid w:val="0"/>
          <w:color w:val="auto"/>
          <w:kern w:val="0"/>
          <w:highlight w:val="none"/>
          <w:u w:val="single"/>
        </w:rPr>
        <w:t xml:space="preserve"> 监理及相关服务 </w:t>
      </w:r>
      <w:r>
        <w:rPr>
          <w:rFonts w:hint="eastAsia" w:hAnsi="宋体" w:cs="宋体"/>
          <w:snapToGrid w:val="0"/>
          <w:color w:val="auto"/>
          <w:kern w:val="0"/>
          <w:highlight w:val="none"/>
        </w:rPr>
        <w:t>，并在合同约定的服务期限内完成合同规定的全部义务。</w:t>
      </w:r>
    </w:p>
    <w:p w14:paraId="6DCAE66A">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4714EE21">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4．我方在此声明，我方不存在本项目招标文件第一章第三节第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条“禁止投标条款”所列出的任何一种情形，并愿意承担因我方就此弄虚作假所引起的一切法律后果。</w:t>
      </w:r>
    </w:p>
    <w:p w14:paraId="4901EC8D">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6DC233F5">
      <w:pPr>
        <w:wordWrap w:val="0"/>
        <w:adjustRightInd w:val="0"/>
        <w:snapToGrid w:val="0"/>
        <w:spacing w:line="440" w:lineRule="exact"/>
        <w:ind w:firstLine="570"/>
        <w:rPr>
          <w:rFonts w:hAnsi="宋体" w:cs="宋体"/>
          <w:snapToGrid w:val="0"/>
          <w:color w:val="auto"/>
          <w:kern w:val="0"/>
          <w:highlight w:val="none"/>
        </w:rPr>
      </w:pPr>
      <w:bookmarkStart w:id="201" w:name="_Hlt68771070"/>
      <w:bookmarkEnd w:id="201"/>
      <w:r>
        <w:rPr>
          <w:rFonts w:hint="eastAsia" w:hAnsi="宋体" w:cs="宋体"/>
          <w:snapToGrid w:val="0"/>
          <w:color w:val="auto"/>
          <w:kern w:val="0"/>
          <w:highlight w:val="none"/>
        </w:rPr>
        <w:t>6. 我方理解你方不一定要接纳收到的最低投标总价或任何投标总价的投标人中标，也不要求你方解释我方是否中标的原因。</w:t>
      </w:r>
    </w:p>
    <w:p w14:paraId="5459E001">
      <w:pPr>
        <w:wordWrap w:val="0"/>
        <w:adjustRightInd w:val="0"/>
        <w:snapToGrid w:val="0"/>
        <w:spacing w:line="440" w:lineRule="exact"/>
        <w:ind w:firstLine="570"/>
        <w:rPr>
          <w:rFonts w:ascii="Times New Roman"/>
          <w:snapToGrid w:val="0"/>
          <w:color w:val="auto"/>
          <w:kern w:val="0"/>
          <w:highlight w:val="none"/>
        </w:rPr>
      </w:pPr>
      <w:r>
        <w:rPr>
          <w:rFonts w:hint="eastAsia" w:ascii="Times New Roman"/>
          <w:snapToGrid w:val="0"/>
          <w:color w:val="auto"/>
          <w:kern w:val="0"/>
          <w:highlight w:val="none"/>
        </w:rPr>
        <w:t xml:space="preserve">  </w:t>
      </w:r>
    </w:p>
    <w:p w14:paraId="1E6878B7">
      <w:pPr>
        <w:wordWrap w:val="0"/>
        <w:adjustRightInd w:val="0"/>
        <w:snapToGrid w:val="0"/>
        <w:spacing w:line="440" w:lineRule="exact"/>
        <w:rPr>
          <w:rFonts w:ascii="Times New Roman"/>
          <w:snapToGrid w:val="0"/>
          <w:color w:val="auto"/>
          <w:kern w:val="0"/>
          <w:highlight w:val="none"/>
        </w:rPr>
      </w:pPr>
    </w:p>
    <w:p w14:paraId="53D01A7D">
      <w:pPr>
        <w:wordWrap w:val="0"/>
        <w:adjustRightInd w:val="0"/>
        <w:snapToGrid w:val="0"/>
        <w:spacing w:line="440" w:lineRule="exact"/>
        <w:jc w:val="right"/>
        <w:rPr>
          <w:rFonts w:ascii="Times New Roman"/>
          <w:snapToGrid w:val="0"/>
          <w:color w:val="auto"/>
          <w:kern w:val="0"/>
          <w:highlight w:val="none"/>
        </w:rPr>
      </w:pPr>
      <w:r>
        <w:rPr>
          <w:rFonts w:hint="eastAsia" w:ascii="Times New Roman"/>
          <w:snapToGrid w:val="0"/>
          <w:color w:val="auto"/>
          <w:kern w:val="0"/>
          <w:highlight w:val="none"/>
        </w:rPr>
        <w:t xml:space="preserve">    投标人：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（盖单位章）</w:t>
      </w:r>
    </w:p>
    <w:p w14:paraId="15913B40">
      <w:pPr>
        <w:wordWrap w:val="0"/>
        <w:adjustRightInd w:val="0"/>
        <w:snapToGrid w:val="0"/>
        <w:spacing w:line="440" w:lineRule="exact"/>
        <w:jc w:val="right"/>
        <w:rPr>
          <w:rFonts w:ascii="Times New Roman"/>
          <w:snapToGrid w:val="0"/>
          <w:color w:val="auto"/>
          <w:kern w:val="0"/>
          <w:highlight w:val="none"/>
        </w:rPr>
      </w:pPr>
    </w:p>
    <w:p w14:paraId="09B0D1EA">
      <w:pPr>
        <w:wordWrap w:val="0"/>
        <w:adjustRightInd w:val="0"/>
        <w:snapToGrid w:val="0"/>
        <w:spacing w:line="440" w:lineRule="exact"/>
        <w:ind w:firstLine="480" w:firstLineChars="200"/>
        <w:jc w:val="right"/>
        <w:rPr>
          <w:rFonts w:ascii="Times New Roman"/>
          <w:snapToGrid w:val="0"/>
          <w:color w:val="auto"/>
          <w:kern w:val="0"/>
          <w:highlight w:val="none"/>
        </w:rPr>
      </w:pPr>
      <w:r>
        <w:rPr>
          <w:rFonts w:hint="eastAsia" w:ascii="Times New Roman"/>
          <w:snapToGrid w:val="0"/>
          <w:color w:val="auto"/>
          <w:kern w:val="0"/>
          <w:highlight w:val="none"/>
        </w:rPr>
        <w:t>法定代表人或其委托代理人：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（签字或盖章）</w:t>
      </w:r>
    </w:p>
    <w:p w14:paraId="6883A031">
      <w:pPr>
        <w:wordWrap w:val="0"/>
        <w:adjustRightInd w:val="0"/>
        <w:snapToGrid w:val="0"/>
        <w:spacing w:line="440" w:lineRule="exact"/>
        <w:ind w:firstLine="480" w:firstLineChars="200"/>
        <w:jc w:val="right"/>
        <w:rPr>
          <w:rFonts w:ascii="Times New Roman"/>
          <w:snapToGrid w:val="0"/>
          <w:color w:val="auto"/>
          <w:kern w:val="0"/>
          <w:highlight w:val="none"/>
        </w:rPr>
      </w:pPr>
    </w:p>
    <w:p w14:paraId="359DC576">
      <w:pPr>
        <w:wordWrap w:val="0"/>
        <w:adjustRightInd w:val="0"/>
        <w:snapToGrid w:val="0"/>
        <w:spacing w:line="440" w:lineRule="exact"/>
        <w:jc w:val="left"/>
        <w:rPr>
          <w:rFonts w:ascii="Times New Roman"/>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snapToGrid w:val="0"/>
          <w:color w:val="auto"/>
          <w:kern w:val="0"/>
          <w:highlight w:val="none"/>
        </w:rPr>
        <w:t xml:space="preserve">                                       </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月</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日</w:t>
      </w:r>
    </w:p>
    <w:p w14:paraId="2A8BAF35">
      <w:pPr>
        <w:pStyle w:val="41"/>
        <w:widowControl w:val="0"/>
        <w:wordWrap w:val="0"/>
        <w:adjustRightInd w:val="0"/>
        <w:snapToGrid w:val="0"/>
        <w:spacing w:line="400" w:lineRule="exact"/>
        <w:ind w:firstLine="0"/>
        <w:outlineLvl w:val="1"/>
        <w:rPr>
          <w:rFonts w:hAnsi="宋体" w:cs="宋体"/>
          <w:b/>
          <w:snapToGrid w:val="0"/>
          <w:color w:val="auto"/>
          <w:sz w:val="24"/>
          <w:highlight w:val="none"/>
        </w:rPr>
      </w:pPr>
      <w:bookmarkStart w:id="202" w:name="_Toc29439"/>
      <w:r>
        <w:rPr>
          <w:rFonts w:hint="eastAsia" w:hAnsi="宋体" w:cs="宋体"/>
          <w:b/>
          <w:snapToGrid w:val="0"/>
          <w:color w:val="auto"/>
          <w:sz w:val="24"/>
          <w:highlight w:val="none"/>
        </w:rPr>
        <w:t>格式三 各项承诺一览表</w:t>
      </w:r>
      <w:bookmarkEnd w:id="202"/>
    </w:p>
    <w:p w14:paraId="5FAD32A3">
      <w:pPr>
        <w:pStyle w:val="40"/>
        <w:keepNext w:val="0"/>
        <w:keepLines w:val="0"/>
        <w:widowControl w:val="0"/>
        <w:wordWrap w:val="0"/>
        <w:adjustRightInd w:val="0"/>
        <w:snapToGrid w:val="0"/>
        <w:spacing w:before="260" w:after="260" w:line="440" w:lineRule="exact"/>
        <w:ind w:firstLine="0"/>
        <w:outlineLvl w:val="9"/>
        <w:rPr>
          <w:rFonts w:hAnsi="宋体" w:cs="宋体"/>
          <w:b/>
          <w:snapToGrid w:val="0"/>
          <w:color w:val="auto"/>
          <w:highlight w:val="none"/>
        </w:rPr>
      </w:pPr>
      <w:bookmarkStart w:id="203" w:name="_Toc18253"/>
      <w:bookmarkStart w:id="204" w:name="_Toc27092"/>
      <w:bookmarkStart w:id="205" w:name="_Toc7685"/>
      <w:bookmarkStart w:id="206" w:name="_Toc11270"/>
      <w:bookmarkStart w:id="207" w:name="_Toc24548"/>
      <w:r>
        <w:rPr>
          <w:rFonts w:hint="eastAsia" w:hAnsi="宋体" w:cs="宋体"/>
          <w:b/>
          <w:snapToGrid w:val="0"/>
          <w:color w:val="auto"/>
          <w:sz w:val="30"/>
          <w:highlight w:val="none"/>
        </w:rPr>
        <w:t>各项承诺一览表</w:t>
      </w:r>
      <w:bookmarkEnd w:id="203"/>
      <w:bookmarkEnd w:id="204"/>
      <w:bookmarkEnd w:id="205"/>
      <w:bookmarkEnd w:id="206"/>
      <w:bookmarkEnd w:id="207"/>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0903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tcBorders>
              <w:tl2br w:val="nil"/>
              <w:tr2bl w:val="nil"/>
            </w:tcBorders>
            <w:vAlign w:val="center"/>
          </w:tcPr>
          <w:p w14:paraId="21F10425">
            <w:pPr>
              <w:pStyle w:val="42"/>
              <w:wordWrap w:val="0"/>
              <w:adjustRightInd w:val="0"/>
              <w:snapToGrid w:val="0"/>
              <w:spacing w:line="380" w:lineRule="exact"/>
              <w:jc w:val="center"/>
              <w:rPr>
                <w:rFonts w:hAnsi="宋体" w:cs="宋体"/>
                <w:bCs/>
                <w:snapToGrid w:val="0"/>
                <w:color w:val="auto"/>
                <w:kern w:val="0"/>
                <w:szCs w:val="21"/>
                <w:highlight w:val="none"/>
              </w:rPr>
            </w:pPr>
            <w:r>
              <w:rPr>
                <w:rFonts w:hint="eastAsia" w:hAnsi="宋体" w:cs="宋体"/>
                <w:bCs/>
                <w:snapToGrid w:val="0"/>
                <w:color w:val="auto"/>
                <w:kern w:val="0"/>
                <w:szCs w:val="21"/>
                <w:highlight w:val="none"/>
              </w:rPr>
              <w:t>序号</w:t>
            </w:r>
          </w:p>
        </w:tc>
        <w:tc>
          <w:tcPr>
            <w:tcW w:w="1573" w:type="dxa"/>
            <w:tcBorders>
              <w:tl2br w:val="nil"/>
              <w:tr2bl w:val="nil"/>
            </w:tcBorders>
            <w:vAlign w:val="center"/>
          </w:tcPr>
          <w:p w14:paraId="19D479EC">
            <w:pPr>
              <w:pStyle w:val="42"/>
              <w:wordWrap w:val="0"/>
              <w:adjustRightInd w:val="0"/>
              <w:snapToGrid w:val="0"/>
              <w:spacing w:line="380" w:lineRule="exact"/>
              <w:jc w:val="center"/>
              <w:rPr>
                <w:rFonts w:hAnsi="宋体" w:cs="宋体"/>
                <w:bCs/>
                <w:snapToGrid w:val="0"/>
                <w:color w:val="auto"/>
                <w:kern w:val="0"/>
                <w:szCs w:val="21"/>
                <w:highlight w:val="none"/>
              </w:rPr>
            </w:pPr>
            <w:r>
              <w:rPr>
                <w:rFonts w:hint="eastAsia" w:hAnsi="宋体" w:cs="宋体"/>
                <w:bCs/>
                <w:snapToGrid w:val="0"/>
                <w:color w:val="auto"/>
                <w:kern w:val="0"/>
                <w:szCs w:val="21"/>
                <w:highlight w:val="none"/>
              </w:rPr>
              <w:t>承诺事项</w:t>
            </w:r>
          </w:p>
        </w:tc>
        <w:tc>
          <w:tcPr>
            <w:tcW w:w="2923" w:type="dxa"/>
            <w:tcBorders>
              <w:tl2br w:val="nil"/>
              <w:tr2bl w:val="nil"/>
            </w:tcBorders>
            <w:vAlign w:val="center"/>
          </w:tcPr>
          <w:p w14:paraId="75EA954C">
            <w:pPr>
              <w:pStyle w:val="42"/>
              <w:wordWrap w:val="0"/>
              <w:adjustRightInd w:val="0"/>
              <w:snapToGrid w:val="0"/>
              <w:spacing w:line="380" w:lineRule="exact"/>
              <w:jc w:val="center"/>
              <w:rPr>
                <w:rFonts w:hAnsi="宋体" w:cs="宋体"/>
                <w:bCs/>
                <w:snapToGrid w:val="0"/>
                <w:color w:val="auto"/>
                <w:kern w:val="0"/>
                <w:szCs w:val="21"/>
                <w:highlight w:val="none"/>
              </w:rPr>
            </w:pPr>
            <w:r>
              <w:rPr>
                <w:rFonts w:hint="eastAsia" w:hAnsi="宋体" w:cs="宋体"/>
                <w:bCs/>
                <w:snapToGrid w:val="0"/>
                <w:color w:val="auto"/>
                <w:kern w:val="0"/>
                <w:szCs w:val="21"/>
                <w:highlight w:val="none"/>
              </w:rPr>
              <w:t>承诺内容</w:t>
            </w:r>
          </w:p>
        </w:tc>
        <w:tc>
          <w:tcPr>
            <w:tcW w:w="4019" w:type="dxa"/>
            <w:tcBorders>
              <w:tl2br w:val="nil"/>
              <w:tr2bl w:val="nil"/>
            </w:tcBorders>
            <w:vAlign w:val="center"/>
          </w:tcPr>
          <w:p w14:paraId="6486B2A9">
            <w:pPr>
              <w:pStyle w:val="42"/>
              <w:wordWrap w:val="0"/>
              <w:adjustRightInd w:val="0"/>
              <w:snapToGrid w:val="0"/>
              <w:spacing w:line="380" w:lineRule="exact"/>
              <w:jc w:val="center"/>
              <w:rPr>
                <w:rFonts w:hAnsi="宋体" w:cs="宋体"/>
                <w:bCs/>
                <w:snapToGrid w:val="0"/>
                <w:color w:val="auto"/>
                <w:kern w:val="0"/>
                <w:szCs w:val="21"/>
                <w:highlight w:val="none"/>
              </w:rPr>
            </w:pPr>
            <w:r>
              <w:rPr>
                <w:rFonts w:hint="eastAsia" w:hAnsi="宋体" w:cs="宋体"/>
                <w:bCs/>
                <w:snapToGrid w:val="0"/>
                <w:color w:val="auto"/>
                <w:kern w:val="0"/>
                <w:szCs w:val="21"/>
                <w:highlight w:val="none"/>
              </w:rPr>
              <w:t>违约承诺</w:t>
            </w:r>
          </w:p>
        </w:tc>
      </w:tr>
      <w:tr w14:paraId="1AF0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65C57B77">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573" w:type="dxa"/>
            <w:tcBorders>
              <w:tl2br w:val="nil"/>
              <w:tr2bl w:val="nil"/>
            </w:tcBorders>
            <w:vAlign w:val="center"/>
          </w:tcPr>
          <w:p w14:paraId="65A12B7E">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自愿接受招标</w:t>
            </w:r>
          </w:p>
          <w:p w14:paraId="4DE84090">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文件条款的承诺</w:t>
            </w:r>
          </w:p>
        </w:tc>
        <w:tc>
          <w:tcPr>
            <w:tcW w:w="2923" w:type="dxa"/>
            <w:tcBorders>
              <w:tl2br w:val="nil"/>
              <w:tr2bl w:val="nil"/>
            </w:tcBorders>
            <w:vAlign w:val="center"/>
          </w:tcPr>
          <w:p w14:paraId="444F5474">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我方自愿接受招标文件的所有条款，所递交的投标文件已经充分响应招标文件的实质性要求。</w:t>
            </w:r>
          </w:p>
        </w:tc>
        <w:tc>
          <w:tcPr>
            <w:tcW w:w="4019" w:type="dxa"/>
            <w:tcBorders>
              <w:tl2br w:val="nil"/>
              <w:tr2bl w:val="nil"/>
            </w:tcBorders>
            <w:vAlign w:val="center"/>
          </w:tcPr>
          <w:p w14:paraId="5A398911">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59B1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6181CDA1">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573" w:type="dxa"/>
            <w:tcBorders>
              <w:tl2br w:val="nil"/>
              <w:tr2bl w:val="nil"/>
            </w:tcBorders>
            <w:vAlign w:val="center"/>
          </w:tcPr>
          <w:p w14:paraId="4EF9AC1E">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47E6477D">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2923" w:type="dxa"/>
            <w:tcBorders>
              <w:tl2br w:val="nil"/>
              <w:tr2bl w:val="nil"/>
            </w:tcBorders>
            <w:vAlign w:val="center"/>
          </w:tcPr>
          <w:p w14:paraId="0E80DEB8">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019" w:type="dxa"/>
            <w:tcBorders>
              <w:tl2br w:val="nil"/>
              <w:tr2bl w:val="nil"/>
            </w:tcBorders>
            <w:vAlign w:val="center"/>
          </w:tcPr>
          <w:p w14:paraId="6B4F7649">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F1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5F398BD0">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573" w:type="dxa"/>
            <w:tcBorders>
              <w:tl2br w:val="nil"/>
              <w:tr2bl w:val="nil"/>
            </w:tcBorders>
            <w:vAlign w:val="center"/>
          </w:tcPr>
          <w:p w14:paraId="780CE5DC">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w:t>
            </w:r>
          </w:p>
          <w:p w14:paraId="70084B35">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串标和弄虚</w:t>
            </w:r>
          </w:p>
          <w:p w14:paraId="2C91696C">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作假行为的承诺</w:t>
            </w:r>
          </w:p>
        </w:tc>
        <w:tc>
          <w:tcPr>
            <w:tcW w:w="2923" w:type="dxa"/>
            <w:tcBorders>
              <w:tl2br w:val="nil"/>
              <w:tr2bl w:val="nil"/>
            </w:tcBorders>
            <w:vAlign w:val="center"/>
          </w:tcPr>
          <w:p w14:paraId="73DEB3DD">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019" w:type="dxa"/>
            <w:tcBorders>
              <w:tl2br w:val="nil"/>
              <w:tr2bl w:val="nil"/>
            </w:tcBorders>
            <w:vAlign w:val="center"/>
          </w:tcPr>
          <w:p w14:paraId="15F2F693">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0F03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19045DB4">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4</w:t>
            </w:r>
          </w:p>
        </w:tc>
        <w:tc>
          <w:tcPr>
            <w:tcW w:w="1573" w:type="dxa"/>
            <w:tcBorders>
              <w:tl2br w:val="nil"/>
              <w:tr2bl w:val="nil"/>
            </w:tcBorders>
            <w:vAlign w:val="center"/>
          </w:tcPr>
          <w:p w14:paraId="2E1DBAF6">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总监理工程师</w:t>
            </w:r>
          </w:p>
          <w:p w14:paraId="6AFD72C4">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任职承诺</w:t>
            </w:r>
          </w:p>
        </w:tc>
        <w:tc>
          <w:tcPr>
            <w:tcW w:w="2923" w:type="dxa"/>
            <w:tcBorders>
              <w:tl2br w:val="nil"/>
              <w:tr2bl w:val="nil"/>
            </w:tcBorders>
            <w:vAlign w:val="center"/>
          </w:tcPr>
          <w:p w14:paraId="43C55129">
            <w:pPr>
              <w:pStyle w:val="43"/>
              <w:wordWrap w:val="0"/>
              <w:adjustRightInd w:val="0"/>
              <w:snapToGrid w:val="0"/>
              <w:spacing w:line="380" w:lineRule="exact"/>
              <w:ind w:firstLine="0" w:firstLineChars="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019" w:type="dxa"/>
            <w:tcBorders>
              <w:tl2br w:val="nil"/>
              <w:tr2bl w:val="nil"/>
            </w:tcBorders>
            <w:vAlign w:val="center"/>
          </w:tcPr>
          <w:p w14:paraId="3E62F88B">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79F3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74C1CA78">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5</w:t>
            </w:r>
          </w:p>
        </w:tc>
        <w:tc>
          <w:tcPr>
            <w:tcW w:w="1573" w:type="dxa"/>
            <w:tcBorders>
              <w:tl2br w:val="nil"/>
              <w:tr2bl w:val="nil"/>
            </w:tcBorders>
            <w:vAlign w:val="center"/>
          </w:tcPr>
          <w:p w14:paraId="61AF3673">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3D8BCD10">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真实性承诺</w:t>
            </w:r>
          </w:p>
        </w:tc>
        <w:tc>
          <w:tcPr>
            <w:tcW w:w="2923" w:type="dxa"/>
            <w:tcBorders>
              <w:tl2br w:val="nil"/>
              <w:tr2bl w:val="nil"/>
            </w:tcBorders>
            <w:vAlign w:val="center"/>
          </w:tcPr>
          <w:p w14:paraId="07764B1A">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我方所递交投标文件的全部内容均为真实、有效、准确的。</w:t>
            </w:r>
          </w:p>
        </w:tc>
        <w:tc>
          <w:tcPr>
            <w:tcW w:w="4019" w:type="dxa"/>
            <w:tcBorders>
              <w:tl2br w:val="nil"/>
              <w:tr2bl w:val="nil"/>
            </w:tcBorders>
            <w:vAlign w:val="center"/>
          </w:tcPr>
          <w:p w14:paraId="506D22E9">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09B2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38D2ED22">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6</w:t>
            </w:r>
          </w:p>
        </w:tc>
        <w:tc>
          <w:tcPr>
            <w:tcW w:w="1573" w:type="dxa"/>
            <w:tcBorders>
              <w:tl2br w:val="nil"/>
              <w:tr2bl w:val="nil"/>
            </w:tcBorders>
            <w:vAlign w:val="center"/>
          </w:tcPr>
          <w:p w14:paraId="3B5F0C7D">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1DFAEA13">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信息公开承诺</w:t>
            </w:r>
          </w:p>
        </w:tc>
        <w:tc>
          <w:tcPr>
            <w:tcW w:w="2923" w:type="dxa"/>
            <w:tcBorders>
              <w:tl2br w:val="nil"/>
              <w:tr2bl w:val="nil"/>
            </w:tcBorders>
            <w:vAlign w:val="center"/>
          </w:tcPr>
          <w:p w14:paraId="78E16264">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6E1B4D98">
            <w:pPr>
              <w:pStyle w:val="43"/>
              <w:wordWrap w:val="0"/>
              <w:adjustRightInd w:val="0"/>
              <w:snapToGrid w:val="0"/>
              <w:spacing w:line="380" w:lineRule="exact"/>
              <w:ind w:firstLine="0" w:firstLineChars="0"/>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w:t>
            </w:r>
          </w:p>
        </w:tc>
      </w:tr>
      <w:tr w14:paraId="54D3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0C4CAD34">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7</w:t>
            </w:r>
          </w:p>
        </w:tc>
        <w:tc>
          <w:tcPr>
            <w:tcW w:w="1573" w:type="dxa"/>
            <w:tcBorders>
              <w:tl2br w:val="nil"/>
              <w:tr2bl w:val="nil"/>
            </w:tcBorders>
            <w:vAlign w:val="center"/>
          </w:tcPr>
          <w:p w14:paraId="38EBFB9B">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按时提交履约</w:t>
            </w:r>
          </w:p>
          <w:p w14:paraId="61F67101">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保证的承诺</w:t>
            </w:r>
          </w:p>
        </w:tc>
        <w:tc>
          <w:tcPr>
            <w:tcW w:w="2923" w:type="dxa"/>
            <w:tcBorders>
              <w:tl2br w:val="nil"/>
              <w:tr2bl w:val="nil"/>
            </w:tcBorders>
            <w:vAlign w:val="center"/>
          </w:tcPr>
          <w:p w14:paraId="41492173">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如果我方中标，我方保证在招标文件规定的时限内全额提交履约保证。</w:t>
            </w:r>
          </w:p>
        </w:tc>
        <w:tc>
          <w:tcPr>
            <w:tcW w:w="4019" w:type="dxa"/>
            <w:tcBorders>
              <w:tl2br w:val="nil"/>
              <w:tr2bl w:val="nil"/>
            </w:tcBorders>
            <w:vAlign w:val="center"/>
          </w:tcPr>
          <w:p w14:paraId="3766EC83">
            <w:pPr>
              <w:pStyle w:val="43"/>
              <w:wordWrap w:val="0"/>
              <w:adjustRightInd w:val="0"/>
              <w:snapToGrid w:val="0"/>
              <w:spacing w:line="380" w:lineRule="exact"/>
              <w:ind w:firstLine="0" w:firstLineChars="0"/>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059A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728DC981">
            <w:pPr>
              <w:pStyle w:val="42"/>
              <w:wordWrap w:val="0"/>
              <w:adjustRightInd w:val="0"/>
              <w:snapToGrid w:val="0"/>
              <w:spacing w:line="38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8</w:t>
            </w:r>
          </w:p>
        </w:tc>
        <w:tc>
          <w:tcPr>
            <w:tcW w:w="1573" w:type="dxa"/>
            <w:tcBorders>
              <w:tl2br w:val="nil"/>
              <w:tr2bl w:val="nil"/>
            </w:tcBorders>
            <w:vAlign w:val="center"/>
          </w:tcPr>
          <w:p w14:paraId="4A6B30EB">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按时签订合同</w:t>
            </w:r>
          </w:p>
          <w:p w14:paraId="2D2D0E37">
            <w:pPr>
              <w:pStyle w:val="43"/>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的承诺</w:t>
            </w:r>
          </w:p>
        </w:tc>
        <w:tc>
          <w:tcPr>
            <w:tcW w:w="2923" w:type="dxa"/>
            <w:tcBorders>
              <w:tl2br w:val="nil"/>
              <w:tr2bl w:val="nil"/>
            </w:tcBorders>
            <w:vAlign w:val="center"/>
          </w:tcPr>
          <w:p w14:paraId="23BF7E56">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127B8728">
            <w:pPr>
              <w:pStyle w:val="43"/>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4D625D3D">
      <w:pPr>
        <w:pStyle w:val="42"/>
        <w:wordWrap w:val="0"/>
        <w:adjustRightInd w:val="0"/>
        <w:snapToGrid w:val="0"/>
        <w:spacing w:line="420" w:lineRule="exact"/>
        <w:jc w:val="left"/>
        <w:rPr>
          <w:rFonts w:hAnsi="宋体" w:cs="宋体"/>
          <w:snapToGrid w:val="0"/>
          <w:color w:val="auto"/>
          <w:kern w:val="0"/>
          <w:highlight w:val="none"/>
        </w:rPr>
      </w:pPr>
    </w:p>
    <w:p w14:paraId="6B8C7716">
      <w:pPr>
        <w:pStyle w:val="42"/>
        <w:wordWrap w:val="0"/>
        <w:adjustRightInd w:val="0"/>
        <w:snapToGrid w:val="0"/>
        <w:spacing w:line="420" w:lineRule="exact"/>
        <w:jc w:val="left"/>
        <w:rPr>
          <w:rFonts w:hAnsi="宋体" w:cs="宋体"/>
          <w:snapToGrid w:val="0"/>
          <w:color w:val="auto"/>
          <w:kern w:val="0"/>
          <w:highlight w:val="none"/>
        </w:rPr>
      </w:pPr>
    </w:p>
    <w:p w14:paraId="0F1135B8">
      <w:pPr>
        <w:pStyle w:val="14"/>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投标人：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（盖单位章）</w:t>
      </w:r>
    </w:p>
    <w:p w14:paraId="31BDBC82">
      <w:pPr>
        <w:pStyle w:val="14"/>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59DE8B79">
      <w:pPr>
        <w:pStyle w:val="14"/>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38C0BEB0">
      <w:pPr>
        <w:pStyle w:val="14"/>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法定代表人或其委托代理人：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（签字或盖章）</w:t>
      </w:r>
    </w:p>
    <w:p w14:paraId="351BEACB">
      <w:pPr>
        <w:pStyle w:val="14"/>
        <w:wordWrap w:val="0"/>
        <w:adjustRightInd w:val="0"/>
        <w:snapToGrid w:val="0"/>
        <w:spacing w:line="420" w:lineRule="exact"/>
        <w:ind w:firstLine="480" w:firstLineChars="200"/>
        <w:rPr>
          <w:rFonts w:hAnsi="宋体" w:cs="宋体"/>
          <w:snapToGrid w:val="0"/>
          <w:color w:val="auto"/>
          <w:kern w:val="0"/>
          <w:szCs w:val="24"/>
          <w:highlight w:val="none"/>
        </w:rPr>
      </w:pPr>
    </w:p>
    <w:p w14:paraId="32A62607">
      <w:pPr>
        <w:pStyle w:val="14"/>
        <w:wordWrap w:val="0"/>
        <w:adjustRightInd w:val="0"/>
        <w:snapToGrid w:val="0"/>
        <w:spacing w:line="420" w:lineRule="exact"/>
        <w:ind w:firstLine="480" w:firstLineChars="200"/>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年</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月</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日</w:t>
      </w:r>
    </w:p>
    <w:p w14:paraId="2ED5D728">
      <w:pPr>
        <w:wordWrap w:val="0"/>
        <w:adjustRightInd w:val="0"/>
        <w:snapToGrid w:val="0"/>
        <w:spacing w:line="420" w:lineRule="exact"/>
        <w:jc w:val="left"/>
        <w:rPr>
          <w:rFonts w:hAnsi="宋体" w:cs="宋体"/>
          <w:b/>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4E786EAC">
      <w:pPr>
        <w:wordWrap w:val="0"/>
        <w:adjustRightInd w:val="0"/>
        <w:snapToGrid w:val="0"/>
        <w:spacing w:line="440" w:lineRule="exact"/>
        <w:outlineLvl w:val="1"/>
        <w:rPr>
          <w:rFonts w:hAnsi="宋体" w:cs="宋体"/>
          <w:b/>
          <w:bCs/>
          <w:snapToGrid w:val="0"/>
          <w:color w:val="auto"/>
          <w:kern w:val="0"/>
          <w:szCs w:val="24"/>
          <w:highlight w:val="none"/>
        </w:rPr>
      </w:pPr>
      <w:bookmarkStart w:id="208" w:name="_Toc12381"/>
      <w:r>
        <w:rPr>
          <w:rFonts w:hint="eastAsia" w:hAnsi="宋体" w:cs="宋体"/>
          <w:b/>
          <w:bCs/>
          <w:snapToGrid w:val="0"/>
          <w:color w:val="auto"/>
          <w:kern w:val="0"/>
          <w:szCs w:val="24"/>
          <w:highlight w:val="none"/>
        </w:rPr>
        <w:t>格式四 授权委托书</w:t>
      </w:r>
      <w:bookmarkEnd w:id="208"/>
    </w:p>
    <w:p w14:paraId="008E90EE">
      <w:pPr>
        <w:wordWrap w:val="0"/>
        <w:adjustRightInd w:val="0"/>
        <w:snapToGrid w:val="0"/>
        <w:spacing w:line="440" w:lineRule="exact"/>
        <w:rPr>
          <w:rFonts w:hAnsi="宋体" w:cs="宋体"/>
          <w:b/>
          <w:bCs/>
          <w:snapToGrid w:val="0"/>
          <w:color w:val="auto"/>
          <w:kern w:val="0"/>
          <w:szCs w:val="24"/>
          <w:highlight w:val="none"/>
        </w:rPr>
      </w:pPr>
    </w:p>
    <w:p w14:paraId="620CFF77">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授权委托书</w:t>
      </w:r>
    </w:p>
    <w:p w14:paraId="3E883048">
      <w:pPr>
        <w:wordWrap w:val="0"/>
        <w:adjustRightInd w:val="0"/>
        <w:snapToGrid w:val="0"/>
        <w:spacing w:line="440" w:lineRule="exact"/>
        <w:rPr>
          <w:rFonts w:hAnsi="宋体" w:cs="宋体"/>
          <w:snapToGrid w:val="0"/>
          <w:color w:val="auto"/>
          <w:kern w:val="0"/>
          <w:szCs w:val="28"/>
          <w:highlight w:val="none"/>
        </w:rPr>
      </w:pPr>
    </w:p>
    <w:p w14:paraId="1734B171">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本人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（投标人名称）的法定代表人，现委托</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（姓名）为我方代理人。代理人根据授权，以我方名义签署、澄清、说明、补正、递交、撤回、修改</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（项目名称）监理投标文件、签订合同和处理有关事宜，其法律后果由我方承担。</w:t>
      </w:r>
    </w:p>
    <w:p w14:paraId="4425DE59">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委托期限：至</w:t>
      </w:r>
      <w:r>
        <w:rPr>
          <w:rFonts w:hint="eastAsia" w:hAnsi="宋体" w:cs="宋体"/>
          <w:snapToGrid w:val="0"/>
          <w:color w:val="auto"/>
          <w:kern w:val="0"/>
          <w:szCs w:val="21"/>
          <w:highlight w:val="none"/>
          <w:u w:val="single"/>
        </w:rPr>
        <w:t xml:space="preserve">     年   月   日</w:t>
      </w:r>
      <w:r>
        <w:rPr>
          <w:rFonts w:hint="eastAsia" w:hAnsi="宋体" w:cs="宋体"/>
          <w:i/>
          <w:iCs/>
          <w:snapToGrid w:val="0"/>
          <w:color w:val="auto"/>
          <w:kern w:val="0"/>
          <w:szCs w:val="21"/>
          <w:highlight w:val="none"/>
          <w:u w:val="single"/>
        </w:rPr>
        <w:t>（不得短于招标文件规定的投标有效期）</w:t>
      </w:r>
      <w:r>
        <w:rPr>
          <w:rFonts w:hint="eastAsia" w:hAnsi="宋体" w:cs="宋体"/>
          <w:snapToGrid w:val="0"/>
          <w:color w:val="auto"/>
          <w:kern w:val="0"/>
          <w:szCs w:val="21"/>
          <w:highlight w:val="none"/>
        </w:rPr>
        <w:t xml:space="preserve"> 。</w:t>
      </w:r>
    </w:p>
    <w:p w14:paraId="670D5EE2">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代理人无转委托权。</w:t>
      </w:r>
    </w:p>
    <w:p w14:paraId="0FFC74F8">
      <w:pPr>
        <w:wordWrap w:val="0"/>
        <w:adjustRightInd w:val="0"/>
        <w:snapToGrid w:val="0"/>
        <w:spacing w:line="440" w:lineRule="exact"/>
        <w:ind w:firstLine="480" w:firstLineChars="200"/>
        <w:rPr>
          <w:rFonts w:hAnsi="宋体" w:cs="宋体"/>
          <w:snapToGrid w:val="0"/>
          <w:color w:val="auto"/>
          <w:kern w:val="0"/>
          <w:szCs w:val="21"/>
          <w:highlight w:val="none"/>
        </w:rPr>
      </w:pPr>
    </w:p>
    <w:p w14:paraId="1D500EE9">
      <w:pPr>
        <w:wordWrap w:val="0"/>
        <w:adjustRightInd w:val="0"/>
        <w:snapToGrid w:val="0"/>
        <w:spacing w:line="440" w:lineRule="exact"/>
        <w:ind w:firstLine="480" w:firstLineChars="200"/>
        <w:rPr>
          <w:rFonts w:hAnsi="宋体" w:cs="宋体"/>
          <w:snapToGrid w:val="0"/>
          <w:color w:val="auto"/>
          <w:kern w:val="0"/>
          <w:szCs w:val="21"/>
          <w:highlight w:val="none"/>
        </w:rPr>
      </w:pPr>
    </w:p>
    <w:p w14:paraId="4851B001">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投  标  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4995C2FE">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0576D9B0">
      <w:pPr>
        <w:wordWrap w:val="0"/>
        <w:adjustRightInd w:val="0"/>
        <w:snapToGrid w:val="0"/>
        <w:spacing w:line="440" w:lineRule="exact"/>
        <w:ind w:firstLine="480" w:firstLineChars="200"/>
        <w:rPr>
          <w:rFonts w:hAnsi="宋体" w:cs="宋体"/>
          <w:snapToGrid w:val="0"/>
          <w:color w:val="auto"/>
          <w:kern w:val="0"/>
          <w:szCs w:val="21"/>
          <w:highlight w:val="none"/>
        </w:rPr>
      </w:pPr>
    </w:p>
    <w:p w14:paraId="21EF0AEA">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5E035BA8">
      <w:pPr>
        <w:wordWrap w:val="0"/>
        <w:adjustRightInd w:val="0"/>
        <w:snapToGrid w:val="0"/>
        <w:spacing w:line="440" w:lineRule="exact"/>
        <w:ind w:firstLine="480" w:firstLineChars="200"/>
        <w:rPr>
          <w:rFonts w:hAnsi="宋体" w:cs="宋体"/>
          <w:snapToGrid w:val="0"/>
          <w:color w:val="auto"/>
          <w:kern w:val="0"/>
          <w:szCs w:val="21"/>
          <w:highlight w:val="none"/>
        </w:rPr>
      </w:pPr>
    </w:p>
    <w:p w14:paraId="17667A9C">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委托代理人：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57271708">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76C79EAF">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日</w:t>
      </w:r>
    </w:p>
    <w:p w14:paraId="33B5744D">
      <w:pPr>
        <w:wordWrap w:val="0"/>
        <w:adjustRightInd w:val="0"/>
        <w:snapToGrid w:val="0"/>
        <w:spacing w:line="440" w:lineRule="exact"/>
        <w:ind w:firstLine="480" w:firstLineChars="200"/>
        <w:rPr>
          <w:rFonts w:hAnsi="宋体" w:cs="宋体"/>
          <w:snapToGrid w:val="0"/>
          <w:color w:val="auto"/>
          <w:kern w:val="0"/>
          <w:szCs w:val="21"/>
          <w:highlight w:val="none"/>
        </w:rPr>
      </w:pPr>
    </w:p>
    <w:p w14:paraId="6B20D076">
      <w:pPr>
        <w:wordWrap w:val="0"/>
        <w:adjustRightInd w:val="0"/>
        <w:snapToGrid w:val="0"/>
        <w:spacing w:line="440" w:lineRule="exact"/>
        <w:ind w:firstLine="480" w:firstLineChars="200"/>
        <w:rPr>
          <w:rFonts w:hAnsi="宋体" w:cs="宋体"/>
          <w:snapToGrid w:val="0"/>
          <w:color w:val="auto"/>
          <w:kern w:val="0"/>
          <w:szCs w:val="21"/>
          <w:highlight w:val="none"/>
        </w:rPr>
      </w:pPr>
    </w:p>
    <w:p w14:paraId="5FDEB32F">
      <w:pPr>
        <w:wordWrap w:val="0"/>
        <w:adjustRightInd w:val="0"/>
        <w:snapToGrid w:val="0"/>
        <w:ind w:firstLine="6440" w:firstLineChars="2300"/>
        <w:rPr>
          <w:rFonts w:hAnsi="宋体" w:cs="宋体"/>
          <w:snapToGrid w:val="0"/>
          <w:color w:val="auto"/>
          <w:kern w:val="0"/>
          <w:szCs w:val="24"/>
          <w:highlight w:val="none"/>
        </w:rPr>
      </w:pPr>
      <w:r>
        <w:rPr>
          <w:rFonts w:hint="eastAsia" w:hAnsi="宋体" w:cs="宋体"/>
          <w:snapToGrid w:val="0"/>
          <w:color w:val="auto"/>
          <w:kern w:val="0"/>
          <w:sz w:val="28"/>
          <w:szCs w:val="28"/>
          <w:highlight w:val="none"/>
          <w:u w:val="singl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92393FE">
                            <w:pPr>
                              <w:jc w:val="center"/>
                              <w:rPr>
                                <w:szCs w:val="21"/>
                              </w:rPr>
                            </w:pPr>
                          </w:p>
                          <w:p w14:paraId="44C46C9D">
                            <w:pPr>
                              <w:jc w:val="center"/>
                              <w:rPr>
                                <w:szCs w:val="21"/>
                              </w:rPr>
                            </w:pPr>
                          </w:p>
                          <w:p w14:paraId="46DDBF71">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BaUS9UJgIAAFQEAAAOAAAAAAAAAAEAIAAAACcBAABkcnMvZTJvRG9jLnhtbFBLBQYAAAAA&#10;BgAGAFkBAAC/BQAAAAA=&#10;">
                <v:fill on="t" focussize="0,0"/>
                <v:stroke color="#000000" joinstyle="miter"/>
                <v:imagedata o:title=""/>
                <o:lock v:ext="edit" aspectratio="f"/>
                <v:textbox>
                  <w:txbxContent>
                    <w:p w14:paraId="792393FE">
                      <w:pPr>
                        <w:jc w:val="center"/>
                        <w:rPr>
                          <w:szCs w:val="21"/>
                        </w:rPr>
                      </w:pPr>
                    </w:p>
                    <w:p w14:paraId="44C46C9D">
                      <w:pPr>
                        <w:jc w:val="center"/>
                        <w:rPr>
                          <w:szCs w:val="21"/>
                        </w:rPr>
                      </w:pPr>
                    </w:p>
                    <w:p w14:paraId="46DDBF71">
                      <w:pPr>
                        <w:jc w:val="center"/>
                        <w:rPr>
                          <w:szCs w:val="21"/>
                        </w:rPr>
                      </w:pPr>
                      <w:r>
                        <w:rPr>
                          <w:rFonts w:hint="eastAsia"/>
                          <w:szCs w:val="21"/>
                        </w:rPr>
                        <w:t>委托代理人身份证彩色扫描件正、反面</w:t>
                      </w:r>
                    </w:p>
                  </w:txbxContent>
                </v:textbox>
              </v:shape>
            </w:pict>
          </mc:Fallback>
        </mc:AlternateContent>
      </w:r>
    </w:p>
    <w:p w14:paraId="5FDAF404">
      <w:pPr>
        <w:pStyle w:val="7"/>
        <w:wordWrap w:val="0"/>
        <w:adjustRightInd w:val="0"/>
        <w:snapToGrid w:val="0"/>
        <w:rPr>
          <w:rFonts w:hAnsi="宋体" w:cs="宋体"/>
          <w:snapToGrid w:val="0"/>
          <w:color w:val="auto"/>
          <w:kern w:val="0"/>
          <w:szCs w:val="24"/>
          <w:highlight w:val="none"/>
        </w:rPr>
      </w:pPr>
    </w:p>
    <w:p w14:paraId="400D49D2">
      <w:pPr>
        <w:pStyle w:val="4"/>
        <w:keepNext w:val="0"/>
        <w:keepLines w:val="0"/>
        <w:widowControl w:val="0"/>
        <w:wordWrap w:val="0"/>
        <w:adjustRightInd w:val="0"/>
        <w:snapToGrid w:val="0"/>
        <w:rPr>
          <w:rFonts w:ascii="宋体" w:hAnsi="宋体" w:cs="宋体"/>
          <w:snapToGrid w:val="0"/>
          <w:color w:val="auto"/>
          <w:highlight w:val="none"/>
        </w:rPr>
      </w:pPr>
    </w:p>
    <w:p w14:paraId="025C2534">
      <w:pPr>
        <w:wordWrap w:val="0"/>
        <w:adjustRightInd w:val="0"/>
        <w:snapToGrid w:val="0"/>
        <w:rPr>
          <w:rFonts w:hAnsi="宋体" w:cs="宋体"/>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6703F1EA">
      <w:pPr>
        <w:wordWrap w:val="0"/>
        <w:adjustRightInd w:val="0"/>
        <w:snapToGrid w:val="0"/>
        <w:spacing w:line="440" w:lineRule="exact"/>
        <w:outlineLvl w:val="1"/>
        <w:rPr>
          <w:rFonts w:hAnsi="宋体" w:cs="宋体"/>
          <w:b/>
          <w:snapToGrid w:val="0"/>
          <w:color w:val="auto"/>
          <w:kern w:val="0"/>
          <w:highlight w:val="none"/>
        </w:rPr>
      </w:pPr>
      <w:bookmarkStart w:id="209" w:name="_Toc11654"/>
      <w:r>
        <w:rPr>
          <w:rFonts w:hint="eastAsia" w:hAnsi="宋体" w:cs="宋体"/>
          <w:b/>
          <w:snapToGrid w:val="0"/>
          <w:color w:val="auto"/>
          <w:kern w:val="0"/>
          <w:highlight w:val="none"/>
        </w:rPr>
        <w:t>格式五 法定代表人身份证明</w:t>
      </w:r>
      <w:bookmarkEnd w:id="209"/>
    </w:p>
    <w:p w14:paraId="472750B2">
      <w:pPr>
        <w:wordWrap w:val="0"/>
        <w:adjustRightInd w:val="0"/>
        <w:snapToGrid w:val="0"/>
        <w:spacing w:line="440" w:lineRule="exact"/>
        <w:rPr>
          <w:rFonts w:hAnsi="宋体" w:cs="宋体"/>
          <w:b/>
          <w:snapToGrid w:val="0"/>
          <w:color w:val="auto"/>
          <w:kern w:val="0"/>
          <w:highlight w:val="none"/>
        </w:rPr>
      </w:pPr>
    </w:p>
    <w:p w14:paraId="79BA55A0">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法定代表人身份证明</w:t>
      </w:r>
    </w:p>
    <w:p w14:paraId="1112E041">
      <w:pPr>
        <w:wordWrap w:val="0"/>
        <w:adjustRightInd w:val="0"/>
        <w:snapToGrid w:val="0"/>
        <w:spacing w:line="440" w:lineRule="exact"/>
        <w:rPr>
          <w:rFonts w:hAnsi="宋体" w:cs="宋体"/>
          <w:snapToGrid w:val="0"/>
          <w:color w:val="auto"/>
          <w:kern w:val="0"/>
          <w:szCs w:val="21"/>
          <w:highlight w:val="none"/>
        </w:rPr>
      </w:pPr>
    </w:p>
    <w:p w14:paraId="2D859CDA">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投标人名称：</w:t>
      </w:r>
      <w:r>
        <w:rPr>
          <w:rFonts w:hint="eastAsia" w:hAnsi="宋体" w:cs="宋体"/>
          <w:snapToGrid w:val="0"/>
          <w:color w:val="auto"/>
          <w:kern w:val="0"/>
          <w:szCs w:val="21"/>
          <w:highlight w:val="none"/>
          <w:u w:val="single"/>
        </w:rPr>
        <w:t xml:space="preserve">                  </w:t>
      </w:r>
    </w:p>
    <w:p w14:paraId="07E80E95">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姓名：</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性别：</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年龄：</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职务：</w:t>
      </w:r>
      <w:r>
        <w:rPr>
          <w:rFonts w:hint="eastAsia" w:hAnsi="宋体" w:cs="宋体"/>
          <w:snapToGrid w:val="0"/>
          <w:color w:val="auto"/>
          <w:kern w:val="0"/>
          <w:szCs w:val="21"/>
          <w:highlight w:val="none"/>
          <w:u w:val="single"/>
        </w:rPr>
        <w:t xml:space="preserve">           </w:t>
      </w:r>
    </w:p>
    <w:p w14:paraId="24C35943">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w:t>
      </w:r>
    </w:p>
    <w:p w14:paraId="184DA3FF">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特此证明。</w:t>
      </w:r>
    </w:p>
    <w:p w14:paraId="5C80B868">
      <w:pPr>
        <w:wordWrap w:val="0"/>
        <w:adjustRightInd w:val="0"/>
        <w:snapToGrid w:val="0"/>
        <w:spacing w:line="440" w:lineRule="exact"/>
        <w:rPr>
          <w:rFonts w:hAnsi="宋体" w:cs="宋体"/>
          <w:snapToGrid w:val="0"/>
          <w:color w:val="auto"/>
          <w:kern w:val="0"/>
          <w:szCs w:val="21"/>
          <w:highlight w:val="none"/>
        </w:rPr>
      </w:pPr>
    </w:p>
    <w:p w14:paraId="3E7228C4">
      <w:pPr>
        <w:wordWrap w:val="0"/>
        <w:adjustRightInd w:val="0"/>
        <w:snapToGrid w:val="0"/>
        <w:spacing w:line="440" w:lineRule="exact"/>
        <w:rPr>
          <w:rFonts w:hAnsi="宋体" w:cs="宋体"/>
          <w:snapToGrid w:val="0"/>
          <w:color w:val="auto"/>
          <w:kern w:val="0"/>
          <w:szCs w:val="21"/>
          <w:highlight w:val="none"/>
        </w:rPr>
      </w:pPr>
    </w:p>
    <w:p w14:paraId="3C43FEDA">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投标人：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5057C00A">
      <w:pPr>
        <w:wordWrap w:val="0"/>
        <w:adjustRightInd w:val="0"/>
        <w:snapToGrid w:val="0"/>
        <w:spacing w:line="440" w:lineRule="exact"/>
        <w:jc w:val="right"/>
        <w:rPr>
          <w:rFonts w:hAnsi="宋体" w:cs="宋体"/>
          <w:snapToGrid w:val="0"/>
          <w:color w:val="auto"/>
          <w:kern w:val="0"/>
          <w:szCs w:val="21"/>
          <w:highlight w:val="none"/>
        </w:rPr>
      </w:pPr>
    </w:p>
    <w:p w14:paraId="0F832FC8">
      <w:pPr>
        <w:wordWrap w:val="0"/>
        <w:adjustRightInd w:val="0"/>
        <w:snapToGrid w:val="0"/>
        <w:spacing w:line="440" w:lineRule="exact"/>
        <w:jc w:val="right"/>
        <w:rPr>
          <w:rFonts w:hAnsi="宋体" w:cs="宋体"/>
          <w:snapToGrid w:val="0"/>
          <w:color w:val="auto"/>
          <w:kern w:val="0"/>
          <w:szCs w:val="21"/>
          <w:highlight w:val="none"/>
        </w:rPr>
      </w:pPr>
    </w:p>
    <w:p w14:paraId="55B5AA11">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6BC33973">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3B3F64D7">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 xml:space="preserve">日       </w:t>
      </w:r>
    </w:p>
    <w:p w14:paraId="186F5DDF">
      <w:pPr>
        <w:wordWrap w:val="0"/>
        <w:adjustRightInd w:val="0"/>
        <w:snapToGrid w:val="0"/>
        <w:spacing w:line="440" w:lineRule="exact"/>
        <w:ind w:firstLine="240" w:firstLineChars="100"/>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0C46432A">
      <w:pPr>
        <w:wordWrap w:val="0"/>
        <w:adjustRightInd w:val="0"/>
        <w:snapToGrid w:val="0"/>
        <w:spacing w:line="440" w:lineRule="exact"/>
        <w:ind w:firstLine="240" w:firstLineChars="100"/>
        <w:rPr>
          <w:rFonts w:hAnsi="宋体" w:cs="宋体"/>
          <w:snapToGrid w:val="0"/>
          <w:color w:val="auto"/>
          <w:kern w:val="0"/>
          <w:szCs w:val="21"/>
          <w:highlight w:val="none"/>
        </w:rPr>
      </w:pPr>
    </w:p>
    <w:p w14:paraId="43BDF4B7">
      <w:pPr>
        <w:wordWrap w:val="0"/>
        <w:adjustRightInd w:val="0"/>
        <w:snapToGrid w:val="0"/>
        <w:spacing w:line="440" w:lineRule="exact"/>
        <w:ind w:firstLine="240" w:firstLineChars="100"/>
        <w:rPr>
          <w:rFonts w:hAnsi="宋体" w:cs="宋体"/>
          <w:snapToGrid w:val="0"/>
          <w:color w:val="auto"/>
          <w:kern w:val="0"/>
          <w:szCs w:val="21"/>
          <w:highlight w:val="none"/>
        </w:rPr>
      </w:pPr>
    </w:p>
    <w:p w14:paraId="544432B0">
      <w:pPr>
        <w:wordWrap w:val="0"/>
        <w:adjustRightInd w:val="0"/>
        <w:snapToGrid w:val="0"/>
        <w:spacing w:line="440" w:lineRule="exact"/>
        <w:ind w:firstLine="720" w:firstLineChars="300"/>
        <w:rPr>
          <w:rFonts w:hAnsi="宋体" w:cs="宋体"/>
          <w:b/>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i/>
          <w:iCs/>
          <w:snapToGrid w:val="0"/>
          <w:color w:val="auto"/>
          <w:kern w:val="0"/>
          <w:szCs w:val="21"/>
          <w:highlight w:val="none"/>
        </w:rPr>
        <w:t xml:space="preserve"> </w:t>
      </w:r>
    </w:p>
    <w:p w14:paraId="5A6E8904">
      <w:pPr>
        <w:wordWrap w:val="0"/>
        <w:adjustRightInd w:val="0"/>
        <w:snapToGrid w:val="0"/>
        <w:rPr>
          <w:rFonts w:hAnsi="宋体" w:cs="宋体"/>
          <w:b/>
          <w:snapToGrid w:val="0"/>
          <w:color w:val="auto"/>
          <w:kern w:val="0"/>
          <w:szCs w:val="21"/>
          <w:highlight w:val="none"/>
        </w:rPr>
      </w:pPr>
      <w:r>
        <w:rPr>
          <w:rFonts w:hint="eastAsia" w:hAnsi="宋体" w:cs="宋体"/>
          <w:b/>
          <w:snapToGrid w:val="0"/>
          <w:color w:val="auto"/>
          <w:kern w:val="0"/>
          <w:szCs w:val="21"/>
          <w:highlight w:val="none"/>
        </w:rPr>
        <mc:AlternateContent>
          <mc:Choice Requires="wps">
            <w:drawing>
              <wp:anchor distT="0" distB="0" distL="114300" distR="11430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9EA02D7">
                            <w:pPr>
                              <w:jc w:val="center"/>
                              <w:rPr>
                                <w:szCs w:val="21"/>
                              </w:rPr>
                            </w:pPr>
                          </w:p>
                          <w:p w14:paraId="735FE9C1">
                            <w:pPr>
                              <w:jc w:val="center"/>
                              <w:rPr>
                                <w:szCs w:val="21"/>
                              </w:rPr>
                            </w:pPr>
                          </w:p>
                          <w:p w14:paraId="4F8DAE1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CgE5luJAIAAFQ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s&#10;wm7XAAAACQEAAA8AAAAAAAAAAQAgAAAAIgAAAGRycy9kb3ducmV2LnhtbFBLAQIUABQAAAAIAIdO&#10;4kCgE5luJAIAAFQEAAAOAAAAAAAAAAEAIAAAACYBAABkcnMvZTJvRG9jLnhtbFBLBQYAAAAABgAG&#10;AFkBAAC8BQAAAAA=&#10;">
                <v:fill on="t" focussize="0,0"/>
                <v:stroke color="#000000" joinstyle="miter"/>
                <v:imagedata o:title=""/>
                <o:lock v:ext="edit" aspectratio="f"/>
                <v:textbox>
                  <w:txbxContent>
                    <w:p w14:paraId="69EA02D7">
                      <w:pPr>
                        <w:jc w:val="center"/>
                        <w:rPr>
                          <w:szCs w:val="21"/>
                        </w:rPr>
                      </w:pPr>
                    </w:p>
                    <w:p w14:paraId="735FE9C1">
                      <w:pPr>
                        <w:jc w:val="center"/>
                        <w:rPr>
                          <w:szCs w:val="21"/>
                        </w:rPr>
                      </w:pPr>
                    </w:p>
                    <w:p w14:paraId="4F8DAE16">
                      <w:pPr>
                        <w:jc w:val="center"/>
                        <w:rPr>
                          <w:szCs w:val="21"/>
                        </w:rPr>
                      </w:pPr>
                      <w:r>
                        <w:rPr>
                          <w:rFonts w:hint="eastAsia"/>
                          <w:szCs w:val="21"/>
                        </w:rPr>
                        <w:t>法定代表人身份证彩色扫描件正、反面</w:t>
                      </w:r>
                    </w:p>
                  </w:txbxContent>
                </v:textbox>
              </v:shape>
            </w:pict>
          </mc:Fallback>
        </mc:AlternateContent>
      </w:r>
    </w:p>
    <w:p w14:paraId="50420C06">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auto"/>
          <w:kern w:val="0"/>
          <w:sz w:val="28"/>
          <w:szCs w:val="28"/>
          <w:highlight w:val="none"/>
        </w:rPr>
      </w:pPr>
    </w:p>
    <w:p w14:paraId="6D7D846A">
      <w:pPr>
        <w:wordWrap w:val="0"/>
        <w:adjustRightInd w:val="0"/>
        <w:snapToGrid w:val="0"/>
        <w:spacing w:line="480" w:lineRule="exact"/>
        <w:jc w:val="center"/>
        <w:rPr>
          <w:rFonts w:hAnsi="宋体" w:cs="宋体"/>
          <w:b/>
          <w:snapToGrid w:val="0"/>
          <w:color w:val="auto"/>
          <w:kern w:val="0"/>
          <w:sz w:val="28"/>
          <w:szCs w:val="28"/>
          <w:highlight w:val="none"/>
        </w:rPr>
      </w:pPr>
    </w:p>
    <w:p w14:paraId="487583DD">
      <w:pPr>
        <w:wordWrap w:val="0"/>
        <w:adjustRightInd w:val="0"/>
        <w:snapToGrid w:val="0"/>
        <w:spacing w:line="480" w:lineRule="exact"/>
        <w:jc w:val="center"/>
        <w:rPr>
          <w:rFonts w:hAnsi="宋体" w:cs="宋体"/>
          <w:b/>
          <w:snapToGrid w:val="0"/>
          <w:color w:val="auto"/>
          <w:kern w:val="0"/>
          <w:sz w:val="28"/>
          <w:szCs w:val="28"/>
          <w:highlight w:val="none"/>
        </w:rPr>
      </w:pPr>
    </w:p>
    <w:p w14:paraId="6B239885">
      <w:pPr>
        <w:wordWrap w:val="0"/>
        <w:adjustRightInd w:val="0"/>
        <w:snapToGrid w:val="0"/>
        <w:spacing w:line="480" w:lineRule="exact"/>
        <w:jc w:val="center"/>
        <w:rPr>
          <w:rFonts w:hAnsi="宋体" w:cs="宋体"/>
          <w:b/>
          <w:snapToGrid w:val="0"/>
          <w:color w:val="auto"/>
          <w:kern w:val="0"/>
          <w:sz w:val="28"/>
          <w:szCs w:val="28"/>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57FE235A">
      <w:pPr>
        <w:wordWrap w:val="0"/>
        <w:adjustRightInd w:val="0"/>
        <w:snapToGrid w:val="0"/>
        <w:spacing w:line="440" w:lineRule="exact"/>
        <w:outlineLvl w:val="1"/>
        <w:rPr>
          <w:rFonts w:hAnsi="宋体" w:cs="宋体"/>
          <w:b/>
          <w:bCs/>
          <w:snapToGrid w:val="0"/>
          <w:color w:val="auto"/>
          <w:kern w:val="0"/>
          <w:szCs w:val="24"/>
          <w:highlight w:val="none"/>
        </w:rPr>
      </w:pPr>
      <w:bookmarkStart w:id="210" w:name="_Toc3633"/>
      <w:r>
        <w:rPr>
          <w:rFonts w:hint="eastAsia" w:hAnsi="宋体" w:cs="宋体"/>
          <w:b/>
          <w:bCs/>
          <w:snapToGrid w:val="0"/>
          <w:color w:val="auto"/>
          <w:kern w:val="0"/>
          <w:szCs w:val="24"/>
          <w:highlight w:val="none"/>
        </w:rPr>
        <w:t>格式六 投标人基本情况表</w:t>
      </w:r>
      <w:bookmarkEnd w:id="210"/>
    </w:p>
    <w:p w14:paraId="22E8C91B">
      <w:pPr>
        <w:pStyle w:val="41"/>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投标人基本情况表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66F5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B82BFB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投标人名称</w:t>
            </w:r>
          </w:p>
        </w:tc>
        <w:tc>
          <w:tcPr>
            <w:tcW w:w="7020" w:type="dxa"/>
            <w:gridSpan w:val="8"/>
            <w:vAlign w:val="center"/>
          </w:tcPr>
          <w:p w14:paraId="11FA976C">
            <w:pPr>
              <w:pStyle w:val="44"/>
              <w:wordWrap w:val="0"/>
              <w:adjustRightInd w:val="0"/>
              <w:snapToGrid w:val="0"/>
              <w:jc w:val="center"/>
              <w:rPr>
                <w:rFonts w:ascii="宋体" w:hAnsi="宋体" w:cs="宋体"/>
                <w:snapToGrid w:val="0"/>
                <w:color w:val="auto"/>
                <w:kern w:val="0"/>
                <w:szCs w:val="21"/>
                <w:highlight w:val="none"/>
              </w:rPr>
            </w:pPr>
          </w:p>
        </w:tc>
      </w:tr>
      <w:tr w14:paraId="4A04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8E13E70">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注册地址</w:t>
            </w:r>
          </w:p>
        </w:tc>
        <w:tc>
          <w:tcPr>
            <w:tcW w:w="3389" w:type="dxa"/>
            <w:gridSpan w:val="3"/>
            <w:vAlign w:val="center"/>
          </w:tcPr>
          <w:p w14:paraId="25E0F217">
            <w:pPr>
              <w:pStyle w:val="44"/>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42E43139">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邮政编码</w:t>
            </w:r>
          </w:p>
        </w:tc>
        <w:tc>
          <w:tcPr>
            <w:tcW w:w="2385" w:type="dxa"/>
            <w:gridSpan w:val="3"/>
            <w:vAlign w:val="center"/>
          </w:tcPr>
          <w:p w14:paraId="3A650EE3">
            <w:pPr>
              <w:pStyle w:val="44"/>
              <w:wordWrap w:val="0"/>
              <w:adjustRightInd w:val="0"/>
              <w:snapToGrid w:val="0"/>
              <w:jc w:val="center"/>
              <w:rPr>
                <w:rFonts w:ascii="宋体" w:hAnsi="宋体" w:cs="宋体"/>
                <w:snapToGrid w:val="0"/>
                <w:color w:val="auto"/>
                <w:kern w:val="0"/>
                <w:szCs w:val="21"/>
                <w:highlight w:val="none"/>
              </w:rPr>
            </w:pPr>
          </w:p>
        </w:tc>
      </w:tr>
      <w:tr w14:paraId="42C3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53C43ABC">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联系方式</w:t>
            </w:r>
          </w:p>
        </w:tc>
        <w:tc>
          <w:tcPr>
            <w:tcW w:w="897" w:type="dxa"/>
            <w:vAlign w:val="center"/>
          </w:tcPr>
          <w:p w14:paraId="2E30BE89">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联系人</w:t>
            </w:r>
          </w:p>
        </w:tc>
        <w:tc>
          <w:tcPr>
            <w:tcW w:w="2492" w:type="dxa"/>
            <w:gridSpan w:val="2"/>
            <w:vAlign w:val="center"/>
          </w:tcPr>
          <w:p w14:paraId="30C99D0D">
            <w:pPr>
              <w:pStyle w:val="44"/>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0AED4AB4">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  话</w:t>
            </w:r>
          </w:p>
        </w:tc>
        <w:tc>
          <w:tcPr>
            <w:tcW w:w="2385" w:type="dxa"/>
            <w:gridSpan w:val="3"/>
            <w:vAlign w:val="center"/>
          </w:tcPr>
          <w:p w14:paraId="49DBD85F">
            <w:pPr>
              <w:pStyle w:val="44"/>
              <w:wordWrap w:val="0"/>
              <w:adjustRightInd w:val="0"/>
              <w:snapToGrid w:val="0"/>
              <w:jc w:val="center"/>
              <w:rPr>
                <w:rFonts w:ascii="宋体" w:hAnsi="宋体" w:cs="宋体"/>
                <w:snapToGrid w:val="0"/>
                <w:color w:val="auto"/>
                <w:kern w:val="0"/>
                <w:szCs w:val="21"/>
                <w:highlight w:val="none"/>
              </w:rPr>
            </w:pPr>
          </w:p>
        </w:tc>
      </w:tr>
      <w:tr w14:paraId="002E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7F58DC0E">
            <w:pPr>
              <w:pStyle w:val="44"/>
              <w:wordWrap w:val="0"/>
              <w:adjustRightInd w:val="0"/>
              <w:snapToGrid w:val="0"/>
              <w:jc w:val="center"/>
              <w:rPr>
                <w:rFonts w:ascii="宋体" w:hAnsi="宋体" w:cs="宋体"/>
                <w:snapToGrid w:val="0"/>
                <w:color w:val="auto"/>
                <w:kern w:val="0"/>
                <w:szCs w:val="21"/>
                <w:highlight w:val="none"/>
              </w:rPr>
            </w:pPr>
          </w:p>
        </w:tc>
        <w:tc>
          <w:tcPr>
            <w:tcW w:w="897" w:type="dxa"/>
            <w:vAlign w:val="center"/>
          </w:tcPr>
          <w:p w14:paraId="0AF2D00C">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传  真</w:t>
            </w:r>
          </w:p>
        </w:tc>
        <w:tc>
          <w:tcPr>
            <w:tcW w:w="2492" w:type="dxa"/>
            <w:gridSpan w:val="2"/>
            <w:vAlign w:val="center"/>
          </w:tcPr>
          <w:p w14:paraId="1CDED97F">
            <w:pPr>
              <w:pStyle w:val="44"/>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68C77C1">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电子邮箱</w:t>
            </w:r>
          </w:p>
        </w:tc>
        <w:tc>
          <w:tcPr>
            <w:tcW w:w="2385" w:type="dxa"/>
            <w:gridSpan w:val="3"/>
            <w:vAlign w:val="center"/>
          </w:tcPr>
          <w:p w14:paraId="55234DBD">
            <w:pPr>
              <w:pStyle w:val="44"/>
              <w:wordWrap w:val="0"/>
              <w:adjustRightInd w:val="0"/>
              <w:snapToGrid w:val="0"/>
              <w:jc w:val="center"/>
              <w:rPr>
                <w:rFonts w:ascii="宋体" w:hAnsi="宋体" w:cs="宋体"/>
                <w:snapToGrid w:val="0"/>
                <w:color w:val="auto"/>
                <w:kern w:val="0"/>
                <w:szCs w:val="21"/>
                <w:highlight w:val="none"/>
              </w:rPr>
            </w:pPr>
          </w:p>
        </w:tc>
      </w:tr>
      <w:tr w14:paraId="0702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83EF92D">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法定代表人</w:t>
            </w:r>
          </w:p>
        </w:tc>
        <w:tc>
          <w:tcPr>
            <w:tcW w:w="897" w:type="dxa"/>
            <w:vAlign w:val="center"/>
          </w:tcPr>
          <w:p w14:paraId="350DA5F0">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61BE2D0D">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3DB2B001">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5A19E85A">
            <w:pPr>
              <w:pStyle w:val="44"/>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0501AB7E">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26561D86">
            <w:pPr>
              <w:pStyle w:val="44"/>
              <w:wordWrap w:val="0"/>
              <w:adjustRightInd w:val="0"/>
              <w:snapToGrid w:val="0"/>
              <w:jc w:val="center"/>
              <w:rPr>
                <w:rFonts w:ascii="宋体" w:hAnsi="宋体" w:cs="宋体"/>
                <w:snapToGrid w:val="0"/>
                <w:color w:val="auto"/>
                <w:kern w:val="0"/>
                <w:szCs w:val="21"/>
                <w:highlight w:val="none"/>
              </w:rPr>
            </w:pPr>
          </w:p>
        </w:tc>
      </w:tr>
      <w:tr w14:paraId="4628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6384998">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技术负责人</w:t>
            </w:r>
          </w:p>
        </w:tc>
        <w:tc>
          <w:tcPr>
            <w:tcW w:w="897" w:type="dxa"/>
            <w:vAlign w:val="center"/>
          </w:tcPr>
          <w:p w14:paraId="15DE5056">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57282ACA">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6CE2E5B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59EAA254">
            <w:pPr>
              <w:pStyle w:val="44"/>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2D64575B">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656CCEF9">
            <w:pPr>
              <w:pStyle w:val="44"/>
              <w:wordWrap w:val="0"/>
              <w:adjustRightInd w:val="0"/>
              <w:snapToGrid w:val="0"/>
              <w:jc w:val="center"/>
              <w:rPr>
                <w:rFonts w:ascii="宋体" w:hAnsi="宋体" w:cs="宋体"/>
                <w:snapToGrid w:val="0"/>
                <w:color w:val="auto"/>
                <w:kern w:val="0"/>
                <w:szCs w:val="21"/>
                <w:highlight w:val="none"/>
              </w:rPr>
            </w:pPr>
          </w:p>
        </w:tc>
      </w:tr>
      <w:tr w14:paraId="3756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025B244">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成立日期</w:t>
            </w:r>
          </w:p>
        </w:tc>
        <w:tc>
          <w:tcPr>
            <w:tcW w:w="2586" w:type="dxa"/>
            <w:gridSpan w:val="2"/>
            <w:vAlign w:val="center"/>
          </w:tcPr>
          <w:p w14:paraId="4A20AD49">
            <w:pPr>
              <w:pStyle w:val="44"/>
              <w:wordWrap w:val="0"/>
              <w:adjustRightInd w:val="0"/>
              <w:snapToGrid w:val="0"/>
              <w:jc w:val="center"/>
              <w:rPr>
                <w:rFonts w:ascii="宋体" w:hAnsi="宋体" w:cs="宋体"/>
                <w:snapToGrid w:val="0"/>
                <w:color w:val="auto"/>
                <w:kern w:val="0"/>
                <w:szCs w:val="21"/>
                <w:highlight w:val="none"/>
              </w:rPr>
            </w:pPr>
          </w:p>
        </w:tc>
        <w:tc>
          <w:tcPr>
            <w:tcW w:w="4434" w:type="dxa"/>
            <w:gridSpan w:val="6"/>
            <w:vAlign w:val="center"/>
          </w:tcPr>
          <w:p w14:paraId="63444E41">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员工总人数（个）：</w:t>
            </w:r>
          </w:p>
        </w:tc>
      </w:tr>
      <w:tr w14:paraId="7752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4A4F519E">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企业资质</w:t>
            </w:r>
          </w:p>
          <w:p w14:paraId="020DA422">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类型和等级</w:t>
            </w:r>
          </w:p>
        </w:tc>
        <w:tc>
          <w:tcPr>
            <w:tcW w:w="2586" w:type="dxa"/>
            <w:gridSpan w:val="2"/>
            <w:vAlign w:val="center"/>
          </w:tcPr>
          <w:p w14:paraId="098C4003">
            <w:pPr>
              <w:pStyle w:val="44"/>
              <w:wordWrap w:val="0"/>
              <w:adjustRightInd w:val="0"/>
              <w:snapToGrid w:val="0"/>
              <w:jc w:val="left"/>
              <w:rPr>
                <w:rFonts w:ascii="宋体" w:hAnsi="宋体" w:cs="宋体"/>
                <w:snapToGrid w:val="0"/>
                <w:color w:val="auto"/>
                <w:kern w:val="0"/>
                <w:szCs w:val="21"/>
                <w:highlight w:val="none"/>
              </w:rPr>
            </w:pPr>
          </w:p>
        </w:tc>
        <w:tc>
          <w:tcPr>
            <w:tcW w:w="1089" w:type="dxa"/>
            <w:gridSpan w:val="2"/>
            <w:vMerge w:val="restart"/>
            <w:vAlign w:val="center"/>
          </w:tcPr>
          <w:p w14:paraId="55343AD2">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其中</w:t>
            </w:r>
          </w:p>
        </w:tc>
        <w:tc>
          <w:tcPr>
            <w:tcW w:w="1929" w:type="dxa"/>
            <w:gridSpan w:val="3"/>
            <w:vAlign w:val="center"/>
          </w:tcPr>
          <w:p w14:paraId="278718E6">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各类注册人员</w:t>
            </w:r>
          </w:p>
        </w:tc>
        <w:tc>
          <w:tcPr>
            <w:tcW w:w="1416" w:type="dxa"/>
            <w:vAlign w:val="center"/>
          </w:tcPr>
          <w:p w14:paraId="6D23319D">
            <w:pPr>
              <w:pStyle w:val="44"/>
              <w:wordWrap w:val="0"/>
              <w:adjustRightInd w:val="0"/>
              <w:snapToGrid w:val="0"/>
              <w:jc w:val="center"/>
              <w:rPr>
                <w:rFonts w:ascii="宋体" w:hAnsi="宋体" w:cs="宋体"/>
                <w:snapToGrid w:val="0"/>
                <w:color w:val="auto"/>
                <w:kern w:val="0"/>
                <w:szCs w:val="21"/>
                <w:highlight w:val="none"/>
              </w:rPr>
            </w:pPr>
          </w:p>
        </w:tc>
      </w:tr>
      <w:tr w14:paraId="1190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0EF0D16">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营业执照号</w:t>
            </w:r>
          </w:p>
        </w:tc>
        <w:tc>
          <w:tcPr>
            <w:tcW w:w="2586" w:type="dxa"/>
            <w:gridSpan w:val="2"/>
            <w:vAlign w:val="center"/>
          </w:tcPr>
          <w:p w14:paraId="63EEA0E5">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7E2EEF14">
            <w:pPr>
              <w:pStyle w:val="44"/>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76DF447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高级职称人员</w:t>
            </w:r>
          </w:p>
        </w:tc>
        <w:tc>
          <w:tcPr>
            <w:tcW w:w="1416" w:type="dxa"/>
            <w:vAlign w:val="center"/>
          </w:tcPr>
          <w:p w14:paraId="11BB6BD1">
            <w:pPr>
              <w:pStyle w:val="44"/>
              <w:wordWrap w:val="0"/>
              <w:adjustRightInd w:val="0"/>
              <w:snapToGrid w:val="0"/>
              <w:jc w:val="center"/>
              <w:rPr>
                <w:rFonts w:ascii="宋体" w:hAnsi="宋体" w:cs="宋体"/>
                <w:snapToGrid w:val="0"/>
                <w:color w:val="auto"/>
                <w:kern w:val="0"/>
                <w:szCs w:val="21"/>
                <w:highlight w:val="none"/>
              </w:rPr>
            </w:pPr>
          </w:p>
        </w:tc>
      </w:tr>
      <w:tr w14:paraId="2052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3AA7F94E">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注册资金</w:t>
            </w:r>
          </w:p>
        </w:tc>
        <w:tc>
          <w:tcPr>
            <w:tcW w:w="2586" w:type="dxa"/>
            <w:gridSpan w:val="2"/>
            <w:vAlign w:val="center"/>
          </w:tcPr>
          <w:p w14:paraId="25DEB06C">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4D4EC560">
            <w:pPr>
              <w:pStyle w:val="44"/>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531DA096">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中级职称人员</w:t>
            </w:r>
          </w:p>
        </w:tc>
        <w:tc>
          <w:tcPr>
            <w:tcW w:w="1416" w:type="dxa"/>
            <w:vAlign w:val="center"/>
          </w:tcPr>
          <w:p w14:paraId="10584FE6">
            <w:pPr>
              <w:pStyle w:val="44"/>
              <w:wordWrap w:val="0"/>
              <w:adjustRightInd w:val="0"/>
              <w:snapToGrid w:val="0"/>
              <w:jc w:val="center"/>
              <w:rPr>
                <w:rFonts w:ascii="宋体" w:hAnsi="宋体" w:cs="宋体"/>
                <w:snapToGrid w:val="0"/>
                <w:color w:val="auto"/>
                <w:kern w:val="0"/>
                <w:szCs w:val="21"/>
                <w:highlight w:val="none"/>
              </w:rPr>
            </w:pPr>
          </w:p>
        </w:tc>
      </w:tr>
      <w:tr w14:paraId="71C0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4594D2C">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2673DFB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586" w:type="dxa"/>
            <w:gridSpan w:val="2"/>
            <w:vAlign w:val="center"/>
          </w:tcPr>
          <w:p w14:paraId="5C86443C">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4E260540">
            <w:pPr>
              <w:pStyle w:val="44"/>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1022B4B2">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初级职称人员</w:t>
            </w:r>
          </w:p>
        </w:tc>
        <w:tc>
          <w:tcPr>
            <w:tcW w:w="1416" w:type="dxa"/>
            <w:vAlign w:val="center"/>
          </w:tcPr>
          <w:p w14:paraId="3E3407C2">
            <w:pPr>
              <w:pStyle w:val="44"/>
              <w:wordWrap w:val="0"/>
              <w:adjustRightInd w:val="0"/>
              <w:snapToGrid w:val="0"/>
              <w:jc w:val="center"/>
              <w:rPr>
                <w:rFonts w:ascii="宋体" w:hAnsi="宋体" w:cs="宋体"/>
                <w:snapToGrid w:val="0"/>
                <w:color w:val="auto"/>
                <w:kern w:val="0"/>
                <w:szCs w:val="21"/>
                <w:highlight w:val="none"/>
              </w:rPr>
            </w:pPr>
          </w:p>
        </w:tc>
      </w:tr>
      <w:tr w14:paraId="1212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425167B7">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66945DC3">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银行账号</w:t>
            </w:r>
          </w:p>
        </w:tc>
        <w:tc>
          <w:tcPr>
            <w:tcW w:w="2586" w:type="dxa"/>
            <w:gridSpan w:val="2"/>
            <w:vAlign w:val="center"/>
          </w:tcPr>
          <w:p w14:paraId="437F1759">
            <w:pPr>
              <w:pStyle w:val="44"/>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52DAE195">
            <w:pPr>
              <w:pStyle w:val="44"/>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23E4C887">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技术员</w:t>
            </w:r>
          </w:p>
        </w:tc>
        <w:tc>
          <w:tcPr>
            <w:tcW w:w="1416" w:type="dxa"/>
            <w:vAlign w:val="center"/>
          </w:tcPr>
          <w:p w14:paraId="2FB5361F">
            <w:pPr>
              <w:pStyle w:val="44"/>
              <w:wordWrap w:val="0"/>
              <w:adjustRightInd w:val="0"/>
              <w:snapToGrid w:val="0"/>
              <w:jc w:val="center"/>
              <w:rPr>
                <w:rFonts w:ascii="宋体" w:hAnsi="宋体" w:cs="宋体"/>
                <w:snapToGrid w:val="0"/>
                <w:color w:val="auto"/>
                <w:kern w:val="0"/>
                <w:szCs w:val="21"/>
                <w:highlight w:val="none"/>
              </w:rPr>
            </w:pPr>
          </w:p>
        </w:tc>
      </w:tr>
      <w:tr w14:paraId="0131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3A31A36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经营范围</w:t>
            </w:r>
          </w:p>
        </w:tc>
        <w:tc>
          <w:tcPr>
            <w:tcW w:w="7020" w:type="dxa"/>
            <w:gridSpan w:val="8"/>
            <w:vAlign w:val="center"/>
          </w:tcPr>
          <w:p w14:paraId="7749CEDD">
            <w:pPr>
              <w:pStyle w:val="44"/>
              <w:wordWrap w:val="0"/>
              <w:adjustRightInd w:val="0"/>
              <w:snapToGrid w:val="0"/>
              <w:jc w:val="center"/>
              <w:rPr>
                <w:rFonts w:ascii="宋体" w:hAnsi="宋体" w:cs="宋体"/>
                <w:snapToGrid w:val="0"/>
                <w:color w:val="auto"/>
                <w:kern w:val="0"/>
                <w:szCs w:val="21"/>
                <w:highlight w:val="none"/>
              </w:rPr>
            </w:pPr>
          </w:p>
        </w:tc>
      </w:tr>
      <w:tr w14:paraId="670C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4DE1112B">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关联企业情况</w:t>
            </w:r>
          </w:p>
        </w:tc>
        <w:tc>
          <w:tcPr>
            <w:tcW w:w="7020" w:type="dxa"/>
            <w:gridSpan w:val="8"/>
            <w:vAlign w:val="center"/>
          </w:tcPr>
          <w:p w14:paraId="2B6907A2">
            <w:pPr>
              <w:pStyle w:val="44"/>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包括但不限于与投标人存在以下关系的不同单位：</w:t>
            </w:r>
          </w:p>
          <w:p w14:paraId="2484EE8C">
            <w:pPr>
              <w:pStyle w:val="44"/>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1．法定代表人为同一人的。</w:t>
            </w:r>
          </w:p>
          <w:p w14:paraId="573D325D">
            <w:pPr>
              <w:pStyle w:val="44"/>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2．存在控股、管理关系的。</w:t>
            </w:r>
          </w:p>
          <w:p w14:paraId="504A86DE">
            <w:pPr>
              <w:pStyle w:val="44"/>
              <w:wordWrap w:val="0"/>
              <w:adjustRightInd w:val="0"/>
              <w:snapToGrid w:val="0"/>
              <w:jc w:val="lef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3．主要人员相互任职的。</w:t>
            </w:r>
          </w:p>
        </w:tc>
      </w:tr>
      <w:tr w14:paraId="470F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35FDEADE">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备注</w:t>
            </w:r>
          </w:p>
        </w:tc>
        <w:tc>
          <w:tcPr>
            <w:tcW w:w="7020" w:type="dxa"/>
            <w:gridSpan w:val="8"/>
            <w:vAlign w:val="center"/>
          </w:tcPr>
          <w:p w14:paraId="75509991">
            <w:pPr>
              <w:pStyle w:val="44"/>
              <w:wordWrap w:val="0"/>
              <w:adjustRightInd w:val="0"/>
              <w:snapToGrid w:val="0"/>
              <w:jc w:val="center"/>
              <w:rPr>
                <w:rFonts w:ascii="宋体" w:hAnsi="宋体" w:cs="宋体"/>
                <w:snapToGrid w:val="0"/>
                <w:color w:val="auto"/>
                <w:kern w:val="0"/>
                <w:szCs w:val="21"/>
                <w:highlight w:val="none"/>
              </w:rPr>
            </w:pPr>
          </w:p>
        </w:tc>
      </w:tr>
    </w:tbl>
    <w:p w14:paraId="31D14F23">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02F1EC1B">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1．《投标人基本情况表》后应附以下资料：</w:t>
      </w:r>
    </w:p>
    <w:p w14:paraId="6D19864B">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（1）企业营业执照、资质证书彩色扫描件（因推行电子证照，企业的营业执照、资质证书等可以提供电子证照）；</w:t>
      </w:r>
    </w:p>
    <w:p w14:paraId="0D6246ED">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highlight w:val="none"/>
        </w:rPr>
        <w:t>“进粤企业和人员诚信信息登记平台”企业信息情况打印页。（适用于省外企业）</w:t>
      </w:r>
      <w:r>
        <w:rPr>
          <w:rFonts w:hint="eastAsia" w:ascii="宋体" w:hAnsi="宋体" w:cs="宋体"/>
          <w:snapToGrid w:val="0"/>
          <w:color w:val="auto"/>
          <w:kern w:val="0"/>
          <w:szCs w:val="21"/>
          <w:highlight w:val="none"/>
        </w:rPr>
        <w:t>。</w:t>
      </w:r>
    </w:p>
    <w:p w14:paraId="2C2FD920">
      <w:pPr>
        <w:pStyle w:val="41"/>
        <w:widowControl w:val="0"/>
        <w:wordWrap w:val="0"/>
        <w:adjustRightInd w:val="0"/>
        <w:snapToGrid w:val="0"/>
        <w:spacing w:line="400" w:lineRule="exact"/>
        <w:rPr>
          <w:rFonts w:hAnsi="宋体" w:cs="宋体"/>
          <w:snapToGrid w:val="0"/>
          <w:color w:val="auto"/>
          <w:sz w:val="21"/>
          <w:szCs w:val="21"/>
          <w:highlight w:val="none"/>
        </w:rPr>
      </w:pPr>
      <w:r>
        <w:rPr>
          <w:rFonts w:hint="eastAsia" w:hAnsi="宋体" w:cs="宋体"/>
          <w:snapToGrid w:val="0"/>
          <w:color w:val="auto"/>
          <w:sz w:val="21"/>
          <w:szCs w:val="21"/>
          <w:highlight w:val="none"/>
        </w:rPr>
        <w:t>（3）《法人和非法人组织公共信用信息报告》打印件(在“信用中国”网站企业查询界面中下载) 。</w:t>
      </w:r>
    </w:p>
    <w:p w14:paraId="3DF4C1A7">
      <w:pPr>
        <w:rPr>
          <w:rFonts w:hint="eastAsia" w:hAnsi="宋体" w:cs="宋体"/>
          <w:b/>
          <w:snapToGrid w:val="0"/>
          <w:color w:val="auto"/>
          <w:kern w:val="0"/>
          <w:highlight w:val="none"/>
        </w:rPr>
      </w:pPr>
      <w:bookmarkStart w:id="211" w:name="_Toc16301"/>
      <w:r>
        <w:rPr>
          <w:rFonts w:hint="eastAsia" w:hAnsi="宋体" w:cs="宋体"/>
          <w:b/>
          <w:snapToGrid w:val="0"/>
          <w:color w:val="auto"/>
          <w:kern w:val="0"/>
          <w:highlight w:val="none"/>
        </w:rPr>
        <w:br w:type="page"/>
      </w:r>
    </w:p>
    <w:p w14:paraId="08DBD574">
      <w:pPr>
        <w:wordWrap w:val="0"/>
        <w:adjustRightInd w:val="0"/>
        <w:snapToGrid w:val="0"/>
        <w:spacing w:line="440" w:lineRule="exact"/>
        <w:jc w:val="left"/>
        <w:outlineLvl w:val="1"/>
        <w:rPr>
          <w:rFonts w:hAnsi="宋体" w:cs="宋体"/>
          <w:b/>
          <w:snapToGrid w:val="0"/>
          <w:color w:val="auto"/>
          <w:kern w:val="0"/>
          <w:highlight w:val="none"/>
        </w:rPr>
      </w:pPr>
      <w:r>
        <w:rPr>
          <w:rFonts w:hint="eastAsia" w:hAnsi="宋体" w:cs="宋体"/>
          <w:b/>
          <w:snapToGrid w:val="0"/>
          <w:color w:val="auto"/>
          <w:kern w:val="0"/>
          <w:highlight w:val="none"/>
        </w:rPr>
        <w:t>格式七  总监理工程师任职声明（适用于无任职项目）</w:t>
      </w:r>
      <w:bookmarkEnd w:id="211"/>
    </w:p>
    <w:p w14:paraId="46D4D231">
      <w:pPr>
        <w:wordWrap w:val="0"/>
        <w:adjustRightInd w:val="0"/>
        <w:snapToGrid w:val="0"/>
        <w:spacing w:line="440" w:lineRule="exact"/>
        <w:jc w:val="left"/>
        <w:rPr>
          <w:rFonts w:hAnsi="宋体" w:cs="宋体"/>
          <w:b/>
          <w:snapToGrid w:val="0"/>
          <w:color w:val="auto"/>
          <w:kern w:val="0"/>
          <w:highlight w:val="none"/>
        </w:rPr>
      </w:pPr>
    </w:p>
    <w:p w14:paraId="5D71FAEF">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10CA385E">
      <w:pPr>
        <w:wordWrap w:val="0"/>
        <w:adjustRightInd w:val="0"/>
        <w:snapToGrid w:val="0"/>
        <w:spacing w:line="440" w:lineRule="exact"/>
        <w:jc w:val="center"/>
        <w:rPr>
          <w:rFonts w:hAnsi="宋体" w:cs="宋体"/>
          <w:snapToGrid w:val="0"/>
          <w:color w:val="auto"/>
          <w:kern w:val="0"/>
          <w:szCs w:val="28"/>
          <w:highlight w:val="none"/>
        </w:rPr>
      </w:pPr>
    </w:p>
    <w:p w14:paraId="3C7C26EB">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3CF6AC8E">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（总监理工程师姓名）现阶段未担任任何在施（包括已中标未开工、已开工未竣工）建设工程项目的总监理工程师。</w:t>
      </w:r>
    </w:p>
    <w:p w14:paraId="2B6A9360">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7D00281A">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2C4CAFEE">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特此承诺　　</w:t>
      </w:r>
    </w:p>
    <w:p w14:paraId="5072C453">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2BB10C2A">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7D68A5B2">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13A75888">
      <w:pPr>
        <w:wordWrap w:val="0"/>
        <w:adjustRightInd w:val="0"/>
        <w:snapToGrid w:val="0"/>
        <w:spacing w:line="440" w:lineRule="exact"/>
        <w:jc w:val="right"/>
        <w:rPr>
          <w:rFonts w:hAnsi="宋体" w:cs="宋体"/>
          <w:snapToGrid w:val="0"/>
          <w:color w:val="auto"/>
          <w:kern w:val="0"/>
          <w:szCs w:val="28"/>
          <w:highlight w:val="none"/>
        </w:rPr>
      </w:pPr>
    </w:p>
    <w:p w14:paraId="7AFC36B8">
      <w:pPr>
        <w:wordWrap w:val="0"/>
        <w:adjustRightInd w:val="0"/>
        <w:snapToGrid w:val="0"/>
        <w:spacing w:line="440" w:lineRule="exact"/>
        <w:jc w:val="right"/>
        <w:rPr>
          <w:rFonts w:hAnsi="宋体" w:cs="宋体"/>
          <w:snapToGrid w:val="0"/>
          <w:color w:val="auto"/>
          <w:kern w:val="0"/>
          <w:szCs w:val="28"/>
          <w:highlight w:val="none"/>
        </w:rPr>
      </w:pPr>
    </w:p>
    <w:p w14:paraId="2DF48E52">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1A63BD38">
      <w:pPr>
        <w:wordWrap w:val="0"/>
        <w:adjustRightInd w:val="0"/>
        <w:snapToGrid w:val="0"/>
        <w:spacing w:line="440" w:lineRule="exact"/>
        <w:jc w:val="right"/>
        <w:rPr>
          <w:rFonts w:hAnsi="宋体" w:cs="宋体"/>
          <w:snapToGrid w:val="0"/>
          <w:color w:val="auto"/>
          <w:kern w:val="0"/>
          <w:szCs w:val="28"/>
          <w:highlight w:val="none"/>
        </w:rPr>
      </w:pPr>
    </w:p>
    <w:p w14:paraId="17582F60">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6F1854A0">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2898A912">
      <w:pPr>
        <w:wordWrap w:val="0"/>
        <w:adjustRightInd w:val="0"/>
        <w:snapToGrid w:val="0"/>
        <w:spacing w:line="440" w:lineRule="exact"/>
        <w:jc w:val="left"/>
        <w:outlineLvl w:val="1"/>
        <w:rPr>
          <w:rFonts w:hAnsi="宋体" w:cs="宋体"/>
          <w:b/>
          <w:snapToGrid w:val="0"/>
          <w:color w:val="auto"/>
          <w:kern w:val="0"/>
          <w:highlight w:val="none"/>
        </w:rPr>
      </w:pPr>
      <w:bookmarkStart w:id="212" w:name="_Toc23794"/>
      <w:r>
        <w:rPr>
          <w:rFonts w:hint="eastAsia" w:hAnsi="宋体" w:cs="宋体"/>
          <w:b/>
          <w:snapToGrid w:val="0"/>
          <w:color w:val="auto"/>
          <w:kern w:val="0"/>
          <w:highlight w:val="none"/>
        </w:rPr>
        <w:t>格式八 总监理工程师任职声明（适用于有任职项目）</w:t>
      </w:r>
      <w:bookmarkEnd w:id="212"/>
    </w:p>
    <w:p w14:paraId="67BF4FF5">
      <w:pPr>
        <w:wordWrap w:val="0"/>
        <w:adjustRightInd w:val="0"/>
        <w:snapToGrid w:val="0"/>
        <w:spacing w:line="440" w:lineRule="exact"/>
        <w:jc w:val="left"/>
        <w:rPr>
          <w:rFonts w:hAnsi="宋体" w:cs="宋体"/>
          <w:b/>
          <w:snapToGrid w:val="0"/>
          <w:color w:val="auto"/>
          <w:kern w:val="0"/>
          <w:highlight w:val="none"/>
        </w:rPr>
      </w:pPr>
    </w:p>
    <w:p w14:paraId="2431DE0D">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31806C14">
      <w:pPr>
        <w:wordWrap w:val="0"/>
        <w:adjustRightInd w:val="0"/>
        <w:snapToGrid w:val="0"/>
        <w:spacing w:line="440" w:lineRule="exact"/>
        <w:jc w:val="center"/>
        <w:rPr>
          <w:rFonts w:hAnsi="宋体" w:cs="宋体"/>
          <w:snapToGrid w:val="0"/>
          <w:color w:val="auto"/>
          <w:kern w:val="0"/>
          <w:szCs w:val="28"/>
          <w:highlight w:val="none"/>
        </w:rPr>
      </w:pPr>
    </w:p>
    <w:p w14:paraId="3E1C740B">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086D0624">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（总监理工程师姓名）现阶段正在担任</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个在施（包括已中标未开工、已开工未竣工）建设工程项目的总监理工程师，具体情况详见《总监理工程师任职项目情况表》。</w:t>
      </w:r>
    </w:p>
    <w:p w14:paraId="7B66C536">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0F9972BD">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7DEAC27">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特此承诺</w:t>
      </w:r>
    </w:p>
    <w:p w14:paraId="0E931224">
      <w:pPr>
        <w:wordWrap w:val="0"/>
        <w:adjustRightInd w:val="0"/>
        <w:snapToGrid w:val="0"/>
        <w:spacing w:line="440" w:lineRule="exact"/>
        <w:ind w:firstLine="480"/>
        <w:rPr>
          <w:rFonts w:hAnsi="宋体" w:cs="宋体"/>
          <w:snapToGrid w:val="0"/>
          <w:color w:val="auto"/>
          <w:kern w:val="0"/>
          <w:szCs w:val="28"/>
          <w:highlight w:val="none"/>
        </w:rPr>
      </w:pPr>
    </w:p>
    <w:p w14:paraId="78204EAF">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74A37527">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4530D242">
      <w:pPr>
        <w:wordWrap w:val="0"/>
        <w:adjustRightInd w:val="0"/>
        <w:snapToGrid w:val="0"/>
        <w:spacing w:line="440" w:lineRule="exact"/>
        <w:jc w:val="right"/>
        <w:rPr>
          <w:rFonts w:hAnsi="宋体" w:cs="宋体"/>
          <w:snapToGrid w:val="0"/>
          <w:color w:val="auto"/>
          <w:kern w:val="0"/>
          <w:szCs w:val="28"/>
          <w:highlight w:val="none"/>
        </w:rPr>
      </w:pPr>
    </w:p>
    <w:p w14:paraId="7657EA66">
      <w:pPr>
        <w:wordWrap w:val="0"/>
        <w:adjustRightInd w:val="0"/>
        <w:snapToGrid w:val="0"/>
        <w:spacing w:line="440" w:lineRule="exact"/>
        <w:jc w:val="right"/>
        <w:rPr>
          <w:rFonts w:hAnsi="宋体" w:cs="宋体"/>
          <w:snapToGrid w:val="0"/>
          <w:color w:val="auto"/>
          <w:kern w:val="0"/>
          <w:szCs w:val="28"/>
          <w:highlight w:val="none"/>
        </w:rPr>
      </w:pPr>
    </w:p>
    <w:p w14:paraId="7A0D2386">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012DE4DB">
      <w:pPr>
        <w:wordWrap w:val="0"/>
        <w:adjustRightInd w:val="0"/>
        <w:snapToGrid w:val="0"/>
        <w:spacing w:line="440" w:lineRule="exact"/>
        <w:jc w:val="right"/>
        <w:rPr>
          <w:rFonts w:hAnsi="宋体" w:cs="宋体"/>
          <w:snapToGrid w:val="0"/>
          <w:color w:val="auto"/>
          <w:kern w:val="0"/>
          <w:szCs w:val="28"/>
          <w:highlight w:val="none"/>
        </w:rPr>
      </w:pPr>
    </w:p>
    <w:p w14:paraId="4395FF21">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60175B99">
      <w:pPr>
        <w:wordWrap w:val="0"/>
        <w:adjustRightInd w:val="0"/>
        <w:snapToGrid w:val="0"/>
        <w:spacing w:line="440" w:lineRule="exact"/>
        <w:jc w:val="center"/>
        <w:rPr>
          <w:rFonts w:hAnsi="宋体" w:cs="宋体"/>
          <w:snapToGrid w:val="0"/>
          <w:color w:val="auto"/>
          <w:kern w:val="0"/>
          <w:szCs w:val="28"/>
          <w:highlight w:val="none"/>
        </w:rPr>
      </w:pPr>
    </w:p>
    <w:p w14:paraId="77CD1036">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3DED01F7">
      <w:pPr>
        <w:wordWrap w:val="0"/>
        <w:adjustRightInd w:val="0"/>
        <w:snapToGrid w:val="0"/>
        <w:spacing w:line="440" w:lineRule="exact"/>
        <w:outlineLvl w:val="1"/>
        <w:rPr>
          <w:rFonts w:hAnsi="宋体" w:cs="宋体"/>
          <w:b/>
          <w:bCs/>
          <w:snapToGrid w:val="0"/>
          <w:color w:val="auto"/>
          <w:kern w:val="0"/>
          <w:szCs w:val="24"/>
          <w:highlight w:val="none"/>
        </w:rPr>
      </w:pPr>
      <w:bookmarkStart w:id="213" w:name="_Toc11113"/>
      <w:r>
        <w:rPr>
          <w:rFonts w:hint="eastAsia" w:hAnsi="宋体" w:cs="宋体"/>
          <w:b/>
          <w:bCs/>
          <w:snapToGrid w:val="0"/>
          <w:color w:val="auto"/>
          <w:kern w:val="0"/>
          <w:szCs w:val="24"/>
          <w:highlight w:val="none"/>
        </w:rPr>
        <w:t>格式九 总监理工程师任职项目情况表</w:t>
      </w:r>
      <w:bookmarkEnd w:id="213"/>
    </w:p>
    <w:p w14:paraId="3C4F838A">
      <w:pPr>
        <w:wordWrap w:val="0"/>
        <w:adjustRightInd w:val="0"/>
        <w:snapToGrid w:val="0"/>
        <w:spacing w:line="440" w:lineRule="exact"/>
        <w:rPr>
          <w:rFonts w:hAnsi="宋体" w:cs="宋体"/>
          <w:b/>
          <w:bCs/>
          <w:snapToGrid w:val="0"/>
          <w:color w:val="auto"/>
          <w:kern w:val="0"/>
          <w:szCs w:val="24"/>
          <w:highlight w:val="none"/>
        </w:rPr>
      </w:pPr>
    </w:p>
    <w:p w14:paraId="011B48DF">
      <w:pPr>
        <w:pStyle w:val="41"/>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 xml:space="preserve"> 总监理工程师任职项目情况表（）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474A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E7210D1">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项目名称</w:t>
            </w:r>
          </w:p>
        </w:tc>
        <w:tc>
          <w:tcPr>
            <w:tcW w:w="2771" w:type="dxa"/>
            <w:vAlign w:val="center"/>
          </w:tcPr>
          <w:p w14:paraId="5A5B4B83">
            <w:pPr>
              <w:pStyle w:val="44"/>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6CBDFA7A">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项目所在地</w:t>
            </w:r>
          </w:p>
        </w:tc>
        <w:tc>
          <w:tcPr>
            <w:tcW w:w="2594" w:type="dxa"/>
            <w:vAlign w:val="center"/>
          </w:tcPr>
          <w:p w14:paraId="74A76A3A">
            <w:pPr>
              <w:pStyle w:val="44"/>
              <w:wordWrap w:val="0"/>
              <w:adjustRightInd w:val="0"/>
              <w:snapToGrid w:val="0"/>
              <w:jc w:val="center"/>
              <w:rPr>
                <w:rFonts w:ascii="宋体" w:hAnsi="宋体" w:cs="宋体"/>
                <w:snapToGrid w:val="0"/>
                <w:color w:val="auto"/>
                <w:kern w:val="0"/>
                <w:szCs w:val="21"/>
                <w:highlight w:val="none"/>
              </w:rPr>
            </w:pPr>
          </w:p>
        </w:tc>
      </w:tr>
      <w:tr w14:paraId="090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6B17DF2">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委托人名称</w:t>
            </w:r>
          </w:p>
        </w:tc>
        <w:tc>
          <w:tcPr>
            <w:tcW w:w="2771" w:type="dxa"/>
            <w:vAlign w:val="center"/>
          </w:tcPr>
          <w:p w14:paraId="4CA3AA65">
            <w:pPr>
              <w:pStyle w:val="44"/>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30BF3804">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委托人地址</w:t>
            </w:r>
          </w:p>
        </w:tc>
        <w:tc>
          <w:tcPr>
            <w:tcW w:w="2594" w:type="dxa"/>
            <w:vAlign w:val="center"/>
          </w:tcPr>
          <w:p w14:paraId="30335904">
            <w:pPr>
              <w:pStyle w:val="44"/>
              <w:wordWrap w:val="0"/>
              <w:adjustRightInd w:val="0"/>
              <w:snapToGrid w:val="0"/>
              <w:jc w:val="center"/>
              <w:rPr>
                <w:rFonts w:ascii="宋体" w:hAnsi="宋体" w:cs="宋体"/>
                <w:snapToGrid w:val="0"/>
                <w:color w:val="auto"/>
                <w:kern w:val="0"/>
                <w:szCs w:val="21"/>
                <w:highlight w:val="none"/>
              </w:rPr>
            </w:pPr>
          </w:p>
        </w:tc>
      </w:tr>
      <w:tr w14:paraId="2857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D2FD076">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委托人电话</w:t>
            </w:r>
          </w:p>
        </w:tc>
        <w:tc>
          <w:tcPr>
            <w:tcW w:w="2771" w:type="dxa"/>
            <w:vAlign w:val="center"/>
          </w:tcPr>
          <w:p w14:paraId="4AB700C9">
            <w:pPr>
              <w:pStyle w:val="44"/>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4063F64F">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总监理工程师</w:t>
            </w:r>
          </w:p>
        </w:tc>
        <w:tc>
          <w:tcPr>
            <w:tcW w:w="2594" w:type="dxa"/>
            <w:vAlign w:val="center"/>
          </w:tcPr>
          <w:p w14:paraId="72151511">
            <w:pPr>
              <w:pStyle w:val="44"/>
              <w:wordWrap w:val="0"/>
              <w:adjustRightInd w:val="0"/>
              <w:snapToGrid w:val="0"/>
              <w:jc w:val="center"/>
              <w:rPr>
                <w:rFonts w:ascii="宋体" w:hAnsi="宋体" w:cs="宋体"/>
                <w:snapToGrid w:val="0"/>
                <w:color w:val="auto"/>
                <w:kern w:val="0"/>
                <w:szCs w:val="21"/>
                <w:highlight w:val="none"/>
              </w:rPr>
            </w:pPr>
          </w:p>
        </w:tc>
      </w:tr>
      <w:tr w14:paraId="476C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CF5CC69">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监理服务期限</w:t>
            </w:r>
          </w:p>
        </w:tc>
        <w:tc>
          <w:tcPr>
            <w:tcW w:w="2771" w:type="dxa"/>
            <w:vAlign w:val="center"/>
          </w:tcPr>
          <w:p w14:paraId="63792549">
            <w:pPr>
              <w:pStyle w:val="44"/>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1EF7D54C">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监理内容</w:t>
            </w:r>
          </w:p>
        </w:tc>
        <w:tc>
          <w:tcPr>
            <w:tcW w:w="2594" w:type="dxa"/>
            <w:vAlign w:val="center"/>
          </w:tcPr>
          <w:p w14:paraId="30CE5982">
            <w:pPr>
              <w:pStyle w:val="44"/>
              <w:wordWrap w:val="0"/>
              <w:adjustRightInd w:val="0"/>
              <w:snapToGrid w:val="0"/>
              <w:jc w:val="center"/>
              <w:rPr>
                <w:rFonts w:ascii="宋体" w:hAnsi="宋体" w:cs="宋体"/>
                <w:snapToGrid w:val="0"/>
                <w:color w:val="auto"/>
                <w:kern w:val="0"/>
                <w:szCs w:val="21"/>
                <w:highlight w:val="none"/>
              </w:rPr>
            </w:pPr>
          </w:p>
        </w:tc>
      </w:tr>
      <w:tr w14:paraId="146C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44362882">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项目描述</w:t>
            </w:r>
          </w:p>
        </w:tc>
        <w:tc>
          <w:tcPr>
            <w:tcW w:w="7000" w:type="dxa"/>
            <w:gridSpan w:val="3"/>
            <w:vAlign w:val="center"/>
          </w:tcPr>
          <w:p w14:paraId="7C844EA0">
            <w:pPr>
              <w:pStyle w:val="44"/>
              <w:wordWrap w:val="0"/>
              <w:adjustRightInd w:val="0"/>
              <w:snapToGrid w:val="0"/>
              <w:jc w:val="left"/>
              <w:rPr>
                <w:rFonts w:ascii="宋体" w:hAnsi="宋体" w:cs="宋体"/>
                <w:snapToGrid w:val="0"/>
                <w:color w:val="auto"/>
                <w:kern w:val="0"/>
                <w:szCs w:val="21"/>
                <w:highlight w:val="none"/>
              </w:rPr>
            </w:pPr>
          </w:p>
        </w:tc>
      </w:tr>
      <w:tr w14:paraId="3D2B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ECAB2FE">
            <w:pPr>
              <w:pStyle w:val="44"/>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委托人声明</w:t>
            </w:r>
          </w:p>
        </w:tc>
        <w:tc>
          <w:tcPr>
            <w:tcW w:w="7000" w:type="dxa"/>
            <w:gridSpan w:val="3"/>
            <w:vAlign w:val="center"/>
          </w:tcPr>
          <w:p w14:paraId="62556D41">
            <w:pPr>
              <w:pStyle w:val="44"/>
              <w:adjustRightInd w:val="0"/>
              <w:snapToGrid w:val="0"/>
              <w:spacing w:line="360" w:lineRule="auto"/>
              <w:rPr>
                <w:rFonts w:ascii="宋体" w:hAnsi="宋体" w:cs="宋体"/>
                <w:snapToGrid w:val="0"/>
                <w:color w:val="auto"/>
                <w:kern w:val="0"/>
                <w:szCs w:val="21"/>
                <w:highlight w:val="none"/>
              </w:rPr>
            </w:pPr>
          </w:p>
          <w:p w14:paraId="5FFB2F97">
            <w:pPr>
              <w:pStyle w:val="44"/>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致：</w:t>
            </w:r>
            <w:r>
              <w:rPr>
                <w:rFonts w:hint="eastAsia" w:ascii="宋体" w:hAnsi="宋体" w:cs="宋体"/>
                <w:snapToGrid w:val="0"/>
                <w:color w:val="auto"/>
                <w:kern w:val="0"/>
                <w:szCs w:val="21"/>
                <w:highlight w:val="none"/>
                <w:u w:val="single"/>
              </w:rPr>
              <w:t>（本招标项目招标人名称）</w:t>
            </w:r>
          </w:p>
          <w:p w14:paraId="7FE0BCBA">
            <w:pPr>
              <w:pStyle w:val="44"/>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我方在此声明：</w:t>
            </w:r>
          </w:p>
          <w:p w14:paraId="1CF8A531">
            <w:pPr>
              <w:pStyle w:val="44"/>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一、在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同志任我方在施项目总监理工程师期间，如果</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中标你方招标项目监理业务，在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5B0650C5">
            <w:pPr>
              <w:pStyle w:val="44"/>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二、无论</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同志是否担任其他建设项目的总监理工程师，</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都必须完全、严格履行我方在施项目监理合同中约定的所有义务，并确保服务内容、服务质量不得有任何减少或降低。</w:t>
            </w:r>
          </w:p>
          <w:p w14:paraId="6C2F6054">
            <w:pPr>
              <w:pStyle w:val="44"/>
              <w:adjustRightInd w:val="0"/>
              <w:snapToGrid w:val="0"/>
              <w:spacing w:line="360" w:lineRule="auto"/>
              <w:rPr>
                <w:rFonts w:ascii="宋体" w:hAnsi="宋体" w:cs="宋体"/>
                <w:snapToGrid w:val="0"/>
                <w:color w:val="auto"/>
                <w:kern w:val="0"/>
                <w:szCs w:val="21"/>
                <w:highlight w:val="none"/>
              </w:rPr>
            </w:pPr>
          </w:p>
          <w:p w14:paraId="7C7F52A6">
            <w:pPr>
              <w:pStyle w:val="44"/>
              <w:adjustRightInd w:val="0"/>
              <w:snapToGrid w:val="0"/>
              <w:spacing w:line="360" w:lineRule="auto"/>
              <w:rPr>
                <w:rFonts w:ascii="宋体" w:hAnsi="宋体" w:cs="宋体"/>
                <w:snapToGrid w:val="0"/>
                <w:color w:val="auto"/>
                <w:kern w:val="0"/>
                <w:szCs w:val="21"/>
                <w:highlight w:val="none"/>
              </w:rPr>
            </w:pPr>
          </w:p>
          <w:p w14:paraId="056E1AE3">
            <w:pPr>
              <w:pStyle w:val="44"/>
              <w:adjustRightInd w:val="0"/>
              <w:snapToGrid w:val="0"/>
              <w:spacing w:line="360" w:lineRule="auto"/>
              <w:jc w:val="righ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建设单位名称：</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（盖单位章）</w:t>
            </w:r>
          </w:p>
          <w:p w14:paraId="0CB6D9A6">
            <w:pPr>
              <w:pStyle w:val="44"/>
              <w:adjustRightInd w:val="0"/>
              <w:snapToGrid w:val="0"/>
              <w:spacing w:line="360" w:lineRule="auto"/>
              <w:jc w:val="right"/>
              <w:rPr>
                <w:rFonts w:ascii="宋体" w:hAnsi="宋体" w:cs="宋体"/>
                <w:snapToGrid w:val="0"/>
                <w:color w:val="auto"/>
                <w:kern w:val="0"/>
                <w:szCs w:val="21"/>
                <w:highlight w:val="none"/>
              </w:rPr>
            </w:pPr>
          </w:p>
          <w:p w14:paraId="10BAF33E">
            <w:pPr>
              <w:pStyle w:val="44"/>
              <w:adjustRightInd w:val="0"/>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XXXX年XX月XX日</w:t>
            </w:r>
          </w:p>
        </w:tc>
      </w:tr>
    </w:tbl>
    <w:p w14:paraId="44E3408C">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067CB8AC">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62FE6EF1">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每份情况表后应附该项目的合同协议书彩色扫描件。</w:t>
      </w:r>
    </w:p>
    <w:p w14:paraId="610CA269">
      <w:pPr>
        <w:pStyle w:val="44"/>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w:t>
      </w:r>
      <w:r>
        <w:rPr>
          <w:rFonts w:hint="eastAsia" w:ascii="宋体" w:hAnsi="宋体" w:cs="宋体"/>
          <w:snapToGrid w:val="0"/>
          <w:color w:val="auto"/>
          <w:kern w:val="0"/>
          <w:szCs w:val="28"/>
          <w:highlight w:val="none"/>
        </w:rPr>
        <w:t>．投标人填写本</w:t>
      </w:r>
      <w:r>
        <w:rPr>
          <w:rFonts w:hint="eastAsia" w:ascii="宋体" w:hAnsi="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73EF6AE0">
      <w:pPr>
        <w:wordWrap w:val="0"/>
        <w:adjustRightInd w:val="0"/>
        <w:snapToGrid w:val="0"/>
        <w:spacing w:line="400" w:lineRule="exact"/>
        <w:rPr>
          <w:rFonts w:hAnsi="宋体" w:cs="宋体"/>
          <w:snapToGrid w:val="0"/>
          <w:color w:val="auto"/>
          <w:kern w:val="0"/>
          <w:sz w:val="21"/>
          <w:szCs w:val="21"/>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79179558">
      <w:pPr>
        <w:wordWrap w:val="0"/>
        <w:adjustRightInd w:val="0"/>
        <w:snapToGrid w:val="0"/>
        <w:spacing w:line="440" w:lineRule="exact"/>
        <w:ind w:left="2609" w:leftChars="15" w:hanging="2573" w:hangingChars="1068"/>
        <w:outlineLvl w:val="1"/>
        <w:rPr>
          <w:rFonts w:hAnsi="宋体" w:cs="宋体"/>
          <w:b/>
          <w:bCs/>
          <w:snapToGrid w:val="0"/>
          <w:color w:val="auto"/>
          <w:kern w:val="0"/>
          <w:szCs w:val="24"/>
          <w:highlight w:val="none"/>
        </w:rPr>
      </w:pPr>
      <w:bookmarkStart w:id="214" w:name="_Toc23262"/>
      <w:bookmarkStart w:id="215" w:name="_Toc200338098"/>
      <w:bookmarkStart w:id="216" w:name="_Toc8264"/>
      <w:r>
        <w:rPr>
          <w:rFonts w:hint="eastAsia" w:hAnsi="宋体" w:cs="宋体"/>
          <w:b/>
          <w:snapToGrid w:val="0"/>
          <w:color w:val="auto"/>
          <w:kern w:val="0"/>
          <w:highlight w:val="none"/>
        </w:rPr>
        <w:t>格式</w:t>
      </w:r>
      <w:bookmarkStart w:id="217" w:name="_Hlt287950384"/>
      <w:bookmarkEnd w:id="217"/>
      <w:r>
        <w:rPr>
          <w:rFonts w:hint="eastAsia" w:hAnsi="宋体" w:cs="宋体"/>
          <w:b/>
          <w:bCs/>
          <w:snapToGrid w:val="0"/>
          <w:color w:val="auto"/>
          <w:kern w:val="0"/>
          <w:szCs w:val="24"/>
          <w:highlight w:val="none"/>
        </w:rPr>
        <w:t>十 项目监理机构组成人员汇总表</w:t>
      </w:r>
      <w:bookmarkEnd w:id="214"/>
    </w:p>
    <w:p w14:paraId="2ACEDCE6">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 xml:space="preserve"> 项目监理机构组成人员汇总表</w:t>
      </w:r>
    </w:p>
    <w:tbl>
      <w:tblPr>
        <w:tblStyle w:val="2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4D6D54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3E3A8D6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0ED1F7A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3B30A17A">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62BD4E33">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5FD83044">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03CEC2CC">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岗位证书</w:t>
            </w:r>
          </w:p>
        </w:tc>
      </w:tr>
      <w:tr w14:paraId="6D5962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362DAC0C">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6046BFD8">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62C2919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20EDC2C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16FE8B28">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4993B18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756BE9C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70BE2444">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1C30857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454B4273">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55011BC8">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5544CEB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r>
      <w:tr w14:paraId="701913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160C79E">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219882F1">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4DE3EE9">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1F12EF50">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78B147F0">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451D5A75">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52581C7">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1826D7A">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5A8BE2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682BF3D">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A0773D5">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505DA4D">
            <w:pPr>
              <w:wordWrap w:val="0"/>
              <w:adjustRightInd w:val="0"/>
              <w:snapToGrid w:val="0"/>
              <w:spacing w:line="240" w:lineRule="auto"/>
              <w:jc w:val="center"/>
              <w:rPr>
                <w:rFonts w:hAnsi="宋体" w:cs="宋体"/>
                <w:snapToGrid w:val="0"/>
                <w:color w:val="auto"/>
                <w:kern w:val="0"/>
                <w:sz w:val="21"/>
                <w:szCs w:val="21"/>
                <w:highlight w:val="none"/>
              </w:rPr>
            </w:pPr>
          </w:p>
        </w:tc>
      </w:tr>
      <w:tr w14:paraId="32754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9C6D84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17928FA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8F35EA3">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89AB6DC">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FBAA174">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67E3D2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5A351F8">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A0C4290">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38504F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3B8DD96">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3B3BCD0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D3E3320">
            <w:pPr>
              <w:wordWrap w:val="0"/>
              <w:adjustRightInd w:val="0"/>
              <w:snapToGrid w:val="0"/>
              <w:spacing w:line="240" w:lineRule="auto"/>
              <w:jc w:val="center"/>
              <w:rPr>
                <w:rFonts w:hAnsi="宋体" w:cs="宋体"/>
                <w:snapToGrid w:val="0"/>
                <w:color w:val="auto"/>
                <w:kern w:val="0"/>
                <w:sz w:val="21"/>
                <w:szCs w:val="21"/>
                <w:highlight w:val="none"/>
              </w:rPr>
            </w:pPr>
          </w:p>
        </w:tc>
      </w:tr>
      <w:tr w14:paraId="12F23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4852F5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705B4771">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663E482">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A9846F0">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7FA08FF">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3787AB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F57848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7F01671">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D0B86FF">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625896D">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FB72091">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43C7812">
            <w:pPr>
              <w:wordWrap w:val="0"/>
              <w:adjustRightInd w:val="0"/>
              <w:snapToGrid w:val="0"/>
              <w:spacing w:line="240" w:lineRule="auto"/>
              <w:jc w:val="center"/>
              <w:rPr>
                <w:rFonts w:hAnsi="宋体" w:cs="宋体"/>
                <w:snapToGrid w:val="0"/>
                <w:color w:val="auto"/>
                <w:kern w:val="0"/>
                <w:sz w:val="21"/>
                <w:szCs w:val="21"/>
                <w:highlight w:val="none"/>
              </w:rPr>
            </w:pPr>
          </w:p>
        </w:tc>
      </w:tr>
      <w:tr w14:paraId="7542E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FD0B821">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6847DC2A">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74032F30">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1F3CDAF">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F4548A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EA3BF0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7FF1A92">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8E17831">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BBF6F8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44D5BDFB">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0921CB6">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D63D02F">
            <w:pPr>
              <w:wordWrap w:val="0"/>
              <w:adjustRightInd w:val="0"/>
              <w:snapToGrid w:val="0"/>
              <w:spacing w:line="240" w:lineRule="auto"/>
              <w:jc w:val="center"/>
              <w:rPr>
                <w:rFonts w:hAnsi="宋体" w:cs="宋体"/>
                <w:snapToGrid w:val="0"/>
                <w:color w:val="auto"/>
                <w:kern w:val="0"/>
                <w:sz w:val="21"/>
                <w:szCs w:val="21"/>
                <w:highlight w:val="none"/>
              </w:rPr>
            </w:pPr>
          </w:p>
        </w:tc>
      </w:tr>
      <w:tr w14:paraId="1D4212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D973C9C">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B679245">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0CA379A">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4968DE2">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591A3A8">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2FF2B7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90D61CC">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45AD45D">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2162B34">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DF6FAA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38494C3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F1C7B67">
            <w:pPr>
              <w:wordWrap w:val="0"/>
              <w:adjustRightInd w:val="0"/>
              <w:snapToGrid w:val="0"/>
              <w:spacing w:line="240" w:lineRule="auto"/>
              <w:jc w:val="center"/>
              <w:rPr>
                <w:rFonts w:hAnsi="宋体" w:cs="宋体"/>
                <w:snapToGrid w:val="0"/>
                <w:color w:val="auto"/>
                <w:kern w:val="0"/>
                <w:sz w:val="21"/>
                <w:szCs w:val="21"/>
                <w:highlight w:val="none"/>
              </w:rPr>
            </w:pPr>
          </w:p>
        </w:tc>
      </w:tr>
      <w:tr w14:paraId="567C7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905737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672488F">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4621620">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412E85B5">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01CCFD7">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7BC9716">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D4E9716">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8071046">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6A7FF98">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EB5E19B">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64285E4">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5752D9F">
            <w:pPr>
              <w:wordWrap w:val="0"/>
              <w:adjustRightInd w:val="0"/>
              <w:snapToGrid w:val="0"/>
              <w:spacing w:line="240" w:lineRule="auto"/>
              <w:jc w:val="center"/>
              <w:rPr>
                <w:rFonts w:hAnsi="宋体" w:cs="宋体"/>
                <w:snapToGrid w:val="0"/>
                <w:color w:val="auto"/>
                <w:kern w:val="0"/>
                <w:sz w:val="21"/>
                <w:szCs w:val="21"/>
                <w:highlight w:val="none"/>
              </w:rPr>
            </w:pPr>
          </w:p>
        </w:tc>
      </w:tr>
      <w:tr w14:paraId="19BD6E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BF4408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13A7FAD">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47D799A">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521551A">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41BC3D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933D108">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C57047C">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C9DE1D7">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8A2AB0E">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051328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406538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157133A">
            <w:pPr>
              <w:wordWrap w:val="0"/>
              <w:adjustRightInd w:val="0"/>
              <w:snapToGrid w:val="0"/>
              <w:spacing w:line="240" w:lineRule="auto"/>
              <w:jc w:val="center"/>
              <w:rPr>
                <w:rFonts w:hAnsi="宋体" w:cs="宋体"/>
                <w:snapToGrid w:val="0"/>
                <w:color w:val="auto"/>
                <w:kern w:val="0"/>
                <w:sz w:val="21"/>
                <w:szCs w:val="21"/>
                <w:highlight w:val="none"/>
              </w:rPr>
            </w:pPr>
          </w:p>
        </w:tc>
      </w:tr>
      <w:tr w14:paraId="4D6D4C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732807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B18E155">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7BF829E">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42ED6BB">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20D5F8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C226AE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175060C">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A5898E7">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0BF637A">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9F22206">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7DFE11E">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B6ABDCB">
            <w:pPr>
              <w:wordWrap w:val="0"/>
              <w:adjustRightInd w:val="0"/>
              <w:snapToGrid w:val="0"/>
              <w:spacing w:line="240" w:lineRule="auto"/>
              <w:jc w:val="center"/>
              <w:rPr>
                <w:rFonts w:hAnsi="宋体" w:cs="宋体"/>
                <w:snapToGrid w:val="0"/>
                <w:color w:val="auto"/>
                <w:kern w:val="0"/>
                <w:sz w:val="21"/>
                <w:szCs w:val="21"/>
                <w:highlight w:val="none"/>
              </w:rPr>
            </w:pPr>
          </w:p>
        </w:tc>
      </w:tr>
      <w:tr w14:paraId="360F5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1422736">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E5952B9">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919A7BE">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9641111">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DBC678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3966E89">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0AE85BE">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B4024D3">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0C54B4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6835119">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90D6471">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FDB2F85">
            <w:pPr>
              <w:wordWrap w:val="0"/>
              <w:adjustRightInd w:val="0"/>
              <w:snapToGrid w:val="0"/>
              <w:spacing w:line="240" w:lineRule="auto"/>
              <w:jc w:val="center"/>
              <w:rPr>
                <w:rFonts w:hAnsi="宋体" w:cs="宋体"/>
                <w:snapToGrid w:val="0"/>
                <w:color w:val="auto"/>
                <w:kern w:val="0"/>
                <w:sz w:val="21"/>
                <w:szCs w:val="21"/>
                <w:highlight w:val="none"/>
              </w:rPr>
            </w:pPr>
          </w:p>
        </w:tc>
        <w:bookmarkStart w:id="218" w:name="_附件二十四：技术标提问单"/>
        <w:bookmarkStart w:id="219" w:name="_Hlt69116778"/>
        <w:bookmarkStart w:id="220" w:name="_附件十：单项工程费汇总表"/>
        <w:bookmarkStart w:id="221" w:name="_附件二十五：综合评审合理低价法"/>
        <w:bookmarkStart w:id="222" w:name="_Hlt68774664"/>
      </w:tr>
      <w:bookmarkEnd w:id="215"/>
      <w:bookmarkEnd w:id="216"/>
      <w:bookmarkEnd w:id="218"/>
      <w:bookmarkEnd w:id="219"/>
      <w:bookmarkEnd w:id="220"/>
      <w:bookmarkEnd w:id="221"/>
      <w:bookmarkEnd w:id="222"/>
      <w:tr w14:paraId="038DA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AB70B1C">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D32F49C">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15F17A9">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59EE2B4">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4D4D66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0085EC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B83A930">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A28034A">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211967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68716C7">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A5AA88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2DF2257">
            <w:pPr>
              <w:wordWrap w:val="0"/>
              <w:adjustRightInd w:val="0"/>
              <w:snapToGrid w:val="0"/>
              <w:spacing w:line="240" w:lineRule="auto"/>
              <w:jc w:val="center"/>
              <w:rPr>
                <w:rFonts w:hAnsi="宋体" w:cs="宋体"/>
                <w:snapToGrid w:val="0"/>
                <w:color w:val="auto"/>
                <w:kern w:val="0"/>
                <w:sz w:val="21"/>
                <w:szCs w:val="21"/>
                <w:highlight w:val="none"/>
              </w:rPr>
            </w:pPr>
          </w:p>
        </w:tc>
      </w:tr>
    </w:tbl>
    <w:p w14:paraId="1D6D7473">
      <w:pPr>
        <w:pStyle w:val="41"/>
        <w:widowControl w:val="0"/>
        <w:wordWrap w:val="0"/>
        <w:adjustRightInd w:val="0"/>
        <w:snapToGrid w:val="0"/>
        <w:spacing w:line="400" w:lineRule="exact"/>
        <w:rPr>
          <w:rFonts w:hAnsi="宋体" w:cs="宋体"/>
          <w:snapToGrid w:val="0"/>
          <w:color w:val="auto"/>
          <w:sz w:val="21"/>
          <w:highlight w:val="none"/>
        </w:rPr>
      </w:pPr>
      <w:r>
        <w:rPr>
          <w:rFonts w:hint="eastAsia" w:hAnsi="宋体" w:cs="宋体"/>
          <w:snapToGrid w:val="0"/>
          <w:color w:val="auto"/>
          <w:sz w:val="21"/>
          <w:highlight w:val="none"/>
        </w:rPr>
        <w:t>说明：</w:t>
      </w:r>
    </w:p>
    <w:p w14:paraId="310C2CC8">
      <w:pPr>
        <w:pStyle w:val="41"/>
        <w:widowControl w:val="0"/>
        <w:wordWrap w:val="0"/>
        <w:adjustRightInd w:val="0"/>
        <w:snapToGrid w:val="0"/>
        <w:spacing w:line="400" w:lineRule="exact"/>
        <w:rPr>
          <w:rFonts w:hAnsi="宋体" w:cs="宋体"/>
          <w:snapToGrid w:val="0"/>
          <w:color w:val="auto"/>
          <w:sz w:val="21"/>
          <w:highlight w:val="none"/>
        </w:rPr>
        <w:sectPr>
          <w:endnotePr>
            <w:numFmt w:val="decimal"/>
          </w:endnotePr>
          <w:pgSz w:w="16838" w:h="11906" w:orient="landscape"/>
          <w:pgMar w:top="1440" w:right="1080" w:bottom="1440" w:left="1080" w:header="850" w:footer="992" w:gutter="0"/>
          <w:pgNumType w:fmt="decimal"/>
          <w:cols w:space="0" w:num="1"/>
          <w:docGrid w:linePitch="327" w:charSpace="0"/>
        </w:sectPr>
      </w:pPr>
      <w:r>
        <w:rPr>
          <w:rFonts w:hint="eastAsia" w:hAnsi="宋体" w:cs="宋体"/>
          <w:snapToGrid w:val="0"/>
          <w:color w:val="auto"/>
          <w:sz w:val="21"/>
          <w:highlight w:val="none"/>
        </w:rPr>
        <w:t>1</w:t>
      </w:r>
      <w:r>
        <w:rPr>
          <w:rFonts w:hint="eastAsia" w:hAnsi="宋体" w:cs="宋体"/>
          <w:snapToGrid w:val="0"/>
          <w:color w:val="auto"/>
          <w:sz w:val="21"/>
          <w:szCs w:val="28"/>
          <w:highlight w:val="none"/>
        </w:rPr>
        <w:t>．表中没有或无法填写的栏目，用</w:t>
      </w:r>
      <w:r>
        <w:rPr>
          <w:rFonts w:hint="eastAsia" w:hAnsi="宋体" w:cs="宋体"/>
          <w:snapToGrid w:val="0"/>
          <w:color w:val="auto"/>
          <w:sz w:val="21"/>
          <w:highlight w:val="none"/>
        </w:rPr>
        <w:t>“/”示意。</w:t>
      </w:r>
      <w:bookmarkEnd w:id="190"/>
      <w:bookmarkEnd w:id="191"/>
      <w:bookmarkEnd w:id="192"/>
      <w:bookmarkEnd w:id="193"/>
    </w:p>
    <w:p w14:paraId="5EB6A7FA">
      <w:pPr>
        <w:pStyle w:val="45"/>
        <w:keepNext/>
        <w:keepLines/>
        <w:snapToGrid w:val="0"/>
        <w:spacing w:line="400" w:lineRule="exact"/>
        <w:jc w:val="both"/>
        <w:rPr>
          <w:rFonts w:ascii="宋体" w:hAnsi="宋体" w:cs="宋体"/>
          <w:b/>
          <w:bCs/>
          <w:snapToGrid w:val="0"/>
          <w:color w:val="auto"/>
          <w:highlight w:val="none"/>
        </w:rPr>
      </w:pPr>
      <w:bookmarkStart w:id="223" w:name="_Toc24916"/>
      <w:bookmarkStart w:id="224" w:name="_Toc4835"/>
      <w:r>
        <w:rPr>
          <w:rFonts w:hint="eastAsia" w:ascii="宋体" w:hAnsi="宋体" w:cs="宋体"/>
          <w:b/>
          <w:bCs/>
          <w:snapToGrid w:val="0"/>
          <w:color w:val="auto"/>
          <w:highlight w:val="none"/>
        </w:rPr>
        <w:t>格式十一  总监理工程师简历表</w:t>
      </w:r>
      <w:bookmarkEnd w:id="223"/>
      <w:bookmarkEnd w:id="224"/>
    </w:p>
    <w:p w14:paraId="7E04FF37">
      <w:pPr>
        <w:adjustRightInd w:val="0"/>
        <w:snapToGrid w:val="0"/>
        <w:spacing w:line="400" w:lineRule="exact"/>
        <w:jc w:val="center"/>
        <w:rPr>
          <w:rFonts w:hAnsi="宋体" w:cs="宋体"/>
          <w:b/>
          <w:bCs/>
          <w:color w:val="auto"/>
          <w:sz w:val="32"/>
          <w:szCs w:val="22"/>
          <w:highlight w:val="none"/>
        </w:rPr>
      </w:pPr>
    </w:p>
    <w:p w14:paraId="65848754">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总监理工程师简历表</w:t>
      </w:r>
    </w:p>
    <w:tbl>
      <w:tblPr>
        <w:tblStyle w:val="2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3DAF01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B5909D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487D7CC">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42B34F8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A1398FA">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15957DDE">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25DEE38D">
            <w:pPr>
              <w:wordWrap w:val="0"/>
              <w:adjustRightInd w:val="0"/>
              <w:snapToGrid w:val="0"/>
              <w:spacing w:line="400" w:lineRule="exact"/>
              <w:jc w:val="center"/>
              <w:rPr>
                <w:rFonts w:hAnsi="宋体" w:cs="宋体"/>
                <w:snapToGrid w:val="0"/>
                <w:color w:val="auto"/>
                <w:kern w:val="0"/>
                <w:sz w:val="21"/>
                <w:szCs w:val="21"/>
                <w:highlight w:val="none"/>
              </w:rPr>
            </w:pPr>
          </w:p>
        </w:tc>
      </w:tr>
      <w:tr w14:paraId="2274AA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0C539B4">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8D89C9A">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FB8EEC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4BE04ECC">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5F9F87D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96649EA">
            <w:pPr>
              <w:wordWrap w:val="0"/>
              <w:adjustRightInd w:val="0"/>
              <w:snapToGrid w:val="0"/>
              <w:spacing w:line="400" w:lineRule="exact"/>
              <w:jc w:val="center"/>
              <w:rPr>
                <w:rFonts w:hAnsi="宋体" w:cs="宋体"/>
                <w:snapToGrid w:val="0"/>
                <w:color w:val="auto"/>
                <w:kern w:val="0"/>
                <w:sz w:val="21"/>
                <w:szCs w:val="21"/>
                <w:highlight w:val="none"/>
              </w:rPr>
            </w:pPr>
          </w:p>
        </w:tc>
      </w:tr>
      <w:tr w14:paraId="744926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90A11D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7EC3963">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DC46DC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2FA05486">
            <w:pPr>
              <w:wordWrap w:val="0"/>
              <w:adjustRightInd w:val="0"/>
              <w:snapToGrid w:val="0"/>
              <w:spacing w:line="400" w:lineRule="exact"/>
              <w:jc w:val="center"/>
              <w:rPr>
                <w:rFonts w:hAnsi="宋体" w:cs="宋体"/>
                <w:snapToGrid w:val="0"/>
                <w:color w:val="auto"/>
                <w:kern w:val="0"/>
                <w:sz w:val="21"/>
                <w:szCs w:val="21"/>
                <w:highlight w:val="none"/>
              </w:rPr>
            </w:pPr>
          </w:p>
        </w:tc>
      </w:tr>
      <w:tr w14:paraId="0FB58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092BE9E">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3FE2052F">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名称：                               证书号：</w:t>
            </w:r>
          </w:p>
        </w:tc>
      </w:tr>
      <w:tr w14:paraId="788165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6A739C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460CB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7B9EA15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4256E3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CD1A430">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1BD258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E8A955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101022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A65AB2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66E6FD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632C793">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C310EFA">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7136CE7">
            <w:pPr>
              <w:wordWrap w:val="0"/>
              <w:adjustRightInd w:val="0"/>
              <w:snapToGrid w:val="0"/>
              <w:spacing w:line="400" w:lineRule="exact"/>
              <w:jc w:val="center"/>
              <w:rPr>
                <w:rFonts w:hAnsi="宋体" w:cs="宋体"/>
                <w:snapToGrid w:val="0"/>
                <w:color w:val="auto"/>
                <w:kern w:val="0"/>
                <w:sz w:val="21"/>
                <w:szCs w:val="21"/>
                <w:highlight w:val="none"/>
              </w:rPr>
            </w:pPr>
          </w:p>
        </w:tc>
      </w:tr>
      <w:tr w14:paraId="5000C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7CD7EBF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7F761196">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9CB57C5">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4D28651">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736CA75">
            <w:pPr>
              <w:wordWrap w:val="0"/>
              <w:adjustRightInd w:val="0"/>
              <w:snapToGrid w:val="0"/>
              <w:spacing w:line="400" w:lineRule="exact"/>
              <w:jc w:val="center"/>
              <w:rPr>
                <w:rFonts w:hAnsi="宋体" w:cs="宋体"/>
                <w:snapToGrid w:val="0"/>
                <w:color w:val="auto"/>
                <w:kern w:val="0"/>
                <w:sz w:val="21"/>
                <w:szCs w:val="21"/>
                <w:highlight w:val="none"/>
              </w:rPr>
            </w:pPr>
          </w:p>
        </w:tc>
      </w:tr>
      <w:tr w14:paraId="3C34A0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C61359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4BFF476">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648A5EA">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EB023B2">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22C581F">
            <w:pPr>
              <w:wordWrap w:val="0"/>
              <w:adjustRightInd w:val="0"/>
              <w:snapToGrid w:val="0"/>
              <w:spacing w:line="400" w:lineRule="exact"/>
              <w:jc w:val="center"/>
              <w:rPr>
                <w:rFonts w:hAnsi="宋体" w:cs="宋体"/>
                <w:snapToGrid w:val="0"/>
                <w:color w:val="auto"/>
                <w:kern w:val="0"/>
                <w:sz w:val="21"/>
                <w:szCs w:val="21"/>
                <w:highlight w:val="none"/>
              </w:rPr>
            </w:pPr>
          </w:p>
        </w:tc>
      </w:tr>
      <w:tr w14:paraId="04193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EF43A0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A555155">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B1924C6">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CD2D6F8">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998F58D">
            <w:pPr>
              <w:wordWrap w:val="0"/>
              <w:adjustRightInd w:val="0"/>
              <w:snapToGrid w:val="0"/>
              <w:spacing w:line="400" w:lineRule="exact"/>
              <w:jc w:val="center"/>
              <w:rPr>
                <w:rFonts w:hAnsi="宋体" w:cs="宋体"/>
                <w:snapToGrid w:val="0"/>
                <w:color w:val="auto"/>
                <w:kern w:val="0"/>
                <w:sz w:val="21"/>
                <w:szCs w:val="21"/>
                <w:highlight w:val="none"/>
              </w:rPr>
            </w:pPr>
          </w:p>
        </w:tc>
      </w:tr>
    </w:tbl>
    <w:p w14:paraId="4A639EE7">
      <w:pPr>
        <w:adjustRightInd w:val="0"/>
        <w:snapToGrid w:val="0"/>
        <w:spacing w:line="400" w:lineRule="exact"/>
        <w:rPr>
          <w:rFonts w:hAnsi="宋体" w:cs="宋体"/>
          <w:color w:val="auto"/>
          <w:highlight w:val="none"/>
        </w:rPr>
      </w:pPr>
    </w:p>
    <w:p w14:paraId="24C46161">
      <w:pPr>
        <w:pStyle w:val="42"/>
        <w:wordWrap w:val="0"/>
        <w:adjustRightInd w:val="0"/>
        <w:snapToGrid w:val="0"/>
        <w:spacing w:line="400" w:lineRule="exact"/>
        <w:jc w:val="right"/>
        <w:rPr>
          <w:rFonts w:hAnsi="宋体" w:cs="宋体"/>
          <w:snapToGrid w:val="0"/>
          <w:color w:val="auto"/>
          <w:kern w:val="0"/>
          <w:highlight w:val="none"/>
        </w:rPr>
      </w:pPr>
    </w:p>
    <w:p w14:paraId="5CDC1ECA">
      <w:pPr>
        <w:pStyle w:val="42"/>
        <w:wordWrap w:val="0"/>
        <w:adjustRightInd w:val="0"/>
        <w:snapToGrid w:val="0"/>
        <w:spacing w:line="400" w:lineRule="exact"/>
        <w:jc w:val="right"/>
        <w:rPr>
          <w:rFonts w:hAnsi="宋体" w:cs="宋体"/>
          <w:snapToGrid w:val="0"/>
          <w:color w:val="auto"/>
          <w:kern w:val="0"/>
          <w:highlight w:val="none"/>
        </w:rPr>
      </w:pPr>
      <w:r>
        <w:rPr>
          <w:rFonts w:hint="eastAsia" w:hAnsi="宋体" w:cs="宋体"/>
          <w:snapToGrid w:val="0"/>
          <w:color w:val="auto"/>
          <w:kern w:val="0"/>
          <w:highlight w:val="none"/>
        </w:rPr>
        <w:t>总监理工程师：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（签字）</w:t>
      </w:r>
    </w:p>
    <w:p w14:paraId="4D8535F8">
      <w:pPr>
        <w:pStyle w:val="42"/>
        <w:wordWrap w:val="0"/>
        <w:adjustRightInd w:val="0"/>
        <w:snapToGrid w:val="0"/>
        <w:spacing w:line="400" w:lineRule="exact"/>
        <w:jc w:val="center"/>
        <w:rPr>
          <w:rFonts w:hAnsi="宋体" w:cs="宋体"/>
          <w:snapToGrid w:val="0"/>
          <w:color w:val="auto"/>
          <w:kern w:val="0"/>
          <w:highlight w:val="none"/>
        </w:rPr>
      </w:pPr>
      <w:r>
        <w:rPr>
          <w:rFonts w:hint="eastAsia" w:hAnsi="宋体" w:cs="宋体"/>
          <w:snapToGrid w:val="0"/>
          <w:color w:val="auto"/>
          <w:kern w:val="0"/>
          <w:highlight w:val="none"/>
        </w:rPr>
        <w:t xml:space="preserve">                                     </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年</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日</w:t>
      </w:r>
    </w:p>
    <w:p w14:paraId="6217F9C4">
      <w:pPr>
        <w:wordWrap w:val="0"/>
        <w:adjustRightInd w:val="0"/>
        <w:snapToGrid w:val="0"/>
        <w:spacing w:line="400" w:lineRule="exact"/>
        <w:ind w:firstLine="570"/>
        <w:rPr>
          <w:rFonts w:hAnsi="宋体" w:cs="宋体"/>
          <w:snapToGrid w:val="0"/>
          <w:color w:val="auto"/>
          <w:kern w:val="0"/>
          <w:szCs w:val="28"/>
          <w:highlight w:val="none"/>
        </w:rPr>
      </w:pPr>
    </w:p>
    <w:p w14:paraId="55DA66FE">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说明：《总监理工程师简历表》后应附拟派总监理工程师以下资料：</w:t>
      </w:r>
    </w:p>
    <w:p w14:paraId="476924F4">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39182276">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2．监理工程师注册证书彩色扫描件（须彩色扫描至变更注册栏）；</w:t>
      </w:r>
    </w:p>
    <w:p w14:paraId="118E72FF">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3．在本单位缴纳社保的证明（</w:t>
      </w:r>
      <w:r>
        <w:rPr>
          <w:rFonts w:hint="eastAsia" w:hAnsi="宋体" w:cs="宋体"/>
          <w:snapToGrid w:val="0"/>
          <w:color w:val="auto"/>
          <w:kern w:val="0"/>
          <w:sz w:val="21"/>
          <w:szCs w:val="28"/>
          <w:highlight w:val="none"/>
          <w:lang w:eastAsia="zh-CN"/>
        </w:rPr>
        <w:t>至少一个月</w:t>
      </w:r>
      <w:r>
        <w:rPr>
          <w:rFonts w:hint="eastAsia" w:hAnsi="宋体" w:cs="宋体"/>
          <w:snapToGrid w:val="0"/>
          <w:color w:val="auto"/>
          <w:kern w:val="0"/>
          <w:sz w:val="21"/>
          <w:szCs w:val="28"/>
          <w:highlight w:val="none"/>
        </w:rPr>
        <w:t>，其中必须有</w:t>
      </w:r>
      <w:r>
        <w:rPr>
          <w:rFonts w:hint="eastAsia" w:hAnsi="宋体" w:cs="宋体"/>
          <w:snapToGrid w:val="0"/>
          <w:color w:val="auto"/>
          <w:kern w:val="0"/>
          <w:sz w:val="21"/>
          <w:szCs w:val="28"/>
          <w:highlight w:val="none"/>
          <w:lang w:eastAsia="zh-CN"/>
        </w:rPr>
        <w:t>2025年9月</w:t>
      </w:r>
      <w:r>
        <w:rPr>
          <w:rFonts w:hint="eastAsia" w:hAnsi="宋体" w:cs="宋体"/>
          <w:snapToGrid w:val="0"/>
          <w:color w:val="auto"/>
          <w:kern w:val="0"/>
          <w:sz w:val="21"/>
          <w:szCs w:val="28"/>
          <w:highlight w:val="none"/>
        </w:rPr>
        <w:t>）彩色扫描件。拟派总监理工程师为退休返聘人员无法提供社保证明的，提供退休证和劳动合同</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lang w:val="en-US" w:eastAsia="zh-CN"/>
        </w:rPr>
        <w:t>返聘协议</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彩色扫描件；</w:t>
      </w:r>
    </w:p>
    <w:p w14:paraId="0A6EEE66">
      <w:pPr>
        <w:pStyle w:val="6"/>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4.“进粤企业和人员诚信信息登记平台”个人（总监理工程师等）信息情况截图。（适用于省外建筑企业）</w:t>
      </w:r>
    </w:p>
    <w:p w14:paraId="26E262C9">
      <w:pPr>
        <w:pStyle w:val="6"/>
        <w:snapToGrid w:val="0"/>
        <w:spacing w:line="400" w:lineRule="exact"/>
        <w:rPr>
          <w:rFonts w:hAnsi="宋体" w:cs="宋体"/>
          <w:snapToGrid w:val="0"/>
          <w:color w:val="auto"/>
          <w:sz w:val="21"/>
          <w:highlight w:val="none"/>
        </w:rPr>
      </w:pPr>
    </w:p>
    <w:p w14:paraId="2A44881C">
      <w:pPr>
        <w:adjustRightInd w:val="0"/>
        <w:snapToGrid w:val="0"/>
        <w:spacing w:line="400" w:lineRule="exact"/>
        <w:rPr>
          <w:rFonts w:hAnsi="宋体" w:cs="宋体"/>
          <w:b/>
          <w:bCs/>
          <w:snapToGrid w:val="0"/>
          <w:color w:val="auto"/>
          <w:kern w:val="0"/>
          <w:szCs w:val="24"/>
          <w:highlight w:val="none"/>
        </w:rPr>
      </w:pPr>
      <w:bookmarkStart w:id="225" w:name="_Toc19546"/>
      <w:r>
        <w:rPr>
          <w:rFonts w:hint="eastAsia" w:hAnsi="宋体" w:cs="宋体"/>
          <w:b/>
          <w:bCs/>
          <w:snapToGrid w:val="0"/>
          <w:color w:val="auto"/>
          <w:kern w:val="0"/>
          <w:szCs w:val="24"/>
          <w:highlight w:val="none"/>
        </w:rPr>
        <w:br w:type="page"/>
      </w:r>
    </w:p>
    <w:p w14:paraId="36D1D628">
      <w:pPr>
        <w:pStyle w:val="45"/>
        <w:keepNext/>
        <w:keepLines/>
        <w:snapToGrid w:val="0"/>
        <w:spacing w:line="400" w:lineRule="exact"/>
        <w:jc w:val="both"/>
        <w:rPr>
          <w:rFonts w:ascii="宋体" w:hAnsi="宋体" w:cs="宋体"/>
          <w:b/>
          <w:bCs/>
          <w:snapToGrid w:val="0"/>
          <w:color w:val="auto"/>
          <w:highlight w:val="none"/>
        </w:rPr>
      </w:pPr>
      <w:bookmarkStart w:id="226" w:name="_Toc4821"/>
      <w:r>
        <w:rPr>
          <w:rFonts w:hint="eastAsia" w:ascii="宋体" w:hAnsi="宋体" w:cs="宋体"/>
          <w:b/>
          <w:bCs/>
          <w:snapToGrid w:val="0"/>
          <w:color w:val="auto"/>
          <w:highlight w:val="none"/>
        </w:rPr>
        <w:t>格式十二  其他拟派人员简历表</w:t>
      </w:r>
      <w:bookmarkEnd w:id="225"/>
      <w:bookmarkEnd w:id="226"/>
    </w:p>
    <w:p w14:paraId="4E4022E5">
      <w:pPr>
        <w:adjustRightInd w:val="0"/>
        <w:snapToGrid w:val="0"/>
        <w:spacing w:line="400" w:lineRule="exact"/>
        <w:jc w:val="center"/>
        <w:rPr>
          <w:rFonts w:hAnsi="宋体" w:cs="宋体"/>
          <w:b/>
          <w:bCs/>
          <w:color w:val="auto"/>
          <w:sz w:val="32"/>
          <w:szCs w:val="22"/>
          <w:highlight w:val="none"/>
        </w:rPr>
      </w:pPr>
    </w:p>
    <w:p w14:paraId="421051C2">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其他拟派人员简历表（）</w:t>
      </w:r>
    </w:p>
    <w:tbl>
      <w:tblPr>
        <w:tblStyle w:val="2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5F35B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B1A4B6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512079B8">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8267BC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30802B56">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1E49C48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1E4F41B9">
            <w:pPr>
              <w:wordWrap w:val="0"/>
              <w:adjustRightInd w:val="0"/>
              <w:snapToGrid w:val="0"/>
              <w:spacing w:line="400" w:lineRule="exact"/>
              <w:jc w:val="center"/>
              <w:rPr>
                <w:rFonts w:hAnsi="宋体" w:cs="宋体"/>
                <w:snapToGrid w:val="0"/>
                <w:color w:val="auto"/>
                <w:kern w:val="0"/>
                <w:sz w:val="21"/>
                <w:szCs w:val="21"/>
                <w:highlight w:val="none"/>
              </w:rPr>
            </w:pPr>
          </w:p>
        </w:tc>
      </w:tr>
      <w:tr w14:paraId="19722D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47C2915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77C64AC8">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5B138A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4F29159D">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D0CC40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59616B33">
            <w:pPr>
              <w:wordWrap w:val="0"/>
              <w:adjustRightInd w:val="0"/>
              <w:snapToGrid w:val="0"/>
              <w:spacing w:line="400" w:lineRule="exact"/>
              <w:jc w:val="center"/>
              <w:rPr>
                <w:rFonts w:hAnsi="宋体" w:cs="宋体"/>
                <w:snapToGrid w:val="0"/>
                <w:color w:val="auto"/>
                <w:kern w:val="0"/>
                <w:sz w:val="21"/>
                <w:szCs w:val="21"/>
                <w:highlight w:val="none"/>
              </w:rPr>
            </w:pPr>
          </w:p>
        </w:tc>
      </w:tr>
      <w:tr w14:paraId="1AB93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7BFCFA8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AACBE72">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52BB9D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3A8FE4C0">
            <w:pPr>
              <w:wordWrap w:val="0"/>
              <w:adjustRightInd w:val="0"/>
              <w:snapToGrid w:val="0"/>
              <w:spacing w:line="400" w:lineRule="exact"/>
              <w:jc w:val="center"/>
              <w:rPr>
                <w:rFonts w:hAnsi="宋体" w:cs="宋体"/>
                <w:snapToGrid w:val="0"/>
                <w:color w:val="auto"/>
                <w:kern w:val="0"/>
                <w:sz w:val="21"/>
                <w:szCs w:val="21"/>
                <w:highlight w:val="none"/>
              </w:rPr>
            </w:pPr>
          </w:p>
        </w:tc>
      </w:tr>
      <w:tr w14:paraId="3FCA07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02C72E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7465DF1D">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40D47BFB">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61788C32">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r>
              <w:rPr>
                <w:rFonts w:hint="eastAsia" w:hAnsi="宋体" w:cs="宋体"/>
                <w:snapToGrid w:val="0"/>
                <w:color w:val="auto"/>
                <w:kern w:val="0"/>
                <w:sz w:val="21"/>
                <w:szCs w:val="28"/>
                <w:highlight w:val="none"/>
              </w:rPr>
              <w:t>．……</w:t>
            </w:r>
          </w:p>
        </w:tc>
      </w:tr>
      <w:tr w14:paraId="41F6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462D5D7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70CFE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0877EFB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3F1808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E95F7E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7078A8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28D452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3FDE06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500272B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B08981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6A9666">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402779A">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C979C7E">
            <w:pPr>
              <w:wordWrap w:val="0"/>
              <w:adjustRightInd w:val="0"/>
              <w:snapToGrid w:val="0"/>
              <w:spacing w:line="400" w:lineRule="exact"/>
              <w:jc w:val="center"/>
              <w:rPr>
                <w:rFonts w:hAnsi="宋体" w:cs="宋体"/>
                <w:snapToGrid w:val="0"/>
                <w:color w:val="auto"/>
                <w:kern w:val="0"/>
                <w:sz w:val="21"/>
                <w:szCs w:val="21"/>
                <w:highlight w:val="none"/>
              </w:rPr>
            </w:pPr>
          </w:p>
        </w:tc>
      </w:tr>
      <w:tr w14:paraId="28608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F0E7780">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B24FB35">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7C7C7AD8">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7DC2907">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4D9946C">
            <w:pPr>
              <w:wordWrap w:val="0"/>
              <w:adjustRightInd w:val="0"/>
              <w:snapToGrid w:val="0"/>
              <w:spacing w:line="400" w:lineRule="exact"/>
              <w:jc w:val="center"/>
              <w:rPr>
                <w:rFonts w:hAnsi="宋体" w:cs="宋体"/>
                <w:snapToGrid w:val="0"/>
                <w:color w:val="auto"/>
                <w:kern w:val="0"/>
                <w:sz w:val="21"/>
                <w:szCs w:val="21"/>
                <w:highlight w:val="none"/>
              </w:rPr>
            </w:pPr>
          </w:p>
        </w:tc>
      </w:tr>
      <w:tr w14:paraId="0464A3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6CC825E">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B032C0A">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0B81A961">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B297678">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F5048B8">
            <w:pPr>
              <w:wordWrap w:val="0"/>
              <w:adjustRightInd w:val="0"/>
              <w:snapToGrid w:val="0"/>
              <w:spacing w:line="400" w:lineRule="exact"/>
              <w:jc w:val="center"/>
              <w:rPr>
                <w:rFonts w:hAnsi="宋体" w:cs="宋体"/>
                <w:snapToGrid w:val="0"/>
                <w:color w:val="auto"/>
                <w:kern w:val="0"/>
                <w:sz w:val="21"/>
                <w:szCs w:val="21"/>
                <w:highlight w:val="none"/>
              </w:rPr>
            </w:pPr>
          </w:p>
        </w:tc>
      </w:tr>
      <w:tr w14:paraId="3061DC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C87243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551EA20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35A1716">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4AD2386">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60C0D06">
            <w:pPr>
              <w:wordWrap w:val="0"/>
              <w:adjustRightInd w:val="0"/>
              <w:snapToGrid w:val="0"/>
              <w:spacing w:line="400" w:lineRule="exact"/>
              <w:jc w:val="center"/>
              <w:rPr>
                <w:rFonts w:hAnsi="宋体" w:cs="宋体"/>
                <w:snapToGrid w:val="0"/>
                <w:color w:val="auto"/>
                <w:kern w:val="0"/>
                <w:sz w:val="21"/>
                <w:szCs w:val="21"/>
                <w:highlight w:val="none"/>
              </w:rPr>
            </w:pPr>
          </w:p>
        </w:tc>
      </w:tr>
    </w:tbl>
    <w:p w14:paraId="3A722986">
      <w:pPr>
        <w:pStyle w:val="42"/>
        <w:wordWrap w:val="0"/>
        <w:adjustRightInd w:val="0"/>
        <w:snapToGrid w:val="0"/>
        <w:spacing w:line="400" w:lineRule="exact"/>
        <w:rPr>
          <w:rFonts w:hAnsi="宋体" w:cs="宋体"/>
          <w:snapToGrid w:val="0"/>
          <w:color w:val="auto"/>
          <w:kern w:val="0"/>
          <w:highlight w:val="none"/>
        </w:rPr>
      </w:pPr>
    </w:p>
    <w:p w14:paraId="33A28237">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w:t>
      </w:r>
    </w:p>
    <w:p w14:paraId="00E45FC6">
      <w:pPr>
        <w:wordWrap w:val="0"/>
        <w:adjustRightInd w:val="0"/>
        <w:snapToGrid w:val="0"/>
        <w:spacing w:line="40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hAnsi="宋体" w:cs="宋体"/>
          <w:snapToGrid w:val="0"/>
          <w:color w:val="auto"/>
          <w:kern w:val="0"/>
          <w:sz w:val="21"/>
          <w:szCs w:val="21"/>
          <w:highlight w:val="none"/>
        </w:rPr>
        <w:t>并标明序号。</w:t>
      </w:r>
    </w:p>
    <w:p w14:paraId="7EEFD0E9">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2．每份简历表后应附该拟派人员以下资料：</w:t>
      </w:r>
    </w:p>
    <w:p w14:paraId="6422DB85">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00B95211">
      <w:pPr>
        <w:wordWrap w:val="0"/>
        <w:adjustRightInd w:val="0"/>
        <w:snapToGrid w:val="0"/>
        <w:spacing w:line="40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8"/>
          <w:highlight w:val="none"/>
        </w:rPr>
        <w:t>（2）相关证书（具体要求详见招标文件第一章第三节第</w:t>
      </w:r>
      <w:r>
        <w:rPr>
          <w:rFonts w:hint="eastAsia" w:hAnsi="宋体" w:cs="宋体"/>
          <w:b/>
          <w:bCs/>
          <w:snapToGrid w:val="0"/>
          <w:color w:val="auto"/>
          <w:kern w:val="0"/>
          <w:sz w:val="21"/>
          <w:szCs w:val="28"/>
          <w:highlight w:val="none"/>
        </w:rPr>
        <w:t>15.5</w:t>
      </w:r>
      <w:r>
        <w:rPr>
          <w:rFonts w:hint="eastAsia" w:hAnsi="宋体" w:cs="宋体"/>
          <w:snapToGrid w:val="0"/>
          <w:color w:val="auto"/>
          <w:kern w:val="0"/>
          <w:sz w:val="21"/>
          <w:szCs w:val="28"/>
          <w:highlight w:val="none"/>
        </w:rPr>
        <w:t>条表</w:t>
      </w:r>
      <w:r>
        <w:rPr>
          <w:rFonts w:hint="eastAsia" w:hAnsi="宋体" w:cs="宋体"/>
          <w:b/>
          <w:bCs/>
          <w:snapToGrid w:val="0"/>
          <w:color w:val="auto"/>
          <w:kern w:val="0"/>
          <w:sz w:val="21"/>
          <w:szCs w:val="28"/>
          <w:highlight w:val="none"/>
        </w:rPr>
        <w:t>2</w:t>
      </w:r>
      <w:r>
        <w:rPr>
          <w:rFonts w:hint="eastAsia" w:hAnsi="宋体" w:cs="宋体"/>
          <w:snapToGrid w:val="0"/>
          <w:color w:val="auto"/>
          <w:kern w:val="0"/>
          <w:sz w:val="21"/>
          <w:szCs w:val="28"/>
          <w:highlight w:val="none"/>
        </w:rPr>
        <w:t>《项目监理机构其他人员需求表》“持证要求”栏目）彩色扫描件，其中注册证书须彩色扫描至变更注册栏</w:t>
      </w:r>
      <w:r>
        <w:rPr>
          <w:rFonts w:hint="eastAsia" w:hAnsi="宋体" w:cs="宋体"/>
          <w:snapToGrid w:val="0"/>
          <w:color w:val="auto"/>
          <w:kern w:val="0"/>
          <w:sz w:val="21"/>
          <w:szCs w:val="21"/>
          <w:highlight w:val="none"/>
        </w:rPr>
        <w:t>；</w:t>
      </w:r>
    </w:p>
    <w:p w14:paraId="352CC0E5">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Times New Roman"/>
          <w:snapToGrid w:val="0"/>
          <w:color w:val="auto"/>
          <w:kern w:val="0"/>
          <w:sz w:val="21"/>
          <w:szCs w:val="28"/>
          <w:highlight w:val="none"/>
        </w:rPr>
        <w:t>在本单位缴纳社保的证明</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8"/>
          <w:highlight w:val="none"/>
          <w:lang w:eastAsia="zh-CN"/>
        </w:rPr>
        <w:t>至少一个月</w:t>
      </w:r>
      <w:r>
        <w:rPr>
          <w:rFonts w:hint="eastAsia" w:hAnsi="宋体" w:cs="宋体"/>
          <w:snapToGrid w:val="0"/>
          <w:color w:val="auto"/>
          <w:kern w:val="0"/>
          <w:sz w:val="21"/>
          <w:szCs w:val="28"/>
          <w:highlight w:val="none"/>
        </w:rPr>
        <w:t>，其中必须有</w:t>
      </w:r>
      <w:r>
        <w:rPr>
          <w:rFonts w:hint="eastAsia" w:hAnsi="宋体" w:cs="宋体"/>
          <w:snapToGrid w:val="0"/>
          <w:color w:val="auto"/>
          <w:kern w:val="0"/>
          <w:sz w:val="21"/>
          <w:szCs w:val="28"/>
          <w:highlight w:val="none"/>
          <w:lang w:eastAsia="zh-CN"/>
        </w:rPr>
        <w:t>2025年9月</w:t>
      </w:r>
      <w:r>
        <w:rPr>
          <w:rFonts w:hint="eastAsia" w:hAnsi="宋体" w:cs="宋体"/>
          <w:snapToGrid w:val="0"/>
          <w:color w:val="auto"/>
          <w:kern w:val="0"/>
          <w:sz w:val="21"/>
          <w:szCs w:val="28"/>
          <w:highlight w:val="none"/>
        </w:rPr>
        <w:t>）</w:t>
      </w:r>
      <w:r>
        <w:rPr>
          <w:rFonts w:hint="eastAsia" w:ascii="Times New Roman"/>
          <w:snapToGrid w:val="0"/>
          <w:color w:val="auto"/>
          <w:kern w:val="0"/>
          <w:sz w:val="21"/>
          <w:szCs w:val="28"/>
          <w:highlight w:val="none"/>
        </w:rPr>
        <w:t>彩色扫描件。拟派人员为退休返聘人员无法提供社保证明的，提供退休证和劳动合同</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lang w:val="en-US" w:eastAsia="zh-CN"/>
        </w:rPr>
        <w:t>返聘协议</w:t>
      </w:r>
      <w:r>
        <w:rPr>
          <w:rFonts w:hint="eastAsia" w:hAnsi="宋体" w:cs="宋体"/>
          <w:snapToGrid w:val="0"/>
          <w:color w:val="auto"/>
          <w:kern w:val="0"/>
          <w:sz w:val="21"/>
          <w:szCs w:val="28"/>
          <w:highlight w:val="none"/>
          <w:lang w:eastAsia="zh-CN"/>
        </w:rPr>
        <w:t>）</w:t>
      </w:r>
      <w:r>
        <w:rPr>
          <w:rFonts w:hint="eastAsia" w:ascii="Times New Roman"/>
          <w:snapToGrid w:val="0"/>
          <w:color w:val="auto"/>
          <w:kern w:val="0"/>
          <w:sz w:val="21"/>
          <w:szCs w:val="28"/>
          <w:highlight w:val="none"/>
        </w:rPr>
        <w:t>彩色扫描件；</w:t>
      </w:r>
    </w:p>
    <w:p w14:paraId="04243789">
      <w:pPr>
        <w:pStyle w:val="6"/>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3.“进粤企业和人员诚信信息登记平台”个人信息情况截图。（适用于省外建筑企业）</w:t>
      </w:r>
    </w:p>
    <w:p w14:paraId="2E2B18CA">
      <w:pPr>
        <w:rPr>
          <w:color w:val="auto"/>
          <w:highlight w:val="none"/>
        </w:rPr>
      </w:pPr>
      <w:bookmarkStart w:id="227" w:name="_Toc593"/>
      <w:bookmarkStart w:id="228" w:name="_Toc25312"/>
    </w:p>
    <w:p w14:paraId="0E14E2B3">
      <w:pPr>
        <w:rPr>
          <w:color w:val="auto"/>
          <w:highlight w:val="none"/>
        </w:rPr>
      </w:pPr>
    </w:p>
    <w:p w14:paraId="7DCCFFAD">
      <w:pPr>
        <w:rPr>
          <w:color w:val="auto"/>
          <w:highlight w:val="none"/>
        </w:rPr>
      </w:pPr>
    </w:p>
    <w:p w14:paraId="1434B56A">
      <w:pPr>
        <w:rPr>
          <w:color w:val="auto"/>
          <w:highlight w:val="none"/>
        </w:rPr>
      </w:pPr>
    </w:p>
    <w:p w14:paraId="711B88DE">
      <w:pPr>
        <w:rPr>
          <w:color w:val="auto"/>
          <w:highlight w:val="none"/>
        </w:rPr>
      </w:pPr>
    </w:p>
    <w:bookmarkEnd w:id="227"/>
    <w:bookmarkEnd w:id="228"/>
    <w:p w14:paraId="5D5DA391">
      <w:pPr>
        <w:pStyle w:val="46"/>
        <w:keepNext/>
        <w:keepLines/>
        <w:snapToGrid w:val="0"/>
        <w:spacing w:line="400" w:lineRule="exact"/>
        <w:jc w:val="center"/>
        <w:rPr>
          <w:rFonts w:ascii="宋体" w:hAnsi="宋体" w:cs="宋体"/>
          <w:b/>
          <w:color w:val="auto"/>
          <w:kern w:val="44"/>
          <w:sz w:val="32"/>
          <w:szCs w:val="22"/>
          <w:highlight w:val="none"/>
        </w:rPr>
      </w:pPr>
      <w:bookmarkStart w:id="229" w:name="_Toc137444778"/>
      <w:bookmarkStart w:id="230" w:name="_Toc13722"/>
      <w:bookmarkStart w:id="231" w:name="_Toc26988"/>
      <w:bookmarkStart w:id="232" w:name="_Toc133160683"/>
      <w:bookmarkStart w:id="233" w:name="_Toc3174"/>
      <w:bookmarkStart w:id="234" w:name="_Toc142468134"/>
      <w:bookmarkStart w:id="235" w:name="_Toc132687128"/>
      <w:bookmarkStart w:id="236" w:name="_Toc133815902"/>
      <w:bookmarkStart w:id="237" w:name="_Toc78794873"/>
      <w:r>
        <w:rPr>
          <w:rFonts w:hint="eastAsia" w:ascii="宋体" w:hAnsi="宋体" w:cs="宋体"/>
          <w:b/>
          <w:color w:val="auto"/>
          <w:kern w:val="44"/>
          <w:sz w:val="32"/>
          <w:szCs w:val="22"/>
          <w:highlight w:val="none"/>
        </w:rPr>
        <w:t>第六章 建设工程监理合同</w:t>
      </w:r>
      <w:bookmarkEnd w:id="229"/>
      <w:bookmarkEnd w:id="230"/>
      <w:bookmarkEnd w:id="231"/>
      <w:bookmarkEnd w:id="232"/>
      <w:bookmarkEnd w:id="233"/>
      <w:bookmarkEnd w:id="234"/>
      <w:bookmarkEnd w:id="235"/>
    </w:p>
    <w:p w14:paraId="6D9AEA93">
      <w:pPr>
        <w:wordWrap w:val="0"/>
        <w:adjustRightInd w:val="0"/>
        <w:snapToGrid w:val="0"/>
        <w:spacing w:before="360" w:beforeLines="150" w:line="400" w:lineRule="exact"/>
        <w:rPr>
          <w:rFonts w:hAnsi="宋体" w:cs="宋体"/>
          <w:color w:val="auto"/>
          <w:highlight w:val="none"/>
        </w:rPr>
      </w:pPr>
      <w:r>
        <w:rPr>
          <w:rFonts w:hint="eastAsia" w:hAnsi="宋体" w:cs="宋体"/>
          <w:snapToGrid w:val="0"/>
          <w:color w:val="auto"/>
          <w:kern w:val="0"/>
          <w:highlight w:val="none"/>
        </w:rPr>
        <w:t xml:space="preserve">    （略），</w:t>
      </w:r>
      <w:bookmarkEnd w:id="236"/>
      <w:bookmarkEnd w:id="237"/>
      <w:r>
        <w:rPr>
          <w:rFonts w:hint="eastAsia" w:hAnsi="宋体" w:cs="宋体"/>
          <w:snapToGrid w:val="0"/>
          <w:color w:val="auto"/>
          <w:kern w:val="0"/>
          <w:highlight w:val="none"/>
        </w:rPr>
        <w:t>按照《建设工程监理合同（示范文本）》（GF—2012—0202）执行。</w:t>
      </w:r>
    </w:p>
    <w:p w14:paraId="24B909A6">
      <w:pPr>
        <w:pStyle w:val="6"/>
        <w:snapToGrid w:val="0"/>
        <w:spacing w:line="400" w:lineRule="exact"/>
        <w:rPr>
          <w:rFonts w:hAnsi="宋体" w:cs="宋体"/>
          <w:snapToGrid w:val="0"/>
          <w:color w:val="auto"/>
          <w:highlight w:val="none"/>
        </w:rPr>
      </w:pPr>
    </w:p>
    <w:p w14:paraId="69FA4F3A">
      <w:pPr>
        <w:pStyle w:val="41"/>
        <w:widowControl w:val="0"/>
        <w:wordWrap w:val="0"/>
        <w:adjustRightInd w:val="0"/>
        <w:snapToGrid w:val="0"/>
        <w:spacing w:line="400" w:lineRule="exact"/>
        <w:ind w:firstLine="0"/>
        <w:rPr>
          <w:rFonts w:hAnsi="宋体" w:cs="宋体"/>
          <w:snapToGrid w:val="0"/>
          <w:color w:val="auto"/>
          <w:sz w:val="21"/>
          <w:highlight w:val="none"/>
        </w:rPr>
      </w:pPr>
    </w:p>
    <w:p w14:paraId="761C2E90">
      <w:pPr>
        <w:rPr>
          <w:color w:val="auto"/>
          <w:highlight w:val="none"/>
        </w:rPr>
      </w:pPr>
    </w:p>
    <w:sectPr>
      <w:footerReference r:id="rId7" w:type="default"/>
      <w:endnotePr>
        <w:numFmt w:val="decimal"/>
      </w:endnotePr>
      <w:pgSz w:w="11906" w:h="16838"/>
      <w:pgMar w:top="1440" w:right="1080" w:bottom="1440" w:left="1080" w:header="850" w:footer="850" w:gutter="0"/>
      <w:pgNumType w:fmt="decimal"/>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2358A">
    <w:pPr>
      <w:pStyle w:val="15"/>
    </w:pPr>
  </w:p>
  <w:p w14:paraId="6964C42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7368">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66B014">
                          <w:pPr>
                            <w:pStyle w:val="15"/>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NgGEXXAQAAsgMAAA4AAAAAAAAAAQAgAAAA&#10;HgEAAGRycy9lMm9Eb2MueG1sUEsFBgAAAAAGAAYAWQEAAGcFAAAAAA==&#10;">
              <v:fill on="f" focussize="0,0"/>
              <v:stroke on="f"/>
              <v:imagedata o:title=""/>
              <o:lock v:ext="edit" aspectratio="f"/>
              <v:textbox inset="0mm,0mm,0mm,0mm" style="mso-fit-shape-to-text:t;">
                <w:txbxContent>
                  <w:p w14:paraId="5A66B014">
                    <w:pPr>
                      <w:pStyle w:val="15"/>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5248C">
    <w:pPr>
      <w:pStyle w:val="1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E0CA8F">
                          <w:pPr>
                            <w:pStyle w:val="15"/>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00E0CA8F">
                    <w:pPr>
                      <w:pStyle w:val="15"/>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yYThlMzZiYWJmYzc5MjQ4YmU4NGNmODU5ZDE0YWIifQ=="/>
  </w:docVars>
  <w:rsids>
    <w:rsidRoot w:val="66FA7097"/>
    <w:rsid w:val="007535E1"/>
    <w:rsid w:val="01785B98"/>
    <w:rsid w:val="01B974D3"/>
    <w:rsid w:val="034F0B7A"/>
    <w:rsid w:val="0371289F"/>
    <w:rsid w:val="03DF4502"/>
    <w:rsid w:val="047F0FEB"/>
    <w:rsid w:val="0494241D"/>
    <w:rsid w:val="05F8588B"/>
    <w:rsid w:val="06540256"/>
    <w:rsid w:val="081464DB"/>
    <w:rsid w:val="089D360C"/>
    <w:rsid w:val="0C5E251C"/>
    <w:rsid w:val="0D7855E9"/>
    <w:rsid w:val="0E3920DC"/>
    <w:rsid w:val="0E6761E8"/>
    <w:rsid w:val="0EEE2070"/>
    <w:rsid w:val="0FC30C31"/>
    <w:rsid w:val="11CB447B"/>
    <w:rsid w:val="11FE3E97"/>
    <w:rsid w:val="1920416A"/>
    <w:rsid w:val="1A2A49B8"/>
    <w:rsid w:val="1ABD41C4"/>
    <w:rsid w:val="1B902A8C"/>
    <w:rsid w:val="1CDD28FB"/>
    <w:rsid w:val="1D163264"/>
    <w:rsid w:val="1DEF2EA7"/>
    <w:rsid w:val="1E041CD3"/>
    <w:rsid w:val="1F996FAD"/>
    <w:rsid w:val="209561F4"/>
    <w:rsid w:val="212A1E87"/>
    <w:rsid w:val="24D740D4"/>
    <w:rsid w:val="24ED38F7"/>
    <w:rsid w:val="25EB6089"/>
    <w:rsid w:val="26AF4EFB"/>
    <w:rsid w:val="278319E6"/>
    <w:rsid w:val="28243AD4"/>
    <w:rsid w:val="2A0F3EE7"/>
    <w:rsid w:val="2A946CEF"/>
    <w:rsid w:val="2B3D790B"/>
    <w:rsid w:val="2BD71534"/>
    <w:rsid w:val="2BD82C0B"/>
    <w:rsid w:val="2BFE428C"/>
    <w:rsid w:val="2D32459D"/>
    <w:rsid w:val="302145E0"/>
    <w:rsid w:val="304E127D"/>
    <w:rsid w:val="30DF4A3C"/>
    <w:rsid w:val="31F954E6"/>
    <w:rsid w:val="3219172E"/>
    <w:rsid w:val="323A4CC0"/>
    <w:rsid w:val="32860A3A"/>
    <w:rsid w:val="329B21AE"/>
    <w:rsid w:val="33861558"/>
    <w:rsid w:val="341162F4"/>
    <w:rsid w:val="34460F36"/>
    <w:rsid w:val="34B4585E"/>
    <w:rsid w:val="35A4768F"/>
    <w:rsid w:val="35FA5E74"/>
    <w:rsid w:val="36B3674F"/>
    <w:rsid w:val="36CB38C9"/>
    <w:rsid w:val="379B110E"/>
    <w:rsid w:val="37A12A4B"/>
    <w:rsid w:val="3D006466"/>
    <w:rsid w:val="3DD65787"/>
    <w:rsid w:val="3DED3C7C"/>
    <w:rsid w:val="3EB10A79"/>
    <w:rsid w:val="3EB8082D"/>
    <w:rsid w:val="3F5C420E"/>
    <w:rsid w:val="3FDC0668"/>
    <w:rsid w:val="3FFD4EDF"/>
    <w:rsid w:val="409110DB"/>
    <w:rsid w:val="412A3AB2"/>
    <w:rsid w:val="427F38A6"/>
    <w:rsid w:val="44464048"/>
    <w:rsid w:val="449851D6"/>
    <w:rsid w:val="452D567B"/>
    <w:rsid w:val="46C6205E"/>
    <w:rsid w:val="47C14A44"/>
    <w:rsid w:val="4800731A"/>
    <w:rsid w:val="481C39B0"/>
    <w:rsid w:val="49C01DE7"/>
    <w:rsid w:val="4BF666B1"/>
    <w:rsid w:val="4C40160A"/>
    <w:rsid w:val="4D225F85"/>
    <w:rsid w:val="4EA50C1B"/>
    <w:rsid w:val="4F425986"/>
    <w:rsid w:val="4F7725B8"/>
    <w:rsid w:val="5002582E"/>
    <w:rsid w:val="5141363B"/>
    <w:rsid w:val="51617008"/>
    <w:rsid w:val="521560B8"/>
    <w:rsid w:val="52506890"/>
    <w:rsid w:val="52C6351E"/>
    <w:rsid w:val="52CC0F47"/>
    <w:rsid w:val="54CA69F1"/>
    <w:rsid w:val="56293EE0"/>
    <w:rsid w:val="56EC3E28"/>
    <w:rsid w:val="56EF15DD"/>
    <w:rsid w:val="57407733"/>
    <w:rsid w:val="579E08FE"/>
    <w:rsid w:val="57BA2840"/>
    <w:rsid w:val="590E560F"/>
    <w:rsid w:val="594D63A1"/>
    <w:rsid w:val="5A9304C2"/>
    <w:rsid w:val="5AE9424C"/>
    <w:rsid w:val="5AEE56F8"/>
    <w:rsid w:val="5CF5164B"/>
    <w:rsid w:val="5D3A093F"/>
    <w:rsid w:val="5E2860C2"/>
    <w:rsid w:val="603646D3"/>
    <w:rsid w:val="61F71336"/>
    <w:rsid w:val="635D166D"/>
    <w:rsid w:val="63D9257E"/>
    <w:rsid w:val="645C13EA"/>
    <w:rsid w:val="654E525A"/>
    <w:rsid w:val="666E1C77"/>
    <w:rsid w:val="66980E70"/>
    <w:rsid w:val="66FA7097"/>
    <w:rsid w:val="678A0557"/>
    <w:rsid w:val="67B438E5"/>
    <w:rsid w:val="68FC7232"/>
    <w:rsid w:val="694641F3"/>
    <w:rsid w:val="696077C1"/>
    <w:rsid w:val="6A5110C7"/>
    <w:rsid w:val="6CBF5167"/>
    <w:rsid w:val="6E407F1C"/>
    <w:rsid w:val="6EDA2E23"/>
    <w:rsid w:val="6F2A4552"/>
    <w:rsid w:val="710C1B97"/>
    <w:rsid w:val="723E6567"/>
    <w:rsid w:val="743A5817"/>
    <w:rsid w:val="745813FD"/>
    <w:rsid w:val="748B2778"/>
    <w:rsid w:val="74BA1B1D"/>
    <w:rsid w:val="752B3379"/>
    <w:rsid w:val="762331ED"/>
    <w:rsid w:val="78045D5D"/>
    <w:rsid w:val="78E84215"/>
    <w:rsid w:val="79357A5B"/>
    <w:rsid w:val="7A7FD87E"/>
    <w:rsid w:val="7AE52B90"/>
    <w:rsid w:val="7B4414B7"/>
    <w:rsid w:val="7D742F87"/>
    <w:rsid w:val="7D871368"/>
    <w:rsid w:val="7DF97179"/>
    <w:rsid w:val="7E824A4E"/>
    <w:rsid w:val="7F9A3822"/>
    <w:rsid w:val="BFBDA7B0"/>
    <w:rsid w:val="FFF75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kern w:val="0"/>
    </w:rPr>
  </w:style>
  <w:style w:type="paragraph" w:styleId="4">
    <w:name w:val="heading 3"/>
    <w:next w:val="1"/>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5">
    <w:name w:val="heading 4"/>
    <w:basedOn w:val="1"/>
    <w:next w:val="1"/>
    <w:qFormat/>
    <w:uiPriority w:val="0"/>
    <w:pPr>
      <w:keepNext/>
      <w:keepLines/>
      <w:spacing w:before="280" w:after="290" w:line="374" w:lineRule="auto"/>
      <w:outlineLvl w:val="3"/>
    </w:pPr>
    <w:rPr>
      <w:rFonts w:ascii="Arial" w:hAnsi="Arial"/>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annotation text"/>
    <w:basedOn w:val="1"/>
    <w:next w:val="1"/>
    <w:qFormat/>
    <w:uiPriority w:val="0"/>
    <w:pPr>
      <w:adjustRightInd w:val="0"/>
      <w:spacing w:line="360" w:lineRule="atLeast"/>
      <w:jc w:val="left"/>
      <w:textAlignment w:val="baseline"/>
    </w:pPr>
    <w:rPr>
      <w:kern w:val="0"/>
    </w:rPr>
  </w:style>
  <w:style w:type="paragraph" w:styleId="7">
    <w:name w:val="Body Text"/>
    <w:basedOn w:val="1"/>
    <w:next w:val="1"/>
    <w:qFormat/>
    <w:uiPriority w:val="0"/>
    <w:pPr>
      <w:spacing w:after="120"/>
    </w:pPr>
  </w:style>
  <w:style w:type="paragraph" w:styleId="8">
    <w:name w:val="Body Text Indent"/>
    <w:basedOn w:val="1"/>
    <w:qFormat/>
    <w:uiPriority w:val="0"/>
    <w:pPr>
      <w:ind w:firstLine="560" w:firstLineChars="200"/>
    </w:pPr>
  </w:style>
  <w:style w:type="paragraph" w:styleId="9">
    <w:name w:val="toc 3"/>
    <w:basedOn w:val="1"/>
    <w:next w:val="1"/>
    <w:qFormat/>
    <w:uiPriority w:val="0"/>
    <w:pPr>
      <w:ind w:left="561"/>
      <w:jc w:val="left"/>
    </w:pPr>
  </w:style>
  <w:style w:type="paragraph" w:styleId="10">
    <w:name w:val="Plain Text"/>
    <w:basedOn w:val="1"/>
    <w:next w:val="11"/>
    <w:qFormat/>
    <w:uiPriority w:val="0"/>
    <w:rPr>
      <w:rFonts w:ascii="宋体" w:hAnsi="Courier New" w:eastAsia="宋体"/>
      <w:kern w:val="2"/>
      <w:sz w:val="24"/>
      <w:szCs w:val="24"/>
      <w:lang w:val="en-US" w:eastAsia="zh-CN" w:bidi="ar-SA"/>
    </w:rPr>
  </w:style>
  <w:style w:type="paragraph" w:customStyle="1" w:styleId="11">
    <w:name w:val="Default"/>
    <w:basedOn w:val="12"/>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12">
    <w:name w:val="Normal_0"/>
    <w:basedOn w:val="13"/>
    <w:next w:val="11"/>
    <w:qFormat/>
    <w:uiPriority w:val="0"/>
    <w:rPr>
      <w:rFonts w:cs="Times New Roman"/>
    </w:rPr>
  </w:style>
  <w:style w:type="paragraph" w:customStyle="1" w:styleId="13">
    <w:name w:val="正文_2"/>
    <w:qFormat/>
    <w:uiPriority w:val="99"/>
    <w:pPr>
      <w:widowControl w:val="0"/>
      <w:jc w:val="both"/>
    </w:pPr>
    <w:rPr>
      <w:rFonts w:ascii="Calibri" w:hAnsi="Calibri" w:eastAsia="宋体" w:cs="Calibri"/>
      <w:kern w:val="2"/>
      <w:sz w:val="21"/>
      <w:szCs w:val="21"/>
      <w:lang w:val="en-US" w:eastAsia="zh-CN" w:bidi="ar-SA"/>
    </w:rPr>
  </w:style>
  <w:style w:type="paragraph" w:styleId="14">
    <w:name w:val="Body Text Indent 2"/>
    <w:basedOn w:val="1"/>
    <w:qFormat/>
    <w:uiPriority w:val="0"/>
    <w:pPr>
      <w:spacing w:line="480" w:lineRule="auto"/>
      <w:ind w:firstLine="561"/>
    </w:pPr>
  </w:style>
  <w:style w:type="paragraph" w:styleId="15">
    <w:name w:val="footer"/>
    <w:basedOn w:val="1"/>
    <w:qFormat/>
    <w:uiPriority w:val="0"/>
    <w:pPr>
      <w:widowControl/>
      <w:tabs>
        <w:tab w:val="center" w:pos="4153"/>
        <w:tab w:val="right" w:pos="8306"/>
      </w:tabs>
      <w:snapToGrid w:val="0"/>
      <w:jc w:val="left"/>
    </w:pPr>
    <w:rPr>
      <w:kern w:val="0"/>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pPr>
      <w:spacing w:before="120" w:after="120"/>
      <w:jc w:val="left"/>
    </w:pPr>
    <w:rPr>
      <w:caps/>
    </w:rPr>
  </w:style>
  <w:style w:type="paragraph" w:styleId="18">
    <w:name w:val="toc 2"/>
    <w:basedOn w:val="1"/>
    <w:next w:val="1"/>
    <w:qFormat/>
    <w:uiPriority w:val="0"/>
    <w:pPr>
      <w:ind w:left="278"/>
      <w:jc w:val="left"/>
    </w:pPr>
    <w:rPr>
      <w:smallCaps/>
    </w:rPr>
  </w:style>
  <w:style w:type="paragraph" w:styleId="19">
    <w:name w:val="Body Text 2"/>
    <w:basedOn w:val="1"/>
    <w:next w:val="7"/>
    <w:qFormat/>
    <w:uiPriority w:val="0"/>
    <w:pPr>
      <w:spacing w:line="500" w:lineRule="exact"/>
    </w:pPr>
    <w:rPr>
      <w:rFonts w:ascii="宋体" w:hAnsi="Times New Roman" w:eastAsia="宋体" w:cs="Times New Roman"/>
      <w:sz w:val="24"/>
    </w:rPr>
  </w:style>
  <w:style w:type="paragraph" w:styleId="20">
    <w:name w:val="Normal (Web)"/>
    <w:basedOn w:val="1"/>
    <w:qFormat/>
    <w:uiPriority w:val="0"/>
    <w:pPr>
      <w:widowControl/>
      <w:spacing w:before="100" w:beforeAutospacing="1" w:after="100" w:afterAutospacing="1" w:line="240" w:lineRule="auto"/>
      <w:jc w:val="left"/>
    </w:pPr>
    <w:rPr>
      <w:rFonts w:hAnsi="宋体" w:cs="宋体"/>
      <w:color w:val="000000"/>
      <w:kern w:val="0"/>
      <w:szCs w:val="24"/>
    </w:rPr>
  </w:style>
  <w:style w:type="character" w:styleId="23">
    <w:name w:val="Hyperlink"/>
    <w:qFormat/>
    <w:uiPriority w:val="0"/>
    <w:rPr>
      <w:color w:val="0000FF"/>
      <w:u w:val="single"/>
    </w:rPr>
  </w:style>
  <w:style w:type="paragraph" w:customStyle="1" w:styleId="24">
    <w:name w:val="样式 宋体 行距: 1.5 倍行距"/>
    <w:basedOn w:val="25"/>
    <w:next w:val="1"/>
    <w:qFormat/>
    <w:uiPriority w:val="0"/>
    <w:pPr>
      <w:jc w:val="center"/>
    </w:pPr>
    <w:rPr>
      <w:rFonts w:ascii="Times New Roman"/>
      <w:b/>
    </w:rPr>
  </w:style>
  <w:style w:type="paragraph" w:customStyle="1" w:styleId="2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26">
    <w:name w:val="正文缩进1"/>
    <w:basedOn w:val="1"/>
    <w:qFormat/>
    <w:uiPriority w:val="0"/>
    <w:pPr>
      <w:widowControl/>
      <w:ind w:firstLine="420"/>
      <w:jc w:val="left"/>
    </w:pPr>
    <w:rPr>
      <w:rFonts w:ascii="Times New Roman" w:hAnsi="Times New Roman" w:eastAsia="宋体" w:cs="Times New Roman"/>
      <w:kern w:val="0"/>
      <w:sz w:val="20"/>
    </w:rPr>
  </w:style>
  <w:style w:type="paragraph" w:customStyle="1" w:styleId="27">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2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3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普通(网站) New"/>
    <w:basedOn w:val="37"/>
    <w:qFormat/>
    <w:uiPriority w:val="0"/>
    <w:rPr>
      <w:sz w:val="24"/>
    </w:rPr>
  </w:style>
  <w:style w:type="paragraph" w:customStyle="1" w:styleId="3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9">
    <w:name w:val="Normal Indent1"/>
    <w:basedOn w:val="1"/>
    <w:qFormat/>
    <w:uiPriority w:val="0"/>
    <w:pPr>
      <w:widowControl/>
      <w:ind w:firstLine="420"/>
      <w:jc w:val="left"/>
    </w:pPr>
    <w:rPr>
      <w:rFonts w:ascii="Times New Roman"/>
      <w:kern w:val="0"/>
    </w:rPr>
  </w:style>
  <w:style w:type="paragraph" w:customStyle="1" w:styleId="40">
    <w:name w:val="标题 3 New New"/>
    <w:basedOn w:val="41"/>
    <w:next w:val="41"/>
    <w:qFormat/>
    <w:uiPriority w:val="0"/>
    <w:pPr>
      <w:keepNext/>
      <w:keepLines/>
      <w:spacing w:before="120" w:after="120"/>
      <w:jc w:val="center"/>
      <w:outlineLvl w:val="2"/>
    </w:pPr>
    <w:rPr>
      <w:sz w:val="24"/>
    </w:rPr>
  </w:style>
  <w:style w:type="paragraph" w:customStyle="1" w:styleId="41">
    <w:name w:val="正文缩进 New"/>
    <w:basedOn w:val="42"/>
    <w:qFormat/>
    <w:uiPriority w:val="0"/>
    <w:pPr>
      <w:widowControl/>
      <w:ind w:firstLine="420"/>
      <w:jc w:val="left"/>
    </w:pPr>
    <w:rPr>
      <w:kern w:val="0"/>
      <w:sz w:val="20"/>
    </w:rPr>
  </w:style>
  <w:style w:type="paragraph" w:customStyle="1" w:styleId="42">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3">
    <w:name w:val="正文文本缩进 New"/>
    <w:basedOn w:val="42"/>
    <w:qFormat/>
    <w:uiPriority w:val="0"/>
    <w:pPr>
      <w:ind w:firstLine="560" w:firstLineChars="200"/>
    </w:p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标题 2 New New"/>
    <w:basedOn w:val="30"/>
    <w:next w:val="30"/>
    <w:qFormat/>
    <w:uiPriority w:val="0"/>
    <w:pPr>
      <w:autoSpaceDE w:val="0"/>
      <w:autoSpaceDN w:val="0"/>
      <w:adjustRightInd w:val="0"/>
      <w:jc w:val="left"/>
      <w:outlineLvl w:val="1"/>
    </w:pPr>
    <w:rPr>
      <w:kern w:val="0"/>
      <w:sz w:val="24"/>
    </w:rPr>
  </w:style>
  <w:style w:type="paragraph" w:customStyle="1" w:styleId="46">
    <w:name w:val="标题 1 New"/>
    <w:basedOn w:val="30"/>
    <w:next w:val="30"/>
    <w:qFormat/>
    <w:uiPriority w:val="0"/>
    <w:pPr>
      <w:autoSpaceDE w:val="0"/>
      <w:autoSpaceDN w:val="0"/>
      <w:adjustRightInd w:val="0"/>
      <w:jc w:val="left"/>
      <w:outlineLvl w:val="0"/>
    </w:pPr>
    <w:rPr>
      <w:kern w:val="0"/>
      <w:sz w:val="30"/>
    </w:rPr>
  </w:style>
  <w:style w:type="paragraph" w:customStyle="1" w:styleId="47">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
    <w:name w:val="Table Text"/>
    <w:basedOn w:val="1"/>
    <w:semiHidden/>
    <w:qFormat/>
    <w:uiPriority w:val="0"/>
    <w:rPr>
      <w:rFonts w:ascii="宋体" w:hAnsi="宋体" w:eastAsia="宋体" w:cs="宋体"/>
      <w:sz w:val="15"/>
      <w:szCs w:val="15"/>
      <w:lang w:val="en-US" w:eastAsia="en-US" w:bidi="ar-SA"/>
    </w:r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51">
    <w:name w:val="NormalCharacter"/>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18650</Words>
  <Characters>20434</Characters>
  <Lines>0</Lines>
  <Paragraphs>0</Paragraphs>
  <TotalTime>3</TotalTime>
  <ScaleCrop>false</ScaleCrop>
  <LinksUpToDate>false</LinksUpToDate>
  <CharactersWithSpaces>20916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2025-05-14T23:28:00Z</dcterms:created>
  <dc:creator>Chen~小璇</dc:creator>
  <cp:lastModifiedBy>佩佩蒋</cp:lastModifiedBy>
  <cp:lastPrinted>2025-09-28T19:32:00Z</cp:lastPrinted>
  <dcterms:modified xsi:type="dcterms:W3CDTF">2025-09-30T02:25:01Z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114E2670BA0C4BFBB37287DD934D1353_13</vt:lpwstr>
  </property>
  <property fmtid="{D5CDD505-2E9C-101B-9397-08002B2CF9AE}" pid="4" name="KSOTemplateDocerSaveRecord">
    <vt:lpwstr>eyJoZGlkIjoiODg5ZGE1YjUzNzdkZDA5MThmYjk1NWJkMWI1NjM4NzEiLCJ1c2VySWQiOiIyOTExMTQzMzgifQ==</vt:lpwstr>
  </property>
</Properties>
</file>