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F54CDA">
      <w:pPr>
        <w:pStyle w:val="5"/>
      </w:pPr>
    </w:p>
    <w:p w14:paraId="62794DE6">
      <w:pPr>
        <w:pStyle w:val="5"/>
      </w:pPr>
    </w:p>
    <w:p w14:paraId="401E1DBF">
      <w:pPr>
        <w:pStyle w:val="5"/>
        <w:spacing w:line="241" w:lineRule="auto"/>
      </w:pPr>
    </w:p>
    <w:p w14:paraId="6E3D368E">
      <w:pPr>
        <w:pStyle w:val="5"/>
        <w:spacing w:line="241" w:lineRule="auto"/>
      </w:pPr>
    </w:p>
    <w:p w14:paraId="608266C2">
      <w:pPr>
        <w:pStyle w:val="5"/>
        <w:spacing w:line="355" w:lineRule="auto"/>
        <w:jc w:val="center"/>
        <w:rPr>
          <w:rFonts w:hint="eastAsia" w:ascii="宋体" w:hAnsi="宋体" w:eastAsia="宋体" w:cs="宋体"/>
          <w:b/>
          <w:bCs/>
          <w:spacing w:val="-3"/>
          <w:sz w:val="60"/>
          <w:szCs w:val="60"/>
          <w:lang w:eastAsia="zh-CN"/>
        </w:rPr>
      </w:pPr>
      <w:r>
        <w:rPr>
          <w:rFonts w:hint="eastAsia" w:ascii="宋体" w:hAnsi="宋体" w:eastAsia="宋体" w:cs="宋体"/>
          <w:b/>
          <w:bCs/>
          <w:spacing w:val="-3"/>
          <w:sz w:val="60"/>
          <w:szCs w:val="60"/>
          <w:lang w:eastAsia="zh-CN"/>
        </w:rPr>
        <w:t>三溪镇武江沿岸乡村振兴示范带建设项目（二期）施工</w:t>
      </w:r>
    </w:p>
    <w:p w14:paraId="084C0BCD">
      <w:pPr>
        <w:spacing w:before="231" w:line="223" w:lineRule="auto"/>
        <w:jc w:val="center"/>
        <w:outlineLvl w:val="0"/>
        <w:rPr>
          <w:rFonts w:ascii="宋体" w:hAnsi="宋体" w:eastAsia="宋体" w:cs="宋体"/>
          <w:sz w:val="71"/>
          <w:szCs w:val="71"/>
        </w:rPr>
      </w:pPr>
      <w:bookmarkStart w:id="0" w:name="_Toc7958"/>
      <w:bookmarkStart w:id="1" w:name="_Toc1688"/>
      <w:bookmarkStart w:id="2" w:name="_Toc15274"/>
      <w:r>
        <w:rPr>
          <w:rFonts w:ascii="宋体" w:hAnsi="宋体" w:eastAsia="宋体" w:cs="宋体"/>
          <w:b/>
          <w:bCs/>
          <w:spacing w:val="-3"/>
          <w:sz w:val="71"/>
          <w:szCs w:val="71"/>
        </w:rPr>
        <w:t>招标文件</w:t>
      </w:r>
      <w:bookmarkEnd w:id="0"/>
      <w:bookmarkEnd w:id="1"/>
      <w:bookmarkEnd w:id="2"/>
    </w:p>
    <w:p w14:paraId="6F36FDE9">
      <w:pPr>
        <w:pStyle w:val="5"/>
        <w:spacing w:line="270" w:lineRule="auto"/>
      </w:pPr>
    </w:p>
    <w:p w14:paraId="1E3D6612">
      <w:pPr>
        <w:pStyle w:val="5"/>
        <w:spacing w:line="271" w:lineRule="auto"/>
      </w:pPr>
    </w:p>
    <w:p w14:paraId="7A048083">
      <w:pPr>
        <w:pStyle w:val="5"/>
        <w:spacing w:line="271" w:lineRule="auto"/>
      </w:pPr>
    </w:p>
    <w:p w14:paraId="0D176C42">
      <w:pPr>
        <w:pStyle w:val="5"/>
        <w:spacing w:line="271" w:lineRule="auto"/>
      </w:pPr>
    </w:p>
    <w:p w14:paraId="2B9B4A12">
      <w:pPr>
        <w:pStyle w:val="5"/>
        <w:spacing w:line="271" w:lineRule="auto"/>
      </w:pPr>
    </w:p>
    <w:p w14:paraId="75E5B8BB">
      <w:pPr>
        <w:pStyle w:val="5"/>
        <w:spacing w:line="271" w:lineRule="auto"/>
      </w:pPr>
    </w:p>
    <w:p w14:paraId="5D8B24E6">
      <w:pPr>
        <w:spacing w:before="91" w:line="220" w:lineRule="auto"/>
        <w:ind w:left="53"/>
        <w:rPr>
          <w:rFonts w:hint="eastAsia" w:ascii="宋体" w:hAnsi="宋体" w:eastAsia="宋体" w:cs="宋体"/>
          <w:sz w:val="24"/>
          <w:szCs w:val="24"/>
        </w:rPr>
      </w:pPr>
      <w:r>
        <w:rPr>
          <w:rFonts w:hint="eastAsia" w:ascii="宋体" w:hAnsi="宋体" w:eastAsia="宋体" w:cs="宋体"/>
          <w:spacing w:val="12"/>
          <w:sz w:val="24"/>
          <w:szCs w:val="24"/>
        </w:rPr>
        <w:t>招   标  人（盖单位</w:t>
      </w:r>
      <w:r>
        <w:rPr>
          <w:rFonts w:hint="eastAsia" w:ascii="宋体" w:hAnsi="宋体" w:eastAsia="宋体" w:cs="宋体"/>
          <w:spacing w:val="-78"/>
          <w:sz w:val="24"/>
          <w:szCs w:val="24"/>
        </w:rPr>
        <w:t xml:space="preserve"> </w:t>
      </w:r>
      <w:r>
        <w:rPr>
          <w:rFonts w:hint="eastAsia" w:ascii="宋体" w:hAnsi="宋体" w:eastAsia="宋体" w:cs="宋体"/>
          <w:spacing w:val="12"/>
          <w:sz w:val="24"/>
          <w:szCs w:val="24"/>
        </w:rPr>
        <w:t>章</w:t>
      </w:r>
      <w:r>
        <w:rPr>
          <w:rFonts w:hint="eastAsia" w:ascii="宋体" w:hAnsi="宋体" w:eastAsia="宋体" w:cs="宋体"/>
          <w:sz w:val="24"/>
          <w:szCs w:val="24"/>
        </w:rPr>
        <w:t>）</w:t>
      </w:r>
      <w:r>
        <w:rPr>
          <w:rFonts w:hint="eastAsia" w:ascii="宋体" w:hAnsi="宋体" w:eastAsia="宋体" w:cs="宋体"/>
          <w:spacing w:val="-65"/>
          <w:sz w:val="24"/>
          <w:szCs w:val="24"/>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乐昌市三溪镇人民政府</w:t>
      </w:r>
    </w:p>
    <w:p w14:paraId="3C135661">
      <w:pPr>
        <w:pStyle w:val="5"/>
        <w:spacing w:line="246" w:lineRule="auto"/>
        <w:rPr>
          <w:rFonts w:hint="eastAsia" w:ascii="宋体" w:hAnsi="宋体" w:eastAsia="宋体" w:cs="宋体"/>
          <w:sz w:val="24"/>
          <w:szCs w:val="24"/>
        </w:rPr>
      </w:pPr>
    </w:p>
    <w:p w14:paraId="2BFC2254">
      <w:pPr>
        <w:pStyle w:val="5"/>
        <w:spacing w:line="246" w:lineRule="auto"/>
        <w:rPr>
          <w:rFonts w:hint="eastAsia" w:ascii="宋体" w:hAnsi="宋体" w:eastAsia="宋体" w:cs="宋体"/>
          <w:sz w:val="24"/>
          <w:szCs w:val="24"/>
        </w:rPr>
      </w:pPr>
    </w:p>
    <w:p w14:paraId="46FDF426">
      <w:pPr>
        <w:pStyle w:val="5"/>
        <w:spacing w:line="247" w:lineRule="auto"/>
        <w:rPr>
          <w:rFonts w:hint="eastAsia" w:ascii="宋体" w:hAnsi="宋体" w:eastAsia="宋体" w:cs="宋体"/>
          <w:sz w:val="24"/>
          <w:szCs w:val="24"/>
        </w:rPr>
      </w:pPr>
    </w:p>
    <w:p w14:paraId="4F871730">
      <w:pPr>
        <w:spacing w:before="91" w:line="221" w:lineRule="auto"/>
        <w:ind w:left="53"/>
        <w:rPr>
          <w:rFonts w:hint="eastAsia" w:ascii="宋体" w:hAnsi="宋体" w:eastAsia="宋体" w:cs="宋体"/>
          <w:sz w:val="24"/>
          <w:szCs w:val="24"/>
        </w:rPr>
      </w:pPr>
      <w:r>
        <w:rPr>
          <w:rFonts w:hint="eastAsia" w:ascii="宋体" w:hAnsi="宋体" w:eastAsia="宋体" w:cs="宋体"/>
          <w:spacing w:val="-3"/>
          <w:sz w:val="24"/>
          <w:szCs w:val="24"/>
        </w:rPr>
        <w:t>招标人工作领导小组负责人（签字</w:t>
      </w:r>
      <w:r>
        <w:rPr>
          <w:rFonts w:hint="eastAsia" w:ascii="宋体" w:hAnsi="宋体" w:eastAsia="宋体" w:cs="宋体"/>
          <w:spacing w:val="7"/>
          <w:sz w:val="24"/>
          <w:szCs w:val="24"/>
        </w:rPr>
        <w:t>）：</w:t>
      </w:r>
    </w:p>
    <w:p w14:paraId="4BF0DCF9">
      <w:pPr>
        <w:pStyle w:val="5"/>
        <w:spacing w:line="242" w:lineRule="auto"/>
        <w:rPr>
          <w:rFonts w:hint="eastAsia" w:ascii="宋体" w:hAnsi="宋体" w:eastAsia="宋体" w:cs="宋体"/>
          <w:sz w:val="24"/>
          <w:szCs w:val="24"/>
        </w:rPr>
      </w:pPr>
    </w:p>
    <w:p w14:paraId="642BE5B7">
      <w:pPr>
        <w:pStyle w:val="5"/>
        <w:spacing w:line="243" w:lineRule="auto"/>
        <w:rPr>
          <w:rFonts w:hint="eastAsia" w:ascii="宋体" w:hAnsi="宋体" w:eastAsia="宋体" w:cs="宋体"/>
          <w:sz w:val="24"/>
          <w:szCs w:val="24"/>
        </w:rPr>
      </w:pPr>
    </w:p>
    <w:p w14:paraId="310C7322">
      <w:pPr>
        <w:pStyle w:val="5"/>
        <w:spacing w:line="243" w:lineRule="auto"/>
        <w:rPr>
          <w:rFonts w:hint="eastAsia" w:ascii="宋体" w:hAnsi="宋体" w:eastAsia="宋体" w:cs="宋体"/>
          <w:sz w:val="24"/>
          <w:szCs w:val="24"/>
        </w:rPr>
      </w:pPr>
    </w:p>
    <w:p w14:paraId="20D988FD">
      <w:pPr>
        <w:spacing w:before="92" w:line="220" w:lineRule="auto"/>
        <w:ind w:left="53"/>
        <w:rPr>
          <w:rFonts w:hint="eastAsia" w:ascii="宋体" w:hAnsi="宋体" w:eastAsia="宋体" w:cs="宋体"/>
          <w:sz w:val="24"/>
          <w:szCs w:val="24"/>
        </w:rPr>
      </w:pPr>
      <w:r>
        <w:rPr>
          <w:rFonts w:hint="eastAsia" w:ascii="宋体" w:hAnsi="宋体" w:eastAsia="宋体" w:cs="宋体"/>
          <w:spacing w:val="-3"/>
          <w:sz w:val="24"/>
          <w:szCs w:val="24"/>
        </w:rPr>
        <w:t>招 标</w:t>
      </w:r>
      <w:r>
        <w:rPr>
          <w:rFonts w:hint="eastAsia" w:ascii="宋体" w:hAnsi="宋体" w:eastAsia="宋体" w:cs="宋体"/>
          <w:spacing w:val="19"/>
          <w:sz w:val="24"/>
          <w:szCs w:val="24"/>
        </w:rPr>
        <w:t xml:space="preserve"> </w:t>
      </w:r>
      <w:r>
        <w:rPr>
          <w:rFonts w:hint="eastAsia" w:ascii="宋体" w:hAnsi="宋体" w:eastAsia="宋体" w:cs="宋体"/>
          <w:spacing w:val="-3"/>
          <w:sz w:val="24"/>
          <w:szCs w:val="24"/>
        </w:rPr>
        <w:t>代</w:t>
      </w:r>
      <w:r>
        <w:rPr>
          <w:rFonts w:hint="eastAsia" w:ascii="宋体" w:hAnsi="宋体" w:eastAsia="宋体" w:cs="宋体"/>
          <w:spacing w:val="26"/>
          <w:sz w:val="24"/>
          <w:szCs w:val="24"/>
        </w:rPr>
        <w:t xml:space="preserve"> </w:t>
      </w:r>
      <w:r>
        <w:rPr>
          <w:rFonts w:hint="eastAsia" w:ascii="宋体" w:hAnsi="宋体" w:eastAsia="宋体" w:cs="宋体"/>
          <w:spacing w:val="-3"/>
          <w:sz w:val="24"/>
          <w:szCs w:val="24"/>
        </w:rPr>
        <w:t>理</w:t>
      </w:r>
      <w:r>
        <w:rPr>
          <w:rFonts w:hint="eastAsia" w:ascii="宋体" w:hAnsi="宋体" w:eastAsia="宋体" w:cs="宋体"/>
          <w:spacing w:val="18"/>
          <w:sz w:val="24"/>
          <w:szCs w:val="24"/>
        </w:rPr>
        <w:t xml:space="preserve"> </w:t>
      </w:r>
      <w:r>
        <w:rPr>
          <w:rFonts w:hint="eastAsia" w:ascii="宋体" w:hAnsi="宋体" w:eastAsia="宋体" w:cs="宋体"/>
          <w:spacing w:val="-3"/>
          <w:sz w:val="24"/>
          <w:szCs w:val="24"/>
        </w:rPr>
        <w:t>机</w:t>
      </w:r>
      <w:r>
        <w:rPr>
          <w:rFonts w:hint="eastAsia" w:ascii="宋体" w:hAnsi="宋体" w:eastAsia="宋体" w:cs="宋体"/>
          <w:spacing w:val="23"/>
          <w:sz w:val="24"/>
          <w:szCs w:val="24"/>
        </w:rPr>
        <w:t xml:space="preserve"> </w:t>
      </w:r>
      <w:r>
        <w:rPr>
          <w:rFonts w:hint="eastAsia" w:ascii="宋体" w:hAnsi="宋体" w:eastAsia="宋体" w:cs="宋体"/>
          <w:spacing w:val="-3"/>
          <w:sz w:val="24"/>
          <w:szCs w:val="24"/>
        </w:rPr>
        <w:t>构</w:t>
      </w:r>
      <w:r>
        <w:rPr>
          <w:rFonts w:hint="eastAsia" w:ascii="宋体" w:hAnsi="宋体" w:eastAsia="宋体" w:cs="宋体"/>
          <w:spacing w:val="9"/>
          <w:sz w:val="24"/>
          <w:szCs w:val="24"/>
        </w:rPr>
        <w:t xml:space="preserve"> </w:t>
      </w:r>
      <w:r>
        <w:rPr>
          <w:rFonts w:hint="eastAsia" w:ascii="宋体" w:hAnsi="宋体" w:eastAsia="宋体" w:cs="宋体"/>
          <w:spacing w:val="-3"/>
          <w:sz w:val="24"/>
          <w:szCs w:val="24"/>
        </w:rPr>
        <w:t>（盖单位章</w:t>
      </w:r>
      <w:r>
        <w:rPr>
          <w:rFonts w:hint="eastAsia" w:ascii="宋体" w:hAnsi="宋体" w:eastAsia="宋体" w:cs="宋体"/>
          <w:spacing w:val="3"/>
          <w:sz w:val="24"/>
          <w:szCs w:val="24"/>
        </w:rPr>
        <w:t>）：</w:t>
      </w:r>
      <w:r>
        <w:rPr>
          <w:rFonts w:hint="eastAsia" w:ascii="宋体" w:hAnsi="宋体" w:eastAsia="宋体" w:cs="宋体"/>
          <w:sz w:val="24"/>
          <w:szCs w:val="24"/>
          <w:lang w:eastAsia="zh-CN"/>
        </w:rPr>
        <w:t>韶关市北桓工程咨询有限公司</w:t>
      </w:r>
    </w:p>
    <w:p w14:paraId="759E24CB">
      <w:pPr>
        <w:pStyle w:val="5"/>
        <w:spacing w:line="251" w:lineRule="auto"/>
        <w:rPr>
          <w:rFonts w:hint="eastAsia" w:ascii="宋体" w:hAnsi="宋体" w:eastAsia="宋体" w:cs="宋体"/>
          <w:sz w:val="24"/>
          <w:szCs w:val="24"/>
        </w:rPr>
      </w:pPr>
    </w:p>
    <w:p w14:paraId="3D88AEB5">
      <w:pPr>
        <w:pStyle w:val="5"/>
        <w:spacing w:line="252" w:lineRule="auto"/>
        <w:rPr>
          <w:rFonts w:hint="eastAsia" w:ascii="宋体" w:hAnsi="宋体" w:eastAsia="宋体" w:cs="宋体"/>
          <w:sz w:val="24"/>
          <w:szCs w:val="24"/>
        </w:rPr>
      </w:pPr>
    </w:p>
    <w:p w14:paraId="4D51096E">
      <w:pPr>
        <w:pStyle w:val="5"/>
        <w:spacing w:line="252" w:lineRule="auto"/>
        <w:rPr>
          <w:rFonts w:hint="eastAsia" w:ascii="宋体" w:hAnsi="宋体" w:eastAsia="宋体" w:cs="宋体"/>
          <w:sz w:val="24"/>
          <w:szCs w:val="24"/>
        </w:rPr>
      </w:pPr>
    </w:p>
    <w:p w14:paraId="62863D17">
      <w:pPr>
        <w:spacing w:before="91" w:line="221" w:lineRule="auto"/>
        <w:ind w:left="53"/>
        <w:rPr>
          <w:rFonts w:hint="eastAsia" w:ascii="宋体" w:hAnsi="宋体" w:eastAsia="宋体" w:cs="宋体"/>
          <w:sz w:val="24"/>
          <w:szCs w:val="24"/>
        </w:rPr>
      </w:pPr>
      <w:r>
        <w:rPr>
          <w:rFonts w:hint="eastAsia" w:ascii="宋体" w:hAnsi="宋体" w:eastAsia="宋体" w:cs="宋体"/>
          <w:spacing w:val="-11"/>
          <w:sz w:val="24"/>
          <w:szCs w:val="24"/>
        </w:rPr>
        <w:t>招 标</w:t>
      </w:r>
      <w:r>
        <w:rPr>
          <w:rFonts w:hint="eastAsia" w:ascii="宋体" w:hAnsi="宋体" w:eastAsia="宋体" w:cs="宋体"/>
          <w:spacing w:val="-16"/>
          <w:sz w:val="24"/>
          <w:szCs w:val="24"/>
        </w:rPr>
        <w:t xml:space="preserve"> </w:t>
      </w:r>
      <w:r>
        <w:rPr>
          <w:rFonts w:hint="eastAsia" w:ascii="宋体" w:hAnsi="宋体" w:eastAsia="宋体" w:cs="宋体"/>
          <w:spacing w:val="-11"/>
          <w:sz w:val="24"/>
          <w:szCs w:val="24"/>
        </w:rPr>
        <w:t>文</w:t>
      </w:r>
      <w:r>
        <w:rPr>
          <w:rFonts w:hint="eastAsia" w:ascii="宋体" w:hAnsi="宋体" w:eastAsia="宋体" w:cs="宋体"/>
          <w:spacing w:val="-22"/>
          <w:sz w:val="24"/>
          <w:szCs w:val="24"/>
        </w:rPr>
        <w:t xml:space="preserve"> </w:t>
      </w:r>
      <w:r>
        <w:rPr>
          <w:rFonts w:hint="eastAsia" w:ascii="宋体" w:hAnsi="宋体" w:eastAsia="宋体" w:cs="宋体"/>
          <w:spacing w:val="-11"/>
          <w:sz w:val="24"/>
          <w:szCs w:val="24"/>
        </w:rPr>
        <w:t>件</w:t>
      </w:r>
      <w:r>
        <w:rPr>
          <w:rFonts w:hint="eastAsia" w:ascii="宋体" w:hAnsi="宋体" w:eastAsia="宋体" w:cs="宋体"/>
          <w:spacing w:val="-17"/>
          <w:sz w:val="24"/>
          <w:szCs w:val="24"/>
        </w:rPr>
        <w:t xml:space="preserve"> </w:t>
      </w:r>
      <w:r>
        <w:rPr>
          <w:rFonts w:hint="eastAsia" w:ascii="宋体" w:hAnsi="宋体" w:eastAsia="宋体" w:cs="宋体"/>
          <w:spacing w:val="-11"/>
          <w:sz w:val="24"/>
          <w:szCs w:val="24"/>
        </w:rPr>
        <w:t>编</w:t>
      </w:r>
      <w:r>
        <w:rPr>
          <w:rFonts w:hint="eastAsia" w:ascii="宋体" w:hAnsi="宋体" w:eastAsia="宋体" w:cs="宋体"/>
          <w:spacing w:val="-20"/>
          <w:sz w:val="24"/>
          <w:szCs w:val="24"/>
        </w:rPr>
        <w:t xml:space="preserve"> </w:t>
      </w:r>
      <w:r>
        <w:rPr>
          <w:rFonts w:hint="eastAsia" w:ascii="宋体" w:hAnsi="宋体" w:eastAsia="宋体" w:cs="宋体"/>
          <w:spacing w:val="-11"/>
          <w:sz w:val="24"/>
          <w:szCs w:val="24"/>
        </w:rPr>
        <w:t>制</w:t>
      </w:r>
      <w:r>
        <w:rPr>
          <w:rFonts w:hint="eastAsia" w:ascii="宋体" w:hAnsi="宋体" w:eastAsia="宋体" w:cs="宋体"/>
          <w:spacing w:val="-17"/>
          <w:sz w:val="24"/>
          <w:szCs w:val="24"/>
        </w:rPr>
        <w:t xml:space="preserve"> </w:t>
      </w:r>
      <w:r>
        <w:rPr>
          <w:rFonts w:hint="eastAsia" w:ascii="宋体" w:hAnsi="宋体" w:eastAsia="宋体" w:cs="宋体"/>
          <w:spacing w:val="-11"/>
          <w:sz w:val="24"/>
          <w:szCs w:val="24"/>
        </w:rPr>
        <w:t>人</w:t>
      </w:r>
      <w:r>
        <w:rPr>
          <w:rFonts w:hint="eastAsia" w:ascii="宋体" w:hAnsi="宋体" w:eastAsia="宋体" w:cs="宋体"/>
          <w:spacing w:val="-32"/>
          <w:sz w:val="24"/>
          <w:szCs w:val="24"/>
        </w:rPr>
        <w:t xml:space="preserve"> </w:t>
      </w:r>
      <w:r>
        <w:rPr>
          <w:rFonts w:hint="eastAsia" w:ascii="宋体" w:hAnsi="宋体" w:eastAsia="宋体" w:cs="宋体"/>
          <w:spacing w:val="-11"/>
          <w:sz w:val="24"/>
          <w:szCs w:val="24"/>
        </w:rPr>
        <w:t xml:space="preserve">（ 签 字 </w:t>
      </w:r>
      <w:r>
        <w:rPr>
          <w:rFonts w:hint="eastAsia" w:ascii="宋体" w:hAnsi="宋体" w:eastAsia="宋体" w:cs="宋体"/>
          <w:spacing w:val="-19"/>
          <w:sz w:val="24"/>
          <w:szCs w:val="24"/>
        </w:rPr>
        <w:t>）</w:t>
      </w:r>
      <w:r>
        <w:rPr>
          <w:rFonts w:hint="eastAsia" w:ascii="宋体" w:hAnsi="宋体" w:eastAsia="宋体" w:cs="宋体"/>
          <w:spacing w:val="-29"/>
          <w:sz w:val="24"/>
          <w:szCs w:val="24"/>
        </w:rPr>
        <w:t xml:space="preserve"> </w:t>
      </w:r>
      <w:r>
        <w:rPr>
          <w:rFonts w:hint="eastAsia" w:ascii="宋体" w:hAnsi="宋体" w:eastAsia="宋体" w:cs="宋体"/>
          <w:spacing w:val="-19"/>
          <w:sz w:val="24"/>
          <w:szCs w:val="24"/>
        </w:rPr>
        <w:t>：</w:t>
      </w:r>
    </w:p>
    <w:p w14:paraId="109B0124">
      <w:pPr>
        <w:pStyle w:val="5"/>
        <w:spacing w:line="251" w:lineRule="auto"/>
        <w:rPr>
          <w:rFonts w:hint="eastAsia" w:ascii="宋体" w:hAnsi="宋体" w:eastAsia="宋体" w:cs="宋体"/>
          <w:sz w:val="24"/>
          <w:szCs w:val="24"/>
        </w:rPr>
      </w:pPr>
    </w:p>
    <w:p w14:paraId="5754AE83">
      <w:pPr>
        <w:pStyle w:val="5"/>
        <w:spacing w:line="252" w:lineRule="auto"/>
        <w:rPr>
          <w:rFonts w:hint="eastAsia" w:ascii="宋体" w:hAnsi="宋体" w:eastAsia="宋体" w:cs="宋体"/>
          <w:sz w:val="24"/>
          <w:szCs w:val="24"/>
        </w:rPr>
      </w:pPr>
    </w:p>
    <w:p w14:paraId="66A582F4">
      <w:pPr>
        <w:pStyle w:val="5"/>
        <w:spacing w:line="252" w:lineRule="auto"/>
        <w:rPr>
          <w:rFonts w:hint="eastAsia" w:ascii="宋体" w:hAnsi="宋体" w:eastAsia="宋体" w:cs="宋体"/>
          <w:sz w:val="24"/>
          <w:szCs w:val="24"/>
        </w:rPr>
      </w:pPr>
    </w:p>
    <w:p w14:paraId="357A07C8">
      <w:pPr>
        <w:spacing w:before="92" w:line="220" w:lineRule="auto"/>
        <w:ind w:left="53"/>
        <w:rPr>
          <w:rFonts w:hint="eastAsia" w:ascii="宋体" w:hAnsi="宋体" w:eastAsia="宋体" w:cs="宋体"/>
          <w:sz w:val="24"/>
          <w:szCs w:val="24"/>
        </w:rPr>
      </w:pPr>
      <w:r>
        <w:rPr>
          <w:rFonts w:hint="eastAsia" w:ascii="宋体" w:hAnsi="宋体" w:eastAsia="宋体" w:cs="宋体"/>
          <w:spacing w:val="4"/>
          <w:sz w:val="24"/>
          <w:szCs w:val="24"/>
        </w:rPr>
        <w:t>招标代理机构项目负责人（签字</w:t>
      </w:r>
      <w:r>
        <w:rPr>
          <w:rFonts w:hint="eastAsia" w:ascii="宋体" w:hAnsi="宋体" w:eastAsia="宋体" w:cs="宋体"/>
          <w:spacing w:val="3"/>
          <w:sz w:val="24"/>
          <w:szCs w:val="24"/>
        </w:rPr>
        <w:t>）：</w:t>
      </w:r>
    </w:p>
    <w:p w14:paraId="370021BD">
      <w:pPr>
        <w:pStyle w:val="5"/>
        <w:spacing w:line="305" w:lineRule="auto"/>
        <w:rPr>
          <w:rFonts w:hint="eastAsia" w:ascii="宋体" w:hAnsi="宋体" w:eastAsia="宋体" w:cs="宋体"/>
          <w:sz w:val="24"/>
          <w:szCs w:val="24"/>
        </w:rPr>
      </w:pPr>
    </w:p>
    <w:p w14:paraId="24063418">
      <w:pPr>
        <w:pStyle w:val="5"/>
        <w:spacing w:line="305" w:lineRule="auto"/>
        <w:rPr>
          <w:rFonts w:hint="eastAsia" w:ascii="宋体" w:hAnsi="宋体" w:eastAsia="宋体" w:cs="宋体"/>
          <w:sz w:val="24"/>
          <w:szCs w:val="24"/>
        </w:rPr>
      </w:pPr>
    </w:p>
    <w:p w14:paraId="7B54D1B5">
      <w:pPr>
        <w:spacing w:before="91" w:line="221" w:lineRule="auto"/>
        <w:ind w:left="53"/>
        <w:outlineLvl w:val="0"/>
        <w:rPr>
          <w:rFonts w:hint="eastAsia" w:ascii="宋体" w:hAnsi="宋体" w:eastAsia="宋体" w:cs="宋体"/>
          <w:sz w:val="24"/>
          <w:szCs w:val="24"/>
        </w:rPr>
      </w:pPr>
      <w:bookmarkStart w:id="3" w:name="_Toc27490"/>
      <w:bookmarkStart w:id="4" w:name="_Toc7837"/>
      <w:bookmarkStart w:id="5" w:name="_Toc10613"/>
      <w:r>
        <w:rPr>
          <w:rFonts w:hint="eastAsia" w:ascii="宋体" w:hAnsi="宋体" w:eastAsia="宋体" w:cs="宋体"/>
          <w:spacing w:val="-10"/>
          <w:sz w:val="24"/>
          <w:szCs w:val="24"/>
        </w:rPr>
        <w:t>招  标  文  件  编  制</w:t>
      </w:r>
      <w:r>
        <w:rPr>
          <w:rFonts w:hint="eastAsia" w:ascii="宋体" w:hAnsi="宋体" w:eastAsia="宋体" w:cs="宋体"/>
          <w:spacing w:val="21"/>
          <w:sz w:val="24"/>
          <w:szCs w:val="24"/>
        </w:rPr>
        <w:t xml:space="preserve">  </w:t>
      </w:r>
      <w:r>
        <w:rPr>
          <w:rFonts w:hint="eastAsia" w:ascii="宋体" w:hAnsi="宋体" w:eastAsia="宋体" w:cs="宋体"/>
          <w:spacing w:val="-10"/>
          <w:sz w:val="24"/>
          <w:szCs w:val="24"/>
        </w:rPr>
        <w:t>日  期</w:t>
      </w:r>
      <w:r>
        <w:rPr>
          <w:rFonts w:hint="eastAsia" w:ascii="宋体" w:hAnsi="宋体" w:eastAsia="宋体" w:cs="宋体"/>
          <w:spacing w:val="6"/>
          <w:sz w:val="24"/>
          <w:szCs w:val="24"/>
        </w:rPr>
        <w:t xml:space="preserve">  </w:t>
      </w:r>
      <w:r>
        <w:rPr>
          <w:rFonts w:hint="eastAsia" w:ascii="宋体" w:hAnsi="宋体" w:eastAsia="宋体" w:cs="宋体"/>
          <w:spacing w:val="-10"/>
          <w:sz w:val="24"/>
          <w:szCs w:val="24"/>
        </w:rPr>
        <w:t>：</w:t>
      </w:r>
      <w:bookmarkEnd w:id="3"/>
      <w:bookmarkEnd w:id="4"/>
      <w:bookmarkEnd w:id="5"/>
      <w:r>
        <w:rPr>
          <w:rFonts w:hint="eastAsia" w:ascii="宋体" w:hAnsi="宋体" w:eastAsia="宋体" w:cs="宋体"/>
          <w:spacing w:val="-10"/>
          <w:sz w:val="24"/>
          <w:szCs w:val="24"/>
          <w:lang w:eastAsia="zh-CN"/>
        </w:rPr>
        <w:t>2025年</w:t>
      </w:r>
      <w:r>
        <w:rPr>
          <w:rFonts w:hint="eastAsia" w:ascii="宋体" w:hAnsi="宋体" w:eastAsia="宋体" w:cs="宋体"/>
          <w:spacing w:val="-10"/>
          <w:sz w:val="24"/>
          <w:szCs w:val="24"/>
          <w:lang w:val="en-US" w:eastAsia="zh-CN"/>
        </w:rPr>
        <w:t>12</w:t>
      </w:r>
      <w:r>
        <w:rPr>
          <w:rFonts w:hint="eastAsia" w:ascii="宋体" w:hAnsi="宋体" w:eastAsia="宋体" w:cs="宋体"/>
          <w:spacing w:val="-10"/>
          <w:sz w:val="24"/>
          <w:szCs w:val="24"/>
          <w:lang w:eastAsia="zh-CN"/>
        </w:rPr>
        <w:t>月</w:t>
      </w:r>
    </w:p>
    <w:p w14:paraId="1E6D0E4C">
      <w:pPr>
        <w:spacing w:line="221" w:lineRule="auto"/>
        <w:rPr>
          <w:rFonts w:ascii="宋体" w:hAnsi="宋体" w:eastAsia="宋体" w:cs="宋体"/>
          <w:sz w:val="24"/>
          <w:szCs w:val="24"/>
        </w:rPr>
      </w:pPr>
    </w:p>
    <w:p w14:paraId="081D30A6"/>
    <w:p w14:paraId="2693FA15"/>
    <w:p w14:paraId="70E9650D"/>
    <w:p w14:paraId="45A5B495"/>
    <w:p w14:paraId="16BCE600"/>
    <w:p w14:paraId="0AA6A2DD"/>
    <w:p w14:paraId="5A209A1C"/>
    <w:p w14:paraId="3C91F261"/>
    <w:p w14:paraId="52B33E31"/>
    <w:p w14:paraId="4B878901">
      <w:pPr>
        <w:tabs>
          <w:tab w:val="center" w:pos="4422"/>
        </w:tabs>
        <w:rPr>
          <w:rFonts w:hint="eastAsia" w:eastAsia="宋体"/>
          <w:lang w:eastAsia="zh-CN"/>
        </w:rPr>
        <w:sectPr>
          <w:headerReference r:id="rId3" w:type="default"/>
          <w:footerReference r:id="rId4" w:type="default"/>
          <w:pgSz w:w="11906" w:h="16839"/>
          <w:pgMar w:top="720" w:right="720" w:bottom="720" w:left="720" w:header="1200" w:footer="0" w:gutter="0"/>
          <w:pgNumType w:start="1"/>
          <w:cols w:space="720" w:num="1"/>
        </w:sectPr>
      </w:pPr>
      <w:r>
        <w:rPr>
          <w:rFonts w:hint="eastAsia" w:eastAsia="宋体"/>
          <w:lang w:eastAsia="zh-CN"/>
        </w:rPr>
        <w:tab/>
      </w:r>
    </w:p>
    <w:p w14:paraId="20A8F16C">
      <w:pPr>
        <w:jc w:val="center"/>
        <w:rPr>
          <w:b/>
          <w:bCs/>
          <w:sz w:val="28"/>
          <w:szCs w:val="28"/>
        </w:rPr>
      </w:pPr>
      <w:r>
        <w:rPr>
          <w:rFonts w:ascii="宋体" w:hAnsi="宋体" w:eastAsia="宋体"/>
          <w:b/>
          <w:bCs/>
          <w:sz w:val="28"/>
          <w:szCs w:val="28"/>
        </w:rPr>
        <w:t>目录</w:t>
      </w:r>
    </w:p>
    <w:p w14:paraId="766B31F1">
      <w:pPr>
        <w:pStyle w:val="12"/>
        <w:tabs>
          <w:tab w:val="right" w:leader="dot" w:pos="9356"/>
        </w:tabs>
        <w:ind w:firstLine="480" w:firstLineChars="200"/>
        <w:jc w:val="both"/>
        <w:rPr>
          <w:rFonts w:hint="eastAsia" w:ascii="宋体" w:hAnsi="宋体" w:eastAsia="宋体" w:cs="宋体"/>
          <w:sz w:val="24"/>
          <w:szCs w:val="24"/>
        </w:rPr>
      </w:pPr>
      <w:r>
        <w:rPr>
          <w:rFonts w:ascii="Times New Roman" w:hAnsi="Times New Roman" w:eastAsia="Times New Roman" w:cs="Times New Roman"/>
          <w:sz w:val="24"/>
          <w:szCs w:val="24"/>
        </w:rPr>
        <w:fldChar w:fldCharType="begin"/>
      </w:r>
      <w:r>
        <w:rPr>
          <w:rFonts w:ascii="Times New Roman" w:hAnsi="Times New Roman" w:eastAsia="Times New Roman" w:cs="Times New Roman"/>
          <w:sz w:val="24"/>
          <w:szCs w:val="24"/>
        </w:rPr>
        <w:instrText xml:space="preserve">TOC \o "1-3" \h \u </w:instrText>
      </w:r>
      <w:r>
        <w:rPr>
          <w:rFonts w:ascii="Times New Roman" w:hAnsi="Times New Roman" w:eastAsia="Times New Roman" w:cs="Times New Roman"/>
          <w:sz w:val="24"/>
          <w:szCs w:val="24"/>
        </w:rPr>
        <w:fldChar w:fldCharType="separate"/>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_Toc19872 </w:instrText>
      </w:r>
      <w:r>
        <w:rPr>
          <w:rFonts w:hint="eastAsia" w:ascii="宋体" w:hAnsi="宋体" w:eastAsia="宋体" w:cs="宋体"/>
          <w:sz w:val="24"/>
          <w:szCs w:val="24"/>
        </w:rPr>
        <w:fldChar w:fldCharType="separate"/>
      </w:r>
      <w:r>
        <w:rPr>
          <w:rFonts w:hint="eastAsia" w:ascii="宋体" w:hAnsi="宋体" w:eastAsia="宋体" w:cs="宋体"/>
          <w:bCs/>
          <w:spacing w:val="-3"/>
          <w:sz w:val="24"/>
          <w:szCs w:val="24"/>
        </w:rPr>
        <w:t>第一章</w:t>
      </w:r>
      <w:r>
        <w:rPr>
          <w:rFonts w:hint="eastAsia" w:ascii="宋体" w:hAnsi="宋体" w:eastAsia="宋体" w:cs="宋体"/>
          <w:spacing w:val="-3"/>
          <w:sz w:val="24"/>
          <w:szCs w:val="24"/>
        </w:rPr>
        <w:t xml:space="preserve"> </w:t>
      </w:r>
      <w:r>
        <w:rPr>
          <w:rFonts w:hint="eastAsia" w:ascii="宋体" w:hAnsi="宋体" w:eastAsia="宋体" w:cs="宋体"/>
          <w:bCs/>
          <w:spacing w:val="-3"/>
          <w:sz w:val="24"/>
          <w:szCs w:val="24"/>
        </w:rPr>
        <w:t>投标人须知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_Toc19872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5E1831C">
      <w:pPr>
        <w:pStyle w:val="13"/>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_Toc23115 </w:instrText>
      </w:r>
      <w:r>
        <w:rPr>
          <w:rFonts w:hint="eastAsia" w:ascii="宋体" w:hAnsi="宋体" w:eastAsia="宋体" w:cs="宋体"/>
          <w:sz w:val="24"/>
          <w:szCs w:val="24"/>
        </w:rPr>
        <w:fldChar w:fldCharType="separate"/>
      </w:r>
      <w:r>
        <w:rPr>
          <w:rFonts w:hint="eastAsia" w:ascii="宋体" w:hAnsi="宋体" w:eastAsia="宋体" w:cs="宋体"/>
          <w:bCs/>
          <w:spacing w:val="-3"/>
          <w:sz w:val="24"/>
          <w:szCs w:val="24"/>
        </w:rPr>
        <w:t>第一节</w:t>
      </w:r>
      <w:r>
        <w:rPr>
          <w:rFonts w:hint="eastAsia" w:ascii="宋体" w:hAnsi="宋体" w:eastAsia="宋体" w:cs="宋体"/>
          <w:spacing w:val="-3"/>
          <w:sz w:val="24"/>
          <w:szCs w:val="24"/>
        </w:rPr>
        <w:t xml:space="preserve"> </w:t>
      </w:r>
      <w:r>
        <w:rPr>
          <w:rFonts w:hint="eastAsia" w:ascii="宋体" w:hAnsi="宋体" w:eastAsia="宋体" w:cs="宋体"/>
          <w:bCs/>
          <w:spacing w:val="-3"/>
          <w:sz w:val="24"/>
          <w:szCs w:val="24"/>
        </w:rPr>
        <w:t>投标人须知前附表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_Toc23115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2D0F9A3">
      <w:pPr>
        <w:pStyle w:val="13"/>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_Toc10868 </w:instrText>
      </w:r>
      <w:r>
        <w:rPr>
          <w:rFonts w:hint="eastAsia" w:ascii="宋体" w:hAnsi="宋体" w:eastAsia="宋体" w:cs="宋体"/>
          <w:sz w:val="24"/>
          <w:szCs w:val="24"/>
        </w:rPr>
        <w:fldChar w:fldCharType="separate"/>
      </w:r>
      <w:r>
        <w:rPr>
          <w:rFonts w:hint="eastAsia" w:ascii="宋体" w:hAnsi="宋体" w:eastAsia="宋体" w:cs="宋体"/>
          <w:bCs/>
          <w:spacing w:val="-3"/>
          <w:sz w:val="24"/>
          <w:szCs w:val="24"/>
        </w:rPr>
        <w:t>第二节 重要事项时间地点一览表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_Toc10868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C9EAFAF">
      <w:pPr>
        <w:pStyle w:val="13"/>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_Toc29292 </w:instrText>
      </w:r>
      <w:r>
        <w:rPr>
          <w:rFonts w:hint="eastAsia" w:ascii="宋体" w:hAnsi="宋体" w:eastAsia="宋体" w:cs="宋体"/>
          <w:sz w:val="24"/>
          <w:szCs w:val="24"/>
        </w:rPr>
        <w:fldChar w:fldCharType="separate"/>
      </w:r>
      <w:r>
        <w:rPr>
          <w:rFonts w:hint="eastAsia" w:ascii="宋体" w:hAnsi="宋体" w:eastAsia="宋体" w:cs="宋体"/>
          <w:bCs/>
          <w:spacing w:val="-3"/>
          <w:sz w:val="24"/>
          <w:szCs w:val="24"/>
        </w:rPr>
        <w:t>第三节</w:t>
      </w:r>
      <w:r>
        <w:rPr>
          <w:rFonts w:hint="eastAsia" w:ascii="宋体" w:hAnsi="宋体" w:eastAsia="宋体" w:cs="宋体"/>
          <w:spacing w:val="-3"/>
          <w:sz w:val="24"/>
          <w:szCs w:val="24"/>
        </w:rPr>
        <w:t xml:space="preserve"> </w:t>
      </w:r>
      <w:r>
        <w:rPr>
          <w:rFonts w:hint="eastAsia" w:ascii="宋体" w:hAnsi="宋体" w:eastAsia="宋体" w:cs="宋体"/>
          <w:bCs/>
          <w:spacing w:val="-3"/>
          <w:sz w:val="24"/>
          <w:szCs w:val="24"/>
        </w:rPr>
        <w:t>投标人须知正文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_Toc29292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012C7EE">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_Toc24668 </w:instrText>
      </w:r>
      <w:r>
        <w:rPr>
          <w:rFonts w:hint="eastAsia" w:ascii="宋体" w:hAnsi="宋体" w:eastAsia="宋体" w:cs="宋体"/>
          <w:sz w:val="24"/>
          <w:szCs w:val="24"/>
        </w:rPr>
        <w:fldChar w:fldCharType="separate"/>
      </w:r>
      <w:r>
        <w:rPr>
          <w:rFonts w:hint="eastAsia" w:ascii="宋体" w:hAnsi="宋体" w:eastAsia="宋体" w:cs="宋体"/>
          <w:bCs/>
          <w:spacing w:val="-4"/>
          <w:sz w:val="24"/>
          <w:szCs w:val="24"/>
        </w:rPr>
        <w:t>1</w:t>
      </w:r>
      <w:r>
        <w:rPr>
          <w:rFonts w:hint="eastAsia" w:ascii="宋体" w:hAnsi="宋体" w:eastAsia="宋体" w:cs="宋体"/>
          <w:bCs/>
          <w:spacing w:val="-23"/>
          <w:sz w:val="24"/>
          <w:szCs w:val="24"/>
        </w:rPr>
        <w:t xml:space="preserve"> </w:t>
      </w:r>
      <w:r>
        <w:rPr>
          <w:rFonts w:hint="eastAsia" w:ascii="宋体" w:hAnsi="宋体" w:eastAsia="宋体" w:cs="宋体"/>
          <w:bCs/>
          <w:spacing w:val="-4"/>
          <w:sz w:val="24"/>
          <w:szCs w:val="24"/>
        </w:rPr>
        <w:t>．项目概况、招标范围和标段划分、投标费用等</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_Toc24668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3193E06">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_Toc14401 </w:instrText>
      </w:r>
      <w:r>
        <w:rPr>
          <w:rFonts w:hint="eastAsia" w:ascii="宋体" w:hAnsi="宋体" w:eastAsia="宋体" w:cs="宋体"/>
          <w:sz w:val="24"/>
          <w:szCs w:val="24"/>
        </w:rPr>
        <w:fldChar w:fldCharType="separate"/>
      </w:r>
      <w:r>
        <w:rPr>
          <w:rFonts w:hint="eastAsia" w:ascii="宋体" w:hAnsi="宋体" w:eastAsia="宋体" w:cs="宋体"/>
          <w:bCs/>
          <w:spacing w:val="-6"/>
          <w:sz w:val="24"/>
          <w:szCs w:val="24"/>
        </w:rPr>
        <w:t>2</w:t>
      </w:r>
      <w:r>
        <w:rPr>
          <w:rFonts w:hint="eastAsia" w:ascii="宋体" w:hAnsi="宋体" w:eastAsia="宋体" w:cs="宋体"/>
          <w:bCs/>
          <w:spacing w:val="-26"/>
          <w:sz w:val="24"/>
          <w:szCs w:val="24"/>
        </w:rPr>
        <w:t xml:space="preserve"> </w:t>
      </w:r>
      <w:r>
        <w:rPr>
          <w:rFonts w:hint="eastAsia" w:ascii="宋体" w:hAnsi="宋体" w:eastAsia="宋体" w:cs="宋体"/>
          <w:bCs/>
          <w:spacing w:val="-6"/>
          <w:sz w:val="24"/>
          <w:szCs w:val="24"/>
        </w:rPr>
        <w:t>．投标人资格要求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_Toc14401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1C74AD8">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_Toc10655 </w:instrText>
      </w:r>
      <w:r>
        <w:rPr>
          <w:rFonts w:hint="eastAsia" w:ascii="宋体" w:hAnsi="宋体" w:eastAsia="宋体" w:cs="宋体"/>
          <w:sz w:val="24"/>
          <w:szCs w:val="24"/>
        </w:rPr>
        <w:fldChar w:fldCharType="separate"/>
      </w:r>
      <w:r>
        <w:rPr>
          <w:rFonts w:hint="eastAsia" w:ascii="宋体" w:hAnsi="宋体" w:eastAsia="宋体" w:cs="宋体"/>
          <w:bCs/>
          <w:spacing w:val="-4"/>
          <w:sz w:val="24"/>
          <w:szCs w:val="24"/>
        </w:rPr>
        <w:t>3．招标文件的获取</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_Toc10655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908E782">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_Toc27100 </w:instrText>
      </w:r>
      <w:r>
        <w:rPr>
          <w:rFonts w:hint="eastAsia" w:ascii="宋体" w:hAnsi="宋体" w:eastAsia="宋体" w:cs="宋体"/>
          <w:sz w:val="24"/>
          <w:szCs w:val="24"/>
        </w:rPr>
        <w:fldChar w:fldCharType="separate"/>
      </w:r>
      <w:r>
        <w:rPr>
          <w:rFonts w:hint="eastAsia" w:ascii="宋体" w:hAnsi="宋体" w:eastAsia="宋体" w:cs="宋体"/>
          <w:bCs/>
          <w:spacing w:val="-8"/>
          <w:sz w:val="24"/>
          <w:szCs w:val="24"/>
        </w:rPr>
        <w:t>4</w:t>
      </w:r>
      <w:r>
        <w:rPr>
          <w:rFonts w:hint="eastAsia" w:ascii="宋体" w:hAnsi="宋体" w:eastAsia="宋体" w:cs="宋体"/>
          <w:bCs/>
          <w:spacing w:val="-27"/>
          <w:sz w:val="24"/>
          <w:szCs w:val="24"/>
        </w:rPr>
        <w:t xml:space="preserve"> </w:t>
      </w:r>
      <w:r>
        <w:rPr>
          <w:rFonts w:hint="eastAsia" w:ascii="宋体" w:hAnsi="宋体" w:eastAsia="宋体" w:cs="宋体"/>
          <w:bCs/>
          <w:spacing w:val="-8"/>
          <w:sz w:val="24"/>
          <w:szCs w:val="24"/>
        </w:rPr>
        <w:t>．工期要求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_Toc27100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56E37AA">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_Toc3173 </w:instrText>
      </w:r>
      <w:r>
        <w:rPr>
          <w:rFonts w:hint="eastAsia" w:ascii="宋体" w:hAnsi="宋体" w:eastAsia="宋体" w:cs="宋体"/>
          <w:sz w:val="24"/>
          <w:szCs w:val="24"/>
        </w:rPr>
        <w:fldChar w:fldCharType="separate"/>
      </w:r>
      <w:r>
        <w:rPr>
          <w:rFonts w:hint="eastAsia" w:ascii="宋体" w:hAnsi="宋体" w:eastAsia="宋体" w:cs="宋体"/>
          <w:bCs/>
          <w:spacing w:val="-5"/>
          <w:sz w:val="24"/>
          <w:szCs w:val="24"/>
        </w:rPr>
        <w:t>5</w:t>
      </w:r>
      <w:r>
        <w:rPr>
          <w:rFonts w:hint="eastAsia" w:ascii="宋体" w:hAnsi="宋体" w:eastAsia="宋体" w:cs="宋体"/>
          <w:bCs/>
          <w:spacing w:val="-20"/>
          <w:sz w:val="24"/>
          <w:szCs w:val="24"/>
        </w:rPr>
        <w:t xml:space="preserve"> </w:t>
      </w:r>
      <w:r>
        <w:rPr>
          <w:rFonts w:hint="eastAsia" w:ascii="宋体" w:hAnsi="宋体" w:eastAsia="宋体" w:cs="宋体"/>
          <w:bCs/>
          <w:spacing w:val="-5"/>
          <w:sz w:val="24"/>
          <w:szCs w:val="24"/>
        </w:rPr>
        <w:t>．质量标准和材料、机械要求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_Toc3173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EB4BB13">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_Toc20271 </w:instrText>
      </w:r>
      <w:r>
        <w:rPr>
          <w:rFonts w:hint="eastAsia" w:ascii="宋体" w:hAnsi="宋体" w:eastAsia="宋体" w:cs="宋体"/>
          <w:sz w:val="24"/>
          <w:szCs w:val="24"/>
        </w:rPr>
        <w:fldChar w:fldCharType="separate"/>
      </w:r>
      <w:r>
        <w:rPr>
          <w:rFonts w:hint="eastAsia" w:ascii="宋体" w:hAnsi="宋体" w:eastAsia="宋体" w:cs="宋体"/>
          <w:bCs/>
          <w:spacing w:val="-6"/>
          <w:sz w:val="24"/>
          <w:szCs w:val="24"/>
        </w:rPr>
        <w:t>6</w:t>
      </w:r>
      <w:r>
        <w:rPr>
          <w:rFonts w:hint="eastAsia" w:ascii="宋体" w:hAnsi="宋体" w:eastAsia="宋体" w:cs="宋体"/>
          <w:bCs/>
          <w:spacing w:val="-20"/>
          <w:sz w:val="24"/>
          <w:szCs w:val="24"/>
        </w:rPr>
        <w:t xml:space="preserve"> </w:t>
      </w:r>
      <w:r>
        <w:rPr>
          <w:rFonts w:hint="eastAsia" w:ascii="宋体" w:hAnsi="宋体" w:eastAsia="宋体" w:cs="宋体"/>
          <w:bCs/>
          <w:spacing w:val="-6"/>
          <w:sz w:val="24"/>
          <w:szCs w:val="24"/>
        </w:rPr>
        <w:t>．施工条件及现场踏勘</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_Toc20271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1B0BAAA">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_Toc9426 </w:instrText>
      </w:r>
      <w:r>
        <w:rPr>
          <w:rFonts w:hint="eastAsia" w:ascii="宋体" w:hAnsi="宋体" w:eastAsia="宋体" w:cs="宋体"/>
          <w:sz w:val="24"/>
          <w:szCs w:val="24"/>
        </w:rPr>
        <w:fldChar w:fldCharType="separate"/>
      </w:r>
      <w:r>
        <w:rPr>
          <w:rFonts w:hint="eastAsia" w:ascii="宋体" w:hAnsi="宋体" w:eastAsia="宋体" w:cs="宋体"/>
          <w:bCs/>
          <w:spacing w:val="-5"/>
          <w:sz w:val="24"/>
          <w:szCs w:val="24"/>
        </w:rPr>
        <w:t>7</w:t>
      </w:r>
      <w:r>
        <w:rPr>
          <w:rFonts w:hint="eastAsia" w:ascii="宋体" w:hAnsi="宋体" w:eastAsia="宋体" w:cs="宋体"/>
          <w:bCs/>
          <w:spacing w:val="-28"/>
          <w:sz w:val="24"/>
          <w:szCs w:val="24"/>
        </w:rPr>
        <w:t xml:space="preserve"> </w:t>
      </w:r>
      <w:r>
        <w:rPr>
          <w:rFonts w:hint="eastAsia" w:ascii="宋体" w:hAnsi="宋体" w:eastAsia="宋体" w:cs="宋体"/>
          <w:bCs/>
          <w:spacing w:val="-5"/>
          <w:sz w:val="24"/>
          <w:szCs w:val="24"/>
        </w:rPr>
        <w:t>．招标文件的提问和答疑</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_Toc9426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5660600">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_Toc12890 </w:instrText>
      </w:r>
      <w:r>
        <w:rPr>
          <w:rFonts w:hint="eastAsia" w:ascii="宋体" w:hAnsi="宋体" w:eastAsia="宋体" w:cs="宋体"/>
          <w:sz w:val="24"/>
          <w:szCs w:val="24"/>
        </w:rPr>
        <w:fldChar w:fldCharType="separate"/>
      </w:r>
      <w:r>
        <w:rPr>
          <w:rFonts w:hint="eastAsia" w:ascii="宋体" w:hAnsi="宋体" w:eastAsia="宋体" w:cs="宋体"/>
          <w:bCs/>
          <w:spacing w:val="-5"/>
          <w:sz w:val="24"/>
          <w:szCs w:val="24"/>
        </w:rPr>
        <w:t>8</w:t>
      </w:r>
      <w:r>
        <w:rPr>
          <w:rFonts w:hint="eastAsia" w:ascii="宋体" w:hAnsi="宋体" w:eastAsia="宋体" w:cs="宋体"/>
          <w:bCs/>
          <w:spacing w:val="-23"/>
          <w:sz w:val="24"/>
          <w:szCs w:val="24"/>
        </w:rPr>
        <w:t xml:space="preserve"> </w:t>
      </w:r>
      <w:r>
        <w:rPr>
          <w:rFonts w:hint="eastAsia" w:ascii="宋体" w:hAnsi="宋体" w:eastAsia="宋体" w:cs="宋体"/>
          <w:bCs/>
          <w:spacing w:val="-5"/>
          <w:sz w:val="24"/>
          <w:szCs w:val="24"/>
        </w:rPr>
        <w:t>．</w:t>
      </w:r>
      <w:r>
        <w:rPr>
          <w:rFonts w:hint="eastAsia" w:ascii="宋体" w:hAnsi="宋体" w:eastAsia="宋体" w:cs="宋体"/>
          <w:bCs/>
          <w:spacing w:val="-1"/>
          <w:sz w:val="24"/>
          <w:szCs w:val="24"/>
        </w:rPr>
        <w:t>招标控制价及最高投标限价</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_Toc12890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A1FDE03">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_Toc25884 </w:instrText>
      </w:r>
      <w:r>
        <w:rPr>
          <w:rFonts w:hint="eastAsia" w:ascii="宋体" w:hAnsi="宋体" w:eastAsia="宋体" w:cs="宋体"/>
          <w:sz w:val="24"/>
          <w:szCs w:val="24"/>
        </w:rPr>
        <w:fldChar w:fldCharType="separate"/>
      </w:r>
      <w:r>
        <w:rPr>
          <w:rFonts w:hint="eastAsia" w:ascii="宋体" w:hAnsi="宋体" w:eastAsia="宋体" w:cs="宋体"/>
          <w:bCs/>
          <w:spacing w:val="-8"/>
          <w:sz w:val="24"/>
          <w:szCs w:val="24"/>
        </w:rPr>
        <w:t>9</w:t>
      </w:r>
      <w:r>
        <w:rPr>
          <w:rFonts w:hint="eastAsia" w:ascii="宋体" w:hAnsi="宋体" w:eastAsia="宋体" w:cs="宋体"/>
          <w:bCs/>
          <w:spacing w:val="-29"/>
          <w:sz w:val="24"/>
          <w:szCs w:val="24"/>
        </w:rPr>
        <w:t xml:space="preserve"> </w:t>
      </w:r>
      <w:r>
        <w:rPr>
          <w:rFonts w:hint="eastAsia" w:ascii="宋体" w:hAnsi="宋体" w:eastAsia="宋体" w:cs="宋体"/>
          <w:bCs/>
          <w:spacing w:val="-8"/>
          <w:sz w:val="24"/>
          <w:szCs w:val="24"/>
        </w:rPr>
        <w:t>．投标报价</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_Toc25884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D3482DA">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_Toc26296 </w:instrText>
      </w:r>
      <w:r>
        <w:rPr>
          <w:rFonts w:hint="eastAsia" w:ascii="宋体" w:hAnsi="宋体" w:eastAsia="宋体" w:cs="宋体"/>
          <w:sz w:val="24"/>
          <w:szCs w:val="24"/>
        </w:rPr>
        <w:fldChar w:fldCharType="separate"/>
      </w:r>
      <w:r>
        <w:rPr>
          <w:rFonts w:hint="eastAsia" w:ascii="宋体" w:hAnsi="宋体" w:eastAsia="宋体" w:cs="宋体"/>
          <w:bCs/>
          <w:spacing w:val="-6"/>
          <w:sz w:val="24"/>
          <w:szCs w:val="24"/>
        </w:rPr>
        <w:t>10</w:t>
      </w:r>
      <w:r>
        <w:rPr>
          <w:rFonts w:hint="eastAsia" w:ascii="宋体" w:hAnsi="宋体" w:eastAsia="宋体" w:cs="宋体"/>
          <w:bCs/>
          <w:spacing w:val="-21"/>
          <w:sz w:val="24"/>
          <w:szCs w:val="24"/>
        </w:rPr>
        <w:t xml:space="preserve"> </w:t>
      </w:r>
      <w:r>
        <w:rPr>
          <w:rFonts w:hint="eastAsia" w:ascii="宋体" w:hAnsi="宋体" w:eastAsia="宋体" w:cs="宋体"/>
          <w:bCs/>
          <w:spacing w:val="-6"/>
          <w:sz w:val="24"/>
          <w:szCs w:val="24"/>
        </w:rPr>
        <w:t>．投标文件的编制要求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_Toc26296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D757C85">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_Toc29307 </w:instrText>
      </w:r>
      <w:r>
        <w:rPr>
          <w:rFonts w:hint="eastAsia" w:ascii="宋体" w:hAnsi="宋体" w:eastAsia="宋体" w:cs="宋体"/>
          <w:sz w:val="24"/>
          <w:szCs w:val="24"/>
        </w:rPr>
        <w:fldChar w:fldCharType="separate"/>
      </w:r>
      <w:r>
        <w:rPr>
          <w:rFonts w:hint="eastAsia" w:ascii="宋体" w:hAnsi="宋体" w:eastAsia="宋体" w:cs="宋体"/>
          <w:bCs/>
          <w:spacing w:val="-9"/>
          <w:sz w:val="24"/>
          <w:szCs w:val="24"/>
        </w:rPr>
        <w:t>11.</w:t>
      </w:r>
      <w:r>
        <w:rPr>
          <w:rFonts w:hint="eastAsia" w:ascii="宋体" w:hAnsi="宋体" w:eastAsia="宋体" w:cs="宋体"/>
          <w:bCs/>
          <w:spacing w:val="20"/>
          <w:sz w:val="24"/>
          <w:szCs w:val="24"/>
        </w:rPr>
        <w:t xml:space="preserve">  </w:t>
      </w:r>
      <w:r>
        <w:rPr>
          <w:rFonts w:hint="eastAsia" w:ascii="宋体" w:hAnsi="宋体" w:eastAsia="宋体" w:cs="宋体"/>
          <w:spacing w:val="-9"/>
          <w:sz w:val="24"/>
          <w:szCs w:val="24"/>
        </w:rPr>
        <w:t>电子投标：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_Toc29307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64EAA85">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_Toc15963 </w:instrText>
      </w:r>
      <w:r>
        <w:rPr>
          <w:rFonts w:hint="eastAsia" w:ascii="宋体" w:hAnsi="宋体" w:eastAsia="宋体" w:cs="宋体"/>
          <w:sz w:val="24"/>
          <w:szCs w:val="24"/>
        </w:rPr>
        <w:fldChar w:fldCharType="separate"/>
      </w:r>
      <w:r>
        <w:rPr>
          <w:rFonts w:hint="eastAsia" w:ascii="宋体" w:hAnsi="宋体" w:eastAsia="宋体" w:cs="宋体"/>
          <w:bCs/>
          <w:spacing w:val="-4"/>
          <w:sz w:val="24"/>
          <w:szCs w:val="24"/>
        </w:rPr>
        <w:t>12. 电子投标及投标解密失败及突发情况的补救方案</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_Toc15963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AD00B31">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_Toc1005 </w:instrText>
      </w:r>
      <w:r>
        <w:rPr>
          <w:rFonts w:hint="eastAsia" w:ascii="宋体" w:hAnsi="宋体" w:eastAsia="宋体" w:cs="宋体"/>
          <w:sz w:val="24"/>
          <w:szCs w:val="24"/>
        </w:rPr>
        <w:fldChar w:fldCharType="separate"/>
      </w:r>
      <w:r>
        <w:rPr>
          <w:rFonts w:hint="eastAsia" w:ascii="宋体" w:hAnsi="宋体" w:eastAsia="宋体" w:cs="宋体"/>
          <w:bCs/>
          <w:spacing w:val="-7"/>
          <w:sz w:val="24"/>
          <w:szCs w:val="24"/>
        </w:rPr>
        <w:t>13</w:t>
      </w:r>
      <w:r>
        <w:rPr>
          <w:rFonts w:hint="eastAsia" w:ascii="宋体" w:hAnsi="宋体" w:eastAsia="宋体" w:cs="宋体"/>
          <w:bCs/>
          <w:spacing w:val="-23"/>
          <w:sz w:val="24"/>
          <w:szCs w:val="24"/>
        </w:rPr>
        <w:t xml:space="preserve"> </w:t>
      </w:r>
      <w:r>
        <w:rPr>
          <w:rFonts w:hint="eastAsia" w:ascii="宋体" w:hAnsi="宋体" w:eastAsia="宋体" w:cs="宋体"/>
          <w:bCs/>
          <w:spacing w:val="-7"/>
          <w:sz w:val="24"/>
          <w:szCs w:val="24"/>
        </w:rPr>
        <w:t>．投标文件的提交</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_Toc1005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38E9D87">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_Toc7252 </w:instrText>
      </w:r>
      <w:r>
        <w:rPr>
          <w:rFonts w:hint="eastAsia" w:ascii="宋体" w:hAnsi="宋体" w:eastAsia="宋体" w:cs="宋体"/>
          <w:sz w:val="24"/>
          <w:szCs w:val="24"/>
        </w:rPr>
        <w:fldChar w:fldCharType="separate"/>
      </w:r>
      <w:r>
        <w:rPr>
          <w:rFonts w:hint="eastAsia" w:ascii="宋体" w:hAnsi="宋体" w:eastAsia="宋体" w:cs="宋体"/>
          <w:bCs/>
          <w:spacing w:val="-11"/>
          <w:sz w:val="24"/>
          <w:szCs w:val="24"/>
        </w:rPr>
        <w:t>14</w:t>
      </w:r>
      <w:r>
        <w:rPr>
          <w:rFonts w:hint="eastAsia" w:ascii="宋体" w:hAnsi="宋体" w:eastAsia="宋体" w:cs="宋体"/>
          <w:bCs/>
          <w:spacing w:val="-28"/>
          <w:sz w:val="24"/>
          <w:szCs w:val="24"/>
        </w:rPr>
        <w:t xml:space="preserve"> </w:t>
      </w:r>
      <w:r>
        <w:rPr>
          <w:rFonts w:hint="eastAsia" w:ascii="宋体" w:hAnsi="宋体" w:eastAsia="宋体" w:cs="宋体"/>
          <w:bCs/>
          <w:spacing w:val="-11"/>
          <w:sz w:val="24"/>
          <w:szCs w:val="24"/>
        </w:rPr>
        <w:t>．开标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_Toc7252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BED8C73">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_Toc31540 </w:instrText>
      </w:r>
      <w:r>
        <w:rPr>
          <w:rFonts w:hint="eastAsia" w:ascii="宋体" w:hAnsi="宋体" w:eastAsia="宋体" w:cs="宋体"/>
          <w:sz w:val="24"/>
          <w:szCs w:val="24"/>
        </w:rPr>
        <w:fldChar w:fldCharType="separate"/>
      </w:r>
      <w:r>
        <w:rPr>
          <w:rFonts w:hint="eastAsia" w:ascii="宋体" w:hAnsi="宋体" w:eastAsia="宋体" w:cs="宋体"/>
          <w:bCs/>
          <w:spacing w:val="-11"/>
          <w:sz w:val="24"/>
          <w:szCs w:val="24"/>
        </w:rPr>
        <w:t>15</w:t>
      </w:r>
      <w:r>
        <w:rPr>
          <w:rFonts w:hint="eastAsia" w:ascii="宋体" w:hAnsi="宋体" w:eastAsia="宋体" w:cs="宋体"/>
          <w:bCs/>
          <w:spacing w:val="-28"/>
          <w:sz w:val="24"/>
          <w:szCs w:val="24"/>
        </w:rPr>
        <w:t xml:space="preserve"> </w:t>
      </w:r>
      <w:r>
        <w:rPr>
          <w:rFonts w:hint="eastAsia" w:ascii="宋体" w:hAnsi="宋体" w:eastAsia="宋体" w:cs="宋体"/>
          <w:bCs/>
          <w:spacing w:val="-11"/>
          <w:sz w:val="24"/>
          <w:szCs w:val="24"/>
        </w:rPr>
        <w:t>．评标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_Toc31540 \h </w:instrText>
      </w:r>
      <w:r>
        <w:rPr>
          <w:rFonts w:hint="eastAsia" w:ascii="宋体" w:hAnsi="宋体" w:eastAsia="宋体" w:cs="宋体"/>
          <w:sz w:val="24"/>
          <w:szCs w:val="24"/>
        </w:rPr>
        <w:fldChar w:fldCharType="separate"/>
      </w:r>
      <w:r>
        <w:rPr>
          <w:rFonts w:hint="eastAsia" w:ascii="宋体" w:hAnsi="宋体" w:eastAsia="宋体" w:cs="宋体"/>
          <w:sz w:val="24"/>
          <w:szCs w:val="24"/>
        </w:rPr>
        <w:t>25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CB1D0FF">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_Toc269 </w:instrText>
      </w:r>
      <w:r>
        <w:rPr>
          <w:rFonts w:hint="eastAsia" w:ascii="宋体" w:hAnsi="宋体" w:eastAsia="宋体" w:cs="宋体"/>
          <w:sz w:val="24"/>
          <w:szCs w:val="24"/>
        </w:rPr>
        <w:fldChar w:fldCharType="separate"/>
      </w:r>
      <w:r>
        <w:rPr>
          <w:rFonts w:hint="eastAsia" w:ascii="宋体" w:hAnsi="宋体" w:eastAsia="宋体" w:cs="宋体"/>
          <w:bCs/>
          <w:spacing w:val="-7"/>
          <w:sz w:val="24"/>
          <w:szCs w:val="24"/>
        </w:rPr>
        <w:t>16</w:t>
      </w:r>
      <w:r>
        <w:rPr>
          <w:rFonts w:hint="eastAsia" w:ascii="宋体" w:hAnsi="宋体" w:eastAsia="宋体" w:cs="宋体"/>
          <w:bCs/>
          <w:spacing w:val="-20"/>
          <w:sz w:val="24"/>
          <w:szCs w:val="24"/>
        </w:rPr>
        <w:t xml:space="preserve"> </w:t>
      </w:r>
      <w:r>
        <w:rPr>
          <w:rFonts w:hint="eastAsia" w:ascii="宋体" w:hAnsi="宋体" w:eastAsia="宋体" w:cs="宋体"/>
          <w:bCs/>
          <w:spacing w:val="-7"/>
          <w:sz w:val="24"/>
          <w:szCs w:val="24"/>
        </w:rPr>
        <w:t>．中标候选人公示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_Toc269 \h </w:instrText>
      </w:r>
      <w:r>
        <w:rPr>
          <w:rFonts w:hint="eastAsia" w:ascii="宋体" w:hAnsi="宋体" w:eastAsia="宋体" w:cs="宋体"/>
          <w:sz w:val="24"/>
          <w:szCs w:val="24"/>
        </w:rPr>
        <w:fldChar w:fldCharType="separate"/>
      </w:r>
      <w:r>
        <w:rPr>
          <w:rFonts w:hint="eastAsia" w:ascii="宋体" w:hAnsi="宋体" w:eastAsia="宋体" w:cs="宋体"/>
          <w:sz w:val="24"/>
          <w:szCs w:val="24"/>
        </w:rPr>
        <w:t>35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F254E30">
      <w:pPr>
        <w:pStyle w:val="13"/>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_Toc28455 </w:instrText>
      </w:r>
      <w:r>
        <w:rPr>
          <w:rFonts w:hint="eastAsia" w:ascii="宋体" w:hAnsi="宋体" w:eastAsia="宋体" w:cs="宋体"/>
          <w:sz w:val="24"/>
          <w:szCs w:val="24"/>
        </w:rPr>
        <w:fldChar w:fldCharType="separate"/>
      </w:r>
      <w:r>
        <w:rPr>
          <w:rFonts w:hint="eastAsia" w:ascii="宋体" w:hAnsi="宋体" w:eastAsia="宋体" w:cs="宋体"/>
          <w:bCs/>
          <w:spacing w:val="-3"/>
          <w:sz w:val="24"/>
          <w:szCs w:val="24"/>
        </w:rPr>
        <w:t>第四节</w:t>
      </w:r>
      <w:r>
        <w:rPr>
          <w:rFonts w:hint="eastAsia" w:ascii="宋体" w:hAnsi="宋体" w:eastAsia="宋体" w:cs="宋体"/>
          <w:spacing w:val="-3"/>
          <w:sz w:val="24"/>
          <w:szCs w:val="24"/>
        </w:rPr>
        <w:t xml:space="preserve"> </w:t>
      </w:r>
      <w:r>
        <w:rPr>
          <w:rFonts w:hint="eastAsia" w:ascii="宋体" w:hAnsi="宋体" w:eastAsia="宋体" w:cs="宋体"/>
          <w:bCs/>
          <w:spacing w:val="-3"/>
          <w:sz w:val="24"/>
          <w:szCs w:val="24"/>
        </w:rPr>
        <w:t>否决投标条件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_Toc28455 \h </w:instrText>
      </w:r>
      <w:r>
        <w:rPr>
          <w:rFonts w:hint="eastAsia" w:ascii="宋体" w:hAnsi="宋体" w:eastAsia="宋体" w:cs="宋体"/>
          <w:sz w:val="24"/>
          <w:szCs w:val="24"/>
        </w:rPr>
        <w:fldChar w:fldCharType="separate"/>
      </w:r>
      <w:r>
        <w:rPr>
          <w:rFonts w:hint="eastAsia" w:ascii="宋体" w:hAnsi="宋体" w:eastAsia="宋体" w:cs="宋体"/>
          <w:sz w:val="24"/>
          <w:szCs w:val="24"/>
        </w:rPr>
        <w:t>36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0DD2CEC">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_Toc8173 </w:instrText>
      </w:r>
      <w:r>
        <w:rPr>
          <w:rFonts w:hint="eastAsia" w:ascii="宋体" w:hAnsi="宋体" w:eastAsia="宋体" w:cs="宋体"/>
          <w:sz w:val="24"/>
          <w:szCs w:val="24"/>
        </w:rPr>
        <w:fldChar w:fldCharType="separate"/>
      </w:r>
      <w:r>
        <w:rPr>
          <w:rFonts w:hint="eastAsia" w:ascii="宋体" w:hAnsi="宋体" w:eastAsia="宋体" w:cs="宋体"/>
          <w:bCs/>
          <w:spacing w:val="-8"/>
          <w:sz w:val="24"/>
          <w:szCs w:val="24"/>
        </w:rPr>
        <w:t>1</w:t>
      </w:r>
      <w:r>
        <w:rPr>
          <w:rFonts w:hint="eastAsia" w:ascii="宋体" w:hAnsi="宋体" w:eastAsia="宋体" w:cs="宋体"/>
          <w:bCs/>
          <w:spacing w:val="-26"/>
          <w:sz w:val="24"/>
          <w:szCs w:val="24"/>
        </w:rPr>
        <w:t xml:space="preserve"> </w:t>
      </w:r>
      <w:r>
        <w:rPr>
          <w:rFonts w:hint="eastAsia" w:ascii="宋体" w:hAnsi="宋体" w:eastAsia="宋体" w:cs="宋体"/>
          <w:bCs/>
          <w:spacing w:val="-8"/>
          <w:sz w:val="24"/>
          <w:szCs w:val="24"/>
        </w:rPr>
        <w:t>．资格评审环节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_Toc8173 \h </w:instrText>
      </w:r>
      <w:r>
        <w:rPr>
          <w:rFonts w:hint="eastAsia" w:ascii="宋体" w:hAnsi="宋体" w:eastAsia="宋体" w:cs="宋体"/>
          <w:sz w:val="24"/>
          <w:szCs w:val="24"/>
        </w:rPr>
        <w:fldChar w:fldCharType="separate"/>
      </w:r>
      <w:r>
        <w:rPr>
          <w:rFonts w:hint="eastAsia" w:ascii="宋体" w:hAnsi="宋体" w:eastAsia="宋体" w:cs="宋体"/>
          <w:sz w:val="24"/>
          <w:szCs w:val="24"/>
        </w:rPr>
        <w:t>36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846EDA5">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_Toc29071 </w:instrText>
      </w:r>
      <w:r>
        <w:rPr>
          <w:rFonts w:hint="eastAsia" w:ascii="宋体" w:hAnsi="宋体" w:eastAsia="宋体" w:cs="宋体"/>
          <w:sz w:val="24"/>
          <w:szCs w:val="24"/>
        </w:rPr>
        <w:fldChar w:fldCharType="separate"/>
      </w:r>
      <w:r>
        <w:rPr>
          <w:rFonts w:hint="eastAsia" w:ascii="宋体" w:hAnsi="宋体" w:eastAsia="宋体" w:cs="宋体"/>
          <w:bCs/>
          <w:spacing w:val="-7"/>
          <w:sz w:val="24"/>
          <w:szCs w:val="24"/>
        </w:rPr>
        <w:t>2</w:t>
      </w:r>
      <w:r>
        <w:rPr>
          <w:rFonts w:hint="eastAsia" w:ascii="宋体" w:hAnsi="宋体" w:eastAsia="宋体" w:cs="宋体"/>
          <w:bCs/>
          <w:spacing w:val="-24"/>
          <w:sz w:val="24"/>
          <w:szCs w:val="24"/>
        </w:rPr>
        <w:t xml:space="preserve"> </w:t>
      </w:r>
      <w:r>
        <w:rPr>
          <w:rFonts w:hint="eastAsia" w:ascii="宋体" w:hAnsi="宋体" w:eastAsia="宋体" w:cs="宋体"/>
          <w:bCs/>
          <w:spacing w:val="-7"/>
          <w:sz w:val="24"/>
          <w:szCs w:val="24"/>
        </w:rPr>
        <w:t>．形式评审环节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_Toc29071 \h </w:instrText>
      </w:r>
      <w:r>
        <w:rPr>
          <w:rFonts w:hint="eastAsia" w:ascii="宋体" w:hAnsi="宋体" w:eastAsia="宋体" w:cs="宋体"/>
          <w:sz w:val="24"/>
          <w:szCs w:val="24"/>
        </w:rPr>
        <w:fldChar w:fldCharType="separate"/>
      </w:r>
      <w:r>
        <w:rPr>
          <w:rFonts w:hint="eastAsia" w:ascii="宋体" w:hAnsi="宋体" w:eastAsia="宋体" w:cs="宋体"/>
          <w:sz w:val="24"/>
          <w:szCs w:val="24"/>
        </w:rPr>
        <w:t>36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64BBB60">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_Toc4409 </w:instrText>
      </w:r>
      <w:r>
        <w:rPr>
          <w:rFonts w:hint="eastAsia" w:ascii="宋体" w:hAnsi="宋体" w:eastAsia="宋体" w:cs="宋体"/>
          <w:sz w:val="24"/>
          <w:szCs w:val="24"/>
        </w:rPr>
        <w:fldChar w:fldCharType="separate"/>
      </w:r>
      <w:r>
        <w:rPr>
          <w:rFonts w:hint="eastAsia" w:ascii="宋体" w:hAnsi="宋体" w:eastAsia="宋体" w:cs="宋体"/>
          <w:bCs/>
          <w:spacing w:val="-6"/>
          <w:sz w:val="24"/>
          <w:szCs w:val="24"/>
        </w:rPr>
        <w:t>3</w:t>
      </w:r>
      <w:r>
        <w:rPr>
          <w:rFonts w:hint="eastAsia" w:ascii="宋体" w:hAnsi="宋体" w:eastAsia="宋体" w:cs="宋体"/>
          <w:bCs/>
          <w:spacing w:val="-24"/>
          <w:sz w:val="24"/>
          <w:szCs w:val="24"/>
        </w:rPr>
        <w:t xml:space="preserve"> </w:t>
      </w:r>
      <w:r>
        <w:rPr>
          <w:rFonts w:hint="eastAsia" w:ascii="宋体" w:hAnsi="宋体" w:eastAsia="宋体" w:cs="宋体"/>
          <w:bCs/>
          <w:spacing w:val="-6"/>
          <w:sz w:val="24"/>
          <w:szCs w:val="24"/>
        </w:rPr>
        <w:t>．响应性评审环节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_Toc4409 \h </w:instrText>
      </w:r>
      <w:r>
        <w:rPr>
          <w:rFonts w:hint="eastAsia" w:ascii="宋体" w:hAnsi="宋体" w:eastAsia="宋体" w:cs="宋体"/>
          <w:sz w:val="24"/>
          <w:szCs w:val="24"/>
        </w:rPr>
        <w:fldChar w:fldCharType="separate"/>
      </w:r>
      <w:r>
        <w:rPr>
          <w:rFonts w:hint="eastAsia" w:ascii="宋体" w:hAnsi="宋体" w:eastAsia="宋体" w:cs="宋体"/>
          <w:sz w:val="24"/>
          <w:szCs w:val="24"/>
        </w:rPr>
        <w:t>37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924F1E2">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_Toc29500 </w:instrText>
      </w:r>
      <w:r>
        <w:rPr>
          <w:rFonts w:hint="eastAsia" w:ascii="宋体" w:hAnsi="宋体" w:eastAsia="宋体" w:cs="宋体"/>
          <w:sz w:val="24"/>
          <w:szCs w:val="24"/>
        </w:rPr>
        <w:fldChar w:fldCharType="separate"/>
      </w:r>
      <w:r>
        <w:rPr>
          <w:rFonts w:hint="eastAsia" w:ascii="宋体" w:hAnsi="宋体" w:eastAsia="宋体" w:cs="宋体"/>
          <w:bCs/>
          <w:spacing w:val="-11"/>
          <w:sz w:val="24"/>
          <w:szCs w:val="24"/>
        </w:rPr>
        <w:t>4</w:t>
      </w:r>
      <w:r>
        <w:rPr>
          <w:rFonts w:hint="eastAsia" w:ascii="宋体" w:hAnsi="宋体" w:eastAsia="宋体" w:cs="宋体"/>
          <w:bCs/>
          <w:spacing w:val="-29"/>
          <w:sz w:val="24"/>
          <w:szCs w:val="24"/>
        </w:rPr>
        <w:t xml:space="preserve"> </w:t>
      </w:r>
      <w:r>
        <w:rPr>
          <w:rFonts w:hint="eastAsia" w:ascii="宋体" w:hAnsi="宋体" w:eastAsia="宋体" w:cs="宋体"/>
          <w:bCs/>
          <w:spacing w:val="-11"/>
          <w:sz w:val="24"/>
          <w:szCs w:val="24"/>
        </w:rPr>
        <w:t>．其他</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_Toc29500 \h </w:instrText>
      </w:r>
      <w:r>
        <w:rPr>
          <w:rFonts w:hint="eastAsia" w:ascii="宋体" w:hAnsi="宋体" w:eastAsia="宋体" w:cs="宋体"/>
          <w:sz w:val="24"/>
          <w:szCs w:val="24"/>
        </w:rPr>
        <w:fldChar w:fldCharType="separate"/>
      </w:r>
      <w:r>
        <w:rPr>
          <w:rFonts w:hint="eastAsia" w:ascii="宋体" w:hAnsi="宋体" w:eastAsia="宋体" w:cs="宋体"/>
          <w:sz w:val="24"/>
          <w:szCs w:val="24"/>
        </w:rPr>
        <w:t>38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4DB79AF">
      <w:pPr>
        <w:pStyle w:val="13"/>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_Toc20000 </w:instrText>
      </w:r>
      <w:r>
        <w:rPr>
          <w:rFonts w:hint="eastAsia" w:ascii="宋体" w:hAnsi="宋体" w:eastAsia="宋体" w:cs="宋体"/>
          <w:sz w:val="24"/>
          <w:szCs w:val="24"/>
        </w:rPr>
        <w:fldChar w:fldCharType="separate"/>
      </w:r>
      <w:r>
        <w:rPr>
          <w:rFonts w:hint="eastAsia" w:ascii="宋体" w:hAnsi="宋体" w:eastAsia="宋体" w:cs="宋体"/>
          <w:bCs/>
          <w:spacing w:val="-7"/>
          <w:sz w:val="24"/>
          <w:szCs w:val="24"/>
        </w:rPr>
        <w:t>第二章</w:t>
      </w:r>
      <w:r>
        <w:rPr>
          <w:rFonts w:hint="eastAsia" w:ascii="宋体" w:hAnsi="宋体" w:eastAsia="宋体" w:cs="宋体"/>
          <w:spacing w:val="32"/>
          <w:sz w:val="24"/>
          <w:szCs w:val="24"/>
        </w:rPr>
        <w:t xml:space="preserve"> </w:t>
      </w:r>
      <w:r>
        <w:rPr>
          <w:rFonts w:hint="eastAsia" w:ascii="宋体" w:hAnsi="宋体" w:eastAsia="宋体" w:cs="宋体"/>
          <w:bCs/>
          <w:spacing w:val="-7"/>
          <w:sz w:val="24"/>
          <w:szCs w:val="24"/>
        </w:rPr>
        <w:t>中标人须知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_Toc20000 \h </w:instrText>
      </w:r>
      <w:r>
        <w:rPr>
          <w:rFonts w:hint="eastAsia" w:ascii="宋体" w:hAnsi="宋体" w:eastAsia="宋体" w:cs="宋体"/>
          <w:sz w:val="24"/>
          <w:szCs w:val="24"/>
        </w:rPr>
        <w:fldChar w:fldCharType="separate"/>
      </w:r>
      <w:r>
        <w:rPr>
          <w:rFonts w:hint="eastAsia" w:ascii="宋体" w:hAnsi="宋体" w:eastAsia="宋体" w:cs="宋体"/>
          <w:sz w:val="24"/>
          <w:szCs w:val="24"/>
        </w:rPr>
        <w:t>39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9447FAE">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_Toc11992 </w:instrText>
      </w:r>
      <w:r>
        <w:rPr>
          <w:rFonts w:hint="eastAsia" w:ascii="宋体" w:hAnsi="宋体" w:eastAsia="宋体" w:cs="宋体"/>
          <w:sz w:val="24"/>
          <w:szCs w:val="24"/>
        </w:rPr>
        <w:fldChar w:fldCharType="separate"/>
      </w:r>
      <w:r>
        <w:rPr>
          <w:rFonts w:hint="eastAsia" w:ascii="宋体" w:hAnsi="宋体" w:eastAsia="宋体" w:cs="宋体"/>
          <w:bCs/>
          <w:spacing w:val="-9"/>
          <w:sz w:val="24"/>
          <w:szCs w:val="24"/>
        </w:rPr>
        <w:t>1</w:t>
      </w:r>
      <w:r>
        <w:rPr>
          <w:rFonts w:hint="eastAsia" w:ascii="宋体" w:hAnsi="宋体" w:eastAsia="宋体" w:cs="宋体"/>
          <w:bCs/>
          <w:spacing w:val="-25"/>
          <w:sz w:val="24"/>
          <w:szCs w:val="24"/>
        </w:rPr>
        <w:t xml:space="preserve"> </w:t>
      </w:r>
      <w:r>
        <w:rPr>
          <w:rFonts w:hint="eastAsia" w:ascii="宋体" w:hAnsi="宋体" w:eastAsia="宋体" w:cs="宋体"/>
          <w:bCs/>
          <w:spacing w:val="-9"/>
          <w:sz w:val="24"/>
          <w:szCs w:val="24"/>
        </w:rPr>
        <w:t>．中标通知书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_Toc11992 \h </w:instrText>
      </w:r>
      <w:r>
        <w:rPr>
          <w:rFonts w:hint="eastAsia" w:ascii="宋体" w:hAnsi="宋体" w:eastAsia="宋体" w:cs="宋体"/>
          <w:sz w:val="24"/>
          <w:szCs w:val="24"/>
        </w:rPr>
        <w:fldChar w:fldCharType="separate"/>
      </w:r>
      <w:r>
        <w:rPr>
          <w:rFonts w:hint="eastAsia" w:ascii="宋体" w:hAnsi="宋体" w:eastAsia="宋体" w:cs="宋体"/>
          <w:sz w:val="24"/>
          <w:szCs w:val="24"/>
        </w:rPr>
        <w:t>39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B42999B">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_Toc7161 </w:instrText>
      </w:r>
      <w:r>
        <w:rPr>
          <w:rFonts w:hint="eastAsia" w:ascii="宋体" w:hAnsi="宋体" w:eastAsia="宋体" w:cs="宋体"/>
          <w:sz w:val="24"/>
          <w:szCs w:val="24"/>
        </w:rPr>
        <w:fldChar w:fldCharType="separate"/>
      </w:r>
      <w:r>
        <w:rPr>
          <w:rFonts w:hint="eastAsia" w:ascii="宋体" w:hAnsi="宋体" w:eastAsia="宋体" w:cs="宋体"/>
          <w:bCs/>
          <w:spacing w:val="-7"/>
          <w:sz w:val="24"/>
          <w:szCs w:val="24"/>
        </w:rPr>
        <w:t>2</w:t>
      </w:r>
      <w:r>
        <w:rPr>
          <w:rFonts w:hint="eastAsia" w:ascii="宋体" w:hAnsi="宋体" w:eastAsia="宋体" w:cs="宋体"/>
          <w:bCs/>
          <w:spacing w:val="-24"/>
          <w:sz w:val="24"/>
          <w:szCs w:val="24"/>
        </w:rPr>
        <w:t xml:space="preserve"> </w:t>
      </w:r>
      <w:r>
        <w:rPr>
          <w:rFonts w:hint="eastAsia" w:ascii="宋体" w:hAnsi="宋体" w:eastAsia="宋体" w:cs="宋体"/>
          <w:bCs/>
          <w:spacing w:val="-7"/>
          <w:sz w:val="24"/>
          <w:szCs w:val="24"/>
        </w:rPr>
        <w:t>．中标结果公示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_Toc7161 \h </w:instrText>
      </w:r>
      <w:r>
        <w:rPr>
          <w:rFonts w:hint="eastAsia" w:ascii="宋体" w:hAnsi="宋体" w:eastAsia="宋体" w:cs="宋体"/>
          <w:sz w:val="24"/>
          <w:szCs w:val="24"/>
        </w:rPr>
        <w:fldChar w:fldCharType="separate"/>
      </w:r>
      <w:r>
        <w:rPr>
          <w:rFonts w:hint="eastAsia" w:ascii="宋体" w:hAnsi="宋体" w:eastAsia="宋体" w:cs="宋体"/>
          <w:sz w:val="24"/>
          <w:szCs w:val="24"/>
        </w:rPr>
        <w:t>39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98ABCB1">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_Toc15464 </w:instrText>
      </w:r>
      <w:r>
        <w:rPr>
          <w:rFonts w:hint="eastAsia" w:ascii="宋体" w:hAnsi="宋体" w:eastAsia="宋体" w:cs="宋体"/>
          <w:sz w:val="24"/>
          <w:szCs w:val="24"/>
        </w:rPr>
        <w:fldChar w:fldCharType="separate"/>
      </w:r>
      <w:r>
        <w:rPr>
          <w:rFonts w:hint="eastAsia" w:ascii="宋体" w:hAnsi="宋体" w:eastAsia="宋体" w:cs="宋体"/>
          <w:bCs/>
          <w:spacing w:val="-8"/>
          <w:sz w:val="24"/>
          <w:szCs w:val="24"/>
        </w:rPr>
        <w:t>3</w:t>
      </w:r>
      <w:r>
        <w:rPr>
          <w:rFonts w:hint="eastAsia" w:ascii="宋体" w:hAnsi="宋体" w:eastAsia="宋体" w:cs="宋体"/>
          <w:bCs/>
          <w:spacing w:val="-25"/>
          <w:sz w:val="24"/>
          <w:szCs w:val="24"/>
        </w:rPr>
        <w:t xml:space="preserve"> </w:t>
      </w:r>
      <w:r>
        <w:rPr>
          <w:rFonts w:hint="eastAsia" w:ascii="宋体" w:hAnsi="宋体" w:eastAsia="宋体" w:cs="宋体"/>
          <w:bCs/>
          <w:spacing w:val="-8"/>
          <w:sz w:val="24"/>
          <w:szCs w:val="24"/>
        </w:rPr>
        <w:t>．履约保证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_Toc15464 \h </w:instrText>
      </w:r>
      <w:r>
        <w:rPr>
          <w:rFonts w:hint="eastAsia" w:ascii="宋体" w:hAnsi="宋体" w:eastAsia="宋体" w:cs="宋体"/>
          <w:sz w:val="24"/>
          <w:szCs w:val="24"/>
        </w:rPr>
        <w:fldChar w:fldCharType="separate"/>
      </w:r>
      <w:r>
        <w:rPr>
          <w:rFonts w:hint="eastAsia" w:ascii="宋体" w:hAnsi="宋体" w:eastAsia="宋体" w:cs="宋体"/>
          <w:sz w:val="24"/>
          <w:szCs w:val="24"/>
        </w:rPr>
        <w:t>39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66012F1">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_Toc8851 </w:instrText>
      </w:r>
      <w:r>
        <w:rPr>
          <w:rFonts w:hint="eastAsia" w:ascii="宋体" w:hAnsi="宋体" w:eastAsia="宋体" w:cs="宋体"/>
          <w:sz w:val="24"/>
          <w:szCs w:val="24"/>
        </w:rPr>
        <w:fldChar w:fldCharType="separate"/>
      </w:r>
      <w:r>
        <w:rPr>
          <w:rFonts w:hint="eastAsia" w:ascii="宋体" w:hAnsi="宋体" w:eastAsia="宋体" w:cs="宋体"/>
          <w:bCs/>
          <w:spacing w:val="-8"/>
          <w:sz w:val="24"/>
          <w:szCs w:val="24"/>
        </w:rPr>
        <w:t>4</w:t>
      </w:r>
      <w:r>
        <w:rPr>
          <w:rFonts w:hint="eastAsia" w:ascii="宋体" w:hAnsi="宋体" w:eastAsia="宋体" w:cs="宋体"/>
          <w:bCs/>
          <w:spacing w:val="-27"/>
          <w:sz w:val="24"/>
          <w:szCs w:val="24"/>
        </w:rPr>
        <w:t xml:space="preserve"> </w:t>
      </w:r>
      <w:r>
        <w:rPr>
          <w:rFonts w:hint="eastAsia" w:ascii="宋体" w:hAnsi="宋体" w:eastAsia="宋体" w:cs="宋体"/>
          <w:bCs/>
          <w:spacing w:val="-8"/>
          <w:sz w:val="24"/>
          <w:szCs w:val="24"/>
        </w:rPr>
        <w:t>．合同订立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_Toc8851 \h </w:instrText>
      </w:r>
      <w:r>
        <w:rPr>
          <w:rFonts w:hint="eastAsia" w:ascii="宋体" w:hAnsi="宋体" w:eastAsia="宋体" w:cs="宋体"/>
          <w:sz w:val="24"/>
          <w:szCs w:val="24"/>
        </w:rPr>
        <w:fldChar w:fldCharType="separate"/>
      </w:r>
      <w:r>
        <w:rPr>
          <w:rFonts w:hint="eastAsia" w:ascii="宋体" w:hAnsi="宋体" w:eastAsia="宋体" w:cs="宋体"/>
          <w:sz w:val="24"/>
          <w:szCs w:val="24"/>
        </w:rPr>
        <w:t>39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D0E2FC2">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_Toc23772 </w:instrText>
      </w:r>
      <w:r>
        <w:rPr>
          <w:rFonts w:hint="eastAsia" w:ascii="宋体" w:hAnsi="宋体" w:eastAsia="宋体" w:cs="宋体"/>
          <w:sz w:val="24"/>
          <w:szCs w:val="24"/>
        </w:rPr>
        <w:fldChar w:fldCharType="separate"/>
      </w:r>
      <w:r>
        <w:rPr>
          <w:rFonts w:hint="eastAsia" w:ascii="宋体" w:hAnsi="宋体" w:eastAsia="宋体" w:cs="宋体"/>
          <w:bCs/>
          <w:spacing w:val="-6"/>
          <w:sz w:val="24"/>
          <w:szCs w:val="24"/>
        </w:rPr>
        <w:t>5</w:t>
      </w:r>
      <w:r>
        <w:rPr>
          <w:rFonts w:hint="eastAsia" w:ascii="宋体" w:hAnsi="宋体" w:eastAsia="宋体" w:cs="宋体"/>
          <w:bCs/>
          <w:spacing w:val="-29"/>
          <w:sz w:val="24"/>
          <w:szCs w:val="24"/>
        </w:rPr>
        <w:t xml:space="preserve"> </w:t>
      </w:r>
      <w:r>
        <w:rPr>
          <w:rFonts w:hint="eastAsia" w:ascii="宋体" w:hAnsi="宋体" w:eastAsia="宋体" w:cs="宋体"/>
          <w:bCs/>
          <w:spacing w:val="-6"/>
          <w:sz w:val="24"/>
          <w:szCs w:val="24"/>
        </w:rPr>
        <w:t>．放弃中标的处理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_Toc23772 \h </w:instrText>
      </w:r>
      <w:r>
        <w:rPr>
          <w:rFonts w:hint="eastAsia" w:ascii="宋体" w:hAnsi="宋体" w:eastAsia="宋体" w:cs="宋体"/>
          <w:sz w:val="24"/>
          <w:szCs w:val="24"/>
        </w:rPr>
        <w:fldChar w:fldCharType="separate"/>
      </w:r>
      <w:r>
        <w:rPr>
          <w:rFonts w:hint="eastAsia" w:ascii="宋体" w:hAnsi="宋体" w:eastAsia="宋体" w:cs="宋体"/>
          <w:sz w:val="24"/>
          <w:szCs w:val="24"/>
        </w:rPr>
        <w:t>41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0B7E427">
      <w:pPr>
        <w:pStyle w:val="13"/>
        <w:tabs>
          <w:tab w:val="right" w:leader="dot" w:pos="9356"/>
        </w:tabs>
        <w:ind w:left="0" w:leftChars="0"/>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_Toc24083 </w:instrText>
      </w:r>
      <w:r>
        <w:rPr>
          <w:rFonts w:hint="eastAsia" w:ascii="宋体" w:hAnsi="宋体" w:eastAsia="宋体" w:cs="宋体"/>
          <w:sz w:val="24"/>
          <w:szCs w:val="24"/>
        </w:rPr>
        <w:fldChar w:fldCharType="separate"/>
      </w:r>
      <w:r>
        <w:rPr>
          <w:rFonts w:hint="eastAsia" w:ascii="宋体" w:hAnsi="宋体" w:eastAsia="宋体" w:cs="宋体"/>
          <w:bCs/>
          <w:spacing w:val="-3"/>
          <w:sz w:val="24"/>
          <w:szCs w:val="24"/>
        </w:rPr>
        <w:t>第三章</w:t>
      </w:r>
      <w:r>
        <w:rPr>
          <w:rFonts w:hint="eastAsia" w:ascii="宋体" w:hAnsi="宋体" w:eastAsia="宋体" w:cs="宋体"/>
          <w:spacing w:val="-3"/>
          <w:sz w:val="24"/>
          <w:szCs w:val="24"/>
        </w:rPr>
        <w:t xml:space="preserve"> </w:t>
      </w:r>
      <w:r>
        <w:rPr>
          <w:rFonts w:hint="eastAsia" w:ascii="宋体" w:hAnsi="宋体" w:eastAsia="宋体" w:cs="宋体"/>
          <w:bCs/>
          <w:spacing w:val="-3"/>
          <w:sz w:val="24"/>
          <w:szCs w:val="24"/>
        </w:rPr>
        <w:t>拟签订合同的主要条款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_Toc24083 \h </w:instrText>
      </w:r>
      <w:r>
        <w:rPr>
          <w:rFonts w:hint="eastAsia" w:ascii="宋体" w:hAnsi="宋体" w:eastAsia="宋体" w:cs="宋体"/>
          <w:sz w:val="24"/>
          <w:szCs w:val="24"/>
        </w:rPr>
        <w:fldChar w:fldCharType="separate"/>
      </w:r>
      <w:r>
        <w:rPr>
          <w:rFonts w:hint="eastAsia" w:ascii="宋体" w:hAnsi="宋体" w:eastAsia="宋体" w:cs="宋体"/>
          <w:sz w:val="24"/>
          <w:szCs w:val="24"/>
        </w:rPr>
        <w:t>42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997C22E">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_Toc9967 </w:instrText>
      </w:r>
      <w:r>
        <w:rPr>
          <w:rFonts w:hint="eastAsia" w:ascii="宋体" w:hAnsi="宋体" w:eastAsia="宋体" w:cs="宋体"/>
          <w:sz w:val="24"/>
          <w:szCs w:val="24"/>
        </w:rPr>
        <w:fldChar w:fldCharType="separate"/>
      </w:r>
      <w:r>
        <w:rPr>
          <w:rFonts w:hint="eastAsia" w:ascii="宋体" w:hAnsi="宋体" w:eastAsia="宋体" w:cs="宋体"/>
          <w:bCs/>
          <w:spacing w:val="-8"/>
          <w:sz w:val="24"/>
          <w:szCs w:val="24"/>
        </w:rPr>
        <w:t>1</w:t>
      </w:r>
      <w:r>
        <w:rPr>
          <w:rFonts w:hint="eastAsia" w:ascii="宋体" w:hAnsi="宋体" w:eastAsia="宋体" w:cs="宋体"/>
          <w:bCs/>
          <w:spacing w:val="-26"/>
          <w:sz w:val="24"/>
          <w:szCs w:val="24"/>
        </w:rPr>
        <w:t xml:space="preserve"> </w:t>
      </w:r>
      <w:r>
        <w:rPr>
          <w:rFonts w:hint="eastAsia" w:ascii="宋体" w:hAnsi="宋体" w:eastAsia="宋体" w:cs="宋体"/>
          <w:bCs/>
          <w:spacing w:val="-8"/>
          <w:sz w:val="24"/>
          <w:szCs w:val="24"/>
        </w:rPr>
        <w:t>．工程承包方式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_Toc9967 \h </w:instrText>
      </w:r>
      <w:r>
        <w:rPr>
          <w:rFonts w:hint="eastAsia" w:ascii="宋体" w:hAnsi="宋体" w:eastAsia="宋体" w:cs="宋体"/>
          <w:sz w:val="24"/>
          <w:szCs w:val="24"/>
        </w:rPr>
        <w:fldChar w:fldCharType="separate"/>
      </w:r>
      <w:r>
        <w:rPr>
          <w:rFonts w:hint="eastAsia" w:ascii="宋体" w:hAnsi="宋体" w:eastAsia="宋体" w:cs="宋体"/>
          <w:sz w:val="24"/>
          <w:szCs w:val="24"/>
        </w:rPr>
        <w:t>42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079465C">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_Toc4294 </w:instrText>
      </w:r>
      <w:r>
        <w:rPr>
          <w:rFonts w:hint="eastAsia" w:ascii="宋体" w:hAnsi="宋体" w:eastAsia="宋体" w:cs="宋体"/>
          <w:sz w:val="24"/>
          <w:szCs w:val="24"/>
        </w:rPr>
        <w:fldChar w:fldCharType="separate"/>
      </w:r>
      <w:r>
        <w:rPr>
          <w:rFonts w:hint="eastAsia" w:ascii="宋体" w:hAnsi="宋体" w:eastAsia="宋体" w:cs="宋体"/>
          <w:bCs/>
          <w:spacing w:val="-7"/>
          <w:sz w:val="24"/>
          <w:szCs w:val="24"/>
        </w:rPr>
        <w:t>2</w:t>
      </w:r>
      <w:r>
        <w:rPr>
          <w:rFonts w:hint="eastAsia" w:ascii="宋体" w:hAnsi="宋体" w:eastAsia="宋体" w:cs="宋体"/>
          <w:bCs/>
          <w:spacing w:val="-24"/>
          <w:sz w:val="24"/>
          <w:szCs w:val="24"/>
        </w:rPr>
        <w:t xml:space="preserve"> </w:t>
      </w:r>
      <w:r>
        <w:rPr>
          <w:rFonts w:hint="eastAsia" w:ascii="宋体" w:hAnsi="宋体" w:eastAsia="宋体" w:cs="宋体"/>
          <w:bCs/>
          <w:spacing w:val="-7"/>
          <w:sz w:val="24"/>
          <w:szCs w:val="24"/>
        </w:rPr>
        <w:t>．工程结算原则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_Toc4294 \h </w:instrText>
      </w:r>
      <w:r>
        <w:rPr>
          <w:rFonts w:hint="eastAsia" w:ascii="宋体" w:hAnsi="宋体" w:eastAsia="宋体" w:cs="宋体"/>
          <w:sz w:val="24"/>
          <w:szCs w:val="24"/>
        </w:rPr>
        <w:fldChar w:fldCharType="separate"/>
      </w:r>
      <w:r>
        <w:rPr>
          <w:rFonts w:hint="eastAsia" w:ascii="宋体" w:hAnsi="宋体" w:eastAsia="宋体" w:cs="宋体"/>
          <w:sz w:val="24"/>
          <w:szCs w:val="24"/>
        </w:rPr>
        <w:t>42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E44F198">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_Toc25384 </w:instrText>
      </w:r>
      <w:r>
        <w:rPr>
          <w:rFonts w:hint="eastAsia" w:ascii="宋体" w:hAnsi="宋体" w:eastAsia="宋体" w:cs="宋体"/>
          <w:sz w:val="24"/>
          <w:szCs w:val="24"/>
        </w:rPr>
        <w:fldChar w:fldCharType="separate"/>
      </w:r>
      <w:r>
        <w:rPr>
          <w:rFonts w:hint="eastAsia" w:ascii="宋体" w:hAnsi="宋体" w:eastAsia="宋体" w:cs="宋体"/>
          <w:bCs/>
          <w:spacing w:val="-7"/>
          <w:sz w:val="24"/>
          <w:szCs w:val="24"/>
        </w:rPr>
        <w:t>3</w:t>
      </w:r>
      <w:r>
        <w:rPr>
          <w:rFonts w:hint="eastAsia" w:ascii="宋体" w:hAnsi="宋体" w:eastAsia="宋体" w:cs="宋体"/>
          <w:bCs/>
          <w:spacing w:val="-22"/>
          <w:sz w:val="24"/>
          <w:szCs w:val="24"/>
        </w:rPr>
        <w:t xml:space="preserve"> </w:t>
      </w:r>
      <w:r>
        <w:rPr>
          <w:rFonts w:hint="eastAsia" w:ascii="宋体" w:hAnsi="宋体" w:eastAsia="宋体" w:cs="宋体"/>
          <w:bCs/>
          <w:spacing w:val="-7"/>
          <w:sz w:val="24"/>
          <w:szCs w:val="24"/>
        </w:rPr>
        <w:t>．工程付款办法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_Toc25384 \h </w:instrText>
      </w:r>
      <w:r>
        <w:rPr>
          <w:rFonts w:hint="eastAsia" w:ascii="宋体" w:hAnsi="宋体" w:eastAsia="宋体" w:cs="宋体"/>
          <w:sz w:val="24"/>
          <w:szCs w:val="24"/>
        </w:rPr>
        <w:fldChar w:fldCharType="separate"/>
      </w:r>
      <w:r>
        <w:rPr>
          <w:rFonts w:hint="eastAsia" w:ascii="宋体" w:hAnsi="宋体" w:eastAsia="宋体" w:cs="宋体"/>
          <w:sz w:val="24"/>
          <w:szCs w:val="24"/>
        </w:rPr>
        <w:t>47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7DF65E1">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_Toc10496 </w:instrText>
      </w:r>
      <w:r>
        <w:rPr>
          <w:rFonts w:hint="eastAsia" w:ascii="宋体" w:hAnsi="宋体" w:eastAsia="宋体" w:cs="宋体"/>
          <w:sz w:val="24"/>
          <w:szCs w:val="24"/>
        </w:rPr>
        <w:fldChar w:fldCharType="separate"/>
      </w:r>
      <w:r>
        <w:rPr>
          <w:rFonts w:hint="eastAsia" w:ascii="宋体" w:hAnsi="宋体" w:eastAsia="宋体" w:cs="宋体"/>
          <w:bCs/>
          <w:spacing w:val="-7"/>
          <w:sz w:val="24"/>
          <w:szCs w:val="24"/>
        </w:rPr>
        <w:t>4</w:t>
      </w:r>
      <w:r>
        <w:rPr>
          <w:rFonts w:hint="eastAsia" w:ascii="宋体" w:hAnsi="宋体" w:eastAsia="宋体" w:cs="宋体"/>
          <w:bCs/>
          <w:spacing w:val="-25"/>
          <w:sz w:val="24"/>
          <w:szCs w:val="24"/>
        </w:rPr>
        <w:t xml:space="preserve"> </w:t>
      </w:r>
      <w:r>
        <w:rPr>
          <w:rFonts w:hint="eastAsia" w:ascii="宋体" w:hAnsi="宋体" w:eastAsia="宋体" w:cs="宋体"/>
          <w:bCs/>
          <w:spacing w:val="-7"/>
          <w:sz w:val="24"/>
          <w:szCs w:val="24"/>
        </w:rPr>
        <w:t>．其他专用合同条款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_Toc10496 \h </w:instrText>
      </w:r>
      <w:r>
        <w:rPr>
          <w:rFonts w:hint="eastAsia" w:ascii="宋体" w:hAnsi="宋体" w:eastAsia="宋体" w:cs="宋体"/>
          <w:sz w:val="24"/>
          <w:szCs w:val="24"/>
        </w:rPr>
        <w:fldChar w:fldCharType="separate"/>
      </w:r>
      <w:r>
        <w:rPr>
          <w:rFonts w:hint="eastAsia" w:ascii="宋体" w:hAnsi="宋体" w:eastAsia="宋体" w:cs="宋体"/>
          <w:sz w:val="24"/>
          <w:szCs w:val="24"/>
        </w:rPr>
        <w:t>48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3EB0C29">
      <w:pPr>
        <w:pStyle w:val="13"/>
        <w:tabs>
          <w:tab w:val="right" w:leader="dot" w:pos="9356"/>
        </w:tabs>
        <w:ind w:left="0" w:leftChars="0"/>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_Toc7177 </w:instrText>
      </w:r>
      <w:r>
        <w:rPr>
          <w:rFonts w:hint="eastAsia" w:ascii="宋体" w:hAnsi="宋体" w:eastAsia="宋体" w:cs="宋体"/>
          <w:sz w:val="24"/>
          <w:szCs w:val="24"/>
        </w:rPr>
        <w:fldChar w:fldCharType="separate"/>
      </w:r>
      <w:r>
        <w:rPr>
          <w:rFonts w:hint="eastAsia" w:ascii="宋体" w:hAnsi="宋体" w:eastAsia="宋体" w:cs="宋体"/>
          <w:bCs/>
          <w:spacing w:val="-3"/>
          <w:sz w:val="24"/>
          <w:szCs w:val="24"/>
        </w:rPr>
        <w:t>第四章</w:t>
      </w:r>
      <w:r>
        <w:rPr>
          <w:rFonts w:hint="eastAsia" w:ascii="宋体" w:hAnsi="宋体" w:eastAsia="宋体" w:cs="宋体"/>
          <w:spacing w:val="-3"/>
          <w:sz w:val="24"/>
          <w:szCs w:val="24"/>
        </w:rPr>
        <w:t xml:space="preserve"> </w:t>
      </w:r>
      <w:r>
        <w:rPr>
          <w:rFonts w:hint="eastAsia" w:ascii="宋体" w:hAnsi="宋体" w:eastAsia="宋体" w:cs="宋体"/>
          <w:bCs/>
          <w:spacing w:val="-3"/>
          <w:sz w:val="24"/>
          <w:szCs w:val="24"/>
        </w:rPr>
        <w:t>技术要求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_Toc7177 \h </w:instrText>
      </w:r>
      <w:r>
        <w:rPr>
          <w:rFonts w:hint="eastAsia" w:ascii="宋体" w:hAnsi="宋体" w:eastAsia="宋体" w:cs="宋体"/>
          <w:sz w:val="24"/>
          <w:szCs w:val="24"/>
        </w:rPr>
        <w:fldChar w:fldCharType="separate"/>
      </w:r>
      <w:r>
        <w:rPr>
          <w:rFonts w:hint="eastAsia" w:ascii="宋体" w:hAnsi="宋体" w:eastAsia="宋体" w:cs="宋体"/>
          <w:sz w:val="24"/>
          <w:szCs w:val="24"/>
        </w:rPr>
        <w:t>53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A06378E">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_Toc25005 </w:instrText>
      </w:r>
      <w:r>
        <w:rPr>
          <w:rFonts w:hint="eastAsia" w:ascii="宋体" w:hAnsi="宋体" w:eastAsia="宋体" w:cs="宋体"/>
          <w:sz w:val="24"/>
          <w:szCs w:val="24"/>
        </w:rPr>
        <w:fldChar w:fldCharType="separate"/>
      </w:r>
      <w:r>
        <w:rPr>
          <w:rFonts w:hint="eastAsia" w:ascii="宋体" w:hAnsi="宋体" w:eastAsia="宋体" w:cs="宋体"/>
          <w:bCs/>
          <w:spacing w:val="-6"/>
          <w:sz w:val="24"/>
          <w:szCs w:val="24"/>
        </w:rPr>
        <w:t>1</w:t>
      </w:r>
      <w:r>
        <w:rPr>
          <w:rFonts w:hint="eastAsia" w:ascii="宋体" w:hAnsi="宋体" w:eastAsia="宋体" w:cs="宋体"/>
          <w:bCs/>
          <w:spacing w:val="-23"/>
          <w:sz w:val="24"/>
          <w:szCs w:val="24"/>
        </w:rPr>
        <w:t xml:space="preserve"> </w:t>
      </w:r>
      <w:r>
        <w:rPr>
          <w:rFonts w:hint="eastAsia" w:ascii="宋体" w:hAnsi="宋体" w:eastAsia="宋体" w:cs="宋体"/>
          <w:bCs/>
          <w:spacing w:val="-6"/>
          <w:sz w:val="24"/>
          <w:szCs w:val="24"/>
        </w:rPr>
        <w:t>．房屋建筑工程建设项目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_Toc25005 \h </w:instrText>
      </w:r>
      <w:r>
        <w:rPr>
          <w:rFonts w:hint="eastAsia" w:ascii="宋体" w:hAnsi="宋体" w:eastAsia="宋体" w:cs="宋体"/>
          <w:sz w:val="24"/>
          <w:szCs w:val="24"/>
        </w:rPr>
        <w:fldChar w:fldCharType="separate"/>
      </w:r>
      <w:r>
        <w:rPr>
          <w:rFonts w:hint="eastAsia" w:ascii="宋体" w:hAnsi="宋体" w:eastAsia="宋体" w:cs="宋体"/>
          <w:sz w:val="24"/>
          <w:szCs w:val="24"/>
        </w:rPr>
        <w:t>53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34D1FC1">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_Toc22762 </w:instrText>
      </w:r>
      <w:r>
        <w:rPr>
          <w:rFonts w:hint="eastAsia" w:ascii="宋体" w:hAnsi="宋体" w:eastAsia="宋体" w:cs="宋体"/>
          <w:sz w:val="24"/>
          <w:szCs w:val="24"/>
        </w:rPr>
        <w:fldChar w:fldCharType="separate"/>
      </w:r>
      <w:r>
        <w:rPr>
          <w:rFonts w:hint="eastAsia" w:ascii="宋体" w:hAnsi="宋体" w:eastAsia="宋体" w:cs="宋体"/>
          <w:bCs/>
          <w:spacing w:val="-5"/>
          <w:sz w:val="24"/>
          <w:szCs w:val="24"/>
        </w:rPr>
        <w:t>2</w:t>
      </w:r>
      <w:r>
        <w:rPr>
          <w:rFonts w:hint="eastAsia" w:ascii="宋体" w:hAnsi="宋体" w:eastAsia="宋体" w:cs="宋体"/>
          <w:bCs/>
          <w:spacing w:val="-18"/>
          <w:sz w:val="24"/>
          <w:szCs w:val="24"/>
        </w:rPr>
        <w:t xml:space="preserve"> </w:t>
      </w:r>
      <w:r>
        <w:rPr>
          <w:rFonts w:hint="eastAsia" w:ascii="宋体" w:hAnsi="宋体" w:eastAsia="宋体" w:cs="宋体"/>
          <w:bCs/>
          <w:spacing w:val="-5"/>
          <w:sz w:val="24"/>
          <w:szCs w:val="24"/>
        </w:rPr>
        <w:t>．市政基础设施工程建设项目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_Toc22762 \h </w:instrText>
      </w:r>
      <w:r>
        <w:rPr>
          <w:rFonts w:hint="eastAsia" w:ascii="宋体" w:hAnsi="宋体" w:eastAsia="宋体" w:cs="宋体"/>
          <w:sz w:val="24"/>
          <w:szCs w:val="24"/>
        </w:rPr>
        <w:fldChar w:fldCharType="separate"/>
      </w:r>
      <w:r>
        <w:rPr>
          <w:rFonts w:hint="eastAsia" w:ascii="宋体" w:hAnsi="宋体" w:eastAsia="宋体" w:cs="宋体"/>
          <w:sz w:val="24"/>
          <w:szCs w:val="24"/>
        </w:rPr>
        <w:t>53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60209C9">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_Toc12498 </w:instrText>
      </w:r>
      <w:r>
        <w:rPr>
          <w:rFonts w:hint="eastAsia" w:ascii="宋体" w:hAnsi="宋体" w:eastAsia="宋体" w:cs="宋体"/>
          <w:sz w:val="24"/>
          <w:szCs w:val="24"/>
        </w:rPr>
        <w:fldChar w:fldCharType="separate"/>
      </w:r>
      <w:r>
        <w:rPr>
          <w:rFonts w:hint="eastAsia" w:ascii="宋体" w:hAnsi="宋体" w:eastAsia="宋体" w:cs="宋体"/>
          <w:bCs/>
          <w:spacing w:val="-8"/>
          <w:sz w:val="24"/>
          <w:szCs w:val="24"/>
        </w:rPr>
        <w:t>3</w:t>
      </w:r>
      <w:r>
        <w:rPr>
          <w:rFonts w:hint="eastAsia" w:ascii="宋体" w:hAnsi="宋体" w:eastAsia="宋体" w:cs="宋体"/>
          <w:bCs/>
          <w:spacing w:val="-25"/>
          <w:sz w:val="24"/>
          <w:szCs w:val="24"/>
        </w:rPr>
        <w:t xml:space="preserve"> </w:t>
      </w:r>
      <w:r>
        <w:rPr>
          <w:rFonts w:hint="eastAsia" w:ascii="宋体" w:hAnsi="宋体" w:eastAsia="宋体" w:cs="宋体"/>
          <w:bCs/>
          <w:spacing w:val="-8"/>
          <w:sz w:val="24"/>
          <w:szCs w:val="24"/>
        </w:rPr>
        <w:t>．备查要求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_Toc12498 \h </w:instrText>
      </w:r>
      <w:r>
        <w:rPr>
          <w:rFonts w:hint="eastAsia" w:ascii="宋体" w:hAnsi="宋体" w:eastAsia="宋体" w:cs="宋体"/>
          <w:sz w:val="24"/>
          <w:szCs w:val="24"/>
        </w:rPr>
        <w:fldChar w:fldCharType="separate"/>
      </w:r>
      <w:r>
        <w:rPr>
          <w:rFonts w:hint="eastAsia" w:ascii="宋体" w:hAnsi="宋体" w:eastAsia="宋体" w:cs="宋体"/>
          <w:sz w:val="24"/>
          <w:szCs w:val="24"/>
        </w:rPr>
        <w:t>54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EFA7814">
      <w:pPr>
        <w:pStyle w:val="13"/>
        <w:tabs>
          <w:tab w:val="right" w:leader="dot" w:pos="9356"/>
        </w:tabs>
        <w:ind w:left="0" w:leftChars="0"/>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_Toc12333 </w:instrText>
      </w:r>
      <w:r>
        <w:rPr>
          <w:rFonts w:hint="eastAsia" w:ascii="宋体" w:hAnsi="宋体" w:eastAsia="宋体" w:cs="宋体"/>
          <w:sz w:val="24"/>
          <w:szCs w:val="24"/>
        </w:rPr>
        <w:fldChar w:fldCharType="separate"/>
      </w:r>
      <w:r>
        <w:rPr>
          <w:rFonts w:hint="eastAsia" w:ascii="宋体" w:hAnsi="宋体" w:eastAsia="宋体" w:cs="宋体"/>
          <w:bCs/>
          <w:spacing w:val="-5"/>
          <w:sz w:val="24"/>
          <w:szCs w:val="24"/>
        </w:rPr>
        <w:t>第五章</w:t>
      </w:r>
      <w:r>
        <w:rPr>
          <w:rFonts w:hint="eastAsia" w:ascii="宋体" w:hAnsi="宋体" w:eastAsia="宋体" w:cs="宋体"/>
          <w:spacing w:val="33"/>
          <w:sz w:val="24"/>
          <w:szCs w:val="24"/>
        </w:rPr>
        <w:t xml:space="preserve"> </w:t>
      </w:r>
      <w:r>
        <w:rPr>
          <w:rFonts w:hint="eastAsia" w:ascii="宋体" w:hAnsi="宋体" w:eastAsia="宋体" w:cs="宋体"/>
          <w:bCs/>
          <w:spacing w:val="-5"/>
          <w:sz w:val="24"/>
          <w:szCs w:val="24"/>
        </w:rPr>
        <w:t>图纸和招标工程量清单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_Toc12333 \h </w:instrText>
      </w:r>
      <w:r>
        <w:rPr>
          <w:rFonts w:hint="eastAsia" w:ascii="宋体" w:hAnsi="宋体" w:eastAsia="宋体" w:cs="宋体"/>
          <w:sz w:val="24"/>
          <w:szCs w:val="24"/>
        </w:rPr>
        <w:fldChar w:fldCharType="separate"/>
      </w:r>
      <w:r>
        <w:rPr>
          <w:rFonts w:hint="eastAsia" w:ascii="宋体" w:hAnsi="宋体" w:eastAsia="宋体" w:cs="宋体"/>
          <w:sz w:val="24"/>
          <w:szCs w:val="24"/>
        </w:rPr>
        <w:t>55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EE4497C">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_Toc27399 </w:instrText>
      </w:r>
      <w:r>
        <w:rPr>
          <w:rFonts w:hint="eastAsia" w:ascii="宋体" w:hAnsi="宋体" w:eastAsia="宋体" w:cs="宋体"/>
          <w:sz w:val="24"/>
          <w:szCs w:val="24"/>
        </w:rPr>
        <w:fldChar w:fldCharType="separate"/>
      </w:r>
      <w:r>
        <w:rPr>
          <w:rFonts w:hint="eastAsia" w:ascii="宋体" w:hAnsi="宋体" w:eastAsia="宋体" w:cs="宋体"/>
          <w:bCs/>
          <w:spacing w:val="-14"/>
          <w:sz w:val="24"/>
          <w:szCs w:val="24"/>
        </w:rPr>
        <w:t>1</w:t>
      </w:r>
      <w:r>
        <w:rPr>
          <w:rFonts w:hint="eastAsia" w:ascii="宋体" w:hAnsi="宋体" w:eastAsia="宋体" w:cs="宋体"/>
          <w:bCs/>
          <w:spacing w:val="-27"/>
          <w:sz w:val="24"/>
          <w:szCs w:val="24"/>
        </w:rPr>
        <w:t xml:space="preserve"> </w:t>
      </w:r>
      <w:r>
        <w:rPr>
          <w:rFonts w:hint="eastAsia" w:ascii="宋体" w:hAnsi="宋体" w:eastAsia="宋体" w:cs="宋体"/>
          <w:bCs/>
          <w:spacing w:val="-14"/>
          <w:sz w:val="24"/>
          <w:szCs w:val="24"/>
        </w:rPr>
        <w:t>．图纸</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_Toc27399 \h </w:instrText>
      </w:r>
      <w:r>
        <w:rPr>
          <w:rFonts w:hint="eastAsia" w:ascii="宋体" w:hAnsi="宋体" w:eastAsia="宋体" w:cs="宋体"/>
          <w:sz w:val="24"/>
          <w:szCs w:val="24"/>
        </w:rPr>
        <w:fldChar w:fldCharType="separate"/>
      </w:r>
      <w:r>
        <w:rPr>
          <w:rFonts w:hint="eastAsia" w:ascii="宋体" w:hAnsi="宋体" w:eastAsia="宋体" w:cs="宋体"/>
          <w:sz w:val="24"/>
          <w:szCs w:val="24"/>
        </w:rPr>
        <w:t>55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7EE6483">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_Toc10279 </w:instrText>
      </w:r>
      <w:r>
        <w:rPr>
          <w:rFonts w:hint="eastAsia" w:ascii="宋体" w:hAnsi="宋体" w:eastAsia="宋体" w:cs="宋体"/>
          <w:sz w:val="24"/>
          <w:szCs w:val="24"/>
        </w:rPr>
        <w:fldChar w:fldCharType="separate"/>
      </w:r>
      <w:r>
        <w:rPr>
          <w:rFonts w:hint="eastAsia" w:ascii="宋体" w:hAnsi="宋体" w:eastAsia="宋体" w:cs="宋体"/>
          <w:bCs/>
          <w:spacing w:val="-6"/>
          <w:sz w:val="24"/>
          <w:szCs w:val="24"/>
        </w:rPr>
        <w:t>2</w:t>
      </w:r>
      <w:r>
        <w:rPr>
          <w:rFonts w:hint="eastAsia" w:ascii="宋体" w:hAnsi="宋体" w:eastAsia="宋体" w:cs="宋体"/>
          <w:bCs/>
          <w:spacing w:val="-26"/>
          <w:sz w:val="24"/>
          <w:szCs w:val="24"/>
        </w:rPr>
        <w:t xml:space="preserve"> </w:t>
      </w:r>
      <w:r>
        <w:rPr>
          <w:rFonts w:hint="eastAsia" w:ascii="宋体" w:hAnsi="宋体" w:eastAsia="宋体" w:cs="宋体"/>
          <w:bCs/>
          <w:spacing w:val="-6"/>
          <w:sz w:val="24"/>
          <w:szCs w:val="24"/>
        </w:rPr>
        <w:t>．招标工程量清单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_Toc10279 \h </w:instrText>
      </w:r>
      <w:r>
        <w:rPr>
          <w:rFonts w:hint="eastAsia" w:ascii="宋体" w:hAnsi="宋体" w:eastAsia="宋体" w:cs="宋体"/>
          <w:sz w:val="24"/>
          <w:szCs w:val="24"/>
        </w:rPr>
        <w:fldChar w:fldCharType="separate"/>
      </w:r>
      <w:r>
        <w:rPr>
          <w:rFonts w:hint="eastAsia" w:ascii="宋体" w:hAnsi="宋体" w:eastAsia="宋体" w:cs="宋体"/>
          <w:sz w:val="24"/>
          <w:szCs w:val="24"/>
        </w:rPr>
        <w:t>55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BB198AE">
      <w:pPr>
        <w:pStyle w:val="13"/>
        <w:tabs>
          <w:tab w:val="right" w:leader="dot" w:pos="9356"/>
        </w:tabs>
        <w:ind w:left="0" w:leftChars="0"/>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_Toc7788 </w:instrText>
      </w:r>
      <w:r>
        <w:rPr>
          <w:rFonts w:hint="eastAsia" w:ascii="宋体" w:hAnsi="宋体" w:eastAsia="宋体" w:cs="宋体"/>
          <w:sz w:val="24"/>
          <w:szCs w:val="24"/>
        </w:rPr>
        <w:fldChar w:fldCharType="separate"/>
      </w:r>
      <w:r>
        <w:rPr>
          <w:rFonts w:hint="eastAsia" w:ascii="宋体" w:hAnsi="宋体" w:eastAsia="宋体" w:cs="宋体"/>
          <w:bCs/>
          <w:spacing w:val="-3"/>
          <w:sz w:val="24"/>
          <w:szCs w:val="24"/>
        </w:rPr>
        <w:t>第六章</w:t>
      </w:r>
      <w:r>
        <w:rPr>
          <w:rFonts w:hint="eastAsia" w:ascii="宋体" w:hAnsi="宋体" w:eastAsia="宋体" w:cs="宋体"/>
          <w:spacing w:val="-3"/>
          <w:sz w:val="24"/>
          <w:szCs w:val="24"/>
        </w:rPr>
        <w:t xml:space="preserve"> </w:t>
      </w:r>
      <w:r>
        <w:rPr>
          <w:rFonts w:hint="eastAsia" w:ascii="宋体" w:hAnsi="宋体" w:eastAsia="宋体" w:cs="宋体"/>
          <w:bCs/>
          <w:spacing w:val="-3"/>
          <w:sz w:val="24"/>
          <w:szCs w:val="24"/>
        </w:rPr>
        <w:t>投标文件格式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_Toc7788 \h </w:instrText>
      </w:r>
      <w:r>
        <w:rPr>
          <w:rFonts w:hint="eastAsia" w:ascii="宋体" w:hAnsi="宋体" w:eastAsia="宋体" w:cs="宋体"/>
          <w:sz w:val="24"/>
          <w:szCs w:val="24"/>
        </w:rPr>
        <w:fldChar w:fldCharType="separate"/>
      </w:r>
      <w:r>
        <w:rPr>
          <w:rFonts w:hint="eastAsia" w:ascii="宋体" w:hAnsi="宋体" w:eastAsia="宋体" w:cs="宋体"/>
          <w:sz w:val="24"/>
          <w:szCs w:val="24"/>
        </w:rPr>
        <w:t>56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8B00FDD">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_Toc3738 </w:instrText>
      </w:r>
      <w:r>
        <w:rPr>
          <w:rFonts w:hint="eastAsia" w:ascii="宋体" w:hAnsi="宋体" w:eastAsia="宋体" w:cs="宋体"/>
          <w:sz w:val="24"/>
          <w:szCs w:val="24"/>
        </w:rPr>
        <w:fldChar w:fldCharType="separate"/>
      </w:r>
      <w:r>
        <w:rPr>
          <w:rFonts w:hint="eastAsia" w:ascii="宋体" w:hAnsi="宋体" w:eastAsia="宋体" w:cs="宋体"/>
          <w:bCs/>
          <w:spacing w:val="-4"/>
          <w:sz w:val="24"/>
          <w:szCs w:val="24"/>
        </w:rPr>
        <w:t>格式一</w:t>
      </w:r>
      <w:r>
        <w:rPr>
          <w:rFonts w:hint="eastAsia" w:ascii="宋体" w:hAnsi="宋体" w:eastAsia="宋体" w:cs="宋体"/>
          <w:spacing w:val="-4"/>
          <w:sz w:val="24"/>
          <w:szCs w:val="24"/>
        </w:rPr>
        <w:t xml:space="preserve"> </w:t>
      </w:r>
      <w:r>
        <w:rPr>
          <w:rFonts w:hint="eastAsia" w:ascii="宋体" w:hAnsi="宋体" w:eastAsia="宋体" w:cs="宋体"/>
          <w:bCs/>
          <w:spacing w:val="-4"/>
          <w:sz w:val="24"/>
          <w:szCs w:val="24"/>
        </w:rPr>
        <w:t>封面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_Toc3738 \h </w:instrText>
      </w:r>
      <w:r>
        <w:rPr>
          <w:rFonts w:hint="eastAsia" w:ascii="宋体" w:hAnsi="宋体" w:eastAsia="宋体" w:cs="宋体"/>
          <w:sz w:val="24"/>
          <w:szCs w:val="24"/>
        </w:rPr>
        <w:fldChar w:fldCharType="separate"/>
      </w:r>
      <w:r>
        <w:rPr>
          <w:rFonts w:hint="eastAsia" w:ascii="宋体" w:hAnsi="宋体" w:eastAsia="宋体" w:cs="宋体"/>
          <w:sz w:val="24"/>
          <w:szCs w:val="24"/>
        </w:rPr>
        <w:t>56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A617193">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_Toc29001 </w:instrText>
      </w:r>
      <w:r>
        <w:rPr>
          <w:rFonts w:hint="eastAsia" w:ascii="宋体" w:hAnsi="宋体" w:eastAsia="宋体" w:cs="宋体"/>
          <w:sz w:val="24"/>
          <w:szCs w:val="24"/>
        </w:rPr>
        <w:fldChar w:fldCharType="separate"/>
      </w:r>
      <w:r>
        <w:rPr>
          <w:rFonts w:hint="eastAsia" w:ascii="宋体" w:hAnsi="宋体" w:eastAsia="宋体" w:cs="宋体"/>
          <w:bCs/>
          <w:spacing w:val="-4"/>
          <w:sz w:val="24"/>
          <w:szCs w:val="24"/>
        </w:rPr>
        <w:t>格式二 投标函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_Toc29001 \h </w:instrText>
      </w:r>
      <w:r>
        <w:rPr>
          <w:rFonts w:hint="eastAsia" w:ascii="宋体" w:hAnsi="宋体" w:eastAsia="宋体" w:cs="宋体"/>
          <w:sz w:val="24"/>
          <w:szCs w:val="24"/>
        </w:rPr>
        <w:fldChar w:fldCharType="separate"/>
      </w:r>
      <w:r>
        <w:rPr>
          <w:rFonts w:hint="eastAsia" w:ascii="宋体" w:hAnsi="宋体" w:eastAsia="宋体" w:cs="宋体"/>
          <w:sz w:val="24"/>
          <w:szCs w:val="24"/>
        </w:rPr>
        <w:t>57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CA036B2">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_Toc9770 </w:instrText>
      </w:r>
      <w:r>
        <w:rPr>
          <w:rFonts w:hint="eastAsia" w:ascii="宋体" w:hAnsi="宋体" w:eastAsia="宋体" w:cs="宋体"/>
          <w:sz w:val="24"/>
          <w:szCs w:val="24"/>
        </w:rPr>
        <w:fldChar w:fldCharType="separate"/>
      </w:r>
      <w:r>
        <w:rPr>
          <w:rFonts w:hint="eastAsia" w:ascii="宋体" w:hAnsi="宋体" w:eastAsia="宋体" w:cs="宋体"/>
          <w:bCs/>
          <w:spacing w:val="-4"/>
          <w:sz w:val="24"/>
          <w:szCs w:val="24"/>
        </w:rPr>
        <w:t>格式三 各项承诺一览表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_Toc9770 \h </w:instrText>
      </w:r>
      <w:r>
        <w:rPr>
          <w:rFonts w:hint="eastAsia" w:ascii="宋体" w:hAnsi="宋体" w:eastAsia="宋体" w:cs="宋体"/>
          <w:sz w:val="24"/>
          <w:szCs w:val="24"/>
        </w:rPr>
        <w:fldChar w:fldCharType="separate"/>
      </w:r>
      <w:r>
        <w:rPr>
          <w:rFonts w:hint="eastAsia" w:ascii="宋体" w:hAnsi="宋体" w:eastAsia="宋体" w:cs="宋体"/>
          <w:sz w:val="24"/>
          <w:szCs w:val="24"/>
        </w:rPr>
        <w:t>58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A4ED2B3">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_Toc28352 </w:instrText>
      </w:r>
      <w:r>
        <w:rPr>
          <w:rFonts w:hint="eastAsia" w:ascii="宋体" w:hAnsi="宋体" w:eastAsia="宋体" w:cs="宋体"/>
          <w:sz w:val="24"/>
          <w:szCs w:val="24"/>
        </w:rPr>
        <w:fldChar w:fldCharType="separate"/>
      </w:r>
      <w:r>
        <w:rPr>
          <w:rFonts w:hint="eastAsia" w:ascii="宋体" w:hAnsi="宋体" w:eastAsia="宋体" w:cs="宋体"/>
          <w:bCs/>
          <w:spacing w:val="-4"/>
          <w:sz w:val="24"/>
          <w:szCs w:val="24"/>
        </w:rPr>
        <w:t>格式四 授权委托书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_Toc28352 \h </w:instrText>
      </w:r>
      <w:r>
        <w:rPr>
          <w:rFonts w:hint="eastAsia" w:ascii="宋体" w:hAnsi="宋体" w:eastAsia="宋体" w:cs="宋体"/>
          <w:sz w:val="24"/>
          <w:szCs w:val="24"/>
        </w:rPr>
        <w:fldChar w:fldCharType="separate"/>
      </w:r>
      <w:r>
        <w:rPr>
          <w:rFonts w:hint="eastAsia" w:ascii="宋体" w:hAnsi="宋体" w:eastAsia="宋体" w:cs="宋体"/>
          <w:sz w:val="24"/>
          <w:szCs w:val="24"/>
        </w:rPr>
        <w:t>60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9850D1A">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_Toc17483 </w:instrText>
      </w:r>
      <w:r>
        <w:rPr>
          <w:rFonts w:hint="eastAsia" w:ascii="宋体" w:hAnsi="宋体" w:eastAsia="宋体" w:cs="宋体"/>
          <w:sz w:val="24"/>
          <w:szCs w:val="24"/>
        </w:rPr>
        <w:fldChar w:fldCharType="separate"/>
      </w:r>
      <w:r>
        <w:rPr>
          <w:rFonts w:hint="eastAsia" w:ascii="宋体" w:hAnsi="宋体" w:eastAsia="宋体" w:cs="宋体"/>
          <w:bCs/>
          <w:spacing w:val="-4"/>
          <w:sz w:val="24"/>
          <w:szCs w:val="24"/>
        </w:rPr>
        <w:t>格式五 法定代表人身份证明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_Toc17483 \h </w:instrText>
      </w:r>
      <w:r>
        <w:rPr>
          <w:rFonts w:hint="eastAsia" w:ascii="宋体" w:hAnsi="宋体" w:eastAsia="宋体" w:cs="宋体"/>
          <w:sz w:val="24"/>
          <w:szCs w:val="24"/>
        </w:rPr>
        <w:fldChar w:fldCharType="separate"/>
      </w:r>
      <w:r>
        <w:rPr>
          <w:rFonts w:hint="eastAsia" w:ascii="宋体" w:hAnsi="宋体" w:eastAsia="宋体" w:cs="宋体"/>
          <w:sz w:val="24"/>
          <w:szCs w:val="24"/>
        </w:rPr>
        <w:t>61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CC5AB8D">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_Toc23187 </w:instrText>
      </w:r>
      <w:r>
        <w:rPr>
          <w:rFonts w:hint="eastAsia" w:ascii="宋体" w:hAnsi="宋体" w:eastAsia="宋体" w:cs="宋体"/>
          <w:sz w:val="24"/>
          <w:szCs w:val="24"/>
        </w:rPr>
        <w:fldChar w:fldCharType="separate"/>
      </w:r>
      <w:r>
        <w:rPr>
          <w:rFonts w:hint="eastAsia" w:ascii="宋体" w:hAnsi="宋体" w:eastAsia="宋体" w:cs="宋体"/>
          <w:bCs/>
          <w:spacing w:val="-4"/>
          <w:sz w:val="24"/>
          <w:szCs w:val="24"/>
        </w:rPr>
        <w:t>格式六 联合体协议书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_Toc23187 \h </w:instrText>
      </w:r>
      <w:r>
        <w:rPr>
          <w:rFonts w:hint="eastAsia" w:ascii="宋体" w:hAnsi="宋体" w:eastAsia="宋体" w:cs="宋体"/>
          <w:sz w:val="24"/>
          <w:szCs w:val="24"/>
        </w:rPr>
        <w:fldChar w:fldCharType="separate"/>
      </w:r>
      <w:r>
        <w:rPr>
          <w:rFonts w:hint="eastAsia" w:ascii="宋体" w:hAnsi="宋体" w:eastAsia="宋体" w:cs="宋体"/>
          <w:sz w:val="24"/>
          <w:szCs w:val="24"/>
        </w:rPr>
        <w:t>62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3BE7B4F">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_Toc14359 </w:instrText>
      </w:r>
      <w:r>
        <w:rPr>
          <w:rFonts w:hint="eastAsia" w:ascii="宋体" w:hAnsi="宋体" w:eastAsia="宋体" w:cs="宋体"/>
          <w:sz w:val="24"/>
          <w:szCs w:val="24"/>
        </w:rPr>
        <w:fldChar w:fldCharType="separate"/>
      </w:r>
      <w:r>
        <w:rPr>
          <w:rFonts w:hint="eastAsia" w:ascii="宋体" w:hAnsi="宋体" w:eastAsia="宋体" w:cs="宋体"/>
          <w:bCs/>
          <w:spacing w:val="-4"/>
          <w:sz w:val="24"/>
          <w:szCs w:val="24"/>
        </w:rPr>
        <w:t>格式七 投标人基本情况表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_Toc14359 \h </w:instrText>
      </w:r>
      <w:r>
        <w:rPr>
          <w:rFonts w:hint="eastAsia" w:ascii="宋体" w:hAnsi="宋体" w:eastAsia="宋体" w:cs="宋体"/>
          <w:sz w:val="24"/>
          <w:szCs w:val="24"/>
        </w:rPr>
        <w:fldChar w:fldCharType="separate"/>
      </w:r>
      <w:r>
        <w:rPr>
          <w:rFonts w:hint="eastAsia" w:ascii="宋体" w:hAnsi="宋体" w:eastAsia="宋体" w:cs="宋体"/>
          <w:sz w:val="24"/>
          <w:szCs w:val="24"/>
        </w:rPr>
        <w:t>63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9E17341">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_Toc19772 </w:instrText>
      </w:r>
      <w:r>
        <w:rPr>
          <w:rFonts w:hint="eastAsia" w:ascii="宋体" w:hAnsi="宋体" w:eastAsia="宋体" w:cs="宋体"/>
          <w:sz w:val="24"/>
          <w:szCs w:val="24"/>
        </w:rPr>
        <w:fldChar w:fldCharType="separate"/>
      </w:r>
      <w:r>
        <w:rPr>
          <w:rFonts w:hint="eastAsia" w:ascii="宋体" w:hAnsi="宋体" w:eastAsia="宋体" w:cs="宋体"/>
          <w:bCs/>
          <w:spacing w:val="-4"/>
          <w:sz w:val="24"/>
          <w:szCs w:val="24"/>
        </w:rPr>
        <w:t>格式八 项目经理简历表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_Toc19772 \h </w:instrText>
      </w:r>
      <w:r>
        <w:rPr>
          <w:rFonts w:hint="eastAsia" w:ascii="宋体" w:hAnsi="宋体" w:eastAsia="宋体" w:cs="宋体"/>
          <w:sz w:val="24"/>
          <w:szCs w:val="24"/>
        </w:rPr>
        <w:fldChar w:fldCharType="separate"/>
      </w:r>
      <w:r>
        <w:rPr>
          <w:rFonts w:hint="eastAsia" w:ascii="宋体" w:hAnsi="宋体" w:eastAsia="宋体" w:cs="宋体"/>
          <w:sz w:val="24"/>
          <w:szCs w:val="24"/>
        </w:rPr>
        <w:t>64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299DD81">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_Toc19123 </w:instrText>
      </w:r>
      <w:r>
        <w:rPr>
          <w:rFonts w:hint="eastAsia" w:ascii="宋体" w:hAnsi="宋体" w:eastAsia="宋体" w:cs="宋体"/>
          <w:sz w:val="24"/>
          <w:szCs w:val="24"/>
        </w:rPr>
        <w:fldChar w:fldCharType="separate"/>
      </w:r>
      <w:r>
        <w:rPr>
          <w:rFonts w:hint="eastAsia" w:ascii="宋体" w:hAnsi="宋体" w:eastAsia="宋体" w:cs="宋体"/>
          <w:bCs/>
          <w:spacing w:val="-4"/>
          <w:sz w:val="24"/>
          <w:szCs w:val="24"/>
        </w:rPr>
        <w:t>格式九 项目经理任职声明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_Toc19123 \h </w:instrText>
      </w:r>
      <w:r>
        <w:rPr>
          <w:rFonts w:hint="eastAsia" w:ascii="宋体" w:hAnsi="宋体" w:eastAsia="宋体" w:cs="宋体"/>
          <w:sz w:val="24"/>
          <w:szCs w:val="24"/>
        </w:rPr>
        <w:fldChar w:fldCharType="separate"/>
      </w:r>
      <w:r>
        <w:rPr>
          <w:rFonts w:hint="eastAsia" w:ascii="宋体" w:hAnsi="宋体" w:eastAsia="宋体" w:cs="宋体"/>
          <w:sz w:val="24"/>
          <w:szCs w:val="24"/>
        </w:rPr>
        <w:t>65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1E1F501">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_Toc7909 </w:instrText>
      </w:r>
      <w:r>
        <w:rPr>
          <w:rFonts w:hint="eastAsia" w:ascii="宋体" w:hAnsi="宋体" w:eastAsia="宋体" w:cs="宋体"/>
          <w:sz w:val="24"/>
          <w:szCs w:val="24"/>
        </w:rPr>
        <w:fldChar w:fldCharType="separate"/>
      </w:r>
      <w:r>
        <w:rPr>
          <w:rFonts w:hint="eastAsia" w:ascii="宋体" w:hAnsi="宋体" w:eastAsia="宋体" w:cs="宋体"/>
          <w:bCs/>
          <w:spacing w:val="-4"/>
          <w:sz w:val="24"/>
          <w:szCs w:val="24"/>
        </w:rPr>
        <w:t>格式十 项目技术负责人简历表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_Toc7909 \h </w:instrText>
      </w:r>
      <w:r>
        <w:rPr>
          <w:rFonts w:hint="eastAsia" w:ascii="宋体" w:hAnsi="宋体" w:eastAsia="宋体" w:cs="宋体"/>
          <w:sz w:val="24"/>
          <w:szCs w:val="24"/>
        </w:rPr>
        <w:fldChar w:fldCharType="separate"/>
      </w:r>
      <w:r>
        <w:rPr>
          <w:rFonts w:hint="eastAsia" w:ascii="宋体" w:hAnsi="宋体" w:eastAsia="宋体" w:cs="宋体"/>
          <w:sz w:val="24"/>
          <w:szCs w:val="24"/>
        </w:rPr>
        <w:t>66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EBBBCF0">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_Toc19637 </w:instrText>
      </w:r>
      <w:r>
        <w:rPr>
          <w:rFonts w:hint="eastAsia" w:ascii="宋体" w:hAnsi="宋体" w:eastAsia="宋体" w:cs="宋体"/>
          <w:sz w:val="24"/>
          <w:szCs w:val="24"/>
        </w:rPr>
        <w:fldChar w:fldCharType="separate"/>
      </w:r>
      <w:r>
        <w:rPr>
          <w:rFonts w:hint="eastAsia" w:ascii="宋体" w:hAnsi="宋体" w:eastAsia="宋体" w:cs="宋体"/>
          <w:bCs/>
          <w:spacing w:val="-4"/>
          <w:sz w:val="24"/>
          <w:szCs w:val="24"/>
        </w:rPr>
        <w:t>格式十一 项目管理机构组成表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_Toc19637 \h </w:instrText>
      </w:r>
      <w:r>
        <w:rPr>
          <w:rFonts w:hint="eastAsia" w:ascii="宋体" w:hAnsi="宋体" w:eastAsia="宋体" w:cs="宋体"/>
          <w:sz w:val="24"/>
          <w:szCs w:val="24"/>
        </w:rPr>
        <w:fldChar w:fldCharType="separate"/>
      </w:r>
      <w:r>
        <w:rPr>
          <w:rFonts w:hint="eastAsia" w:ascii="宋体" w:hAnsi="宋体" w:eastAsia="宋体" w:cs="宋体"/>
          <w:sz w:val="24"/>
          <w:szCs w:val="24"/>
        </w:rPr>
        <w:t>67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138719D">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_Toc11599 </w:instrText>
      </w:r>
      <w:r>
        <w:rPr>
          <w:rFonts w:hint="eastAsia" w:ascii="宋体" w:hAnsi="宋体" w:eastAsia="宋体" w:cs="宋体"/>
          <w:sz w:val="24"/>
          <w:szCs w:val="24"/>
        </w:rPr>
        <w:fldChar w:fldCharType="separate"/>
      </w:r>
      <w:r>
        <w:rPr>
          <w:rFonts w:hint="eastAsia" w:ascii="宋体" w:hAnsi="宋体" w:eastAsia="宋体" w:cs="宋体"/>
          <w:bCs/>
          <w:spacing w:val="-4"/>
          <w:sz w:val="24"/>
          <w:szCs w:val="24"/>
        </w:rPr>
        <w:t>格式十二 建造师查询页（有效期+建造师签字）</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_Toc11599 \h </w:instrText>
      </w:r>
      <w:r>
        <w:rPr>
          <w:rFonts w:hint="eastAsia" w:ascii="宋体" w:hAnsi="宋体" w:eastAsia="宋体" w:cs="宋体"/>
          <w:sz w:val="24"/>
          <w:szCs w:val="24"/>
        </w:rPr>
        <w:fldChar w:fldCharType="separate"/>
      </w:r>
      <w:r>
        <w:rPr>
          <w:rFonts w:hint="eastAsia" w:ascii="宋体" w:hAnsi="宋体" w:eastAsia="宋体" w:cs="宋体"/>
          <w:sz w:val="24"/>
          <w:szCs w:val="24"/>
        </w:rPr>
        <w:t>67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0A2EBA3">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_Toc31981 </w:instrText>
      </w:r>
      <w:r>
        <w:rPr>
          <w:rFonts w:hint="eastAsia" w:ascii="宋体" w:hAnsi="宋体" w:eastAsia="宋体" w:cs="宋体"/>
          <w:sz w:val="24"/>
          <w:szCs w:val="24"/>
        </w:rPr>
        <w:fldChar w:fldCharType="separate"/>
      </w:r>
      <w:r>
        <w:rPr>
          <w:rFonts w:hint="eastAsia" w:ascii="宋体" w:hAnsi="宋体" w:eastAsia="宋体" w:cs="宋体"/>
          <w:bCs/>
          <w:spacing w:val="-4"/>
          <w:sz w:val="24"/>
          <w:szCs w:val="24"/>
        </w:rPr>
        <w:t>格式十三：</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_Toc31981 \h </w:instrText>
      </w:r>
      <w:r>
        <w:rPr>
          <w:rFonts w:hint="eastAsia" w:ascii="宋体" w:hAnsi="宋体" w:eastAsia="宋体" w:cs="宋体"/>
          <w:sz w:val="24"/>
          <w:szCs w:val="24"/>
        </w:rPr>
        <w:fldChar w:fldCharType="separate"/>
      </w:r>
      <w:r>
        <w:rPr>
          <w:rFonts w:hint="eastAsia" w:ascii="宋体" w:hAnsi="宋体" w:eastAsia="宋体" w:cs="宋体"/>
          <w:sz w:val="24"/>
          <w:szCs w:val="24"/>
        </w:rPr>
        <w:t>70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F657FF8">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_Toc16400 </w:instrText>
      </w:r>
      <w:r>
        <w:rPr>
          <w:rFonts w:hint="eastAsia" w:ascii="宋体" w:hAnsi="宋体" w:eastAsia="宋体" w:cs="宋体"/>
          <w:sz w:val="24"/>
          <w:szCs w:val="24"/>
        </w:rPr>
        <w:fldChar w:fldCharType="separate"/>
      </w:r>
      <w:r>
        <w:rPr>
          <w:rFonts w:hint="eastAsia" w:ascii="宋体" w:hAnsi="宋体" w:eastAsia="宋体" w:cs="宋体"/>
          <w:bCs/>
          <w:spacing w:val="-4"/>
          <w:sz w:val="24"/>
          <w:szCs w:val="24"/>
        </w:rPr>
        <w:t>格式十四</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_Toc16400 \h </w:instrText>
      </w:r>
      <w:r>
        <w:rPr>
          <w:rFonts w:hint="eastAsia" w:ascii="宋体" w:hAnsi="宋体" w:eastAsia="宋体" w:cs="宋体"/>
          <w:sz w:val="24"/>
          <w:szCs w:val="24"/>
        </w:rPr>
        <w:fldChar w:fldCharType="separate"/>
      </w:r>
      <w:r>
        <w:rPr>
          <w:rFonts w:hint="eastAsia" w:ascii="宋体" w:hAnsi="宋体" w:eastAsia="宋体" w:cs="宋体"/>
          <w:sz w:val="24"/>
          <w:szCs w:val="24"/>
        </w:rPr>
        <w:t>75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58F32B9">
      <w:pPr>
        <w:pStyle w:val="7"/>
        <w:tabs>
          <w:tab w:val="right" w:leader="dot" w:pos="935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_Toc12640 </w:instrText>
      </w:r>
      <w:r>
        <w:rPr>
          <w:rFonts w:hint="eastAsia" w:ascii="宋体" w:hAnsi="宋体" w:eastAsia="宋体" w:cs="宋体"/>
          <w:sz w:val="24"/>
          <w:szCs w:val="24"/>
        </w:rPr>
        <w:fldChar w:fldCharType="separate"/>
      </w:r>
      <w:r>
        <w:rPr>
          <w:rFonts w:hint="eastAsia" w:ascii="宋体" w:hAnsi="宋体" w:eastAsia="宋体" w:cs="宋体"/>
          <w:bCs/>
          <w:spacing w:val="-4"/>
          <w:sz w:val="24"/>
          <w:szCs w:val="24"/>
        </w:rPr>
        <w:t>格式十</w:t>
      </w:r>
      <w:r>
        <w:rPr>
          <w:rFonts w:hint="eastAsia" w:ascii="宋体" w:hAnsi="宋体" w:eastAsia="宋体" w:cs="宋体"/>
          <w:bCs/>
          <w:spacing w:val="-4"/>
          <w:sz w:val="24"/>
          <w:szCs w:val="24"/>
          <w:lang w:eastAsia="zh-CN"/>
        </w:rPr>
        <w:t>五</w:t>
      </w:r>
      <w:r>
        <w:rPr>
          <w:rFonts w:hint="eastAsia" w:ascii="宋体" w:hAnsi="宋体" w:eastAsia="宋体" w:cs="宋体"/>
          <w:bCs/>
          <w:spacing w:val="-4"/>
          <w:sz w:val="24"/>
          <w:szCs w:val="24"/>
        </w:rPr>
        <w:t xml:space="preserve">  原件一览表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_Toc12640 \h </w:instrText>
      </w:r>
      <w:r>
        <w:rPr>
          <w:rFonts w:hint="eastAsia" w:ascii="宋体" w:hAnsi="宋体" w:eastAsia="宋体" w:cs="宋体"/>
          <w:sz w:val="24"/>
          <w:szCs w:val="24"/>
        </w:rPr>
        <w:fldChar w:fldCharType="separate"/>
      </w:r>
      <w:r>
        <w:rPr>
          <w:rFonts w:hint="eastAsia" w:ascii="宋体" w:hAnsi="宋体" w:eastAsia="宋体" w:cs="宋体"/>
          <w:sz w:val="24"/>
          <w:szCs w:val="24"/>
        </w:rPr>
        <w:t>76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030F68A">
      <w:pPr>
        <w:pStyle w:val="13"/>
        <w:tabs>
          <w:tab w:val="right" w:leader="dot" w:pos="9356"/>
        </w:tabs>
        <w:ind w:left="0" w:leftChars="0"/>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_Toc31536 </w:instrText>
      </w:r>
      <w:r>
        <w:rPr>
          <w:rFonts w:hint="eastAsia" w:ascii="宋体" w:hAnsi="宋体" w:eastAsia="宋体" w:cs="宋体"/>
          <w:sz w:val="24"/>
          <w:szCs w:val="24"/>
        </w:rPr>
        <w:fldChar w:fldCharType="separate"/>
      </w:r>
      <w:r>
        <w:rPr>
          <w:rFonts w:hint="eastAsia" w:ascii="宋体" w:hAnsi="宋体" w:eastAsia="宋体" w:cs="宋体"/>
          <w:bCs/>
          <w:spacing w:val="-3"/>
          <w:sz w:val="24"/>
          <w:szCs w:val="24"/>
        </w:rPr>
        <w:t>第七章</w:t>
      </w:r>
      <w:r>
        <w:rPr>
          <w:rFonts w:hint="eastAsia" w:ascii="宋体" w:hAnsi="宋体" w:eastAsia="宋体" w:cs="宋体"/>
          <w:spacing w:val="-3"/>
          <w:sz w:val="24"/>
          <w:szCs w:val="24"/>
        </w:rPr>
        <w:t xml:space="preserve"> </w:t>
      </w:r>
      <w:r>
        <w:rPr>
          <w:rFonts w:hint="eastAsia" w:ascii="宋体" w:hAnsi="宋体" w:eastAsia="宋体" w:cs="宋体"/>
          <w:bCs/>
          <w:spacing w:val="-3"/>
          <w:sz w:val="24"/>
          <w:szCs w:val="24"/>
        </w:rPr>
        <w:t>建设工程施工合同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_Toc31536 \h </w:instrText>
      </w:r>
      <w:r>
        <w:rPr>
          <w:rFonts w:hint="eastAsia" w:ascii="宋体" w:hAnsi="宋体" w:eastAsia="宋体" w:cs="宋体"/>
          <w:sz w:val="24"/>
          <w:szCs w:val="24"/>
        </w:rPr>
        <w:fldChar w:fldCharType="separate"/>
      </w:r>
      <w:r>
        <w:rPr>
          <w:rFonts w:hint="eastAsia" w:ascii="宋体" w:hAnsi="宋体" w:eastAsia="宋体" w:cs="宋体"/>
          <w:sz w:val="24"/>
          <w:szCs w:val="24"/>
        </w:rPr>
        <w:t>77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627D635">
      <w:pPr>
        <w:spacing w:line="220" w:lineRule="auto"/>
        <w:rPr>
          <w:rFonts w:ascii="Times New Roman" w:hAnsi="Times New Roman" w:eastAsia="Times New Roman" w:cs="Times New Roman"/>
          <w:sz w:val="24"/>
          <w:szCs w:val="24"/>
        </w:rPr>
        <w:sectPr>
          <w:headerReference r:id="rId5" w:type="default"/>
          <w:pgSz w:w="11906" w:h="16839"/>
          <w:pgMar w:top="720" w:right="720" w:bottom="720" w:left="720" w:header="1200" w:footer="0" w:gutter="0"/>
          <w:cols w:space="720" w:num="1"/>
        </w:sectPr>
      </w:pPr>
      <w:r>
        <w:rPr>
          <w:rFonts w:ascii="Times New Roman" w:hAnsi="Times New Roman" w:eastAsia="Times New Roman" w:cs="Times New Roman"/>
          <w:szCs w:val="24"/>
        </w:rPr>
        <w:fldChar w:fldCharType="end"/>
      </w:r>
    </w:p>
    <w:p w14:paraId="12767494">
      <w:pPr>
        <w:pStyle w:val="5"/>
        <w:spacing w:line="272" w:lineRule="auto"/>
      </w:pPr>
    </w:p>
    <w:p w14:paraId="35AB6571">
      <w:pPr>
        <w:spacing w:before="78" w:line="219" w:lineRule="auto"/>
        <w:ind w:left="3416"/>
        <w:outlineLvl w:val="0"/>
        <w:rPr>
          <w:rFonts w:ascii="宋体" w:hAnsi="宋体" w:eastAsia="宋体" w:cs="宋体"/>
          <w:sz w:val="24"/>
          <w:szCs w:val="24"/>
        </w:rPr>
      </w:pPr>
      <w:bookmarkStart w:id="6" w:name="bookmark1"/>
      <w:bookmarkEnd w:id="6"/>
      <w:bookmarkStart w:id="7" w:name="_Toc19872"/>
      <w:r>
        <w:rPr>
          <w:rFonts w:ascii="宋体" w:hAnsi="宋体" w:eastAsia="宋体" w:cs="宋体"/>
          <w:b/>
          <w:bCs/>
          <w:spacing w:val="-3"/>
          <w:sz w:val="24"/>
          <w:szCs w:val="24"/>
        </w:rPr>
        <w:t>第一章</w:t>
      </w:r>
      <w:r>
        <w:rPr>
          <w:rFonts w:ascii="宋体" w:hAnsi="宋体" w:eastAsia="宋体" w:cs="宋体"/>
          <w:spacing w:val="-3"/>
          <w:sz w:val="24"/>
          <w:szCs w:val="24"/>
        </w:rPr>
        <w:t xml:space="preserve"> </w:t>
      </w:r>
      <w:r>
        <w:rPr>
          <w:rFonts w:ascii="宋体" w:hAnsi="宋体" w:eastAsia="宋体" w:cs="宋体"/>
          <w:b/>
          <w:bCs/>
          <w:spacing w:val="-3"/>
          <w:sz w:val="24"/>
          <w:szCs w:val="24"/>
        </w:rPr>
        <w:t>投标人须知</w:t>
      </w:r>
      <w:bookmarkEnd w:id="7"/>
    </w:p>
    <w:p w14:paraId="1BDED91A">
      <w:pPr>
        <w:spacing w:before="156" w:line="219" w:lineRule="auto"/>
        <w:ind w:left="17"/>
        <w:outlineLvl w:val="1"/>
        <w:rPr>
          <w:rFonts w:ascii="宋体" w:hAnsi="宋体" w:eastAsia="宋体" w:cs="宋体"/>
          <w:sz w:val="24"/>
          <w:szCs w:val="24"/>
        </w:rPr>
      </w:pPr>
      <w:bookmarkStart w:id="8" w:name="bookmark3"/>
      <w:bookmarkEnd w:id="8"/>
      <w:bookmarkStart w:id="9" w:name="_Toc23115"/>
      <w:r>
        <w:rPr>
          <w:rFonts w:ascii="宋体" w:hAnsi="宋体" w:eastAsia="宋体" w:cs="宋体"/>
          <w:b/>
          <w:bCs/>
          <w:spacing w:val="-3"/>
          <w:sz w:val="24"/>
          <w:szCs w:val="24"/>
        </w:rPr>
        <w:t>第一节</w:t>
      </w:r>
      <w:r>
        <w:rPr>
          <w:rFonts w:ascii="宋体" w:hAnsi="宋体" w:eastAsia="宋体" w:cs="宋体"/>
          <w:spacing w:val="-3"/>
          <w:sz w:val="24"/>
          <w:szCs w:val="24"/>
        </w:rPr>
        <w:t xml:space="preserve"> </w:t>
      </w:r>
      <w:r>
        <w:rPr>
          <w:rFonts w:ascii="宋体" w:hAnsi="宋体" w:eastAsia="宋体" w:cs="宋体"/>
          <w:b/>
          <w:bCs/>
          <w:spacing w:val="-3"/>
          <w:sz w:val="24"/>
          <w:szCs w:val="24"/>
        </w:rPr>
        <w:t>投标人须知前附表</w:t>
      </w:r>
      <w:bookmarkEnd w:id="9"/>
    </w:p>
    <w:p w14:paraId="1C9394C2">
      <w:pPr>
        <w:spacing w:before="25"/>
      </w:pPr>
    </w:p>
    <w:tbl>
      <w:tblPr>
        <w:tblStyle w:val="14"/>
        <w:tblW w:w="1033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7"/>
        <w:gridCol w:w="1828"/>
        <w:gridCol w:w="7878"/>
      </w:tblGrid>
      <w:tr w14:paraId="36E85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1" w:hRule="atLeast"/>
        </w:trPr>
        <w:tc>
          <w:tcPr>
            <w:tcW w:w="627" w:type="dxa"/>
            <w:noWrap w:val="0"/>
            <w:textDirection w:val="tbRlV"/>
            <w:vAlign w:val="top"/>
          </w:tcPr>
          <w:p w14:paraId="0ED25E51">
            <w:pPr>
              <w:spacing w:before="203" w:line="209" w:lineRule="auto"/>
              <w:ind w:left="87"/>
              <w:rPr>
                <w:rFonts w:hint="eastAsia" w:ascii="宋体" w:hAnsi="宋体" w:eastAsia="宋体" w:cs="宋体"/>
                <w:sz w:val="24"/>
                <w:szCs w:val="24"/>
              </w:rPr>
            </w:pPr>
            <w:r>
              <w:rPr>
                <w:rFonts w:hint="eastAsia" w:ascii="宋体" w:hAnsi="宋体" w:eastAsia="宋体" w:cs="宋体"/>
                <w:spacing w:val="1"/>
                <w:sz w:val="24"/>
                <w:szCs w:val="24"/>
              </w:rPr>
              <w:t>序号</w:t>
            </w:r>
          </w:p>
        </w:tc>
        <w:tc>
          <w:tcPr>
            <w:tcW w:w="1828" w:type="dxa"/>
            <w:noWrap w:val="0"/>
            <w:vAlign w:val="top"/>
          </w:tcPr>
          <w:p w14:paraId="01B5EAEC">
            <w:pPr>
              <w:spacing w:before="244" w:line="222" w:lineRule="auto"/>
              <w:ind w:left="638"/>
              <w:rPr>
                <w:rFonts w:hint="eastAsia" w:ascii="宋体" w:hAnsi="宋体" w:eastAsia="宋体" w:cs="宋体"/>
                <w:sz w:val="24"/>
                <w:szCs w:val="24"/>
              </w:rPr>
            </w:pPr>
            <w:r>
              <w:rPr>
                <w:rFonts w:hint="eastAsia" w:ascii="宋体" w:hAnsi="宋体" w:eastAsia="宋体" w:cs="宋体"/>
                <w:spacing w:val="-13"/>
                <w:sz w:val="24"/>
                <w:szCs w:val="24"/>
              </w:rPr>
              <w:t>内容</w:t>
            </w:r>
          </w:p>
        </w:tc>
        <w:tc>
          <w:tcPr>
            <w:tcW w:w="7878" w:type="dxa"/>
            <w:noWrap w:val="0"/>
            <w:vAlign w:val="top"/>
          </w:tcPr>
          <w:p w14:paraId="32644731">
            <w:pPr>
              <w:spacing w:before="267" w:line="221" w:lineRule="auto"/>
              <w:ind w:left="2977"/>
              <w:rPr>
                <w:rFonts w:hint="eastAsia" w:ascii="宋体" w:hAnsi="宋体" w:eastAsia="宋体" w:cs="宋体"/>
                <w:sz w:val="24"/>
                <w:szCs w:val="24"/>
              </w:rPr>
            </w:pPr>
            <w:r>
              <w:rPr>
                <w:rFonts w:hint="eastAsia" w:ascii="宋体" w:hAnsi="宋体" w:eastAsia="宋体" w:cs="宋体"/>
                <w:spacing w:val="-3"/>
                <w:sz w:val="24"/>
                <w:szCs w:val="24"/>
              </w:rPr>
              <w:t>说明与要求</w:t>
            </w:r>
          </w:p>
        </w:tc>
      </w:tr>
      <w:tr w14:paraId="19A5D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627" w:type="dxa"/>
            <w:noWrap w:val="0"/>
            <w:vAlign w:val="center"/>
          </w:tcPr>
          <w:p w14:paraId="25695FAC">
            <w:pPr>
              <w:spacing w:before="223" w:line="195"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828" w:type="dxa"/>
            <w:noWrap w:val="0"/>
            <w:vAlign w:val="center"/>
          </w:tcPr>
          <w:p w14:paraId="3E557B5B">
            <w:pPr>
              <w:spacing w:before="175" w:line="229" w:lineRule="auto"/>
              <w:jc w:val="center"/>
              <w:rPr>
                <w:rFonts w:hint="eastAsia" w:ascii="宋体" w:hAnsi="宋体" w:eastAsia="宋体" w:cs="宋体"/>
                <w:sz w:val="24"/>
                <w:szCs w:val="24"/>
              </w:rPr>
            </w:pPr>
            <w:r>
              <w:rPr>
                <w:rFonts w:hint="eastAsia" w:ascii="宋体" w:hAnsi="宋体" w:eastAsia="宋体" w:cs="宋体"/>
                <w:spacing w:val="6"/>
                <w:sz w:val="24"/>
                <w:szCs w:val="24"/>
              </w:rPr>
              <w:t>项目名称</w:t>
            </w:r>
          </w:p>
        </w:tc>
        <w:tc>
          <w:tcPr>
            <w:tcW w:w="7878" w:type="dxa"/>
            <w:noWrap w:val="0"/>
            <w:vAlign w:val="center"/>
          </w:tcPr>
          <w:p w14:paraId="729893DC">
            <w:pPr>
              <w:pStyle w:val="20"/>
              <w:rPr>
                <w:rFonts w:hint="eastAsia" w:ascii="宋体" w:hAnsi="宋体" w:eastAsia="宋体" w:cs="宋体"/>
                <w:sz w:val="24"/>
                <w:szCs w:val="24"/>
              </w:rPr>
            </w:pPr>
            <w:r>
              <w:rPr>
                <w:rFonts w:hint="eastAsia" w:ascii="宋体" w:hAnsi="宋体" w:eastAsia="宋体" w:cs="宋体"/>
                <w:sz w:val="24"/>
                <w:szCs w:val="24"/>
                <w:lang w:eastAsia="zh-CN"/>
              </w:rPr>
              <w:t>三溪镇武江沿岸乡村振兴示范带建设项目（二期）施工</w:t>
            </w:r>
          </w:p>
        </w:tc>
      </w:tr>
      <w:tr w14:paraId="33D2A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27" w:type="dxa"/>
            <w:noWrap w:val="0"/>
            <w:vAlign w:val="center"/>
          </w:tcPr>
          <w:p w14:paraId="70762407">
            <w:pPr>
              <w:spacing w:before="222" w:line="195"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1828" w:type="dxa"/>
            <w:noWrap w:val="0"/>
            <w:vAlign w:val="center"/>
          </w:tcPr>
          <w:p w14:paraId="458F0757">
            <w:pPr>
              <w:spacing w:before="175" w:line="229" w:lineRule="auto"/>
              <w:jc w:val="center"/>
              <w:rPr>
                <w:rFonts w:hint="eastAsia" w:ascii="宋体" w:hAnsi="宋体" w:eastAsia="宋体" w:cs="宋体"/>
                <w:color w:val="auto"/>
                <w:sz w:val="24"/>
                <w:szCs w:val="24"/>
              </w:rPr>
            </w:pPr>
            <w:r>
              <w:rPr>
                <w:rFonts w:hint="eastAsia" w:ascii="宋体" w:hAnsi="宋体" w:eastAsia="宋体" w:cs="宋体"/>
                <w:color w:val="auto"/>
                <w:spacing w:val="6"/>
                <w:sz w:val="24"/>
                <w:szCs w:val="24"/>
              </w:rPr>
              <w:t>项目业主</w:t>
            </w:r>
          </w:p>
        </w:tc>
        <w:tc>
          <w:tcPr>
            <w:tcW w:w="7878" w:type="dxa"/>
            <w:noWrap w:val="0"/>
            <w:vAlign w:val="center"/>
          </w:tcPr>
          <w:p w14:paraId="7210A5B5">
            <w:pPr>
              <w:pStyle w:val="2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乐昌市三溪镇人民政府</w:t>
            </w:r>
          </w:p>
        </w:tc>
      </w:tr>
      <w:tr w14:paraId="230D7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trPr>
        <w:tc>
          <w:tcPr>
            <w:tcW w:w="627" w:type="dxa"/>
            <w:noWrap w:val="0"/>
            <w:vAlign w:val="center"/>
          </w:tcPr>
          <w:p w14:paraId="278A026A">
            <w:pPr>
              <w:spacing w:before="58" w:line="195"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1828" w:type="dxa"/>
            <w:noWrap w:val="0"/>
            <w:vAlign w:val="center"/>
          </w:tcPr>
          <w:p w14:paraId="56964928">
            <w:pPr>
              <w:spacing w:before="93" w:line="245" w:lineRule="auto"/>
              <w:ind w:right="110"/>
              <w:jc w:val="center"/>
              <w:rPr>
                <w:rFonts w:hint="eastAsia" w:ascii="宋体" w:hAnsi="宋体" w:eastAsia="宋体" w:cs="宋体"/>
                <w:color w:val="auto"/>
                <w:sz w:val="24"/>
                <w:szCs w:val="24"/>
              </w:rPr>
            </w:pPr>
            <w:r>
              <w:rPr>
                <w:rFonts w:hint="eastAsia" w:ascii="宋体" w:hAnsi="宋体" w:eastAsia="宋体" w:cs="宋体"/>
                <w:color w:val="auto"/>
                <w:spacing w:val="6"/>
                <w:sz w:val="24"/>
                <w:szCs w:val="24"/>
              </w:rPr>
              <w:t>项目批准部门及</w:t>
            </w:r>
            <w:r>
              <w:rPr>
                <w:rFonts w:hint="eastAsia" w:ascii="宋体" w:hAnsi="宋体" w:eastAsia="宋体" w:cs="宋体"/>
                <w:color w:val="auto"/>
                <w:spacing w:val="-3"/>
                <w:sz w:val="24"/>
                <w:szCs w:val="24"/>
              </w:rPr>
              <w:t>项目批准文号</w:t>
            </w:r>
          </w:p>
        </w:tc>
        <w:tc>
          <w:tcPr>
            <w:tcW w:w="7878" w:type="dxa"/>
            <w:noWrap w:val="0"/>
            <w:vAlign w:val="center"/>
          </w:tcPr>
          <w:p w14:paraId="04A62C4E">
            <w:pPr>
              <w:pStyle w:val="20"/>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乐昌市发展和改革局、乐发改投审【2024】78号</w:t>
            </w:r>
          </w:p>
        </w:tc>
      </w:tr>
      <w:tr w14:paraId="27E68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27" w:type="dxa"/>
            <w:noWrap w:val="0"/>
            <w:vAlign w:val="center"/>
          </w:tcPr>
          <w:p w14:paraId="013AE5D6">
            <w:pPr>
              <w:spacing w:before="225" w:line="195" w:lineRule="auto"/>
              <w:jc w:val="center"/>
              <w:rPr>
                <w:rFonts w:hint="eastAsia" w:ascii="宋体" w:hAnsi="宋体" w:eastAsia="宋体" w:cs="宋体"/>
                <w:sz w:val="24"/>
                <w:szCs w:val="24"/>
              </w:rPr>
            </w:pPr>
            <w:r>
              <w:rPr>
                <w:rFonts w:hint="eastAsia" w:ascii="宋体" w:hAnsi="宋体" w:eastAsia="宋体" w:cs="宋体"/>
                <w:spacing w:val="1"/>
                <w:sz w:val="24"/>
                <w:szCs w:val="24"/>
              </w:rPr>
              <w:t>4</w:t>
            </w:r>
          </w:p>
        </w:tc>
        <w:tc>
          <w:tcPr>
            <w:tcW w:w="1828" w:type="dxa"/>
            <w:noWrap w:val="0"/>
            <w:vAlign w:val="center"/>
          </w:tcPr>
          <w:p w14:paraId="053EC28F">
            <w:pPr>
              <w:spacing w:before="150" w:line="222" w:lineRule="auto"/>
              <w:jc w:val="center"/>
              <w:rPr>
                <w:rFonts w:hint="eastAsia" w:ascii="宋体" w:hAnsi="宋体" w:eastAsia="宋体" w:cs="宋体"/>
                <w:color w:val="auto"/>
                <w:sz w:val="24"/>
                <w:szCs w:val="24"/>
              </w:rPr>
            </w:pPr>
            <w:r>
              <w:rPr>
                <w:rFonts w:hint="eastAsia" w:ascii="宋体" w:hAnsi="宋体" w:eastAsia="宋体" w:cs="宋体"/>
                <w:color w:val="auto"/>
                <w:spacing w:val="-4"/>
                <w:sz w:val="24"/>
                <w:szCs w:val="24"/>
              </w:rPr>
              <w:t>建设地点</w:t>
            </w:r>
          </w:p>
        </w:tc>
        <w:tc>
          <w:tcPr>
            <w:tcW w:w="7878" w:type="dxa"/>
            <w:noWrap w:val="0"/>
            <w:vAlign w:val="center"/>
          </w:tcPr>
          <w:p w14:paraId="4EFB3162">
            <w:pPr>
              <w:rPr>
                <w:rFonts w:hint="eastAsia" w:ascii="宋体" w:hAnsi="宋体" w:eastAsia="宋体" w:cs="宋体"/>
                <w:color w:val="auto"/>
                <w:sz w:val="24"/>
                <w:szCs w:val="24"/>
                <w:lang w:eastAsia="zh-CN"/>
              </w:rPr>
            </w:pPr>
            <w:r>
              <w:rPr>
                <w:rFonts w:hint="eastAsia" w:ascii="宋体" w:hAnsi="宋体" w:eastAsia="宋体" w:cs="宋体"/>
                <w:snapToGrid w:val="0"/>
                <w:color w:val="auto"/>
                <w:kern w:val="0"/>
                <w:sz w:val="24"/>
                <w:szCs w:val="24"/>
                <w:lang w:val="en-US" w:eastAsia="zh-CN" w:bidi="ar-SA"/>
              </w:rPr>
              <w:t>三溪镇</w:t>
            </w:r>
            <w:r>
              <w:rPr>
                <w:rFonts w:hint="eastAsia" w:ascii="宋体" w:hAnsi="宋体" w:eastAsia="宋体" w:cs="宋体"/>
                <w:snapToGrid w:val="0"/>
                <w:color w:val="auto"/>
                <w:kern w:val="0"/>
                <w:sz w:val="24"/>
                <w:szCs w:val="24"/>
                <w:lang w:val="en-US" w:eastAsia="zh-CN" w:bidi="ar-SA"/>
              </w:rPr>
              <w:t>三溪村</w:t>
            </w:r>
            <w:r>
              <w:rPr>
                <w:rFonts w:hint="eastAsia" w:ascii="宋体" w:hAnsi="宋体" w:eastAsia="宋体" w:cs="宋体"/>
                <w:snapToGrid w:val="0"/>
                <w:color w:val="auto"/>
                <w:kern w:val="0"/>
                <w:sz w:val="24"/>
                <w:szCs w:val="24"/>
                <w:lang w:val="en-US" w:eastAsia="zh-CN" w:bidi="ar-SA"/>
              </w:rPr>
              <w:t>。</w:t>
            </w:r>
          </w:p>
        </w:tc>
      </w:tr>
      <w:tr w14:paraId="2DEA1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27" w:type="dxa"/>
            <w:noWrap w:val="0"/>
            <w:vAlign w:val="center"/>
          </w:tcPr>
          <w:p w14:paraId="05F9725E">
            <w:pPr>
              <w:spacing w:before="226" w:line="192"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1828" w:type="dxa"/>
            <w:noWrap w:val="0"/>
            <w:vAlign w:val="center"/>
          </w:tcPr>
          <w:p w14:paraId="451041EC">
            <w:pPr>
              <w:spacing w:before="176" w:line="228" w:lineRule="auto"/>
              <w:jc w:val="center"/>
              <w:rPr>
                <w:rFonts w:hint="eastAsia" w:ascii="宋体" w:hAnsi="宋体" w:eastAsia="宋体" w:cs="宋体"/>
                <w:color w:val="auto"/>
                <w:sz w:val="24"/>
                <w:szCs w:val="24"/>
              </w:rPr>
            </w:pPr>
            <w:r>
              <w:rPr>
                <w:rFonts w:hint="eastAsia" w:ascii="宋体" w:hAnsi="宋体" w:eastAsia="宋体" w:cs="宋体"/>
                <w:color w:val="auto"/>
                <w:spacing w:val="6"/>
                <w:sz w:val="24"/>
                <w:szCs w:val="24"/>
              </w:rPr>
              <w:t>项目代码</w:t>
            </w:r>
          </w:p>
        </w:tc>
        <w:tc>
          <w:tcPr>
            <w:tcW w:w="7878" w:type="dxa"/>
            <w:noWrap w:val="0"/>
            <w:vAlign w:val="center"/>
          </w:tcPr>
          <w:p w14:paraId="5C4912F8">
            <w:pPr>
              <w:pStyle w:val="2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2408-440281-20-01-175859</w:t>
            </w:r>
          </w:p>
        </w:tc>
      </w:tr>
      <w:tr w14:paraId="0726B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627" w:type="dxa"/>
            <w:noWrap w:val="0"/>
            <w:vAlign w:val="center"/>
          </w:tcPr>
          <w:p w14:paraId="511DBF8F">
            <w:pPr>
              <w:spacing w:before="58" w:line="195" w:lineRule="auto"/>
              <w:jc w:val="center"/>
              <w:rPr>
                <w:rFonts w:hint="eastAsia" w:ascii="宋体" w:hAnsi="宋体" w:eastAsia="宋体" w:cs="宋体"/>
                <w:sz w:val="24"/>
                <w:szCs w:val="24"/>
              </w:rPr>
            </w:pPr>
            <w:r>
              <w:rPr>
                <w:rFonts w:hint="eastAsia" w:ascii="宋体" w:hAnsi="宋体" w:eastAsia="宋体" w:cs="宋体"/>
                <w:sz w:val="24"/>
                <w:szCs w:val="24"/>
              </w:rPr>
              <w:t>6</w:t>
            </w:r>
          </w:p>
        </w:tc>
        <w:tc>
          <w:tcPr>
            <w:tcW w:w="1828" w:type="dxa"/>
            <w:noWrap w:val="0"/>
            <w:vAlign w:val="center"/>
          </w:tcPr>
          <w:p w14:paraId="297C7F04">
            <w:pPr>
              <w:spacing w:before="111" w:line="250" w:lineRule="auto"/>
              <w:ind w:right="275"/>
              <w:jc w:val="center"/>
              <w:rPr>
                <w:rFonts w:hint="eastAsia" w:ascii="宋体" w:hAnsi="宋体" w:eastAsia="宋体" w:cs="宋体"/>
                <w:color w:val="auto"/>
                <w:sz w:val="24"/>
                <w:szCs w:val="24"/>
              </w:rPr>
            </w:pPr>
            <w:r>
              <w:rPr>
                <w:rFonts w:hint="eastAsia" w:ascii="宋体" w:hAnsi="宋体" w:eastAsia="宋体" w:cs="宋体"/>
                <w:color w:val="auto"/>
                <w:spacing w:val="5"/>
                <w:sz w:val="24"/>
                <w:szCs w:val="24"/>
              </w:rPr>
              <w:t>资金来源</w:t>
            </w:r>
            <w:r>
              <w:rPr>
                <w:rFonts w:hint="eastAsia" w:ascii="宋体" w:hAnsi="宋体" w:eastAsia="宋体" w:cs="宋体"/>
                <w:color w:val="auto"/>
                <w:sz w:val="24"/>
                <w:szCs w:val="24"/>
              </w:rPr>
              <w:t>及落实情况</w:t>
            </w:r>
          </w:p>
        </w:tc>
        <w:tc>
          <w:tcPr>
            <w:tcW w:w="7878" w:type="dxa"/>
            <w:noWrap w:val="0"/>
            <w:vAlign w:val="center"/>
          </w:tcPr>
          <w:p w14:paraId="69C1FB05">
            <w:pPr>
              <w:pStyle w:val="2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上级财政资金，不足部分由你单位自筹解决，100%。</w:t>
            </w:r>
          </w:p>
        </w:tc>
      </w:tr>
      <w:tr w14:paraId="4C32C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27" w:type="dxa"/>
            <w:noWrap w:val="0"/>
            <w:vAlign w:val="center"/>
          </w:tcPr>
          <w:p w14:paraId="00E04752">
            <w:pPr>
              <w:spacing w:before="228" w:line="192" w:lineRule="auto"/>
              <w:jc w:val="center"/>
              <w:rPr>
                <w:rFonts w:hint="eastAsia" w:ascii="宋体" w:hAnsi="宋体" w:eastAsia="宋体" w:cs="宋体"/>
                <w:sz w:val="24"/>
                <w:szCs w:val="24"/>
              </w:rPr>
            </w:pPr>
            <w:r>
              <w:rPr>
                <w:rFonts w:hint="eastAsia" w:ascii="宋体" w:hAnsi="宋体" w:eastAsia="宋体" w:cs="宋体"/>
                <w:sz w:val="24"/>
                <w:szCs w:val="24"/>
              </w:rPr>
              <w:t>7</w:t>
            </w:r>
          </w:p>
        </w:tc>
        <w:tc>
          <w:tcPr>
            <w:tcW w:w="1828" w:type="dxa"/>
            <w:noWrap w:val="0"/>
            <w:vAlign w:val="center"/>
          </w:tcPr>
          <w:p w14:paraId="466EFEF1">
            <w:pPr>
              <w:spacing w:before="177" w:line="229" w:lineRule="auto"/>
              <w:jc w:val="center"/>
              <w:rPr>
                <w:rFonts w:hint="eastAsia" w:ascii="宋体" w:hAnsi="宋体" w:eastAsia="宋体" w:cs="宋体"/>
                <w:color w:val="auto"/>
                <w:sz w:val="24"/>
                <w:szCs w:val="24"/>
              </w:rPr>
            </w:pPr>
            <w:r>
              <w:rPr>
                <w:rFonts w:hint="eastAsia" w:ascii="宋体" w:hAnsi="宋体" w:eastAsia="宋体" w:cs="宋体"/>
                <w:color w:val="auto"/>
                <w:spacing w:val="6"/>
                <w:sz w:val="24"/>
                <w:szCs w:val="24"/>
              </w:rPr>
              <w:t>招标人</w:t>
            </w:r>
          </w:p>
        </w:tc>
        <w:tc>
          <w:tcPr>
            <w:tcW w:w="7878" w:type="dxa"/>
            <w:noWrap w:val="0"/>
            <w:vAlign w:val="center"/>
          </w:tcPr>
          <w:p w14:paraId="2E172616">
            <w:pPr>
              <w:pStyle w:val="2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乐昌市三溪镇人民政府</w:t>
            </w:r>
          </w:p>
        </w:tc>
      </w:tr>
      <w:tr w14:paraId="0697C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27" w:type="dxa"/>
            <w:noWrap w:val="0"/>
            <w:vAlign w:val="center"/>
          </w:tcPr>
          <w:p w14:paraId="696E7551">
            <w:pPr>
              <w:spacing w:before="224" w:line="195" w:lineRule="auto"/>
              <w:jc w:val="center"/>
              <w:rPr>
                <w:rFonts w:hint="eastAsia" w:ascii="宋体" w:hAnsi="宋体" w:eastAsia="宋体" w:cs="宋体"/>
                <w:sz w:val="24"/>
                <w:szCs w:val="24"/>
              </w:rPr>
            </w:pPr>
            <w:r>
              <w:rPr>
                <w:rFonts w:hint="eastAsia" w:ascii="宋体" w:hAnsi="宋体" w:eastAsia="宋体" w:cs="宋体"/>
                <w:sz w:val="24"/>
                <w:szCs w:val="24"/>
              </w:rPr>
              <w:t>8</w:t>
            </w:r>
          </w:p>
        </w:tc>
        <w:tc>
          <w:tcPr>
            <w:tcW w:w="1828" w:type="dxa"/>
            <w:noWrap w:val="0"/>
            <w:vAlign w:val="center"/>
          </w:tcPr>
          <w:p w14:paraId="3F900A72">
            <w:pPr>
              <w:spacing w:before="175" w:line="228" w:lineRule="auto"/>
              <w:jc w:val="center"/>
              <w:rPr>
                <w:rFonts w:hint="eastAsia" w:ascii="宋体" w:hAnsi="宋体" w:eastAsia="宋体" w:cs="宋体"/>
                <w:color w:val="auto"/>
                <w:sz w:val="24"/>
                <w:szCs w:val="24"/>
              </w:rPr>
            </w:pPr>
            <w:r>
              <w:rPr>
                <w:rFonts w:hint="eastAsia" w:ascii="宋体" w:hAnsi="宋体" w:eastAsia="宋体" w:cs="宋体"/>
                <w:color w:val="auto"/>
                <w:spacing w:val="8"/>
                <w:sz w:val="24"/>
                <w:szCs w:val="24"/>
              </w:rPr>
              <w:t>招标代理机构</w:t>
            </w:r>
          </w:p>
        </w:tc>
        <w:tc>
          <w:tcPr>
            <w:tcW w:w="7878" w:type="dxa"/>
            <w:noWrap w:val="0"/>
            <w:vAlign w:val="center"/>
          </w:tcPr>
          <w:p w14:paraId="228AF9EC">
            <w:pPr>
              <w:pStyle w:val="2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韶关市北桓工程咨询有限公司</w:t>
            </w:r>
          </w:p>
        </w:tc>
      </w:tr>
      <w:tr w14:paraId="08C20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27" w:type="dxa"/>
            <w:noWrap w:val="0"/>
            <w:vAlign w:val="center"/>
          </w:tcPr>
          <w:p w14:paraId="14A2E4C9">
            <w:pPr>
              <w:spacing w:before="225" w:line="195" w:lineRule="auto"/>
              <w:jc w:val="center"/>
              <w:rPr>
                <w:rFonts w:hint="eastAsia" w:ascii="宋体" w:hAnsi="宋体" w:eastAsia="宋体" w:cs="宋体"/>
                <w:sz w:val="24"/>
                <w:szCs w:val="24"/>
              </w:rPr>
            </w:pPr>
            <w:r>
              <w:rPr>
                <w:rFonts w:hint="eastAsia" w:ascii="宋体" w:hAnsi="宋体" w:eastAsia="宋体" w:cs="宋体"/>
                <w:sz w:val="24"/>
                <w:szCs w:val="24"/>
              </w:rPr>
              <w:t>9</w:t>
            </w:r>
          </w:p>
        </w:tc>
        <w:tc>
          <w:tcPr>
            <w:tcW w:w="1828" w:type="dxa"/>
            <w:noWrap w:val="0"/>
            <w:vAlign w:val="center"/>
          </w:tcPr>
          <w:p w14:paraId="551EFD9B">
            <w:pPr>
              <w:spacing w:before="177" w:line="22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设计单位</w:t>
            </w:r>
          </w:p>
        </w:tc>
        <w:tc>
          <w:tcPr>
            <w:tcW w:w="7878" w:type="dxa"/>
            <w:noWrap w:val="0"/>
            <w:vAlign w:val="center"/>
          </w:tcPr>
          <w:p w14:paraId="1F7F2D0C">
            <w:pPr>
              <w:pStyle w:val="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皓筠工程设计有限公司</w:t>
            </w:r>
          </w:p>
        </w:tc>
      </w:tr>
      <w:tr w14:paraId="507A5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627" w:type="dxa"/>
            <w:noWrap w:val="0"/>
            <w:vAlign w:val="center"/>
          </w:tcPr>
          <w:p w14:paraId="6B751E66">
            <w:pPr>
              <w:spacing w:before="245" w:line="195" w:lineRule="auto"/>
              <w:jc w:val="center"/>
              <w:rPr>
                <w:rFonts w:hint="eastAsia" w:ascii="宋体" w:hAnsi="宋体" w:eastAsia="宋体" w:cs="宋体"/>
                <w:sz w:val="24"/>
                <w:szCs w:val="24"/>
              </w:rPr>
            </w:pPr>
            <w:r>
              <w:rPr>
                <w:rFonts w:hint="eastAsia" w:ascii="宋体" w:hAnsi="宋体" w:eastAsia="宋体" w:cs="宋体"/>
                <w:spacing w:val="-8"/>
                <w:sz w:val="24"/>
                <w:szCs w:val="24"/>
              </w:rPr>
              <w:t>10</w:t>
            </w:r>
          </w:p>
        </w:tc>
        <w:tc>
          <w:tcPr>
            <w:tcW w:w="1828" w:type="dxa"/>
            <w:noWrap w:val="0"/>
            <w:vAlign w:val="center"/>
          </w:tcPr>
          <w:p w14:paraId="3C030D4A">
            <w:pPr>
              <w:spacing w:before="197" w:line="227"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造价咨询单位</w:t>
            </w:r>
          </w:p>
        </w:tc>
        <w:tc>
          <w:tcPr>
            <w:tcW w:w="7878" w:type="dxa"/>
            <w:noWrap w:val="0"/>
            <w:vAlign w:val="center"/>
          </w:tcPr>
          <w:p w14:paraId="6321FAAA">
            <w:pPr>
              <w:spacing w:before="185" w:line="219" w:lineRule="auto"/>
              <w:ind w:left="3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非全过程造价咨询</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z w:val="24"/>
                <w:szCs w:val="24"/>
                <w:highlight w:val="none"/>
                <w:lang w:eastAsia="zh-CN"/>
              </w:rPr>
              <w:t>金诺智信工程项目管理有限公司</w:t>
            </w:r>
          </w:p>
        </w:tc>
      </w:tr>
      <w:tr w14:paraId="010E6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27" w:type="dxa"/>
            <w:noWrap w:val="0"/>
            <w:vAlign w:val="center"/>
          </w:tcPr>
          <w:p w14:paraId="665F405B">
            <w:pPr>
              <w:spacing w:before="242" w:line="195" w:lineRule="auto"/>
              <w:jc w:val="center"/>
              <w:rPr>
                <w:rFonts w:hint="eastAsia" w:ascii="宋体" w:hAnsi="宋体" w:eastAsia="宋体" w:cs="宋体"/>
                <w:sz w:val="24"/>
                <w:szCs w:val="24"/>
              </w:rPr>
            </w:pPr>
            <w:r>
              <w:rPr>
                <w:rFonts w:hint="eastAsia" w:ascii="宋体" w:hAnsi="宋体" w:eastAsia="宋体" w:cs="宋体"/>
                <w:spacing w:val="-8"/>
                <w:sz w:val="24"/>
                <w:szCs w:val="24"/>
              </w:rPr>
              <w:t>11</w:t>
            </w:r>
          </w:p>
        </w:tc>
        <w:tc>
          <w:tcPr>
            <w:tcW w:w="1828" w:type="dxa"/>
            <w:noWrap w:val="0"/>
            <w:vAlign w:val="center"/>
          </w:tcPr>
          <w:p w14:paraId="4E636C2B">
            <w:pPr>
              <w:spacing w:before="194" w:line="22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监理单位</w:t>
            </w:r>
          </w:p>
        </w:tc>
        <w:tc>
          <w:tcPr>
            <w:tcW w:w="7878" w:type="dxa"/>
            <w:noWrap w:val="0"/>
            <w:vAlign w:val="center"/>
          </w:tcPr>
          <w:p w14:paraId="1BC3573C">
            <w:pPr>
              <w:spacing w:before="179" w:line="221" w:lineRule="auto"/>
              <w:ind w:left="3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rPr>
              <w:t>已确定监理单位</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rPr>
              <w:t>未确定监理单位</w:t>
            </w:r>
            <w:r>
              <w:rPr>
                <w:rFonts w:hint="eastAsia" w:ascii="宋体" w:hAnsi="宋体" w:eastAsia="宋体" w:cs="宋体"/>
                <w:i w:val="0"/>
                <w:iCs w:val="0"/>
                <w:caps w:val="0"/>
                <w:color w:val="auto"/>
                <w:spacing w:val="0"/>
                <w:sz w:val="24"/>
                <w:szCs w:val="24"/>
                <w:highlight w:val="none"/>
                <w:shd w:val="clear" w:color="auto" w:fill="auto"/>
                <w:lang w:eastAsia="zh-CN"/>
              </w:rPr>
              <w:t>待定</w:t>
            </w:r>
          </w:p>
        </w:tc>
      </w:tr>
      <w:tr w14:paraId="17F69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8" w:hRule="atLeast"/>
        </w:trPr>
        <w:tc>
          <w:tcPr>
            <w:tcW w:w="627" w:type="dxa"/>
            <w:noWrap w:val="0"/>
            <w:vAlign w:val="center"/>
          </w:tcPr>
          <w:p w14:paraId="4DC6C012">
            <w:pPr>
              <w:spacing w:before="58" w:line="195" w:lineRule="auto"/>
              <w:jc w:val="center"/>
              <w:rPr>
                <w:rFonts w:hint="eastAsia" w:ascii="宋体" w:hAnsi="宋体" w:eastAsia="宋体" w:cs="宋体"/>
                <w:sz w:val="24"/>
                <w:szCs w:val="24"/>
              </w:rPr>
            </w:pPr>
            <w:r>
              <w:rPr>
                <w:rFonts w:hint="eastAsia" w:ascii="宋体" w:hAnsi="宋体" w:eastAsia="宋体" w:cs="宋体"/>
                <w:spacing w:val="-8"/>
                <w:sz w:val="24"/>
                <w:szCs w:val="24"/>
                <w:lang w:eastAsia="zh-CN"/>
              </w:rPr>
              <w:t>1</w:t>
            </w:r>
            <w:r>
              <w:rPr>
                <w:rFonts w:hint="eastAsia" w:ascii="宋体" w:hAnsi="宋体" w:eastAsia="宋体" w:cs="宋体"/>
                <w:spacing w:val="-8"/>
                <w:sz w:val="24"/>
                <w:szCs w:val="24"/>
              </w:rPr>
              <w:t>2</w:t>
            </w:r>
          </w:p>
        </w:tc>
        <w:tc>
          <w:tcPr>
            <w:tcW w:w="1828" w:type="dxa"/>
            <w:noWrap w:val="0"/>
            <w:vAlign w:val="center"/>
          </w:tcPr>
          <w:p w14:paraId="09B604F0">
            <w:pPr>
              <w:spacing w:before="65" w:line="228" w:lineRule="auto"/>
              <w:ind w:left="127"/>
              <w:jc w:val="center"/>
              <w:rPr>
                <w:rFonts w:hint="eastAsia" w:ascii="宋体" w:hAnsi="宋体" w:eastAsia="宋体" w:cs="宋体"/>
                <w:color w:val="auto"/>
                <w:sz w:val="24"/>
                <w:szCs w:val="24"/>
              </w:rPr>
            </w:pPr>
            <w:r>
              <w:rPr>
                <w:rFonts w:hint="eastAsia" w:ascii="宋体" w:hAnsi="宋体" w:eastAsia="宋体" w:cs="宋体"/>
                <w:color w:val="auto"/>
                <w:spacing w:val="8"/>
                <w:sz w:val="24"/>
                <w:szCs w:val="24"/>
              </w:rPr>
              <w:t>建设内容和规模</w:t>
            </w:r>
          </w:p>
        </w:tc>
        <w:tc>
          <w:tcPr>
            <w:tcW w:w="7878" w:type="dxa"/>
            <w:noWrap w:val="0"/>
            <w:vAlign w:val="center"/>
          </w:tcPr>
          <w:p w14:paraId="4EB62C4F">
            <w:pPr>
              <w:pStyle w:val="4"/>
              <w:spacing w:line="360" w:lineRule="auto"/>
              <w:rPr>
                <w:rFonts w:hint="eastAsia" w:ascii="宋体" w:hAnsi="宋体" w:eastAsia="宋体" w:cs="宋体"/>
                <w:color w:val="auto"/>
                <w:sz w:val="24"/>
                <w:szCs w:val="24"/>
              </w:rPr>
            </w:pPr>
            <w:r>
              <w:rPr>
                <w:rFonts w:hint="eastAsia" w:ascii="宋体" w:hAnsi="宋体" w:eastAsia="宋体" w:cs="宋体"/>
                <w:color w:val="auto"/>
                <w:spacing w:val="-6"/>
                <w:sz w:val="24"/>
                <w:szCs w:val="24"/>
                <w:lang w:eastAsia="zh-CN"/>
              </w:rPr>
              <w:t>☑</w:t>
            </w:r>
            <w:r>
              <w:rPr>
                <w:rFonts w:hint="eastAsia" w:ascii="宋体" w:hAnsi="宋体" w:eastAsia="宋体" w:cs="宋体"/>
                <w:color w:val="auto"/>
                <w:spacing w:val="-7"/>
                <w:sz w:val="24"/>
                <w:szCs w:val="24"/>
              </w:rPr>
              <w:t>建设内容</w:t>
            </w:r>
            <w:r>
              <w:rPr>
                <w:rFonts w:hint="eastAsia" w:ascii="宋体" w:hAnsi="宋体" w:eastAsia="宋体" w:cs="宋体"/>
                <w:color w:val="auto"/>
                <w:spacing w:val="-7"/>
                <w:sz w:val="24"/>
                <w:szCs w:val="24"/>
                <w:lang w:eastAsia="zh-CN"/>
              </w:rPr>
              <w:t>及</w:t>
            </w:r>
            <w:r>
              <w:rPr>
                <w:rFonts w:hint="eastAsia" w:ascii="宋体" w:hAnsi="宋体" w:eastAsia="宋体" w:cs="宋体"/>
                <w:color w:val="auto"/>
                <w:spacing w:val="-6"/>
                <w:sz w:val="24"/>
                <w:szCs w:val="24"/>
              </w:rPr>
              <w:t>建设规模：</w:t>
            </w:r>
            <w:r>
              <w:rPr>
                <w:rFonts w:hint="eastAsia" w:ascii="宋体" w:hAnsi="宋体" w:eastAsia="宋体" w:cs="宋体"/>
                <w:color w:val="auto"/>
                <w:spacing w:val="-6"/>
                <w:sz w:val="24"/>
                <w:szCs w:val="24"/>
                <w:lang w:eastAsia="zh-CN"/>
              </w:rPr>
              <w:t>梅三公路车田改道、新建三溪坪码头平台梯步、新建三溪村鸡圈围栏、公厕、照明路灯等。</w:t>
            </w:r>
          </w:p>
        </w:tc>
      </w:tr>
      <w:tr w14:paraId="19CA8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627" w:type="dxa"/>
            <w:noWrap w:val="0"/>
            <w:vAlign w:val="center"/>
          </w:tcPr>
          <w:p w14:paraId="3B037E9B">
            <w:pPr>
              <w:spacing w:before="57" w:line="195" w:lineRule="auto"/>
              <w:jc w:val="center"/>
              <w:rPr>
                <w:rFonts w:hint="eastAsia" w:ascii="宋体" w:hAnsi="宋体" w:eastAsia="宋体" w:cs="宋体"/>
                <w:sz w:val="24"/>
                <w:szCs w:val="24"/>
              </w:rPr>
            </w:pPr>
            <w:r>
              <w:rPr>
                <w:rFonts w:hint="eastAsia" w:ascii="宋体" w:hAnsi="宋体" w:eastAsia="宋体" w:cs="宋体"/>
                <w:spacing w:val="-8"/>
                <w:sz w:val="24"/>
                <w:szCs w:val="24"/>
              </w:rPr>
              <w:t>13</w:t>
            </w:r>
          </w:p>
        </w:tc>
        <w:tc>
          <w:tcPr>
            <w:tcW w:w="1828" w:type="dxa"/>
            <w:noWrap w:val="0"/>
            <w:vAlign w:val="center"/>
          </w:tcPr>
          <w:p w14:paraId="6849C5DB">
            <w:pPr>
              <w:spacing w:before="283" w:line="229" w:lineRule="auto"/>
              <w:jc w:val="center"/>
              <w:rPr>
                <w:rFonts w:hint="eastAsia" w:ascii="宋体" w:hAnsi="宋体" w:eastAsia="宋体" w:cs="宋体"/>
                <w:color w:val="auto"/>
                <w:sz w:val="24"/>
                <w:szCs w:val="24"/>
              </w:rPr>
            </w:pPr>
            <w:r>
              <w:rPr>
                <w:rFonts w:hint="eastAsia" w:ascii="宋体" w:hAnsi="宋体" w:eastAsia="宋体" w:cs="宋体"/>
                <w:color w:val="auto"/>
                <w:spacing w:val="7"/>
                <w:sz w:val="24"/>
                <w:szCs w:val="24"/>
              </w:rPr>
              <w:t>项目总投资</w:t>
            </w:r>
          </w:p>
        </w:tc>
        <w:tc>
          <w:tcPr>
            <w:tcW w:w="7878" w:type="dxa"/>
            <w:noWrap w:val="0"/>
            <w:vAlign w:val="center"/>
          </w:tcPr>
          <w:p w14:paraId="5D19BBC4">
            <w:pPr>
              <w:pStyle w:val="4"/>
              <w:spacing w:line="360" w:lineRule="auto"/>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项目估算总投资3682.24万元，其中</w:t>
            </w:r>
            <w:r>
              <w:rPr>
                <w:rFonts w:hint="eastAsia" w:ascii="宋体" w:hAnsi="宋体" w:eastAsia="宋体" w:cs="宋体"/>
                <w:color w:val="auto"/>
                <w:spacing w:val="-1"/>
                <w:sz w:val="24"/>
                <w:szCs w:val="24"/>
                <w:highlight w:val="none"/>
                <w:lang w:val="en-US" w:eastAsia="zh-CN"/>
              </w:rPr>
              <w:t>本次招标</w:t>
            </w:r>
            <w:r>
              <w:rPr>
                <w:rFonts w:hint="eastAsia" w:ascii="宋体" w:hAnsi="宋体" w:eastAsia="宋体" w:cs="宋体"/>
                <w:color w:val="auto"/>
                <w:spacing w:val="-1"/>
                <w:sz w:val="24"/>
                <w:szCs w:val="24"/>
                <w:highlight w:val="none"/>
                <w:lang w:eastAsia="zh-CN"/>
              </w:rPr>
              <w:t>建安工程费用</w:t>
            </w:r>
            <w:r>
              <w:rPr>
                <w:rFonts w:hint="eastAsia" w:ascii="宋体" w:hAnsi="宋体" w:eastAsia="宋体" w:cs="宋体"/>
                <w:color w:val="auto"/>
                <w:spacing w:val="-1"/>
                <w:sz w:val="24"/>
                <w:szCs w:val="24"/>
                <w:highlight w:val="none"/>
                <w:lang w:val="en-US" w:eastAsia="zh-CN"/>
              </w:rPr>
              <w:t>约为：</w:t>
            </w:r>
            <w:r>
              <w:rPr>
                <w:rFonts w:hint="eastAsia" w:ascii="宋体" w:hAnsi="宋体" w:eastAsia="宋体" w:cs="宋体"/>
                <w:b w:val="0"/>
                <w:bCs w:val="0"/>
                <w:color w:val="auto"/>
                <w:spacing w:val="-10"/>
                <w:sz w:val="24"/>
                <w:szCs w:val="24"/>
                <w:highlight w:val="none"/>
                <w:lang w:val="en-US" w:eastAsia="zh-CN"/>
              </w:rPr>
              <w:t>3686280.80</w:t>
            </w:r>
            <w:r>
              <w:rPr>
                <w:rFonts w:hint="eastAsia" w:ascii="宋体" w:hAnsi="宋体" w:eastAsia="宋体" w:cs="宋体"/>
                <w:color w:val="auto"/>
                <w:spacing w:val="-1"/>
                <w:sz w:val="24"/>
                <w:szCs w:val="24"/>
                <w:highlight w:val="none"/>
                <w:lang w:eastAsia="zh-CN"/>
              </w:rPr>
              <w:t>元。</w:t>
            </w:r>
          </w:p>
        </w:tc>
      </w:tr>
      <w:tr w14:paraId="78555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27" w:type="dxa"/>
            <w:noWrap w:val="0"/>
            <w:vAlign w:val="center"/>
          </w:tcPr>
          <w:p w14:paraId="72C4FBFB">
            <w:pPr>
              <w:spacing w:before="58" w:line="195" w:lineRule="auto"/>
              <w:jc w:val="center"/>
              <w:rPr>
                <w:rFonts w:hint="eastAsia" w:ascii="宋体" w:hAnsi="宋体" w:eastAsia="宋体" w:cs="宋体"/>
                <w:sz w:val="24"/>
                <w:szCs w:val="24"/>
              </w:rPr>
            </w:pPr>
            <w:r>
              <w:rPr>
                <w:rFonts w:hint="eastAsia" w:ascii="宋体" w:hAnsi="宋体" w:eastAsia="宋体" w:cs="宋体"/>
                <w:spacing w:val="-8"/>
                <w:sz w:val="24"/>
                <w:szCs w:val="24"/>
              </w:rPr>
              <w:t>14</w:t>
            </w:r>
          </w:p>
        </w:tc>
        <w:tc>
          <w:tcPr>
            <w:tcW w:w="1828" w:type="dxa"/>
            <w:noWrap w:val="0"/>
            <w:vAlign w:val="top"/>
          </w:tcPr>
          <w:p w14:paraId="6436D2E9">
            <w:pPr>
              <w:spacing w:before="280" w:line="221" w:lineRule="auto"/>
              <w:jc w:val="center"/>
              <w:rPr>
                <w:rFonts w:hint="eastAsia" w:ascii="宋体" w:hAnsi="宋体" w:eastAsia="宋体" w:cs="宋体"/>
                <w:color w:val="auto"/>
                <w:sz w:val="24"/>
                <w:szCs w:val="24"/>
              </w:rPr>
            </w:pPr>
            <w:r>
              <w:rPr>
                <w:rFonts w:hint="eastAsia" w:ascii="宋体" w:hAnsi="宋体" w:eastAsia="宋体" w:cs="宋体"/>
                <w:color w:val="auto"/>
                <w:spacing w:val="-3"/>
                <w:sz w:val="24"/>
                <w:szCs w:val="24"/>
              </w:rPr>
              <w:t>招标范围</w:t>
            </w:r>
          </w:p>
        </w:tc>
        <w:tc>
          <w:tcPr>
            <w:tcW w:w="7878" w:type="dxa"/>
            <w:noWrap w:val="0"/>
            <w:vAlign w:val="top"/>
          </w:tcPr>
          <w:p w14:paraId="631CCC35">
            <w:pPr>
              <w:spacing w:before="280" w:line="220" w:lineRule="auto"/>
              <w:ind w:left="11"/>
              <w:rPr>
                <w:rFonts w:hint="eastAsia" w:ascii="宋体" w:hAnsi="宋体" w:eastAsia="宋体" w:cs="宋体"/>
                <w:color w:val="auto"/>
                <w:sz w:val="24"/>
                <w:szCs w:val="24"/>
              </w:rPr>
            </w:pPr>
            <w:r>
              <w:rPr>
                <w:rFonts w:hint="eastAsia" w:ascii="宋体" w:hAnsi="宋体" w:eastAsia="宋体" w:cs="宋体"/>
                <w:color w:val="auto"/>
                <w:spacing w:val="-1"/>
                <w:sz w:val="24"/>
                <w:szCs w:val="24"/>
              </w:rPr>
              <w:t>按审查合格的施工图纸及工程量清单内容施工</w:t>
            </w:r>
          </w:p>
        </w:tc>
      </w:tr>
      <w:tr w14:paraId="7FF45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627" w:type="dxa"/>
            <w:noWrap w:val="0"/>
            <w:vAlign w:val="center"/>
          </w:tcPr>
          <w:p w14:paraId="015D1D4C">
            <w:pPr>
              <w:spacing w:before="58" w:line="195" w:lineRule="auto"/>
              <w:jc w:val="center"/>
              <w:rPr>
                <w:rFonts w:hint="eastAsia" w:ascii="宋体" w:hAnsi="宋体" w:eastAsia="宋体" w:cs="宋体"/>
                <w:sz w:val="24"/>
                <w:szCs w:val="24"/>
              </w:rPr>
            </w:pPr>
            <w:r>
              <w:rPr>
                <w:rFonts w:hint="eastAsia" w:ascii="宋体" w:hAnsi="宋体" w:eastAsia="宋体" w:cs="宋体"/>
                <w:spacing w:val="-8"/>
                <w:sz w:val="24"/>
                <w:szCs w:val="24"/>
              </w:rPr>
              <w:t>15</w:t>
            </w:r>
          </w:p>
        </w:tc>
        <w:tc>
          <w:tcPr>
            <w:tcW w:w="1828" w:type="dxa"/>
            <w:noWrap w:val="0"/>
            <w:vAlign w:val="center"/>
          </w:tcPr>
          <w:p w14:paraId="3B7228FF">
            <w:pPr>
              <w:spacing w:before="65" w:line="229" w:lineRule="auto"/>
              <w:jc w:val="center"/>
              <w:rPr>
                <w:rFonts w:hint="eastAsia" w:ascii="宋体" w:hAnsi="宋体" w:eastAsia="宋体" w:cs="宋体"/>
                <w:color w:val="auto"/>
                <w:sz w:val="24"/>
                <w:szCs w:val="24"/>
              </w:rPr>
            </w:pPr>
            <w:r>
              <w:rPr>
                <w:rFonts w:hint="eastAsia" w:ascii="宋体" w:hAnsi="宋体" w:eastAsia="宋体" w:cs="宋体"/>
                <w:color w:val="auto"/>
                <w:spacing w:val="7"/>
                <w:sz w:val="24"/>
                <w:szCs w:val="24"/>
              </w:rPr>
              <w:t>标段划分</w:t>
            </w:r>
          </w:p>
        </w:tc>
        <w:tc>
          <w:tcPr>
            <w:tcW w:w="7878" w:type="dxa"/>
            <w:noWrap w:val="0"/>
            <w:vAlign w:val="center"/>
          </w:tcPr>
          <w:p w14:paraId="5378663E">
            <w:pPr>
              <w:spacing w:before="27" w:line="219" w:lineRule="auto"/>
              <w:jc w:val="both"/>
              <w:rPr>
                <w:rFonts w:hint="eastAsia" w:ascii="宋体" w:hAnsi="宋体" w:eastAsia="宋体" w:cs="宋体"/>
                <w:color w:val="auto"/>
                <w:sz w:val="24"/>
                <w:szCs w:val="24"/>
              </w:rPr>
            </w:pPr>
            <w:r>
              <w:rPr>
                <w:rFonts w:hint="eastAsia" w:ascii="宋体" w:hAnsi="宋体" w:eastAsia="宋体" w:cs="宋体"/>
                <w:color w:val="auto"/>
                <w:spacing w:val="6"/>
                <w:sz w:val="24"/>
                <w:szCs w:val="24"/>
              </w:rPr>
              <w:t>本招标项目不划分标段。</w:t>
            </w:r>
          </w:p>
        </w:tc>
      </w:tr>
      <w:tr w14:paraId="3F9E0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2" w:hRule="atLeast"/>
        </w:trPr>
        <w:tc>
          <w:tcPr>
            <w:tcW w:w="627" w:type="dxa"/>
            <w:noWrap w:val="0"/>
            <w:vAlign w:val="center"/>
          </w:tcPr>
          <w:p w14:paraId="6C9B2F24">
            <w:pPr>
              <w:spacing w:before="57" w:line="195" w:lineRule="auto"/>
              <w:jc w:val="center"/>
              <w:rPr>
                <w:rFonts w:hint="eastAsia" w:ascii="宋体" w:hAnsi="宋体" w:eastAsia="宋体" w:cs="宋体"/>
                <w:sz w:val="24"/>
                <w:szCs w:val="24"/>
                <w:lang w:eastAsia="zh-CN"/>
              </w:rPr>
            </w:pPr>
            <w:r>
              <w:rPr>
                <w:rFonts w:hint="eastAsia" w:ascii="宋体" w:hAnsi="宋体" w:eastAsia="宋体" w:cs="宋体"/>
                <w:spacing w:val="-8"/>
                <w:sz w:val="24"/>
                <w:szCs w:val="24"/>
              </w:rPr>
              <w:t>16</w:t>
            </w:r>
          </w:p>
        </w:tc>
        <w:tc>
          <w:tcPr>
            <w:tcW w:w="1828" w:type="dxa"/>
            <w:noWrap w:val="0"/>
            <w:vAlign w:val="center"/>
          </w:tcPr>
          <w:p w14:paraId="458588C7">
            <w:pPr>
              <w:spacing w:before="65" w:line="229" w:lineRule="auto"/>
              <w:jc w:val="center"/>
              <w:rPr>
                <w:rFonts w:hint="eastAsia" w:ascii="宋体" w:hAnsi="宋体" w:eastAsia="宋体" w:cs="宋体"/>
                <w:color w:val="auto"/>
                <w:sz w:val="24"/>
                <w:szCs w:val="24"/>
              </w:rPr>
            </w:pPr>
            <w:r>
              <w:rPr>
                <w:rFonts w:hint="eastAsia" w:ascii="宋体" w:hAnsi="宋体" w:eastAsia="宋体" w:cs="宋体"/>
                <w:color w:val="auto"/>
                <w:spacing w:val="3"/>
                <w:sz w:val="24"/>
                <w:szCs w:val="24"/>
              </w:rPr>
              <w:t>工期</w:t>
            </w:r>
          </w:p>
        </w:tc>
        <w:tc>
          <w:tcPr>
            <w:tcW w:w="7878" w:type="dxa"/>
            <w:noWrap w:val="0"/>
            <w:vAlign w:val="top"/>
          </w:tcPr>
          <w:p w14:paraId="459CDC41">
            <w:pPr>
              <w:spacing w:before="217"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rPr>
              <w:t>本招标</w:t>
            </w:r>
            <w:r>
              <w:rPr>
                <w:rFonts w:hint="eastAsia" w:ascii="宋体" w:hAnsi="宋体" w:eastAsia="宋体" w:cs="宋体"/>
                <w:color w:val="auto"/>
                <w:spacing w:val="8"/>
                <w:sz w:val="24"/>
                <w:szCs w:val="24"/>
                <w:highlight w:val="none"/>
              </w:rPr>
              <w:t>项目招标工期为</w:t>
            </w:r>
            <w:r>
              <w:rPr>
                <w:rFonts w:hint="eastAsia" w:ascii="宋体" w:hAnsi="宋体" w:eastAsia="宋体" w:cs="宋体"/>
                <w:color w:val="auto"/>
                <w:spacing w:val="8"/>
                <w:sz w:val="24"/>
                <w:szCs w:val="24"/>
                <w:highlight w:val="none"/>
                <w:lang w:val="en-US" w:eastAsia="zh-CN"/>
              </w:rPr>
              <w:t>90</w:t>
            </w:r>
            <w:r>
              <w:rPr>
                <w:rFonts w:hint="eastAsia" w:ascii="宋体" w:hAnsi="宋体" w:eastAsia="宋体" w:cs="宋体"/>
                <w:color w:val="auto"/>
                <w:spacing w:val="8"/>
                <w:sz w:val="24"/>
                <w:szCs w:val="24"/>
                <w:highlight w:val="none"/>
              </w:rPr>
              <w:t>个日历天。具体如下：</w:t>
            </w:r>
          </w:p>
          <w:p w14:paraId="7596ACAA">
            <w:pPr>
              <w:spacing w:before="127"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lang w:eastAsia="zh-CN"/>
              </w:rPr>
              <w:t>☑</w:t>
            </w:r>
            <w:r>
              <w:rPr>
                <w:rFonts w:hint="eastAsia" w:ascii="宋体" w:hAnsi="宋体" w:eastAsia="宋体" w:cs="宋体"/>
                <w:color w:val="auto"/>
                <w:spacing w:val="-12"/>
                <w:sz w:val="24"/>
                <w:szCs w:val="24"/>
                <w:highlight w:val="none"/>
              </w:rPr>
              <w:t>总工期：</w:t>
            </w:r>
            <w:r>
              <w:rPr>
                <w:rFonts w:hint="eastAsia" w:ascii="宋体" w:hAnsi="宋体" w:eastAsia="宋体" w:cs="宋体"/>
                <w:color w:val="auto"/>
                <w:spacing w:val="1"/>
                <w:sz w:val="24"/>
                <w:szCs w:val="24"/>
                <w:highlight w:val="none"/>
                <w:u w:val="single"/>
                <w:lang w:eastAsia="zh-CN"/>
              </w:rPr>
              <w:t>9</w:t>
            </w:r>
            <w:r>
              <w:rPr>
                <w:rFonts w:hint="eastAsia" w:ascii="宋体" w:hAnsi="宋体" w:eastAsia="宋体" w:cs="宋体"/>
                <w:color w:val="auto"/>
                <w:spacing w:val="1"/>
                <w:sz w:val="24"/>
                <w:szCs w:val="24"/>
                <w:highlight w:val="none"/>
                <w:u w:val="single"/>
                <w:lang w:val="en-US" w:eastAsia="zh-CN"/>
              </w:rPr>
              <w:t>0</w:t>
            </w:r>
            <w:r>
              <w:rPr>
                <w:rFonts w:hint="eastAsia" w:ascii="宋体" w:hAnsi="宋体" w:eastAsia="宋体" w:cs="宋体"/>
                <w:color w:val="auto"/>
                <w:spacing w:val="-12"/>
                <w:sz w:val="24"/>
                <w:szCs w:val="24"/>
                <w:highlight w:val="none"/>
              </w:rPr>
              <w:t>天（日历天）。</w:t>
            </w:r>
          </w:p>
          <w:p w14:paraId="70CE4EEA">
            <w:pPr>
              <w:spacing w:before="113" w:line="220" w:lineRule="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计划开工日期：</w:t>
            </w:r>
            <w:r>
              <w:rPr>
                <w:rFonts w:hint="eastAsia" w:ascii="宋体" w:hAnsi="宋体" w:eastAsia="宋体" w:cs="宋体"/>
                <w:color w:val="auto"/>
                <w:spacing w:val="-4"/>
                <w:sz w:val="24"/>
                <w:szCs w:val="24"/>
                <w:highlight w:val="none"/>
                <w:u w:val="single"/>
                <w:lang w:val="en-US" w:eastAsia="zh-CN"/>
              </w:rPr>
              <w:t>2026</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lang w:val="en-US" w:eastAsia="zh-CN"/>
              </w:rPr>
              <w:t>2</w:t>
            </w:r>
            <w:r>
              <w:rPr>
                <w:rFonts w:hint="eastAsia" w:ascii="宋体" w:hAnsi="宋体" w:eastAsia="宋体" w:cs="宋体"/>
                <w:color w:val="auto"/>
                <w:spacing w:val="-4"/>
                <w:sz w:val="24"/>
                <w:szCs w:val="24"/>
                <w:highlight w:val="none"/>
              </w:rPr>
              <w:t>月（具体开工日期以合同为准）</w:t>
            </w:r>
          </w:p>
          <w:p w14:paraId="51DB3EDF">
            <w:pPr>
              <w:spacing w:before="114" w:line="220" w:lineRule="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计划竣工日期：</w:t>
            </w:r>
            <w:r>
              <w:rPr>
                <w:rFonts w:hint="eastAsia" w:ascii="宋体" w:hAnsi="宋体" w:eastAsia="宋体" w:cs="宋体"/>
                <w:color w:val="auto"/>
                <w:spacing w:val="-4"/>
                <w:sz w:val="24"/>
                <w:szCs w:val="24"/>
                <w:highlight w:val="none"/>
                <w:u w:val="single"/>
                <w:lang w:val="en-US" w:eastAsia="zh-CN"/>
              </w:rPr>
              <w:t>2026</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lang w:val="en-US" w:eastAsia="zh-CN"/>
              </w:rPr>
              <w:t>4</w:t>
            </w:r>
            <w:r>
              <w:rPr>
                <w:rFonts w:hint="eastAsia" w:ascii="宋体" w:hAnsi="宋体" w:eastAsia="宋体" w:cs="宋体"/>
                <w:color w:val="auto"/>
                <w:spacing w:val="-4"/>
                <w:sz w:val="24"/>
                <w:szCs w:val="24"/>
                <w:highlight w:val="none"/>
              </w:rPr>
              <w:t>月</w:t>
            </w:r>
          </w:p>
          <w:p w14:paraId="225CE34D">
            <w:pPr>
              <w:spacing w:before="112" w:line="220" w:lineRule="auto"/>
              <w:rPr>
                <w:rFonts w:hint="eastAsia" w:ascii="宋体" w:hAnsi="宋体" w:eastAsia="宋体" w:cs="宋体"/>
                <w:color w:val="auto"/>
                <w:sz w:val="24"/>
                <w:szCs w:val="24"/>
              </w:rPr>
            </w:pPr>
            <w:r>
              <w:rPr>
                <w:rFonts w:hint="eastAsia" w:ascii="宋体" w:hAnsi="宋体" w:eastAsia="宋体" w:cs="宋体"/>
                <w:color w:val="auto"/>
                <w:spacing w:val="-2"/>
                <w:sz w:val="24"/>
                <w:szCs w:val="24"/>
              </w:rPr>
              <w:t>□除上述总工期外，发包人还要求以下阶段工期：</w:t>
            </w:r>
          </w:p>
        </w:tc>
      </w:tr>
      <w:tr w14:paraId="7B8BA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9" w:hRule="atLeast"/>
        </w:trPr>
        <w:tc>
          <w:tcPr>
            <w:tcW w:w="627" w:type="dxa"/>
            <w:noWrap w:val="0"/>
            <w:vAlign w:val="center"/>
          </w:tcPr>
          <w:p w14:paraId="760223A0">
            <w:pPr>
              <w:spacing w:before="57" w:line="195" w:lineRule="auto"/>
              <w:jc w:val="center"/>
              <w:rPr>
                <w:rFonts w:hint="eastAsia" w:ascii="宋体" w:hAnsi="宋体" w:eastAsia="宋体" w:cs="宋体"/>
                <w:sz w:val="24"/>
                <w:szCs w:val="24"/>
              </w:rPr>
            </w:pPr>
            <w:r>
              <w:rPr>
                <w:rFonts w:hint="eastAsia" w:ascii="宋体" w:hAnsi="宋体" w:eastAsia="宋体" w:cs="宋体"/>
                <w:spacing w:val="-8"/>
                <w:sz w:val="24"/>
                <w:szCs w:val="24"/>
              </w:rPr>
              <w:t>17</w:t>
            </w:r>
          </w:p>
        </w:tc>
        <w:tc>
          <w:tcPr>
            <w:tcW w:w="1828" w:type="dxa"/>
            <w:noWrap w:val="0"/>
            <w:vAlign w:val="center"/>
          </w:tcPr>
          <w:p w14:paraId="31D7D479">
            <w:pPr>
              <w:spacing w:before="65" w:line="229" w:lineRule="auto"/>
              <w:jc w:val="center"/>
              <w:rPr>
                <w:rFonts w:hint="eastAsia" w:ascii="宋体" w:hAnsi="宋体" w:eastAsia="宋体" w:cs="宋体"/>
                <w:color w:val="auto"/>
                <w:sz w:val="24"/>
                <w:szCs w:val="24"/>
              </w:rPr>
            </w:pPr>
            <w:r>
              <w:rPr>
                <w:rFonts w:hint="eastAsia" w:ascii="宋体" w:hAnsi="宋体" w:eastAsia="宋体" w:cs="宋体"/>
                <w:color w:val="auto"/>
                <w:spacing w:val="7"/>
                <w:sz w:val="24"/>
                <w:szCs w:val="24"/>
              </w:rPr>
              <w:t>质量标准</w:t>
            </w:r>
          </w:p>
        </w:tc>
        <w:tc>
          <w:tcPr>
            <w:tcW w:w="7878" w:type="dxa"/>
            <w:noWrap w:val="0"/>
            <w:vAlign w:val="top"/>
          </w:tcPr>
          <w:p w14:paraId="3407E2AD">
            <w:pPr>
              <w:spacing w:before="116" w:line="220" w:lineRule="auto"/>
              <w:rPr>
                <w:rFonts w:hint="eastAsia" w:ascii="宋体" w:hAnsi="宋体" w:eastAsia="宋体" w:cs="宋体"/>
                <w:color w:val="auto"/>
                <w:sz w:val="24"/>
                <w:szCs w:val="24"/>
              </w:rPr>
            </w:pPr>
            <w:r>
              <w:rPr>
                <w:rFonts w:hint="eastAsia" w:ascii="宋体" w:hAnsi="宋体" w:eastAsia="宋体" w:cs="宋体"/>
                <w:color w:val="auto"/>
                <w:spacing w:val="-5"/>
                <w:sz w:val="24"/>
                <w:szCs w:val="24"/>
                <w:lang w:eastAsia="zh-CN"/>
              </w:rPr>
              <w:t>□</w:t>
            </w:r>
            <w:r>
              <w:rPr>
                <w:rFonts w:hint="eastAsia" w:ascii="宋体" w:hAnsi="宋体" w:eastAsia="宋体" w:cs="宋体"/>
                <w:color w:val="auto"/>
                <w:spacing w:val="-5"/>
                <w:sz w:val="24"/>
                <w:szCs w:val="24"/>
              </w:rPr>
              <w:t>质量目标：</w:t>
            </w:r>
            <w:r>
              <w:rPr>
                <w:rFonts w:hint="eastAsia" w:ascii="宋体" w:hAnsi="宋体" w:eastAsia="宋体" w:cs="宋体"/>
                <w:color w:val="auto"/>
                <w:spacing w:val="-4"/>
                <w:sz w:val="24"/>
                <w:szCs w:val="24"/>
                <w:u w:val="single"/>
              </w:rPr>
              <w:t>合格</w:t>
            </w:r>
          </w:p>
          <w:p w14:paraId="69331BAE">
            <w:pPr>
              <w:pStyle w:val="4"/>
              <w:spacing w:line="360" w:lineRule="auto"/>
              <w:rPr>
                <w:rFonts w:hint="eastAsia" w:ascii="宋体" w:hAnsi="宋体" w:eastAsia="宋体" w:cs="宋体"/>
                <w:color w:val="auto"/>
                <w:sz w:val="24"/>
                <w:szCs w:val="24"/>
              </w:rPr>
            </w:pP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rPr>
              <w:t>质量标准：</w:t>
            </w:r>
            <w:r>
              <w:rPr>
                <w:rFonts w:hint="eastAsia" w:ascii="宋体" w:hAnsi="宋体" w:eastAsia="宋体" w:cs="宋体"/>
                <w:color w:val="auto"/>
                <w:spacing w:val="-4"/>
                <w:sz w:val="24"/>
                <w:szCs w:val="24"/>
                <w:lang w:eastAsia="zh-CN"/>
              </w:rPr>
              <w:t>达到《建筑工程施工质量验收统一标准》(GB50</w:t>
            </w:r>
            <w:r>
              <w:rPr>
                <w:rFonts w:hint="eastAsia" w:ascii="宋体" w:hAnsi="宋体" w:eastAsia="宋体" w:cs="宋体"/>
                <w:color w:val="auto"/>
                <w:spacing w:val="-4"/>
                <w:sz w:val="24"/>
                <w:szCs w:val="24"/>
                <w:lang w:val="en-US" w:eastAsia="zh-CN"/>
              </w:rPr>
              <w:t>300</w:t>
            </w:r>
            <w:r>
              <w:rPr>
                <w:rFonts w:hint="eastAsia" w:ascii="宋体" w:hAnsi="宋体" w:eastAsia="宋体" w:cs="宋体"/>
                <w:color w:val="auto"/>
                <w:spacing w:val="-4"/>
                <w:sz w:val="24"/>
                <w:szCs w:val="24"/>
                <w:lang w:eastAsia="zh-CN"/>
              </w:rPr>
              <w:t>-20</w:t>
            </w:r>
            <w:r>
              <w:rPr>
                <w:rFonts w:hint="eastAsia" w:ascii="宋体" w:hAnsi="宋体" w:eastAsia="宋体" w:cs="宋体"/>
                <w:color w:val="auto"/>
                <w:spacing w:val="-4"/>
                <w:sz w:val="24"/>
                <w:szCs w:val="24"/>
                <w:lang w:val="en-US" w:eastAsia="zh-CN"/>
              </w:rPr>
              <w:t>24</w:t>
            </w:r>
            <w:r>
              <w:rPr>
                <w:rFonts w:hint="eastAsia" w:ascii="宋体" w:hAnsi="宋体" w:eastAsia="宋体" w:cs="宋体"/>
                <w:color w:val="auto"/>
                <w:spacing w:val="-4"/>
                <w:sz w:val="24"/>
                <w:szCs w:val="24"/>
                <w:lang w:eastAsia="zh-CN"/>
              </w:rPr>
              <w:t>)和《建筑与市政工程施工质量控制通用规范》（GB55032-2022）合格。</w:t>
            </w:r>
          </w:p>
        </w:tc>
      </w:tr>
      <w:tr w14:paraId="68DFE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9" w:hRule="atLeast"/>
        </w:trPr>
        <w:tc>
          <w:tcPr>
            <w:tcW w:w="627" w:type="dxa"/>
            <w:tcBorders>
              <w:bottom w:val="nil"/>
            </w:tcBorders>
            <w:noWrap w:val="0"/>
            <w:vAlign w:val="center"/>
          </w:tcPr>
          <w:p w14:paraId="1020F1EA">
            <w:pPr>
              <w:spacing w:before="57" w:line="195" w:lineRule="auto"/>
              <w:jc w:val="center"/>
              <w:rPr>
                <w:rFonts w:hint="eastAsia" w:ascii="宋体" w:hAnsi="宋体" w:eastAsia="宋体" w:cs="宋体"/>
                <w:sz w:val="24"/>
                <w:szCs w:val="24"/>
              </w:rPr>
            </w:pPr>
            <w:r>
              <w:rPr>
                <w:rFonts w:hint="eastAsia" w:ascii="宋体" w:hAnsi="宋体" w:eastAsia="宋体" w:cs="宋体"/>
                <w:spacing w:val="-8"/>
                <w:sz w:val="24"/>
                <w:szCs w:val="24"/>
              </w:rPr>
              <w:t>18</w:t>
            </w:r>
          </w:p>
        </w:tc>
        <w:tc>
          <w:tcPr>
            <w:tcW w:w="1828" w:type="dxa"/>
            <w:tcBorders>
              <w:bottom w:val="nil"/>
            </w:tcBorders>
            <w:noWrap w:val="0"/>
            <w:vAlign w:val="center"/>
          </w:tcPr>
          <w:p w14:paraId="55D7B4F6">
            <w:pPr>
              <w:spacing w:before="78" w:line="220" w:lineRule="auto"/>
              <w:jc w:val="center"/>
              <w:rPr>
                <w:rFonts w:hint="eastAsia" w:ascii="宋体" w:hAnsi="宋体" w:eastAsia="宋体" w:cs="宋体"/>
                <w:color w:val="auto"/>
                <w:sz w:val="24"/>
                <w:szCs w:val="24"/>
              </w:rPr>
            </w:pPr>
            <w:r>
              <w:rPr>
                <w:rFonts w:hint="eastAsia" w:ascii="宋体" w:hAnsi="宋体" w:eastAsia="宋体" w:cs="宋体"/>
                <w:color w:val="auto"/>
                <w:spacing w:val="-3"/>
                <w:sz w:val="24"/>
                <w:szCs w:val="24"/>
              </w:rPr>
              <w:t>合同类型</w:t>
            </w:r>
          </w:p>
        </w:tc>
        <w:tc>
          <w:tcPr>
            <w:tcW w:w="7878" w:type="dxa"/>
            <w:noWrap w:val="0"/>
            <w:vAlign w:val="top"/>
          </w:tcPr>
          <w:p w14:paraId="6E9231DF">
            <w:pPr>
              <w:spacing w:before="150" w:line="292" w:lineRule="auto"/>
              <w:ind w:right="4"/>
              <w:rPr>
                <w:rFonts w:hint="eastAsia" w:ascii="宋体" w:hAnsi="宋体" w:eastAsia="宋体" w:cs="宋体"/>
                <w:color w:val="auto"/>
                <w:sz w:val="24"/>
                <w:szCs w:val="24"/>
              </w:rPr>
            </w:pP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rPr>
              <w:t>单价合同：发承包双方约定以工程量清单及其综合单价进行合</w:t>
            </w:r>
            <w:r>
              <w:rPr>
                <w:rFonts w:hint="eastAsia" w:ascii="宋体" w:hAnsi="宋体" w:eastAsia="宋体" w:cs="宋体"/>
                <w:color w:val="auto"/>
                <w:spacing w:val="-2"/>
                <w:sz w:val="24"/>
                <w:szCs w:val="24"/>
              </w:rPr>
              <w:t>同价款计算、调整和确认的建设工程施工合同。</w:t>
            </w:r>
          </w:p>
          <w:p w14:paraId="396C26CF">
            <w:pPr>
              <w:spacing w:before="40" w:line="293" w:lineRule="auto"/>
              <w:ind w:right="4"/>
              <w:rPr>
                <w:rFonts w:hint="eastAsia" w:ascii="宋体" w:hAnsi="宋体" w:eastAsia="宋体" w:cs="宋体"/>
                <w:color w:val="auto"/>
                <w:sz w:val="24"/>
                <w:szCs w:val="24"/>
              </w:rPr>
            </w:pPr>
            <w:r>
              <w:rPr>
                <w:rFonts w:hint="eastAsia" w:ascii="宋体" w:hAnsi="宋体" w:eastAsia="宋体" w:cs="宋体"/>
                <w:color w:val="auto"/>
                <w:spacing w:val="-3"/>
                <w:sz w:val="24"/>
                <w:szCs w:val="24"/>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4A039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627" w:type="dxa"/>
            <w:noWrap w:val="0"/>
            <w:vAlign w:val="center"/>
          </w:tcPr>
          <w:p w14:paraId="4D914C66">
            <w:pPr>
              <w:spacing w:before="19"/>
              <w:jc w:val="center"/>
              <w:rPr>
                <w:rFonts w:hint="eastAsia" w:ascii="宋体" w:hAnsi="宋体" w:eastAsia="宋体" w:cs="宋体"/>
                <w:sz w:val="24"/>
                <w:szCs w:val="24"/>
              </w:rPr>
            </w:pPr>
            <w:r>
              <w:rPr>
                <w:rFonts w:hint="eastAsia" w:ascii="宋体" w:hAnsi="宋体" w:eastAsia="宋体" w:cs="宋体"/>
                <w:spacing w:val="-8"/>
                <w:sz w:val="24"/>
                <w:szCs w:val="24"/>
              </w:rPr>
              <w:t>19</w:t>
            </w:r>
          </w:p>
        </w:tc>
        <w:tc>
          <w:tcPr>
            <w:tcW w:w="1828" w:type="dxa"/>
            <w:noWrap w:val="0"/>
            <w:vAlign w:val="top"/>
          </w:tcPr>
          <w:p w14:paraId="369EC87F">
            <w:pPr>
              <w:spacing w:before="78" w:line="264" w:lineRule="auto"/>
              <w:ind w:left="143" w:right="140"/>
              <w:jc w:val="center"/>
              <w:rPr>
                <w:rFonts w:hint="eastAsia" w:ascii="宋体" w:hAnsi="宋体" w:eastAsia="宋体" w:cs="宋体"/>
                <w:color w:val="auto"/>
                <w:sz w:val="24"/>
                <w:szCs w:val="24"/>
              </w:rPr>
            </w:pPr>
            <w:r>
              <w:rPr>
                <w:rFonts w:hint="eastAsia" w:ascii="宋体" w:hAnsi="宋体" w:eastAsia="宋体" w:cs="宋体"/>
                <w:color w:val="auto"/>
                <w:spacing w:val="-2"/>
                <w:sz w:val="24"/>
                <w:szCs w:val="24"/>
              </w:rPr>
              <w:t>房屋建筑工程绿色建筑标准</w:t>
            </w:r>
          </w:p>
        </w:tc>
        <w:tc>
          <w:tcPr>
            <w:tcW w:w="7878" w:type="dxa"/>
            <w:noWrap w:val="0"/>
            <w:vAlign w:val="top"/>
          </w:tcPr>
          <w:p w14:paraId="778B4A0D">
            <w:pPr>
              <w:spacing w:before="5" w:line="263" w:lineRule="auto"/>
              <w:ind w:left="7" w:right="4" w:firstLine="481"/>
              <w:jc w:val="both"/>
              <w:rPr>
                <w:rFonts w:hint="eastAsia" w:ascii="宋体" w:hAnsi="宋体" w:eastAsia="宋体" w:cs="宋体"/>
                <w:color w:val="auto"/>
                <w:spacing w:val="1"/>
                <w:sz w:val="24"/>
                <w:szCs w:val="24"/>
              </w:rPr>
            </w:pPr>
          </w:p>
          <w:p w14:paraId="68969DE0">
            <w:pPr>
              <w:spacing w:before="5" w:line="263" w:lineRule="auto"/>
              <w:ind w:right="4"/>
              <w:jc w:val="both"/>
              <w:rPr>
                <w:rFonts w:hint="eastAsia" w:ascii="宋体" w:hAnsi="宋体" w:eastAsia="宋体" w:cs="宋体"/>
                <w:color w:val="auto"/>
                <w:sz w:val="24"/>
                <w:szCs w:val="24"/>
              </w:rPr>
            </w:pPr>
            <w:r>
              <w:rPr>
                <w:rFonts w:hint="eastAsia" w:ascii="宋体" w:hAnsi="宋体" w:eastAsia="宋体" w:cs="宋体"/>
                <w:color w:val="auto"/>
                <w:spacing w:val="1"/>
                <w:sz w:val="24"/>
                <w:szCs w:val="24"/>
              </w:rPr>
              <w:t>本招标项目</w:t>
            </w:r>
            <w:r>
              <w:rPr>
                <w:rFonts w:hint="eastAsia" w:ascii="宋体" w:hAnsi="宋体" w:eastAsia="宋体" w:cs="宋体"/>
                <w:color w:val="auto"/>
                <w:spacing w:val="1"/>
                <w:sz w:val="24"/>
                <w:szCs w:val="24"/>
                <w:u w:val="single"/>
                <w:lang w:eastAsia="zh-CN"/>
              </w:rPr>
              <w:t>不</w:t>
            </w:r>
            <w:r>
              <w:rPr>
                <w:rFonts w:hint="eastAsia" w:ascii="宋体" w:hAnsi="宋体" w:eastAsia="宋体" w:cs="宋体"/>
                <w:color w:val="auto"/>
                <w:spacing w:val="1"/>
                <w:sz w:val="24"/>
                <w:szCs w:val="24"/>
              </w:rPr>
              <w:t>纳入绿色建设实施范围</w:t>
            </w:r>
            <w:r>
              <w:rPr>
                <w:rFonts w:hint="eastAsia" w:ascii="宋体" w:hAnsi="宋体" w:eastAsia="宋体" w:cs="宋体"/>
                <w:color w:val="auto"/>
                <w:spacing w:val="1"/>
                <w:sz w:val="24"/>
                <w:szCs w:val="24"/>
                <w:lang w:eastAsia="zh-CN"/>
              </w:rPr>
              <w:t>。</w:t>
            </w:r>
          </w:p>
        </w:tc>
      </w:tr>
      <w:tr w14:paraId="41AB2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627" w:type="dxa"/>
            <w:noWrap w:val="0"/>
            <w:vAlign w:val="center"/>
          </w:tcPr>
          <w:p w14:paraId="34D4A088">
            <w:pPr>
              <w:spacing w:before="58" w:line="195" w:lineRule="auto"/>
              <w:jc w:val="center"/>
              <w:rPr>
                <w:rFonts w:hint="eastAsia" w:ascii="宋体" w:hAnsi="宋体" w:eastAsia="宋体" w:cs="宋体"/>
                <w:sz w:val="24"/>
                <w:szCs w:val="24"/>
              </w:rPr>
            </w:pPr>
            <w:r>
              <w:rPr>
                <w:rFonts w:hint="eastAsia" w:ascii="宋体" w:hAnsi="宋体" w:eastAsia="宋体" w:cs="宋体"/>
                <w:spacing w:val="-3"/>
                <w:sz w:val="24"/>
                <w:szCs w:val="24"/>
              </w:rPr>
              <w:t>19.1</w:t>
            </w:r>
          </w:p>
        </w:tc>
        <w:tc>
          <w:tcPr>
            <w:tcW w:w="1828" w:type="dxa"/>
            <w:noWrap w:val="0"/>
            <w:vAlign w:val="top"/>
          </w:tcPr>
          <w:p w14:paraId="08C5F43E">
            <w:pPr>
              <w:spacing w:before="78" w:line="264" w:lineRule="auto"/>
              <w:ind w:left="143" w:right="140"/>
              <w:jc w:val="center"/>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装配式建筑标准</w:t>
            </w:r>
          </w:p>
        </w:tc>
        <w:tc>
          <w:tcPr>
            <w:tcW w:w="7878" w:type="dxa"/>
            <w:noWrap w:val="0"/>
            <w:vAlign w:val="top"/>
          </w:tcPr>
          <w:p w14:paraId="2FA7F225">
            <w:pPr>
              <w:spacing w:before="78" w:line="264" w:lineRule="auto"/>
              <w:ind w:left="0" w:right="140"/>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rPr>
              <w:t>本招标项目</w:t>
            </w:r>
            <w:r>
              <w:rPr>
                <w:rFonts w:hint="eastAsia" w:ascii="宋体" w:hAnsi="宋体" w:eastAsia="宋体" w:cs="宋体"/>
                <w:color w:val="auto"/>
                <w:spacing w:val="-2"/>
                <w:sz w:val="24"/>
                <w:szCs w:val="24"/>
                <w:lang w:eastAsia="zh-CN"/>
              </w:rPr>
              <w:t>不</w:t>
            </w:r>
            <w:r>
              <w:rPr>
                <w:rFonts w:hint="eastAsia" w:ascii="宋体" w:hAnsi="宋体" w:eastAsia="宋体" w:cs="宋体"/>
                <w:color w:val="auto"/>
                <w:spacing w:val="-2"/>
                <w:sz w:val="24"/>
                <w:szCs w:val="24"/>
              </w:rPr>
              <w:t>纳入装配式建造建设实施范围</w:t>
            </w:r>
            <w:r>
              <w:rPr>
                <w:rFonts w:hint="eastAsia" w:ascii="宋体" w:hAnsi="宋体" w:eastAsia="宋体" w:cs="宋体"/>
                <w:color w:val="auto"/>
                <w:spacing w:val="-2"/>
                <w:sz w:val="24"/>
                <w:szCs w:val="24"/>
                <w:lang w:eastAsia="zh-CN"/>
              </w:rPr>
              <w:t>。</w:t>
            </w:r>
          </w:p>
        </w:tc>
      </w:tr>
      <w:tr w14:paraId="62E69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627" w:type="dxa"/>
            <w:noWrap w:val="0"/>
            <w:vAlign w:val="center"/>
          </w:tcPr>
          <w:p w14:paraId="2957E526">
            <w:pPr>
              <w:spacing w:before="69" w:line="188" w:lineRule="auto"/>
              <w:jc w:val="center"/>
              <w:rPr>
                <w:rFonts w:hint="eastAsia" w:ascii="宋体" w:hAnsi="宋体" w:eastAsia="宋体" w:cs="宋体"/>
                <w:color w:val="auto"/>
                <w:sz w:val="24"/>
                <w:szCs w:val="24"/>
              </w:rPr>
            </w:pPr>
            <w:r>
              <w:rPr>
                <w:rFonts w:hint="eastAsia" w:ascii="宋体" w:hAnsi="宋体" w:eastAsia="宋体" w:cs="宋体"/>
                <w:color w:val="auto"/>
                <w:spacing w:val="-3"/>
                <w:sz w:val="24"/>
                <w:szCs w:val="24"/>
              </w:rPr>
              <w:t>20</w:t>
            </w:r>
          </w:p>
        </w:tc>
        <w:tc>
          <w:tcPr>
            <w:tcW w:w="1828" w:type="dxa"/>
            <w:noWrap w:val="0"/>
            <w:vAlign w:val="center"/>
          </w:tcPr>
          <w:p w14:paraId="7508A1F0">
            <w:pPr>
              <w:spacing w:before="242" w:line="295" w:lineRule="auto"/>
              <w:ind w:left="6" w:right="5" w:firstLine="2"/>
              <w:jc w:val="center"/>
              <w:rPr>
                <w:rFonts w:hint="eastAsia" w:ascii="宋体" w:hAnsi="宋体" w:eastAsia="宋体" w:cs="宋体"/>
                <w:color w:val="auto"/>
                <w:sz w:val="24"/>
                <w:szCs w:val="24"/>
              </w:rPr>
            </w:pPr>
            <w:r>
              <w:rPr>
                <w:rFonts w:hint="eastAsia" w:ascii="宋体" w:hAnsi="宋体" w:eastAsia="宋体" w:cs="宋体"/>
                <w:color w:val="auto"/>
                <w:spacing w:val="2"/>
                <w:sz w:val="24"/>
                <w:szCs w:val="24"/>
              </w:rPr>
              <w:t>发包人提供材料</w:t>
            </w:r>
            <w:r>
              <w:rPr>
                <w:rFonts w:hint="eastAsia" w:ascii="宋体" w:hAnsi="宋体" w:eastAsia="宋体" w:cs="宋体"/>
                <w:color w:val="auto"/>
                <w:spacing w:val="-3"/>
                <w:sz w:val="24"/>
                <w:szCs w:val="24"/>
              </w:rPr>
              <w:t>和工程设备</w:t>
            </w:r>
          </w:p>
        </w:tc>
        <w:tc>
          <w:tcPr>
            <w:tcW w:w="7878" w:type="dxa"/>
            <w:noWrap w:val="0"/>
            <w:vAlign w:val="top"/>
          </w:tcPr>
          <w:p w14:paraId="1D9BABD9">
            <w:pPr>
              <w:spacing w:line="360" w:lineRule="exact"/>
              <w:rPr>
                <w:rFonts w:hint="eastAsia" w:ascii="宋体" w:hAnsi="宋体" w:eastAsia="宋体" w:cs="宋体"/>
                <w:color w:val="auto"/>
                <w:spacing w:val="-5"/>
                <w:sz w:val="24"/>
                <w:szCs w:val="24"/>
              </w:rPr>
            </w:pPr>
          </w:p>
          <w:p w14:paraId="50CF4C54">
            <w:pPr>
              <w:spacing w:line="360" w:lineRule="exact"/>
              <w:rPr>
                <w:rFonts w:hint="eastAsia" w:ascii="宋体" w:hAnsi="宋体" w:eastAsia="宋体" w:cs="宋体"/>
                <w:color w:val="auto"/>
                <w:sz w:val="24"/>
                <w:szCs w:val="24"/>
              </w:rPr>
            </w:pPr>
            <w:r>
              <w:rPr>
                <w:rFonts w:hint="eastAsia" w:ascii="宋体" w:hAnsi="宋体" w:eastAsia="宋体" w:cs="宋体"/>
                <w:color w:val="auto"/>
                <w:spacing w:val="-5"/>
                <w:sz w:val="24"/>
                <w:szCs w:val="24"/>
              </w:rPr>
              <w:t>发包人提供材料和工程设备：</w:t>
            </w:r>
            <w:r>
              <w:rPr>
                <w:rFonts w:hint="eastAsia" w:ascii="宋体" w:hAnsi="宋体" w:eastAsia="宋体" w:cs="宋体"/>
                <w:color w:val="auto"/>
                <w:spacing w:val="-5"/>
                <w:sz w:val="24"/>
                <w:szCs w:val="24"/>
                <w:lang w:eastAsia="zh-CN"/>
              </w:rPr>
              <w:t>☑</w:t>
            </w:r>
            <w:r>
              <w:rPr>
                <w:rFonts w:hint="eastAsia" w:ascii="宋体" w:hAnsi="宋体" w:eastAsia="宋体" w:cs="宋体"/>
                <w:color w:val="auto"/>
                <w:spacing w:val="-5"/>
                <w:sz w:val="24"/>
                <w:szCs w:val="24"/>
              </w:rPr>
              <w:t>无□有：</w:t>
            </w:r>
          </w:p>
        </w:tc>
      </w:tr>
      <w:tr w14:paraId="42E92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0" w:hRule="atLeast"/>
        </w:trPr>
        <w:tc>
          <w:tcPr>
            <w:tcW w:w="627" w:type="dxa"/>
            <w:noWrap w:val="0"/>
            <w:vAlign w:val="center"/>
          </w:tcPr>
          <w:p w14:paraId="31617052">
            <w:pPr>
              <w:spacing w:before="69" w:line="188" w:lineRule="auto"/>
              <w:jc w:val="center"/>
              <w:rPr>
                <w:rFonts w:hint="eastAsia" w:ascii="宋体" w:hAnsi="宋体" w:eastAsia="宋体" w:cs="宋体"/>
                <w:color w:val="auto"/>
                <w:sz w:val="24"/>
                <w:szCs w:val="24"/>
              </w:rPr>
            </w:pPr>
            <w:r>
              <w:rPr>
                <w:rFonts w:hint="eastAsia" w:ascii="宋体" w:hAnsi="宋体" w:eastAsia="宋体" w:cs="宋体"/>
                <w:color w:val="auto"/>
                <w:spacing w:val="-3"/>
                <w:sz w:val="24"/>
                <w:szCs w:val="24"/>
              </w:rPr>
              <w:t>21</w:t>
            </w:r>
          </w:p>
        </w:tc>
        <w:tc>
          <w:tcPr>
            <w:tcW w:w="1828" w:type="dxa"/>
            <w:noWrap w:val="0"/>
            <w:vAlign w:val="center"/>
          </w:tcPr>
          <w:p w14:paraId="6B6509DF">
            <w:pPr>
              <w:spacing w:before="78" w:line="293" w:lineRule="auto"/>
              <w:ind w:right="5"/>
              <w:jc w:val="center"/>
              <w:rPr>
                <w:rFonts w:hint="eastAsia" w:ascii="宋体" w:hAnsi="宋体" w:eastAsia="宋体" w:cs="宋体"/>
                <w:color w:val="auto"/>
                <w:sz w:val="24"/>
                <w:szCs w:val="24"/>
              </w:rPr>
            </w:pPr>
            <w:r>
              <w:rPr>
                <w:rFonts w:hint="eastAsia" w:ascii="宋体" w:hAnsi="宋体" w:eastAsia="宋体" w:cs="宋体"/>
                <w:color w:val="auto"/>
                <w:spacing w:val="3"/>
                <w:sz w:val="24"/>
                <w:szCs w:val="24"/>
              </w:rPr>
              <w:t>承包人提供材料</w:t>
            </w:r>
            <w:r>
              <w:rPr>
                <w:rFonts w:hint="eastAsia" w:ascii="宋体" w:hAnsi="宋体" w:eastAsia="宋体" w:cs="宋体"/>
                <w:color w:val="auto"/>
                <w:spacing w:val="-3"/>
                <w:sz w:val="24"/>
                <w:szCs w:val="24"/>
              </w:rPr>
              <w:t>和工程设备</w:t>
            </w:r>
          </w:p>
        </w:tc>
        <w:tc>
          <w:tcPr>
            <w:tcW w:w="7878" w:type="dxa"/>
            <w:noWrap w:val="0"/>
            <w:vAlign w:val="top"/>
          </w:tcPr>
          <w:p w14:paraId="7B6B1B0F">
            <w:pPr>
              <w:spacing w:before="270" w:line="274" w:lineRule="auto"/>
              <w:ind w:left="6" w:firstLine="491"/>
              <w:rPr>
                <w:rFonts w:hint="eastAsia" w:ascii="宋体" w:hAnsi="宋体" w:eastAsia="宋体" w:cs="宋体"/>
                <w:color w:val="auto"/>
                <w:sz w:val="24"/>
                <w:szCs w:val="24"/>
              </w:rPr>
            </w:pPr>
            <w:r>
              <w:rPr>
                <w:rFonts w:hint="eastAsia" w:ascii="宋体" w:hAnsi="宋体" w:eastAsia="宋体" w:cs="宋体"/>
                <w:color w:val="auto"/>
                <w:spacing w:val="-6"/>
                <w:sz w:val="24"/>
                <w:szCs w:val="24"/>
              </w:rPr>
              <w:t>除</w:t>
            </w:r>
            <w:r>
              <w:rPr>
                <w:rFonts w:hint="eastAsia" w:ascii="宋体" w:hAnsi="宋体" w:eastAsia="宋体" w:cs="宋体"/>
                <w:color w:val="auto"/>
                <w:spacing w:val="-5"/>
                <w:sz w:val="24"/>
                <w:szCs w:val="24"/>
              </w:rPr>
              <w:t>招标文件约定</w:t>
            </w:r>
            <w:r>
              <w:rPr>
                <w:rFonts w:hint="eastAsia" w:ascii="宋体" w:hAnsi="宋体" w:eastAsia="宋体" w:cs="宋体"/>
                <w:color w:val="auto"/>
                <w:spacing w:val="-6"/>
                <w:sz w:val="24"/>
                <w:szCs w:val="24"/>
              </w:rPr>
              <w:t>的发包人提供的甲供材料外，合同工程所需的材</w:t>
            </w:r>
            <w:r>
              <w:rPr>
                <w:rFonts w:hint="eastAsia" w:ascii="宋体" w:hAnsi="宋体" w:eastAsia="宋体" w:cs="宋体"/>
                <w:color w:val="auto"/>
                <w:spacing w:val="-5"/>
                <w:sz w:val="24"/>
                <w:szCs w:val="24"/>
              </w:rPr>
              <w:t>料和工程设备应由承包人负责采购、运输和保管，并对其采购的材料和工程设备提供质量证明文件，满足合同约定的质量标准。若承包人</w:t>
            </w:r>
            <w:r>
              <w:rPr>
                <w:rFonts w:hint="eastAsia" w:ascii="宋体" w:hAnsi="宋体" w:eastAsia="宋体" w:cs="宋体"/>
                <w:color w:val="auto"/>
                <w:spacing w:val="3"/>
                <w:sz w:val="24"/>
                <w:szCs w:val="24"/>
              </w:rPr>
              <w:t>提供的材料和工程设备没有合格证明材料或经检测不符合合同约定</w:t>
            </w:r>
            <w:r>
              <w:rPr>
                <w:rFonts w:hint="eastAsia" w:ascii="宋体" w:hAnsi="宋体" w:eastAsia="宋体" w:cs="宋体"/>
                <w:color w:val="auto"/>
                <w:spacing w:val="-5"/>
                <w:sz w:val="24"/>
                <w:szCs w:val="24"/>
              </w:rPr>
              <w:t>的质量标准，应立即更换，由此增加的费用和（或）工期延误由承包</w:t>
            </w:r>
            <w:r>
              <w:rPr>
                <w:rFonts w:hint="eastAsia" w:ascii="宋体" w:hAnsi="宋体" w:eastAsia="宋体" w:cs="宋体"/>
                <w:color w:val="auto"/>
                <w:spacing w:val="-10"/>
                <w:sz w:val="24"/>
                <w:szCs w:val="24"/>
              </w:rPr>
              <w:t>人承担。对发包人要求检测承包人己具有合格证明的材</w:t>
            </w:r>
            <w:r>
              <w:rPr>
                <w:rFonts w:hint="eastAsia" w:ascii="宋体" w:hAnsi="宋体" w:eastAsia="宋体" w:cs="宋体"/>
                <w:color w:val="auto"/>
                <w:spacing w:val="-11"/>
                <w:sz w:val="24"/>
                <w:szCs w:val="24"/>
              </w:rPr>
              <w:t>料、工程设备，</w:t>
            </w:r>
            <w:r>
              <w:rPr>
                <w:rFonts w:hint="eastAsia" w:ascii="宋体" w:hAnsi="宋体" w:eastAsia="宋体" w:cs="宋体"/>
                <w:color w:val="auto"/>
                <w:spacing w:val="-5"/>
                <w:sz w:val="24"/>
                <w:szCs w:val="24"/>
              </w:rPr>
              <w:t>但经检测证明该项材料、工程设备符合合同约定的质量标准的，发包人应承担由此增加的费用和（或）工期延误，并向承包人支付合理利润。</w:t>
            </w:r>
          </w:p>
          <w:p w14:paraId="5C0947F2">
            <w:pPr>
              <w:spacing w:before="34" w:line="219" w:lineRule="auto"/>
              <w:ind w:left="512"/>
              <w:rPr>
                <w:rFonts w:hint="eastAsia" w:ascii="宋体" w:hAnsi="宋体" w:eastAsia="宋体" w:cs="宋体"/>
                <w:color w:val="auto"/>
                <w:sz w:val="24"/>
                <w:szCs w:val="24"/>
              </w:rPr>
            </w:pPr>
            <w:r>
              <w:rPr>
                <w:rFonts w:hint="eastAsia" w:ascii="宋体" w:hAnsi="宋体" w:eastAsia="宋体" w:cs="宋体"/>
                <w:color w:val="auto"/>
                <w:spacing w:val="-2"/>
                <w:sz w:val="24"/>
                <w:szCs w:val="24"/>
              </w:rPr>
              <w:t>□其它说明：鼓励承包人积极采购环保产品进行施工。</w:t>
            </w:r>
          </w:p>
        </w:tc>
      </w:tr>
      <w:tr w14:paraId="417BB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5" w:hRule="atLeast"/>
        </w:trPr>
        <w:tc>
          <w:tcPr>
            <w:tcW w:w="627" w:type="dxa"/>
            <w:noWrap w:val="0"/>
            <w:vAlign w:val="center"/>
          </w:tcPr>
          <w:p w14:paraId="70161B71">
            <w:pPr>
              <w:spacing w:before="69" w:line="188" w:lineRule="auto"/>
              <w:jc w:val="center"/>
              <w:rPr>
                <w:rFonts w:hint="eastAsia" w:ascii="宋体" w:hAnsi="宋体" w:eastAsia="宋体" w:cs="宋体"/>
                <w:color w:val="auto"/>
                <w:sz w:val="24"/>
                <w:szCs w:val="24"/>
              </w:rPr>
            </w:pPr>
            <w:r>
              <w:rPr>
                <w:rFonts w:hint="eastAsia" w:ascii="宋体" w:hAnsi="宋体" w:eastAsia="宋体" w:cs="宋体"/>
                <w:color w:val="auto"/>
                <w:spacing w:val="-3"/>
                <w:sz w:val="24"/>
                <w:szCs w:val="24"/>
              </w:rPr>
              <w:t>22</w:t>
            </w:r>
          </w:p>
        </w:tc>
        <w:tc>
          <w:tcPr>
            <w:tcW w:w="1828" w:type="dxa"/>
            <w:noWrap w:val="0"/>
            <w:vAlign w:val="center"/>
          </w:tcPr>
          <w:p w14:paraId="78FC1093">
            <w:pPr>
              <w:spacing w:before="308"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招标控制价</w:t>
            </w:r>
          </w:p>
        </w:tc>
        <w:tc>
          <w:tcPr>
            <w:tcW w:w="7878" w:type="dxa"/>
            <w:noWrap w:val="0"/>
            <w:vAlign w:val="center"/>
          </w:tcPr>
          <w:p w14:paraId="4097D25D">
            <w:pPr>
              <w:spacing w:before="270" w:line="274" w:lineRule="auto"/>
              <w:rPr>
                <w:rFonts w:hint="eastAsia" w:eastAsia="宋体"/>
                <w:color w:val="auto"/>
                <w:sz w:val="24"/>
                <w:szCs w:val="24"/>
                <w:highlight w:val="none"/>
                <w:lang w:eastAsia="zh-CN"/>
              </w:rPr>
            </w:pPr>
            <w:r>
              <w:rPr>
                <w:rFonts w:hint="eastAsia" w:ascii="宋体" w:hAnsi="宋体" w:eastAsia="宋体" w:cs="宋体"/>
                <w:b w:val="0"/>
                <w:bCs w:val="0"/>
                <w:color w:val="auto"/>
                <w:spacing w:val="-10"/>
                <w:sz w:val="24"/>
                <w:szCs w:val="24"/>
                <w:highlight w:val="none"/>
                <w:shd w:val="clear" w:color="auto" w:fill="auto"/>
                <w:lang w:eastAsia="zh-CN" w:bidi="ar-SA"/>
              </w:rPr>
              <w:t>本项目招标控制价为：大写：叁佰陆拾捌万陆仟贰佰捌拾元捌角整，小写：¥3686280.80元，其中：安全生产措施费：¥70588.76元，暂列金额：¥99000.00元。</w:t>
            </w:r>
          </w:p>
        </w:tc>
      </w:tr>
      <w:tr w14:paraId="31C99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trPr>
        <w:tc>
          <w:tcPr>
            <w:tcW w:w="627" w:type="dxa"/>
            <w:noWrap w:val="0"/>
            <w:vAlign w:val="center"/>
          </w:tcPr>
          <w:p w14:paraId="6D7CEA78">
            <w:pPr>
              <w:spacing w:before="69" w:line="188" w:lineRule="auto"/>
              <w:jc w:val="center"/>
              <w:rPr>
                <w:rFonts w:hint="eastAsia" w:ascii="宋体" w:hAnsi="宋体" w:eastAsia="宋体" w:cs="宋体"/>
                <w:color w:val="auto"/>
                <w:sz w:val="24"/>
                <w:szCs w:val="24"/>
              </w:rPr>
            </w:pPr>
            <w:r>
              <w:rPr>
                <w:rFonts w:hint="eastAsia" w:ascii="宋体" w:hAnsi="宋体" w:eastAsia="宋体" w:cs="宋体"/>
                <w:color w:val="auto"/>
                <w:spacing w:val="-3"/>
                <w:sz w:val="24"/>
                <w:szCs w:val="24"/>
              </w:rPr>
              <w:t>23</w:t>
            </w:r>
          </w:p>
        </w:tc>
        <w:tc>
          <w:tcPr>
            <w:tcW w:w="1828" w:type="dxa"/>
            <w:noWrap w:val="0"/>
            <w:vAlign w:val="center"/>
          </w:tcPr>
          <w:p w14:paraId="1C79B128">
            <w:pPr>
              <w:spacing w:before="78" w:line="294" w:lineRule="auto"/>
              <w:ind w:right="260"/>
              <w:jc w:val="center"/>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投标人的投标报价</w:t>
            </w:r>
          </w:p>
        </w:tc>
        <w:tc>
          <w:tcPr>
            <w:tcW w:w="7878" w:type="dxa"/>
            <w:noWrap w:val="0"/>
            <w:vAlign w:val="center"/>
          </w:tcPr>
          <w:p w14:paraId="08AAB2BF">
            <w:pPr>
              <w:spacing w:before="117" w:line="301"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投标人投标时响应招标文件要求所报出的对已标价工程量清单</w:t>
            </w:r>
            <w:r>
              <w:rPr>
                <w:rFonts w:hint="eastAsia" w:ascii="宋体" w:hAnsi="宋体" w:eastAsia="宋体" w:cs="宋体"/>
                <w:color w:val="auto"/>
                <w:sz w:val="24"/>
                <w:szCs w:val="24"/>
                <w:highlight w:val="none"/>
              </w:rPr>
              <w:t>汇总后标明的总价。投标人在投标报价填写</w:t>
            </w:r>
            <w:r>
              <w:rPr>
                <w:rFonts w:hint="eastAsia" w:ascii="宋体" w:hAnsi="宋体" w:eastAsia="宋体" w:cs="宋体"/>
                <w:color w:val="auto"/>
                <w:spacing w:val="-1"/>
                <w:sz w:val="24"/>
                <w:szCs w:val="24"/>
                <w:highlight w:val="none"/>
              </w:rPr>
              <w:t>的工程量清单的项目编</w:t>
            </w:r>
            <w:r>
              <w:rPr>
                <w:rFonts w:hint="eastAsia" w:ascii="宋体" w:hAnsi="宋体" w:eastAsia="宋体" w:cs="宋体"/>
                <w:color w:val="auto"/>
                <w:spacing w:val="-3"/>
                <w:sz w:val="24"/>
                <w:szCs w:val="24"/>
                <w:highlight w:val="none"/>
              </w:rPr>
              <w:t>码、项目名称、项目特征、计量单位、工程数量必须与招标人招标文</w:t>
            </w:r>
            <w:r>
              <w:rPr>
                <w:rFonts w:hint="eastAsia" w:ascii="宋体" w:hAnsi="宋体" w:eastAsia="宋体" w:cs="宋体"/>
                <w:color w:val="auto"/>
                <w:sz w:val="24"/>
                <w:szCs w:val="24"/>
                <w:highlight w:val="none"/>
              </w:rPr>
              <w:t>件中提供的一致，投标价不能低于工程成本</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3"/>
                <w:sz w:val="24"/>
                <w:szCs w:val="24"/>
                <w:highlight w:val="none"/>
              </w:rPr>
              <w:t>高于最高投标限价。</w:t>
            </w:r>
          </w:p>
          <w:p w14:paraId="337DA5F2">
            <w:pPr>
              <w:spacing w:before="37" w:line="219" w:lineRule="auto"/>
              <w:ind w:left="491"/>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投标报价方式：</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工程量清单报价□其</w:t>
            </w:r>
            <w:r>
              <w:rPr>
                <w:rFonts w:hint="eastAsia" w:ascii="宋体" w:hAnsi="宋体" w:eastAsia="宋体" w:cs="宋体"/>
                <w:color w:val="auto"/>
                <w:spacing w:val="-3"/>
                <w:sz w:val="24"/>
                <w:szCs w:val="24"/>
                <w:highlight w:val="none"/>
              </w:rPr>
              <w:t>他：</w:t>
            </w:r>
          </w:p>
          <w:p w14:paraId="1F76F046">
            <w:pPr>
              <w:pStyle w:val="3"/>
              <w:rPr>
                <w:rFonts w:hint="eastAsia" w:ascii="宋体" w:hAnsi="宋体" w:eastAsia="宋体" w:cs="宋体"/>
                <w:color w:val="auto"/>
                <w:sz w:val="24"/>
                <w:szCs w:val="24"/>
                <w:highlight w:val="none"/>
                <w:lang w:eastAsia="zh-CN"/>
              </w:rPr>
            </w:pPr>
            <w:r>
              <w:rPr>
                <w:rFonts w:hint="eastAsia" w:ascii="宋体" w:hAnsi="宋体" w:eastAsia="宋体" w:cs="宋体"/>
                <w:snapToGrid w:val="0"/>
                <w:color w:val="auto"/>
                <w:spacing w:val="-1"/>
                <w:sz w:val="24"/>
                <w:szCs w:val="24"/>
                <w:highlight w:val="none"/>
                <w:lang w:val="en-US" w:eastAsia="zh-CN" w:bidi="ar-SA"/>
              </w:rPr>
              <w:t>本项目招标控制价为：大写：叁佰陆拾捌万陆仟贰佰捌拾元捌角整，小写：¥3686280.80元，其中：安全生产措施费：¥70588.76元，暂列金额：¥99000.00元。</w:t>
            </w:r>
          </w:p>
        </w:tc>
      </w:tr>
      <w:tr w14:paraId="12057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32" w:hRule="atLeast"/>
        </w:trPr>
        <w:tc>
          <w:tcPr>
            <w:tcW w:w="627" w:type="dxa"/>
            <w:tcBorders>
              <w:bottom w:val="nil"/>
            </w:tcBorders>
            <w:noWrap w:val="0"/>
            <w:vAlign w:val="center"/>
          </w:tcPr>
          <w:p w14:paraId="61A572A9">
            <w:pPr>
              <w:spacing w:before="69" w:line="188" w:lineRule="auto"/>
              <w:jc w:val="center"/>
              <w:rPr>
                <w:rFonts w:hint="eastAsia" w:ascii="宋体" w:hAnsi="宋体" w:eastAsia="宋体" w:cs="宋体"/>
                <w:color w:val="auto"/>
                <w:sz w:val="24"/>
                <w:szCs w:val="24"/>
              </w:rPr>
            </w:pPr>
            <w:r>
              <w:rPr>
                <w:rFonts w:hint="eastAsia" w:ascii="宋体" w:hAnsi="宋体" w:eastAsia="宋体" w:cs="宋体"/>
                <w:color w:val="auto"/>
                <w:spacing w:val="-3"/>
                <w:sz w:val="24"/>
                <w:szCs w:val="24"/>
              </w:rPr>
              <w:t>24</w:t>
            </w:r>
          </w:p>
        </w:tc>
        <w:tc>
          <w:tcPr>
            <w:tcW w:w="1828" w:type="dxa"/>
            <w:tcBorders>
              <w:bottom w:val="nil"/>
            </w:tcBorders>
            <w:noWrap w:val="0"/>
            <w:vAlign w:val="center"/>
          </w:tcPr>
          <w:p w14:paraId="7C5E060A">
            <w:pPr>
              <w:pStyle w:val="20"/>
              <w:spacing w:line="243" w:lineRule="auto"/>
              <w:jc w:val="center"/>
              <w:rPr>
                <w:rFonts w:hint="eastAsia" w:ascii="宋体" w:hAnsi="宋体" w:eastAsia="宋体" w:cs="宋体"/>
                <w:color w:val="auto"/>
                <w:sz w:val="24"/>
                <w:szCs w:val="24"/>
              </w:rPr>
            </w:pPr>
          </w:p>
          <w:p w14:paraId="2F4DE0FA">
            <w:pPr>
              <w:pStyle w:val="20"/>
              <w:spacing w:line="243" w:lineRule="auto"/>
              <w:jc w:val="center"/>
              <w:rPr>
                <w:rFonts w:hint="eastAsia" w:ascii="宋体" w:hAnsi="宋体" w:eastAsia="宋体" w:cs="宋体"/>
                <w:color w:val="auto"/>
                <w:sz w:val="24"/>
                <w:szCs w:val="24"/>
              </w:rPr>
            </w:pPr>
          </w:p>
          <w:p w14:paraId="05AECEE0">
            <w:pPr>
              <w:pStyle w:val="20"/>
              <w:jc w:val="center"/>
              <w:rPr>
                <w:rFonts w:hint="eastAsia" w:ascii="宋体" w:hAnsi="宋体" w:eastAsia="宋体" w:cs="宋体"/>
                <w:color w:val="auto"/>
                <w:sz w:val="24"/>
                <w:szCs w:val="24"/>
              </w:rPr>
            </w:pPr>
          </w:p>
          <w:p w14:paraId="6BE90224">
            <w:pPr>
              <w:pStyle w:val="20"/>
              <w:spacing w:line="243" w:lineRule="auto"/>
              <w:jc w:val="center"/>
              <w:rPr>
                <w:rFonts w:hint="eastAsia" w:ascii="宋体" w:hAnsi="宋体" w:eastAsia="宋体" w:cs="宋体"/>
                <w:color w:val="auto"/>
                <w:sz w:val="24"/>
                <w:szCs w:val="24"/>
              </w:rPr>
            </w:pPr>
          </w:p>
          <w:p w14:paraId="1380FBB1">
            <w:pPr>
              <w:pStyle w:val="20"/>
              <w:spacing w:line="243" w:lineRule="auto"/>
              <w:jc w:val="center"/>
              <w:rPr>
                <w:rFonts w:hint="eastAsia" w:ascii="宋体" w:hAnsi="宋体" w:eastAsia="宋体" w:cs="宋体"/>
                <w:color w:val="auto"/>
                <w:sz w:val="24"/>
                <w:szCs w:val="24"/>
              </w:rPr>
            </w:pPr>
          </w:p>
          <w:p w14:paraId="7D0161C2">
            <w:pPr>
              <w:spacing w:before="78" w:line="219" w:lineRule="auto"/>
              <w:ind w:right="18"/>
              <w:jc w:val="center"/>
              <w:rPr>
                <w:rFonts w:hint="eastAsia" w:ascii="宋体" w:hAnsi="宋体" w:eastAsia="宋体" w:cs="宋体"/>
                <w:color w:val="auto"/>
                <w:sz w:val="24"/>
                <w:szCs w:val="24"/>
              </w:rPr>
            </w:pPr>
            <w:r>
              <w:rPr>
                <w:rFonts w:hint="eastAsia" w:ascii="宋体" w:hAnsi="宋体" w:eastAsia="宋体" w:cs="宋体"/>
                <w:color w:val="auto"/>
                <w:spacing w:val="-3"/>
                <w:sz w:val="24"/>
                <w:szCs w:val="24"/>
              </w:rPr>
              <w:t>投标报价风险</w:t>
            </w:r>
          </w:p>
        </w:tc>
        <w:tc>
          <w:tcPr>
            <w:tcW w:w="7878" w:type="dxa"/>
            <w:noWrap w:val="0"/>
            <w:vAlign w:val="center"/>
          </w:tcPr>
          <w:p w14:paraId="0C3FBFFB">
            <w:pPr>
              <w:spacing w:before="77" w:line="257" w:lineRule="auto"/>
              <w:ind w:left="8" w:firstLine="500"/>
              <w:jc w:val="left"/>
              <w:rPr>
                <w:rFonts w:hint="eastAsia" w:ascii="宋体" w:hAnsi="宋体" w:eastAsia="宋体" w:cs="宋体"/>
                <w:color w:val="auto"/>
                <w:spacing w:val="-10"/>
                <w:sz w:val="24"/>
                <w:szCs w:val="24"/>
              </w:rPr>
            </w:pP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rPr>
              <w:t>投标人依据招标文件约定自行考虑风险因素，一旦中标，投标</w:t>
            </w:r>
            <w:r>
              <w:rPr>
                <w:rFonts w:hint="eastAsia" w:ascii="宋体" w:hAnsi="宋体" w:eastAsia="宋体" w:cs="宋体"/>
                <w:color w:val="auto"/>
                <w:spacing w:val="-1"/>
                <w:sz w:val="24"/>
                <w:szCs w:val="24"/>
              </w:rPr>
              <w:t>报价（合同价）除合同另有约定外将不因市场变化而调</w:t>
            </w:r>
            <w:r>
              <w:rPr>
                <w:rFonts w:hint="eastAsia" w:ascii="宋体" w:hAnsi="宋体" w:eastAsia="宋体" w:cs="宋体"/>
                <w:color w:val="auto"/>
                <w:spacing w:val="-10"/>
                <w:sz w:val="24"/>
                <w:szCs w:val="24"/>
              </w:rPr>
              <w:t>整。</w:t>
            </w:r>
          </w:p>
          <w:p w14:paraId="450AB5C9">
            <w:pPr>
              <w:spacing w:before="77" w:line="257" w:lineRule="auto"/>
              <w:ind w:left="8" w:firstLine="500"/>
              <w:jc w:val="left"/>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rPr>
              <w:t>投标报价中应包括工程量清单项目所发生的人工费、材料费、机具费、管理费、利润、措施项目费、其它项目费、税金、暂列金额、暂估价以及所有风险、责任等各项费用。</w:t>
            </w:r>
          </w:p>
          <w:p w14:paraId="0737391E">
            <w:pPr>
              <w:spacing w:before="77" w:line="257" w:lineRule="auto"/>
              <w:ind w:left="8" w:firstLine="500"/>
              <w:jc w:val="left"/>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rPr>
              <w:t>人工费、材料费、机具费、管理费、利润、措施项目费（不含绿色施工安全防护措施费）投标人漏报或不报，招标人视为有关费用已包括在工程量清单项目的其它单价及合价中不予另外增加。</w:t>
            </w:r>
          </w:p>
          <w:p w14:paraId="2F051231">
            <w:pPr>
              <w:spacing w:before="77" w:line="257" w:lineRule="auto"/>
              <w:ind w:left="8" w:firstLine="500"/>
              <w:jc w:val="left"/>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rPr>
              <w:t>措施项目中的绿色施工安全防护措施费，必须按国家、省级、市级（即工程所在地）行业建设主管部门的规定计算，不得作为竞争性费用。</w:t>
            </w:r>
          </w:p>
          <w:p w14:paraId="527BE219">
            <w:pPr>
              <w:shd w:val="clear" w:color="auto" w:fill="auto"/>
              <w:spacing w:before="77" w:line="257" w:lineRule="auto"/>
              <w:ind w:left="8" w:firstLine="500"/>
              <w:jc w:val="left"/>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rPr>
              <w:t>投标人应按照招标文件提供的工程量清单逐项填写单价和合价，投标人</w:t>
            </w:r>
          </w:p>
          <w:p w14:paraId="20FB6E9E">
            <w:pPr>
              <w:shd w:val="clear" w:color="auto" w:fill="auto"/>
              <w:spacing w:before="77" w:line="257" w:lineRule="auto"/>
              <w:ind w:left="8" w:firstLine="500"/>
              <w:jc w:val="left"/>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未填写的项目，招标人将视为此项费用已包括在工程量清单项目的其它单价及合价中不予另外增加。</w:t>
            </w:r>
          </w:p>
          <w:p w14:paraId="14D8DF94">
            <w:pPr>
              <w:shd w:val="clear" w:color="auto" w:fill="auto"/>
              <w:spacing w:before="77" w:line="257" w:lineRule="auto"/>
              <w:ind w:left="8" w:firstLine="500"/>
              <w:jc w:val="left"/>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rPr>
              <w:t>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36FA678F">
            <w:pPr>
              <w:shd w:val="clear" w:color="auto" w:fill="auto"/>
              <w:spacing w:before="77" w:line="257" w:lineRule="auto"/>
              <w:ind w:left="8" w:firstLine="500"/>
              <w:jc w:val="left"/>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rPr>
              <w:t>招标人向投标人提供的有关施工现场资料及数据，是招标人现有的能使投标人利用的资料，招标人对投标人据此作出的推论及理解概不负责。</w:t>
            </w:r>
          </w:p>
          <w:p w14:paraId="140014AB">
            <w:pPr>
              <w:spacing w:before="77" w:line="257" w:lineRule="auto"/>
              <w:ind w:left="8" w:firstLine="500"/>
              <w:jc w:val="left"/>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65A9002B">
            <w:pPr>
              <w:spacing w:before="77" w:line="257" w:lineRule="auto"/>
              <w:ind w:left="8" w:firstLine="500"/>
              <w:jc w:val="left"/>
              <w:rPr>
                <w:rFonts w:hint="eastAsia" w:ascii="宋体" w:hAnsi="宋体" w:eastAsia="宋体" w:cs="宋体"/>
                <w:color w:val="auto"/>
                <w:sz w:val="24"/>
                <w:szCs w:val="24"/>
              </w:rPr>
            </w:pP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rPr>
              <w:t>错漏项的认定。中标人已标价工程量清单中，任一清单项目未填报价格或价格为零的，招标人将视为此项费用已包括在工程量清单项目的其它单价及合价中不予另外增加。</w:t>
            </w:r>
          </w:p>
        </w:tc>
      </w:tr>
      <w:tr w14:paraId="54370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trPr>
        <w:tc>
          <w:tcPr>
            <w:tcW w:w="627" w:type="dxa"/>
            <w:noWrap w:val="0"/>
            <w:vAlign w:val="center"/>
          </w:tcPr>
          <w:p w14:paraId="040EB090">
            <w:pPr>
              <w:spacing w:before="284" w:line="188" w:lineRule="auto"/>
              <w:jc w:val="center"/>
              <w:rPr>
                <w:rFonts w:hint="eastAsia" w:ascii="宋体" w:hAnsi="宋体" w:eastAsia="宋体" w:cs="宋体"/>
                <w:color w:val="auto"/>
                <w:sz w:val="24"/>
                <w:szCs w:val="24"/>
              </w:rPr>
            </w:pPr>
            <w:r>
              <w:rPr>
                <w:rFonts w:hint="eastAsia" w:ascii="宋体" w:hAnsi="宋体" w:eastAsia="宋体" w:cs="宋体"/>
                <w:color w:val="auto"/>
                <w:spacing w:val="-3"/>
                <w:sz w:val="24"/>
                <w:szCs w:val="24"/>
              </w:rPr>
              <w:t>25</w:t>
            </w:r>
          </w:p>
        </w:tc>
        <w:tc>
          <w:tcPr>
            <w:tcW w:w="1828" w:type="dxa"/>
            <w:noWrap w:val="0"/>
            <w:vAlign w:val="top"/>
          </w:tcPr>
          <w:p w14:paraId="75B72675">
            <w:pPr>
              <w:spacing w:before="242" w:line="221" w:lineRule="auto"/>
              <w:jc w:val="center"/>
              <w:rPr>
                <w:rFonts w:hint="eastAsia" w:ascii="宋体" w:hAnsi="宋体" w:eastAsia="宋体" w:cs="宋体"/>
                <w:color w:val="auto"/>
                <w:sz w:val="24"/>
                <w:szCs w:val="24"/>
              </w:rPr>
            </w:pPr>
            <w:r>
              <w:rPr>
                <w:rFonts w:hint="eastAsia" w:ascii="宋体" w:hAnsi="宋体" w:eastAsia="宋体" w:cs="宋体"/>
                <w:color w:val="auto"/>
                <w:spacing w:val="-4"/>
                <w:sz w:val="24"/>
                <w:szCs w:val="24"/>
              </w:rPr>
              <w:t>投标费用</w:t>
            </w:r>
          </w:p>
        </w:tc>
        <w:tc>
          <w:tcPr>
            <w:tcW w:w="7878" w:type="dxa"/>
            <w:noWrap w:val="0"/>
            <w:vAlign w:val="top"/>
          </w:tcPr>
          <w:p w14:paraId="6534424E">
            <w:pPr>
              <w:spacing w:before="218" w:line="220" w:lineRule="auto"/>
              <w:ind w:left="492"/>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投标人自行承担编制与递交投标文件的一切费用。</w:t>
            </w:r>
          </w:p>
        </w:tc>
      </w:tr>
      <w:tr w14:paraId="160ED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27" w:type="dxa"/>
            <w:noWrap w:val="0"/>
            <w:vAlign w:val="center"/>
          </w:tcPr>
          <w:p w14:paraId="3B5F66F5">
            <w:pPr>
              <w:spacing w:before="69" w:line="188" w:lineRule="auto"/>
              <w:jc w:val="center"/>
              <w:rPr>
                <w:rFonts w:hint="eastAsia" w:ascii="宋体" w:hAnsi="宋体" w:eastAsia="宋体" w:cs="宋体"/>
                <w:sz w:val="24"/>
                <w:szCs w:val="24"/>
              </w:rPr>
            </w:pPr>
            <w:r>
              <w:rPr>
                <w:rFonts w:hint="eastAsia" w:ascii="宋体" w:hAnsi="宋体" w:eastAsia="宋体" w:cs="宋体"/>
                <w:spacing w:val="-3"/>
                <w:sz w:val="24"/>
                <w:szCs w:val="24"/>
              </w:rPr>
              <w:t>26</w:t>
            </w:r>
          </w:p>
        </w:tc>
        <w:tc>
          <w:tcPr>
            <w:tcW w:w="1828" w:type="dxa"/>
            <w:noWrap w:val="0"/>
            <w:vAlign w:val="center"/>
          </w:tcPr>
          <w:p w14:paraId="567378DB">
            <w:pPr>
              <w:pStyle w:val="20"/>
              <w:spacing w:line="255" w:lineRule="auto"/>
              <w:jc w:val="center"/>
              <w:rPr>
                <w:rFonts w:hint="eastAsia" w:ascii="宋体" w:hAnsi="宋体" w:eastAsia="宋体" w:cs="宋体"/>
                <w:sz w:val="24"/>
                <w:szCs w:val="24"/>
                <w:highlight w:val="none"/>
              </w:rPr>
            </w:pPr>
          </w:p>
          <w:p w14:paraId="1F162A72">
            <w:pPr>
              <w:pStyle w:val="20"/>
              <w:spacing w:line="256" w:lineRule="auto"/>
              <w:jc w:val="center"/>
              <w:rPr>
                <w:rFonts w:hint="eastAsia" w:ascii="宋体" w:hAnsi="宋体" w:eastAsia="宋体" w:cs="宋体"/>
                <w:sz w:val="24"/>
                <w:szCs w:val="24"/>
                <w:highlight w:val="none"/>
              </w:rPr>
            </w:pPr>
          </w:p>
          <w:p w14:paraId="293F1BF9">
            <w:pPr>
              <w:pStyle w:val="20"/>
              <w:spacing w:line="256" w:lineRule="auto"/>
              <w:jc w:val="center"/>
              <w:rPr>
                <w:rFonts w:hint="eastAsia" w:ascii="宋体" w:hAnsi="宋体" w:eastAsia="宋体" w:cs="宋体"/>
                <w:sz w:val="24"/>
                <w:szCs w:val="24"/>
                <w:highlight w:val="none"/>
              </w:rPr>
            </w:pPr>
          </w:p>
          <w:p w14:paraId="50978077">
            <w:pPr>
              <w:pStyle w:val="20"/>
              <w:spacing w:line="256" w:lineRule="auto"/>
              <w:jc w:val="center"/>
              <w:rPr>
                <w:rFonts w:hint="eastAsia" w:ascii="宋体" w:hAnsi="宋体" w:eastAsia="宋体" w:cs="宋体"/>
                <w:sz w:val="24"/>
                <w:szCs w:val="24"/>
                <w:highlight w:val="none"/>
              </w:rPr>
            </w:pPr>
          </w:p>
          <w:p w14:paraId="0EAFA3D9">
            <w:pPr>
              <w:spacing w:before="78" w:line="220" w:lineRule="auto"/>
              <w:ind w:left="26"/>
              <w:jc w:val="center"/>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投标人资格要求</w:t>
            </w:r>
          </w:p>
        </w:tc>
        <w:tc>
          <w:tcPr>
            <w:tcW w:w="7878" w:type="dxa"/>
            <w:noWrap w:val="0"/>
            <w:vAlign w:val="center"/>
          </w:tcPr>
          <w:p w14:paraId="78DAD45E">
            <w:pPr>
              <w:pStyle w:val="4"/>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1．本次招标</w:t>
            </w:r>
            <w:r>
              <w:rPr>
                <w:rFonts w:hint="eastAsia" w:ascii="宋体" w:hAnsi="宋体" w:eastAsia="宋体" w:cs="宋体"/>
                <w:snapToGrid w:val="0"/>
                <w:color w:val="auto"/>
                <w:kern w:val="0"/>
                <w:sz w:val="24"/>
                <w:szCs w:val="24"/>
                <w:highlight w:val="none"/>
                <w:lang w:val="en-US" w:eastAsia="zh-CN"/>
              </w:rPr>
              <w:t>不</w:t>
            </w:r>
            <w:r>
              <w:rPr>
                <w:rFonts w:hint="eastAsia" w:ascii="宋体" w:hAnsi="宋体" w:eastAsia="宋体" w:cs="宋体"/>
                <w:snapToGrid w:val="0"/>
                <w:color w:val="auto"/>
                <w:kern w:val="0"/>
                <w:sz w:val="24"/>
                <w:szCs w:val="24"/>
                <w:highlight w:val="none"/>
              </w:rPr>
              <w:t>接受联合体投标。</w:t>
            </w:r>
          </w:p>
          <w:p w14:paraId="00E0CDD7">
            <w:pPr>
              <w:pStyle w:val="4"/>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2．资质要求</w:t>
            </w:r>
          </w:p>
          <w:p w14:paraId="0A36A919">
            <w:pPr>
              <w:pStyle w:val="4"/>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2.1投标人须具备独立法人资格，按国家法律经营。</w:t>
            </w:r>
          </w:p>
          <w:p w14:paraId="3ADB9378">
            <w:pPr>
              <w:pStyle w:val="4"/>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2.2投标人须持有建设行政主管部门颁发的企业资质证书及安全生产许可证。</w:t>
            </w:r>
          </w:p>
          <w:p w14:paraId="77BD5C37">
            <w:pPr>
              <w:keepNext w:val="0"/>
              <w:keepLines w:val="0"/>
              <w:pageBreakBefore w:val="0"/>
              <w:kinsoku/>
              <w:wordWrap w:val="0"/>
              <w:overflowPunct/>
              <w:topLinePunct w:val="0"/>
              <w:autoSpaceDE/>
              <w:autoSpaceDN/>
              <w:bidi w:val="0"/>
              <w:adjustRightInd w:val="0"/>
              <w:snapToGrid w:val="0"/>
              <w:spacing w:line="360" w:lineRule="exact"/>
              <w:ind w:firstLine="480"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2.3投标人须具备以下资质：具有建设行政主管部门颁发的</w:t>
            </w:r>
            <w:r>
              <w:rPr>
                <w:rFonts w:hint="eastAsia" w:ascii="宋体" w:hAnsi="宋体" w:eastAsia="宋体" w:cs="宋体"/>
                <w:snapToGrid w:val="0"/>
                <w:color w:val="auto"/>
                <w:kern w:val="0"/>
                <w:sz w:val="24"/>
                <w:szCs w:val="24"/>
                <w:highlight w:val="none"/>
                <w:u w:val="none"/>
                <w:lang w:val="en-US" w:eastAsia="zh-CN"/>
              </w:rPr>
              <w:t>市政公用工程施工总承包三级以上（含三级）</w:t>
            </w:r>
            <w:r>
              <w:rPr>
                <w:rFonts w:hint="eastAsia" w:ascii="宋体" w:hAnsi="宋体" w:eastAsia="宋体" w:cs="宋体"/>
                <w:snapToGrid w:val="0"/>
                <w:color w:val="auto"/>
                <w:kern w:val="0"/>
                <w:sz w:val="24"/>
                <w:szCs w:val="24"/>
                <w:highlight w:val="none"/>
                <w:lang w:val="en-US" w:eastAsia="zh-CN"/>
              </w:rPr>
              <w:t>资质或建筑工程施工总承包叁级以上（含叁级）资质。</w:t>
            </w:r>
          </w:p>
          <w:p w14:paraId="273CD2F4">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2.4投标人的企业相关证书到期的，均按该证书的发证机构相关行业主管部门最新</w:t>
            </w:r>
            <w:r>
              <w:rPr>
                <w:rFonts w:hint="eastAsia" w:ascii="宋体" w:hAnsi="宋体" w:eastAsia="宋体" w:cs="宋体"/>
                <w:snapToGrid w:val="0"/>
                <w:color w:val="auto"/>
                <w:spacing w:val="-2"/>
                <w:kern w:val="0"/>
                <w:sz w:val="24"/>
                <w:szCs w:val="24"/>
                <w:lang w:val="en-US" w:eastAsia="en-US" w:bidi="ar-SA"/>
              </w:rPr>
              <w:t>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1ECDF7B8">
            <w:pPr>
              <w:spacing w:before="111" w:line="360" w:lineRule="auto"/>
              <w:ind w:left="4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3．相关人员要求</w:t>
            </w:r>
          </w:p>
          <w:p w14:paraId="2C63FA76">
            <w:pPr>
              <w:spacing w:line="360" w:lineRule="auto"/>
              <w:ind w:firstLine="480" w:firstLineChars="200"/>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eastAsia="zh-CN" w:bidi="ar"/>
              </w:rPr>
              <w:t>3.1拟派项目经理为</w:t>
            </w:r>
            <w:r>
              <w:rPr>
                <w:rFonts w:hint="eastAsia" w:ascii="宋体" w:hAnsi="宋体" w:eastAsia="宋体" w:cs="宋体"/>
                <w:color w:val="auto"/>
                <w:sz w:val="24"/>
                <w:szCs w:val="24"/>
                <w:highlight w:val="none"/>
                <w:u w:val="single"/>
                <w:lang w:val="en-US" w:eastAsia="zh-CN" w:bidi="ar"/>
              </w:rPr>
              <w:t>具有</w:t>
            </w:r>
            <w:r>
              <w:rPr>
                <w:rFonts w:hint="eastAsia" w:ascii="宋体" w:hAnsi="宋体" w:eastAsia="宋体" w:cs="宋体"/>
                <w:strike w:val="0"/>
                <w:dstrike w:val="0"/>
                <w:snapToGrid w:val="0"/>
                <w:color w:val="auto"/>
                <w:kern w:val="0"/>
                <w:sz w:val="24"/>
                <w:szCs w:val="24"/>
                <w:highlight w:val="none"/>
                <w:u w:val="single"/>
                <w:lang w:val="en-US" w:eastAsia="zh-CN" w:bidi="ar"/>
              </w:rPr>
              <w:t>建筑工程或市政公用工程</w:t>
            </w:r>
            <w:r>
              <w:rPr>
                <w:rFonts w:hint="eastAsia" w:ascii="宋体" w:hAnsi="宋体" w:eastAsia="宋体" w:cs="宋体"/>
                <w:color w:val="auto"/>
                <w:sz w:val="24"/>
                <w:szCs w:val="24"/>
                <w:highlight w:val="none"/>
                <w:lang w:eastAsia="zh-CN" w:bidi="ar"/>
              </w:rPr>
              <w:t>专业一级或二级注册建造师，应持有住建部门印发的在使用有效期内的有效电子注册证书（根据广东省住房和城乡建设厅（粤建市函〔2023〕469号）文件精神，二级注册建造师可随注册企业在全国范围内执业）。同时均须具备有效安全生产考核合格证明（B证），且未担任其他在施（包括已中标未开工、已开工未竣工）建设工程项目的项目经理。</w:t>
            </w:r>
          </w:p>
          <w:p w14:paraId="08F5F473">
            <w:pPr>
              <w:pStyle w:val="35"/>
              <w:widowControl/>
              <w:spacing w:before="75" w:after="75" w:line="400" w:lineRule="exact"/>
              <w:ind w:left="216" w:leftChars="103" w:firstLine="480" w:firstLineChars="200"/>
              <w:jc w:val="left"/>
              <w:rPr>
                <w:rFonts w:hint="eastAsia" w:ascii="宋体" w:hAnsi="宋体" w:eastAsia="宋体" w:cs="宋体"/>
                <w:b/>
                <w:bCs/>
                <w:strike w:val="0"/>
                <w:dstrike w:val="0"/>
                <w:snapToGrid w:val="0"/>
                <w:color w:val="auto"/>
                <w:kern w:val="0"/>
                <w:sz w:val="24"/>
                <w:szCs w:val="24"/>
                <w:highlight w:val="none"/>
                <w:lang w:val="en-US" w:eastAsia="zh-CN"/>
              </w:rPr>
            </w:pPr>
            <w:r>
              <w:rPr>
                <w:rFonts w:hint="eastAsia" w:ascii="宋体" w:hAnsi="宋体" w:eastAsia="宋体" w:cs="宋体"/>
                <w:color w:val="auto"/>
                <w:sz w:val="24"/>
                <w:szCs w:val="24"/>
                <w:highlight w:val="none"/>
              </w:rPr>
              <w:t>3.2</w:t>
            </w:r>
            <w:r>
              <w:rPr>
                <w:rFonts w:hint="eastAsia" w:ascii="宋体" w:hAnsi="宋体" w:eastAsia="宋体" w:cs="宋体"/>
                <w:color w:val="auto"/>
                <w:sz w:val="24"/>
                <w:szCs w:val="24"/>
                <w:highlight w:val="none"/>
                <w:lang w:eastAsia="zh-CN"/>
              </w:rPr>
              <w:t>拟派项目技术负责人须具备</w:t>
            </w:r>
            <w:r>
              <w:rPr>
                <w:rFonts w:hint="eastAsia" w:ascii="宋体" w:hAnsi="宋体" w:eastAsia="宋体" w:cs="宋体"/>
                <w:strike w:val="0"/>
                <w:dstrike w:val="0"/>
                <w:snapToGrid/>
                <w:color w:val="auto"/>
                <w:kern w:val="2"/>
                <w:sz w:val="24"/>
                <w:szCs w:val="24"/>
                <w:highlight w:val="none"/>
                <w:u w:val="single"/>
                <w:lang w:val="en-US" w:eastAsia="zh-CN"/>
              </w:rPr>
              <w:t>建筑工程或市政公用工程</w:t>
            </w:r>
            <w:r>
              <w:rPr>
                <w:rFonts w:hint="eastAsia" w:ascii="宋体" w:hAnsi="宋体" w:eastAsia="宋体" w:cs="宋体"/>
                <w:color w:val="auto"/>
                <w:sz w:val="24"/>
                <w:szCs w:val="24"/>
                <w:highlight w:val="none"/>
                <w:lang w:eastAsia="zh-CN"/>
              </w:rPr>
              <w:t>相关专业</w:t>
            </w:r>
            <w:r>
              <w:rPr>
                <w:rFonts w:hint="eastAsia" w:ascii="宋体" w:hAnsi="宋体" w:eastAsia="宋体" w:cs="宋体"/>
                <w:color w:val="auto"/>
                <w:sz w:val="24"/>
                <w:szCs w:val="24"/>
                <w:highlight w:val="none"/>
                <w:u w:val="single"/>
                <w:lang w:eastAsia="zh-CN"/>
              </w:rPr>
              <w:t>中级</w:t>
            </w:r>
            <w:r>
              <w:rPr>
                <w:rFonts w:hint="eastAsia" w:ascii="宋体" w:hAnsi="宋体" w:eastAsia="宋体" w:cs="宋体"/>
                <w:color w:val="auto"/>
                <w:sz w:val="24"/>
                <w:szCs w:val="24"/>
                <w:highlight w:val="none"/>
                <w:lang w:eastAsia="zh-CN"/>
              </w:rPr>
              <w:t>以上（</w:t>
            </w:r>
            <w:r>
              <w:rPr>
                <w:rFonts w:hint="eastAsia" w:ascii="宋体" w:hAnsi="宋体" w:eastAsia="宋体" w:cs="宋体"/>
                <w:color w:val="auto"/>
                <w:sz w:val="24"/>
                <w:szCs w:val="24"/>
                <w:highlight w:val="none"/>
                <w:u w:val="single"/>
                <w:lang w:eastAsia="zh-CN"/>
              </w:rPr>
              <w:t>含中级</w:t>
            </w:r>
            <w:r>
              <w:rPr>
                <w:rFonts w:hint="eastAsia" w:ascii="宋体" w:hAnsi="宋体" w:eastAsia="宋体" w:cs="宋体"/>
                <w:color w:val="auto"/>
                <w:sz w:val="24"/>
                <w:szCs w:val="24"/>
                <w:highlight w:val="none"/>
                <w:lang w:eastAsia="zh-CN"/>
              </w:rPr>
              <w:t>）技术职称</w:t>
            </w:r>
            <w:r>
              <w:rPr>
                <w:rFonts w:hint="eastAsia" w:ascii="宋体" w:hAnsi="宋体" w:eastAsia="宋体" w:cs="宋体"/>
                <w:color w:val="auto"/>
                <w:spacing w:val="-2"/>
                <w:sz w:val="24"/>
                <w:szCs w:val="24"/>
                <w:highlight w:val="none"/>
              </w:rPr>
              <w:t>。</w:t>
            </w:r>
          </w:p>
          <w:p w14:paraId="7C834281">
            <w:pPr>
              <w:spacing w:before="115" w:line="264" w:lineRule="auto"/>
              <w:ind w:left="9" w:right="57" w:firstLine="48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3.3拟派专职安全生产管理人员须具备有效安全生产考核合格</w:t>
            </w:r>
            <w:r>
              <w:rPr>
                <w:rFonts w:hint="eastAsia" w:ascii="宋体" w:hAnsi="宋体" w:eastAsia="宋体" w:cs="宋体"/>
                <w:color w:val="auto"/>
                <w:spacing w:val="-2"/>
                <w:sz w:val="24"/>
                <w:szCs w:val="24"/>
                <w:highlight w:val="none"/>
              </w:rPr>
              <w:t>证明（C证</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lang w:eastAsia="zh-CN"/>
              </w:rPr>
              <w:t>且不少于</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lang w:eastAsia="zh-CN"/>
              </w:rPr>
              <w:t>人</w:t>
            </w:r>
            <w:r>
              <w:rPr>
                <w:rFonts w:hint="eastAsia" w:ascii="宋体" w:hAnsi="宋体" w:eastAsia="宋体" w:cs="宋体"/>
                <w:color w:val="auto"/>
                <w:spacing w:val="-2"/>
                <w:sz w:val="24"/>
                <w:szCs w:val="24"/>
                <w:highlight w:val="none"/>
              </w:rPr>
              <w:t>。</w:t>
            </w:r>
          </w:p>
          <w:p w14:paraId="2DED64A2">
            <w:pPr>
              <w:spacing w:before="111" w:line="279" w:lineRule="auto"/>
              <w:ind w:left="11" w:right="55" w:firstLine="478"/>
              <w:rPr>
                <w:rFonts w:hint="eastAsia" w:ascii="宋体" w:hAnsi="宋体" w:eastAsia="宋体" w:cs="宋体"/>
                <w:sz w:val="24"/>
                <w:szCs w:val="24"/>
                <w:highlight w:val="none"/>
              </w:rPr>
            </w:pPr>
            <w:r>
              <w:rPr>
                <w:rFonts w:hint="eastAsia" w:ascii="宋体" w:hAnsi="宋体" w:eastAsia="宋体" w:cs="宋体"/>
                <w:color w:val="auto"/>
                <w:spacing w:val="-1"/>
                <w:sz w:val="24"/>
                <w:szCs w:val="24"/>
                <w:highlight w:val="none"/>
              </w:rPr>
              <w:t>3.4投标人</w:t>
            </w:r>
            <w:r>
              <w:rPr>
                <w:rFonts w:hint="eastAsia" w:ascii="宋体" w:hAnsi="宋体" w:eastAsia="宋体" w:cs="宋体"/>
                <w:spacing w:val="-1"/>
                <w:sz w:val="24"/>
                <w:szCs w:val="24"/>
                <w:highlight w:val="none"/>
              </w:rPr>
              <w:t>与其拟派往本项</w:t>
            </w:r>
            <w:r>
              <w:rPr>
                <w:rFonts w:hint="eastAsia" w:ascii="宋体" w:hAnsi="宋体" w:eastAsia="宋体" w:cs="宋体"/>
                <w:spacing w:val="-3"/>
                <w:sz w:val="24"/>
                <w:szCs w:val="24"/>
                <w:highlight w:val="none"/>
              </w:rPr>
              <w:t>目管理机构的所有人员之间必须具备合法、唯一的劳动聘用关系。拟</w:t>
            </w:r>
            <w:r>
              <w:rPr>
                <w:rFonts w:hint="eastAsia" w:ascii="宋体" w:hAnsi="宋体" w:eastAsia="宋体" w:cs="宋体"/>
                <w:spacing w:val="-1"/>
                <w:sz w:val="24"/>
                <w:szCs w:val="24"/>
                <w:highlight w:val="none"/>
              </w:rPr>
              <w:t>派人员中具备注册执业资格的，其注册单位须与投标人保持一致。</w:t>
            </w:r>
          </w:p>
          <w:p w14:paraId="30E63869">
            <w:pPr>
              <w:spacing w:before="113" w:line="219" w:lineRule="auto"/>
              <w:ind w:left="489"/>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4．禁止投标条款：</w:t>
            </w:r>
          </w:p>
          <w:p w14:paraId="150A82C1">
            <w:pPr>
              <w:spacing w:before="119" w:line="220" w:lineRule="auto"/>
              <w:ind w:left="483"/>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4.1投标人不得存在下列情形之一：</w:t>
            </w:r>
          </w:p>
          <w:p w14:paraId="59A8CAFE">
            <w:pPr>
              <w:spacing w:before="115" w:line="219" w:lineRule="auto"/>
              <w:ind w:left="500"/>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（1）为招标人不具有独立法人资格的附属机构（单位</w:t>
            </w:r>
            <w:r>
              <w:rPr>
                <w:rFonts w:hint="eastAsia" w:ascii="宋体" w:hAnsi="宋体" w:eastAsia="宋体" w:cs="宋体"/>
                <w:spacing w:val="1"/>
                <w:sz w:val="24"/>
                <w:szCs w:val="24"/>
                <w:highlight w:val="none"/>
              </w:rPr>
              <w:t>）；</w:t>
            </w:r>
          </w:p>
          <w:p w14:paraId="175CD10F">
            <w:pPr>
              <w:spacing w:before="116" w:line="219" w:lineRule="auto"/>
              <w:ind w:left="500"/>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（2）为本招标项目前期准备提供设计或咨询服务的；</w:t>
            </w:r>
          </w:p>
          <w:p w14:paraId="7B09888F">
            <w:pPr>
              <w:spacing w:before="113" w:line="219" w:lineRule="auto"/>
              <w:ind w:left="500"/>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（3）与本招标项目的其他投标人为同一个单位负责人；</w:t>
            </w:r>
          </w:p>
          <w:p w14:paraId="4A74D9DD">
            <w:pPr>
              <w:spacing w:before="116" w:line="219" w:lineRule="auto"/>
              <w:ind w:left="500"/>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（4）与本招标项目的其他投标人存在控股、管理关系；</w:t>
            </w:r>
          </w:p>
          <w:p w14:paraId="2C802BA9">
            <w:pPr>
              <w:spacing w:before="116" w:line="219" w:lineRule="auto"/>
              <w:ind w:left="500"/>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（5）为本招标项目的监理人；</w:t>
            </w:r>
          </w:p>
          <w:p w14:paraId="1C5ADB57">
            <w:pPr>
              <w:spacing w:before="113" w:line="219" w:lineRule="auto"/>
              <w:ind w:left="500"/>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（6）为本招标项目的代建人；</w:t>
            </w:r>
          </w:p>
          <w:p w14:paraId="4E092B98">
            <w:pPr>
              <w:spacing w:before="116" w:line="219" w:lineRule="auto"/>
              <w:ind w:left="500"/>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（7）为本招标项目的招标代理机构；</w:t>
            </w:r>
          </w:p>
          <w:p w14:paraId="56A86315">
            <w:pPr>
              <w:spacing w:before="116" w:line="263" w:lineRule="auto"/>
              <w:ind w:left="10" w:right="4" w:firstLine="492"/>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（8）与本招标项目的监理人或代建人或招标代理机</w:t>
            </w:r>
            <w:r>
              <w:rPr>
                <w:rFonts w:hint="eastAsia" w:ascii="宋体" w:hAnsi="宋体" w:eastAsia="宋体" w:cs="宋体"/>
                <w:sz w:val="24"/>
                <w:szCs w:val="24"/>
                <w:highlight w:val="none"/>
              </w:rPr>
              <w:t>构同为一个</w:t>
            </w:r>
            <w:r>
              <w:rPr>
                <w:rFonts w:hint="eastAsia" w:ascii="宋体" w:hAnsi="宋体" w:eastAsia="宋体" w:cs="宋体"/>
                <w:spacing w:val="-2"/>
                <w:sz w:val="24"/>
                <w:szCs w:val="24"/>
                <w:highlight w:val="none"/>
              </w:rPr>
              <w:t>法定代表人；</w:t>
            </w:r>
          </w:p>
          <w:p w14:paraId="02D7A70A">
            <w:pPr>
              <w:spacing w:before="113" w:line="265" w:lineRule="auto"/>
              <w:ind w:left="12" w:right="4" w:firstLine="491"/>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（9）与本招标项目的监理人或代建人或招标代理机</w:t>
            </w:r>
            <w:r>
              <w:rPr>
                <w:rFonts w:hint="eastAsia" w:ascii="宋体" w:hAnsi="宋体" w:eastAsia="宋体" w:cs="宋体"/>
                <w:sz w:val="24"/>
                <w:szCs w:val="24"/>
                <w:highlight w:val="none"/>
              </w:rPr>
              <w:t>构存在控股</w:t>
            </w:r>
            <w:r>
              <w:rPr>
                <w:rFonts w:hint="eastAsia" w:ascii="宋体" w:hAnsi="宋体" w:eastAsia="宋体" w:cs="宋体"/>
                <w:spacing w:val="-3"/>
                <w:sz w:val="24"/>
                <w:szCs w:val="24"/>
                <w:highlight w:val="none"/>
              </w:rPr>
              <w:t>或参股关系；</w:t>
            </w:r>
          </w:p>
          <w:p w14:paraId="6D97013D">
            <w:pPr>
              <w:spacing w:before="112" w:line="264" w:lineRule="auto"/>
              <w:ind w:left="8" w:right="4" w:firstLine="456"/>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（10）与本招标项目的监理人或代建人或招标代理机构存在相互任职或工作关系；</w:t>
            </w:r>
          </w:p>
          <w:p w14:paraId="6C25071F">
            <w:pPr>
              <w:spacing w:before="116" w:line="219" w:lineRule="auto"/>
              <w:ind w:left="500"/>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（11）被依法暂停或者取消投标资格；</w:t>
            </w:r>
          </w:p>
          <w:p w14:paraId="2F6896E0">
            <w:pPr>
              <w:spacing w:before="113" w:line="265" w:lineRule="auto"/>
              <w:ind w:left="10" w:right="4" w:firstLine="473"/>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（12）被责令停产停业、暂扣或者吊销许可证、暂扣或者吊销执</w:t>
            </w:r>
            <w:r>
              <w:rPr>
                <w:rFonts w:hint="eastAsia" w:ascii="宋体" w:hAnsi="宋体" w:eastAsia="宋体" w:cs="宋体"/>
                <w:spacing w:val="-6"/>
                <w:sz w:val="24"/>
                <w:szCs w:val="24"/>
                <w:highlight w:val="none"/>
              </w:rPr>
              <w:t>照；</w:t>
            </w:r>
          </w:p>
          <w:p w14:paraId="671CB55F">
            <w:pPr>
              <w:spacing w:before="113" w:line="264" w:lineRule="auto"/>
              <w:ind w:left="12" w:right="4" w:firstLine="471"/>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（13）进入清算程序，或被宣告破产，或其他丧失履约能力的情</w:t>
            </w:r>
            <w:r>
              <w:rPr>
                <w:rFonts w:hint="eastAsia" w:ascii="宋体" w:hAnsi="宋体" w:eastAsia="宋体" w:cs="宋体"/>
                <w:spacing w:val="-7"/>
                <w:sz w:val="24"/>
                <w:szCs w:val="24"/>
                <w:highlight w:val="none"/>
              </w:rPr>
              <w:t>形；</w:t>
            </w:r>
          </w:p>
          <w:p w14:paraId="37D6B694">
            <w:pPr>
              <w:spacing w:before="112" w:line="264" w:lineRule="auto"/>
              <w:ind w:left="11" w:right="4" w:firstLine="489"/>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（14）在最近三年内发生重大工程质量或安全问题（</w:t>
            </w:r>
            <w:r>
              <w:rPr>
                <w:rFonts w:hint="eastAsia" w:ascii="宋体" w:hAnsi="宋体" w:eastAsia="宋体" w:cs="宋体"/>
                <w:spacing w:val="-4"/>
                <w:sz w:val="24"/>
                <w:szCs w:val="24"/>
                <w:highlight w:val="none"/>
              </w:rPr>
              <w:t>以相关行业</w:t>
            </w:r>
            <w:r>
              <w:rPr>
                <w:rFonts w:hint="eastAsia" w:ascii="宋体" w:hAnsi="宋体" w:eastAsia="宋体" w:cs="宋体"/>
                <w:spacing w:val="-1"/>
                <w:sz w:val="24"/>
                <w:szCs w:val="24"/>
                <w:highlight w:val="none"/>
              </w:rPr>
              <w:t>主管部门的行政处罚决定或司法机关出具的有关法律文书为准</w:t>
            </w:r>
            <w:r>
              <w:rPr>
                <w:rFonts w:hint="eastAsia" w:ascii="宋体" w:hAnsi="宋体" w:eastAsia="宋体" w:cs="宋体"/>
                <w:spacing w:val="7"/>
                <w:sz w:val="24"/>
                <w:szCs w:val="24"/>
                <w:highlight w:val="none"/>
              </w:rPr>
              <w:t>）；</w:t>
            </w:r>
          </w:p>
          <w:p w14:paraId="7A8BEE91">
            <w:pPr>
              <w:spacing w:before="78" w:line="277" w:lineRule="auto"/>
              <w:ind w:left="15" w:firstLine="5"/>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（15）被“信用中国”网站（https://www.creditchina.g</w:t>
            </w:r>
            <w:r>
              <w:rPr>
                <w:rFonts w:hint="eastAsia" w:ascii="宋体" w:hAnsi="宋体" w:eastAsia="宋体" w:cs="宋体"/>
                <w:spacing w:val="-2"/>
                <w:sz w:val="24"/>
                <w:szCs w:val="24"/>
                <w:highlight w:val="none"/>
              </w:rPr>
              <w:t>ov.cn）发布的</w:t>
            </w:r>
            <w:r>
              <w:rPr>
                <w:rFonts w:hint="eastAsia" w:ascii="宋体" w:hAnsi="宋体" w:eastAsia="宋体" w:cs="宋体"/>
                <w:spacing w:val="-3"/>
                <w:sz w:val="24"/>
                <w:szCs w:val="24"/>
                <w:highlight w:val="none"/>
              </w:rPr>
              <w:t>《法人和非法人组织公共信用信息报告》列为严重失信主体名单的。</w:t>
            </w:r>
          </w:p>
          <w:p w14:paraId="29EAB037">
            <w:pPr>
              <w:spacing w:before="113" w:line="219" w:lineRule="auto"/>
              <w:ind w:left="489"/>
              <w:rPr>
                <w:rFonts w:hint="eastAsia" w:ascii="宋体" w:hAnsi="宋体" w:eastAsia="宋体" w:cs="宋体"/>
                <w:spacing w:val="-1"/>
                <w:sz w:val="24"/>
                <w:szCs w:val="24"/>
                <w:highlight w:val="none"/>
              </w:rPr>
            </w:pPr>
            <w:r>
              <w:rPr>
                <w:rFonts w:hint="eastAsia" w:ascii="宋体" w:hAnsi="宋体" w:eastAsia="宋体" w:cs="宋体"/>
                <w:sz w:val="24"/>
                <w:szCs w:val="24"/>
                <w:highlight w:val="none"/>
              </w:rPr>
              <w:t>4.2招标人拒绝以下名单中的单位参加</w:t>
            </w:r>
            <w:r>
              <w:rPr>
                <w:rFonts w:hint="eastAsia" w:ascii="宋体" w:hAnsi="宋体" w:eastAsia="宋体" w:cs="宋体"/>
                <w:spacing w:val="-1"/>
                <w:sz w:val="24"/>
                <w:szCs w:val="24"/>
                <w:highlight w:val="none"/>
              </w:rPr>
              <w:t>本次投标：</w:t>
            </w:r>
          </w:p>
          <w:tbl>
            <w:tblPr>
              <w:tblStyle w:val="14"/>
              <w:tblW w:w="76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3291"/>
              <w:gridCol w:w="3495"/>
            </w:tblGrid>
            <w:tr w14:paraId="6FFC5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noWrap w:val="0"/>
                  <w:vAlign w:val="top"/>
                </w:tcPr>
                <w:p w14:paraId="43253BEA">
                  <w:pPr>
                    <w:widowControl w:val="0"/>
                    <w:spacing w:before="113" w:line="219" w:lineRule="auto"/>
                    <w:jc w:val="center"/>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序号</w:t>
                  </w:r>
                </w:p>
              </w:tc>
              <w:tc>
                <w:tcPr>
                  <w:tcW w:w="3291" w:type="dxa"/>
                  <w:noWrap w:val="0"/>
                  <w:vAlign w:val="center"/>
                </w:tcPr>
                <w:p w14:paraId="46917DEF">
                  <w:pPr>
                    <w:widowControl w:val="0"/>
                    <w:wordWrap w:val="0"/>
                    <w:spacing w:line="400" w:lineRule="exact"/>
                    <w:rPr>
                      <w:rFonts w:hint="eastAsia" w:ascii="宋体" w:hAnsi="宋体" w:eastAsia="宋体" w:cs="宋体"/>
                      <w:spacing w:val="-1"/>
                      <w:sz w:val="24"/>
                      <w:szCs w:val="24"/>
                      <w:highlight w:val="none"/>
                    </w:rPr>
                  </w:pPr>
                  <w:r>
                    <w:rPr>
                      <w:rFonts w:hint="eastAsia" w:ascii="宋体" w:hAnsi="宋体" w:eastAsia="宋体" w:cs="宋体"/>
                      <w:sz w:val="24"/>
                      <w:szCs w:val="24"/>
                      <w:highlight w:val="none"/>
                    </w:rPr>
                    <w:t>单位名称</w:t>
                  </w:r>
                </w:p>
              </w:tc>
              <w:tc>
                <w:tcPr>
                  <w:tcW w:w="3495" w:type="dxa"/>
                  <w:noWrap w:val="0"/>
                  <w:vAlign w:val="center"/>
                </w:tcPr>
                <w:p w14:paraId="5C255A2A">
                  <w:pPr>
                    <w:widowControl w:val="0"/>
                    <w:wordWrap w:val="0"/>
                    <w:spacing w:line="400" w:lineRule="exact"/>
                    <w:rPr>
                      <w:rFonts w:hint="eastAsia" w:ascii="宋体" w:hAnsi="宋体" w:eastAsia="宋体" w:cs="宋体"/>
                      <w:spacing w:val="-1"/>
                      <w:sz w:val="24"/>
                      <w:szCs w:val="24"/>
                      <w:highlight w:val="none"/>
                    </w:rPr>
                  </w:pPr>
                  <w:r>
                    <w:rPr>
                      <w:rFonts w:hint="eastAsia" w:ascii="宋体" w:hAnsi="宋体" w:eastAsia="宋体" w:cs="宋体"/>
                      <w:sz w:val="24"/>
                      <w:szCs w:val="24"/>
                      <w:highlight w:val="none"/>
                    </w:rPr>
                    <w:t>拒绝原因</w:t>
                  </w:r>
                </w:p>
              </w:tc>
            </w:tr>
            <w:tr w14:paraId="36F8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noWrap w:val="0"/>
                  <w:vAlign w:val="top"/>
                </w:tcPr>
                <w:p w14:paraId="18E2F951">
                  <w:pPr>
                    <w:widowControl w:val="0"/>
                    <w:spacing w:before="113" w:line="219" w:lineRule="auto"/>
                    <w:jc w:val="center"/>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1</w:t>
                  </w:r>
                </w:p>
              </w:tc>
              <w:tc>
                <w:tcPr>
                  <w:tcW w:w="3291" w:type="dxa"/>
                  <w:noWrap w:val="0"/>
                  <w:vAlign w:val="top"/>
                </w:tcPr>
                <w:p w14:paraId="1F7E9FE6">
                  <w:pPr>
                    <w:widowControl w:val="0"/>
                    <w:spacing w:before="113" w:line="219" w:lineRule="auto"/>
                    <w:rPr>
                      <w:rFonts w:hint="eastAsia" w:ascii="宋体" w:hAnsi="宋体" w:eastAsia="宋体" w:cs="宋体"/>
                      <w:spacing w:val="-1"/>
                      <w:sz w:val="24"/>
                      <w:szCs w:val="24"/>
                      <w:highlight w:val="none"/>
                    </w:rPr>
                  </w:pPr>
                  <w:r>
                    <w:rPr>
                      <w:rFonts w:hint="eastAsia" w:ascii="宋体" w:hAnsi="宋体" w:eastAsia="宋体" w:cs="宋体"/>
                      <w:sz w:val="24"/>
                      <w:szCs w:val="24"/>
                      <w:highlight w:val="none"/>
                      <w:lang w:eastAsia="zh-CN"/>
                    </w:rPr>
                    <w:t>乐昌市三溪镇人民政府</w:t>
                  </w:r>
                </w:p>
              </w:tc>
              <w:tc>
                <w:tcPr>
                  <w:tcW w:w="3495" w:type="dxa"/>
                  <w:noWrap w:val="0"/>
                  <w:vAlign w:val="center"/>
                </w:tcPr>
                <w:p w14:paraId="28FC34F8">
                  <w:pPr>
                    <w:pStyle w:val="22"/>
                    <w:wordWrap w:val="0"/>
                    <w:adjustRightInd w:val="0"/>
                    <w:snapToGrid w:val="0"/>
                    <w:spacing w:line="360" w:lineRule="auto"/>
                    <w:jc w:val="left"/>
                    <w:rPr>
                      <w:rFonts w:hint="eastAsia" w:ascii="宋体" w:hAnsi="宋体" w:cs="宋体"/>
                      <w:spacing w:val="-1"/>
                      <w:sz w:val="24"/>
                      <w:highlight w:val="none"/>
                    </w:rPr>
                  </w:pPr>
                  <w:r>
                    <w:rPr>
                      <w:rFonts w:hint="eastAsia" w:ascii="宋体" w:hAnsi="宋体" w:cs="宋体"/>
                      <w:sz w:val="24"/>
                      <w:highlight w:val="none"/>
                    </w:rPr>
                    <w:t>为本招标项目的业主单位</w:t>
                  </w:r>
                </w:p>
              </w:tc>
            </w:tr>
            <w:tr w14:paraId="0A051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noWrap w:val="0"/>
                  <w:vAlign w:val="top"/>
                </w:tcPr>
                <w:p w14:paraId="4C6563AA">
                  <w:pPr>
                    <w:widowControl w:val="0"/>
                    <w:spacing w:before="113" w:line="219" w:lineRule="auto"/>
                    <w:jc w:val="center"/>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2</w:t>
                  </w:r>
                </w:p>
              </w:tc>
              <w:tc>
                <w:tcPr>
                  <w:tcW w:w="3291" w:type="dxa"/>
                  <w:noWrap w:val="0"/>
                  <w:vAlign w:val="top"/>
                </w:tcPr>
                <w:p w14:paraId="3F645F75">
                  <w:pPr>
                    <w:widowControl w:val="0"/>
                    <w:spacing w:before="113" w:line="219" w:lineRule="auto"/>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z w:val="24"/>
                      <w:szCs w:val="24"/>
                      <w:highlight w:val="none"/>
                      <w:shd w:val="clear" w:color="auto" w:fill="FFFFFF"/>
                      <w:lang w:eastAsia="zh-CN"/>
                    </w:rPr>
                    <w:t>皓筠工程设计有限公司</w:t>
                  </w:r>
                </w:p>
              </w:tc>
              <w:tc>
                <w:tcPr>
                  <w:tcW w:w="3495" w:type="dxa"/>
                  <w:noWrap w:val="0"/>
                  <w:vAlign w:val="center"/>
                </w:tcPr>
                <w:p w14:paraId="29D85F6A">
                  <w:pPr>
                    <w:pStyle w:val="22"/>
                    <w:wordWrap w:val="0"/>
                    <w:adjustRightInd w:val="0"/>
                    <w:snapToGrid w:val="0"/>
                    <w:spacing w:line="360" w:lineRule="auto"/>
                    <w:jc w:val="left"/>
                    <w:rPr>
                      <w:rFonts w:hint="eastAsia" w:ascii="宋体" w:hAnsi="宋体" w:cs="宋体"/>
                      <w:spacing w:val="-1"/>
                      <w:sz w:val="24"/>
                      <w:highlight w:val="none"/>
                    </w:rPr>
                  </w:pPr>
                  <w:r>
                    <w:rPr>
                      <w:rFonts w:hint="eastAsia" w:ascii="宋体" w:hAnsi="宋体" w:cs="宋体"/>
                      <w:sz w:val="24"/>
                      <w:highlight w:val="none"/>
                    </w:rPr>
                    <w:t>为本招标项目的设计单位</w:t>
                  </w:r>
                </w:p>
              </w:tc>
            </w:tr>
            <w:tr w14:paraId="68CE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noWrap w:val="0"/>
                  <w:vAlign w:val="top"/>
                </w:tcPr>
                <w:p w14:paraId="5CB74039">
                  <w:pPr>
                    <w:widowControl w:val="0"/>
                    <w:spacing w:before="113" w:line="219" w:lineRule="auto"/>
                    <w:jc w:val="center"/>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3</w:t>
                  </w:r>
                </w:p>
              </w:tc>
              <w:tc>
                <w:tcPr>
                  <w:tcW w:w="3291" w:type="dxa"/>
                  <w:noWrap w:val="0"/>
                  <w:vAlign w:val="top"/>
                </w:tcPr>
                <w:p w14:paraId="40835D13">
                  <w:pPr>
                    <w:widowControl w:val="0"/>
                    <w:spacing w:before="113" w:line="219" w:lineRule="auto"/>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lang w:eastAsia="zh-CN"/>
                    </w:rPr>
                    <w:t>韶关市北桓工程咨询有限公司</w:t>
                  </w:r>
                </w:p>
              </w:tc>
              <w:tc>
                <w:tcPr>
                  <w:tcW w:w="3495" w:type="dxa"/>
                  <w:noWrap w:val="0"/>
                  <w:vAlign w:val="center"/>
                </w:tcPr>
                <w:p w14:paraId="5C36BE00">
                  <w:pPr>
                    <w:pStyle w:val="22"/>
                    <w:wordWrap w:val="0"/>
                    <w:adjustRightInd w:val="0"/>
                    <w:snapToGrid w:val="0"/>
                    <w:spacing w:line="360" w:lineRule="auto"/>
                    <w:jc w:val="left"/>
                    <w:rPr>
                      <w:rFonts w:hint="eastAsia" w:ascii="宋体" w:hAnsi="宋体" w:cs="宋体"/>
                      <w:spacing w:val="-1"/>
                      <w:sz w:val="24"/>
                      <w:highlight w:val="none"/>
                    </w:rPr>
                  </w:pPr>
                  <w:r>
                    <w:rPr>
                      <w:rFonts w:hint="eastAsia" w:ascii="宋体" w:hAnsi="宋体" w:cs="宋体"/>
                      <w:sz w:val="24"/>
                      <w:highlight w:val="none"/>
                    </w:rPr>
                    <w:t>为本招标项目的招标代理机构</w:t>
                  </w:r>
                </w:p>
              </w:tc>
            </w:tr>
            <w:tr w14:paraId="74F1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noWrap w:val="0"/>
                  <w:vAlign w:val="top"/>
                </w:tcPr>
                <w:p w14:paraId="3B5AB4DB">
                  <w:pPr>
                    <w:widowControl w:val="0"/>
                    <w:spacing w:before="113" w:line="219" w:lineRule="auto"/>
                    <w:jc w:val="center"/>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4</w:t>
                  </w:r>
                </w:p>
              </w:tc>
              <w:tc>
                <w:tcPr>
                  <w:tcW w:w="3291" w:type="dxa"/>
                  <w:noWrap w:val="0"/>
                  <w:vAlign w:val="top"/>
                </w:tcPr>
                <w:p w14:paraId="710F3FDF">
                  <w:pPr>
                    <w:pStyle w:val="4"/>
                    <w:widowControl w:val="0"/>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z w:val="24"/>
                      <w:szCs w:val="24"/>
                      <w:highlight w:val="none"/>
                      <w:shd w:val="clear" w:color="auto" w:fill="FFFFFF"/>
                      <w:lang w:eastAsia="zh-CN"/>
                    </w:rPr>
                    <w:t>金诺智信工程项目管理有限公司</w:t>
                  </w:r>
                </w:p>
              </w:tc>
              <w:tc>
                <w:tcPr>
                  <w:tcW w:w="3495" w:type="dxa"/>
                  <w:noWrap w:val="0"/>
                  <w:vAlign w:val="center"/>
                </w:tcPr>
                <w:p w14:paraId="3D45B6D1">
                  <w:pPr>
                    <w:pStyle w:val="22"/>
                    <w:wordWrap w:val="0"/>
                    <w:adjustRightInd w:val="0"/>
                    <w:snapToGrid w:val="0"/>
                    <w:spacing w:line="360" w:lineRule="auto"/>
                    <w:jc w:val="left"/>
                    <w:rPr>
                      <w:rFonts w:hint="eastAsia" w:ascii="宋体" w:hAnsi="宋体" w:cs="宋体"/>
                      <w:sz w:val="24"/>
                      <w:highlight w:val="none"/>
                    </w:rPr>
                  </w:pPr>
                  <w:r>
                    <w:rPr>
                      <w:rFonts w:hint="eastAsia" w:ascii="宋体" w:hAnsi="宋体" w:cs="宋体"/>
                      <w:sz w:val="24"/>
                      <w:highlight w:val="none"/>
                    </w:rPr>
                    <w:t>为本招标项目的预算编制单位</w:t>
                  </w:r>
                </w:p>
              </w:tc>
            </w:tr>
            <w:tr w14:paraId="67D4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noWrap w:val="0"/>
                  <w:vAlign w:val="top"/>
                </w:tcPr>
                <w:p w14:paraId="080F4F6D">
                  <w:pPr>
                    <w:widowControl w:val="0"/>
                    <w:spacing w:before="113" w:line="219" w:lineRule="auto"/>
                    <w:jc w:val="center"/>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5</w:t>
                  </w:r>
                </w:p>
              </w:tc>
              <w:tc>
                <w:tcPr>
                  <w:tcW w:w="3291" w:type="dxa"/>
                  <w:noWrap w:val="0"/>
                  <w:vAlign w:val="top"/>
                </w:tcPr>
                <w:p w14:paraId="07A91388">
                  <w:pPr>
                    <w:pStyle w:val="4"/>
                    <w:widowControl w:val="0"/>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lang w:eastAsia="zh-CN"/>
                    </w:rPr>
                    <w:t>待定</w:t>
                  </w:r>
                </w:p>
              </w:tc>
              <w:tc>
                <w:tcPr>
                  <w:tcW w:w="3495" w:type="dxa"/>
                  <w:noWrap w:val="0"/>
                  <w:vAlign w:val="center"/>
                </w:tcPr>
                <w:p w14:paraId="54811623">
                  <w:pPr>
                    <w:pStyle w:val="22"/>
                    <w:wordWrap w:val="0"/>
                    <w:adjustRightInd w:val="0"/>
                    <w:snapToGrid w:val="0"/>
                    <w:spacing w:line="360" w:lineRule="auto"/>
                    <w:jc w:val="left"/>
                    <w:rPr>
                      <w:rFonts w:hint="eastAsia" w:ascii="宋体" w:hAnsi="宋体" w:cs="宋体"/>
                      <w:sz w:val="24"/>
                      <w:highlight w:val="none"/>
                    </w:rPr>
                  </w:pPr>
                  <w:r>
                    <w:rPr>
                      <w:rFonts w:hint="eastAsia" w:ascii="宋体" w:hAnsi="宋体" w:cs="宋体"/>
                      <w:sz w:val="24"/>
                      <w:highlight w:val="none"/>
                    </w:rPr>
                    <w:t>为本招标项目的</w:t>
                  </w:r>
                  <w:r>
                    <w:rPr>
                      <w:rFonts w:hint="eastAsia" w:ascii="宋体" w:hAnsi="宋体" w:cs="宋体"/>
                      <w:sz w:val="24"/>
                      <w:highlight w:val="none"/>
                      <w:lang w:val="en-US" w:eastAsia="zh-CN"/>
                    </w:rPr>
                    <w:t>监理</w:t>
                  </w:r>
                  <w:r>
                    <w:rPr>
                      <w:rFonts w:hint="eastAsia" w:ascii="宋体" w:hAnsi="宋体" w:cs="宋体"/>
                      <w:sz w:val="24"/>
                      <w:highlight w:val="none"/>
                    </w:rPr>
                    <w:t>单位</w:t>
                  </w:r>
                </w:p>
              </w:tc>
            </w:tr>
          </w:tbl>
          <w:p w14:paraId="3C82F349">
            <w:pPr>
              <w:spacing w:before="110" w:line="221" w:lineRule="auto"/>
              <w:ind w:left="491"/>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5．其他要求</w:t>
            </w:r>
          </w:p>
          <w:p w14:paraId="37416BA1">
            <w:pPr>
              <w:pStyle w:val="3"/>
              <w:ind w:firstLine="702" w:firstLineChars="300"/>
              <w:rPr>
                <w:rFonts w:hint="eastAsia" w:ascii="宋体" w:hAnsi="宋体" w:eastAsia="宋体" w:cs="宋体"/>
                <w:sz w:val="24"/>
                <w:szCs w:val="24"/>
                <w:highlight w:val="none"/>
                <w:lang w:eastAsia="zh-CN"/>
              </w:rPr>
            </w:pPr>
            <w:r>
              <w:rPr>
                <w:rFonts w:hint="eastAsia" w:ascii="宋体" w:hAnsi="宋体" w:eastAsia="宋体" w:cs="宋体"/>
                <w:spacing w:val="-3"/>
                <w:sz w:val="24"/>
                <w:szCs w:val="24"/>
                <w:highlight w:val="none"/>
              </w:rPr>
              <w:t>省外企业及其拟派往本项目管理机构的所有人员均须按照</w:t>
            </w:r>
            <w:r>
              <w:rPr>
                <w:rFonts w:hint="eastAsia" w:ascii="宋体" w:hAnsi="宋体" w:eastAsia="宋体" w:cs="宋体"/>
                <w:spacing w:val="-4"/>
                <w:sz w:val="24"/>
                <w:szCs w:val="24"/>
                <w:highlight w:val="none"/>
              </w:rPr>
              <w:t>《广东</w:t>
            </w:r>
            <w:r>
              <w:rPr>
                <w:rFonts w:hint="eastAsia" w:ascii="宋体" w:hAnsi="宋体" w:eastAsia="宋体" w:cs="宋体"/>
                <w:spacing w:val="5"/>
                <w:sz w:val="24"/>
                <w:szCs w:val="24"/>
                <w:highlight w:val="none"/>
              </w:rPr>
              <w:t>省住房和城乡建设厅关于取消省外建筑企业和人员进粤信息备案有</w:t>
            </w:r>
            <w:r>
              <w:rPr>
                <w:rFonts w:hint="eastAsia" w:ascii="宋体" w:hAnsi="宋体" w:eastAsia="宋体" w:cs="宋体"/>
                <w:spacing w:val="2"/>
                <w:sz w:val="24"/>
                <w:szCs w:val="24"/>
                <w:highlight w:val="none"/>
              </w:rPr>
              <w:t>关工作的通知》（粤建市﹝2015﹞52号）规定</w:t>
            </w:r>
            <w:r>
              <w:rPr>
                <w:rFonts w:hint="eastAsia" w:ascii="宋体" w:hAnsi="宋体" w:eastAsia="宋体" w:cs="宋体"/>
                <w:spacing w:val="1"/>
                <w:sz w:val="24"/>
                <w:szCs w:val="24"/>
                <w:highlight w:val="none"/>
              </w:rPr>
              <w:t>在“进粤企业和人员</w:t>
            </w:r>
            <w:r>
              <w:rPr>
                <w:rFonts w:hint="eastAsia" w:ascii="宋体" w:hAnsi="宋体" w:eastAsia="宋体" w:cs="宋体"/>
                <w:spacing w:val="-2"/>
                <w:sz w:val="24"/>
                <w:szCs w:val="24"/>
                <w:highlight w:val="none"/>
              </w:rPr>
              <w:t>诚信信息登记平台”录入相关信息并通过数据规范检查。</w:t>
            </w:r>
          </w:p>
          <w:p w14:paraId="5CF9F035">
            <w:pPr>
              <w:spacing w:before="75" w:line="276" w:lineRule="auto"/>
              <w:jc w:val="center"/>
              <w:rPr>
                <w:rFonts w:hint="eastAsia" w:ascii="宋体" w:hAnsi="宋体" w:eastAsia="宋体" w:cs="宋体"/>
                <w:sz w:val="24"/>
                <w:szCs w:val="24"/>
                <w:highlight w:val="none"/>
              </w:rPr>
            </w:pPr>
          </w:p>
        </w:tc>
      </w:tr>
      <w:tr w14:paraId="6D0CC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After w:w="0" w:type="auto"/>
          <w:trHeight w:val="500" w:hRule="atLeast"/>
        </w:trPr>
        <w:tc>
          <w:tcPr>
            <w:tcW w:w="627" w:type="dxa"/>
            <w:noWrap w:val="0"/>
            <w:vAlign w:val="center"/>
          </w:tcPr>
          <w:p w14:paraId="19FBBDA0">
            <w:pPr>
              <w:spacing w:before="19"/>
              <w:jc w:val="center"/>
              <w:rPr>
                <w:rFonts w:hint="eastAsia" w:ascii="宋体" w:hAnsi="宋体" w:eastAsia="宋体" w:cs="宋体"/>
                <w:sz w:val="24"/>
                <w:szCs w:val="24"/>
              </w:rPr>
            </w:pPr>
            <w:r>
              <w:rPr>
                <w:rFonts w:hint="eastAsia" w:ascii="宋体" w:hAnsi="宋体" w:eastAsia="宋体" w:cs="宋体"/>
                <w:spacing w:val="-3"/>
                <w:sz w:val="24"/>
                <w:szCs w:val="24"/>
              </w:rPr>
              <w:t>27</w:t>
            </w:r>
          </w:p>
        </w:tc>
        <w:tc>
          <w:tcPr>
            <w:tcW w:w="1828" w:type="dxa"/>
            <w:noWrap w:val="0"/>
            <w:vAlign w:val="top"/>
          </w:tcPr>
          <w:p w14:paraId="4B2F397E">
            <w:pPr>
              <w:spacing w:before="148" w:line="221" w:lineRule="auto"/>
              <w:ind w:left="266"/>
              <w:jc w:val="center"/>
              <w:rPr>
                <w:rFonts w:hint="eastAsia" w:ascii="宋体" w:hAnsi="宋体" w:eastAsia="宋体" w:cs="宋体"/>
                <w:sz w:val="24"/>
                <w:szCs w:val="24"/>
              </w:rPr>
            </w:pPr>
            <w:r>
              <w:rPr>
                <w:rFonts w:hint="eastAsia" w:ascii="宋体" w:hAnsi="宋体" w:eastAsia="宋体" w:cs="宋体"/>
                <w:spacing w:val="-3"/>
                <w:sz w:val="24"/>
                <w:szCs w:val="24"/>
              </w:rPr>
              <w:t>投标有效期</w:t>
            </w:r>
          </w:p>
        </w:tc>
        <w:tc>
          <w:tcPr>
            <w:tcW w:w="7878" w:type="dxa"/>
            <w:noWrap w:val="0"/>
            <w:vAlign w:val="top"/>
          </w:tcPr>
          <w:p w14:paraId="7810D49F">
            <w:pPr>
              <w:spacing w:before="161" w:line="219" w:lineRule="auto"/>
              <w:rPr>
                <w:rFonts w:hint="eastAsia" w:ascii="宋体" w:hAnsi="宋体" w:eastAsia="宋体" w:cs="宋体"/>
                <w:sz w:val="24"/>
                <w:szCs w:val="24"/>
              </w:rPr>
            </w:pPr>
            <w:r>
              <w:rPr>
                <w:rFonts w:hint="eastAsia" w:ascii="宋体" w:hAnsi="宋体" w:eastAsia="宋体" w:cs="宋体"/>
                <w:spacing w:val="-2"/>
                <w:sz w:val="24"/>
                <w:szCs w:val="24"/>
              </w:rPr>
              <w:t>本次招标的投标有效期为</w:t>
            </w:r>
            <w:r>
              <w:rPr>
                <w:rFonts w:hint="eastAsia" w:ascii="宋体" w:hAnsi="宋体" w:eastAsia="宋体" w:cs="宋体"/>
                <w:spacing w:val="-2"/>
                <w:sz w:val="24"/>
                <w:szCs w:val="24"/>
                <w:u w:val="single"/>
                <w:lang w:eastAsia="zh-CN"/>
              </w:rPr>
              <w:t>90</w:t>
            </w:r>
            <w:r>
              <w:rPr>
                <w:rFonts w:hint="eastAsia" w:ascii="宋体" w:hAnsi="宋体" w:eastAsia="宋体" w:cs="宋体"/>
                <w:spacing w:val="-2"/>
                <w:sz w:val="24"/>
                <w:szCs w:val="24"/>
              </w:rPr>
              <w:t>个日历天。</w:t>
            </w:r>
          </w:p>
        </w:tc>
      </w:tr>
      <w:tr w14:paraId="72E0A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After w:w="0" w:type="auto"/>
          <w:trHeight w:val="663" w:hRule="atLeast"/>
        </w:trPr>
        <w:tc>
          <w:tcPr>
            <w:tcW w:w="627" w:type="dxa"/>
            <w:tcBorders>
              <w:bottom w:val="nil"/>
            </w:tcBorders>
            <w:noWrap w:val="0"/>
            <w:vAlign w:val="center"/>
          </w:tcPr>
          <w:p w14:paraId="559AD613">
            <w:pPr>
              <w:spacing w:before="69" w:line="188" w:lineRule="auto"/>
              <w:ind w:left="205"/>
              <w:jc w:val="both"/>
              <w:rPr>
                <w:rFonts w:hint="eastAsia" w:ascii="宋体" w:hAnsi="宋体" w:eastAsia="宋体" w:cs="宋体"/>
                <w:sz w:val="24"/>
                <w:szCs w:val="24"/>
              </w:rPr>
            </w:pPr>
            <w:r>
              <w:rPr>
                <w:rFonts w:hint="eastAsia" w:ascii="宋体" w:hAnsi="宋体" w:eastAsia="宋体" w:cs="宋体"/>
                <w:spacing w:val="-3"/>
                <w:sz w:val="24"/>
                <w:szCs w:val="24"/>
              </w:rPr>
              <w:t>28</w:t>
            </w:r>
          </w:p>
        </w:tc>
        <w:tc>
          <w:tcPr>
            <w:tcW w:w="1828" w:type="dxa"/>
            <w:noWrap w:val="0"/>
            <w:vAlign w:val="top"/>
          </w:tcPr>
          <w:p w14:paraId="0789E5CD">
            <w:pPr>
              <w:spacing w:before="83" w:line="189" w:lineRule="auto"/>
              <w:jc w:val="center"/>
              <w:rPr>
                <w:rFonts w:hint="eastAsia" w:ascii="宋体" w:hAnsi="宋体" w:eastAsia="宋体" w:cs="宋体"/>
                <w:sz w:val="24"/>
                <w:szCs w:val="24"/>
                <w:lang w:eastAsia="zh-CN"/>
              </w:rPr>
            </w:pPr>
            <w:r>
              <w:rPr>
                <w:rFonts w:hint="eastAsia" w:ascii="宋体" w:hAnsi="宋体" w:eastAsia="宋体" w:cs="宋体"/>
                <w:spacing w:val="-4"/>
                <w:sz w:val="24"/>
                <w:szCs w:val="24"/>
              </w:rPr>
              <w:t>投标文件</w:t>
            </w:r>
            <w:r>
              <w:rPr>
                <w:rFonts w:hint="eastAsia" w:ascii="宋体" w:hAnsi="宋体" w:eastAsia="宋体" w:cs="宋体"/>
                <w:spacing w:val="-4"/>
                <w:sz w:val="24"/>
                <w:szCs w:val="24"/>
                <w:lang w:eastAsia="zh-CN"/>
              </w:rPr>
              <w:t>组成</w:t>
            </w:r>
          </w:p>
        </w:tc>
        <w:tc>
          <w:tcPr>
            <w:tcW w:w="7878" w:type="dxa"/>
            <w:tcBorders>
              <w:bottom w:val="nil"/>
            </w:tcBorders>
            <w:noWrap w:val="0"/>
            <w:vAlign w:val="top"/>
          </w:tcPr>
          <w:p w14:paraId="0899C9DA">
            <w:pPr>
              <w:spacing w:before="275" w:line="219" w:lineRule="auto"/>
              <w:rPr>
                <w:rFonts w:hint="eastAsia" w:ascii="宋体" w:hAnsi="宋体" w:eastAsia="宋体" w:cs="宋体"/>
                <w:sz w:val="24"/>
                <w:szCs w:val="24"/>
              </w:rPr>
            </w:pPr>
            <w:r>
              <w:rPr>
                <w:rFonts w:hint="eastAsia" w:ascii="宋体" w:hAnsi="宋体" w:eastAsia="宋体" w:cs="宋体"/>
                <w:spacing w:val="-1"/>
                <w:sz w:val="24"/>
                <w:szCs w:val="24"/>
              </w:rPr>
              <w:t>投标文件包括商务标书、经济标书、施工组织设计三个分册。</w:t>
            </w:r>
          </w:p>
        </w:tc>
      </w:tr>
      <w:tr w14:paraId="0A52A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After w:w="0" w:type="auto"/>
          <w:trHeight w:val="729" w:hRule="atLeast"/>
        </w:trPr>
        <w:tc>
          <w:tcPr>
            <w:tcW w:w="627" w:type="dxa"/>
            <w:noWrap w:val="0"/>
            <w:vAlign w:val="center"/>
          </w:tcPr>
          <w:p w14:paraId="485F0237">
            <w:pPr>
              <w:spacing w:before="69" w:line="188" w:lineRule="auto"/>
              <w:ind w:left="205"/>
              <w:jc w:val="both"/>
              <w:rPr>
                <w:rFonts w:hint="eastAsia" w:ascii="宋体" w:hAnsi="宋体" w:eastAsia="宋体" w:cs="宋体"/>
                <w:sz w:val="24"/>
                <w:szCs w:val="24"/>
              </w:rPr>
            </w:pPr>
            <w:r>
              <w:rPr>
                <w:rFonts w:hint="eastAsia" w:ascii="宋体" w:hAnsi="宋体" w:eastAsia="宋体" w:cs="宋体"/>
                <w:spacing w:val="-3"/>
                <w:sz w:val="24"/>
                <w:szCs w:val="24"/>
              </w:rPr>
              <w:t>29</w:t>
            </w:r>
          </w:p>
        </w:tc>
        <w:tc>
          <w:tcPr>
            <w:tcW w:w="1828" w:type="dxa"/>
            <w:noWrap w:val="0"/>
            <w:vAlign w:val="top"/>
          </w:tcPr>
          <w:p w14:paraId="104B7234">
            <w:pPr>
              <w:spacing w:before="84" w:line="244" w:lineRule="auto"/>
              <w:ind w:left="381" w:right="138" w:hanging="239"/>
              <w:jc w:val="center"/>
              <w:rPr>
                <w:rFonts w:hint="eastAsia" w:ascii="宋体" w:hAnsi="宋体" w:eastAsia="宋体" w:cs="宋体"/>
                <w:sz w:val="24"/>
                <w:szCs w:val="24"/>
              </w:rPr>
            </w:pPr>
            <w:r>
              <w:rPr>
                <w:rFonts w:hint="eastAsia" w:ascii="宋体" w:hAnsi="宋体" w:eastAsia="宋体" w:cs="宋体"/>
                <w:spacing w:val="-2"/>
                <w:sz w:val="24"/>
                <w:szCs w:val="24"/>
              </w:rPr>
              <w:t>施工组织设计</w:t>
            </w:r>
            <w:r>
              <w:rPr>
                <w:rFonts w:hint="eastAsia" w:ascii="宋体" w:hAnsi="宋体" w:eastAsia="宋体" w:cs="宋体"/>
                <w:spacing w:val="-3"/>
                <w:sz w:val="24"/>
                <w:szCs w:val="24"/>
              </w:rPr>
              <w:t>评审方式</w:t>
            </w:r>
          </w:p>
        </w:tc>
        <w:tc>
          <w:tcPr>
            <w:tcW w:w="7878" w:type="dxa"/>
            <w:noWrap w:val="0"/>
            <w:vAlign w:val="top"/>
          </w:tcPr>
          <w:p w14:paraId="2AED18F5">
            <w:pPr>
              <w:spacing w:before="242" w:line="276" w:lineRule="auto"/>
              <w:jc w:val="both"/>
              <w:rPr>
                <w:rFonts w:hint="eastAsia" w:ascii="宋体" w:hAnsi="宋体" w:eastAsia="宋体" w:cs="宋体"/>
                <w:color w:val="auto"/>
                <w:sz w:val="24"/>
                <w:szCs w:val="24"/>
              </w:rPr>
            </w:pPr>
            <w:r>
              <w:rPr>
                <w:rFonts w:hint="eastAsia" w:ascii="宋体" w:hAnsi="宋体" w:eastAsia="宋体" w:cs="宋体"/>
                <w:color w:val="auto"/>
                <w:spacing w:val="-6"/>
                <w:sz w:val="24"/>
                <w:szCs w:val="24"/>
              </w:rPr>
              <w:t>本次招标施工组织设计</w:t>
            </w:r>
            <w:r>
              <w:rPr>
                <w:rFonts w:hint="eastAsia" w:ascii="宋体" w:hAnsi="宋体" w:eastAsia="宋体" w:cs="宋体"/>
                <w:color w:val="auto"/>
                <w:spacing w:val="-6"/>
                <w:sz w:val="24"/>
                <w:szCs w:val="24"/>
                <w:u w:val="single"/>
              </w:rPr>
              <w:t>不采用</w:t>
            </w:r>
            <w:r>
              <w:rPr>
                <w:rFonts w:hint="eastAsia" w:ascii="宋体" w:hAnsi="宋体" w:eastAsia="宋体" w:cs="宋体"/>
                <w:color w:val="auto"/>
                <w:spacing w:val="-6"/>
                <w:sz w:val="24"/>
                <w:szCs w:val="24"/>
              </w:rPr>
              <w:t>“暗标”方式进行评审。</w:t>
            </w:r>
          </w:p>
        </w:tc>
      </w:tr>
      <w:tr w14:paraId="0BADD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After w:w="0" w:type="auto"/>
          <w:trHeight w:val="1289" w:hRule="atLeast"/>
        </w:trPr>
        <w:tc>
          <w:tcPr>
            <w:tcW w:w="627" w:type="dxa"/>
            <w:noWrap w:val="0"/>
            <w:vAlign w:val="center"/>
          </w:tcPr>
          <w:p w14:paraId="1E379732">
            <w:pPr>
              <w:spacing w:before="69" w:line="188" w:lineRule="auto"/>
              <w:ind w:left="209"/>
              <w:jc w:val="both"/>
              <w:rPr>
                <w:rFonts w:hint="eastAsia" w:ascii="宋体" w:hAnsi="宋体" w:eastAsia="宋体" w:cs="宋体"/>
                <w:sz w:val="24"/>
                <w:szCs w:val="24"/>
              </w:rPr>
            </w:pPr>
            <w:r>
              <w:rPr>
                <w:rFonts w:hint="eastAsia" w:ascii="宋体" w:hAnsi="宋体" w:eastAsia="宋体" w:cs="宋体"/>
                <w:spacing w:val="-5"/>
                <w:sz w:val="24"/>
                <w:szCs w:val="24"/>
              </w:rPr>
              <w:t>30</w:t>
            </w:r>
          </w:p>
        </w:tc>
        <w:tc>
          <w:tcPr>
            <w:tcW w:w="1828" w:type="dxa"/>
            <w:noWrap w:val="0"/>
            <w:vAlign w:val="top"/>
          </w:tcPr>
          <w:p w14:paraId="2FC77B95">
            <w:pPr>
              <w:pStyle w:val="20"/>
              <w:spacing w:line="466" w:lineRule="auto"/>
              <w:jc w:val="center"/>
              <w:rPr>
                <w:rFonts w:hint="eastAsia" w:ascii="宋体" w:hAnsi="宋体" w:eastAsia="宋体" w:cs="宋体"/>
                <w:sz w:val="24"/>
                <w:szCs w:val="24"/>
              </w:rPr>
            </w:pPr>
          </w:p>
          <w:p w14:paraId="247EE261">
            <w:pPr>
              <w:spacing w:before="78" w:line="219" w:lineRule="auto"/>
              <w:ind w:left="262"/>
              <w:jc w:val="center"/>
              <w:rPr>
                <w:rFonts w:hint="eastAsia" w:ascii="宋体" w:hAnsi="宋体" w:eastAsia="宋体" w:cs="宋体"/>
                <w:sz w:val="24"/>
                <w:szCs w:val="24"/>
              </w:rPr>
            </w:pPr>
            <w:r>
              <w:rPr>
                <w:rFonts w:hint="eastAsia" w:ascii="宋体" w:hAnsi="宋体" w:eastAsia="宋体" w:cs="宋体"/>
                <w:spacing w:val="-2"/>
                <w:sz w:val="24"/>
                <w:szCs w:val="24"/>
              </w:rPr>
              <w:t>评标委员会</w:t>
            </w:r>
          </w:p>
        </w:tc>
        <w:tc>
          <w:tcPr>
            <w:tcW w:w="7878" w:type="dxa"/>
            <w:noWrap w:val="0"/>
            <w:vAlign w:val="top"/>
          </w:tcPr>
          <w:p w14:paraId="4DD75428">
            <w:pPr>
              <w:spacing w:before="157" w:line="286" w:lineRule="auto"/>
              <w:ind w:left="11" w:right="4" w:firstLine="477"/>
              <w:jc w:val="both"/>
              <w:rPr>
                <w:rFonts w:hint="eastAsia" w:ascii="宋体" w:hAnsi="宋体" w:eastAsia="宋体" w:cs="宋体"/>
                <w:color w:val="auto"/>
                <w:sz w:val="24"/>
                <w:szCs w:val="24"/>
              </w:rPr>
            </w:pPr>
            <w:r>
              <w:rPr>
                <w:rFonts w:hint="eastAsia" w:ascii="宋体" w:hAnsi="宋体" w:eastAsia="宋体" w:cs="宋体"/>
                <w:color w:val="auto"/>
                <w:sz w:val="24"/>
                <w:szCs w:val="24"/>
              </w:rPr>
              <w:t>评标委员会由</w:t>
            </w:r>
            <w:r>
              <w:rPr>
                <w:rFonts w:hint="eastAsia" w:ascii="宋体" w:hAnsi="宋体" w:eastAsia="宋体" w:cs="宋体"/>
                <w:color w:val="auto"/>
                <w:sz w:val="24"/>
                <w:szCs w:val="24"/>
                <w:u w:val="single"/>
              </w:rPr>
              <w:t>5</w:t>
            </w:r>
            <w:r>
              <w:rPr>
                <w:rFonts w:hint="eastAsia" w:ascii="宋体" w:hAnsi="宋体" w:eastAsia="宋体" w:cs="宋体"/>
                <w:color w:val="auto"/>
                <w:sz w:val="24"/>
                <w:szCs w:val="24"/>
              </w:rPr>
              <w:t>人组成，其中招标人代表</w:t>
            </w:r>
            <w:r>
              <w:rPr>
                <w:rFonts w:hint="eastAsia" w:ascii="宋体" w:hAnsi="宋体" w:eastAsia="宋体" w:cs="宋体"/>
                <w:color w:val="auto"/>
                <w:sz w:val="24"/>
                <w:szCs w:val="24"/>
                <w:u w:val="single"/>
              </w:rPr>
              <w:t>0</w:t>
            </w:r>
            <w:r>
              <w:rPr>
                <w:rFonts w:hint="eastAsia" w:ascii="宋体" w:hAnsi="宋体" w:eastAsia="宋体" w:cs="宋体"/>
                <w:color w:val="auto"/>
                <w:sz w:val="24"/>
                <w:szCs w:val="24"/>
              </w:rPr>
              <w:t>人，专家</w:t>
            </w:r>
            <w:r>
              <w:rPr>
                <w:rFonts w:hint="eastAsia" w:ascii="宋体" w:hAnsi="宋体" w:eastAsia="宋体" w:cs="宋体"/>
                <w:color w:val="auto"/>
                <w:sz w:val="24"/>
                <w:szCs w:val="24"/>
                <w:u w:val="single"/>
              </w:rPr>
              <w:t>5</w:t>
            </w:r>
            <w:r>
              <w:rPr>
                <w:rFonts w:hint="eastAsia" w:ascii="宋体" w:hAnsi="宋体" w:eastAsia="宋体" w:cs="宋体"/>
                <w:color w:val="auto"/>
                <w:sz w:val="24"/>
                <w:szCs w:val="24"/>
              </w:rPr>
              <w:t>人。专家从</w:t>
            </w:r>
            <w:r>
              <w:rPr>
                <w:rFonts w:hint="eastAsia" w:ascii="宋体" w:hAnsi="宋体" w:eastAsia="宋体" w:cs="宋体"/>
                <w:color w:val="auto"/>
                <w:sz w:val="24"/>
                <w:szCs w:val="24"/>
                <w:u w:val="single"/>
              </w:rPr>
              <w:t>广东省综合评标评审专家库-韶关区域</w:t>
            </w:r>
            <w:r>
              <w:rPr>
                <w:rFonts w:hint="eastAsia" w:ascii="宋体" w:hAnsi="宋体" w:eastAsia="宋体" w:cs="宋体"/>
                <w:color w:val="auto"/>
                <w:sz w:val="24"/>
                <w:szCs w:val="24"/>
              </w:rPr>
              <w:t>中随机抽取，其中技术类专家</w:t>
            </w:r>
            <w:r>
              <w:rPr>
                <w:rFonts w:hint="eastAsia" w:ascii="宋体" w:hAnsi="宋体" w:eastAsia="宋体" w:cs="宋体"/>
                <w:color w:val="auto"/>
                <w:sz w:val="24"/>
                <w:szCs w:val="24"/>
                <w:u w:val="single"/>
              </w:rPr>
              <w:t>3</w:t>
            </w:r>
            <w:r>
              <w:rPr>
                <w:rFonts w:hint="eastAsia" w:ascii="宋体" w:hAnsi="宋体" w:eastAsia="宋体" w:cs="宋体"/>
                <w:color w:val="auto"/>
                <w:sz w:val="24"/>
                <w:szCs w:val="24"/>
              </w:rPr>
              <w:t>人，经济类专家</w:t>
            </w:r>
            <w:r>
              <w:rPr>
                <w:rFonts w:hint="eastAsia" w:ascii="宋体" w:hAnsi="宋体" w:eastAsia="宋体" w:cs="宋体"/>
                <w:color w:val="auto"/>
                <w:sz w:val="24"/>
                <w:szCs w:val="24"/>
                <w:u w:val="single"/>
              </w:rPr>
              <w:t>2</w:t>
            </w:r>
            <w:r>
              <w:rPr>
                <w:rFonts w:hint="eastAsia" w:ascii="宋体" w:hAnsi="宋体" w:eastAsia="宋体" w:cs="宋体"/>
                <w:color w:val="auto"/>
                <w:sz w:val="24"/>
                <w:szCs w:val="24"/>
              </w:rPr>
              <w:t>人。</w:t>
            </w:r>
          </w:p>
        </w:tc>
      </w:tr>
      <w:tr w14:paraId="2D724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After w:w="0" w:type="auto"/>
          <w:trHeight w:val="605" w:hRule="atLeast"/>
        </w:trPr>
        <w:tc>
          <w:tcPr>
            <w:tcW w:w="627" w:type="dxa"/>
            <w:noWrap w:val="0"/>
            <w:vAlign w:val="center"/>
          </w:tcPr>
          <w:p w14:paraId="2F8306EA">
            <w:pPr>
              <w:spacing w:before="258" w:line="188" w:lineRule="auto"/>
              <w:ind w:left="209"/>
              <w:jc w:val="both"/>
              <w:rPr>
                <w:rFonts w:hint="eastAsia" w:ascii="宋体" w:hAnsi="宋体" w:eastAsia="宋体" w:cs="宋体"/>
                <w:sz w:val="24"/>
                <w:szCs w:val="24"/>
              </w:rPr>
            </w:pPr>
            <w:r>
              <w:rPr>
                <w:rFonts w:hint="eastAsia" w:ascii="宋体" w:hAnsi="宋体" w:eastAsia="宋体" w:cs="宋体"/>
                <w:spacing w:val="-5"/>
                <w:sz w:val="24"/>
                <w:szCs w:val="24"/>
              </w:rPr>
              <w:t>31</w:t>
            </w:r>
          </w:p>
        </w:tc>
        <w:tc>
          <w:tcPr>
            <w:tcW w:w="1828" w:type="dxa"/>
            <w:noWrap w:val="0"/>
            <w:vAlign w:val="top"/>
          </w:tcPr>
          <w:p w14:paraId="5EA532E0">
            <w:pPr>
              <w:spacing w:before="204" w:line="221" w:lineRule="auto"/>
              <w:ind w:left="382"/>
              <w:jc w:val="center"/>
              <w:rPr>
                <w:rFonts w:hint="eastAsia" w:ascii="宋体" w:hAnsi="宋体" w:eastAsia="宋体" w:cs="宋体"/>
                <w:sz w:val="24"/>
                <w:szCs w:val="24"/>
              </w:rPr>
            </w:pPr>
            <w:r>
              <w:rPr>
                <w:rFonts w:hint="eastAsia" w:ascii="宋体" w:hAnsi="宋体" w:eastAsia="宋体" w:cs="宋体"/>
                <w:spacing w:val="-3"/>
                <w:sz w:val="24"/>
                <w:szCs w:val="24"/>
              </w:rPr>
              <w:t>评标方法</w:t>
            </w:r>
          </w:p>
        </w:tc>
        <w:tc>
          <w:tcPr>
            <w:tcW w:w="7878" w:type="dxa"/>
            <w:noWrap w:val="0"/>
            <w:vAlign w:val="top"/>
          </w:tcPr>
          <w:p w14:paraId="454133FC">
            <w:pPr>
              <w:spacing w:before="216" w:line="219" w:lineRule="auto"/>
              <w:ind w:right="18"/>
              <w:jc w:val="both"/>
              <w:rPr>
                <w:rFonts w:hint="eastAsia" w:ascii="宋体" w:hAnsi="宋体" w:eastAsia="宋体" w:cs="宋体"/>
                <w:color w:val="auto"/>
                <w:sz w:val="24"/>
                <w:szCs w:val="24"/>
              </w:rPr>
            </w:pPr>
            <w:r>
              <w:rPr>
                <w:rFonts w:hint="eastAsia" w:ascii="宋体" w:hAnsi="宋体" w:eastAsia="宋体" w:cs="宋体"/>
                <w:color w:val="auto"/>
                <w:spacing w:val="-2"/>
                <w:sz w:val="24"/>
                <w:szCs w:val="24"/>
              </w:rPr>
              <w:t>□A＋B值评标法□经评审的最低投</w:t>
            </w:r>
            <w:r>
              <w:rPr>
                <w:rFonts w:hint="eastAsia" w:ascii="宋体" w:hAnsi="宋体" w:eastAsia="宋体" w:cs="宋体"/>
                <w:color w:val="auto"/>
                <w:spacing w:val="-3"/>
                <w:sz w:val="24"/>
                <w:szCs w:val="24"/>
              </w:rPr>
              <w:t>标价法</w:t>
            </w:r>
            <w:r>
              <w:rPr>
                <w:rFonts w:hint="eastAsia" w:ascii="宋体" w:hAnsi="宋体" w:eastAsia="宋体" w:cs="宋体"/>
                <w:color w:val="auto"/>
                <w:spacing w:val="-3"/>
                <w:sz w:val="24"/>
                <w:szCs w:val="24"/>
                <w:lang w:eastAsia="zh-CN"/>
              </w:rPr>
              <w:t>☑</w:t>
            </w:r>
            <w:r>
              <w:rPr>
                <w:rFonts w:hint="eastAsia" w:ascii="宋体" w:hAnsi="宋体" w:eastAsia="宋体" w:cs="宋体"/>
                <w:color w:val="auto"/>
                <w:spacing w:val="-3"/>
                <w:sz w:val="24"/>
                <w:szCs w:val="24"/>
              </w:rPr>
              <w:t>综合评估法</w:t>
            </w:r>
          </w:p>
        </w:tc>
      </w:tr>
      <w:tr w14:paraId="22F1E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After w:w="0" w:type="auto"/>
          <w:trHeight w:val="3203" w:hRule="atLeast"/>
        </w:trPr>
        <w:tc>
          <w:tcPr>
            <w:tcW w:w="627" w:type="dxa"/>
            <w:shd w:val="clear" w:color="auto" w:fill="auto"/>
            <w:noWrap w:val="0"/>
            <w:vAlign w:val="center"/>
          </w:tcPr>
          <w:p w14:paraId="460F1E39">
            <w:pPr>
              <w:spacing w:before="57" w:line="195" w:lineRule="auto"/>
              <w:jc w:val="center"/>
              <w:rPr>
                <w:rFonts w:hint="eastAsia" w:ascii="宋体" w:hAnsi="宋体" w:eastAsia="宋体" w:cs="宋体"/>
                <w:sz w:val="24"/>
                <w:szCs w:val="24"/>
              </w:rPr>
            </w:pPr>
            <w:r>
              <w:rPr>
                <w:rFonts w:hint="eastAsia" w:ascii="宋体" w:hAnsi="宋体" w:eastAsia="宋体" w:cs="宋体"/>
                <w:sz w:val="24"/>
                <w:szCs w:val="24"/>
              </w:rPr>
              <w:t>32</w:t>
            </w:r>
          </w:p>
        </w:tc>
        <w:tc>
          <w:tcPr>
            <w:tcW w:w="1828" w:type="dxa"/>
            <w:shd w:val="clear" w:color="auto" w:fill="FFFFFF"/>
            <w:noWrap w:val="0"/>
            <w:vAlign w:val="top"/>
          </w:tcPr>
          <w:p w14:paraId="58A380AD">
            <w:pPr>
              <w:pStyle w:val="20"/>
              <w:spacing w:line="294" w:lineRule="auto"/>
              <w:rPr>
                <w:rFonts w:hint="eastAsia" w:ascii="宋体" w:hAnsi="宋体" w:eastAsia="宋体" w:cs="宋体"/>
                <w:sz w:val="24"/>
                <w:szCs w:val="24"/>
              </w:rPr>
            </w:pPr>
          </w:p>
          <w:p w14:paraId="13292B0A">
            <w:pPr>
              <w:pStyle w:val="20"/>
              <w:spacing w:line="295" w:lineRule="auto"/>
              <w:rPr>
                <w:rFonts w:hint="eastAsia" w:ascii="宋体" w:hAnsi="宋体" w:eastAsia="宋体" w:cs="宋体"/>
                <w:sz w:val="24"/>
                <w:szCs w:val="24"/>
              </w:rPr>
            </w:pPr>
          </w:p>
          <w:p w14:paraId="3B6FD66D">
            <w:pPr>
              <w:pStyle w:val="20"/>
              <w:spacing w:line="295" w:lineRule="auto"/>
              <w:rPr>
                <w:rFonts w:hint="eastAsia" w:ascii="宋体" w:hAnsi="宋体" w:eastAsia="宋体" w:cs="宋体"/>
                <w:sz w:val="24"/>
                <w:szCs w:val="24"/>
              </w:rPr>
            </w:pPr>
          </w:p>
          <w:p w14:paraId="196E059D">
            <w:pPr>
              <w:spacing w:before="78" w:line="220" w:lineRule="auto"/>
              <w:ind w:left="24"/>
              <w:rPr>
                <w:rFonts w:hint="eastAsia" w:ascii="宋体" w:hAnsi="宋体" w:eastAsia="宋体" w:cs="宋体"/>
                <w:sz w:val="24"/>
                <w:szCs w:val="24"/>
              </w:rPr>
            </w:pPr>
            <w:r>
              <w:rPr>
                <w:rFonts w:hint="eastAsia" w:ascii="宋体" w:hAnsi="宋体" w:eastAsia="宋体" w:cs="宋体"/>
                <w:spacing w:val="-2"/>
                <w:sz w:val="24"/>
                <w:szCs w:val="24"/>
              </w:rPr>
              <w:t>招标文件要求提</w:t>
            </w:r>
          </w:p>
          <w:p w14:paraId="1F5C42C8">
            <w:pPr>
              <w:spacing w:before="73" w:line="221" w:lineRule="auto"/>
              <w:ind w:left="28"/>
              <w:rPr>
                <w:rFonts w:hint="eastAsia" w:ascii="宋体" w:hAnsi="宋体" w:eastAsia="宋体" w:cs="宋体"/>
                <w:sz w:val="24"/>
                <w:szCs w:val="24"/>
              </w:rPr>
            </w:pPr>
            <w:r>
              <w:rPr>
                <w:rFonts w:hint="eastAsia" w:ascii="宋体" w:hAnsi="宋体" w:eastAsia="宋体" w:cs="宋体"/>
                <w:spacing w:val="-3"/>
                <w:sz w:val="24"/>
                <w:szCs w:val="24"/>
              </w:rPr>
              <w:t>交的用于评审的</w:t>
            </w:r>
          </w:p>
          <w:p w14:paraId="6D8017DE">
            <w:pPr>
              <w:spacing w:before="73" w:line="219" w:lineRule="auto"/>
              <w:ind w:left="23"/>
              <w:rPr>
                <w:rFonts w:hint="eastAsia" w:ascii="宋体" w:hAnsi="宋体" w:eastAsia="宋体" w:cs="宋体"/>
                <w:sz w:val="24"/>
                <w:szCs w:val="24"/>
              </w:rPr>
            </w:pPr>
            <w:r>
              <w:rPr>
                <w:rFonts w:hint="eastAsia" w:ascii="宋体" w:hAnsi="宋体" w:eastAsia="宋体" w:cs="宋体"/>
                <w:spacing w:val="-1"/>
                <w:sz w:val="24"/>
                <w:szCs w:val="24"/>
              </w:rPr>
              <w:t>证书、证件、证</w:t>
            </w:r>
          </w:p>
          <w:p w14:paraId="4A05E134">
            <w:pPr>
              <w:spacing w:before="74" w:line="220" w:lineRule="auto"/>
              <w:ind w:left="525"/>
              <w:rPr>
                <w:rFonts w:hint="eastAsia" w:ascii="宋体" w:hAnsi="宋体" w:eastAsia="宋体" w:cs="宋体"/>
                <w:sz w:val="24"/>
                <w:szCs w:val="24"/>
              </w:rPr>
            </w:pPr>
            <w:r>
              <w:rPr>
                <w:rFonts w:hint="eastAsia" w:ascii="宋体" w:hAnsi="宋体" w:eastAsia="宋体" w:cs="宋体"/>
                <w:spacing w:val="-11"/>
                <w:sz w:val="24"/>
                <w:szCs w:val="24"/>
              </w:rPr>
              <w:t>明原件</w:t>
            </w:r>
          </w:p>
        </w:tc>
        <w:tc>
          <w:tcPr>
            <w:tcW w:w="7878" w:type="dxa"/>
            <w:shd w:val="clear" w:color="auto" w:fill="FFFFFF"/>
            <w:noWrap w:val="0"/>
            <w:vAlign w:val="top"/>
          </w:tcPr>
          <w:p w14:paraId="5F05116D">
            <w:pPr>
              <w:spacing w:before="114" w:line="296" w:lineRule="auto"/>
              <w:ind w:left="11" w:firstLine="465"/>
              <w:jc w:val="both"/>
              <w:rPr>
                <w:rFonts w:hint="eastAsia" w:ascii="宋体" w:hAnsi="宋体" w:eastAsia="宋体" w:cs="宋体"/>
                <w:color w:val="auto"/>
                <w:sz w:val="24"/>
                <w:szCs w:val="24"/>
              </w:rPr>
            </w:pPr>
            <w:r>
              <w:rPr>
                <w:rFonts w:hint="eastAsia" w:ascii="宋体" w:hAnsi="宋体" w:eastAsia="宋体" w:cs="宋体"/>
                <w:color w:val="auto"/>
                <w:spacing w:val="-11"/>
                <w:sz w:val="24"/>
                <w:szCs w:val="24"/>
              </w:rPr>
              <w:t>投标人在提交用于评审的证书、证件、证明原件的，投标人应自行将所需原件密封于文件袋（箱）中，并自行准</w:t>
            </w:r>
            <w:r>
              <w:rPr>
                <w:rFonts w:hint="eastAsia" w:ascii="宋体" w:hAnsi="宋体" w:eastAsia="宋体" w:cs="宋体"/>
                <w:color w:val="auto"/>
                <w:spacing w:val="-12"/>
                <w:sz w:val="24"/>
                <w:szCs w:val="24"/>
              </w:rPr>
              <w:t>备两张“原件一览表”</w:t>
            </w:r>
            <w:r>
              <w:rPr>
                <w:rFonts w:hint="eastAsia" w:ascii="宋体" w:hAnsi="宋体" w:eastAsia="宋体" w:cs="宋体"/>
                <w:color w:val="auto"/>
                <w:spacing w:val="-10"/>
                <w:sz w:val="24"/>
                <w:szCs w:val="24"/>
              </w:rPr>
              <w:t>(详见格式</w:t>
            </w:r>
            <w:r>
              <w:rPr>
                <w:rFonts w:hint="eastAsia" w:ascii="宋体" w:hAnsi="宋体" w:eastAsia="宋体" w:cs="宋体"/>
                <w:color w:val="auto"/>
                <w:spacing w:val="-10"/>
                <w:sz w:val="24"/>
                <w:szCs w:val="24"/>
                <w:shd w:val="clear" w:color="auto" w:fill="FFFFFF"/>
              </w:rPr>
              <w:t>十</w:t>
            </w:r>
            <w:r>
              <w:rPr>
                <w:rFonts w:hint="eastAsia" w:ascii="宋体" w:hAnsi="宋体" w:eastAsia="宋体" w:cs="宋体"/>
                <w:color w:val="auto"/>
                <w:spacing w:val="-10"/>
                <w:sz w:val="24"/>
                <w:szCs w:val="24"/>
                <w:shd w:val="clear" w:color="auto" w:fill="FFFFFF"/>
                <w:lang w:eastAsia="zh-CN"/>
              </w:rPr>
              <w:t>五</w:t>
            </w:r>
            <w:r>
              <w:rPr>
                <w:rFonts w:hint="eastAsia" w:ascii="宋体" w:hAnsi="宋体" w:eastAsia="宋体" w:cs="宋体"/>
                <w:color w:val="auto"/>
                <w:spacing w:val="-10"/>
                <w:sz w:val="24"/>
                <w:szCs w:val="24"/>
                <w:shd w:val="clear" w:color="auto" w:fill="FFFFFF"/>
              </w:rPr>
              <w:t>，</w:t>
            </w:r>
            <w:r>
              <w:rPr>
                <w:rFonts w:hint="eastAsia" w:ascii="宋体" w:hAnsi="宋体" w:eastAsia="宋体" w:cs="宋体"/>
                <w:color w:val="auto"/>
                <w:spacing w:val="-10"/>
                <w:sz w:val="24"/>
                <w:szCs w:val="24"/>
              </w:rPr>
              <w:t>投标人须自行填写，表格可扩展)，一张贴于文件袋（箱</w:t>
            </w:r>
            <w:r>
              <w:rPr>
                <w:rFonts w:hint="eastAsia" w:ascii="宋体" w:hAnsi="宋体" w:eastAsia="宋体" w:cs="宋体"/>
                <w:color w:val="auto"/>
                <w:spacing w:val="-14"/>
                <w:sz w:val="24"/>
                <w:szCs w:val="24"/>
              </w:rPr>
              <w:t>），</w:t>
            </w:r>
            <w:r>
              <w:rPr>
                <w:rFonts w:hint="eastAsia" w:ascii="宋体" w:hAnsi="宋体" w:eastAsia="宋体" w:cs="宋体"/>
                <w:color w:val="auto"/>
                <w:spacing w:val="-10"/>
                <w:sz w:val="24"/>
                <w:szCs w:val="24"/>
              </w:rPr>
              <w:t>一份在递交文件袋（箱）时由招标代理机构、投标人签字后交招标代理机构。招标代理机构仅代签收，不对文</w:t>
            </w:r>
            <w:r>
              <w:rPr>
                <w:rFonts w:hint="eastAsia" w:ascii="宋体" w:hAnsi="宋体" w:eastAsia="宋体" w:cs="宋体"/>
                <w:color w:val="auto"/>
                <w:spacing w:val="-11"/>
                <w:sz w:val="24"/>
                <w:szCs w:val="24"/>
              </w:rPr>
              <w:t>件袋（箱）中资料</w:t>
            </w:r>
            <w:r>
              <w:rPr>
                <w:rFonts w:hint="eastAsia" w:ascii="宋体" w:hAnsi="宋体" w:eastAsia="宋体" w:cs="宋体"/>
                <w:color w:val="auto"/>
                <w:spacing w:val="-10"/>
                <w:sz w:val="24"/>
                <w:szCs w:val="24"/>
              </w:rPr>
              <w:t>的数量、内容及真实性负责。评标结束后，招标代</w:t>
            </w:r>
            <w:r>
              <w:rPr>
                <w:rFonts w:hint="eastAsia" w:ascii="宋体" w:hAnsi="宋体" w:eastAsia="宋体" w:cs="宋体"/>
                <w:color w:val="auto"/>
                <w:spacing w:val="-11"/>
                <w:sz w:val="24"/>
                <w:szCs w:val="24"/>
              </w:rPr>
              <w:t>理机构将退回投标</w:t>
            </w:r>
            <w:r>
              <w:rPr>
                <w:rFonts w:hint="eastAsia" w:ascii="宋体" w:hAnsi="宋体" w:eastAsia="宋体" w:cs="宋体"/>
                <w:color w:val="auto"/>
                <w:spacing w:val="-10"/>
                <w:sz w:val="24"/>
                <w:szCs w:val="24"/>
              </w:rPr>
              <w:t>人的原件。若投标人未按要求提交相应证明材料原</w:t>
            </w:r>
            <w:r>
              <w:rPr>
                <w:rFonts w:hint="eastAsia" w:ascii="宋体" w:hAnsi="宋体" w:eastAsia="宋体" w:cs="宋体"/>
                <w:color w:val="auto"/>
                <w:spacing w:val="-11"/>
                <w:sz w:val="24"/>
                <w:szCs w:val="24"/>
              </w:rPr>
              <w:t>件或投标文件中证</w:t>
            </w:r>
            <w:r>
              <w:rPr>
                <w:rFonts w:hint="eastAsia" w:ascii="宋体" w:hAnsi="宋体" w:eastAsia="宋体" w:cs="宋体"/>
                <w:color w:val="auto"/>
                <w:spacing w:val="-8"/>
                <w:sz w:val="24"/>
                <w:szCs w:val="24"/>
              </w:rPr>
              <w:t>明材料的复印件与原件不一致，评审时相应证明材料不予认可。</w:t>
            </w:r>
          </w:p>
        </w:tc>
      </w:tr>
      <w:tr w14:paraId="1FB45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After w:w="0" w:type="auto"/>
          <w:trHeight w:val="1689" w:hRule="atLeast"/>
        </w:trPr>
        <w:tc>
          <w:tcPr>
            <w:tcW w:w="627" w:type="dxa"/>
            <w:noWrap w:val="0"/>
            <w:vAlign w:val="center"/>
          </w:tcPr>
          <w:p w14:paraId="4FA6DDB5">
            <w:pPr>
              <w:spacing w:before="69" w:line="188" w:lineRule="auto"/>
              <w:ind w:left="209"/>
              <w:rPr>
                <w:rFonts w:hint="eastAsia" w:ascii="宋体" w:hAnsi="宋体" w:eastAsia="宋体" w:cs="宋体"/>
                <w:spacing w:val="-5"/>
                <w:sz w:val="24"/>
                <w:szCs w:val="24"/>
                <w:lang w:eastAsia="zh-CN"/>
              </w:rPr>
            </w:pPr>
            <w:r>
              <w:rPr>
                <w:rFonts w:hint="eastAsia" w:ascii="宋体" w:hAnsi="宋体" w:eastAsia="宋体" w:cs="宋体"/>
                <w:spacing w:val="-5"/>
                <w:sz w:val="24"/>
                <w:szCs w:val="24"/>
                <w:lang w:eastAsia="zh-CN"/>
              </w:rPr>
              <w:t>33</w:t>
            </w:r>
          </w:p>
        </w:tc>
        <w:tc>
          <w:tcPr>
            <w:tcW w:w="1828" w:type="dxa"/>
            <w:noWrap w:val="0"/>
            <w:vAlign w:val="center"/>
          </w:tcPr>
          <w:p w14:paraId="52908555">
            <w:pPr>
              <w:wordWrap w:val="0"/>
              <w:spacing w:line="360" w:lineRule="exact"/>
              <w:jc w:val="both"/>
              <w:rPr>
                <w:rFonts w:hint="eastAsia" w:ascii="宋体" w:hAnsi="宋体" w:eastAsia="宋体" w:cs="宋体"/>
                <w:sz w:val="24"/>
                <w:szCs w:val="24"/>
              </w:rPr>
            </w:pPr>
            <w:r>
              <w:rPr>
                <w:rFonts w:hint="eastAsia" w:ascii="宋体" w:hAnsi="宋体" w:eastAsia="宋体" w:cs="宋体"/>
                <w:sz w:val="24"/>
                <w:szCs w:val="24"/>
              </w:rPr>
              <w:t>招标代理服务费及评标专家酬劳</w:t>
            </w:r>
          </w:p>
        </w:tc>
        <w:tc>
          <w:tcPr>
            <w:tcW w:w="7878" w:type="dxa"/>
            <w:noWrap w:val="0"/>
            <w:vAlign w:val="center"/>
          </w:tcPr>
          <w:p w14:paraId="293917CE">
            <w:pPr>
              <w:pStyle w:val="29"/>
              <w:spacing w:line="360" w:lineRule="auto"/>
              <w:jc w:val="both"/>
              <w:rPr>
                <w:rFonts w:hint="eastAsia" w:ascii="宋体" w:hAnsi="宋体" w:eastAsia="宋体" w:cs="宋体"/>
                <w:color w:val="auto"/>
                <w:sz w:val="24"/>
                <w:szCs w:val="24"/>
              </w:rPr>
            </w:pPr>
            <w:r>
              <w:rPr>
                <w:rFonts w:hint="eastAsia" w:ascii="宋体" w:hAnsi="宋体" w:eastAsia="宋体" w:cs="宋体"/>
                <w:bCs/>
                <w:color w:val="auto"/>
                <w:kern w:val="2"/>
                <w:sz w:val="24"/>
                <w:szCs w:val="24"/>
                <w:lang w:eastAsia="zh-CN" w:bidi="ar"/>
              </w:rPr>
              <w:t>本工程的招标代理费和评标专家酬劳由中标人支付，该费用不再另行报价，由投标人在投标报价时综合考虑在内。（招标代理服务费以中标金额为计价基数，参照《招标代理服务收费管理暂行办法》（计价格[2002]1980号）文相关规定计算。评标专家酬劳由招标代理机构在开标当日预先支付）。</w:t>
            </w:r>
          </w:p>
        </w:tc>
      </w:tr>
      <w:tr w14:paraId="15287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After w:w="0" w:type="auto"/>
          <w:trHeight w:val="1689" w:hRule="atLeast"/>
        </w:trPr>
        <w:tc>
          <w:tcPr>
            <w:tcW w:w="627" w:type="dxa"/>
            <w:noWrap w:val="0"/>
            <w:vAlign w:val="center"/>
          </w:tcPr>
          <w:p w14:paraId="676E7657">
            <w:pPr>
              <w:spacing w:before="69" w:line="188" w:lineRule="auto"/>
              <w:jc w:val="center"/>
              <w:rPr>
                <w:rFonts w:hint="eastAsia" w:ascii="宋体" w:hAnsi="宋体" w:eastAsia="宋体" w:cs="宋体"/>
                <w:sz w:val="24"/>
                <w:szCs w:val="24"/>
                <w:lang w:eastAsia="zh-CN"/>
              </w:rPr>
            </w:pPr>
            <w:r>
              <w:rPr>
                <w:rFonts w:hint="eastAsia" w:ascii="宋体" w:hAnsi="宋体" w:eastAsia="宋体" w:cs="宋体"/>
                <w:spacing w:val="-5"/>
                <w:sz w:val="24"/>
                <w:szCs w:val="24"/>
              </w:rPr>
              <w:t>34</w:t>
            </w:r>
          </w:p>
        </w:tc>
        <w:tc>
          <w:tcPr>
            <w:tcW w:w="1828" w:type="dxa"/>
            <w:noWrap w:val="0"/>
            <w:vAlign w:val="center"/>
          </w:tcPr>
          <w:p w14:paraId="6CED95DA">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招标人</w:t>
            </w:r>
          </w:p>
          <w:p w14:paraId="13BB16E8">
            <w:pPr>
              <w:wordWrap w:val="0"/>
              <w:spacing w:line="360" w:lineRule="exact"/>
              <w:jc w:val="center"/>
              <w:rPr>
                <w:rFonts w:hint="eastAsia" w:ascii="宋体" w:hAnsi="宋体" w:eastAsia="宋体" w:cs="宋体"/>
                <w:spacing w:val="-4"/>
                <w:sz w:val="24"/>
                <w:szCs w:val="24"/>
              </w:rPr>
            </w:pPr>
            <w:r>
              <w:rPr>
                <w:rFonts w:hint="eastAsia" w:ascii="宋体" w:hAnsi="宋体" w:eastAsia="宋体" w:cs="宋体"/>
                <w:sz w:val="24"/>
                <w:szCs w:val="24"/>
              </w:rPr>
              <w:t>联系方式</w:t>
            </w:r>
          </w:p>
        </w:tc>
        <w:tc>
          <w:tcPr>
            <w:tcW w:w="7878" w:type="dxa"/>
            <w:noWrap w:val="0"/>
            <w:vAlign w:val="center"/>
          </w:tcPr>
          <w:p w14:paraId="412C3A0E">
            <w:pPr>
              <w:wordWrap w:val="0"/>
              <w:spacing w:line="36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单位名称：</w:t>
            </w:r>
            <w:r>
              <w:rPr>
                <w:rFonts w:hint="eastAsia" w:ascii="宋体" w:hAnsi="宋体" w:eastAsia="宋体" w:cs="宋体"/>
                <w:sz w:val="24"/>
                <w:szCs w:val="24"/>
                <w:highlight w:val="none"/>
                <w:lang w:eastAsia="zh-CN"/>
              </w:rPr>
              <w:t>乐昌市三溪镇人民政府</w:t>
            </w:r>
          </w:p>
          <w:p w14:paraId="60A2D96D">
            <w:pPr>
              <w:wordWrap w:val="0"/>
              <w:spacing w:line="360" w:lineRule="exact"/>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办公</w:t>
            </w:r>
            <w:r>
              <w:rPr>
                <w:rFonts w:hint="eastAsia" w:ascii="宋体" w:hAnsi="宋体" w:eastAsia="宋体" w:cs="宋体"/>
                <w:sz w:val="24"/>
                <w:szCs w:val="24"/>
                <w:highlight w:val="none"/>
              </w:rPr>
              <w:t>地址：</w:t>
            </w:r>
            <w:r>
              <w:rPr>
                <w:rFonts w:hint="eastAsia" w:ascii="宋体" w:hAnsi="宋体" w:eastAsia="宋体" w:cs="宋体"/>
                <w:sz w:val="24"/>
                <w:szCs w:val="24"/>
                <w:highlight w:val="none"/>
                <w:lang w:eastAsia="zh-CN"/>
              </w:rPr>
              <w:t>乐昌市三溪镇三溪村三溪圩‌</w:t>
            </w:r>
          </w:p>
          <w:p w14:paraId="0358F0A0">
            <w:pPr>
              <w:wordWrap w:val="0"/>
              <w:spacing w:line="360" w:lineRule="exact"/>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联系人（部门）：</w:t>
            </w:r>
            <w:r>
              <w:rPr>
                <w:rFonts w:hint="eastAsia" w:ascii="宋体" w:hAnsi="宋体" w:eastAsia="宋体" w:cs="宋体"/>
                <w:sz w:val="24"/>
                <w:szCs w:val="24"/>
                <w:highlight w:val="none"/>
                <w:lang w:val="en-US" w:eastAsia="zh-CN"/>
              </w:rPr>
              <w:t>胡</w:t>
            </w:r>
            <w:r>
              <w:rPr>
                <w:rFonts w:hint="eastAsia" w:ascii="宋体" w:hAnsi="宋体" w:eastAsia="宋体" w:cs="宋体"/>
                <w:sz w:val="24"/>
                <w:szCs w:val="24"/>
                <w:highlight w:val="none"/>
                <w:lang w:eastAsia="zh-CN"/>
              </w:rPr>
              <w:t>工</w:t>
            </w:r>
          </w:p>
          <w:p w14:paraId="7F941361">
            <w:pPr>
              <w:wordWrap w:val="0"/>
              <w:spacing w:line="36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0751-5813168</w:t>
            </w:r>
          </w:p>
        </w:tc>
      </w:tr>
      <w:tr w14:paraId="1C544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After w:w="0" w:type="auto"/>
          <w:trHeight w:val="1788" w:hRule="atLeast"/>
        </w:trPr>
        <w:tc>
          <w:tcPr>
            <w:tcW w:w="627" w:type="dxa"/>
            <w:noWrap w:val="0"/>
            <w:vAlign w:val="center"/>
          </w:tcPr>
          <w:p w14:paraId="51731B09">
            <w:pPr>
              <w:spacing w:before="69" w:line="188" w:lineRule="auto"/>
              <w:jc w:val="center"/>
              <w:rPr>
                <w:rFonts w:hint="eastAsia" w:ascii="宋体" w:hAnsi="宋体" w:eastAsia="宋体" w:cs="宋体"/>
                <w:spacing w:val="-5"/>
                <w:sz w:val="24"/>
                <w:szCs w:val="24"/>
                <w:lang w:eastAsia="zh-CN"/>
              </w:rPr>
            </w:pPr>
            <w:r>
              <w:rPr>
                <w:rFonts w:hint="eastAsia" w:ascii="宋体" w:hAnsi="宋体" w:eastAsia="宋体" w:cs="宋体"/>
                <w:spacing w:val="-5"/>
                <w:sz w:val="24"/>
                <w:szCs w:val="24"/>
                <w:lang w:eastAsia="zh-CN"/>
              </w:rPr>
              <w:t>35</w:t>
            </w:r>
          </w:p>
        </w:tc>
        <w:tc>
          <w:tcPr>
            <w:tcW w:w="1828" w:type="dxa"/>
            <w:noWrap w:val="0"/>
            <w:vAlign w:val="center"/>
          </w:tcPr>
          <w:p w14:paraId="6EF34513">
            <w:pPr>
              <w:wordWrap w:val="0"/>
              <w:spacing w:line="360" w:lineRule="exact"/>
              <w:jc w:val="center"/>
              <w:rPr>
                <w:rFonts w:hint="eastAsia" w:ascii="宋体" w:hAnsi="宋体" w:eastAsia="宋体" w:cs="宋体"/>
                <w:sz w:val="24"/>
                <w:szCs w:val="24"/>
              </w:rPr>
            </w:pPr>
            <w:r>
              <w:rPr>
                <w:rFonts w:hint="eastAsia" w:ascii="宋体" w:hAnsi="宋体" w:eastAsia="宋体" w:cs="宋体"/>
                <w:sz w:val="24"/>
                <w:szCs w:val="24"/>
              </w:rPr>
              <w:t>招标代理机构</w:t>
            </w:r>
          </w:p>
          <w:p w14:paraId="7EF4D31C">
            <w:pPr>
              <w:wordWrap w:val="0"/>
              <w:spacing w:line="360" w:lineRule="exact"/>
              <w:jc w:val="center"/>
              <w:rPr>
                <w:rFonts w:hint="eastAsia" w:ascii="宋体" w:hAnsi="宋体" w:eastAsia="宋体" w:cs="宋体"/>
                <w:sz w:val="24"/>
                <w:szCs w:val="24"/>
              </w:rPr>
            </w:pPr>
            <w:r>
              <w:rPr>
                <w:rFonts w:hint="eastAsia" w:ascii="宋体" w:hAnsi="宋体" w:eastAsia="宋体" w:cs="宋体"/>
                <w:sz w:val="24"/>
                <w:szCs w:val="24"/>
              </w:rPr>
              <w:t>联系方式</w:t>
            </w:r>
          </w:p>
        </w:tc>
        <w:tc>
          <w:tcPr>
            <w:tcW w:w="7878" w:type="dxa"/>
            <w:noWrap w:val="0"/>
            <w:vAlign w:val="center"/>
          </w:tcPr>
          <w:p w14:paraId="7C0D3578">
            <w:pPr>
              <w:wordWrap w:val="0"/>
              <w:spacing w:line="360" w:lineRule="exact"/>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单位名称：</w:t>
            </w:r>
            <w:r>
              <w:rPr>
                <w:rFonts w:hint="eastAsia" w:ascii="宋体" w:hAnsi="宋体" w:eastAsia="宋体" w:cs="宋体"/>
                <w:sz w:val="24"/>
                <w:szCs w:val="24"/>
                <w:highlight w:val="none"/>
                <w:lang w:eastAsia="zh-CN"/>
              </w:rPr>
              <w:t>韶关市北桓工程咨询有限公司</w:t>
            </w:r>
          </w:p>
          <w:p w14:paraId="6096C13C">
            <w:pPr>
              <w:wordWrap w:val="0"/>
              <w:spacing w:line="360" w:lineRule="exact"/>
              <w:jc w:val="both"/>
              <w:rPr>
                <w:rFonts w:hint="eastAsia" w:ascii="宋体" w:hAnsi="宋体" w:eastAsia="宋体" w:cs="宋体"/>
                <w:b/>
                <w:bCs/>
                <w:sz w:val="24"/>
                <w:szCs w:val="24"/>
                <w:highlight w:val="none"/>
              </w:rPr>
            </w:pPr>
            <w:r>
              <w:rPr>
                <w:rFonts w:hint="eastAsia" w:ascii="宋体" w:hAnsi="宋体" w:eastAsia="宋体" w:cs="宋体"/>
                <w:sz w:val="24"/>
                <w:szCs w:val="24"/>
                <w:highlight w:val="none"/>
              </w:rPr>
              <w:t>办公地址：</w:t>
            </w:r>
            <w:r>
              <w:rPr>
                <w:rFonts w:hint="eastAsia" w:ascii="宋体" w:hAnsi="宋体" w:eastAsia="宋体" w:cs="宋体"/>
                <w:sz w:val="24"/>
                <w:szCs w:val="24"/>
                <w:highlight w:val="none"/>
                <w:lang w:eastAsia="zh-CN"/>
              </w:rPr>
              <w:t>韶关市武江区龙归镇兴龙路57号B栋216房</w:t>
            </w:r>
          </w:p>
          <w:p w14:paraId="036CED4C">
            <w:pPr>
              <w:wordWrap w:val="0"/>
              <w:spacing w:line="36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联系人（部门）：</w:t>
            </w:r>
            <w:r>
              <w:rPr>
                <w:rFonts w:hint="eastAsia" w:ascii="宋体" w:hAnsi="宋体" w:eastAsia="宋体" w:cs="宋体"/>
                <w:sz w:val="24"/>
                <w:szCs w:val="24"/>
                <w:highlight w:val="none"/>
                <w:lang w:eastAsia="zh-CN"/>
              </w:rPr>
              <w:t>张工</w:t>
            </w:r>
          </w:p>
          <w:p w14:paraId="2D312B5A">
            <w:pPr>
              <w:wordWrap w:val="0"/>
              <w:spacing w:line="36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r>
              <w:rPr>
                <w:rFonts w:hint="eastAsia" w:ascii="宋体" w:hAnsi="宋体" w:eastAsia="宋体" w:cs="宋体"/>
                <w:sz w:val="24"/>
                <w:szCs w:val="24"/>
                <w:highlight w:val="none"/>
                <w:lang w:eastAsia="zh-CN"/>
              </w:rPr>
              <w:t>13653039664</w:t>
            </w:r>
          </w:p>
        </w:tc>
      </w:tr>
      <w:tr w14:paraId="13809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After w:w="0" w:type="auto"/>
          <w:trHeight w:val="477" w:hRule="atLeast"/>
        </w:trPr>
        <w:tc>
          <w:tcPr>
            <w:tcW w:w="627" w:type="dxa"/>
            <w:noWrap w:val="0"/>
            <w:vAlign w:val="center"/>
          </w:tcPr>
          <w:p w14:paraId="39006860">
            <w:pPr>
              <w:spacing w:before="69" w:line="188" w:lineRule="auto"/>
              <w:jc w:val="center"/>
              <w:rPr>
                <w:rFonts w:hint="eastAsia" w:ascii="宋体" w:hAnsi="宋体" w:eastAsia="宋体" w:cs="宋体"/>
                <w:spacing w:val="-5"/>
                <w:sz w:val="24"/>
                <w:szCs w:val="24"/>
                <w:lang w:eastAsia="zh-CN"/>
              </w:rPr>
            </w:pPr>
            <w:r>
              <w:rPr>
                <w:rFonts w:hint="eastAsia" w:ascii="宋体" w:hAnsi="宋体" w:eastAsia="宋体" w:cs="宋体"/>
                <w:spacing w:val="-5"/>
                <w:sz w:val="24"/>
                <w:szCs w:val="24"/>
                <w:lang w:eastAsia="zh-CN"/>
              </w:rPr>
              <w:t>36</w:t>
            </w:r>
          </w:p>
        </w:tc>
        <w:tc>
          <w:tcPr>
            <w:tcW w:w="1828" w:type="dxa"/>
            <w:noWrap w:val="0"/>
            <w:vAlign w:val="center"/>
          </w:tcPr>
          <w:p w14:paraId="20578FAF">
            <w:pPr>
              <w:spacing w:before="78" w:line="264" w:lineRule="auto"/>
              <w:ind w:right="378"/>
              <w:jc w:val="center"/>
              <w:rPr>
                <w:rFonts w:hint="eastAsia" w:ascii="宋体" w:hAnsi="宋体" w:eastAsia="宋体" w:cs="宋体"/>
                <w:sz w:val="24"/>
                <w:szCs w:val="24"/>
              </w:rPr>
            </w:pPr>
            <w:r>
              <w:rPr>
                <w:rFonts w:hint="eastAsia" w:ascii="宋体" w:hAnsi="宋体" w:eastAsia="宋体" w:cs="宋体"/>
                <w:spacing w:val="-4"/>
                <w:sz w:val="24"/>
                <w:szCs w:val="24"/>
              </w:rPr>
              <w:t>交易场所</w:t>
            </w:r>
            <w:r>
              <w:rPr>
                <w:rFonts w:hint="eastAsia" w:ascii="宋体" w:hAnsi="宋体" w:eastAsia="宋体" w:cs="宋体"/>
                <w:spacing w:val="-3"/>
                <w:sz w:val="24"/>
                <w:szCs w:val="24"/>
              </w:rPr>
              <w:t>联系方式</w:t>
            </w:r>
          </w:p>
        </w:tc>
        <w:tc>
          <w:tcPr>
            <w:tcW w:w="7878" w:type="dxa"/>
            <w:noWrap w:val="0"/>
            <w:vAlign w:val="center"/>
          </w:tcPr>
          <w:p w14:paraId="36F7203D">
            <w:pPr>
              <w:spacing w:before="119" w:line="360" w:lineRule="auto"/>
              <w:jc w:val="both"/>
              <w:rPr>
                <w:rFonts w:hint="eastAsia" w:ascii="宋体" w:hAnsi="宋体" w:eastAsia="宋体" w:cs="宋体"/>
                <w:sz w:val="24"/>
                <w:szCs w:val="24"/>
                <w:lang w:eastAsia="zh-CN"/>
              </w:rPr>
            </w:pPr>
            <w:r>
              <w:rPr>
                <w:rFonts w:hint="eastAsia" w:ascii="宋体" w:hAnsi="宋体" w:eastAsia="宋体" w:cs="宋体"/>
                <w:spacing w:val="1"/>
                <w:sz w:val="24"/>
                <w:szCs w:val="24"/>
              </w:rPr>
              <w:t>单位名称：</w:t>
            </w:r>
            <w:r>
              <w:rPr>
                <w:rFonts w:hint="eastAsia" w:ascii="宋体" w:hAnsi="宋体" w:eastAsia="宋体" w:cs="宋体"/>
                <w:spacing w:val="1"/>
                <w:sz w:val="24"/>
                <w:szCs w:val="24"/>
                <w:lang w:eastAsia="zh-CN"/>
              </w:rPr>
              <w:t>韶关市公共资源交易中心</w:t>
            </w:r>
          </w:p>
          <w:p w14:paraId="44CF5076">
            <w:pPr>
              <w:wordWrap w:val="0"/>
              <w:spacing w:before="0" w:line="360" w:lineRule="auto"/>
              <w:ind w:right="0"/>
              <w:jc w:val="both"/>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eastAsia="zh-CN"/>
              </w:rPr>
              <w:t>办公地址：韶关市公共资源交易中心乐昌分中心（地址：乐昌市昌山北路23号）</w:t>
            </w:r>
          </w:p>
          <w:p w14:paraId="218FBB78">
            <w:pPr>
              <w:wordWrap w:val="0"/>
              <w:spacing w:before="0" w:line="360" w:lineRule="auto"/>
              <w:ind w:right="0"/>
              <w:jc w:val="both"/>
              <w:rPr>
                <w:rFonts w:hint="eastAsia" w:ascii="宋体" w:hAnsi="宋体" w:eastAsia="宋体" w:cs="宋体"/>
                <w:sz w:val="24"/>
                <w:szCs w:val="24"/>
                <w:lang w:eastAsia="zh-CN"/>
              </w:rPr>
            </w:pPr>
            <w:r>
              <w:rPr>
                <w:rFonts w:hint="eastAsia" w:ascii="宋体" w:hAnsi="宋体" w:eastAsia="宋体" w:cs="宋体"/>
                <w:spacing w:val="0"/>
                <w:sz w:val="24"/>
                <w:szCs w:val="24"/>
                <w:lang w:eastAsia="zh-CN"/>
              </w:rPr>
              <w:t>联系人（部门）：工程交易股</w:t>
            </w:r>
          </w:p>
          <w:p w14:paraId="52B0A96B">
            <w:pPr>
              <w:spacing w:before="32" w:line="360" w:lineRule="auto"/>
              <w:jc w:val="both"/>
              <w:rPr>
                <w:rFonts w:hint="eastAsia" w:ascii="宋体" w:hAnsi="宋体" w:eastAsia="宋体" w:cs="宋体"/>
                <w:sz w:val="24"/>
                <w:szCs w:val="24"/>
                <w:lang w:eastAsia="zh-CN"/>
              </w:rPr>
            </w:pPr>
            <w:r>
              <w:rPr>
                <w:rFonts w:hint="eastAsia" w:ascii="宋体" w:hAnsi="宋体" w:eastAsia="宋体" w:cs="宋体"/>
                <w:spacing w:val="-1"/>
                <w:sz w:val="24"/>
                <w:szCs w:val="24"/>
              </w:rPr>
              <w:t>联系电话：</w:t>
            </w:r>
            <w:r>
              <w:rPr>
                <w:rFonts w:hint="eastAsia" w:ascii="宋体" w:hAnsi="宋体" w:eastAsia="宋体" w:cs="宋体"/>
                <w:spacing w:val="-1"/>
                <w:sz w:val="24"/>
                <w:szCs w:val="24"/>
                <w:lang w:eastAsia="zh-CN"/>
              </w:rPr>
              <w:t>0751-5570106</w:t>
            </w:r>
          </w:p>
        </w:tc>
      </w:tr>
      <w:tr w14:paraId="31330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After w:w="0" w:type="auto"/>
          <w:trHeight w:val="1788" w:hRule="atLeast"/>
        </w:trPr>
        <w:tc>
          <w:tcPr>
            <w:tcW w:w="627" w:type="dxa"/>
            <w:noWrap w:val="0"/>
            <w:vAlign w:val="center"/>
          </w:tcPr>
          <w:p w14:paraId="76083346">
            <w:pPr>
              <w:spacing w:before="69" w:line="188" w:lineRule="auto"/>
              <w:jc w:val="center"/>
              <w:rPr>
                <w:rFonts w:hint="eastAsia" w:ascii="宋体" w:hAnsi="宋体" w:eastAsia="宋体" w:cs="宋体"/>
                <w:spacing w:val="-5"/>
                <w:sz w:val="24"/>
                <w:szCs w:val="24"/>
                <w:lang w:eastAsia="zh-CN"/>
              </w:rPr>
            </w:pPr>
            <w:r>
              <w:rPr>
                <w:rFonts w:hint="eastAsia" w:ascii="宋体" w:hAnsi="宋体" w:eastAsia="宋体" w:cs="宋体"/>
                <w:spacing w:val="-5"/>
                <w:sz w:val="24"/>
                <w:szCs w:val="24"/>
                <w:lang w:eastAsia="zh-CN"/>
              </w:rPr>
              <w:t>37</w:t>
            </w:r>
          </w:p>
        </w:tc>
        <w:tc>
          <w:tcPr>
            <w:tcW w:w="1828" w:type="dxa"/>
            <w:noWrap w:val="0"/>
            <w:vAlign w:val="center"/>
          </w:tcPr>
          <w:p w14:paraId="0BBD9A83">
            <w:pPr>
              <w:spacing w:before="78" w:line="264" w:lineRule="auto"/>
              <w:ind w:right="138"/>
              <w:jc w:val="center"/>
              <w:rPr>
                <w:rFonts w:hint="eastAsia" w:ascii="宋体" w:hAnsi="宋体" w:eastAsia="宋体" w:cs="宋体"/>
                <w:spacing w:val="-4"/>
                <w:sz w:val="24"/>
                <w:szCs w:val="24"/>
              </w:rPr>
            </w:pPr>
            <w:r>
              <w:rPr>
                <w:rFonts w:hint="eastAsia" w:ascii="宋体" w:hAnsi="宋体" w:eastAsia="宋体" w:cs="宋体"/>
                <w:spacing w:val="-3"/>
                <w:sz w:val="24"/>
                <w:szCs w:val="24"/>
              </w:rPr>
              <w:t>行政监督部门联系方式</w:t>
            </w:r>
          </w:p>
        </w:tc>
        <w:tc>
          <w:tcPr>
            <w:tcW w:w="7878" w:type="dxa"/>
            <w:noWrap w:val="0"/>
            <w:vAlign w:val="center"/>
          </w:tcPr>
          <w:p w14:paraId="32D2D895">
            <w:pPr>
              <w:spacing w:before="119" w:line="213" w:lineRule="auto"/>
              <w:ind w:left="0" w:leftChars="0"/>
              <w:jc w:val="both"/>
              <w:rPr>
                <w:rFonts w:hint="eastAsia" w:ascii="宋体" w:hAnsi="宋体" w:eastAsia="宋体" w:cs="宋体"/>
                <w:snapToGrid w:val="0"/>
                <w:color w:val="000000"/>
                <w:spacing w:val="1"/>
                <w:kern w:val="0"/>
                <w:sz w:val="24"/>
                <w:szCs w:val="24"/>
                <w:highlight w:val="none"/>
                <w:lang w:val="en-US" w:eastAsia="zh-CN"/>
              </w:rPr>
            </w:pPr>
            <w:r>
              <w:rPr>
                <w:rFonts w:hint="eastAsia" w:ascii="宋体" w:hAnsi="宋体" w:eastAsia="宋体" w:cs="宋体"/>
                <w:snapToGrid w:val="0"/>
                <w:color w:val="000000"/>
                <w:spacing w:val="1"/>
                <w:kern w:val="0"/>
                <w:sz w:val="24"/>
                <w:szCs w:val="24"/>
                <w:highlight w:val="none"/>
                <w:lang w:val="en-US" w:eastAsia="zh-CN"/>
              </w:rPr>
              <w:t>单位名称：乐昌市农业农村局(乐昌市乡村振兴局)</w:t>
            </w:r>
          </w:p>
          <w:p w14:paraId="1FC92875">
            <w:pPr>
              <w:spacing w:before="119" w:line="213" w:lineRule="auto"/>
              <w:ind w:left="0" w:leftChars="0"/>
              <w:jc w:val="both"/>
              <w:rPr>
                <w:rFonts w:hint="eastAsia" w:ascii="宋体" w:hAnsi="宋体" w:eastAsia="宋体" w:cs="宋体"/>
                <w:snapToGrid w:val="0"/>
                <w:color w:val="000000"/>
                <w:spacing w:val="1"/>
                <w:kern w:val="0"/>
                <w:sz w:val="24"/>
                <w:szCs w:val="24"/>
                <w:highlight w:val="none"/>
                <w:lang w:val="en-US" w:eastAsia="zh-CN"/>
              </w:rPr>
            </w:pPr>
            <w:r>
              <w:rPr>
                <w:rFonts w:hint="eastAsia" w:ascii="宋体" w:hAnsi="宋体" w:eastAsia="宋体" w:cs="宋体"/>
                <w:snapToGrid w:val="0"/>
                <w:color w:val="000000"/>
                <w:spacing w:val="1"/>
                <w:kern w:val="0"/>
                <w:sz w:val="24"/>
                <w:szCs w:val="24"/>
                <w:highlight w:val="none"/>
                <w:lang w:val="en-US" w:eastAsia="zh-CN"/>
              </w:rPr>
              <w:t>办公地址：广东省乐昌市大昌路52号</w:t>
            </w:r>
          </w:p>
          <w:p w14:paraId="3A763F77">
            <w:pPr>
              <w:spacing w:before="119" w:line="213" w:lineRule="auto"/>
              <w:jc w:val="both"/>
              <w:rPr>
                <w:rFonts w:hint="eastAsia" w:ascii="宋体" w:hAnsi="宋体" w:eastAsia="宋体" w:cs="宋体"/>
                <w:snapToGrid w:val="0"/>
                <w:color w:val="000000"/>
                <w:spacing w:val="1"/>
                <w:kern w:val="0"/>
                <w:sz w:val="24"/>
                <w:szCs w:val="24"/>
                <w:highlight w:val="none"/>
                <w:lang w:val="en-US" w:eastAsia="zh-CN"/>
              </w:rPr>
            </w:pPr>
            <w:r>
              <w:rPr>
                <w:rFonts w:hint="eastAsia" w:ascii="宋体" w:hAnsi="宋体" w:eastAsia="宋体" w:cs="宋体"/>
                <w:snapToGrid w:val="0"/>
                <w:color w:val="000000"/>
                <w:spacing w:val="1"/>
                <w:kern w:val="0"/>
                <w:sz w:val="24"/>
                <w:szCs w:val="24"/>
                <w:highlight w:val="none"/>
                <w:lang w:val="en-US" w:eastAsia="zh-CN"/>
              </w:rPr>
              <w:t>联系人（部门）：乡村建设和农村社会事业促进股</w:t>
            </w:r>
          </w:p>
          <w:p w14:paraId="7AE8FD20">
            <w:pPr>
              <w:spacing w:before="119" w:line="213" w:lineRule="auto"/>
              <w:ind w:right="0"/>
              <w:jc w:val="both"/>
              <w:rPr>
                <w:rFonts w:hint="eastAsia" w:ascii="宋体" w:hAnsi="宋体" w:eastAsia="宋体" w:cs="宋体"/>
                <w:spacing w:val="-1"/>
                <w:sz w:val="24"/>
                <w:szCs w:val="24"/>
              </w:rPr>
            </w:pPr>
            <w:r>
              <w:rPr>
                <w:rFonts w:hint="eastAsia" w:ascii="宋体" w:hAnsi="宋体" w:eastAsia="宋体" w:cs="宋体"/>
                <w:snapToGrid w:val="0"/>
                <w:color w:val="000000"/>
                <w:spacing w:val="1"/>
                <w:kern w:val="0"/>
                <w:sz w:val="24"/>
                <w:szCs w:val="24"/>
                <w:highlight w:val="none"/>
                <w:lang w:val="en-US" w:eastAsia="zh-CN"/>
              </w:rPr>
              <w:t>联系电话：0751-5502981</w:t>
            </w:r>
          </w:p>
        </w:tc>
      </w:tr>
    </w:tbl>
    <w:p w14:paraId="793DADD7">
      <w:pPr>
        <w:pStyle w:val="5"/>
      </w:pPr>
    </w:p>
    <w:p w14:paraId="7CFA8293">
      <w:pPr>
        <w:sectPr>
          <w:headerReference r:id="rId6" w:type="default"/>
          <w:footerReference r:id="rId7" w:type="default"/>
          <w:pgSz w:w="11906" w:h="16839"/>
          <w:pgMar w:top="720" w:right="720" w:bottom="720" w:left="720" w:header="0" w:footer="1085" w:gutter="0"/>
          <w:cols w:space="720" w:num="1"/>
        </w:sectPr>
      </w:pPr>
    </w:p>
    <w:p w14:paraId="6C8B1E8F">
      <w:pPr>
        <w:spacing w:before="156" w:line="219" w:lineRule="auto"/>
        <w:ind w:left="17"/>
        <w:outlineLvl w:val="1"/>
        <w:rPr>
          <w:rFonts w:ascii="宋体" w:hAnsi="宋体" w:eastAsia="宋体" w:cs="宋体"/>
          <w:b/>
          <w:bCs/>
          <w:spacing w:val="-3"/>
          <w:sz w:val="24"/>
          <w:szCs w:val="24"/>
        </w:rPr>
      </w:pPr>
      <w:bookmarkStart w:id="10" w:name="bookmark115"/>
      <w:bookmarkEnd w:id="10"/>
      <w:bookmarkStart w:id="11" w:name="_Toc10868"/>
      <w:r>
        <w:rPr>
          <w:rFonts w:ascii="宋体" w:hAnsi="宋体" w:eastAsia="宋体" w:cs="宋体"/>
          <w:b/>
          <w:bCs/>
          <w:spacing w:val="-3"/>
          <w:sz w:val="24"/>
          <w:szCs w:val="24"/>
        </w:rPr>
        <w:t>第二节 重要事项时间地点一览表</w:t>
      </w:r>
      <w:bookmarkEnd w:id="11"/>
    </w:p>
    <w:p w14:paraId="6D5D393A">
      <w:pPr>
        <w:spacing w:before="26"/>
      </w:pPr>
    </w:p>
    <w:tbl>
      <w:tblPr>
        <w:tblStyle w:val="14"/>
        <w:tblW w:w="10048" w:type="dxa"/>
        <w:tblInd w:w="5" w:type="dxa"/>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Layout w:type="fixed"/>
        <w:tblCellMar>
          <w:top w:w="0" w:type="dxa"/>
          <w:left w:w="0" w:type="dxa"/>
          <w:bottom w:w="0" w:type="dxa"/>
          <w:right w:w="0" w:type="dxa"/>
        </w:tblCellMar>
      </w:tblPr>
      <w:tblGrid>
        <w:gridCol w:w="424"/>
        <w:gridCol w:w="1350"/>
        <w:gridCol w:w="8274"/>
      </w:tblGrid>
      <w:tr w14:paraId="0AEA5963">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760" w:hRule="atLeast"/>
        </w:trPr>
        <w:tc>
          <w:tcPr>
            <w:tcW w:w="424" w:type="dxa"/>
            <w:noWrap w:val="0"/>
            <w:vAlign w:val="top"/>
          </w:tcPr>
          <w:p w14:paraId="7673C6DE">
            <w:pPr>
              <w:spacing w:before="58" w:line="195" w:lineRule="auto"/>
              <w:ind w:left="176"/>
              <w:rPr>
                <w:rFonts w:hint="eastAsia" w:ascii="宋体" w:hAnsi="宋体" w:eastAsia="宋体" w:cs="宋体"/>
                <w:sz w:val="24"/>
                <w:szCs w:val="24"/>
              </w:rPr>
            </w:pPr>
          </w:p>
          <w:p w14:paraId="7CA7CA06">
            <w:pPr>
              <w:spacing w:before="58" w:line="195" w:lineRule="auto"/>
              <w:ind w:left="176"/>
              <w:rPr>
                <w:rFonts w:hint="eastAsia" w:ascii="宋体" w:hAnsi="宋体" w:eastAsia="宋体" w:cs="宋体"/>
                <w:sz w:val="24"/>
                <w:szCs w:val="24"/>
              </w:rPr>
            </w:pPr>
            <w:r>
              <w:rPr>
                <w:rFonts w:hint="eastAsia" w:ascii="宋体" w:hAnsi="宋体" w:eastAsia="宋体" w:cs="宋体"/>
                <w:sz w:val="24"/>
                <w:szCs w:val="24"/>
              </w:rPr>
              <w:t>1</w:t>
            </w:r>
          </w:p>
        </w:tc>
        <w:tc>
          <w:tcPr>
            <w:tcW w:w="1350" w:type="dxa"/>
            <w:noWrap w:val="0"/>
            <w:vAlign w:val="top"/>
          </w:tcPr>
          <w:p w14:paraId="66ACFD33">
            <w:pPr>
              <w:spacing w:before="65" w:line="317" w:lineRule="auto"/>
              <w:ind w:right="255"/>
              <w:rPr>
                <w:rFonts w:hint="eastAsia" w:ascii="宋体" w:hAnsi="宋体" w:eastAsia="宋体" w:cs="宋体"/>
                <w:sz w:val="24"/>
                <w:szCs w:val="24"/>
              </w:rPr>
            </w:pPr>
            <w:r>
              <w:rPr>
                <w:rFonts w:hint="eastAsia" w:ascii="宋体" w:hAnsi="宋体" w:eastAsia="宋体" w:cs="宋体"/>
                <w:spacing w:val="7"/>
                <w:sz w:val="24"/>
                <w:szCs w:val="24"/>
              </w:rPr>
              <w:t>招标公告</w:t>
            </w:r>
            <w:r>
              <w:rPr>
                <w:rFonts w:hint="eastAsia" w:ascii="宋体" w:hAnsi="宋体" w:eastAsia="宋体" w:cs="宋体"/>
                <w:sz w:val="24"/>
                <w:szCs w:val="24"/>
              </w:rPr>
              <w:t xml:space="preserve"> </w:t>
            </w:r>
            <w:r>
              <w:rPr>
                <w:rFonts w:hint="eastAsia" w:ascii="宋体" w:hAnsi="宋体" w:eastAsia="宋体" w:cs="宋体"/>
                <w:spacing w:val="6"/>
                <w:sz w:val="24"/>
                <w:szCs w:val="24"/>
              </w:rPr>
              <w:t>发布时间</w:t>
            </w:r>
          </w:p>
        </w:tc>
        <w:tc>
          <w:tcPr>
            <w:tcW w:w="8274" w:type="dxa"/>
            <w:noWrap w:val="0"/>
            <w:vAlign w:val="top"/>
          </w:tcPr>
          <w:p w14:paraId="23327D08">
            <w:pPr>
              <w:tabs>
                <w:tab w:val="left" w:pos="1049"/>
              </w:tabs>
              <w:spacing w:before="65" w:line="228" w:lineRule="auto"/>
              <w:rPr>
                <w:rFonts w:hint="eastAsia" w:ascii="宋体" w:hAnsi="宋体" w:eastAsia="宋体" w:cs="宋体"/>
                <w:spacing w:val="-10"/>
                <w:sz w:val="24"/>
                <w:szCs w:val="24"/>
                <w:u w:val="single"/>
                <w:lang w:eastAsia="zh-CN"/>
              </w:rPr>
            </w:pPr>
          </w:p>
          <w:p w14:paraId="3BC79183">
            <w:pPr>
              <w:tabs>
                <w:tab w:val="left" w:pos="1049"/>
              </w:tabs>
              <w:spacing w:before="65" w:line="228" w:lineRule="auto"/>
              <w:rPr>
                <w:rFonts w:hint="eastAsia" w:ascii="宋体" w:hAnsi="宋体" w:eastAsia="宋体" w:cs="宋体"/>
                <w:sz w:val="24"/>
                <w:szCs w:val="24"/>
                <w:lang w:eastAsia="zh-CN"/>
              </w:rPr>
            </w:pPr>
            <w:r>
              <w:rPr>
                <w:rFonts w:hint="eastAsia" w:ascii="宋体" w:hAnsi="宋体" w:eastAsia="宋体" w:cs="宋体"/>
                <w:spacing w:val="-10"/>
                <w:sz w:val="24"/>
                <w:szCs w:val="24"/>
                <w:u w:val="single"/>
                <w:lang w:val="en-US" w:eastAsia="zh-CN"/>
              </w:rPr>
              <w:t>2025</w:t>
            </w:r>
            <w:r>
              <w:rPr>
                <w:rFonts w:hint="eastAsia" w:ascii="宋体" w:hAnsi="宋体" w:eastAsia="宋体" w:cs="宋体"/>
                <w:spacing w:val="-10"/>
                <w:sz w:val="24"/>
                <w:szCs w:val="24"/>
              </w:rPr>
              <w:t>年</w:t>
            </w:r>
            <w:r>
              <w:rPr>
                <w:rFonts w:hint="eastAsia" w:ascii="宋体" w:hAnsi="宋体" w:eastAsia="宋体" w:cs="宋体"/>
                <w:spacing w:val="5"/>
                <w:sz w:val="24"/>
                <w:szCs w:val="24"/>
                <w:u w:val="single"/>
                <w:lang w:val="en-US" w:eastAsia="zh-CN"/>
              </w:rPr>
              <w:t>12</w:t>
            </w:r>
            <w:r>
              <w:rPr>
                <w:rFonts w:hint="eastAsia" w:ascii="宋体" w:hAnsi="宋体" w:eastAsia="宋体" w:cs="宋体"/>
                <w:spacing w:val="-10"/>
                <w:sz w:val="24"/>
                <w:szCs w:val="24"/>
              </w:rPr>
              <w:t>月</w:t>
            </w:r>
            <w:r>
              <w:rPr>
                <w:rFonts w:hint="eastAsia" w:ascii="宋体" w:hAnsi="宋体" w:eastAsia="宋体" w:cs="宋体"/>
                <w:spacing w:val="5"/>
                <w:sz w:val="24"/>
                <w:szCs w:val="24"/>
                <w:u w:val="single"/>
                <w:lang w:val="en-US" w:eastAsia="zh-CN"/>
              </w:rPr>
              <w:t>31</w:t>
            </w:r>
            <w:r>
              <w:rPr>
                <w:rFonts w:hint="eastAsia" w:ascii="宋体" w:hAnsi="宋体" w:eastAsia="宋体" w:cs="宋体"/>
                <w:spacing w:val="-10"/>
                <w:sz w:val="24"/>
                <w:szCs w:val="24"/>
              </w:rPr>
              <w:t>日</w:t>
            </w:r>
            <w:r>
              <w:rPr>
                <w:rFonts w:hint="eastAsia" w:ascii="宋体" w:hAnsi="宋体" w:eastAsia="宋体" w:cs="宋体"/>
                <w:spacing w:val="-98"/>
                <w:sz w:val="24"/>
                <w:szCs w:val="24"/>
              </w:rPr>
              <w:t xml:space="preserve"> </w:t>
            </w:r>
            <w:r>
              <w:rPr>
                <w:rFonts w:hint="eastAsia" w:ascii="宋体" w:hAnsi="宋体" w:eastAsia="宋体" w:cs="宋体"/>
                <w:spacing w:val="4"/>
                <w:sz w:val="24"/>
                <w:szCs w:val="24"/>
                <w:u w:val="single"/>
                <w:lang w:val="en-US" w:eastAsia="zh-CN"/>
              </w:rPr>
              <w:t xml:space="preserve">18 </w:t>
            </w:r>
            <w:r>
              <w:rPr>
                <w:rFonts w:hint="eastAsia" w:ascii="宋体" w:hAnsi="宋体" w:eastAsia="宋体" w:cs="宋体"/>
                <w:spacing w:val="-80"/>
                <w:sz w:val="24"/>
                <w:szCs w:val="24"/>
              </w:rPr>
              <w:t xml:space="preserve"> </w:t>
            </w:r>
            <w:r>
              <w:rPr>
                <w:rFonts w:hint="eastAsia" w:ascii="宋体" w:hAnsi="宋体" w:eastAsia="宋体" w:cs="宋体"/>
                <w:spacing w:val="-10"/>
                <w:sz w:val="24"/>
                <w:szCs w:val="24"/>
              </w:rPr>
              <w:t>时</w:t>
            </w:r>
            <w:r>
              <w:rPr>
                <w:rFonts w:hint="eastAsia" w:ascii="宋体" w:hAnsi="宋体" w:eastAsia="宋体" w:cs="宋体"/>
                <w:spacing w:val="-98"/>
                <w:sz w:val="24"/>
                <w:szCs w:val="24"/>
              </w:rPr>
              <w:t xml:space="preserve"> </w:t>
            </w:r>
            <w:r>
              <w:rPr>
                <w:rFonts w:hint="eastAsia" w:ascii="宋体" w:hAnsi="宋体" w:eastAsia="宋体" w:cs="宋体"/>
                <w:spacing w:val="5"/>
                <w:sz w:val="24"/>
                <w:szCs w:val="24"/>
                <w:u w:val="single"/>
              </w:rPr>
              <w:t xml:space="preserve"> </w:t>
            </w:r>
            <w:r>
              <w:rPr>
                <w:rFonts w:hint="eastAsia" w:ascii="宋体" w:hAnsi="宋体" w:eastAsia="宋体" w:cs="宋体"/>
                <w:spacing w:val="5"/>
                <w:sz w:val="24"/>
                <w:szCs w:val="24"/>
                <w:u w:val="single"/>
                <w:lang w:val="en-US" w:eastAsia="zh-CN"/>
              </w:rPr>
              <w:t xml:space="preserve">00 </w:t>
            </w:r>
            <w:r>
              <w:rPr>
                <w:rFonts w:hint="eastAsia" w:ascii="宋体" w:hAnsi="宋体" w:eastAsia="宋体" w:cs="宋体"/>
                <w:color w:val="auto"/>
                <w:spacing w:val="-89"/>
                <w:sz w:val="24"/>
                <w:szCs w:val="24"/>
              </w:rPr>
              <w:t xml:space="preserve"> </w:t>
            </w:r>
            <w:r>
              <w:rPr>
                <w:rFonts w:hint="eastAsia" w:ascii="宋体" w:hAnsi="宋体" w:eastAsia="宋体" w:cs="宋体"/>
                <w:color w:val="auto"/>
                <w:spacing w:val="-10"/>
                <w:sz w:val="24"/>
                <w:szCs w:val="24"/>
              </w:rPr>
              <w:t>分</w:t>
            </w:r>
          </w:p>
        </w:tc>
      </w:tr>
      <w:tr w14:paraId="2F32534C">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1123" w:hRule="atLeast"/>
        </w:trPr>
        <w:tc>
          <w:tcPr>
            <w:tcW w:w="424" w:type="dxa"/>
            <w:noWrap w:val="0"/>
            <w:vAlign w:val="top"/>
          </w:tcPr>
          <w:p w14:paraId="5AE1A871">
            <w:pPr>
              <w:spacing w:before="58" w:line="195" w:lineRule="auto"/>
              <w:ind w:left="156"/>
              <w:rPr>
                <w:rFonts w:hint="eastAsia" w:ascii="宋体" w:hAnsi="宋体" w:eastAsia="宋体" w:cs="宋体"/>
                <w:sz w:val="24"/>
                <w:szCs w:val="24"/>
              </w:rPr>
            </w:pPr>
          </w:p>
          <w:p w14:paraId="614799C4">
            <w:pPr>
              <w:spacing w:before="58" w:line="195" w:lineRule="auto"/>
              <w:ind w:left="156"/>
              <w:rPr>
                <w:rFonts w:hint="eastAsia" w:ascii="宋体" w:hAnsi="宋体" w:eastAsia="宋体" w:cs="宋体"/>
                <w:sz w:val="24"/>
                <w:szCs w:val="24"/>
              </w:rPr>
            </w:pPr>
            <w:r>
              <w:rPr>
                <w:rFonts w:hint="eastAsia" w:ascii="宋体" w:hAnsi="宋体" w:eastAsia="宋体" w:cs="宋体"/>
                <w:sz w:val="24"/>
                <w:szCs w:val="24"/>
              </w:rPr>
              <w:t>2</w:t>
            </w:r>
          </w:p>
        </w:tc>
        <w:tc>
          <w:tcPr>
            <w:tcW w:w="1350" w:type="dxa"/>
            <w:noWrap w:val="0"/>
            <w:vAlign w:val="top"/>
          </w:tcPr>
          <w:p w14:paraId="0E024128">
            <w:pPr>
              <w:spacing w:before="65" w:line="318" w:lineRule="auto"/>
              <w:ind w:left="253" w:right="46" w:hanging="207"/>
              <w:rPr>
                <w:rFonts w:hint="eastAsia" w:ascii="宋体" w:hAnsi="宋体" w:eastAsia="宋体" w:cs="宋体"/>
                <w:spacing w:val="7"/>
                <w:sz w:val="24"/>
                <w:szCs w:val="24"/>
              </w:rPr>
            </w:pPr>
            <w:r>
              <w:rPr>
                <w:rFonts w:hint="eastAsia" w:ascii="宋体" w:hAnsi="宋体" w:eastAsia="宋体" w:cs="宋体"/>
                <w:spacing w:val="7"/>
                <w:sz w:val="24"/>
                <w:szCs w:val="24"/>
              </w:rPr>
              <w:t>获取招标文</w:t>
            </w:r>
          </w:p>
          <w:p w14:paraId="0DE9C8F0">
            <w:pPr>
              <w:spacing w:before="65" w:line="318" w:lineRule="auto"/>
              <w:ind w:left="253" w:right="46" w:hanging="207"/>
              <w:rPr>
                <w:rFonts w:hint="eastAsia" w:ascii="宋体" w:hAnsi="宋体" w:eastAsia="宋体" w:cs="宋体"/>
                <w:sz w:val="24"/>
                <w:szCs w:val="24"/>
              </w:rPr>
            </w:pPr>
            <w:r>
              <w:rPr>
                <w:rFonts w:hint="eastAsia" w:ascii="宋体" w:hAnsi="宋体" w:eastAsia="宋体" w:cs="宋体"/>
                <w:spacing w:val="7"/>
                <w:sz w:val="24"/>
                <w:szCs w:val="24"/>
              </w:rPr>
              <w:t>件截止时间</w:t>
            </w:r>
          </w:p>
        </w:tc>
        <w:tc>
          <w:tcPr>
            <w:tcW w:w="8274" w:type="dxa"/>
            <w:noWrap w:val="0"/>
            <w:vAlign w:val="top"/>
          </w:tcPr>
          <w:p w14:paraId="7675F91B">
            <w:pPr>
              <w:pStyle w:val="20"/>
              <w:spacing w:line="432" w:lineRule="auto"/>
              <w:rPr>
                <w:rFonts w:hint="eastAsia" w:ascii="宋体" w:hAnsi="宋体" w:eastAsia="宋体" w:cs="宋体"/>
                <w:sz w:val="24"/>
                <w:szCs w:val="24"/>
              </w:rPr>
            </w:pPr>
          </w:p>
          <w:p w14:paraId="113FE0C7">
            <w:pPr>
              <w:tabs>
                <w:tab w:val="left" w:pos="1049"/>
              </w:tabs>
              <w:spacing w:before="65" w:line="228" w:lineRule="auto"/>
              <w:rPr>
                <w:rFonts w:hint="eastAsia" w:ascii="宋体" w:hAnsi="宋体" w:eastAsia="宋体" w:cs="宋体"/>
                <w:sz w:val="24"/>
                <w:szCs w:val="24"/>
              </w:rPr>
            </w:pPr>
            <w:r>
              <w:rPr>
                <w:rFonts w:hint="eastAsia" w:ascii="宋体" w:hAnsi="宋体" w:eastAsia="宋体" w:cs="宋体"/>
                <w:spacing w:val="-10"/>
                <w:sz w:val="24"/>
                <w:szCs w:val="24"/>
                <w:u w:val="single"/>
                <w:lang w:val="en-US" w:eastAsia="zh-CN"/>
              </w:rPr>
              <w:t>2026</w:t>
            </w:r>
            <w:r>
              <w:rPr>
                <w:rFonts w:hint="eastAsia" w:ascii="宋体" w:hAnsi="宋体" w:eastAsia="宋体" w:cs="宋体"/>
                <w:spacing w:val="-10"/>
                <w:sz w:val="24"/>
                <w:szCs w:val="24"/>
              </w:rPr>
              <w:t>年</w:t>
            </w:r>
            <w:r>
              <w:rPr>
                <w:rFonts w:hint="eastAsia" w:ascii="宋体" w:hAnsi="宋体" w:eastAsia="宋体" w:cs="宋体"/>
                <w:spacing w:val="5"/>
                <w:sz w:val="24"/>
                <w:szCs w:val="24"/>
                <w:u w:val="single"/>
                <w:lang w:val="en-US" w:eastAsia="zh-CN"/>
              </w:rPr>
              <w:t>01</w:t>
            </w:r>
            <w:r>
              <w:rPr>
                <w:rFonts w:hint="eastAsia" w:ascii="宋体" w:hAnsi="宋体" w:eastAsia="宋体" w:cs="宋体"/>
                <w:spacing w:val="-10"/>
                <w:sz w:val="24"/>
                <w:szCs w:val="24"/>
              </w:rPr>
              <w:t>月</w:t>
            </w:r>
            <w:r>
              <w:rPr>
                <w:rFonts w:hint="eastAsia" w:ascii="宋体" w:hAnsi="宋体" w:eastAsia="宋体" w:cs="宋体"/>
                <w:spacing w:val="5"/>
                <w:sz w:val="24"/>
                <w:szCs w:val="24"/>
                <w:u w:val="single"/>
                <w:lang w:val="en-US" w:eastAsia="zh-CN"/>
              </w:rPr>
              <w:t>21</w:t>
            </w:r>
            <w:r>
              <w:rPr>
                <w:rFonts w:hint="eastAsia" w:ascii="宋体" w:hAnsi="宋体" w:eastAsia="宋体" w:cs="宋体"/>
                <w:spacing w:val="-10"/>
                <w:sz w:val="24"/>
                <w:szCs w:val="24"/>
              </w:rPr>
              <w:t>日</w:t>
            </w:r>
            <w:r>
              <w:rPr>
                <w:rFonts w:hint="eastAsia" w:ascii="宋体" w:hAnsi="宋体" w:eastAsia="宋体" w:cs="宋体"/>
                <w:spacing w:val="-98"/>
                <w:sz w:val="24"/>
                <w:szCs w:val="24"/>
              </w:rPr>
              <w:t xml:space="preserve"> </w:t>
            </w:r>
            <w:r>
              <w:rPr>
                <w:rFonts w:hint="eastAsia" w:ascii="宋体" w:hAnsi="宋体" w:eastAsia="宋体" w:cs="宋体"/>
                <w:spacing w:val="4"/>
                <w:sz w:val="24"/>
                <w:szCs w:val="24"/>
                <w:u w:val="single"/>
                <w:lang w:val="en-US" w:eastAsia="zh-CN"/>
              </w:rPr>
              <w:t>10</w:t>
            </w:r>
            <w:r>
              <w:rPr>
                <w:rFonts w:hint="eastAsia" w:ascii="宋体" w:hAnsi="宋体" w:eastAsia="宋体" w:cs="宋体"/>
                <w:spacing w:val="4"/>
                <w:sz w:val="24"/>
                <w:szCs w:val="24"/>
                <w:u w:val="single"/>
              </w:rPr>
              <w:t xml:space="preserve"> </w:t>
            </w:r>
            <w:r>
              <w:rPr>
                <w:rFonts w:hint="eastAsia" w:ascii="宋体" w:hAnsi="宋体" w:eastAsia="宋体" w:cs="宋体"/>
                <w:spacing w:val="-10"/>
                <w:sz w:val="24"/>
                <w:szCs w:val="24"/>
              </w:rPr>
              <w:t>时</w:t>
            </w:r>
            <w:r>
              <w:rPr>
                <w:rFonts w:hint="eastAsia" w:ascii="宋体" w:hAnsi="宋体" w:eastAsia="宋体" w:cs="宋体"/>
                <w:spacing w:val="-98"/>
                <w:sz w:val="24"/>
                <w:szCs w:val="24"/>
              </w:rPr>
              <w:t xml:space="preserve"> </w:t>
            </w:r>
            <w:r>
              <w:rPr>
                <w:rFonts w:hint="eastAsia" w:ascii="宋体" w:hAnsi="宋体" w:eastAsia="宋体" w:cs="宋体"/>
                <w:spacing w:val="5"/>
                <w:sz w:val="24"/>
                <w:szCs w:val="24"/>
                <w:u w:val="single"/>
              </w:rPr>
              <w:t xml:space="preserve"> </w:t>
            </w:r>
            <w:r>
              <w:rPr>
                <w:rFonts w:hint="eastAsia" w:ascii="宋体" w:hAnsi="宋体" w:eastAsia="宋体" w:cs="宋体"/>
                <w:spacing w:val="5"/>
                <w:sz w:val="24"/>
                <w:szCs w:val="24"/>
                <w:u w:val="single"/>
                <w:lang w:val="en-US" w:eastAsia="zh-CN"/>
              </w:rPr>
              <w:t>00</w:t>
            </w:r>
            <w:r>
              <w:rPr>
                <w:rFonts w:hint="eastAsia" w:ascii="宋体" w:hAnsi="宋体" w:eastAsia="宋体" w:cs="宋体"/>
                <w:spacing w:val="-89"/>
                <w:sz w:val="24"/>
                <w:szCs w:val="24"/>
              </w:rPr>
              <w:t xml:space="preserve"> </w:t>
            </w:r>
            <w:r>
              <w:rPr>
                <w:rFonts w:hint="eastAsia" w:ascii="宋体" w:hAnsi="宋体" w:eastAsia="宋体" w:cs="宋体"/>
                <w:spacing w:val="-10"/>
                <w:sz w:val="24"/>
                <w:szCs w:val="24"/>
              </w:rPr>
              <w:t>分</w:t>
            </w:r>
          </w:p>
        </w:tc>
      </w:tr>
      <w:tr w14:paraId="7DA41883">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753" w:hRule="atLeast"/>
        </w:trPr>
        <w:tc>
          <w:tcPr>
            <w:tcW w:w="424" w:type="dxa"/>
            <w:noWrap w:val="0"/>
            <w:vAlign w:val="top"/>
          </w:tcPr>
          <w:p w14:paraId="555026B4">
            <w:pPr>
              <w:spacing w:before="58" w:line="195" w:lineRule="auto"/>
              <w:ind w:left="160"/>
              <w:rPr>
                <w:rFonts w:hint="eastAsia" w:ascii="宋体" w:hAnsi="宋体" w:eastAsia="宋体" w:cs="宋体"/>
                <w:sz w:val="24"/>
                <w:szCs w:val="24"/>
              </w:rPr>
            </w:pPr>
          </w:p>
          <w:p w14:paraId="4F03B788">
            <w:pPr>
              <w:spacing w:before="58" w:line="195" w:lineRule="auto"/>
              <w:ind w:left="160"/>
              <w:rPr>
                <w:rFonts w:hint="eastAsia" w:ascii="宋体" w:hAnsi="宋体" w:eastAsia="宋体" w:cs="宋体"/>
                <w:sz w:val="24"/>
                <w:szCs w:val="24"/>
              </w:rPr>
            </w:pPr>
            <w:r>
              <w:rPr>
                <w:rFonts w:hint="eastAsia" w:ascii="宋体" w:hAnsi="宋体" w:eastAsia="宋体" w:cs="宋体"/>
                <w:sz w:val="24"/>
                <w:szCs w:val="24"/>
              </w:rPr>
              <w:t>3</w:t>
            </w:r>
          </w:p>
        </w:tc>
        <w:tc>
          <w:tcPr>
            <w:tcW w:w="1350" w:type="dxa"/>
            <w:noWrap w:val="0"/>
            <w:vAlign w:val="top"/>
          </w:tcPr>
          <w:p w14:paraId="115C232A">
            <w:pPr>
              <w:spacing w:before="65" w:line="318" w:lineRule="auto"/>
              <w:ind w:right="255"/>
              <w:rPr>
                <w:rFonts w:hint="eastAsia" w:ascii="宋体" w:hAnsi="宋体" w:eastAsia="宋体" w:cs="宋体"/>
                <w:sz w:val="24"/>
                <w:szCs w:val="24"/>
              </w:rPr>
            </w:pPr>
            <w:r>
              <w:rPr>
                <w:rFonts w:hint="eastAsia" w:ascii="宋体" w:hAnsi="宋体" w:eastAsia="宋体" w:cs="宋体"/>
                <w:spacing w:val="3"/>
                <w:sz w:val="24"/>
                <w:szCs w:val="24"/>
              </w:rPr>
              <w:t>网上提问</w:t>
            </w:r>
            <w:r>
              <w:rPr>
                <w:rFonts w:hint="eastAsia" w:ascii="宋体" w:hAnsi="宋体" w:eastAsia="宋体" w:cs="宋体"/>
                <w:sz w:val="24"/>
                <w:szCs w:val="24"/>
              </w:rPr>
              <w:t xml:space="preserve"> </w:t>
            </w:r>
            <w:r>
              <w:rPr>
                <w:rFonts w:hint="eastAsia" w:ascii="宋体" w:hAnsi="宋体" w:eastAsia="宋体" w:cs="宋体"/>
                <w:spacing w:val="7"/>
                <w:sz w:val="24"/>
                <w:szCs w:val="24"/>
              </w:rPr>
              <w:t>截止时间</w:t>
            </w:r>
          </w:p>
        </w:tc>
        <w:tc>
          <w:tcPr>
            <w:tcW w:w="8274" w:type="dxa"/>
            <w:noWrap w:val="0"/>
            <w:vAlign w:val="top"/>
          </w:tcPr>
          <w:p w14:paraId="1B16672A">
            <w:pPr>
              <w:tabs>
                <w:tab w:val="left" w:pos="943"/>
              </w:tabs>
              <w:spacing w:before="65" w:line="228" w:lineRule="auto"/>
              <w:rPr>
                <w:rFonts w:hint="eastAsia" w:ascii="宋体" w:hAnsi="宋体" w:eastAsia="宋体" w:cs="宋体"/>
                <w:spacing w:val="-10"/>
                <w:sz w:val="24"/>
                <w:szCs w:val="24"/>
                <w:u w:val="single"/>
                <w:lang w:eastAsia="zh-CN"/>
              </w:rPr>
            </w:pPr>
          </w:p>
          <w:p w14:paraId="75066277">
            <w:pPr>
              <w:tabs>
                <w:tab w:val="left" w:pos="943"/>
              </w:tabs>
              <w:spacing w:before="65" w:line="228" w:lineRule="auto"/>
              <w:rPr>
                <w:rFonts w:hint="eastAsia" w:ascii="宋体" w:hAnsi="宋体" w:eastAsia="宋体" w:cs="宋体"/>
                <w:sz w:val="24"/>
                <w:szCs w:val="24"/>
              </w:rPr>
            </w:pPr>
            <w:r>
              <w:rPr>
                <w:rFonts w:hint="eastAsia" w:ascii="宋体" w:hAnsi="宋体" w:eastAsia="宋体" w:cs="宋体"/>
                <w:spacing w:val="-10"/>
                <w:sz w:val="24"/>
                <w:szCs w:val="24"/>
                <w:u w:val="single"/>
                <w:lang w:val="en-US" w:eastAsia="zh-CN"/>
              </w:rPr>
              <w:t>2026</w:t>
            </w:r>
            <w:r>
              <w:rPr>
                <w:rFonts w:hint="eastAsia" w:ascii="宋体" w:hAnsi="宋体" w:eastAsia="宋体" w:cs="宋体"/>
                <w:spacing w:val="-10"/>
                <w:sz w:val="24"/>
                <w:szCs w:val="24"/>
              </w:rPr>
              <w:t>年</w:t>
            </w:r>
            <w:r>
              <w:rPr>
                <w:rFonts w:hint="eastAsia" w:ascii="宋体" w:hAnsi="宋体" w:eastAsia="宋体" w:cs="宋体"/>
                <w:spacing w:val="5"/>
                <w:sz w:val="24"/>
                <w:szCs w:val="24"/>
                <w:u w:val="single"/>
              </w:rPr>
              <w:t xml:space="preserve"> </w:t>
            </w:r>
            <w:r>
              <w:rPr>
                <w:rFonts w:hint="eastAsia" w:ascii="宋体" w:hAnsi="宋体" w:eastAsia="宋体" w:cs="宋体"/>
                <w:spacing w:val="5"/>
                <w:sz w:val="24"/>
                <w:szCs w:val="24"/>
                <w:u w:val="single"/>
                <w:lang w:val="en-US" w:eastAsia="zh-CN"/>
              </w:rPr>
              <w:t xml:space="preserve">01 </w:t>
            </w:r>
            <w:r>
              <w:rPr>
                <w:rFonts w:hint="eastAsia" w:ascii="宋体" w:hAnsi="宋体" w:eastAsia="宋体" w:cs="宋体"/>
                <w:spacing w:val="-10"/>
                <w:sz w:val="24"/>
                <w:szCs w:val="24"/>
              </w:rPr>
              <w:t>月</w:t>
            </w:r>
            <w:r>
              <w:rPr>
                <w:rFonts w:hint="eastAsia" w:ascii="宋体" w:hAnsi="宋体" w:eastAsia="宋体" w:cs="宋体"/>
                <w:spacing w:val="5"/>
                <w:sz w:val="24"/>
                <w:szCs w:val="24"/>
                <w:u w:val="single"/>
              </w:rPr>
              <w:t xml:space="preserve"> </w:t>
            </w:r>
            <w:r>
              <w:rPr>
                <w:rFonts w:hint="eastAsia" w:ascii="宋体" w:hAnsi="宋体" w:eastAsia="宋体" w:cs="宋体"/>
                <w:spacing w:val="5"/>
                <w:sz w:val="24"/>
                <w:szCs w:val="24"/>
                <w:u w:val="single"/>
                <w:lang w:val="en-US" w:eastAsia="zh-CN"/>
              </w:rPr>
              <w:t>11</w:t>
            </w:r>
            <w:r>
              <w:rPr>
                <w:rFonts w:hint="eastAsia" w:ascii="宋体" w:hAnsi="宋体" w:eastAsia="宋体" w:cs="宋体"/>
                <w:spacing w:val="5"/>
                <w:sz w:val="24"/>
                <w:szCs w:val="24"/>
                <w:u w:val="single"/>
              </w:rPr>
              <w:t xml:space="preserve"> </w:t>
            </w:r>
            <w:r>
              <w:rPr>
                <w:rFonts w:hint="eastAsia" w:ascii="宋体" w:hAnsi="宋体" w:eastAsia="宋体" w:cs="宋体"/>
                <w:spacing w:val="-10"/>
                <w:sz w:val="24"/>
                <w:szCs w:val="24"/>
              </w:rPr>
              <w:t>日</w:t>
            </w:r>
            <w:r>
              <w:rPr>
                <w:rFonts w:hint="eastAsia" w:ascii="宋体" w:hAnsi="宋体" w:eastAsia="宋体" w:cs="宋体"/>
                <w:spacing w:val="4"/>
                <w:sz w:val="24"/>
                <w:szCs w:val="24"/>
                <w:u w:val="single"/>
              </w:rPr>
              <w:t xml:space="preserve"> </w:t>
            </w:r>
            <w:r>
              <w:rPr>
                <w:rFonts w:hint="eastAsia" w:ascii="宋体" w:hAnsi="宋体" w:eastAsia="宋体" w:cs="宋体"/>
                <w:spacing w:val="4"/>
                <w:sz w:val="24"/>
                <w:szCs w:val="24"/>
                <w:u w:val="single"/>
                <w:lang w:val="en-US" w:eastAsia="zh-CN"/>
              </w:rPr>
              <w:t>16</w:t>
            </w:r>
            <w:r>
              <w:rPr>
                <w:rFonts w:hint="eastAsia" w:ascii="宋体" w:hAnsi="宋体" w:eastAsia="宋体" w:cs="宋体"/>
                <w:spacing w:val="4"/>
                <w:sz w:val="24"/>
                <w:szCs w:val="24"/>
                <w:u w:val="single"/>
              </w:rPr>
              <w:t xml:space="preserve"> </w:t>
            </w:r>
            <w:r>
              <w:rPr>
                <w:rFonts w:hint="eastAsia" w:ascii="宋体" w:hAnsi="宋体" w:eastAsia="宋体" w:cs="宋体"/>
                <w:spacing w:val="-80"/>
                <w:sz w:val="24"/>
                <w:szCs w:val="24"/>
              </w:rPr>
              <w:t xml:space="preserve"> </w:t>
            </w:r>
            <w:r>
              <w:rPr>
                <w:rFonts w:hint="eastAsia" w:ascii="宋体" w:hAnsi="宋体" w:eastAsia="宋体" w:cs="宋体"/>
                <w:spacing w:val="-10"/>
                <w:sz w:val="24"/>
                <w:szCs w:val="24"/>
              </w:rPr>
              <w:t>时</w:t>
            </w:r>
            <w:r>
              <w:rPr>
                <w:rFonts w:hint="eastAsia" w:ascii="宋体" w:hAnsi="宋体" w:eastAsia="宋体" w:cs="宋体"/>
                <w:spacing w:val="-98"/>
                <w:sz w:val="24"/>
                <w:szCs w:val="24"/>
              </w:rPr>
              <w:t xml:space="preserve"> </w:t>
            </w:r>
            <w:r>
              <w:rPr>
                <w:rFonts w:hint="eastAsia" w:ascii="宋体" w:hAnsi="宋体" w:eastAsia="宋体" w:cs="宋体"/>
                <w:spacing w:val="4"/>
                <w:sz w:val="24"/>
                <w:szCs w:val="24"/>
                <w:u w:val="single"/>
              </w:rPr>
              <w:t xml:space="preserve"> </w:t>
            </w:r>
            <w:r>
              <w:rPr>
                <w:rFonts w:hint="eastAsia" w:ascii="宋体" w:hAnsi="宋体" w:eastAsia="宋体" w:cs="宋体"/>
                <w:spacing w:val="4"/>
                <w:sz w:val="24"/>
                <w:szCs w:val="24"/>
                <w:u w:val="single"/>
                <w:lang w:val="en-US" w:eastAsia="zh-CN"/>
              </w:rPr>
              <w:t>00</w:t>
            </w:r>
            <w:r>
              <w:rPr>
                <w:rFonts w:hint="eastAsia" w:ascii="宋体" w:hAnsi="宋体" w:eastAsia="宋体" w:cs="宋体"/>
                <w:spacing w:val="4"/>
                <w:sz w:val="24"/>
                <w:szCs w:val="24"/>
                <w:u w:val="single"/>
              </w:rPr>
              <w:t xml:space="preserve"> </w:t>
            </w:r>
            <w:r>
              <w:rPr>
                <w:rFonts w:hint="eastAsia" w:ascii="宋体" w:hAnsi="宋体" w:eastAsia="宋体" w:cs="宋体"/>
                <w:spacing w:val="-87"/>
                <w:sz w:val="24"/>
                <w:szCs w:val="24"/>
              </w:rPr>
              <w:t xml:space="preserve"> </w:t>
            </w:r>
            <w:r>
              <w:rPr>
                <w:rFonts w:hint="eastAsia" w:ascii="宋体" w:hAnsi="宋体" w:eastAsia="宋体" w:cs="宋体"/>
                <w:spacing w:val="-10"/>
                <w:sz w:val="24"/>
                <w:szCs w:val="24"/>
              </w:rPr>
              <w:t>分</w:t>
            </w:r>
          </w:p>
        </w:tc>
      </w:tr>
      <w:tr w14:paraId="3CF1500D">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633" w:hRule="atLeast"/>
        </w:trPr>
        <w:tc>
          <w:tcPr>
            <w:tcW w:w="424" w:type="dxa"/>
            <w:noWrap w:val="0"/>
            <w:vAlign w:val="top"/>
          </w:tcPr>
          <w:p w14:paraId="5038AF18">
            <w:pPr>
              <w:spacing w:before="58" w:line="195" w:lineRule="auto"/>
              <w:ind w:left="155"/>
              <w:rPr>
                <w:rFonts w:hint="eastAsia" w:ascii="宋体" w:hAnsi="宋体" w:eastAsia="宋体" w:cs="宋体"/>
                <w:spacing w:val="1"/>
                <w:sz w:val="24"/>
                <w:szCs w:val="24"/>
              </w:rPr>
            </w:pPr>
          </w:p>
          <w:p w14:paraId="67FAA215">
            <w:pPr>
              <w:spacing w:before="58" w:line="195" w:lineRule="auto"/>
              <w:ind w:left="155"/>
              <w:rPr>
                <w:rFonts w:hint="eastAsia" w:ascii="宋体" w:hAnsi="宋体" w:eastAsia="宋体" w:cs="宋体"/>
                <w:sz w:val="24"/>
                <w:szCs w:val="24"/>
              </w:rPr>
            </w:pPr>
            <w:r>
              <w:rPr>
                <w:rFonts w:hint="eastAsia" w:ascii="宋体" w:hAnsi="宋体" w:eastAsia="宋体" w:cs="宋体"/>
                <w:spacing w:val="1"/>
                <w:sz w:val="24"/>
                <w:szCs w:val="24"/>
              </w:rPr>
              <w:t>4</w:t>
            </w:r>
          </w:p>
        </w:tc>
        <w:tc>
          <w:tcPr>
            <w:tcW w:w="1350" w:type="dxa"/>
            <w:noWrap w:val="0"/>
            <w:vAlign w:val="center"/>
          </w:tcPr>
          <w:p w14:paraId="6342C551">
            <w:pPr>
              <w:spacing w:before="65" w:line="319" w:lineRule="auto"/>
              <w:ind w:right="255"/>
              <w:rPr>
                <w:rFonts w:hint="eastAsia" w:ascii="宋体" w:hAnsi="宋体" w:eastAsia="宋体" w:cs="宋体"/>
                <w:sz w:val="24"/>
                <w:szCs w:val="24"/>
              </w:rPr>
            </w:pPr>
            <w:r>
              <w:rPr>
                <w:rFonts w:hint="eastAsia" w:ascii="宋体" w:hAnsi="宋体" w:eastAsia="宋体" w:cs="宋体"/>
                <w:spacing w:val="3"/>
                <w:sz w:val="24"/>
                <w:szCs w:val="24"/>
              </w:rPr>
              <w:t>网上答疑</w:t>
            </w:r>
            <w:r>
              <w:rPr>
                <w:rFonts w:hint="eastAsia" w:ascii="宋体" w:hAnsi="宋体" w:eastAsia="宋体" w:cs="宋体"/>
                <w:sz w:val="24"/>
                <w:szCs w:val="24"/>
              </w:rPr>
              <w:t xml:space="preserve"> </w:t>
            </w:r>
            <w:r>
              <w:rPr>
                <w:rFonts w:hint="eastAsia" w:ascii="宋体" w:hAnsi="宋体" w:eastAsia="宋体" w:cs="宋体"/>
                <w:spacing w:val="-1"/>
                <w:sz w:val="24"/>
                <w:szCs w:val="24"/>
              </w:rPr>
              <w:t>时间</w:t>
            </w:r>
          </w:p>
        </w:tc>
        <w:tc>
          <w:tcPr>
            <w:tcW w:w="8274" w:type="dxa"/>
            <w:noWrap w:val="0"/>
            <w:vAlign w:val="center"/>
          </w:tcPr>
          <w:p w14:paraId="127A86E6">
            <w:pPr>
              <w:tabs>
                <w:tab w:val="left" w:pos="838"/>
              </w:tabs>
              <w:spacing w:before="65" w:line="228" w:lineRule="auto"/>
              <w:rPr>
                <w:rFonts w:hint="eastAsia" w:ascii="宋体" w:hAnsi="宋体" w:eastAsia="宋体" w:cs="宋体"/>
                <w:sz w:val="24"/>
                <w:szCs w:val="24"/>
              </w:rPr>
            </w:pPr>
            <w:r>
              <w:rPr>
                <w:rFonts w:hint="eastAsia" w:ascii="宋体" w:hAnsi="宋体" w:eastAsia="宋体" w:cs="宋体"/>
                <w:spacing w:val="-10"/>
                <w:sz w:val="24"/>
                <w:szCs w:val="24"/>
                <w:u w:val="single"/>
                <w:lang w:val="en-US" w:eastAsia="zh-CN"/>
              </w:rPr>
              <w:t>2026</w:t>
            </w:r>
            <w:r>
              <w:rPr>
                <w:rFonts w:hint="eastAsia" w:ascii="宋体" w:hAnsi="宋体" w:eastAsia="宋体" w:cs="宋体"/>
                <w:spacing w:val="-10"/>
                <w:sz w:val="24"/>
                <w:szCs w:val="24"/>
              </w:rPr>
              <w:t>年</w:t>
            </w:r>
            <w:r>
              <w:rPr>
                <w:rFonts w:hint="eastAsia" w:ascii="宋体" w:hAnsi="宋体" w:eastAsia="宋体" w:cs="宋体"/>
                <w:spacing w:val="5"/>
                <w:sz w:val="24"/>
                <w:szCs w:val="24"/>
                <w:u w:val="single"/>
                <w:lang w:val="en-US" w:eastAsia="zh-CN"/>
              </w:rPr>
              <w:t>01</w:t>
            </w:r>
            <w:r>
              <w:rPr>
                <w:rFonts w:hint="eastAsia" w:ascii="宋体" w:hAnsi="宋体" w:eastAsia="宋体" w:cs="宋体"/>
                <w:spacing w:val="-10"/>
                <w:sz w:val="24"/>
                <w:szCs w:val="24"/>
              </w:rPr>
              <w:t>月</w:t>
            </w:r>
            <w:r>
              <w:rPr>
                <w:rFonts w:hint="eastAsia" w:ascii="宋体" w:hAnsi="宋体" w:eastAsia="宋体" w:cs="宋体"/>
                <w:spacing w:val="5"/>
                <w:sz w:val="24"/>
                <w:szCs w:val="24"/>
                <w:u w:val="single"/>
              </w:rPr>
              <w:t xml:space="preserve"> </w:t>
            </w:r>
            <w:r>
              <w:rPr>
                <w:rFonts w:hint="eastAsia" w:ascii="宋体" w:hAnsi="宋体" w:eastAsia="宋体" w:cs="宋体"/>
                <w:spacing w:val="5"/>
                <w:sz w:val="24"/>
                <w:szCs w:val="24"/>
                <w:u w:val="single"/>
                <w:lang w:val="en-US" w:eastAsia="zh-CN"/>
              </w:rPr>
              <w:t>11</w:t>
            </w:r>
            <w:r>
              <w:rPr>
                <w:rFonts w:hint="eastAsia" w:ascii="宋体" w:hAnsi="宋体" w:eastAsia="宋体" w:cs="宋体"/>
                <w:spacing w:val="5"/>
                <w:sz w:val="24"/>
                <w:szCs w:val="24"/>
                <w:u w:val="single"/>
              </w:rPr>
              <w:t xml:space="preserve"> </w:t>
            </w:r>
            <w:r>
              <w:rPr>
                <w:rFonts w:hint="eastAsia" w:ascii="宋体" w:hAnsi="宋体" w:eastAsia="宋体" w:cs="宋体"/>
                <w:spacing w:val="-10"/>
                <w:sz w:val="24"/>
                <w:szCs w:val="24"/>
              </w:rPr>
              <w:t>日</w:t>
            </w:r>
            <w:r>
              <w:rPr>
                <w:rFonts w:hint="eastAsia" w:ascii="宋体" w:hAnsi="宋体" w:eastAsia="宋体" w:cs="宋体"/>
                <w:spacing w:val="5"/>
                <w:sz w:val="24"/>
                <w:szCs w:val="24"/>
                <w:u w:val="single"/>
              </w:rPr>
              <w:t xml:space="preserve"> </w:t>
            </w:r>
            <w:r>
              <w:rPr>
                <w:rFonts w:hint="eastAsia" w:ascii="宋体" w:hAnsi="宋体" w:eastAsia="宋体" w:cs="宋体"/>
                <w:spacing w:val="5"/>
                <w:sz w:val="24"/>
                <w:szCs w:val="24"/>
                <w:u w:val="single"/>
                <w:lang w:eastAsia="zh-CN"/>
              </w:rPr>
              <w:t>16</w:t>
            </w:r>
            <w:r>
              <w:rPr>
                <w:rFonts w:hint="eastAsia" w:ascii="宋体" w:hAnsi="宋体" w:eastAsia="宋体" w:cs="宋体"/>
                <w:spacing w:val="5"/>
                <w:sz w:val="24"/>
                <w:szCs w:val="24"/>
                <w:u w:val="single"/>
              </w:rPr>
              <w:t xml:space="preserve"> </w:t>
            </w:r>
            <w:r>
              <w:rPr>
                <w:rFonts w:hint="eastAsia" w:ascii="宋体" w:hAnsi="宋体" w:eastAsia="宋体" w:cs="宋体"/>
                <w:spacing w:val="-80"/>
                <w:sz w:val="24"/>
                <w:szCs w:val="24"/>
              </w:rPr>
              <w:t xml:space="preserve"> </w:t>
            </w:r>
            <w:r>
              <w:rPr>
                <w:rFonts w:hint="eastAsia" w:ascii="宋体" w:hAnsi="宋体" w:eastAsia="宋体" w:cs="宋体"/>
                <w:spacing w:val="-8"/>
                <w:sz w:val="24"/>
                <w:szCs w:val="24"/>
              </w:rPr>
              <w:t>时</w:t>
            </w:r>
            <w:r>
              <w:rPr>
                <w:rFonts w:hint="eastAsia" w:ascii="宋体" w:hAnsi="宋体" w:eastAsia="宋体" w:cs="宋体"/>
                <w:spacing w:val="4"/>
                <w:sz w:val="24"/>
                <w:szCs w:val="24"/>
                <w:u w:val="single"/>
              </w:rPr>
              <w:t xml:space="preserve"> </w:t>
            </w:r>
            <w:r>
              <w:rPr>
                <w:rFonts w:hint="eastAsia" w:ascii="宋体" w:hAnsi="宋体" w:eastAsia="宋体" w:cs="宋体"/>
                <w:spacing w:val="4"/>
                <w:sz w:val="24"/>
                <w:szCs w:val="24"/>
                <w:u w:val="single"/>
                <w:lang w:eastAsia="zh-CN"/>
              </w:rPr>
              <w:t>30</w:t>
            </w:r>
            <w:r>
              <w:rPr>
                <w:rFonts w:hint="eastAsia" w:ascii="宋体" w:hAnsi="宋体" w:eastAsia="宋体" w:cs="宋体"/>
                <w:spacing w:val="4"/>
                <w:sz w:val="24"/>
                <w:szCs w:val="24"/>
                <w:u w:val="single"/>
              </w:rPr>
              <w:t xml:space="preserve"> </w:t>
            </w:r>
            <w:r>
              <w:rPr>
                <w:rFonts w:hint="eastAsia" w:ascii="宋体" w:hAnsi="宋体" w:eastAsia="宋体" w:cs="宋体"/>
                <w:spacing w:val="-87"/>
                <w:sz w:val="24"/>
                <w:szCs w:val="24"/>
              </w:rPr>
              <w:t xml:space="preserve"> </w:t>
            </w:r>
            <w:r>
              <w:rPr>
                <w:rFonts w:hint="eastAsia" w:ascii="宋体" w:hAnsi="宋体" w:eastAsia="宋体" w:cs="宋体"/>
                <w:spacing w:val="-8"/>
                <w:sz w:val="24"/>
                <w:szCs w:val="24"/>
              </w:rPr>
              <w:t>分至</w:t>
            </w:r>
            <w:r>
              <w:rPr>
                <w:rFonts w:hint="eastAsia" w:ascii="宋体" w:hAnsi="宋体" w:eastAsia="宋体" w:cs="宋体"/>
                <w:spacing w:val="-10"/>
                <w:sz w:val="24"/>
                <w:szCs w:val="24"/>
                <w:u w:val="single"/>
                <w:lang w:val="en-US" w:eastAsia="zh-CN"/>
              </w:rPr>
              <w:t>2026</w:t>
            </w:r>
            <w:r>
              <w:rPr>
                <w:rFonts w:hint="eastAsia" w:ascii="宋体" w:hAnsi="宋体" w:eastAsia="宋体" w:cs="宋体"/>
                <w:spacing w:val="-10"/>
                <w:sz w:val="24"/>
                <w:szCs w:val="24"/>
              </w:rPr>
              <w:t>年</w:t>
            </w:r>
            <w:r>
              <w:rPr>
                <w:rFonts w:hint="eastAsia" w:ascii="宋体" w:hAnsi="宋体" w:eastAsia="宋体" w:cs="宋体"/>
                <w:spacing w:val="5"/>
                <w:sz w:val="24"/>
                <w:szCs w:val="24"/>
                <w:u w:val="single"/>
                <w:lang w:val="en-US" w:eastAsia="zh-CN"/>
              </w:rPr>
              <w:t>01</w:t>
            </w:r>
            <w:r>
              <w:rPr>
                <w:rFonts w:hint="eastAsia" w:ascii="宋体" w:hAnsi="宋体" w:eastAsia="宋体" w:cs="宋体"/>
                <w:spacing w:val="-10"/>
                <w:sz w:val="24"/>
                <w:szCs w:val="24"/>
              </w:rPr>
              <w:t>月</w:t>
            </w:r>
            <w:r>
              <w:rPr>
                <w:rFonts w:hint="eastAsia" w:ascii="宋体" w:hAnsi="宋体" w:eastAsia="宋体" w:cs="宋体"/>
                <w:spacing w:val="5"/>
                <w:sz w:val="24"/>
                <w:szCs w:val="24"/>
                <w:u w:val="single"/>
              </w:rPr>
              <w:t xml:space="preserve"> </w:t>
            </w:r>
            <w:r>
              <w:rPr>
                <w:rFonts w:hint="eastAsia" w:ascii="宋体" w:hAnsi="宋体" w:eastAsia="宋体" w:cs="宋体"/>
                <w:spacing w:val="5"/>
                <w:sz w:val="24"/>
                <w:szCs w:val="24"/>
                <w:u w:val="single"/>
                <w:lang w:val="en-US" w:eastAsia="zh-CN"/>
              </w:rPr>
              <w:t>14</w:t>
            </w:r>
            <w:r>
              <w:rPr>
                <w:rFonts w:hint="eastAsia" w:ascii="宋体" w:hAnsi="宋体" w:eastAsia="宋体" w:cs="宋体"/>
                <w:spacing w:val="5"/>
                <w:sz w:val="24"/>
                <w:szCs w:val="24"/>
                <w:u w:val="single"/>
              </w:rPr>
              <w:t xml:space="preserve"> </w:t>
            </w:r>
            <w:r>
              <w:rPr>
                <w:rFonts w:hint="eastAsia" w:ascii="宋体" w:hAnsi="宋体" w:eastAsia="宋体" w:cs="宋体"/>
                <w:spacing w:val="-10"/>
                <w:sz w:val="24"/>
                <w:szCs w:val="24"/>
              </w:rPr>
              <w:t>日</w:t>
            </w:r>
            <w:r>
              <w:rPr>
                <w:rFonts w:hint="eastAsia" w:ascii="宋体" w:hAnsi="宋体" w:eastAsia="宋体" w:cs="宋体"/>
                <w:spacing w:val="-98"/>
                <w:sz w:val="24"/>
                <w:szCs w:val="24"/>
              </w:rPr>
              <w:t xml:space="preserve"> </w:t>
            </w:r>
            <w:r>
              <w:rPr>
                <w:rFonts w:hint="eastAsia" w:ascii="宋体" w:hAnsi="宋体" w:eastAsia="宋体" w:cs="宋体"/>
                <w:spacing w:val="4"/>
                <w:sz w:val="24"/>
                <w:szCs w:val="24"/>
                <w:u w:val="single"/>
              </w:rPr>
              <w:t xml:space="preserve"> </w:t>
            </w:r>
            <w:r>
              <w:rPr>
                <w:rFonts w:hint="eastAsia" w:ascii="宋体" w:hAnsi="宋体" w:eastAsia="宋体" w:cs="宋体"/>
                <w:spacing w:val="4"/>
                <w:sz w:val="24"/>
                <w:szCs w:val="24"/>
                <w:u w:val="single"/>
                <w:lang w:eastAsia="zh-CN"/>
              </w:rPr>
              <w:t>16</w:t>
            </w:r>
            <w:r>
              <w:rPr>
                <w:rFonts w:hint="eastAsia" w:ascii="宋体" w:hAnsi="宋体" w:eastAsia="宋体" w:cs="宋体"/>
                <w:spacing w:val="4"/>
                <w:sz w:val="24"/>
                <w:szCs w:val="24"/>
                <w:u w:val="single"/>
              </w:rPr>
              <w:t xml:space="preserve"> </w:t>
            </w:r>
            <w:r>
              <w:rPr>
                <w:rFonts w:hint="eastAsia" w:ascii="宋体" w:hAnsi="宋体" w:eastAsia="宋体" w:cs="宋体"/>
                <w:spacing w:val="-80"/>
                <w:sz w:val="24"/>
                <w:szCs w:val="24"/>
              </w:rPr>
              <w:t xml:space="preserve"> </w:t>
            </w:r>
            <w:r>
              <w:rPr>
                <w:rFonts w:hint="eastAsia" w:ascii="宋体" w:hAnsi="宋体" w:eastAsia="宋体" w:cs="宋体"/>
                <w:spacing w:val="-8"/>
                <w:sz w:val="24"/>
                <w:szCs w:val="24"/>
              </w:rPr>
              <w:t>时</w:t>
            </w:r>
            <w:r>
              <w:rPr>
                <w:rFonts w:hint="eastAsia" w:ascii="宋体" w:hAnsi="宋体" w:eastAsia="宋体" w:cs="宋体"/>
                <w:spacing w:val="-8"/>
                <w:sz w:val="24"/>
                <w:szCs w:val="24"/>
                <w:u w:val="single"/>
                <w:lang w:eastAsia="zh-CN"/>
              </w:rPr>
              <w:t xml:space="preserve"> </w:t>
            </w:r>
            <w:r>
              <w:rPr>
                <w:rFonts w:hint="eastAsia" w:ascii="宋体" w:hAnsi="宋体" w:eastAsia="宋体" w:cs="宋体"/>
                <w:spacing w:val="5"/>
                <w:sz w:val="24"/>
                <w:szCs w:val="24"/>
                <w:u w:val="single"/>
                <w:lang w:eastAsia="zh-CN"/>
              </w:rPr>
              <w:t>00</w:t>
            </w:r>
            <w:r>
              <w:rPr>
                <w:rFonts w:hint="eastAsia" w:ascii="宋体" w:hAnsi="宋体" w:eastAsia="宋体" w:cs="宋体"/>
                <w:spacing w:val="5"/>
                <w:sz w:val="24"/>
                <w:szCs w:val="24"/>
                <w:u w:val="single"/>
              </w:rPr>
              <w:t xml:space="preserve"> 分</w:t>
            </w:r>
          </w:p>
        </w:tc>
      </w:tr>
      <w:tr w14:paraId="701AE652">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1140" w:hRule="atLeast"/>
        </w:trPr>
        <w:tc>
          <w:tcPr>
            <w:tcW w:w="424" w:type="dxa"/>
            <w:noWrap w:val="0"/>
            <w:vAlign w:val="top"/>
          </w:tcPr>
          <w:p w14:paraId="367D8838">
            <w:pPr>
              <w:pStyle w:val="20"/>
              <w:spacing w:line="318" w:lineRule="auto"/>
              <w:rPr>
                <w:rFonts w:hint="eastAsia" w:ascii="宋体" w:hAnsi="宋体" w:eastAsia="宋体" w:cs="宋体"/>
                <w:sz w:val="24"/>
                <w:szCs w:val="24"/>
              </w:rPr>
            </w:pPr>
          </w:p>
          <w:p w14:paraId="632F25AC">
            <w:pPr>
              <w:spacing w:before="58" w:line="192" w:lineRule="auto"/>
              <w:ind w:left="162"/>
              <w:rPr>
                <w:rFonts w:hint="eastAsia" w:ascii="宋体" w:hAnsi="宋体" w:eastAsia="宋体" w:cs="宋体"/>
                <w:sz w:val="24"/>
                <w:szCs w:val="24"/>
              </w:rPr>
            </w:pPr>
            <w:r>
              <w:rPr>
                <w:rFonts w:hint="eastAsia" w:ascii="宋体" w:hAnsi="宋体" w:eastAsia="宋体" w:cs="宋体"/>
                <w:sz w:val="24"/>
                <w:szCs w:val="24"/>
              </w:rPr>
              <w:t>5</w:t>
            </w:r>
          </w:p>
        </w:tc>
        <w:tc>
          <w:tcPr>
            <w:tcW w:w="1350" w:type="dxa"/>
            <w:noWrap w:val="0"/>
            <w:vAlign w:val="top"/>
          </w:tcPr>
          <w:p w14:paraId="36BF2749">
            <w:pPr>
              <w:spacing w:before="65" w:line="318" w:lineRule="auto"/>
              <w:ind w:right="150"/>
              <w:rPr>
                <w:rFonts w:hint="eastAsia" w:ascii="宋体" w:hAnsi="宋体" w:eastAsia="宋体" w:cs="宋体"/>
                <w:sz w:val="24"/>
                <w:szCs w:val="24"/>
              </w:rPr>
            </w:pPr>
            <w:r>
              <w:rPr>
                <w:rFonts w:hint="eastAsia" w:ascii="宋体" w:hAnsi="宋体" w:eastAsia="宋体" w:cs="宋体"/>
                <w:spacing w:val="7"/>
                <w:sz w:val="24"/>
                <w:szCs w:val="24"/>
              </w:rPr>
              <w:t>投标保证缴纳截止时间</w:t>
            </w:r>
          </w:p>
        </w:tc>
        <w:tc>
          <w:tcPr>
            <w:tcW w:w="8274" w:type="dxa"/>
            <w:noWrap w:val="0"/>
            <w:vAlign w:val="top"/>
          </w:tcPr>
          <w:p w14:paraId="330A0D6E">
            <w:pPr>
              <w:spacing w:before="271" w:line="228" w:lineRule="auto"/>
              <w:rPr>
                <w:rFonts w:hint="eastAsia" w:ascii="宋体" w:hAnsi="宋体" w:eastAsia="宋体" w:cs="宋体"/>
                <w:spacing w:val="-91"/>
                <w:sz w:val="24"/>
                <w:szCs w:val="24"/>
                <w:lang w:eastAsia="zh-CN"/>
              </w:rPr>
            </w:pPr>
            <w:r>
              <w:rPr>
                <w:rFonts w:hint="eastAsia" w:ascii="宋体" w:hAnsi="宋体" w:eastAsia="宋体" w:cs="宋体"/>
                <w:spacing w:val="4"/>
                <w:sz w:val="24"/>
                <w:szCs w:val="24"/>
              </w:rPr>
              <w:t>投标保证金到账截止时间：</w:t>
            </w:r>
            <w:r>
              <w:rPr>
                <w:rFonts w:hint="eastAsia" w:ascii="宋体" w:hAnsi="宋体" w:eastAsia="宋体" w:cs="宋体"/>
                <w:spacing w:val="-10"/>
                <w:sz w:val="24"/>
                <w:szCs w:val="24"/>
                <w:u w:val="single"/>
                <w:lang w:val="en-US" w:eastAsia="zh-CN"/>
              </w:rPr>
              <w:t>2026</w:t>
            </w:r>
            <w:r>
              <w:rPr>
                <w:rFonts w:hint="eastAsia" w:ascii="宋体" w:hAnsi="宋体" w:eastAsia="宋体" w:cs="宋体"/>
                <w:spacing w:val="-10"/>
                <w:sz w:val="24"/>
                <w:szCs w:val="24"/>
              </w:rPr>
              <w:t>年</w:t>
            </w:r>
            <w:r>
              <w:rPr>
                <w:rFonts w:hint="eastAsia" w:ascii="宋体" w:hAnsi="宋体" w:eastAsia="宋体" w:cs="宋体"/>
                <w:spacing w:val="5"/>
                <w:sz w:val="24"/>
                <w:szCs w:val="24"/>
                <w:u w:val="single"/>
              </w:rPr>
              <w:t xml:space="preserve"> </w:t>
            </w:r>
            <w:r>
              <w:rPr>
                <w:rFonts w:hint="eastAsia" w:ascii="宋体" w:hAnsi="宋体" w:eastAsia="宋体" w:cs="宋体"/>
                <w:spacing w:val="5"/>
                <w:sz w:val="24"/>
                <w:szCs w:val="24"/>
                <w:u w:val="single"/>
                <w:lang w:val="en-US" w:eastAsia="zh-CN"/>
              </w:rPr>
              <w:t>01</w:t>
            </w:r>
            <w:r>
              <w:rPr>
                <w:rFonts w:hint="eastAsia" w:ascii="宋体" w:hAnsi="宋体" w:eastAsia="宋体" w:cs="宋体"/>
                <w:spacing w:val="5"/>
                <w:sz w:val="24"/>
                <w:szCs w:val="24"/>
                <w:u w:val="single"/>
                <w:lang w:val="en-US" w:eastAsia="zh-CN"/>
              </w:rPr>
              <w:t xml:space="preserve"> </w:t>
            </w:r>
            <w:r>
              <w:rPr>
                <w:rFonts w:hint="eastAsia" w:ascii="宋体" w:hAnsi="宋体" w:eastAsia="宋体" w:cs="宋体"/>
                <w:spacing w:val="-10"/>
                <w:sz w:val="24"/>
                <w:szCs w:val="24"/>
              </w:rPr>
              <w:t>月</w:t>
            </w:r>
            <w:r>
              <w:rPr>
                <w:rFonts w:hint="eastAsia" w:ascii="宋体" w:hAnsi="宋体" w:eastAsia="宋体" w:cs="宋体"/>
                <w:spacing w:val="5"/>
                <w:sz w:val="24"/>
                <w:szCs w:val="24"/>
                <w:u w:val="single"/>
              </w:rPr>
              <w:t xml:space="preserve"> </w:t>
            </w:r>
            <w:r>
              <w:rPr>
                <w:rFonts w:hint="eastAsia" w:ascii="宋体" w:hAnsi="宋体" w:eastAsia="宋体" w:cs="宋体"/>
                <w:spacing w:val="5"/>
                <w:sz w:val="24"/>
                <w:szCs w:val="24"/>
                <w:u w:val="single"/>
                <w:lang w:val="en-US" w:eastAsia="zh-CN"/>
              </w:rPr>
              <w:t xml:space="preserve">20 </w:t>
            </w:r>
            <w:r>
              <w:rPr>
                <w:rFonts w:hint="eastAsia" w:ascii="宋体" w:hAnsi="宋体" w:eastAsia="宋体" w:cs="宋体"/>
                <w:spacing w:val="5"/>
                <w:sz w:val="24"/>
                <w:szCs w:val="24"/>
                <w:u w:val="single"/>
              </w:rPr>
              <w:t xml:space="preserve"> </w:t>
            </w:r>
            <w:r>
              <w:rPr>
                <w:rFonts w:hint="eastAsia" w:ascii="宋体" w:hAnsi="宋体" w:eastAsia="宋体" w:cs="宋体"/>
                <w:spacing w:val="-10"/>
                <w:sz w:val="24"/>
                <w:szCs w:val="24"/>
              </w:rPr>
              <w:t>日</w:t>
            </w:r>
            <w:r>
              <w:rPr>
                <w:rFonts w:hint="eastAsia" w:ascii="宋体" w:hAnsi="宋体" w:eastAsia="宋体" w:cs="宋体"/>
                <w:spacing w:val="4"/>
                <w:sz w:val="24"/>
                <w:szCs w:val="24"/>
                <w:u w:val="single"/>
                <w:lang w:val="en-US" w:eastAsia="zh-CN"/>
              </w:rPr>
              <w:t>10</w:t>
            </w:r>
            <w:r>
              <w:rPr>
                <w:rFonts w:hint="eastAsia" w:ascii="宋体" w:hAnsi="宋体" w:eastAsia="宋体" w:cs="宋体"/>
                <w:spacing w:val="4"/>
                <w:sz w:val="24"/>
                <w:szCs w:val="24"/>
                <w:u w:val="single"/>
              </w:rPr>
              <w:t xml:space="preserve"> </w:t>
            </w:r>
            <w:r>
              <w:rPr>
                <w:rFonts w:hint="eastAsia" w:ascii="宋体" w:hAnsi="宋体" w:eastAsia="宋体" w:cs="宋体"/>
                <w:spacing w:val="-10"/>
                <w:sz w:val="24"/>
                <w:szCs w:val="24"/>
              </w:rPr>
              <w:t>时</w:t>
            </w:r>
            <w:r>
              <w:rPr>
                <w:rFonts w:hint="eastAsia" w:ascii="宋体" w:hAnsi="宋体" w:eastAsia="宋体" w:cs="宋体"/>
                <w:spacing w:val="-98"/>
                <w:sz w:val="24"/>
                <w:szCs w:val="24"/>
              </w:rPr>
              <w:t xml:space="preserve"> </w:t>
            </w:r>
            <w:r>
              <w:rPr>
                <w:rFonts w:hint="eastAsia" w:ascii="宋体" w:hAnsi="宋体" w:eastAsia="宋体" w:cs="宋体"/>
                <w:spacing w:val="5"/>
                <w:sz w:val="24"/>
                <w:szCs w:val="24"/>
                <w:u w:val="single"/>
              </w:rPr>
              <w:t xml:space="preserve"> </w:t>
            </w:r>
            <w:r>
              <w:rPr>
                <w:rFonts w:hint="eastAsia" w:ascii="宋体" w:hAnsi="宋体" w:eastAsia="宋体" w:cs="宋体"/>
                <w:spacing w:val="5"/>
                <w:sz w:val="24"/>
                <w:szCs w:val="24"/>
                <w:u w:val="single"/>
                <w:lang w:val="en-US" w:eastAsia="zh-CN"/>
              </w:rPr>
              <w:t>00</w:t>
            </w:r>
            <w:r>
              <w:rPr>
                <w:rFonts w:hint="eastAsia" w:ascii="宋体" w:hAnsi="宋体" w:eastAsia="宋体" w:cs="宋体"/>
                <w:spacing w:val="-89"/>
                <w:sz w:val="24"/>
                <w:szCs w:val="24"/>
              </w:rPr>
              <w:t xml:space="preserve"> </w:t>
            </w:r>
            <w:r>
              <w:rPr>
                <w:rFonts w:hint="eastAsia" w:ascii="宋体" w:hAnsi="宋体" w:eastAsia="宋体" w:cs="宋体"/>
                <w:spacing w:val="-10"/>
                <w:sz w:val="24"/>
                <w:szCs w:val="24"/>
              </w:rPr>
              <w:t>分</w:t>
            </w:r>
            <w:r>
              <w:rPr>
                <w:rFonts w:hint="eastAsia" w:ascii="宋体" w:hAnsi="宋体" w:eastAsia="宋体" w:cs="宋体"/>
                <w:spacing w:val="3"/>
                <w:sz w:val="24"/>
                <w:szCs w:val="24"/>
              </w:rPr>
              <w:t>；</w:t>
            </w:r>
          </w:p>
          <w:p w14:paraId="34F8FB61">
            <w:pPr>
              <w:spacing w:before="153" w:line="228" w:lineRule="auto"/>
              <w:rPr>
                <w:rFonts w:hint="eastAsia" w:ascii="宋体" w:hAnsi="宋体" w:eastAsia="宋体" w:cs="宋体"/>
                <w:sz w:val="24"/>
                <w:szCs w:val="24"/>
              </w:rPr>
            </w:pPr>
            <w:r>
              <w:rPr>
                <w:rFonts w:hint="eastAsia" w:ascii="宋体" w:hAnsi="宋体" w:eastAsia="宋体" w:cs="宋体"/>
                <w:spacing w:val="4"/>
                <w:sz w:val="24"/>
                <w:szCs w:val="24"/>
              </w:rPr>
              <w:t>投标保证担保上传截止时间：</w:t>
            </w:r>
            <w:r>
              <w:rPr>
                <w:rFonts w:hint="eastAsia" w:ascii="宋体" w:hAnsi="宋体" w:eastAsia="宋体" w:cs="宋体"/>
                <w:spacing w:val="-10"/>
                <w:sz w:val="24"/>
                <w:szCs w:val="24"/>
                <w:u w:val="single"/>
                <w:lang w:val="en-US" w:eastAsia="zh-CN"/>
              </w:rPr>
              <w:t>2026</w:t>
            </w:r>
            <w:r>
              <w:rPr>
                <w:rFonts w:hint="eastAsia" w:ascii="宋体" w:hAnsi="宋体" w:eastAsia="宋体" w:cs="宋体"/>
                <w:spacing w:val="-10"/>
                <w:sz w:val="24"/>
                <w:szCs w:val="24"/>
              </w:rPr>
              <w:t>年</w:t>
            </w:r>
            <w:r>
              <w:rPr>
                <w:rFonts w:hint="eastAsia" w:ascii="宋体" w:hAnsi="宋体" w:eastAsia="宋体" w:cs="宋体"/>
                <w:spacing w:val="5"/>
                <w:sz w:val="24"/>
                <w:szCs w:val="24"/>
                <w:u w:val="single"/>
              </w:rPr>
              <w:t xml:space="preserve"> </w:t>
            </w:r>
            <w:r>
              <w:rPr>
                <w:rFonts w:hint="eastAsia" w:ascii="宋体" w:hAnsi="宋体" w:eastAsia="宋体" w:cs="宋体"/>
                <w:spacing w:val="5"/>
                <w:sz w:val="24"/>
                <w:szCs w:val="24"/>
                <w:u w:val="single"/>
                <w:lang w:val="en-US" w:eastAsia="zh-CN"/>
              </w:rPr>
              <w:t>01</w:t>
            </w:r>
            <w:r>
              <w:rPr>
                <w:rFonts w:hint="eastAsia" w:ascii="宋体" w:hAnsi="宋体" w:eastAsia="宋体" w:cs="宋体"/>
                <w:spacing w:val="5"/>
                <w:sz w:val="24"/>
                <w:szCs w:val="24"/>
                <w:u w:val="single"/>
                <w:lang w:val="en-US" w:eastAsia="zh-CN"/>
              </w:rPr>
              <w:t xml:space="preserve">  </w:t>
            </w:r>
            <w:r>
              <w:rPr>
                <w:rFonts w:hint="eastAsia" w:ascii="宋体" w:hAnsi="宋体" w:eastAsia="宋体" w:cs="宋体"/>
                <w:spacing w:val="-10"/>
                <w:sz w:val="24"/>
                <w:szCs w:val="24"/>
              </w:rPr>
              <w:t>月</w:t>
            </w:r>
            <w:r>
              <w:rPr>
                <w:rFonts w:hint="eastAsia" w:ascii="宋体" w:hAnsi="宋体" w:eastAsia="宋体" w:cs="宋体"/>
                <w:spacing w:val="5"/>
                <w:sz w:val="24"/>
                <w:szCs w:val="24"/>
                <w:u w:val="single"/>
              </w:rPr>
              <w:t xml:space="preserve"> </w:t>
            </w:r>
            <w:r>
              <w:rPr>
                <w:rFonts w:hint="eastAsia" w:ascii="宋体" w:hAnsi="宋体" w:eastAsia="宋体" w:cs="宋体"/>
                <w:spacing w:val="5"/>
                <w:sz w:val="24"/>
                <w:szCs w:val="24"/>
                <w:u w:val="single"/>
                <w:lang w:val="en-US" w:eastAsia="zh-CN"/>
              </w:rPr>
              <w:t xml:space="preserve">20 </w:t>
            </w:r>
            <w:r>
              <w:rPr>
                <w:rFonts w:hint="eastAsia" w:ascii="宋体" w:hAnsi="宋体" w:eastAsia="宋体" w:cs="宋体"/>
                <w:spacing w:val="5"/>
                <w:sz w:val="24"/>
                <w:szCs w:val="24"/>
                <w:u w:val="single"/>
              </w:rPr>
              <w:t xml:space="preserve"> </w:t>
            </w:r>
            <w:r>
              <w:rPr>
                <w:rFonts w:hint="eastAsia" w:ascii="宋体" w:hAnsi="宋体" w:eastAsia="宋体" w:cs="宋体"/>
                <w:spacing w:val="-10"/>
                <w:sz w:val="24"/>
                <w:szCs w:val="24"/>
              </w:rPr>
              <w:t>日</w:t>
            </w:r>
            <w:r>
              <w:rPr>
                <w:rFonts w:hint="eastAsia" w:ascii="宋体" w:hAnsi="宋体" w:eastAsia="宋体" w:cs="宋体"/>
                <w:spacing w:val="4"/>
                <w:sz w:val="24"/>
                <w:szCs w:val="24"/>
                <w:u w:val="single"/>
                <w:lang w:val="en-US" w:eastAsia="zh-CN"/>
              </w:rPr>
              <w:t>10</w:t>
            </w:r>
            <w:r>
              <w:rPr>
                <w:rFonts w:hint="eastAsia" w:ascii="宋体" w:hAnsi="宋体" w:eastAsia="宋体" w:cs="宋体"/>
                <w:spacing w:val="4"/>
                <w:sz w:val="24"/>
                <w:szCs w:val="24"/>
                <w:u w:val="single"/>
              </w:rPr>
              <w:t xml:space="preserve"> </w:t>
            </w:r>
            <w:r>
              <w:rPr>
                <w:rFonts w:hint="eastAsia" w:ascii="宋体" w:hAnsi="宋体" w:eastAsia="宋体" w:cs="宋体"/>
                <w:spacing w:val="-10"/>
                <w:sz w:val="24"/>
                <w:szCs w:val="24"/>
              </w:rPr>
              <w:t>时</w:t>
            </w:r>
            <w:r>
              <w:rPr>
                <w:rFonts w:hint="eastAsia" w:ascii="宋体" w:hAnsi="宋体" w:eastAsia="宋体" w:cs="宋体"/>
                <w:spacing w:val="-98"/>
                <w:sz w:val="24"/>
                <w:szCs w:val="24"/>
              </w:rPr>
              <w:t xml:space="preserve"> </w:t>
            </w:r>
            <w:r>
              <w:rPr>
                <w:rFonts w:hint="eastAsia" w:ascii="宋体" w:hAnsi="宋体" w:eastAsia="宋体" w:cs="宋体"/>
                <w:spacing w:val="5"/>
                <w:sz w:val="24"/>
                <w:szCs w:val="24"/>
                <w:u w:val="single"/>
              </w:rPr>
              <w:t xml:space="preserve"> </w:t>
            </w:r>
            <w:r>
              <w:rPr>
                <w:rFonts w:hint="eastAsia" w:ascii="宋体" w:hAnsi="宋体" w:eastAsia="宋体" w:cs="宋体"/>
                <w:spacing w:val="5"/>
                <w:sz w:val="24"/>
                <w:szCs w:val="24"/>
                <w:u w:val="single"/>
                <w:lang w:val="en-US" w:eastAsia="zh-CN"/>
              </w:rPr>
              <w:t>00</w:t>
            </w:r>
            <w:r>
              <w:rPr>
                <w:rFonts w:hint="eastAsia" w:ascii="宋体" w:hAnsi="宋体" w:eastAsia="宋体" w:cs="宋体"/>
                <w:spacing w:val="-89"/>
                <w:sz w:val="24"/>
                <w:szCs w:val="24"/>
              </w:rPr>
              <w:t xml:space="preserve"> </w:t>
            </w:r>
            <w:r>
              <w:rPr>
                <w:rFonts w:hint="eastAsia" w:ascii="宋体" w:hAnsi="宋体" w:eastAsia="宋体" w:cs="宋体"/>
                <w:spacing w:val="-10"/>
                <w:sz w:val="24"/>
                <w:szCs w:val="24"/>
              </w:rPr>
              <w:t>分</w:t>
            </w:r>
            <w:r>
              <w:rPr>
                <w:rFonts w:hint="eastAsia" w:ascii="宋体" w:hAnsi="宋体" w:eastAsia="宋体" w:cs="宋体"/>
                <w:spacing w:val="4"/>
                <w:sz w:val="24"/>
                <w:szCs w:val="24"/>
              </w:rPr>
              <w:t>；</w:t>
            </w:r>
          </w:p>
          <w:p w14:paraId="6C5D97A0">
            <w:pPr>
              <w:spacing w:before="154" w:line="228" w:lineRule="auto"/>
              <w:rPr>
                <w:rFonts w:hint="eastAsia" w:ascii="宋体" w:hAnsi="宋体" w:eastAsia="宋体" w:cs="宋体"/>
                <w:sz w:val="24"/>
                <w:szCs w:val="24"/>
              </w:rPr>
            </w:pPr>
            <w:r>
              <w:rPr>
                <w:rFonts w:hint="eastAsia" w:ascii="宋体" w:hAnsi="宋体" w:eastAsia="宋体" w:cs="宋体"/>
                <w:spacing w:val="4"/>
                <w:sz w:val="24"/>
                <w:szCs w:val="24"/>
              </w:rPr>
              <w:t>投标保证保险投保截止时间：</w:t>
            </w:r>
            <w:r>
              <w:rPr>
                <w:rFonts w:hint="eastAsia" w:ascii="宋体" w:hAnsi="宋体" w:eastAsia="宋体" w:cs="宋体"/>
                <w:spacing w:val="-10"/>
                <w:sz w:val="24"/>
                <w:szCs w:val="24"/>
                <w:u w:val="single"/>
                <w:lang w:val="en-US" w:eastAsia="zh-CN"/>
              </w:rPr>
              <w:t>2026</w:t>
            </w:r>
            <w:r>
              <w:rPr>
                <w:rFonts w:hint="eastAsia" w:ascii="宋体" w:hAnsi="宋体" w:eastAsia="宋体" w:cs="宋体"/>
                <w:spacing w:val="-10"/>
                <w:sz w:val="24"/>
                <w:szCs w:val="24"/>
              </w:rPr>
              <w:t>年</w:t>
            </w:r>
            <w:r>
              <w:rPr>
                <w:rFonts w:hint="eastAsia" w:ascii="宋体" w:hAnsi="宋体" w:eastAsia="宋体" w:cs="宋体"/>
                <w:spacing w:val="5"/>
                <w:sz w:val="24"/>
                <w:szCs w:val="24"/>
                <w:u w:val="single"/>
              </w:rPr>
              <w:t xml:space="preserve"> </w:t>
            </w:r>
            <w:r>
              <w:rPr>
                <w:rFonts w:hint="eastAsia" w:ascii="宋体" w:hAnsi="宋体" w:eastAsia="宋体" w:cs="宋体"/>
                <w:spacing w:val="5"/>
                <w:sz w:val="24"/>
                <w:szCs w:val="24"/>
                <w:u w:val="single"/>
                <w:lang w:val="en-US" w:eastAsia="zh-CN"/>
              </w:rPr>
              <w:t>01</w:t>
            </w:r>
            <w:r>
              <w:rPr>
                <w:rFonts w:hint="eastAsia" w:ascii="宋体" w:hAnsi="宋体" w:eastAsia="宋体" w:cs="宋体"/>
                <w:spacing w:val="5"/>
                <w:sz w:val="24"/>
                <w:szCs w:val="24"/>
                <w:u w:val="single"/>
                <w:lang w:val="en-US" w:eastAsia="zh-CN"/>
              </w:rPr>
              <w:t xml:space="preserve">  </w:t>
            </w:r>
            <w:r>
              <w:rPr>
                <w:rFonts w:hint="eastAsia" w:ascii="宋体" w:hAnsi="宋体" w:eastAsia="宋体" w:cs="宋体"/>
                <w:spacing w:val="-10"/>
                <w:sz w:val="24"/>
                <w:szCs w:val="24"/>
              </w:rPr>
              <w:t>月</w:t>
            </w:r>
            <w:r>
              <w:rPr>
                <w:rFonts w:hint="eastAsia" w:ascii="宋体" w:hAnsi="宋体" w:eastAsia="宋体" w:cs="宋体"/>
                <w:spacing w:val="5"/>
                <w:sz w:val="24"/>
                <w:szCs w:val="24"/>
                <w:u w:val="single"/>
              </w:rPr>
              <w:t xml:space="preserve"> </w:t>
            </w:r>
            <w:r>
              <w:rPr>
                <w:rFonts w:hint="eastAsia" w:ascii="宋体" w:hAnsi="宋体" w:eastAsia="宋体" w:cs="宋体"/>
                <w:spacing w:val="5"/>
                <w:sz w:val="24"/>
                <w:szCs w:val="24"/>
                <w:u w:val="single"/>
                <w:lang w:val="en-US" w:eastAsia="zh-CN"/>
              </w:rPr>
              <w:t xml:space="preserve">20 </w:t>
            </w:r>
            <w:r>
              <w:rPr>
                <w:rFonts w:hint="eastAsia" w:ascii="宋体" w:hAnsi="宋体" w:eastAsia="宋体" w:cs="宋体"/>
                <w:spacing w:val="5"/>
                <w:sz w:val="24"/>
                <w:szCs w:val="24"/>
                <w:u w:val="single"/>
              </w:rPr>
              <w:t xml:space="preserve"> </w:t>
            </w:r>
            <w:r>
              <w:rPr>
                <w:rFonts w:hint="eastAsia" w:ascii="宋体" w:hAnsi="宋体" w:eastAsia="宋体" w:cs="宋体"/>
                <w:spacing w:val="-10"/>
                <w:sz w:val="24"/>
                <w:szCs w:val="24"/>
              </w:rPr>
              <w:t>日</w:t>
            </w:r>
            <w:r>
              <w:rPr>
                <w:rFonts w:hint="eastAsia" w:ascii="宋体" w:hAnsi="宋体" w:eastAsia="宋体" w:cs="宋体"/>
                <w:spacing w:val="4"/>
                <w:sz w:val="24"/>
                <w:szCs w:val="24"/>
                <w:u w:val="single"/>
              </w:rPr>
              <w:t xml:space="preserve"> </w:t>
            </w:r>
            <w:r>
              <w:rPr>
                <w:rFonts w:hint="eastAsia" w:ascii="宋体" w:hAnsi="宋体" w:eastAsia="宋体" w:cs="宋体"/>
                <w:spacing w:val="4"/>
                <w:sz w:val="24"/>
                <w:szCs w:val="24"/>
                <w:u w:val="single"/>
                <w:lang w:val="en-US" w:eastAsia="zh-CN"/>
              </w:rPr>
              <w:t>10</w:t>
            </w:r>
            <w:r>
              <w:rPr>
                <w:rFonts w:hint="eastAsia" w:ascii="宋体" w:hAnsi="宋体" w:eastAsia="宋体" w:cs="宋体"/>
                <w:spacing w:val="4"/>
                <w:sz w:val="24"/>
                <w:szCs w:val="24"/>
                <w:u w:val="single"/>
              </w:rPr>
              <w:t xml:space="preserve"> </w:t>
            </w:r>
            <w:r>
              <w:rPr>
                <w:rFonts w:hint="eastAsia" w:ascii="宋体" w:hAnsi="宋体" w:eastAsia="宋体" w:cs="宋体"/>
                <w:spacing w:val="-10"/>
                <w:sz w:val="24"/>
                <w:szCs w:val="24"/>
              </w:rPr>
              <w:t>时</w:t>
            </w:r>
            <w:r>
              <w:rPr>
                <w:rFonts w:hint="eastAsia" w:ascii="宋体" w:hAnsi="宋体" w:eastAsia="宋体" w:cs="宋体"/>
                <w:spacing w:val="-98"/>
                <w:sz w:val="24"/>
                <w:szCs w:val="24"/>
              </w:rPr>
              <w:t xml:space="preserve"> </w:t>
            </w:r>
            <w:r>
              <w:rPr>
                <w:rFonts w:hint="eastAsia" w:ascii="宋体" w:hAnsi="宋体" w:eastAsia="宋体" w:cs="宋体"/>
                <w:spacing w:val="5"/>
                <w:sz w:val="24"/>
                <w:szCs w:val="24"/>
                <w:u w:val="single"/>
              </w:rPr>
              <w:t xml:space="preserve"> </w:t>
            </w:r>
            <w:r>
              <w:rPr>
                <w:rFonts w:hint="eastAsia" w:ascii="宋体" w:hAnsi="宋体" w:eastAsia="宋体" w:cs="宋体"/>
                <w:spacing w:val="5"/>
                <w:sz w:val="24"/>
                <w:szCs w:val="24"/>
                <w:u w:val="single"/>
                <w:lang w:val="en-US" w:eastAsia="zh-CN"/>
              </w:rPr>
              <w:t>00</w:t>
            </w:r>
            <w:r>
              <w:rPr>
                <w:rFonts w:hint="eastAsia" w:ascii="宋体" w:hAnsi="宋体" w:eastAsia="宋体" w:cs="宋体"/>
                <w:spacing w:val="-89"/>
                <w:sz w:val="24"/>
                <w:szCs w:val="24"/>
              </w:rPr>
              <w:t xml:space="preserve"> </w:t>
            </w:r>
            <w:r>
              <w:rPr>
                <w:rFonts w:hint="eastAsia" w:ascii="宋体" w:hAnsi="宋体" w:eastAsia="宋体" w:cs="宋体"/>
                <w:spacing w:val="-10"/>
                <w:sz w:val="24"/>
                <w:szCs w:val="24"/>
              </w:rPr>
              <w:t>分</w:t>
            </w:r>
            <w:r>
              <w:rPr>
                <w:rFonts w:hint="eastAsia" w:ascii="宋体" w:hAnsi="宋体" w:eastAsia="宋体" w:cs="宋体"/>
                <w:spacing w:val="4"/>
                <w:sz w:val="24"/>
                <w:szCs w:val="24"/>
              </w:rPr>
              <w:t>。</w:t>
            </w:r>
          </w:p>
        </w:tc>
      </w:tr>
      <w:tr w14:paraId="04AC9B5C">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1123" w:hRule="atLeast"/>
        </w:trPr>
        <w:tc>
          <w:tcPr>
            <w:tcW w:w="424" w:type="dxa"/>
            <w:noWrap w:val="0"/>
            <w:vAlign w:val="top"/>
          </w:tcPr>
          <w:p w14:paraId="07063108">
            <w:pPr>
              <w:spacing w:before="57" w:line="195" w:lineRule="auto"/>
              <w:ind w:left="161"/>
              <w:rPr>
                <w:rFonts w:hint="eastAsia" w:ascii="宋体" w:hAnsi="宋体" w:eastAsia="宋体" w:cs="宋体"/>
                <w:sz w:val="24"/>
                <w:szCs w:val="24"/>
              </w:rPr>
            </w:pPr>
          </w:p>
          <w:p w14:paraId="7138B1C2">
            <w:pPr>
              <w:spacing w:before="57" w:line="195" w:lineRule="auto"/>
              <w:ind w:left="161"/>
              <w:rPr>
                <w:rFonts w:hint="eastAsia" w:ascii="宋体" w:hAnsi="宋体" w:eastAsia="宋体" w:cs="宋体"/>
                <w:sz w:val="24"/>
                <w:szCs w:val="24"/>
              </w:rPr>
            </w:pPr>
            <w:r>
              <w:rPr>
                <w:rFonts w:hint="eastAsia" w:ascii="宋体" w:hAnsi="宋体" w:eastAsia="宋体" w:cs="宋体"/>
                <w:sz w:val="24"/>
                <w:szCs w:val="24"/>
              </w:rPr>
              <w:t>6</w:t>
            </w:r>
          </w:p>
        </w:tc>
        <w:tc>
          <w:tcPr>
            <w:tcW w:w="1350" w:type="dxa"/>
            <w:noWrap w:val="0"/>
            <w:vAlign w:val="top"/>
          </w:tcPr>
          <w:p w14:paraId="2EDC38A9">
            <w:pPr>
              <w:spacing w:before="65" w:line="318" w:lineRule="auto"/>
              <w:ind w:right="255"/>
              <w:rPr>
                <w:rFonts w:hint="eastAsia" w:ascii="宋体" w:hAnsi="宋体" w:eastAsia="宋体" w:cs="宋体"/>
                <w:sz w:val="24"/>
                <w:szCs w:val="24"/>
              </w:rPr>
            </w:pPr>
            <w:r>
              <w:rPr>
                <w:rFonts w:hint="eastAsia" w:ascii="宋体" w:hAnsi="宋体" w:eastAsia="宋体" w:cs="宋体"/>
                <w:spacing w:val="1"/>
                <w:sz w:val="24"/>
                <w:szCs w:val="24"/>
              </w:rPr>
              <w:t>电子投标</w:t>
            </w:r>
            <w:r>
              <w:rPr>
                <w:rFonts w:hint="eastAsia" w:ascii="宋体" w:hAnsi="宋体" w:eastAsia="宋体" w:cs="宋体"/>
                <w:sz w:val="24"/>
                <w:szCs w:val="24"/>
              </w:rPr>
              <w:t xml:space="preserve"> </w:t>
            </w:r>
            <w:r>
              <w:rPr>
                <w:rFonts w:hint="eastAsia" w:ascii="宋体" w:hAnsi="宋体" w:eastAsia="宋体" w:cs="宋体"/>
                <w:spacing w:val="7"/>
                <w:sz w:val="24"/>
                <w:szCs w:val="24"/>
              </w:rPr>
              <w:t>截止时间</w:t>
            </w:r>
          </w:p>
        </w:tc>
        <w:tc>
          <w:tcPr>
            <w:tcW w:w="8274" w:type="dxa"/>
            <w:noWrap w:val="0"/>
            <w:vAlign w:val="top"/>
          </w:tcPr>
          <w:p w14:paraId="20747B0D">
            <w:pPr>
              <w:pStyle w:val="20"/>
              <w:spacing w:line="434" w:lineRule="auto"/>
              <w:rPr>
                <w:rFonts w:hint="eastAsia" w:ascii="宋体" w:hAnsi="宋体" w:eastAsia="宋体" w:cs="宋体"/>
                <w:sz w:val="24"/>
                <w:szCs w:val="24"/>
              </w:rPr>
            </w:pPr>
          </w:p>
          <w:p w14:paraId="3710DF7E">
            <w:pPr>
              <w:tabs>
                <w:tab w:val="left" w:pos="838"/>
              </w:tabs>
              <w:spacing w:before="65" w:line="228" w:lineRule="auto"/>
              <w:ind w:left="209"/>
              <w:rPr>
                <w:rFonts w:hint="eastAsia" w:ascii="宋体" w:hAnsi="宋体" w:eastAsia="宋体" w:cs="宋体"/>
                <w:sz w:val="24"/>
                <w:szCs w:val="24"/>
              </w:rPr>
            </w:pPr>
            <w:r>
              <w:rPr>
                <w:rFonts w:hint="eastAsia" w:ascii="宋体" w:hAnsi="宋体" w:eastAsia="宋体" w:cs="宋体"/>
                <w:spacing w:val="-10"/>
                <w:sz w:val="24"/>
                <w:szCs w:val="24"/>
                <w:u w:val="single"/>
                <w:lang w:val="en-US" w:eastAsia="zh-CN"/>
              </w:rPr>
              <w:t>2026</w:t>
            </w:r>
            <w:r>
              <w:rPr>
                <w:rFonts w:hint="eastAsia" w:ascii="宋体" w:hAnsi="宋体" w:eastAsia="宋体" w:cs="宋体"/>
                <w:spacing w:val="-10"/>
                <w:sz w:val="24"/>
                <w:szCs w:val="24"/>
              </w:rPr>
              <w:t>年</w:t>
            </w:r>
            <w:r>
              <w:rPr>
                <w:rFonts w:hint="eastAsia" w:ascii="宋体" w:hAnsi="宋体" w:eastAsia="宋体" w:cs="宋体"/>
                <w:spacing w:val="5"/>
                <w:sz w:val="24"/>
                <w:szCs w:val="24"/>
                <w:u w:val="single"/>
                <w:lang w:val="en-US" w:eastAsia="zh-CN"/>
              </w:rPr>
              <w:t>01</w:t>
            </w:r>
            <w:r>
              <w:rPr>
                <w:rFonts w:hint="eastAsia" w:ascii="宋体" w:hAnsi="宋体" w:eastAsia="宋体" w:cs="宋体"/>
                <w:spacing w:val="-10"/>
                <w:sz w:val="24"/>
                <w:szCs w:val="24"/>
              </w:rPr>
              <w:t>月</w:t>
            </w:r>
            <w:r>
              <w:rPr>
                <w:rFonts w:hint="eastAsia" w:ascii="宋体" w:hAnsi="宋体" w:eastAsia="宋体" w:cs="宋体"/>
                <w:spacing w:val="5"/>
                <w:sz w:val="24"/>
                <w:szCs w:val="24"/>
                <w:u w:val="single"/>
                <w:lang w:val="en-US" w:eastAsia="zh-CN"/>
              </w:rPr>
              <w:t>21</w:t>
            </w:r>
            <w:r>
              <w:rPr>
                <w:rFonts w:hint="eastAsia" w:ascii="宋体" w:hAnsi="宋体" w:eastAsia="宋体" w:cs="宋体"/>
                <w:spacing w:val="-10"/>
                <w:sz w:val="24"/>
                <w:szCs w:val="24"/>
              </w:rPr>
              <w:t>日</w:t>
            </w:r>
            <w:r>
              <w:rPr>
                <w:rFonts w:hint="eastAsia" w:ascii="宋体" w:hAnsi="宋体" w:eastAsia="宋体" w:cs="宋体"/>
                <w:spacing w:val="5"/>
                <w:sz w:val="24"/>
                <w:szCs w:val="24"/>
                <w:u w:val="single"/>
                <w:lang w:val="en-US" w:eastAsia="zh-CN"/>
              </w:rPr>
              <w:t xml:space="preserve"> 10 </w:t>
            </w:r>
            <w:r>
              <w:rPr>
                <w:rFonts w:hint="eastAsia" w:ascii="宋体" w:hAnsi="宋体" w:eastAsia="宋体" w:cs="宋体"/>
                <w:spacing w:val="-80"/>
                <w:sz w:val="24"/>
                <w:szCs w:val="24"/>
              </w:rPr>
              <w:t xml:space="preserve"> </w:t>
            </w:r>
            <w:r>
              <w:rPr>
                <w:rFonts w:hint="eastAsia" w:ascii="宋体" w:hAnsi="宋体" w:eastAsia="宋体" w:cs="宋体"/>
                <w:spacing w:val="-10"/>
                <w:sz w:val="24"/>
                <w:szCs w:val="24"/>
              </w:rPr>
              <w:t>时</w:t>
            </w:r>
            <w:r>
              <w:rPr>
                <w:rFonts w:hint="eastAsia" w:ascii="宋体" w:hAnsi="宋体" w:eastAsia="宋体" w:cs="宋体"/>
                <w:spacing w:val="4"/>
                <w:sz w:val="24"/>
                <w:szCs w:val="24"/>
                <w:u w:val="single"/>
              </w:rPr>
              <w:t xml:space="preserve"> </w:t>
            </w:r>
            <w:r>
              <w:rPr>
                <w:rFonts w:hint="eastAsia" w:ascii="宋体" w:hAnsi="宋体" w:eastAsia="宋体" w:cs="宋体"/>
                <w:spacing w:val="4"/>
                <w:sz w:val="24"/>
                <w:szCs w:val="24"/>
                <w:u w:val="single"/>
                <w:lang w:val="en-US" w:eastAsia="zh-CN"/>
              </w:rPr>
              <w:t>0</w:t>
            </w:r>
            <w:bookmarkStart w:id="214" w:name="_GoBack"/>
            <w:bookmarkEnd w:id="214"/>
            <w:r>
              <w:rPr>
                <w:rFonts w:hint="eastAsia" w:ascii="宋体" w:hAnsi="宋体" w:eastAsia="宋体" w:cs="宋体"/>
                <w:spacing w:val="4"/>
                <w:sz w:val="24"/>
                <w:szCs w:val="24"/>
                <w:u w:val="single"/>
                <w:lang w:val="en-US" w:eastAsia="zh-CN"/>
              </w:rPr>
              <w:t xml:space="preserve">0 </w:t>
            </w:r>
            <w:r>
              <w:rPr>
                <w:rFonts w:hint="eastAsia" w:ascii="宋体" w:hAnsi="宋体" w:eastAsia="宋体" w:cs="宋体"/>
                <w:spacing w:val="-88"/>
                <w:sz w:val="24"/>
                <w:szCs w:val="24"/>
              </w:rPr>
              <w:t xml:space="preserve"> </w:t>
            </w:r>
            <w:r>
              <w:rPr>
                <w:rFonts w:hint="eastAsia" w:ascii="宋体" w:hAnsi="宋体" w:eastAsia="宋体" w:cs="宋体"/>
                <w:spacing w:val="-10"/>
                <w:sz w:val="24"/>
                <w:szCs w:val="24"/>
              </w:rPr>
              <w:t>分</w:t>
            </w:r>
          </w:p>
        </w:tc>
      </w:tr>
      <w:tr w14:paraId="7C270827">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1123" w:hRule="atLeast"/>
        </w:trPr>
        <w:tc>
          <w:tcPr>
            <w:tcW w:w="424" w:type="dxa"/>
            <w:noWrap w:val="0"/>
            <w:vAlign w:val="top"/>
          </w:tcPr>
          <w:p w14:paraId="0F53F900">
            <w:pPr>
              <w:spacing w:before="57" w:line="192" w:lineRule="auto"/>
              <w:ind w:left="159"/>
              <w:rPr>
                <w:rFonts w:hint="eastAsia" w:ascii="宋体" w:hAnsi="宋体" w:eastAsia="宋体" w:cs="宋体"/>
                <w:sz w:val="24"/>
                <w:szCs w:val="24"/>
              </w:rPr>
            </w:pPr>
          </w:p>
          <w:p w14:paraId="1EFF6536">
            <w:pPr>
              <w:spacing w:before="57" w:line="192" w:lineRule="auto"/>
              <w:ind w:left="159"/>
              <w:rPr>
                <w:rFonts w:hint="eastAsia" w:ascii="宋体" w:hAnsi="宋体" w:eastAsia="宋体" w:cs="宋体"/>
                <w:sz w:val="24"/>
                <w:szCs w:val="24"/>
              </w:rPr>
            </w:pPr>
            <w:r>
              <w:rPr>
                <w:rFonts w:hint="eastAsia" w:ascii="宋体" w:hAnsi="宋体" w:eastAsia="宋体" w:cs="宋体"/>
                <w:sz w:val="24"/>
                <w:szCs w:val="24"/>
              </w:rPr>
              <w:t>7</w:t>
            </w:r>
          </w:p>
        </w:tc>
        <w:tc>
          <w:tcPr>
            <w:tcW w:w="1350" w:type="dxa"/>
            <w:noWrap w:val="0"/>
            <w:vAlign w:val="top"/>
          </w:tcPr>
          <w:p w14:paraId="4DC6630C">
            <w:pPr>
              <w:spacing w:before="104" w:line="264" w:lineRule="auto"/>
              <w:ind w:left="75" w:right="73" w:firstLine="2"/>
              <w:rPr>
                <w:rFonts w:hint="eastAsia" w:ascii="宋体" w:hAnsi="宋体" w:eastAsia="宋体" w:cs="宋体"/>
                <w:sz w:val="24"/>
                <w:szCs w:val="24"/>
              </w:rPr>
            </w:pPr>
            <w:r>
              <w:rPr>
                <w:rFonts w:hint="eastAsia" w:ascii="宋体" w:hAnsi="宋体" w:eastAsia="宋体" w:cs="宋体"/>
                <w:spacing w:val="-3"/>
                <w:sz w:val="24"/>
                <w:szCs w:val="24"/>
              </w:rPr>
              <w:t>投标相关资</w:t>
            </w:r>
            <w:r>
              <w:rPr>
                <w:rFonts w:hint="eastAsia" w:ascii="宋体" w:hAnsi="宋体" w:eastAsia="宋体" w:cs="宋体"/>
                <w:spacing w:val="1"/>
                <w:sz w:val="24"/>
                <w:szCs w:val="24"/>
              </w:rPr>
              <w:t xml:space="preserve"> </w:t>
            </w:r>
            <w:r>
              <w:rPr>
                <w:rFonts w:hint="eastAsia" w:ascii="宋体" w:hAnsi="宋体" w:eastAsia="宋体" w:cs="宋体"/>
                <w:spacing w:val="-2"/>
                <w:sz w:val="24"/>
                <w:szCs w:val="24"/>
              </w:rPr>
              <w:t>料（如有）</w:t>
            </w:r>
          </w:p>
          <w:p w14:paraId="5BCC0FD2">
            <w:pPr>
              <w:spacing w:before="34" w:line="221" w:lineRule="auto"/>
              <w:ind w:left="196"/>
              <w:rPr>
                <w:rFonts w:hint="eastAsia" w:ascii="宋体" w:hAnsi="宋体" w:eastAsia="宋体" w:cs="宋体"/>
                <w:sz w:val="24"/>
                <w:szCs w:val="24"/>
              </w:rPr>
            </w:pPr>
            <w:r>
              <w:rPr>
                <w:rFonts w:hint="eastAsia" w:ascii="宋体" w:hAnsi="宋体" w:eastAsia="宋体" w:cs="宋体"/>
                <w:spacing w:val="-3"/>
                <w:sz w:val="24"/>
                <w:szCs w:val="24"/>
              </w:rPr>
              <w:t>递交时间</w:t>
            </w:r>
          </w:p>
        </w:tc>
        <w:tc>
          <w:tcPr>
            <w:tcW w:w="8274" w:type="dxa"/>
            <w:noWrap w:val="0"/>
            <w:vAlign w:val="top"/>
          </w:tcPr>
          <w:p w14:paraId="02305D0B">
            <w:pPr>
              <w:pStyle w:val="20"/>
              <w:spacing w:line="436" w:lineRule="auto"/>
              <w:rPr>
                <w:rFonts w:hint="eastAsia" w:ascii="宋体" w:hAnsi="宋体" w:eastAsia="宋体" w:cs="宋体"/>
                <w:sz w:val="24"/>
                <w:szCs w:val="24"/>
              </w:rPr>
            </w:pPr>
          </w:p>
          <w:p w14:paraId="1E37414E">
            <w:pPr>
              <w:tabs>
                <w:tab w:val="left" w:pos="838"/>
              </w:tabs>
              <w:spacing w:before="65" w:line="228" w:lineRule="auto"/>
              <w:ind w:left="209"/>
              <w:rPr>
                <w:rFonts w:hint="eastAsia" w:ascii="宋体" w:hAnsi="宋体" w:eastAsia="宋体" w:cs="宋体"/>
                <w:sz w:val="24"/>
                <w:szCs w:val="24"/>
              </w:rPr>
            </w:pPr>
            <w:r>
              <w:rPr>
                <w:rFonts w:hint="eastAsia" w:ascii="宋体" w:hAnsi="宋体" w:eastAsia="宋体" w:cs="宋体"/>
                <w:spacing w:val="-10"/>
                <w:sz w:val="24"/>
                <w:szCs w:val="24"/>
                <w:u w:val="single"/>
                <w:lang w:val="en-US" w:eastAsia="zh-CN"/>
              </w:rPr>
              <w:t>2026</w:t>
            </w:r>
            <w:r>
              <w:rPr>
                <w:rFonts w:hint="eastAsia" w:ascii="宋体" w:hAnsi="宋体" w:eastAsia="宋体" w:cs="宋体"/>
                <w:spacing w:val="-10"/>
                <w:sz w:val="24"/>
                <w:szCs w:val="24"/>
              </w:rPr>
              <w:t>年</w:t>
            </w:r>
            <w:r>
              <w:rPr>
                <w:rFonts w:hint="eastAsia" w:ascii="宋体" w:hAnsi="宋体" w:eastAsia="宋体" w:cs="宋体"/>
                <w:spacing w:val="5"/>
                <w:sz w:val="24"/>
                <w:szCs w:val="24"/>
                <w:u w:val="single"/>
                <w:lang w:val="en-US" w:eastAsia="zh-CN"/>
              </w:rPr>
              <w:t>01</w:t>
            </w:r>
            <w:r>
              <w:rPr>
                <w:rFonts w:hint="eastAsia" w:ascii="宋体" w:hAnsi="宋体" w:eastAsia="宋体" w:cs="宋体"/>
                <w:spacing w:val="-10"/>
                <w:sz w:val="24"/>
                <w:szCs w:val="24"/>
              </w:rPr>
              <w:t>月</w:t>
            </w:r>
            <w:r>
              <w:rPr>
                <w:rFonts w:hint="eastAsia" w:ascii="宋体" w:hAnsi="宋体" w:eastAsia="宋体" w:cs="宋体"/>
                <w:spacing w:val="5"/>
                <w:sz w:val="24"/>
                <w:szCs w:val="24"/>
                <w:u w:val="single"/>
                <w:lang w:val="en-US" w:eastAsia="zh-CN"/>
              </w:rPr>
              <w:t>21</w:t>
            </w:r>
            <w:r>
              <w:rPr>
                <w:rFonts w:hint="eastAsia" w:ascii="宋体" w:hAnsi="宋体" w:eastAsia="宋体" w:cs="宋体"/>
                <w:spacing w:val="-10"/>
                <w:sz w:val="24"/>
                <w:szCs w:val="24"/>
              </w:rPr>
              <w:t>日</w:t>
            </w:r>
            <w:r>
              <w:rPr>
                <w:rFonts w:hint="eastAsia" w:ascii="宋体" w:hAnsi="宋体" w:eastAsia="宋体" w:cs="宋体"/>
                <w:spacing w:val="5"/>
                <w:sz w:val="24"/>
                <w:szCs w:val="24"/>
                <w:u w:val="single"/>
                <w:lang w:val="en-US" w:eastAsia="zh-CN"/>
              </w:rPr>
              <w:t xml:space="preserve"> 09 </w:t>
            </w:r>
            <w:r>
              <w:rPr>
                <w:rFonts w:hint="eastAsia" w:ascii="宋体" w:hAnsi="宋体" w:eastAsia="宋体" w:cs="宋体"/>
                <w:spacing w:val="-80"/>
                <w:sz w:val="24"/>
                <w:szCs w:val="24"/>
              </w:rPr>
              <w:t xml:space="preserve"> </w:t>
            </w:r>
            <w:r>
              <w:rPr>
                <w:rFonts w:hint="eastAsia" w:ascii="宋体" w:hAnsi="宋体" w:eastAsia="宋体" w:cs="宋体"/>
                <w:spacing w:val="-10"/>
                <w:sz w:val="24"/>
                <w:szCs w:val="24"/>
              </w:rPr>
              <w:t>时</w:t>
            </w:r>
            <w:r>
              <w:rPr>
                <w:rFonts w:hint="eastAsia" w:ascii="宋体" w:hAnsi="宋体" w:eastAsia="宋体" w:cs="宋体"/>
                <w:spacing w:val="4"/>
                <w:sz w:val="24"/>
                <w:szCs w:val="24"/>
                <w:u w:val="single"/>
              </w:rPr>
              <w:t xml:space="preserve"> </w:t>
            </w:r>
            <w:r>
              <w:rPr>
                <w:rFonts w:hint="eastAsia" w:ascii="宋体" w:hAnsi="宋体" w:eastAsia="宋体" w:cs="宋体"/>
                <w:spacing w:val="4"/>
                <w:sz w:val="24"/>
                <w:szCs w:val="24"/>
                <w:u w:val="single"/>
                <w:lang w:val="en-US" w:eastAsia="zh-CN"/>
              </w:rPr>
              <w:t xml:space="preserve">30 </w:t>
            </w:r>
            <w:r>
              <w:rPr>
                <w:rFonts w:hint="eastAsia" w:ascii="宋体" w:hAnsi="宋体" w:eastAsia="宋体" w:cs="宋体"/>
                <w:spacing w:val="-88"/>
                <w:sz w:val="24"/>
                <w:szCs w:val="24"/>
              </w:rPr>
              <w:t xml:space="preserve"> </w:t>
            </w:r>
            <w:r>
              <w:rPr>
                <w:rFonts w:hint="eastAsia" w:ascii="宋体" w:hAnsi="宋体" w:eastAsia="宋体" w:cs="宋体"/>
                <w:spacing w:val="-10"/>
                <w:sz w:val="24"/>
                <w:szCs w:val="24"/>
              </w:rPr>
              <w:t>分</w:t>
            </w:r>
            <w:r>
              <w:rPr>
                <w:rFonts w:hint="eastAsia" w:ascii="宋体" w:hAnsi="宋体" w:eastAsia="宋体" w:cs="宋体"/>
                <w:spacing w:val="-8"/>
                <w:sz w:val="24"/>
                <w:szCs w:val="24"/>
              </w:rPr>
              <w:t>至</w:t>
            </w:r>
            <w:r>
              <w:rPr>
                <w:rFonts w:hint="eastAsia" w:ascii="宋体" w:hAnsi="宋体" w:eastAsia="宋体" w:cs="宋体"/>
                <w:spacing w:val="-10"/>
                <w:sz w:val="24"/>
                <w:szCs w:val="24"/>
                <w:u w:val="single"/>
                <w:lang w:val="en-US" w:eastAsia="zh-CN"/>
              </w:rPr>
              <w:t>2026</w:t>
            </w:r>
            <w:r>
              <w:rPr>
                <w:rFonts w:hint="eastAsia" w:ascii="宋体" w:hAnsi="宋体" w:eastAsia="宋体" w:cs="宋体"/>
                <w:spacing w:val="-10"/>
                <w:sz w:val="24"/>
                <w:szCs w:val="24"/>
              </w:rPr>
              <w:t>年</w:t>
            </w:r>
            <w:r>
              <w:rPr>
                <w:rFonts w:hint="eastAsia" w:ascii="宋体" w:hAnsi="宋体" w:eastAsia="宋体" w:cs="宋体"/>
                <w:spacing w:val="5"/>
                <w:sz w:val="24"/>
                <w:szCs w:val="24"/>
                <w:u w:val="single"/>
                <w:lang w:val="en-US" w:eastAsia="zh-CN"/>
              </w:rPr>
              <w:t>01</w:t>
            </w:r>
            <w:r>
              <w:rPr>
                <w:rFonts w:hint="eastAsia" w:ascii="宋体" w:hAnsi="宋体" w:eastAsia="宋体" w:cs="宋体"/>
                <w:spacing w:val="-10"/>
                <w:sz w:val="24"/>
                <w:szCs w:val="24"/>
              </w:rPr>
              <w:t>月</w:t>
            </w:r>
            <w:r>
              <w:rPr>
                <w:rFonts w:hint="eastAsia" w:ascii="宋体" w:hAnsi="宋体" w:eastAsia="宋体" w:cs="宋体"/>
                <w:spacing w:val="5"/>
                <w:sz w:val="24"/>
                <w:szCs w:val="24"/>
                <w:u w:val="single"/>
                <w:lang w:val="en-US" w:eastAsia="zh-CN"/>
              </w:rPr>
              <w:t>21</w:t>
            </w:r>
            <w:r>
              <w:rPr>
                <w:rFonts w:hint="eastAsia" w:ascii="宋体" w:hAnsi="宋体" w:eastAsia="宋体" w:cs="宋体"/>
                <w:spacing w:val="-10"/>
                <w:sz w:val="24"/>
                <w:szCs w:val="24"/>
              </w:rPr>
              <w:t>日</w:t>
            </w:r>
            <w:r>
              <w:rPr>
                <w:rFonts w:hint="eastAsia" w:ascii="宋体" w:hAnsi="宋体" w:eastAsia="宋体" w:cs="宋体"/>
                <w:spacing w:val="-98"/>
                <w:sz w:val="24"/>
                <w:szCs w:val="24"/>
              </w:rPr>
              <w:t xml:space="preserve"> </w:t>
            </w:r>
            <w:r>
              <w:rPr>
                <w:rFonts w:hint="eastAsia" w:ascii="宋体" w:hAnsi="宋体" w:eastAsia="宋体" w:cs="宋体"/>
                <w:spacing w:val="4"/>
                <w:sz w:val="24"/>
                <w:szCs w:val="24"/>
                <w:u w:val="single"/>
                <w:lang w:val="en-US" w:eastAsia="zh-CN"/>
              </w:rPr>
              <w:t>10</w:t>
            </w:r>
            <w:r>
              <w:rPr>
                <w:rFonts w:hint="eastAsia" w:ascii="宋体" w:hAnsi="宋体" w:eastAsia="宋体" w:cs="宋体"/>
                <w:spacing w:val="4"/>
                <w:sz w:val="24"/>
                <w:szCs w:val="24"/>
                <w:u w:val="single"/>
              </w:rPr>
              <w:t xml:space="preserve"> </w:t>
            </w:r>
            <w:r>
              <w:rPr>
                <w:rFonts w:hint="eastAsia" w:ascii="宋体" w:hAnsi="宋体" w:eastAsia="宋体" w:cs="宋体"/>
                <w:spacing w:val="-10"/>
                <w:sz w:val="24"/>
                <w:szCs w:val="24"/>
              </w:rPr>
              <w:t>时</w:t>
            </w:r>
            <w:r>
              <w:rPr>
                <w:rFonts w:hint="eastAsia" w:ascii="宋体" w:hAnsi="宋体" w:eastAsia="宋体" w:cs="宋体"/>
                <w:spacing w:val="-98"/>
                <w:sz w:val="24"/>
                <w:szCs w:val="24"/>
              </w:rPr>
              <w:t xml:space="preserve"> </w:t>
            </w:r>
            <w:r>
              <w:rPr>
                <w:rFonts w:hint="eastAsia" w:ascii="宋体" w:hAnsi="宋体" w:eastAsia="宋体" w:cs="宋体"/>
                <w:spacing w:val="5"/>
                <w:sz w:val="24"/>
                <w:szCs w:val="24"/>
                <w:u w:val="single"/>
              </w:rPr>
              <w:t xml:space="preserve"> </w:t>
            </w:r>
            <w:r>
              <w:rPr>
                <w:rFonts w:hint="eastAsia" w:ascii="宋体" w:hAnsi="宋体" w:eastAsia="宋体" w:cs="宋体"/>
                <w:spacing w:val="5"/>
                <w:sz w:val="24"/>
                <w:szCs w:val="24"/>
                <w:u w:val="single"/>
                <w:lang w:val="en-US" w:eastAsia="zh-CN"/>
              </w:rPr>
              <w:t>00</w:t>
            </w:r>
            <w:r>
              <w:rPr>
                <w:rFonts w:hint="eastAsia" w:ascii="宋体" w:hAnsi="宋体" w:eastAsia="宋体" w:cs="宋体"/>
                <w:spacing w:val="-89"/>
                <w:sz w:val="24"/>
                <w:szCs w:val="24"/>
              </w:rPr>
              <w:t xml:space="preserve"> </w:t>
            </w:r>
            <w:r>
              <w:rPr>
                <w:rFonts w:hint="eastAsia" w:ascii="宋体" w:hAnsi="宋体" w:eastAsia="宋体" w:cs="宋体"/>
                <w:spacing w:val="-10"/>
                <w:sz w:val="24"/>
                <w:szCs w:val="24"/>
              </w:rPr>
              <w:t>分</w:t>
            </w:r>
          </w:p>
        </w:tc>
      </w:tr>
      <w:tr w14:paraId="443EEDBE">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1123" w:hRule="atLeast"/>
        </w:trPr>
        <w:tc>
          <w:tcPr>
            <w:tcW w:w="424" w:type="dxa"/>
            <w:noWrap w:val="0"/>
            <w:vAlign w:val="top"/>
          </w:tcPr>
          <w:p w14:paraId="446DCD24">
            <w:pPr>
              <w:spacing w:before="57" w:line="195" w:lineRule="auto"/>
              <w:ind w:left="164"/>
              <w:rPr>
                <w:rFonts w:hint="eastAsia" w:ascii="宋体" w:hAnsi="宋体" w:eastAsia="宋体" w:cs="宋体"/>
                <w:sz w:val="24"/>
                <w:szCs w:val="24"/>
              </w:rPr>
            </w:pPr>
          </w:p>
          <w:p w14:paraId="103680D7">
            <w:pPr>
              <w:spacing w:before="57" w:line="195" w:lineRule="auto"/>
              <w:ind w:left="164"/>
              <w:rPr>
                <w:rFonts w:hint="eastAsia" w:ascii="宋体" w:hAnsi="宋体" w:eastAsia="宋体" w:cs="宋体"/>
                <w:sz w:val="24"/>
                <w:szCs w:val="24"/>
              </w:rPr>
            </w:pPr>
            <w:r>
              <w:rPr>
                <w:rFonts w:hint="eastAsia" w:ascii="宋体" w:hAnsi="宋体" w:eastAsia="宋体" w:cs="宋体"/>
                <w:sz w:val="24"/>
                <w:szCs w:val="24"/>
              </w:rPr>
              <w:t>8</w:t>
            </w:r>
          </w:p>
        </w:tc>
        <w:tc>
          <w:tcPr>
            <w:tcW w:w="1350" w:type="dxa"/>
            <w:noWrap w:val="0"/>
            <w:vAlign w:val="top"/>
          </w:tcPr>
          <w:p w14:paraId="5D02421C">
            <w:pPr>
              <w:spacing w:before="107" w:line="264" w:lineRule="auto"/>
              <w:ind w:left="75" w:right="73" w:firstLine="2"/>
              <w:rPr>
                <w:rFonts w:hint="eastAsia" w:ascii="宋体" w:hAnsi="宋体" w:eastAsia="宋体" w:cs="宋体"/>
                <w:sz w:val="24"/>
                <w:szCs w:val="24"/>
              </w:rPr>
            </w:pPr>
            <w:r>
              <w:rPr>
                <w:rFonts w:hint="eastAsia" w:ascii="宋体" w:hAnsi="宋体" w:eastAsia="宋体" w:cs="宋体"/>
                <w:spacing w:val="-3"/>
                <w:sz w:val="24"/>
                <w:szCs w:val="24"/>
              </w:rPr>
              <w:t>投标相关资</w:t>
            </w:r>
            <w:r>
              <w:rPr>
                <w:rFonts w:hint="eastAsia" w:ascii="宋体" w:hAnsi="宋体" w:eastAsia="宋体" w:cs="宋体"/>
                <w:spacing w:val="1"/>
                <w:sz w:val="24"/>
                <w:szCs w:val="24"/>
              </w:rPr>
              <w:t xml:space="preserve"> </w:t>
            </w:r>
            <w:r>
              <w:rPr>
                <w:rFonts w:hint="eastAsia" w:ascii="宋体" w:hAnsi="宋体" w:eastAsia="宋体" w:cs="宋体"/>
                <w:spacing w:val="-2"/>
                <w:sz w:val="24"/>
                <w:szCs w:val="24"/>
              </w:rPr>
              <w:t>料（如有）</w:t>
            </w:r>
          </w:p>
          <w:p w14:paraId="266A240E">
            <w:pPr>
              <w:spacing w:before="33" w:line="220" w:lineRule="auto"/>
              <w:ind w:left="196"/>
              <w:rPr>
                <w:rFonts w:hint="eastAsia" w:ascii="宋体" w:hAnsi="宋体" w:eastAsia="宋体" w:cs="宋体"/>
                <w:sz w:val="24"/>
                <w:szCs w:val="24"/>
              </w:rPr>
            </w:pPr>
            <w:r>
              <w:rPr>
                <w:rFonts w:hint="eastAsia" w:ascii="宋体" w:hAnsi="宋体" w:eastAsia="宋体" w:cs="宋体"/>
                <w:spacing w:val="-3"/>
                <w:sz w:val="24"/>
                <w:szCs w:val="24"/>
              </w:rPr>
              <w:t>递交地点</w:t>
            </w:r>
          </w:p>
        </w:tc>
        <w:tc>
          <w:tcPr>
            <w:tcW w:w="8274" w:type="dxa"/>
            <w:noWrap w:val="0"/>
            <w:vAlign w:val="top"/>
          </w:tcPr>
          <w:p w14:paraId="4B0CB2B5">
            <w:pPr>
              <w:spacing w:before="304" w:line="356" w:lineRule="auto"/>
              <w:ind w:left="0" w:right="33" w:firstLine="0"/>
              <w:rPr>
                <w:rFonts w:hint="eastAsia" w:ascii="宋体" w:hAnsi="宋体" w:eastAsia="宋体" w:cs="宋体"/>
                <w:sz w:val="24"/>
                <w:szCs w:val="24"/>
              </w:rPr>
            </w:pPr>
            <w:r>
              <w:rPr>
                <w:rFonts w:hint="eastAsia" w:ascii="宋体" w:hAnsi="宋体" w:eastAsia="宋体" w:cs="宋体"/>
                <w:spacing w:val="8"/>
                <w:sz w:val="24"/>
                <w:szCs w:val="24"/>
              </w:rPr>
              <w:t>递交场所</w:t>
            </w:r>
            <w:r>
              <w:rPr>
                <w:rFonts w:hint="eastAsia" w:ascii="宋体" w:hAnsi="宋体" w:eastAsia="宋体" w:cs="宋体"/>
                <w:spacing w:val="4"/>
                <w:sz w:val="24"/>
                <w:szCs w:val="24"/>
              </w:rPr>
              <w:t>：</w:t>
            </w:r>
            <w:r>
              <w:rPr>
                <w:rFonts w:hint="eastAsia" w:ascii="宋体" w:hAnsi="宋体" w:eastAsia="宋体" w:cs="宋体"/>
                <w:sz w:val="24"/>
                <w:szCs w:val="24"/>
                <w:lang w:eastAsia="zh-CN"/>
              </w:rPr>
              <w:t>韶关市公共资源交易中心</w:t>
            </w:r>
            <w:r>
              <w:rPr>
                <w:rFonts w:hint="eastAsia" w:ascii="宋体" w:hAnsi="宋体" w:eastAsia="宋体" w:cs="宋体"/>
                <w:sz w:val="24"/>
                <w:szCs w:val="24"/>
                <w:lang w:val="en-US" w:eastAsia="zh-CN"/>
              </w:rPr>
              <w:t>乐昌分中心</w:t>
            </w:r>
            <w:r>
              <w:rPr>
                <w:rFonts w:hint="eastAsia" w:ascii="宋体" w:hAnsi="宋体" w:eastAsia="宋体" w:cs="宋体"/>
                <w:spacing w:val="-73"/>
                <w:sz w:val="24"/>
                <w:szCs w:val="24"/>
              </w:rPr>
              <w:t xml:space="preserve"> </w:t>
            </w:r>
            <w:r>
              <w:rPr>
                <w:rFonts w:hint="eastAsia" w:ascii="宋体" w:hAnsi="宋体" w:eastAsia="宋体" w:cs="宋体"/>
                <w:spacing w:val="4"/>
                <w:sz w:val="24"/>
                <w:szCs w:val="24"/>
              </w:rPr>
              <w:t>，</w:t>
            </w:r>
            <w:r>
              <w:rPr>
                <w:rFonts w:hint="eastAsia" w:ascii="宋体" w:hAnsi="宋体" w:eastAsia="宋体" w:cs="宋体"/>
                <w:spacing w:val="8"/>
                <w:sz w:val="24"/>
                <w:szCs w:val="24"/>
              </w:rPr>
              <w:t>地址</w:t>
            </w:r>
            <w:r>
              <w:rPr>
                <w:rFonts w:hint="eastAsia" w:ascii="宋体" w:hAnsi="宋体" w:eastAsia="宋体" w:cs="宋体"/>
                <w:spacing w:val="4"/>
                <w:sz w:val="24"/>
                <w:szCs w:val="24"/>
              </w:rPr>
              <w:t>：</w:t>
            </w:r>
            <w:r>
              <w:rPr>
                <w:rFonts w:hint="eastAsia" w:ascii="宋体" w:hAnsi="宋体" w:eastAsia="宋体" w:cs="宋体"/>
                <w:sz w:val="24"/>
                <w:szCs w:val="24"/>
                <w:lang w:eastAsia="zh-CN"/>
              </w:rPr>
              <w:t>韶关市公共资源交易中心乐昌分中心（地址：乐昌市昌山北路23号），具体开标室以当日现场通知为准。</w:t>
            </w:r>
          </w:p>
        </w:tc>
      </w:tr>
      <w:tr w14:paraId="44E8F124">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438" w:hRule="atLeast"/>
        </w:trPr>
        <w:tc>
          <w:tcPr>
            <w:tcW w:w="424" w:type="dxa"/>
            <w:noWrap w:val="0"/>
            <w:vAlign w:val="top"/>
          </w:tcPr>
          <w:p w14:paraId="1D17B9FA">
            <w:pPr>
              <w:spacing w:before="57" w:line="195" w:lineRule="auto"/>
              <w:ind w:left="160"/>
              <w:rPr>
                <w:rFonts w:hint="eastAsia" w:ascii="宋体" w:hAnsi="宋体" w:eastAsia="宋体" w:cs="宋体"/>
                <w:sz w:val="24"/>
                <w:szCs w:val="24"/>
              </w:rPr>
            </w:pPr>
            <w:r>
              <w:rPr>
                <w:rFonts w:hint="eastAsia" w:ascii="宋体" w:hAnsi="宋体" w:eastAsia="宋体" w:cs="宋体"/>
                <w:sz w:val="24"/>
                <w:szCs w:val="24"/>
              </w:rPr>
              <w:t>9</w:t>
            </w:r>
          </w:p>
        </w:tc>
        <w:tc>
          <w:tcPr>
            <w:tcW w:w="1350" w:type="dxa"/>
            <w:noWrap w:val="0"/>
            <w:vAlign w:val="top"/>
          </w:tcPr>
          <w:p w14:paraId="435F470E">
            <w:pPr>
              <w:spacing w:before="65" w:line="229" w:lineRule="auto"/>
              <w:rPr>
                <w:rFonts w:hint="eastAsia" w:ascii="宋体" w:hAnsi="宋体" w:eastAsia="宋体" w:cs="宋体"/>
                <w:sz w:val="24"/>
                <w:szCs w:val="24"/>
              </w:rPr>
            </w:pPr>
            <w:r>
              <w:rPr>
                <w:rFonts w:hint="eastAsia" w:ascii="宋体" w:hAnsi="宋体" w:eastAsia="宋体" w:cs="宋体"/>
                <w:spacing w:val="7"/>
                <w:sz w:val="24"/>
                <w:szCs w:val="24"/>
              </w:rPr>
              <w:t>开标时间</w:t>
            </w:r>
          </w:p>
        </w:tc>
        <w:tc>
          <w:tcPr>
            <w:tcW w:w="8274" w:type="dxa"/>
            <w:noWrap w:val="0"/>
            <w:vAlign w:val="top"/>
          </w:tcPr>
          <w:p w14:paraId="6A47DCEB">
            <w:pPr>
              <w:tabs>
                <w:tab w:val="left" w:pos="838"/>
              </w:tabs>
              <w:spacing w:before="65" w:line="228" w:lineRule="auto"/>
              <w:ind w:left="209"/>
              <w:rPr>
                <w:rFonts w:hint="eastAsia" w:ascii="宋体" w:hAnsi="宋体" w:eastAsia="宋体" w:cs="宋体"/>
                <w:sz w:val="24"/>
                <w:szCs w:val="24"/>
              </w:rPr>
            </w:pPr>
            <w:r>
              <w:rPr>
                <w:rFonts w:hint="eastAsia" w:ascii="宋体" w:hAnsi="宋体" w:eastAsia="宋体" w:cs="宋体"/>
                <w:spacing w:val="-10"/>
                <w:sz w:val="24"/>
                <w:szCs w:val="24"/>
                <w:u w:val="single"/>
                <w:lang w:val="en-US" w:eastAsia="zh-CN"/>
              </w:rPr>
              <w:t>2026</w:t>
            </w:r>
            <w:r>
              <w:rPr>
                <w:rFonts w:hint="eastAsia" w:ascii="宋体" w:hAnsi="宋体" w:eastAsia="宋体" w:cs="宋体"/>
                <w:spacing w:val="-10"/>
                <w:sz w:val="24"/>
                <w:szCs w:val="24"/>
              </w:rPr>
              <w:t>年</w:t>
            </w:r>
            <w:r>
              <w:rPr>
                <w:rFonts w:hint="eastAsia" w:ascii="宋体" w:hAnsi="宋体" w:eastAsia="宋体" w:cs="宋体"/>
                <w:spacing w:val="5"/>
                <w:sz w:val="24"/>
                <w:szCs w:val="24"/>
                <w:u w:val="single"/>
                <w:lang w:val="en-US" w:eastAsia="zh-CN"/>
              </w:rPr>
              <w:t>01</w:t>
            </w:r>
            <w:r>
              <w:rPr>
                <w:rFonts w:hint="eastAsia" w:ascii="宋体" w:hAnsi="宋体" w:eastAsia="宋体" w:cs="宋体"/>
                <w:spacing w:val="-10"/>
                <w:sz w:val="24"/>
                <w:szCs w:val="24"/>
              </w:rPr>
              <w:t>月</w:t>
            </w:r>
            <w:r>
              <w:rPr>
                <w:rFonts w:hint="eastAsia" w:ascii="宋体" w:hAnsi="宋体" w:eastAsia="宋体" w:cs="宋体"/>
                <w:spacing w:val="5"/>
                <w:sz w:val="24"/>
                <w:szCs w:val="24"/>
                <w:u w:val="single"/>
                <w:lang w:val="en-US" w:eastAsia="zh-CN"/>
              </w:rPr>
              <w:t>21</w:t>
            </w:r>
            <w:r>
              <w:rPr>
                <w:rFonts w:hint="eastAsia" w:ascii="宋体" w:hAnsi="宋体" w:eastAsia="宋体" w:cs="宋体"/>
                <w:spacing w:val="-10"/>
                <w:sz w:val="24"/>
                <w:szCs w:val="24"/>
              </w:rPr>
              <w:t>日</w:t>
            </w:r>
            <w:r>
              <w:rPr>
                <w:rFonts w:hint="eastAsia" w:ascii="宋体" w:hAnsi="宋体" w:eastAsia="宋体" w:cs="宋体"/>
                <w:spacing w:val="-98"/>
                <w:sz w:val="24"/>
                <w:szCs w:val="24"/>
              </w:rPr>
              <w:t xml:space="preserve"> </w:t>
            </w:r>
            <w:r>
              <w:rPr>
                <w:rFonts w:hint="eastAsia" w:ascii="宋体" w:hAnsi="宋体" w:eastAsia="宋体" w:cs="宋体"/>
                <w:spacing w:val="4"/>
                <w:sz w:val="24"/>
                <w:szCs w:val="24"/>
                <w:u w:val="single"/>
                <w:lang w:val="en-US" w:eastAsia="zh-CN"/>
              </w:rPr>
              <w:t>10</w:t>
            </w:r>
            <w:r>
              <w:rPr>
                <w:rFonts w:hint="eastAsia" w:ascii="宋体" w:hAnsi="宋体" w:eastAsia="宋体" w:cs="宋体"/>
                <w:spacing w:val="4"/>
                <w:sz w:val="24"/>
                <w:szCs w:val="24"/>
                <w:u w:val="single"/>
              </w:rPr>
              <w:t xml:space="preserve"> </w:t>
            </w:r>
            <w:r>
              <w:rPr>
                <w:rFonts w:hint="eastAsia" w:ascii="宋体" w:hAnsi="宋体" w:eastAsia="宋体" w:cs="宋体"/>
                <w:spacing w:val="-10"/>
                <w:sz w:val="24"/>
                <w:szCs w:val="24"/>
              </w:rPr>
              <w:t>时</w:t>
            </w:r>
            <w:r>
              <w:rPr>
                <w:rFonts w:hint="eastAsia" w:ascii="宋体" w:hAnsi="宋体" w:eastAsia="宋体" w:cs="宋体"/>
                <w:spacing w:val="-98"/>
                <w:sz w:val="24"/>
                <w:szCs w:val="24"/>
              </w:rPr>
              <w:t xml:space="preserve"> </w:t>
            </w:r>
            <w:r>
              <w:rPr>
                <w:rFonts w:hint="eastAsia" w:ascii="宋体" w:hAnsi="宋体" w:eastAsia="宋体" w:cs="宋体"/>
                <w:spacing w:val="5"/>
                <w:sz w:val="24"/>
                <w:szCs w:val="24"/>
                <w:u w:val="single"/>
              </w:rPr>
              <w:t xml:space="preserve"> </w:t>
            </w:r>
            <w:r>
              <w:rPr>
                <w:rFonts w:hint="eastAsia" w:ascii="宋体" w:hAnsi="宋体" w:eastAsia="宋体" w:cs="宋体"/>
                <w:spacing w:val="5"/>
                <w:sz w:val="24"/>
                <w:szCs w:val="24"/>
                <w:u w:val="single"/>
                <w:lang w:val="en-US" w:eastAsia="zh-CN"/>
              </w:rPr>
              <w:t>00</w:t>
            </w:r>
            <w:r>
              <w:rPr>
                <w:rFonts w:hint="eastAsia" w:ascii="宋体" w:hAnsi="宋体" w:eastAsia="宋体" w:cs="宋体"/>
                <w:spacing w:val="-89"/>
                <w:sz w:val="24"/>
                <w:szCs w:val="24"/>
              </w:rPr>
              <w:t xml:space="preserve"> </w:t>
            </w:r>
            <w:r>
              <w:rPr>
                <w:rFonts w:hint="eastAsia" w:ascii="宋体" w:hAnsi="宋体" w:eastAsia="宋体" w:cs="宋体"/>
                <w:spacing w:val="-10"/>
                <w:sz w:val="24"/>
                <w:szCs w:val="24"/>
              </w:rPr>
              <w:t>分</w:t>
            </w:r>
          </w:p>
        </w:tc>
      </w:tr>
      <w:tr w14:paraId="6FB6405A">
        <w:tblPrEx>
          <w:tblBorders>
            <w:top w:val="single" w:color="080000" w:sz="4" w:space="0"/>
            <w:left w:val="single" w:color="080000" w:sz="4" w:space="0"/>
            <w:bottom w:val="single" w:color="080000" w:sz="4" w:space="0"/>
            <w:right w:val="single" w:color="080000" w:sz="4" w:space="0"/>
            <w:insideH w:val="single" w:color="080000" w:sz="4" w:space="0"/>
            <w:insideV w:val="single" w:color="080000" w:sz="4" w:space="0"/>
          </w:tblBorders>
          <w:tblCellMar>
            <w:top w:w="0" w:type="dxa"/>
            <w:left w:w="0" w:type="dxa"/>
            <w:bottom w:w="0" w:type="dxa"/>
            <w:right w:w="0" w:type="dxa"/>
          </w:tblCellMar>
        </w:tblPrEx>
        <w:trPr>
          <w:trHeight w:val="1130" w:hRule="atLeast"/>
        </w:trPr>
        <w:tc>
          <w:tcPr>
            <w:tcW w:w="424" w:type="dxa"/>
            <w:noWrap w:val="0"/>
            <w:vAlign w:val="top"/>
          </w:tcPr>
          <w:p w14:paraId="1A5CEAB4">
            <w:pPr>
              <w:pStyle w:val="20"/>
              <w:spacing w:line="469" w:lineRule="auto"/>
              <w:rPr>
                <w:rFonts w:hint="eastAsia" w:ascii="宋体" w:hAnsi="宋体" w:eastAsia="宋体" w:cs="宋体"/>
                <w:sz w:val="24"/>
                <w:szCs w:val="24"/>
              </w:rPr>
            </w:pPr>
          </w:p>
          <w:p w14:paraId="1379534D">
            <w:pPr>
              <w:spacing w:before="57" w:line="195" w:lineRule="auto"/>
              <w:ind w:left="123"/>
              <w:rPr>
                <w:rFonts w:hint="eastAsia" w:ascii="宋体" w:hAnsi="宋体" w:eastAsia="宋体" w:cs="宋体"/>
                <w:sz w:val="24"/>
                <w:szCs w:val="24"/>
              </w:rPr>
            </w:pPr>
            <w:r>
              <w:rPr>
                <w:rFonts w:hint="eastAsia" w:ascii="宋体" w:hAnsi="宋体" w:eastAsia="宋体" w:cs="宋体"/>
                <w:spacing w:val="-8"/>
                <w:sz w:val="24"/>
                <w:szCs w:val="24"/>
              </w:rPr>
              <w:t>10</w:t>
            </w:r>
          </w:p>
        </w:tc>
        <w:tc>
          <w:tcPr>
            <w:tcW w:w="1350" w:type="dxa"/>
            <w:noWrap w:val="0"/>
            <w:vAlign w:val="top"/>
          </w:tcPr>
          <w:p w14:paraId="25EC717D">
            <w:pPr>
              <w:pStyle w:val="20"/>
              <w:spacing w:line="426" w:lineRule="auto"/>
              <w:rPr>
                <w:rFonts w:hint="eastAsia" w:ascii="宋体" w:hAnsi="宋体" w:eastAsia="宋体" w:cs="宋体"/>
                <w:sz w:val="24"/>
                <w:szCs w:val="24"/>
              </w:rPr>
            </w:pPr>
          </w:p>
          <w:p w14:paraId="3693C014">
            <w:pPr>
              <w:spacing w:before="65" w:line="229" w:lineRule="auto"/>
              <w:rPr>
                <w:rFonts w:hint="eastAsia" w:ascii="宋体" w:hAnsi="宋体" w:eastAsia="宋体" w:cs="宋体"/>
                <w:sz w:val="24"/>
                <w:szCs w:val="24"/>
              </w:rPr>
            </w:pPr>
            <w:r>
              <w:rPr>
                <w:rFonts w:hint="eastAsia" w:ascii="宋体" w:hAnsi="宋体" w:eastAsia="宋体" w:cs="宋体"/>
                <w:spacing w:val="7"/>
                <w:sz w:val="24"/>
                <w:szCs w:val="24"/>
              </w:rPr>
              <w:t>开标地点</w:t>
            </w:r>
          </w:p>
        </w:tc>
        <w:tc>
          <w:tcPr>
            <w:tcW w:w="8274" w:type="dxa"/>
            <w:noWrap w:val="0"/>
            <w:vAlign w:val="top"/>
          </w:tcPr>
          <w:p w14:paraId="5EC6B11A">
            <w:pPr>
              <w:rPr>
                <w:rFonts w:hint="default" w:ascii="宋体" w:hAnsi="宋体" w:eastAsia="宋体" w:cs="宋体"/>
                <w:sz w:val="24"/>
                <w:szCs w:val="24"/>
                <w:lang w:val="en-US" w:eastAsia="zh-CN"/>
              </w:rPr>
            </w:pPr>
            <w:r>
              <w:rPr>
                <w:rFonts w:hint="eastAsia" w:ascii="宋体" w:hAnsi="宋体" w:eastAsia="宋体" w:cs="宋体"/>
                <w:sz w:val="24"/>
                <w:szCs w:val="24"/>
              </w:rPr>
              <w:t>开标场所：</w:t>
            </w:r>
            <w:r>
              <w:rPr>
                <w:rFonts w:hint="eastAsia" w:ascii="宋体" w:hAnsi="宋体" w:eastAsia="宋体" w:cs="宋体"/>
                <w:sz w:val="24"/>
                <w:szCs w:val="24"/>
                <w:lang w:eastAsia="zh-CN"/>
              </w:rPr>
              <w:t>韶关市公共资源交易中心</w:t>
            </w:r>
            <w:r>
              <w:rPr>
                <w:rFonts w:hint="eastAsia" w:ascii="宋体" w:hAnsi="宋体" w:eastAsia="宋体" w:cs="宋体"/>
                <w:sz w:val="24"/>
                <w:szCs w:val="24"/>
                <w:lang w:val="en-US" w:eastAsia="zh-CN"/>
              </w:rPr>
              <w:t>乐昌分中心</w:t>
            </w:r>
          </w:p>
          <w:p w14:paraId="40C42A0B">
            <w:pPr>
              <w:spacing w:before="306" w:line="356" w:lineRule="auto"/>
              <w:ind w:right="36"/>
              <w:rPr>
                <w:rFonts w:hint="eastAsia"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lang w:eastAsia="zh-CN"/>
              </w:rPr>
              <w:t>韶关市公共资源交易中心（韶关市公共资源交易中心乐昌分中心（地址：乐昌市昌山北路23号），具体开标室以当日现场通知为准。</w:t>
            </w:r>
          </w:p>
        </w:tc>
      </w:tr>
    </w:tbl>
    <w:p w14:paraId="297AA89B">
      <w:pPr>
        <w:pStyle w:val="5"/>
      </w:pPr>
    </w:p>
    <w:p w14:paraId="30849F1D">
      <w:pPr>
        <w:sectPr>
          <w:footerReference r:id="rId8" w:type="default"/>
          <w:pgSz w:w="11906" w:h="16839"/>
          <w:pgMar w:top="720" w:right="720" w:bottom="720" w:left="720" w:header="0" w:footer="1085" w:gutter="0"/>
          <w:cols w:space="720" w:num="1"/>
        </w:sectPr>
      </w:pPr>
    </w:p>
    <w:p w14:paraId="7A5D0042">
      <w:pPr>
        <w:jc w:val="center"/>
        <w:outlineLvl w:val="1"/>
        <w:rPr>
          <w:rFonts w:ascii="宋体" w:hAnsi="宋体" w:eastAsia="宋体" w:cs="宋体"/>
          <w:sz w:val="24"/>
          <w:szCs w:val="24"/>
        </w:rPr>
      </w:pPr>
      <w:bookmarkStart w:id="12" w:name="_Toc29292"/>
      <w:r>
        <w:rPr>
          <w:rFonts w:ascii="宋体" w:hAnsi="宋体" w:eastAsia="宋体" w:cs="宋体"/>
          <w:b/>
          <w:bCs/>
          <w:spacing w:val="-3"/>
          <w:sz w:val="24"/>
          <w:szCs w:val="24"/>
        </w:rPr>
        <w:t>第三节</w:t>
      </w:r>
      <w:r>
        <w:rPr>
          <w:rFonts w:ascii="宋体" w:hAnsi="宋体" w:eastAsia="宋体" w:cs="宋体"/>
          <w:spacing w:val="-3"/>
          <w:sz w:val="24"/>
          <w:szCs w:val="24"/>
        </w:rPr>
        <w:t xml:space="preserve"> </w:t>
      </w:r>
      <w:r>
        <w:rPr>
          <w:rFonts w:ascii="宋体" w:hAnsi="宋体" w:eastAsia="宋体" w:cs="宋体"/>
          <w:b/>
          <w:bCs/>
          <w:spacing w:val="-3"/>
          <w:sz w:val="24"/>
          <w:szCs w:val="24"/>
        </w:rPr>
        <w:t>投标人须知正文</w:t>
      </w:r>
      <w:bookmarkEnd w:id="12"/>
    </w:p>
    <w:p w14:paraId="65FF49FC">
      <w:pPr>
        <w:pStyle w:val="5"/>
        <w:spacing w:line="256" w:lineRule="auto"/>
      </w:pPr>
    </w:p>
    <w:p w14:paraId="5BDC684E">
      <w:pPr>
        <w:pStyle w:val="5"/>
        <w:spacing w:line="257" w:lineRule="auto"/>
        <w:rPr>
          <w:color w:val="auto"/>
        </w:rPr>
      </w:pPr>
    </w:p>
    <w:p w14:paraId="24684161">
      <w:pPr>
        <w:spacing w:line="360" w:lineRule="auto"/>
        <w:ind w:firstLine="720" w:firstLineChars="300"/>
        <w:rPr>
          <w:rFonts w:hint="eastAsia" w:ascii="宋体" w:hAnsi="宋体" w:eastAsia="宋体" w:cs="宋体"/>
          <w:color w:val="auto"/>
          <w:sz w:val="24"/>
          <w:szCs w:val="24"/>
        </w:rPr>
      </w:pPr>
      <w:r>
        <w:rPr>
          <w:rFonts w:hint="eastAsia" w:ascii="宋体" w:hAnsi="宋体" w:eastAsia="宋体" w:cs="宋体"/>
          <w:color w:val="auto"/>
          <w:sz w:val="24"/>
          <w:szCs w:val="24"/>
          <w:u w:val="single"/>
          <w:lang w:eastAsia="zh-CN"/>
        </w:rPr>
        <w:t>三溪镇武江沿岸乡村振兴示范带建设项目</w:t>
      </w:r>
      <w:r>
        <w:rPr>
          <w:rFonts w:hint="eastAsia" w:ascii="宋体" w:hAnsi="宋体" w:eastAsia="宋体" w:cs="宋体"/>
          <w:color w:val="auto"/>
          <w:spacing w:val="-12"/>
          <w:sz w:val="24"/>
          <w:szCs w:val="24"/>
          <w:u w:val="single"/>
        </w:rPr>
        <w:t>（</w:t>
      </w:r>
      <w:r>
        <w:rPr>
          <w:rFonts w:hint="eastAsia" w:ascii="宋体" w:hAnsi="宋体" w:eastAsia="宋体" w:cs="宋体"/>
          <w:color w:val="auto"/>
          <w:spacing w:val="-12"/>
          <w:sz w:val="24"/>
          <w:szCs w:val="24"/>
        </w:rPr>
        <w:t>项目名称）标段经（</w:t>
      </w:r>
      <w:r>
        <w:rPr>
          <w:rFonts w:hint="eastAsia" w:ascii="宋体" w:hAnsi="宋体" w:eastAsia="宋体" w:cs="宋体"/>
          <w:color w:val="auto"/>
          <w:sz w:val="24"/>
          <w:szCs w:val="24"/>
          <w:u w:val="single"/>
          <w:lang w:eastAsia="zh-CN"/>
        </w:rPr>
        <w:t>乐昌市发展和改革局</w:t>
      </w:r>
      <w:r>
        <w:rPr>
          <w:rFonts w:hint="eastAsia" w:ascii="宋体" w:hAnsi="宋体" w:eastAsia="宋体" w:cs="宋体"/>
          <w:color w:val="auto"/>
          <w:spacing w:val="-12"/>
          <w:sz w:val="24"/>
          <w:szCs w:val="24"/>
        </w:rPr>
        <w:t>）以（</w:t>
      </w:r>
      <w:r>
        <w:rPr>
          <w:rFonts w:hint="eastAsia" w:ascii="宋体" w:hAnsi="宋体" w:eastAsia="宋体" w:cs="宋体"/>
          <w:color w:val="auto"/>
          <w:spacing w:val="-12"/>
          <w:sz w:val="24"/>
          <w:szCs w:val="24"/>
          <w:u w:val="single"/>
          <w:lang w:val="en-US" w:eastAsia="zh-CN"/>
        </w:rPr>
        <w:t>关于三溪镇武江沿岸乡村振兴示范带建设项目可行性研究报告的</w:t>
      </w:r>
      <w:r>
        <w:rPr>
          <w:rFonts w:hint="eastAsia" w:ascii="宋体" w:hAnsi="宋体" w:eastAsia="宋体" w:cs="宋体"/>
          <w:snapToGrid w:val="0"/>
          <w:color w:val="auto"/>
          <w:spacing w:val="-12"/>
          <w:kern w:val="0"/>
          <w:sz w:val="24"/>
          <w:szCs w:val="24"/>
          <w:u w:val="single"/>
          <w:lang w:val="en-US" w:eastAsia="zh-CN" w:bidi="ar"/>
        </w:rPr>
        <w:t>批复</w:t>
      </w:r>
      <w:r>
        <w:rPr>
          <w:rFonts w:hint="eastAsia" w:ascii="宋体" w:hAnsi="宋体" w:eastAsia="宋体" w:cs="宋体"/>
          <w:color w:val="auto"/>
          <w:spacing w:val="-12"/>
          <w:sz w:val="24"/>
          <w:szCs w:val="24"/>
          <w:u w:val="single"/>
          <w:lang w:val="en-US" w:eastAsia="zh-CN"/>
        </w:rPr>
        <w:t>、</w:t>
      </w:r>
      <w:r>
        <w:rPr>
          <w:rFonts w:hint="eastAsia" w:ascii="宋体" w:hAnsi="宋体" w:eastAsia="宋体" w:cs="宋体"/>
          <w:color w:val="auto"/>
          <w:sz w:val="24"/>
          <w:szCs w:val="24"/>
          <w:u w:val="single"/>
          <w:lang w:eastAsia="zh-CN"/>
        </w:rPr>
        <w:t>乐发改投审【2024】78号</w:t>
      </w:r>
      <w:r>
        <w:rPr>
          <w:rFonts w:hint="eastAsia" w:ascii="宋体" w:hAnsi="宋体" w:eastAsia="宋体" w:cs="宋体"/>
          <w:color w:val="auto"/>
          <w:spacing w:val="-3"/>
          <w:sz w:val="24"/>
          <w:szCs w:val="24"/>
        </w:rPr>
        <w:t>）批准建设，项目代码为</w:t>
      </w:r>
      <w:r>
        <w:rPr>
          <w:rFonts w:hint="eastAsia" w:ascii="宋体" w:hAnsi="宋体" w:eastAsia="宋体" w:cs="宋体"/>
          <w:color w:val="auto"/>
          <w:spacing w:val="-3"/>
          <w:sz w:val="24"/>
          <w:szCs w:val="24"/>
          <w:u w:val="single"/>
          <w:lang w:eastAsia="zh-CN"/>
        </w:rPr>
        <w:t>2408-440281-20-01-175859</w:t>
      </w:r>
      <w:r>
        <w:rPr>
          <w:rFonts w:hint="eastAsia" w:ascii="宋体" w:hAnsi="宋体" w:eastAsia="宋体" w:cs="宋体"/>
          <w:color w:val="auto"/>
          <w:spacing w:val="-3"/>
          <w:sz w:val="24"/>
          <w:szCs w:val="24"/>
        </w:rPr>
        <w:t>。本项目业主为</w:t>
      </w:r>
      <w:r>
        <w:rPr>
          <w:rFonts w:hint="eastAsia" w:ascii="宋体" w:hAnsi="宋体" w:eastAsia="宋体" w:cs="宋体"/>
          <w:color w:val="auto"/>
          <w:sz w:val="24"/>
          <w:szCs w:val="24"/>
          <w:u w:val="single"/>
          <w:lang w:eastAsia="zh-CN"/>
        </w:rPr>
        <w:t>乐昌市三溪镇人民政府</w:t>
      </w:r>
      <w:r>
        <w:rPr>
          <w:rFonts w:hint="eastAsia" w:ascii="宋体" w:hAnsi="宋体" w:eastAsia="宋体" w:cs="宋体"/>
          <w:color w:val="auto"/>
          <w:spacing w:val="-3"/>
          <w:sz w:val="24"/>
          <w:szCs w:val="24"/>
        </w:rPr>
        <w:t>，建设资金</w:t>
      </w:r>
      <w:r>
        <w:rPr>
          <w:rFonts w:hint="eastAsia" w:ascii="宋体" w:hAnsi="宋体" w:eastAsia="宋体" w:cs="宋体"/>
          <w:color w:val="auto"/>
          <w:spacing w:val="-4"/>
          <w:sz w:val="24"/>
          <w:szCs w:val="24"/>
        </w:rPr>
        <w:t>来自（资金来源</w:t>
      </w:r>
      <w:r>
        <w:rPr>
          <w:rFonts w:hint="eastAsia" w:ascii="宋体" w:hAnsi="宋体" w:eastAsia="宋体" w:cs="宋体"/>
          <w:color w:val="auto"/>
          <w:spacing w:val="-55"/>
          <w:sz w:val="24"/>
          <w:szCs w:val="24"/>
        </w:rPr>
        <w:t>）</w:t>
      </w:r>
      <w:r>
        <w:rPr>
          <w:rFonts w:hint="eastAsia" w:ascii="宋体" w:hAnsi="宋体" w:eastAsia="宋体" w:cs="宋体"/>
          <w:color w:val="auto"/>
          <w:sz w:val="24"/>
          <w:szCs w:val="24"/>
          <w:u w:val="single"/>
          <w:lang w:eastAsia="zh-CN"/>
        </w:rPr>
        <w:t>上级财政资金，不足部分由你单位自筹解决</w:t>
      </w:r>
      <w:r>
        <w:rPr>
          <w:rFonts w:hint="eastAsia" w:ascii="宋体" w:hAnsi="宋体" w:eastAsia="宋体" w:cs="宋体"/>
          <w:color w:val="auto"/>
          <w:spacing w:val="-55"/>
          <w:sz w:val="24"/>
          <w:szCs w:val="24"/>
        </w:rPr>
        <w:t>，</w:t>
      </w:r>
      <w:r>
        <w:rPr>
          <w:rFonts w:hint="eastAsia" w:ascii="宋体" w:hAnsi="宋体" w:eastAsia="宋体" w:cs="宋体"/>
          <w:color w:val="auto"/>
          <w:spacing w:val="-1"/>
          <w:sz w:val="24"/>
          <w:szCs w:val="24"/>
        </w:rPr>
        <w:t>出资比例为</w:t>
      </w:r>
      <w:r>
        <w:rPr>
          <w:rFonts w:hint="eastAsia" w:ascii="宋体" w:hAnsi="宋体" w:eastAsia="宋体" w:cs="宋体"/>
          <w:color w:val="auto"/>
          <w:spacing w:val="-1"/>
          <w:sz w:val="24"/>
          <w:szCs w:val="24"/>
          <w:lang w:eastAsia="zh-CN"/>
        </w:rPr>
        <w:t>100%</w:t>
      </w:r>
      <w:r>
        <w:rPr>
          <w:rFonts w:hint="eastAsia" w:ascii="宋体" w:hAnsi="宋体" w:eastAsia="宋体" w:cs="宋体"/>
          <w:color w:val="auto"/>
          <w:spacing w:val="-1"/>
          <w:sz w:val="24"/>
          <w:szCs w:val="24"/>
        </w:rPr>
        <w:t>，招标人为</w:t>
      </w:r>
      <w:r>
        <w:rPr>
          <w:rFonts w:hint="eastAsia" w:ascii="宋体" w:hAnsi="宋体" w:eastAsia="宋体" w:cs="宋体"/>
          <w:color w:val="auto"/>
          <w:sz w:val="24"/>
          <w:szCs w:val="24"/>
          <w:u w:val="single"/>
          <w:lang w:eastAsia="zh-CN"/>
        </w:rPr>
        <w:t>乐昌市三溪镇人民政府</w:t>
      </w:r>
      <w:r>
        <w:rPr>
          <w:rFonts w:hint="eastAsia" w:ascii="宋体" w:hAnsi="宋体" w:eastAsia="宋体" w:cs="宋体"/>
          <w:color w:val="auto"/>
          <w:spacing w:val="-1"/>
          <w:sz w:val="24"/>
          <w:szCs w:val="24"/>
        </w:rPr>
        <w:t>，招标代理机构为</w:t>
      </w:r>
      <w:r>
        <w:rPr>
          <w:rFonts w:hint="eastAsia" w:ascii="宋体" w:hAnsi="宋体" w:eastAsia="宋体" w:cs="宋体"/>
          <w:color w:val="auto"/>
          <w:sz w:val="24"/>
          <w:szCs w:val="24"/>
          <w:u w:val="single"/>
          <w:lang w:eastAsia="zh-CN"/>
        </w:rPr>
        <w:t>韶关市北桓工程咨询有限公司</w:t>
      </w:r>
      <w:r>
        <w:rPr>
          <w:rFonts w:hint="eastAsia" w:ascii="宋体" w:hAnsi="宋体" w:eastAsia="宋体" w:cs="宋体"/>
          <w:color w:val="auto"/>
          <w:spacing w:val="-1"/>
          <w:sz w:val="24"/>
          <w:szCs w:val="24"/>
        </w:rPr>
        <w:t>。项目已具备招标条件，</w:t>
      </w:r>
      <w:r>
        <w:rPr>
          <w:rFonts w:hint="eastAsia" w:ascii="宋体" w:hAnsi="宋体" w:eastAsia="宋体" w:cs="宋体"/>
          <w:color w:val="auto"/>
          <w:spacing w:val="-2"/>
          <w:sz w:val="24"/>
          <w:szCs w:val="24"/>
        </w:rPr>
        <w:t>现对该项目的</w:t>
      </w:r>
      <w:r>
        <w:rPr>
          <w:rFonts w:hint="eastAsia" w:ascii="宋体" w:hAnsi="宋体" w:eastAsia="宋体" w:cs="宋体"/>
          <w:color w:val="auto"/>
          <w:spacing w:val="-2"/>
          <w:sz w:val="24"/>
          <w:szCs w:val="24"/>
          <w:lang w:val="en-US" w:eastAsia="zh-CN"/>
        </w:rPr>
        <w:t>（二期）</w:t>
      </w:r>
      <w:r>
        <w:rPr>
          <w:rFonts w:hint="eastAsia" w:ascii="宋体" w:hAnsi="宋体" w:eastAsia="宋体" w:cs="宋体"/>
          <w:color w:val="auto"/>
          <w:spacing w:val="-2"/>
          <w:sz w:val="24"/>
          <w:szCs w:val="24"/>
          <w:u w:val="single"/>
        </w:rPr>
        <w:t>施工</w:t>
      </w:r>
      <w:r>
        <w:rPr>
          <w:rFonts w:hint="eastAsia" w:ascii="宋体" w:hAnsi="宋体" w:eastAsia="宋体" w:cs="宋体"/>
          <w:color w:val="auto"/>
          <w:spacing w:val="-2"/>
          <w:sz w:val="24"/>
          <w:szCs w:val="24"/>
        </w:rPr>
        <w:t>进行公开招标。</w:t>
      </w:r>
    </w:p>
    <w:p w14:paraId="66220F27">
      <w:pPr>
        <w:spacing w:before="78" w:line="220" w:lineRule="auto"/>
        <w:ind w:left="496"/>
        <w:outlineLvl w:val="2"/>
        <w:rPr>
          <w:rFonts w:ascii="宋体" w:hAnsi="宋体" w:eastAsia="宋体" w:cs="宋体"/>
          <w:color w:val="auto"/>
          <w:sz w:val="24"/>
          <w:szCs w:val="24"/>
        </w:rPr>
      </w:pPr>
      <w:bookmarkStart w:id="13" w:name="bookmark59"/>
      <w:bookmarkEnd w:id="13"/>
      <w:bookmarkStart w:id="14" w:name="bookmark52"/>
      <w:bookmarkEnd w:id="14"/>
      <w:bookmarkStart w:id="15" w:name="bookmark73"/>
      <w:bookmarkEnd w:id="15"/>
      <w:bookmarkStart w:id="16" w:name="_Toc24668"/>
      <w:r>
        <w:rPr>
          <w:rFonts w:ascii="Times New Roman" w:hAnsi="Times New Roman" w:eastAsia="Times New Roman" w:cs="Times New Roman"/>
          <w:b/>
          <w:bCs/>
          <w:color w:val="auto"/>
          <w:spacing w:val="-4"/>
          <w:sz w:val="24"/>
          <w:szCs w:val="24"/>
        </w:rPr>
        <w:t>1</w:t>
      </w:r>
      <w:r>
        <w:rPr>
          <w:rFonts w:ascii="宋体" w:hAnsi="宋体" w:eastAsia="宋体" w:cs="宋体"/>
          <w:b/>
          <w:bCs/>
          <w:color w:val="auto"/>
          <w:spacing w:val="-4"/>
          <w:sz w:val="24"/>
          <w:szCs w:val="24"/>
        </w:rPr>
        <w:t>．项目概况、招标范围和标段划分、投标费用等</w:t>
      </w:r>
      <w:bookmarkEnd w:id="16"/>
    </w:p>
    <w:p w14:paraId="2612E0C3">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rPr>
      </w:pPr>
      <w:r>
        <w:rPr>
          <w:rFonts w:hint="eastAsia" w:ascii="宋体" w:hAnsi="宋体" w:eastAsia="宋体" w:cs="宋体"/>
          <w:b/>
          <w:bCs/>
          <w:color w:val="auto"/>
          <w:spacing w:val="-5"/>
          <w:sz w:val="24"/>
          <w:szCs w:val="24"/>
        </w:rPr>
        <w:t>1.1</w:t>
      </w:r>
      <w:r>
        <w:rPr>
          <w:rFonts w:hint="eastAsia" w:ascii="宋体" w:hAnsi="宋体" w:eastAsia="宋体" w:cs="宋体"/>
          <w:color w:val="auto"/>
          <w:spacing w:val="-5"/>
          <w:sz w:val="24"/>
          <w:szCs w:val="24"/>
        </w:rPr>
        <w:t>项目概况</w:t>
      </w:r>
    </w:p>
    <w:p w14:paraId="45CC0B61">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lang w:eastAsia="zh-CN"/>
        </w:rPr>
      </w:pPr>
      <w:r>
        <w:rPr>
          <w:rFonts w:hint="eastAsia" w:ascii="宋体" w:hAnsi="宋体" w:eastAsia="宋体" w:cs="宋体"/>
          <w:b/>
          <w:bCs/>
          <w:color w:val="auto"/>
          <w:spacing w:val="-2"/>
          <w:sz w:val="24"/>
          <w:szCs w:val="24"/>
        </w:rPr>
        <w:t>1.1.1</w:t>
      </w:r>
      <w:r>
        <w:rPr>
          <w:rFonts w:hint="eastAsia" w:ascii="宋体" w:hAnsi="宋体" w:eastAsia="宋体" w:cs="宋体"/>
          <w:color w:val="auto"/>
          <w:spacing w:val="-2"/>
          <w:sz w:val="24"/>
          <w:szCs w:val="24"/>
        </w:rPr>
        <w:t>建设地点：</w:t>
      </w:r>
      <w:r>
        <w:rPr>
          <w:rFonts w:hint="eastAsia" w:ascii="宋体" w:hAnsi="宋体" w:eastAsia="宋体" w:cs="宋体"/>
          <w:color w:val="auto"/>
          <w:spacing w:val="-2"/>
          <w:sz w:val="24"/>
          <w:szCs w:val="24"/>
          <w:u w:val="single"/>
        </w:rPr>
        <w:t>三溪镇三溪村</w:t>
      </w:r>
      <w:r>
        <w:rPr>
          <w:rFonts w:hint="eastAsia" w:ascii="宋体" w:hAnsi="宋体" w:eastAsia="宋体" w:cs="宋体"/>
          <w:color w:val="auto"/>
          <w:spacing w:val="-2"/>
          <w:sz w:val="24"/>
          <w:szCs w:val="24"/>
          <w:u w:val="single"/>
          <w:lang w:eastAsia="zh-CN"/>
        </w:rPr>
        <w:t>。</w:t>
      </w:r>
    </w:p>
    <w:p w14:paraId="207A52EE">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1.1.2</w:t>
      </w:r>
      <w:r>
        <w:rPr>
          <w:rFonts w:hint="eastAsia" w:ascii="宋体" w:hAnsi="宋体" w:eastAsia="宋体" w:cs="宋体"/>
          <w:color w:val="auto"/>
          <w:spacing w:val="-2"/>
          <w:sz w:val="24"/>
          <w:szCs w:val="24"/>
        </w:rPr>
        <w:t>建设内容和规模：</w:t>
      </w:r>
      <w:r>
        <w:rPr>
          <w:rFonts w:hint="eastAsia" w:ascii="宋体" w:hAnsi="宋体" w:eastAsia="宋体" w:cs="宋体"/>
          <w:color w:val="auto"/>
          <w:sz w:val="24"/>
          <w:szCs w:val="24"/>
          <w:u w:val="single"/>
          <w:lang w:eastAsia="zh-CN"/>
        </w:rPr>
        <w:t>梅三公路车田改道、新建三溪坪码头平台梯步、新建三溪村鸡圈围栏、公厕、照明路灯等。</w:t>
      </w:r>
    </w:p>
    <w:p w14:paraId="31501C00">
      <w:pPr>
        <w:pStyle w:val="4"/>
        <w:keepNext w:val="0"/>
        <w:keepLines w:val="0"/>
        <w:pageBreakBefore w:val="0"/>
        <w:widowControl/>
        <w:kinsoku w:val="0"/>
        <w:wordWrap w:val="0"/>
        <w:overflowPunct/>
        <w:topLinePunct w:val="0"/>
        <w:autoSpaceDE w:val="0"/>
        <w:autoSpaceDN w:val="0"/>
        <w:bidi w:val="0"/>
        <w:adjustRightInd w:val="0"/>
        <w:snapToGrid w:val="0"/>
        <w:spacing w:line="360" w:lineRule="auto"/>
        <w:ind w:firstLine="474" w:firstLineChars="200"/>
        <w:textAlignment w:val="baseline"/>
        <w:rPr>
          <w:rFonts w:hint="eastAsia" w:eastAsia="宋体"/>
          <w:color w:val="auto"/>
          <w:lang w:eastAsia="zh-CN"/>
        </w:rPr>
      </w:pPr>
      <w:r>
        <w:rPr>
          <w:rFonts w:hint="eastAsia" w:ascii="宋体" w:hAnsi="宋体" w:eastAsia="宋体" w:cs="宋体"/>
          <w:b/>
          <w:bCs/>
          <w:color w:val="auto"/>
          <w:spacing w:val="-2"/>
          <w:sz w:val="24"/>
          <w:szCs w:val="24"/>
        </w:rPr>
        <w:t>1.1.3</w:t>
      </w:r>
      <w:r>
        <w:rPr>
          <w:rFonts w:hint="eastAsia" w:ascii="宋体" w:hAnsi="宋体" w:eastAsia="宋体" w:cs="宋体"/>
          <w:color w:val="auto"/>
          <w:spacing w:val="-2"/>
          <w:sz w:val="24"/>
          <w:szCs w:val="24"/>
        </w:rPr>
        <w:t>项目总投资：</w:t>
      </w:r>
      <w:r>
        <w:rPr>
          <w:rFonts w:hint="eastAsia" w:ascii="宋体" w:hAnsi="宋体" w:eastAsia="宋体" w:cs="宋体"/>
          <w:color w:val="auto"/>
          <w:spacing w:val="-1"/>
          <w:sz w:val="24"/>
          <w:szCs w:val="24"/>
          <w:highlight w:val="none"/>
          <w:lang w:eastAsia="zh-CN"/>
        </w:rPr>
        <w:t>项目估算总投资3682.24万元，其中</w:t>
      </w:r>
      <w:r>
        <w:rPr>
          <w:rFonts w:hint="eastAsia" w:ascii="宋体" w:hAnsi="宋体" w:eastAsia="宋体" w:cs="宋体"/>
          <w:color w:val="auto"/>
          <w:spacing w:val="-1"/>
          <w:sz w:val="24"/>
          <w:szCs w:val="24"/>
          <w:highlight w:val="none"/>
          <w:lang w:val="en-US" w:eastAsia="zh-CN"/>
        </w:rPr>
        <w:t>本次招标</w:t>
      </w:r>
      <w:r>
        <w:rPr>
          <w:rFonts w:hint="eastAsia" w:ascii="宋体" w:hAnsi="宋体" w:eastAsia="宋体" w:cs="宋体"/>
          <w:color w:val="auto"/>
          <w:spacing w:val="-1"/>
          <w:sz w:val="24"/>
          <w:szCs w:val="24"/>
          <w:highlight w:val="none"/>
          <w:lang w:eastAsia="zh-CN"/>
        </w:rPr>
        <w:t>建安工程费用</w:t>
      </w:r>
      <w:r>
        <w:rPr>
          <w:rFonts w:hint="eastAsia" w:ascii="宋体" w:hAnsi="宋体" w:eastAsia="宋体" w:cs="宋体"/>
          <w:color w:val="auto"/>
          <w:spacing w:val="-1"/>
          <w:sz w:val="24"/>
          <w:szCs w:val="24"/>
          <w:highlight w:val="none"/>
          <w:lang w:val="en-US" w:eastAsia="zh-CN"/>
        </w:rPr>
        <w:t>约为：</w:t>
      </w:r>
      <w:r>
        <w:rPr>
          <w:rFonts w:hint="eastAsia" w:ascii="宋体" w:hAnsi="宋体" w:eastAsia="宋体" w:cs="宋体"/>
          <w:b w:val="0"/>
          <w:bCs w:val="0"/>
          <w:color w:val="auto"/>
          <w:spacing w:val="-10"/>
          <w:sz w:val="24"/>
          <w:szCs w:val="24"/>
          <w:highlight w:val="none"/>
          <w:lang w:val="en-US" w:eastAsia="zh-CN"/>
        </w:rPr>
        <w:t>3686280.80</w:t>
      </w:r>
      <w:r>
        <w:rPr>
          <w:rFonts w:hint="eastAsia" w:ascii="宋体" w:hAnsi="宋体" w:eastAsia="宋体" w:cs="宋体"/>
          <w:color w:val="auto"/>
          <w:spacing w:val="-1"/>
          <w:sz w:val="24"/>
          <w:szCs w:val="24"/>
          <w:highlight w:val="none"/>
          <w:lang w:eastAsia="zh-CN"/>
        </w:rPr>
        <w:t>元。</w:t>
      </w:r>
    </w:p>
    <w:p w14:paraId="3CB56005">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1.2</w:t>
      </w:r>
      <w:r>
        <w:rPr>
          <w:rFonts w:hint="eastAsia" w:ascii="宋体" w:hAnsi="宋体" w:eastAsia="宋体" w:cs="宋体"/>
          <w:color w:val="auto"/>
          <w:spacing w:val="-2"/>
          <w:sz w:val="24"/>
          <w:szCs w:val="24"/>
        </w:rPr>
        <w:t>招标范围和标段划分</w:t>
      </w:r>
    </w:p>
    <w:p w14:paraId="2F16EFE6">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1.2.1</w:t>
      </w:r>
      <w:r>
        <w:rPr>
          <w:rFonts w:hint="eastAsia" w:ascii="宋体" w:hAnsi="宋体" w:eastAsia="宋体" w:cs="宋体"/>
          <w:color w:val="auto"/>
          <w:spacing w:val="-2"/>
          <w:sz w:val="24"/>
          <w:szCs w:val="24"/>
        </w:rPr>
        <w:t>招标范围：</w:t>
      </w:r>
    </w:p>
    <w:p w14:paraId="552049C1">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outlineLvl w:val="1"/>
        <w:rPr>
          <w:rFonts w:hint="eastAsia" w:ascii="宋体" w:hAnsi="宋体" w:eastAsia="宋体" w:cs="宋体"/>
          <w:color w:val="auto"/>
          <w:sz w:val="24"/>
          <w:szCs w:val="24"/>
        </w:rPr>
      </w:pPr>
      <w:bookmarkStart w:id="17" w:name="_Toc14190"/>
      <w:bookmarkStart w:id="18" w:name="_Toc28202"/>
      <w:bookmarkStart w:id="19" w:name="_Toc20855"/>
      <w:r>
        <w:rPr>
          <w:rFonts w:hint="eastAsia" w:ascii="宋体" w:hAnsi="宋体" w:eastAsia="宋体" w:cs="宋体"/>
          <w:b/>
          <w:bCs/>
          <w:color w:val="auto"/>
          <w:spacing w:val="-2"/>
          <w:sz w:val="24"/>
          <w:szCs w:val="24"/>
        </w:rPr>
        <w:t>1.2.2</w:t>
      </w:r>
      <w:r>
        <w:rPr>
          <w:rFonts w:hint="eastAsia" w:ascii="宋体" w:hAnsi="宋体" w:eastAsia="宋体" w:cs="宋体"/>
          <w:color w:val="auto"/>
          <w:spacing w:val="-2"/>
          <w:sz w:val="24"/>
          <w:szCs w:val="24"/>
        </w:rPr>
        <w:t>标段划分：本招标项目不划分标段。</w:t>
      </w:r>
      <w:bookmarkEnd w:id="17"/>
      <w:bookmarkEnd w:id="18"/>
      <w:bookmarkEnd w:id="19"/>
    </w:p>
    <w:p w14:paraId="32C4A198">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1.3</w:t>
      </w:r>
      <w:r>
        <w:rPr>
          <w:rFonts w:hint="eastAsia" w:ascii="宋体" w:hAnsi="宋体" w:eastAsia="宋体" w:cs="宋体"/>
          <w:color w:val="auto"/>
          <w:spacing w:val="-1"/>
          <w:sz w:val="24"/>
          <w:szCs w:val="24"/>
        </w:rPr>
        <w:t>投标费用：投标人应承担所有准备和参加投标的相关费用，不</w:t>
      </w:r>
      <w:r>
        <w:rPr>
          <w:rFonts w:hint="eastAsia" w:ascii="宋体" w:hAnsi="宋体" w:eastAsia="宋体" w:cs="宋体"/>
          <w:color w:val="auto"/>
          <w:spacing w:val="-2"/>
          <w:sz w:val="24"/>
          <w:szCs w:val="24"/>
        </w:rPr>
        <w:t>论投标结果如</w:t>
      </w:r>
      <w:r>
        <w:rPr>
          <w:rFonts w:hint="eastAsia" w:ascii="宋体" w:hAnsi="宋体" w:eastAsia="宋体" w:cs="宋体"/>
          <w:color w:val="auto"/>
          <w:spacing w:val="-1"/>
          <w:sz w:val="24"/>
          <w:szCs w:val="24"/>
        </w:rPr>
        <w:t>何，招标人均无义务和责任承担这些费用。</w:t>
      </w:r>
    </w:p>
    <w:p w14:paraId="5E18A188">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rPr>
        <w:t>1.4</w:t>
      </w:r>
      <w:r>
        <w:rPr>
          <w:rFonts w:hint="eastAsia" w:ascii="宋体" w:hAnsi="宋体" w:eastAsia="宋体" w:cs="宋体"/>
          <w:color w:val="auto"/>
          <w:spacing w:val="-6"/>
          <w:sz w:val="24"/>
          <w:szCs w:val="24"/>
        </w:rPr>
        <w:t>招标代理费用：</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shd w:val="clear" w:color="auto" w:fill="FFFFFF"/>
        </w:rPr>
        <w:t>由招标人支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6"/>
          <w:sz w:val="24"/>
          <w:szCs w:val="24"/>
          <w:highlight w:val="none"/>
          <w:shd w:val="clear" w:color="auto" w:fill="FFFFFF"/>
        </w:rPr>
        <w:t>由中标人支付。</w:t>
      </w:r>
    </w:p>
    <w:p w14:paraId="4D3FE2EA">
      <w:pPr>
        <w:spacing w:before="78" w:line="220" w:lineRule="auto"/>
        <w:ind w:left="485"/>
        <w:outlineLvl w:val="2"/>
        <w:rPr>
          <w:rFonts w:ascii="宋体" w:hAnsi="宋体" w:eastAsia="宋体" w:cs="宋体"/>
          <w:color w:val="auto"/>
          <w:sz w:val="24"/>
          <w:szCs w:val="24"/>
          <w:highlight w:val="none"/>
        </w:rPr>
      </w:pPr>
      <w:bookmarkStart w:id="20" w:name="_Toc14401"/>
      <w:r>
        <w:rPr>
          <w:rFonts w:ascii="Times New Roman" w:hAnsi="Times New Roman" w:eastAsia="Times New Roman" w:cs="Times New Roman"/>
          <w:b/>
          <w:bCs/>
          <w:color w:val="auto"/>
          <w:spacing w:val="-6"/>
          <w:sz w:val="24"/>
          <w:szCs w:val="24"/>
          <w:highlight w:val="none"/>
        </w:rPr>
        <w:t>2</w:t>
      </w:r>
      <w:r>
        <w:rPr>
          <w:rFonts w:ascii="宋体" w:hAnsi="宋体" w:eastAsia="宋体" w:cs="宋体"/>
          <w:b/>
          <w:bCs/>
          <w:color w:val="auto"/>
          <w:spacing w:val="-6"/>
          <w:sz w:val="24"/>
          <w:szCs w:val="24"/>
          <w:highlight w:val="none"/>
        </w:rPr>
        <w:t>．投标人资格要求</w:t>
      </w:r>
      <w:bookmarkEnd w:id="20"/>
    </w:p>
    <w:p w14:paraId="24A2F47C">
      <w:pPr>
        <w:pStyle w:val="40"/>
        <w:snapToGrid w:val="0"/>
        <w:spacing w:line="360" w:lineRule="auto"/>
        <w:ind w:firstLine="482" w:firstLineChars="200"/>
        <w:jc w:val="left"/>
        <w:rPr>
          <w:rStyle w:val="36"/>
          <w:rFonts w:hint="eastAsia" w:ascii="宋体" w:hAnsi="宋体" w:cs="宋体"/>
          <w:b w:val="0"/>
          <w:bCs w:val="0"/>
          <w:color w:val="auto"/>
          <w:kern w:val="0"/>
          <w:sz w:val="24"/>
          <w:szCs w:val="24"/>
          <w:highlight w:val="none"/>
        </w:rPr>
      </w:pPr>
      <w:r>
        <w:rPr>
          <w:rStyle w:val="36"/>
          <w:rFonts w:hint="eastAsia" w:ascii="宋体" w:hAnsi="宋体" w:cs="宋体"/>
          <w:b/>
          <w:bCs/>
          <w:color w:val="auto"/>
          <w:kern w:val="0"/>
          <w:sz w:val="24"/>
          <w:szCs w:val="24"/>
          <w:highlight w:val="none"/>
          <w:lang w:val="en-US" w:eastAsia="zh-CN"/>
        </w:rPr>
        <w:t>2.1</w:t>
      </w:r>
      <w:r>
        <w:rPr>
          <w:rStyle w:val="36"/>
          <w:rFonts w:hint="eastAsia" w:ascii="宋体" w:hAnsi="宋体" w:cs="宋体"/>
          <w:b w:val="0"/>
          <w:bCs w:val="0"/>
          <w:color w:val="auto"/>
          <w:kern w:val="0"/>
          <w:sz w:val="24"/>
          <w:szCs w:val="24"/>
          <w:highlight w:val="none"/>
          <w:lang w:val="en-US" w:eastAsia="zh-CN"/>
        </w:rPr>
        <w:t>本次招标</w:t>
      </w:r>
      <w:r>
        <w:rPr>
          <w:rStyle w:val="36"/>
          <w:rFonts w:hint="eastAsia" w:ascii="宋体" w:hAnsi="宋体" w:cs="宋体"/>
          <w:b w:val="0"/>
          <w:bCs w:val="0"/>
          <w:color w:val="auto"/>
          <w:kern w:val="0"/>
          <w:sz w:val="24"/>
          <w:szCs w:val="24"/>
          <w:highlight w:val="none"/>
          <w:u w:val="single"/>
          <w:lang w:val="en-US" w:eastAsia="zh-CN"/>
        </w:rPr>
        <w:t>不接受</w:t>
      </w:r>
      <w:r>
        <w:rPr>
          <w:rStyle w:val="36"/>
          <w:rFonts w:hint="eastAsia" w:ascii="宋体" w:hAnsi="宋体" w:cs="宋体"/>
          <w:b w:val="0"/>
          <w:bCs w:val="0"/>
          <w:color w:val="auto"/>
          <w:kern w:val="0"/>
          <w:sz w:val="24"/>
          <w:szCs w:val="24"/>
          <w:highlight w:val="none"/>
          <w:lang w:val="en-US" w:eastAsia="zh-CN"/>
        </w:rPr>
        <w:t>联合体投标。</w:t>
      </w:r>
    </w:p>
    <w:p w14:paraId="4E409645">
      <w:pPr>
        <w:pStyle w:val="40"/>
        <w:snapToGrid w:val="0"/>
        <w:spacing w:line="360" w:lineRule="auto"/>
        <w:ind w:firstLine="482" w:firstLineChars="200"/>
        <w:jc w:val="left"/>
        <w:rPr>
          <w:rStyle w:val="36"/>
          <w:rFonts w:hint="eastAsia" w:ascii="宋体" w:hAnsi="宋体" w:cs="宋体"/>
          <w:b w:val="0"/>
          <w:bCs w:val="0"/>
          <w:color w:val="auto"/>
          <w:kern w:val="0"/>
          <w:sz w:val="24"/>
          <w:szCs w:val="24"/>
          <w:highlight w:val="none"/>
        </w:rPr>
      </w:pPr>
      <w:r>
        <w:rPr>
          <w:rStyle w:val="36"/>
          <w:rFonts w:hint="eastAsia" w:ascii="宋体" w:hAnsi="宋体" w:cs="宋体"/>
          <w:b/>
          <w:bCs/>
          <w:color w:val="auto"/>
          <w:kern w:val="0"/>
          <w:sz w:val="24"/>
          <w:szCs w:val="24"/>
          <w:highlight w:val="none"/>
          <w:lang w:val="en-US" w:eastAsia="zh-CN"/>
        </w:rPr>
        <w:t>2.2</w:t>
      </w:r>
      <w:r>
        <w:rPr>
          <w:rStyle w:val="36"/>
          <w:rFonts w:hint="eastAsia" w:ascii="宋体" w:hAnsi="宋体" w:cs="宋体"/>
          <w:b w:val="0"/>
          <w:bCs w:val="0"/>
          <w:color w:val="auto"/>
          <w:kern w:val="0"/>
          <w:sz w:val="24"/>
          <w:szCs w:val="24"/>
          <w:highlight w:val="none"/>
          <w:lang w:val="en-US" w:eastAsia="zh-CN"/>
        </w:rPr>
        <w:t>资格资质要求</w:t>
      </w:r>
    </w:p>
    <w:p w14:paraId="73ADE8CD">
      <w:pPr>
        <w:pStyle w:val="40"/>
        <w:snapToGrid w:val="0"/>
        <w:spacing w:line="360" w:lineRule="auto"/>
        <w:ind w:firstLine="482" w:firstLineChars="200"/>
        <w:jc w:val="left"/>
        <w:rPr>
          <w:rStyle w:val="36"/>
          <w:rFonts w:hint="eastAsia" w:ascii="宋体" w:hAnsi="宋体" w:cs="宋体"/>
          <w:b w:val="0"/>
          <w:bCs w:val="0"/>
          <w:color w:val="auto"/>
          <w:kern w:val="0"/>
          <w:sz w:val="24"/>
          <w:szCs w:val="24"/>
          <w:highlight w:val="none"/>
        </w:rPr>
      </w:pPr>
      <w:r>
        <w:rPr>
          <w:rStyle w:val="36"/>
          <w:rFonts w:hint="eastAsia" w:ascii="宋体" w:hAnsi="宋体" w:cs="宋体"/>
          <w:b/>
          <w:bCs/>
          <w:color w:val="auto"/>
          <w:kern w:val="0"/>
          <w:sz w:val="24"/>
          <w:szCs w:val="24"/>
          <w:highlight w:val="none"/>
          <w:lang w:val="en-US" w:eastAsia="zh-CN"/>
        </w:rPr>
        <w:t>2.2.1</w:t>
      </w:r>
      <w:r>
        <w:rPr>
          <w:rStyle w:val="36"/>
          <w:rFonts w:hint="eastAsia" w:ascii="宋体" w:hAnsi="宋体" w:cs="宋体"/>
          <w:b w:val="0"/>
          <w:bCs w:val="0"/>
          <w:color w:val="auto"/>
          <w:kern w:val="0"/>
          <w:sz w:val="24"/>
          <w:szCs w:val="24"/>
          <w:highlight w:val="none"/>
          <w:lang w:val="en-US" w:eastAsia="zh-CN"/>
        </w:rPr>
        <w:t>投标人须具备独立法人资格，按国家法律经营。</w:t>
      </w:r>
    </w:p>
    <w:p w14:paraId="282AB03D">
      <w:pPr>
        <w:pStyle w:val="40"/>
        <w:snapToGrid w:val="0"/>
        <w:spacing w:line="360" w:lineRule="auto"/>
        <w:ind w:firstLine="482" w:firstLineChars="200"/>
        <w:jc w:val="left"/>
        <w:rPr>
          <w:rStyle w:val="36"/>
          <w:rFonts w:hint="eastAsia" w:ascii="宋体" w:hAnsi="宋体" w:cs="宋体"/>
          <w:b w:val="0"/>
          <w:bCs w:val="0"/>
          <w:color w:val="auto"/>
          <w:kern w:val="0"/>
          <w:sz w:val="24"/>
          <w:szCs w:val="24"/>
          <w:highlight w:val="none"/>
        </w:rPr>
      </w:pPr>
      <w:r>
        <w:rPr>
          <w:rStyle w:val="36"/>
          <w:rFonts w:hint="eastAsia" w:ascii="宋体" w:hAnsi="宋体" w:cs="宋体"/>
          <w:b/>
          <w:bCs/>
          <w:color w:val="auto"/>
          <w:kern w:val="0"/>
          <w:sz w:val="24"/>
          <w:szCs w:val="24"/>
          <w:highlight w:val="none"/>
          <w:lang w:val="en-US" w:eastAsia="zh-CN"/>
        </w:rPr>
        <w:t>2.2.2</w:t>
      </w:r>
      <w:r>
        <w:rPr>
          <w:rStyle w:val="36"/>
          <w:rFonts w:hint="eastAsia" w:ascii="宋体" w:hAnsi="宋体" w:cs="宋体"/>
          <w:b w:val="0"/>
          <w:bCs w:val="0"/>
          <w:color w:val="auto"/>
          <w:kern w:val="0"/>
          <w:sz w:val="24"/>
          <w:szCs w:val="24"/>
          <w:highlight w:val="none"/>
          <w:lang w:val="en-US" w:eastAsia="zh-CN"/>
        </w:rPr>
        <w:t>投标人须持有建设行政主管部门颁发的企业资质证书及安全生产许可证。</w:t>
      </w:r>
    </w:p>
    <w:p w14:paraId="6C881D80">
      <w:pPr>
        <w:keepNext w:val="0"/>
        <w:keepLines w:val="0"/>
        <w:pageBreakBefore w:val="0"/>
        <w:kinsoku/>
        <w:wordWrap w:val="0"/>
        <w:overflowPunct/>
        <w:topLinePunct w:val="0"/>
        <w:autoSpaceDE/>
        <w:autoSpaceDN/>
        <w:bidi w:val="0"/>
        <w:adjustRightInd w:val="0"/>
        <w:snapToGrid w:val="0"/>
        <w:spacing w:line="360" w:lineRule="exact"/>
        <w:ind w:firstLine="482" w:firstLineChars="200"/>
        <w:rPr>
          <w:rStyle w:val="36"/>
          <w:rFonts w:hint="eastAsia" w:ascii="宋体" w:hAnsi="宋体" w:cs="宋体"/>
          <w:b w:val="0"/>
          <w:bCs w:val="0"/>
          <w:color w:val="auto"/>
          <w:kern w:val="0"/>
          <w:sz w:val="24"/>
          <w:szCs w:val="24"/>
          <w:highlight w:val="none"/>
          <w:lang w:val="en-US" w:eastAsia="zh-CN"/>
        </w:rPr>
      </w:pPr>
      <w:r>
        <w:rPr>
          <w:rStyle w:val="36"/>
          <w:rFonts w:hint="eastAsia" w:ascii="宋体" w:hAnsi="宋体" w:cs="宋体"/>
          <w:b/>
          <w:bCs/>
          <w:color w:val="auto"/>
          <w:kern w:val="0"/>
          <w:sz w:val="24"/>
          <w:szCs w:val="24"/>
          <w:highlight w:val="none"/>
          <w:lang w:val="en-US" w:eastAsia="zh-CN"/>
        </w:rPr>
        <w:t>2.2.3</w:t>
      </w:r>
      <w:r>
        <w:rPr>
          <w:rStyle w:val="36"/>
          <w:rFonts w:hint="eastAsia" w:ascii="宋体" w:hAnsi="宋体" w:cs="宋体"/>
          <w:b w:val="0"/>
          <w:bCs w:val="0"/>
          <w:color w:val="auto"/>
          <w:kern w:val="0"/>
          <w:sz w:val="24"/>
          <w:szCs w:val="24"/>
          <w:highlight w:val="none"/>
          <w:lang w:val="en-US" w:eastAsia="zh-CN"/>
        </w:rPr>
        <w:t>投标人须具备以下资质：</w:t>
      </w:r>
      <w:r>
        <w:rPr>
          <w:rFonts w:hint="eastAsia" w:ascii="宋体" w:hAnsi="宋体" w:eastAsia="宋体" w:cs="宋体"/>
          <w:snapToGrid w:val="0"/>
          <w:color w:val="auto"/>
          <w:kern w:val="0"/>
          <w:sz w:val="24"/>
          <w:szCs w:val="24"/>
          <w:highlight w:val="none"/>
          <w:lang w:val="en-US" w:eastAsia="zh-CN"/>
        </w:rPr>
        <w:t>具有建设行政主管部门颁发的</w:t>
      </w:r>
      <w:r>
        <w:rPr>
          <w:rFonts w:hint="eastAsia" w:ascii="宋体" w:hAnsi="宋体" w:eastAsia="宋体" w:cs="宋体"/>
          <w:snapToGrid w:val="0"/>
          <w:color w:val="auto"/>
          <w:kern w:val="0"/>
          <w:sz w:val="24"/>
          <w:szCs w:val="24"/>
          <w:highlight w:val="none"/>
          <w:u w:val="none"/>
          <w:lang w:val="en-US" w:eastAsia="zh-CN"/>
        </w:rPr>
        <w:t>市政公用工程施工总承包三级以上（含三级）</w:t>
      </w:r>
      <w:r>
        <w:rPr>
          <w:rFonts w:hint="eastAsia" w:ascii="宋体" w:hAnsi="宋体" w:eastAsia="宋体" w:cs="宋体"/>
          <w:snapToGrid w:val="0"/>
          <w:color w:val="auto"/>
          <w:kern w:val="0"/>
          <w:sz w:val="24"/>
          <w:szCs w:val="24"/>
          <w:highlight w:val="none"/>
          <w:lang w:val="en-US" w:eastAsia="zh-CN"/>
        </w:rPr>
        <w:t>资质或建筑工程施工总承包叁级以上（含叁级）资质。</w:t>
      </w:r>
    </w:p>
    <w:p w14:paraId="3B41A892">
      <w:pPr>
        <w:spacing w:before="111" w:line="360" w:lineRule="auto"/>
        <w:ind w:left="4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lang w:val="en-US" w:eastAsia="zh-CN"/>
        </w:rPr>
        <w:t>2.3</w:t>
      </w:r>
      <w:r>
        <w:rPr>
          <w:rFonts w:hint="eastAsia" w:ascii="宋体" w:hAnsi="宋体" w:eastAsia="宋体" w:cs="宋体"/>
          <w:color w:val="auto"/>
          <w:spacing w:val="-6"/>
          <w:sz w:val="24"/>
          <w:szCs w:val="24"/>
          <w:highlight w:val="none"/>
        </w:rPr>
        <w:t>相关人员要求</w:t>
      </w:r>
    </w:p>
    <w:p w14:paraId="4E12B026">
      <w:pPr>
        <w:keepNext w:val="0"/>
        <w:keepLines w:val="0"/>
        <w:pageBreakBefore w:val="0"/>
        <w:widowControl/>
        <w:wordWrap/>
        <w:overflowPunct/>
        <w:topLinePunct w:val="0"/>
        <w:bidi w:val="0"/>
        <w:spacing w:line="360" w:lineRule="auto"/>
        <w:ind w:firstLine="480" w:firstLineChars="200"/>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val="en-US" w:eastAsia="zh-CN" w:bidi="ar"/>
        </w:rPr>
        <w:t>2.3.1</w:t>
      </w:r>
      <w:r>
        <w:rPr>
          <w:rFonts w:hint="eastAsia" w:ascii="宋体" w:hAnsi="宋体" w:eastAsia="宋体" w:cs="宋体"/>
          <w:color w:val="auto"/>
          <w:sz w:val="24"/>
          <w:szCs w:val="24"/>
          <w:highlight w:val="none"/>
          <w:lang w:eastAsia="zh-CN" w:bidi="ar"/>
        </w:rPr>
        <w:t>拟派项目经理为</w:t>
      </w:r>
      <w:r>
        <w:rPr>
          <w:rFonts w:hint="eastAsia" w:ascii="宋体" w:hAnsi="宋体" w:eastAsia="宋体" w:cs="宋体"/>
          <w:color w:val="auto"/>
          <w:sz w:val="24"/>
          <w:szCs w:val="24"/>
          <w:highlight w:val="none"/>
          <w:u w:val="single"/>
          <w:lang w:val="en-US" w:eastAsia="zh-CN" w:bidi="ar"/>
        </w:rPr>
        <w:t>具有</w:t>
      </w:r>
      <w:r>
        <w:rPr>
          <w:rFonts w:hint="eastAsia" w:ascii="宋体" w:hAnsi="宋体" w:eastAsia="宋体" w:cs="宋体"/>
          <w:strike w:val="0"/>
          <w:dstrike w:val="0"/>
          <w:snapToGrid w:val="0"/>
          <w:color w:val="auto"/>
          <w:kern w:val="0"/>
          <w:sz w:val="24"/>
          <w:szCs w:val="24"/>
          <w:highlight w:val="none"/>
          <w:u w:val="single"/>
          <w:lang w:val="en-US" w:eastAsia="zh-CN" w:bidi="ar"/>
        </w:rPr>
        <w:t>建筑工程或市政公用工程</w:t>
      </w:r>
      <w:r>
        <w:rPr>
          <w:rFonts w:hint="eastAsia" w:ascii="宋体" w:hAnsi="宋体" w:eastAsia="宋体" w:cs="宋体"/>
          <w:color w:val="auto"/>
          <w:sz w:val="24"/>
          <w:szCs w:val="24"/>
          <w:highlight w:val="none"/>
          <w:lang w:eastAsia="zh-CN" w:bidi="ar"/>
        </w:rPr>
        <w:t>专业一级或二级注册建造师，应持有住建部门印发的在使用有效期内的有效电子注册证书（根据广东省住房和城乡建设厅（粤建市函〔2023〕469号）文件精神，二级注册建造师可随注册企业在全国范围内执业）。同时均须具备有效安全生产考核合格证明（B证），且未担任其他在施（包括已中标未开工、已开工未竣工）建设工程项目的</w:t>
      </w:r>
      <w:r>
        <w:rPr>
          <w:rFonts w:hint="eastAsia" w:ascii="宋体" w:hAnsi="宋体" w:eastAsia="宋体" w:cs="宋体"/>
          <w:color w:val="auto"/>
          <w:sz w:val="24"/>
          <w:szCs w:val="24"/>
          <w:highlight w:val="none"/>
          <w:lang w:eastAsia="zh-CN" w:bidi="ar"/>
        </w:rPr>
        <w:t>项目经理。</w:t>
      </w:r>
    </w:p>
    <w:p w14:paraId="688EDF6C">
      <w:pPr>
        <w:pStyle w:val="35"/>
        <w:keepNext w:val="0"/>
        <w:keepLines w:val="0"/>
        <w:pageBreakBefore w:val="0"/>
        <w:widowControl/>
        <w:wordWrap/>
        <w:overflowPunct/>
        <w:topLinePunct w:val="0"/>
        <w:bidi w:val="0"/>
        <w:spacing w:line="360" w:lineRule="auto"/>
        <w:ind w:left="0" w:leftChars="0" w:firstLine="480" w:firstLineChars="200"/>
        <w:jc w:val="left"/>
        <w:rPr>
          <w:rFonts w:hint="eastAsia" w:ascii="宋体" w:hAnsi="宋体" w:eastAsia="宋体" w:cs="宋体"/>
          <w:b/>
          <w:bCs/>
          <w:strike w:val="0"/>
          <w:dstrike w:val="0"/>
          <w:snapToGrid w:val="0"/>
          <w:color w:val="auto"/>
          <w:kern w:val="0"/>
          <w:sz w:val="24"/>
          <w:szCs w:val="24"/>
          <w:highlight w:val="none"/>
          <w:lang w:val="en-US" w:eastAsia="zh-CN"/>
        </w:rPr>
      </w:pPr>
      <w:r>
        <w:rPr>
          <w:rFonts w:hint="eastAsia" w:ascii="宋体" w:hAnsi="宋体" w:eastAsia="宋体" w:cs="宋体"/>
          <w:color w:val="auto"/>
          <w:sz w:val="24"/>
          <w:szCs w:val="24"/>
          <w:highlight w:val="none"/>
          <w:lang w:val="en-US" w:eastAsia="zh-CN"/>
        </w:rPr>
        <w:t>2.3.2</w:t>
      </w:r>
      <w:r>
        <w:rPr>
          <w:rFonts w:hint="eastAsia" w:ascii="宋体" w:hAnsi="宋体" w:eastAsia="宋体" w:cs="宋体"/>
          <w:color w:val="auto"/>
          <w:sz w:val="24"/>
          <w:szCs w:val="24"/>
          <w:highlight w:val="none"/>
          <w:lang w:eastAsia="zh-CN"/>
        </w:rPr>
        <w:t>拟派项目技术负责人须具备</w:t>
      </w:r>
      <w:r>
        <w:rPr>
          <w:rFonts w:hint="eastAsia" w:ascii="宋体" w:hAnsi="宋体" w:eastAsia="宋体" w:cs="宋体"/>
          <w:strike w:val="0"/>
          <w:dstrike w:val="0"/>
          <w:snapToGrid/>
          <w:color w:val="auto"/>
          <w:kern w:val="2"/>
          <w:sz w:val="24"/>
          <w:szCs w:val="24"/>
          <w:highlight w:val="none"/>
          <w:u w:val="single"/>
          <w:lang w:val="en-US" w:eastAsia="zh-CN"/>
        </w:rPr>
        <w:t>建筑工程或市政公用工程</w:t>
      </w:r>
      <w:r>
        <w:rPr>
          <w:rFonts w:hint="eastAsia" w:ascii="宋体" w:hAnsi="宋体" w:eastAsia="宋体" w:cs="宋体"/>
          <w:color w:val="auto"/>
          <w:sz w:val="24"/>
          <w:szCs w:val="24"/>
          <w:highlight w:val="none"/>
          <w:lang w:eastAsia="zh-CN"/>
        </w:rPr>
        <w:t>相关专业</w:t>
      </w:r>
      <w:r>
        <w:rPr>
          <w:rFonts w:hint="eastAsia" w:ascii="宋体" w:hAnsi="宋体" w:eastAsia="宋体" w:cs="宋体"/>
          <w:color w:val="auto"/>
          <w:sz w:val="24"/>
          <w:szCs w:val="24"/>
          <w:highlight w:val="none"/>
          <w:u w:val="single"/>
          <w:lang w:eastAsia="zh-CN"/>
        </w:rPr>
        <w:t>中级</w:t>
      </w:r>
      <w:r>
        <w:rPr>
          <w:rFonts w:hint="eastAsia" w:ascii="宋体" w:hAnsi="宋体" w:eastAsia="宋体" w:cs="宋体"/>
          <w:color w:val="auto"/>
          <w:sz w:val="24"/>
          <w:szCs w:val="24"/>
          <w:highlight w:val="none"/>
          <w:lang w:eastAsia="zh-CN"/>
        </w:rPr>
        <w:t>以上（</w:t>
      </w:r>
      <w:r>
        <w:rPr>
          <w:rFonts w:hint="eastAsia" w:ascii="宋体" w:hAnsi="宋体" w:eastAsia="宋体" w:cs="宋体"/>
          <w:color w:val="auto"/>
          <w:sz w:val="24"/>
          <w:szCs w:val="24"/>
          <w:highlight w:val="none"/>
          <w:u w:val="single"/>
          <w:lang w:eastAsia="zh-CN"/>
        </w:rPr>
        <w:t>含中级</w:t>
      </w:r>
      <w:r>
        <w:rPr>
          <w:rFonts w:hint="eastAsia" w:ascii="宋体" w:hAnsi="宋体" w:eastAsia="宋体" w:cs="宋体"/>
          <w:color w:val="auto"/>
          <w:sz w:val="24"/>
          <w:szCs w:val="24"/>
          <w:highlight w:val="none"/>
          <w:lang w:eastAsia="zh-CN"/>
        </w:rPr>
        <w:t>）技术职称</w:t>
      </w:r>
      <w:r>
        <w:rPr>
          <w:rFonts w:hint="eastAsia" w:ascii="宋体" w:hAnsi="宋体" w:eastAsia="宋体" w:cs="宋体"/>
          <w:color w:val="auto"/>
          <w:spacing w:val="-2"/>
          <w:sz w:val="24"/>
          <w:szCs w:val="24"/>
          <w:highlight w:val="none"/>
        </w:rPr>
        <w:t>。</w:t>
      </w:r>
    </w:p>
    <w:p w14:paraId="35FFC7E9">
      <w:pPr>
        <w:keepNext w:val="0"/>
        <w:keepLines w:val="0"/>
        <w:pageBreakBefore w:val="0"/>
        <w:widowControl/>
        <w:wordWrap/>
        <w:overflowPunct/>
        <w:topLinePunct w:val="0"/>
        <w:bidi w:val="0"/>
        <w:spacing w:line="360" w:lineRule="auto"/>
        <w:ind w:left="9" w:right="57" w:firstLine="48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lang w:val="en-US" w:eastAsia="zh-CN"/>
        </w:rPr>
        <w:t>2.3.3</w:t>
      </w:r>
      <w:r>
        <w:rPr>
          <w:rFonts w:hint="eastAsia" w:ascii="宋体" w:hAnsi="宋体" w:eastAsia="宋体" w:cs="宋体"/>
          <w:color w:val="auto"/>
          <w:spacing w:val="7"/>
          <w:sz w:val="24"/>
          <w:szCs w:val="24"/>
          <w:highlight w:val="none"/>
        </w:rPr>
        <w:t>拟派专职安全生产管理人员须具备有效安全生产考核合格</w:t>
      </w:r>
      <w:r>
        <w:rPr>
          <w:rFonts w:hint="eastAsia" w:ascii="宋体" w:hAnsi="宋体" w:eastAsia="宋体" w:cs="宋体"/>
          <w:color w:val="auto"/>
          <w:spacing w:val="-2"/>
          <w:sz w:val="24"/>
          <w:szCs w:val="24"/>
          <w:highlight w:val="none"/>
        </w:rPr>
        <w:t>证明（C证</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lang w:eastAsia="zh-CN"/>
        </w:rPr>
        <w:t>且不少于</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lang w:eastAsia="zh-CN"/>
        </w:rPr>
        <w:t>人</w:t>
      </w:r>
      <w:r>
        <w:rPr>
          <w:rFonts w:hint="eastAsia" w:ascii="宋体" w:hAnsi="宋体" w:eastAsia="宋体" w:cs="宋体"/>
          <w:color w:val="auto"/>
          <w:spacing w:val="-2"/>
          <w:sz w:val="24"/>
          <w:szCs w:val="24"/>
          <w:highlight w:val="none"/>
        </w:rPr>
        <w:t>。</w:t>
      </w:r>
    </w:p>
    <w:p w14:paraId="5E40C022">
      <w:pPr>
        <w:keepNext w:val="0"/>
        <w:keepLines w:val="0"/>
        <w:pageBreakBefore w:val="0"/>
        <w:widowControl/>
        <w:wordWrap/>
        <w:overflowPunct/>
        <w:topLinePunct w:val="0"/>
        <w:bidi w:val="0"/>
        <w:spacing w:line="360" w:lineRule="auto"/>
        <w:ind w:left="11" w:right="55" w:firstLine="478"/>
        <w:rPr>
          <w:rFonts w:hint="eastAsia" w:ascii="宋体" w:hAnsi="宋体" w:eastAsia="宋体" w:cs="宋体"/>
          <w:sz w:val="24"/>
          <w:szCs w:val="24"/>
          <w:highlight w:val="none"/>
        </w:rPr>
      </w:pPr>
      <w:r>
        <w:rPr>
          <w:rFonts w:hint="eastAsia" w:ascii="宋体" w:hAnsi="宋体" w:eastAsia="宋体" w:cs="宋体"/>
          <w:color w:val="auto"/>
          <w:spacing w:val="-1"/>
          <w:sz w:val="24"/>
          <w:szCs w:val="24"/>
          <w:highlight w:val="none"/>
          <w:lang w:val="en-US" w:eastAsia="zh-CN"/>
        </w:rPr>
        <w:t>2.3.4</w:t>
      </w:r>
      <w:r>
        <w:rPr>
          <w:rFonts w:hint="eastAsia" w:ascii="宋体" w:hAnsi="宋体" w:eastAsia="宋体" w:cs="宋体"/>
          <w:color w:val="auto"/>
          <w:spacing w:val="-1"/>
          <w:sz w:val="24"/>
          <w:szCs w:val="24"/>
          <w:highlight w:val="none"/>
        </w:rPr>
        <w:t>投标人</w:t>
      </w:r>
      <w:r>
        <w:rPr>
          <w:rFonts w:hint="eastAsia" w:ascii="宋体" w:hAnsi="宋体" w:eastAsia="宋体" w:cs="宋体"/>
          <w:spacing w:val="-1"/>
          <w:sz w:val="24"/>
          <w:szCs w:val="24"/>
          <w:highlight w:val="none"/>
        </w:rPr>
        <w:t>与其拟派往本项</w:t>
      </w:r>
      <w:r>
        <w:rPr>
          <w:rFonts w:hint="eastAsia" w:ascii="宋体" w:hAnsi="宋体" w:eastAsia="宋体" w:cs="宋体"/>
          <w:spacing w:val="-3"/>
          <w:sz w:val="24"/>
          <w:szCs w:val="24"/>
          <w:highlight w:val="none"/>
        </w:rPr>
        <w:t>目管理机构的所有人员之间必须具备合法、唯一的劳动聘用关系。拟</w:t>
      </w:r>
      <w:r>
        <w:rPr>
          <w:rFonts w:hint="eastAsia" w:ascii="宋体" w:hAnsi="宋体" w:eastAsia="宋体" w:cs="宋体"/>
          <w:spacing w:val="-1"/>
          <w:sz w:val="24"/>
          <w:szCs w:val="24"/>
          <w:highlight w:val="none"/>
        </w:rPr>
        <w:t>派人员中具备注册执业资格的，其注册单位须与投标人保持一致。</w:t>
      </w:r>
    </w:p>
    <w:p w14:paraId="06C86352">
      <w:pPr>
        <w:spacing w:before="78" w:line="220" w:lineRule="auto"/>
        <w:ind w:left="489"/>
        <w:rPr>
          <w:rFonts w:ascii="宋体" w:hAnsi="宋体" w:eastAsia="宋体" w:cs="宋体"/>
          <w:sz w:val="24"/>
          <w:szCs w:val="24"/>
          <w:highlight w:val="none"/>
        </w:rPr>
      </w:pPr>
      <w:r>
        <w:rPr>
          <w:rFonts w:ascii="Times New Roman" w:hAnsi="Times New Roman" w:eastAsia="Times New Roman" w:cs="Times New Roman"/>
          <w:b/>
          <w:bCs/>
          <w:spacing w:val="-1"/>
          <w:sz w:val="24"/>
          <w:szCs w:val="24"/>
          <w:highlight w:val="none"/>
        </w:rPr>
        <w:t>2.4</w:t>
      </w:r>
      <w:r>
        <w:rPr>
          <w:rFonts w:ascii="宋体" w:hAnsi="宋体" w:eastAsia="宋体" w:cs="宋体"/>
          <w:spacing w:val="-1"/>
          <w:sz w:val="24"/>
          <w:szCs w:val="24"/>
          <w:highlight w:val="none"/>
        </w:rPr>
        <w:t>禁止投标条款</w:t>
      </w:r>
    </w:p>
    <w:p w14:paraId="0CBA8FFC">
      <w:pPr>
        <w:spacing w:before="153" w:line="220" w:lineRule="auto"/>
        <w:ind w:left="489"/>
        <w:rPr>
          <w:rFonts w:ascii="宋体" w:hAnsi="宋体" w:eastAsia="宋体" w:cs="宋体"/>
          <w:sz w:val="24"/>
          <w:szCs w:val="24"/>
          <w:highlight w:val="none"/>
        </w:rPr>
      </w:pPr>
      <w:r>
        <w:rPr>
          <w:rFonts w:ascii="Times New Roman" w:hAnsi="Times New Roman" w:eastAsia="Times New Roman" w:cs="Times New Roman"/>
          <w:b/>
          <w:bCs/>
          <w:spacing w:val="-1"/>
          <w:sz w:val="24"/>
          <w:szCs w:val="24"/>
          <w:highlight w:val="none"/>
        </w:rPr>
        <w:t>2.4.1</w:t>
      </w:r>
      <w:r>
        <w:rPr>
          <w:rFonts w:ascii="宋体" w:hAnsi="宋体" w:eastAsia="宋体" w:cs="宋体"/>
          <w:spacing w:val="-1"/>
          <w:sz w:val="24"/>
          <w:szCs w:val="24"/>
          <w:highlight w:val="none"/>
        </w:rPr>
        <w:t>投标人不得存在下列情形之一：</w:t>
      </w:r>
    </w:p>
    <w:p w14:paraId="23DBD120">
      <w:pPr>
        <w:spacing w:before="153" w:line="219" w:lineRule="auto"/>
        <w:ind w:left="504"/>
        <w:rPr>
          <w:rFonts w:ascii="宋体" w:hAnsi="宋体" w:eastAsia="宋体" w:cs="宋体"/>
          <w:sz w:val="24"/>
          <w:szCs w:val="24"/>
          <w:highlight w:val="none"/>
        </w:rPr>
      </w:pPr>
      <w:r>
        <w:rPr>
          <w:rFonts w:ascii="宋体" w:hAnsi="宋体" w:eastAsia="宋体" w:cs="宋体"/>
          <w:spacing w:val="-1"/>
          <w:sz w:val="24"/>
          <w:szCs w:val="24"/>
          <w:highlight w:val="none"/>
        </w:rPr>
        <w:t>（</w:t>
      </w:r>
      <w:r>
        <w:rPr>
          <w:rFonts w:ascii="Times New Roman" w:hAnsi="Times New Roman" w:eastAsia="Times New Roman" w:cs="Times New Roman"/>
          <w:spacing w:val="-1"/>
          <w:sz w:val="24"/>
          <w:szCs w:val="24"/>
          <w:highlight w:val="none"/>
        </w:rPr>
        <w:t>1</w:t>
      </w:r>
      <w:r>
        <w:rPr>
          <w:rFonts w:ascii="宋体" w:hAnsi="宋体" w:eastAsia="宋体" w:cs="宋体"/>
          <w:spacing w:val="-1"/>
          <w:sz w:val="24"/>
          <w:szCs w:val="24"/>
          <w:highlight w:val="none"/>
        </w:rPr>
        <w:t>）为招标人不具有独立法人资格的附属机构（单位</w:t>
      </w:r>
      <w:r>
        <w:rPr>
          <w:rFonts w:ascii="宋体" w:hAnsi="宋体" w:eastAsia="宋体" w:cs="宋体"/>
          <w:spacing w:val="1"/>
          <w:sz w:val="24"/>
          <w:szCs w:val="24"/>
          <w:highlight w:val="none"/>
        </w:rPr>
        <w:t>）；</w:t>
      </w:r>
    </w:p>
    <w:p w14:paraId="0E1C477D">
      <w:pPr>
        <w:spacing w:before="157" w:line="219" w:lineRule="auto"/>
        <w:ind w:left="504"/>
        <w:rPr>
          <w:rFonts w:ascii="宋体" w:hAnsi="宋体" w:eastAsia="宋体" w:cs="宋体"/>
          <w:sz w:val="24"/>
          <w:szCs w:val="24"/>
          <w:highlight w:val="none"/>
        </w:rPr>
      </w:pPr>
      <w:r>
        <w:rPr>
          <w:rFonts w:ascii="宋体" w:hAnsi="宋体" w:eastAsia="宋体" w:cs="宋体"/>
          <w:spacing w:val="-1"/>
          <w:sz w:val="24"/>
          <w:szCs w:val="24"/>
          <w:highlight w:val="none"/>
        </w:rPr>
        <w:t>（</w:t>
      </w:r>
      <w:r>
        <w:rPr>
          <w:rFonts w:ascii="Times New Roman" w:hAnsi="Times New Roman" w:eastAsia="Times New Roman" w:cs="Times New Roman"/>
          <w:spacing w:val="-1"/>
          <w:sz w:val="24"/>
          <w:szCs w:val="24"/>
          <w:highlight w:val="none"/>
        </w:rPr>
        <w:t>2</w:t>
      </w:r>
      <w:r>
        <w:rPr>
          <w:rFonts w:ascii="宋体" w:hAnsi="宋体" w:eastAsia="宋体" w:cs="宋体"/>
          <w:spacing w:val="-1"/>
          <w:sz w:val="24"/>
          <w:szCs w:val="24"/>
          <w:highlight w:val="none"/>
        </w:rPr>
        <w:t>）为本招标项目前期准备提供设计或咨询服务的；</w:t>
      </w:r>
    </w:p>
    <w:p w14:paraId="0A81E345">
      <w:pPr>
        <w:spacing w:before="154" w:line="219" w:lineRule="auto"/>
        <w:ind w:left="504"/>
        <w:rPr>
          <w:rFonts w:ascii="宋体" w:hAnsi="宋体" w:eastAsia="宋体" w:cs="宋体"/>
          <w:sz w:val="24"/>
          <w:szCs w:val="24"/>
          <w:highlight w:val="none"/>
        </w:rPr>
      </w:pPr>
      <w:r>
        <w:rPr>
          <w:rFonts w:ascii="宋体" w:hAnsi="宋体" w:eastAsia="宋体" w:cs="宋体"/>
          <w:spacing w:val="-1"/>
          <w:sz w:val="24"/>
          <w:szCs w:val="24"/>
          <w:highlight w:val="none"/>
        </w:rPr>
        <w:t>（</w:t>
      </w:r>
      <w:r>
        <w:rPr>
          <w:rFonts w:ascii="Times New Roman" w:hAnsi="Times New Roman" w:eastAsia="Times New Roman" w:cs="Times New Roman"/>
          <w:spacing w:val="-1"/>
          <w:sz w:val="24"/>
          <w:szCs w:val="24"/>
          <w:highlight w:val="none"/>
        </w:rPr>
        <w:t>3</w:t>
      </w:r>
      <w:r>
        <w:rPr>
          <w:rFonts w:ascii="宋体" w:hAnsi="宋体" w:eastAsia="宋体" w:cs="宋体"/>
          <w:spacing w:val="-1"/>
          <w:sz w:val="24"/>
          <w:szCs w:val="24"/>
          <w:highlight w:val="none"/>
        </w:rPr>
        <w:t>）与本招标项目的其他投标人为同一个单位负责人；</w:t>
      </w:r>
    </w:p>
    <w:p w14:paraId="2B6A5BB4">
      <w:pPr>
        <w:spacing w:before="155" w:line="219" w:lineRule="auto"/>
        <w:ind w:left="504"/>
        <w:rPr>
          <w:rFonts w:ascii="宋体" w:hAnsi="宋体" w:eastAsia="宋体" w:cs="宋体"/>
          <w:sz w:val="24"/>
          <w:szCs w:val="24"/>
          <w:highlight w:val="none"/>
        </w:rPr>
      </w:pPr>
      <w:r>
        <w:rPr>
          <w:rFonts w:ascii="宋体" w:hAnsi="宋体" w:eastAsia="宋体" w:cs="宋体"/>
          <w:spacing w:val="-1"/>
          <w:sz w:val="24"/>
          <w:szCs w:val="24"/>
          <w:highlight w:val="none"/>
        </w:rPr>
        <w:t>（</w:t>
      </w:r>
      <w:r>
        <w:rPr>
          <w:rFonts w:ascii="Times New Roman" w:hAnsi="Times New Roman" w:eastAsia="Times New Roman" w:cs="Times New Roman"/>
          <w:spacing w:val="-1"/>
          <w:sz w:val="24"/>
          <w:szCs w:val="24"/>
          <w:highlight w:val="none"/>
        </w:rPr>
        <w:t>4</w:t>
      </w:r>
      <w:r>
        <w:rPr>
          <w:rFonts w:ascii="宋体" w:hAnsi="宋体" w:eastAsia="宋体" w:cs="宋体"/>
          <w:spacing w:val="-1"/>
          <w:sz w:val="24"/>
          <w:szCs w:val="24"/>
          <w:highlight w:val="none"/>
        </w:rPr>
        <w:t>）与本招标项目的其他投标人存在控股、管理关系；</w:t>
      </w:r>
    </w:p>
    <w:p w14:paraId="28BC4CD3">
      <w:pPr>
        <w:spacing w:before="157" w:line="219" w:lineRule="auto"/>
        <w:ind w:left="504"/>
        <w:rPr>
          <w:rFonts w:ascii="宋体" w:hAnsi="宋体" w:eastAsia="宋体" w:cs="宋体"/>
          <w:sz w:val="24"/>
          <w:szCs w:val="24"/>
          <w:highlight w:val="none"/>
        </w:rPr>
      </w:pPr>
      <w:r>
        <w:rPr>
          <w:rFonts w:ascii="宋体" w:hAnsi="宋体" w:eastAsia="宋体" w:cs="宋体"/>
          <w:spacing w:val="-2"/>
          <w:sz w:val="24"/>
          <w:szCs w:val="24"/>
          <w:highlight w:val="none"/>
        </w:rPr>
        <w:t>（</w:t>
      </w:r>
      <w:r>
        <w:rPr>
          <w:rFonts w:ascii="Times New Roman" w:hAnsi="Times New Roman" w:eastAsia="Times New Roman" w:cs="Times New Roman"/>
          <w:spacing w:val="-2"/>
          <w:sz w:val="24"/>
          <w:szCs w:val="24"/>
          <w:highlight w:val="none"/>
        </w:rPr>
        <w:t>5</w:t>
      </w:r>
      <w:r>
        <w:rPr>
          <w:rFonts w:ascii="宋体" w:hAnsi="宋体" w:eastAsia="宋体" w:cs="宋体"/>
          <w:spacing w:val="-2"/>
          <w:sz w:val="24"/>
          <w:szCs w:val="24"/>
          <w:highlight w:val="none"/>
        </w:rPr>
        <w:t>）为本招标项目的监理人；</w:t>
      </w:r>
    </w:p>
    <w:p w14:paraId="04DDDC91">
      <w:pPr>
        <w:spacing w:before="154" w:line="219" w:lineRule="auto"/>
        <w:ind w:left="504"/>
        <w:rPr>
          <w:rFonts w:ascii="宋体" w:hAnsi="宋体" w:eastAsia="宋体" w:cs="宋体"/>
          <w:sz w:val="24"/>
          <w:szCs w:val="24"/>
          <w:highlight w:val="none"/>
        </w:rPr>
      </w:pPr>
      <w:r>
        <w:rPr>
          <w:rFonts w:ascii="宋体" w:hAnsi="宋体" w:eastAsia="宋体" w:cs="宋体"/>
          <w:spacing w:val="-2"/>
          <w:sz w:val="24"/>
          <w:szCs w:val="24"/>
          <w:highlight w:val="none"/>
        </w:rPr>
        <w:t>（</w:t>
      </w:r>
      <w:r>
        <w:rPr>
          <w:rFonts w:ascii="Times New Roman" w:hAnsi="Times New Roman" w:eastAsia="Times New Roman" w:cs="Times New Roman"/>
          <w:spacing w:val="-2"/>
          <w:sz w:val="24"/>
          <w:szCs w:val="24"/>
          <w:highlight w:val="none"/>
        </w:rPr>
        <w:t>6</w:t>
      </w:r>
      <w:r>
        <w:rPr>
          <w:rFonts w:ascii="宋体" w:hAnsi="宋体" w:eastAsia="宋体" w:cs="宋体"/>
          <w:spacing w:val="-2"/>
          <w:sz w:val="24"/>
          <w:szCs w:val="24"/>
          <w:highlight w:val="none"/>
        </w:rPr>
        <w:t>）为本招标项目的代建人；</w:t>
      </w:r>
    </w:p>
    <w:p w14:paraId="72C1CC96">
      <w:pPr>
        <w:spacing w:before="155" w:line="219" w:lineRule="auto"/>
        <w:ind w:left="504"/>
        <w:rPr>
          <w:rFonts w:ascii="宋体" w:hAnsi="宋体" w:eastAsia="宋体" w:cs="宋体"/>
          <w:sz w:val="24"/>
          <w:szCs w:val="24"/>
          <w:highlight w:val="none"/>
        </w:rPr>
      </w:pPr>
      <w:r>
        <w:rPr>
          <w:rFonts w:ascii="宋体" w:hAnsi="宋体" w:eastAsia="宋体" w:cs="宋体"/>
          <w:spacing w:val="-2"/>
          <w:sz w:val="24"/>
          <w:szCs w:val="24"/>
          <w:highlight w:val="none"/>
        </w:rPr>
        <w:t>（</w:t>
      </w:r>
      <w:r>
        <w:rPr>
          <w:rFonts w:ascii="Times New Roman" w:hAnsi="Times New Roman" w:eastAsia="Times New Roman" w:cs="Times New Roman"/>
          <w:spacing w:val="-2"/>
          <w:sz w:val="24"/>
          <w:szCs w:val="24"/>
          <w:highlight w:val="none"/>
        </w:rPr>
        <w:t>7</w:t>
      </w:r>
      <w:r>
        <w:rPr>
          <w:rFonts w:ascii="宋体" w:hAnsi="宋体" w:eastAsia="宋体" w:cs="宋体"/>
          <w:spacing w:val="-2"/>
          <w:sz w:val="24"/>
          <w:szCs w:val="24"/>
          <w:highlight w:val="none"/>
        </w:rPr>
        <w:t>）为本招标项目的招标代理机构；</w:t>
      </w:r>
    </w:p>
    <w:p w14:paraId="0F363587">
      <w:pPr>
        <w:spacing w:before="157" w:line="219" w:lineRule="auto"/>
        <w:ind w:left="504"/>
        <w:rPr>
          <w:rFonts w:ascii="宋体" w:hAnsi="宋体" w:eastAsia="宋体" w:cs="宋体"/>
          <w:sz w:val="24"/>
          <w:szCs w:val="24"/>
          <w:highlight w:val="none"/>
        </w:rPr>
      </w:pPr>
      <w:r>
        <w:rPr>
          <w:rFonts w:ascii="宋体" w:hAnsi="宋体" w:eastAsia="宋体" w:cs="宋体"/>
          <w:spacing w:val="-1"/>
          <w:sz w:val="24"/>
          <w:szCs w:val="24"/>
          <w:highlight w:val="none"/>
        </w:rPr>
        <w:t>（</w:t>
      </w:r>
      <w:r>
        <w:rPr>
          <w:rFonts w:ascii="Times New Roman" w:hAnsi="Times New Roman" w:eastAsia="Times New Roman" w:cs="Times New Roman"/>
          <w:spacing w:val="-1"/>
          <w:sz w:val="24"/>
          <w:szCs w:val="24"/>
          <w:highlight w:val="none"/>
        </w:rPr>
        <w:t>8</w:t>
      </w:r>
      <w:r>
        <w:rPr>
          <w:rFonts w:ascii="宋体" w:hAnsi="宋体" w:eastAsia="宋体" w:cs="宋体"/>
          <w:spacing w:val="-1"/>
          <w:sz w:val="24"/>
          <w:szCs w:val="24"/>
          <w:highlight w:val="none"/>
        </w:rPr>
        <w:t>）与本招标项目的监理人或代建人或招标代理机构同为一个法定代表人；</w:t>
      </w:r>
    </w:p>
    <w:p w14:paraId="713A291F">
      <w:pPr>
        <w:spacing w:before="154" w:line="219" w:lineRule="auto"/>
        <w:ind w:left="504"/>
        <w:rPr>
          <w:rFonts w:ascii="宋体" w:hAnsi="宋体" w:eastAsia="宋体" w:cs="宋体"/>
          <w:sz w:val="24"/>
          <w:szCs w:val="24"/>
          <w:highlight w:val="none"/>
        </w:rPr>
      </w:pPr>
      <w:r>
        <w:rPr>
          <w:rFonts w:ascii="宋体" w:hAnsi="宋体" w:eastAsia="宋体" w:cs="宋体"/>
          <w:spacing w:val="-1"/>
          <w:sz w:val="24"/>
          <w:szCs w:val="24"/>
          <w:highlight w:val="none"/>
        </w:rPr>
        <w:t>（</w:t>
      </w:r>
      <w:r>
        <w:rPr>
          <w:rFonts w:ascii="Times New Roman" w:hAnsi="Times New Roman" w:eastAsia="Times New Roman" w:cs="Times New Roman"/>
          <w:spacing w:val="-1"/>
          <w:sz w:val="24"/>
          <w:szCs w:val="24"/>
          <w:highlight w:val="none"/>
        </w:rPr>
        <w:t>9</w:t>
      </w:r>
      <w:r>
        <w:rPr>
          <w:rFonts w:ascii="宋体" w:hAnsi="宋体" w:eastAsia="宋体" w:cs="宋体"/>
          <w:spacing w:val="-1"/>
          <w:sz w:val="24"/>
          <w:szCs w:val="24"/>
          <w:highlight w:val="none"/>
        </w:rPr>
        <w:t>）与本招标项目的监理人或代建人或招标代理机构存在控股或参股关系；</w:t>
      </w:r>
    </w:p>
    <w:p w14:paraId="4EB01965">
      <w:pPr>
        <w:spacing w:before="155" w:line="219" w:lineRule="auto"/>
        <w:ind w:firstLine="468" w:firstLineChars="200"/>
        <w:jc w:val="both"/>
        <w:rPr>
          <w:rFonts w:ascii="宋体" w:hAnsi="宋体" w:eastAsia="宋体" w:cs="宋体"/>
          <w:sz w:val="24"/>
          <w:szCs w:val="24"/>
          <w:highlight w:val="none"/>
        </w:rPr>
      </w:pPr>
      <w:r>
        <w:rPr>
          <w:rFonts w:ascii="宋体" w:hAnsi="宋体" w:eastAsia="宋体" w:cs="宋体"/>
          <w:spacing w:val="-3"/>
          <w:sz w:val="24"/>
          <w:szCs w:val="24"/>
          <w:highlight w:val="none"/>
        </w:rPr>
        <w:t>（</w:t>
      </w:r>
      <w:r>
        <w:rPr>
          <w:rFonts w:ascii="Times New Roman" w:hAnsi="Times New Roman" w:eastAsia="Times New Roman" w:cs="Times New Roman"/>
          <w:spacing w:val="-3"/>
          <w:sz w:val="24"/>
          <w:szCs w:val="24"/>
          <w:highlight w:val="none"/>
        </w:rPr>
        <w:t>10</w:t>
      </w:r>
      <w:r>
        <w:rPr>
          <w:rFonts w:ascii="宋体" w:hAnsi="宋体" w:eastAsia="宋体" w:cs="宋体"/>
          <w:spacing w:val="-3"/>
          <w:sz w:val="24"/>
          <w:szCs w:val="24"/>
          <w:highlight w:val="none"/>
        </w:rPr>
        <w:t>）与本招标项目的监理人或代建人或招标代理机构存在相互</w:t>
      </w:r>
      <w:r>
        <w:rPr>
          <w:rFonts w:ascii="宋体" w:hAnsi="宋体" w:eastAsia="宋体" w:cs="宋体"/>
          <w:spacing w:val="-4"/>
          <w:sz w:val="24"/>
          <w:szCs w:val="24"/>
          <w:highlight w:val="none"/>
        </w:rPr>
        <w:t>任职或工作关系；</w:t>
      </w:r>
    </w:p>
    <w:p w14:paraId="57BDE74F">
      <w:pPr>
        <w:spacing w:before="157" w:line="219" w:lineRule="auto"/>
        <w:ind w:left="504"/>
        <w:rPr>
          <w:rFonts w:ascii="宋体" w:hAnsi="宋体" w:eastAsia="宋体" w:cs="宋体"/>
          <w:sz w:val="24"/>
          <w:szCs w:val="24"/>
          <w:highlight w:val="none"/>
        </w:rPr>
      </w:pPr>
      <w:r>
        <w:rPr>
          <w:rFonts w:ascii="宋体" w:hAnsi="宋体" w:eastAsia="宋体" w:cs="宋体"/>
          <w:spacing w:val="-2"/>
          <w:sz w:val="24"/>
          <w:szCs w:val="24"/>
          <w:highlight w:val="none"/>
        </w:rPr>
        <w:t>（</w:t>
      </w:r>
      <w:r>
        <w:rPr>
          <w:rFonts w:ascii="Times New Roman" w:hAnsi="Times New Roman" w:eastAsia="Times New Roman" w:cs="Times New Roman"/>
          <w:spacing w:val="-2"/>
          <w:sz w:val="24"/>
          <w:szCs w:val="24"/>
          <w:highlight w:val="none"/>
        </w:rPr>
        <w:t>11</w:t>
      </w:r>
      <w:r>
        <w:rPr>
          <w:rFonts w:ascii="宋体" w:hAnsi="宋体" w:eastAsia="宋体" w:cs="宋体"/>
          <w:spacing w:val="-2"/>
          <w:sz w:val="24"/>
          <w:szCs w:val="24"/>
          <w:highlight w:val="none"/>
        </w:rPr>
        <w:t>）被依法暂停或者取消投标资格；</w:t>
      </w:r>
    </w:p>
    <w:p w14:paraId="65E8756B">
      <w:pPr>
        <w:spacing w:before="154" w:line="219" w:lineRule="auto"/>
        <w:ind w:left="504"/>
        <w:rPr>
          <w:rFonts w:ascii="宋体" w:hAnsi="宋体" w:eastAsia="宋体" w:cs="宋体"/>
          <w:sz w:val="24"/>
          <w:szCs w:val="24"/>
          <w:highlight w:val="none"/>
        </w:rPr>
      </w:pPr>
      <w:r>
        <w:rPr>
          <w:rFonts w:ascii="宋体" w:hAnsi="宋体" w:eastAsia="宋体" w:cs="宋体"/>
          <w:spacing w:val="-1"/>
          <w:sz w:val="24"/>
          <w:szCs w:val="24"/>
          <w:highlight w:val="none"/>
        </w:rPr>
        <w:t>（</w:t>
      </w:r>
      <w:r>
        <w:rPr>
          <w:rFonts w:ascii="Times New Roman" w:hAnsi="Times New Roman" w:eastAsia="Times New Roman" w:cs="Times New Roman"/>
          <w:spacing w:val="-1"/>
          <w:sz w:val="24"/>
          <w:szCs w:val="24"/>
          <w:highlight w:val="none"/>
        </w:rPr>
        <w:t>12</w:t>
      </w:r>
      <w:r>
        <w:rPr>
          <w:rFonts w:ascii="宋体" w:hAnsi="宋体" w:eastAsia="宋体" w:cs="宋体"/>
          <w:spacing w:val="-1"/>
          <w:sz w:val="24"/>
          <w:szCs w:val="24"/>
          <w:highlight w:val="none"/>
        </w:rPr>
        <w:t>）被责令停产停业、暂扣或者吊销许可证、暂扣或者吊销执照；</w:t>
      </w:r>
    </w:p>
    <w:p w14:paraId="567EDEDF">
      <w:pPr>
        <w:spacing w:before="154" w:line="219" w:lineRule="auto"/>
        <w:ind w:left="504"/>
        <w:rPr>
          <w:rFonts w:ascii="宋体" w:hAnsi="宋体" w:eastAsia="宋体" w:cs="宋体"/>
          <w:spacing w:val="-1"/>
          <w:sz w:val="24"/>
          <w:szCs w:val="24"/>
          <w:highlight w:val="none"/>
        </w:rPr>
      </w:pPr>
      <w:r>
        <w:rPr>
          <w:rFonts w:ascii="宋体" w:hAnsi="宋体" w:eastAsia="宋体" w:cs="宋体"/>
          <w:spacing w:val="-1"/>
          <w:sz w:val="24"/>
          <w:szCs w:val="24"/>
          <w:highlight w:val="none"/>
        </w:rPr>
        <w:t>（</w:t>
      </w:r>
      <w:r>
        <w:rPr>
          <w:rFonts w:ascii="Times New Roman" w:hAnsi="Times New Roman" w:eastAsia="Times New Roman" w:cs="Times New Roman"/>
          <w:spacing w:val="-1"/>
          <w:sz w:val="24"/>
          <w:szCs w:val="24"/>
          <w:highlight w:val="none"/>
        </w:rPr>
        <w:t>13</w:t>
      </w:r>
      <w:r>
        <w:rPr>
          <w:rFonts w:ascii="宋体" w:hAnsi="宋体" w:eastAsia="宋体" w:cs="宋体"/>
          <w:spacing w:val="-1"/>
          <w:sz w:val="24"/>
          <w:szCs w:val="24"/>
          <w:highlight w:val="none"/>
        </w:rPr>
        <w:t>）进入清算程序，或被宣告破产，或其他丧失履约能力的情形；</w:t>
      </w:r>
    </w:p>
    <w:p w14:paraId="533C46E1">
      <w:pPr>
        <w:spacing w:before="154" w:line="219" w:lineRule="auto"/>
        <w:ind w:left="504"/>
        <w:rPr>
          <w:rFonts w:ascii="宋体" w:hAnsi="宋体" w:eastAsia="宋体" w:cs="宋体"/>
          <w:spacing w:val="2"/>
          <w:sz w:val="24"/>
          <w:szCs w:val="24"/>
        </w:rPr>
      </w:pPr>
      <w:r>
        <w:rPr>
          <w:rFonts w:ascii="宋体" w:hAnsi="宋体" w:eastAsia="宋体" w:cs="宋体"/>
          <w:spacing w:val="-2"/>
          <w:sz w:val="24"/>
          <w:szCs w:val="24"/>
          <w:highlight w:val="none"/>
        </w:rPr>
        <w:t>（</w:t>
      </w:r>
      <w:r>
        <w:rPr>
          <w:rFonts w:ascii="Times New Roman" w:hAnsi="Times New Roman" w:eastAsia="Times New Roman" w:cs="Times New Roman"/>
          <w:spacing w:val="-2"/>
          <w:sz w:val="24"/>
          <w:szCs w:val="24"/>
          <w:highlight w:val="none"/>
        </w:rPr>
        <w:t>14</w:t>
      </w:r>
      <w:r>
        <w:rPr>
          <w:rFonts w:ascii="宋体" w:hAnsi="宋体" w:eastAsia="宋体" w:cs="宋体"/>
          <w:spacing w:val="-2"/>
          <w:sz w:val="24"/>
          <w:szCs w:val="24"/>
          <w:highlight w:val="none"/>
        </w:rPr>
        <w:t>）在最近三年内发生重大</w:t>
      </w:r>
      <w:r>
        <w:rPr>
          <w:rFonts w:ascii="宋体" w:hAnsi="宋体" w:eastAsia="宋体" w:cs="宋体"/>
          <w:spacing w:val="-1"/>
          <w:sz w:val="24"/>
          <w:szCs w:val="24"/>
          <w:highlight w:val="none"/>
        </w:rPr>
        <w:t>工程质量或安全问题</w:t>
      </w:r>
      <w:r>
        <w:rPr>
          <w:rFonts w:ascii="宋体" w:hAnsi="宋体" w:eastAsia="宋体" w:cs="宋体"/>
          <w:spacing w:val="-2"/>
          <w:sz w:val="24"/>
          <w:szCs w:val="24"/>
          <w:highlight w:val="none"/>
        </w:rPr>
        <w:t>（以相关行业主管部门</w:t>
      </w:r>
      <w:r>
        <w:rPr>
          <w:rFonts w:ascii="宋体" w:hAnsi="宋体" w:eastAsia="宋体" w:cs="宋体"/>
          <w:spacing w:val="-2"/>
          <w:sz w:val="24"/>
          <w:szCs w:val="24"/>
        </w:rPr>
        <w:t>的行政</w:t>
      </w:r>
      <w:bookmarkStart w:id="21" w:name="bookmark116"/>
      <w:bookmarkEnd w:id="21"/>
      <w:r>
        <w:rPr>
          <w:rFonts w:ascii="宋体" w:hAnsi="宋体" w:eastAsia="宋体" w:cs="宋体"/>
          <w:spacing w:val="-1"/>
          <w:sz w:val="24"/>
          <w:szCs w:val="24"/>
        </w:rPr>
        <w:t>处罚决定或司法机关出具的有关法律文书为准</w:t>
      </w:r>
      <w:r>
        <w:rPr>
          <w:rFonts w:ascii="宋体" w:hAnsi="宋体" w:eastAsia="宋体" w:cs="宋体"/>
          <w:spacing w:val="2"/>
          <w:sz w:val="24"/>
          <w:szCs w:val="24"/>
        </w:rPr>
        <w:t>）；</w:t>
      </w:r>
    </w:p>
    <w:p w14:paraId="1AFE5303">
      <w:pPr>
        <w:spacing w:before="154" w:line="219" w:lineRule="auto"/>
        <w:ind w:left="50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15</w:t>
      </w:r>
      <w:r>
        <w:rPr>
          <w:rFonts w:ascii="宋体" w:hAnsi="宋体" w:eastAsia="宋体" w:cs="宋体"/>
          <w:spacing w:val="-2"/>
          <w:sz w:val="24"/>
          <w:szCs w:val="24"/>
        </w:rPr>
        <w:t>）被“信用中国”网站（</w:t>
      </w:r>
      <w:r>
        <w:rPr>
          <w:rFonts w:ascii="Times New Roman" w:hAnsi="Times New Roman" w:eastAsia="Times New Roman" w:cs="Times New Roman"/>
          <w:spacing w:val="-2"/>
          <w:sz w:val="24"/>
          <w:szCs w:val="24"/>
        </w:rPr>
        <w:t>https://www.creditchina.gov.cn</w:t>
      </w:r>
      <w:r>
        <w:rPr>
          <w:rFonts w:ascii="宋体" w:hAnsi="宋体" w:eastAsia="宋体" w:cs="宋体"/>
          <w:spacing w:val="-2"/>
          <w:sz w:val="24"/>
          <w:szCs w:val="24"/>
        </w:rPr>
        <w:t>）发布的《法人和</w:t>
      </w:r>
      <w:r>
        <w:rPr>
          <w:rFonts w:ascii="宋体" w:hAnsi="宋体" w:eastAsia="宋体" w:cs="宋体"/>
          <w:spacing w:val="-3"/>
          <w:sz w:val="24"/>
          <w:szCs w:val="24"/>
        </w:rPr>
        <w:t>非法</w:t>
      </w:r>
      <w:r>
        <w:rPr>
          <w:rFonts w:ascii="宋体" w:hAnsi="宋体" w:eastAsia="宋体" w:cs="宋体"/>
          <w:spacing w:val="3"/>
          <w:sz w:val="24"/>
          <w:szCs w:val="24"/>
        </w:rPr>
        <w:t>人组织公共信用信息报告》</w:t>
      </w:r>
      <w:r>
        <w:rPr>
          <w:rFonts w:ascii="宋体" w:hAnsi="宋体" w:eastAsia="宋体" w:cs="宋体"/>
          <w:spacing w:val="-3"/>
          <w:sz w:val="24"/>
          <w:szCs w:val="24"/>
        </w:rPr>
        <w:t>列为严重失信主体名单的。</w:t>
      </w:r>
    </w:p>
    <w:p w14:paraId="16CF0A00">
      <w:pPr>
        <w:spacing w:before="155" w:line="219" w:lineRule="auto"/>
        <w:ind w:left="706"/>
        <w:rPr>
          <w:rFonts w:ascii="宋体" w:hAnsi="宋体" w:eastAsia="宋体" w:cs="宋体"/>
          <w:color w:val="auto"/>
          <w:sz w:val="24"/>
          <w:szCs w:val="24"/>
        </w:rPr>
      </w:pPr>
      <w:r>
        <w:rPr>
          <w:rFonts w:ascii="Times New Roman" w:hAnsi="Times New Roman" w:eastAsia="Times New Roman" w:cs="Times New Roman"/>
          <w:b/>
          <w:bCs/>
          <w:color w:val="auto"/>
          <w:sz w:val="24"/>
          <w:szCs w:val="24"/>
        </w:rPr>
        <w:t>2.4.2</w:t>
      </w:r>
      <w:r>
        <w:rPr>
          <w:rFonts w:ascii="宋体" w:hAnsi="宋体" w:eastAsia="宋体" w:cs="宋体"/>
          <w:color w:val="auto"/>
          <w:sz w:val="24"/>
          <w:szCs w:val="24"/>
        </w:rPr>
        <w:t>招标人拒绝以下名单中的单位</w:t>
      </w:r>
      <w:r>
        <w:rPr>
          <w:rFonts w:ascii="宋体" w:hAnsi="宋体" w:eastAsia="宋体" w:cs="宋体"/>
          <w:color w:val="auto"/>
          <w:spacing w:val="-1"/>
          <w:sz w:val="24"/>
          <w:szCs w:val="24"/>
        </w:rPr>
        <w:t>参加本次投标：</w:t>
      </w:r>
    </w:p>
    <w:p w14:paraId="025B3D79">
      <w:pPr>
        <w:spacing w:line="93" w:lineRule="auto"/>
        <w:rPr>
          <w:color w:val="auto"/>
          <w:sz w:val="2"/>
        </w:rPr>
      </w:pPr>
    </w:p>
    <w:tbl>
      <w:tblPr>
        <w:tblStyle w:val="14"/>
        <w:tblW w:w="10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9"/>
        <w:gridCol w:w="4544"/>
        <w:gridCol w:w="4826"/>
      </w:tblGrid>
      <w:tr w14:paraId="7537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dxa"/>
            <w:noWrap w:val="0"/>
            <w:vAlign w:val="top"/>
          </w:tcPr>
          <w:p w14:paraId="726E4A69">
            <w:pPr>
              <w:widowControl w:val="0"/>
              <w:spacing w:before="113" w:line="219" w:lineRule="auto"/>
              <w:jc w:val="center"/>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序号</w:t>
            </w:r>
          </w:p>
        </w:tc>
        <w:tc>
          <w:tcPr>
            <w:tcW w:w="4544" w:type="dxa"/>
            <w:noWrap w:val="0"/>
            <w:vAlign w:val="center"/>
          </w:tcPr>
          <w:p w14:paraId="5105B5ED">
            <w:pPr>
              <w:widowControl w:val="0"/>
              <w:wordWrap w:val="0"/>
              <w:spacing w:line="400" w:lineRule="exact"/>
              <w:rPr>
                <w:rFonts w:hint="eastAsia" w:ascii="宋体" w:hAnsi="宋体" w:eastAsia="宋体" w:cs="宋体"/>
                <w:spacing w:val="-1"/>
                <w:sz w:val="24"/>
                <w:szCs w:val="24"/>
              </w:rPr>
            </w:pPr>
            <w:r>
              <w:rPr>
                <w:rFonts w:hint="eastAsia" w:ascii="宋体" w:hAnsi="宋体" w:eastAsia="宋体" w:cs="宋体"/>
                <w:sz w:val="24"/>
                <w:szCs w:val="24"/>
              </w:rPr>
              <w:t>单位名称</w:t>
            </w:r>
          </w:p>
        </w:tc>
        <w:tc>
          <w:tcPr>
            <w:tcW w:w="4826" w:type="dxa"/>
            <w:noWrap w:val="0"/>
            <w:vAlign w:val="center"/>
          </w:tcPr>
          <w:p w14:paraId="399D683B">
            <w:pPr>
              <w:widowControl w:val="0"/>
              <w:wordWrap w:val="0"/>
              <w:spacing w:line="400" w:lineRule="exact"/>
              <w:rPr>
                <w:rFonts w:hint="eastAsia" w:ascii="宋体" w:hAnsi="宋体" w:eastAsia="宋体" w:cs="宋体"/>
                <w:spacing w:val="-1"/>
                <w:sz w:val="24"/>
                <w:szCs w:val="24"/>
              </w:rPr>
            </w:pPr>
            <w:r>
              <w:rPr>
                <w:rFonts w:hint="eastAsia" w:ascii="宋体" w:hAnsi="宋体" w:eastAsia="宋体" w:cs="宋体"/>
                <w:sz w:val="24"/>
                <w:szCs w:val="24"/>
              </w:rPr>
              <w:t>拒绝原因</w:t>
            </w:r>
          </w:p>
        </w:tc>
      </w:tr>
      <w:tr w14:paraId="6901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dxa"/>
            <w:noWrap w:val="0"/>
            <w:vAlign w:val="top"/>
          </w:tcPr>
          <w:p w14:paraId="242929B4">
            <w:pPr>
              <w:widowControl w:val="0"/>
              <w:spacing w:before="113" w:line="219" w:lineRule="auto"/>
              <w:jc w:val="center"/>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w:t>
            </w:r>
          </w:p>
        </w:tc>
        <w:tc>
          <w:tcPr>
            <w:tcW w:w="4544" w:type="dxa"/>
            <w:noWrap w:val="0"/>
            <w:vAlign w:val="top"/>
          </w:tcPr>
          <w:p w14:paraId="44A39EAA">
            <w:pPr>
              <w:widowControl w:val="0"/>
              <w:spacing w:before="113" w:line="219" w:lineRule="auto"/>
              <w:rPr>
                <w:rFonts w:hint="eastAsia" w:ascii="宋体" w:hAnsi="宋体" w:eastAsia="宋体" w:cs="宋体"/>
                <w:spacing w:val="-1"/>
                <w:sz w:val="24"/>
                <w:szCs w:val="24"/>
              </w:rPr>
            </w:pPr>
            <w:r>
              <w:rPr>
                <w:rFonts w:hint="eastAsia" w:ascii="宋体" w:hAnsi="宋体" w:eastAsia="宋体" w:cs="宋体"/>
                <w:sz w:val="24"/>
                <w:szCs w:val="24"/>
                <w:lang w:eastAsia="zh-CN"/>
              </w:rPr>
              <w:t>乐昌市三溪镇人民政府</w:t>
            </w:r>
          </w:p>
        </w:tc>
        <w:tc>
          <w:tcPr>
            <w:tcW w:w="4826" w:type="dxa"/>
            <w:noWrap w:val="0"/>
            <w:vAlign w:val="center"/>
          </w:tcPr>
          <w:p w14:paraId="0CD4503B">
            <w:pPr>
              <w:pStyle w:val="22"/>
              <w:wordWrap w:val="0"/>
              <w:adjustRightInd w:val="0"/>
              <w:snapToGrid w:val="0"/>
              <w:spacing w:line="360" w:lineRule="auto"/>
              <w:jc w:val="left"/>
              <w:rPr>
                <w:rFonts w:hint="eastAsia" w:ascii="宋体" w:hAnsi="宋体" w:cs="宋体"/>
                <w:spacing w:val="-1"/>
                <w:sz w:val="24"/>
              </w:rPr>
            </w:pPr>
            <w:r>
              <w:rPr>
                <w:rFonts w:hint="eastAsia" w:ascii="宋体" w:hAnsi="宋体" w:cs="宋体"/>
                <w:sz w:val="24"/>
              </w:rPr>
              <w:t>为本招标项目的业主单位</w:t>
            </w:r>
          </w:p>
        </w:tc>
      </w:tr>
      <w:tr w14:paraId="3E29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dxa"/>
            <w:noWrap w:val="0"/>
            <w:vAlign w:val="top"/>
          </w:tcPr>
          <w:p w14:paraId="1267DBA0">
            <w:pPr>
              <w:widowControl w:val="0"/>
              <w:spacing w:before="113" w:line="219" w:lineRule="auto"/>
              <w:jc w:val="center"/>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2</w:t>
            </w:r>
          </w:p>
        </w:tc>
        <w:tc>
          <w:tcPr>
            <w:tcW w:w="4544" w:type="dxa"/>
            <w:noWrap w:val="0"/>
            <w:vAlign w:val="top"/>
          </w:tcPr>
          <w:p w14:paraId="255CB04D">
            <w:pPr>
              <w:widowControl w:val="0"/>
              <w:spacing w:before="113" w:line="219" w:lineRule="auto"/>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z w:val="24"/>
                <w:szCs w:val="24"/>
                <w:highlight w:val="none"/>
                <w:shd w:val="clear" w:color="auto" w:fill="FFFFFF"/>
                <w:lang w:eastAsia="zh-CN"/>
              </w:rPr>
              <w:t>皓筠工程设计有限公司</w:t>
            </w:r>
          </w:p>
        </w:tc>
        <w:tc>
          <w:tcPr>
            <w:tcW w:w="4826" w:type="dxa"/>
            <w:noWrap w:val="0"/>
            <w:vAlign w:val="center"/>
          </w:tcPr>
          <w:p w14:paraId="08BFB93C">
            <w:pPr>
              <w:pStyle w:val="22"/>
              <w:wordWrap w:val="0"/>
              <w:adjustRightInd w:val="0"/>
              <w:snapToGrid w:val="0"/>
              <w:spacing w:line="360" w:lineRule="auto"/>
              <w:jc w:val="left"/>
              <w:rPr>
                <w:rFonts w:hint="eastAsia" w:ascii="宋体" w:hAnsi="宋体" w:cs="宋体"/>
                <w:spacing w:val="-1"/>
                <w:sz w:val="24"/>
                <w:highlight w:val="none"/>
              </w:rPr>
            </w:pPr>
            <w:r>
              <w:rPr>
                <w:rFonts w:hint="eastAsia" w:ascii="宋体" w:hAnsi="宋体" w:cs="宋体"/>
                <w:sz w:val="24"/>
                <w:highlight w:val="none"/>
              </w:rPr>
              <w:t>为本招标项目的设计单位</w:t>
            </w:r>
          </w:p>
        </w:tc>
      </w:tr>
      <w:tr w14:paraId="5559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dxa"/>
            <w:noWrap w:val="0"/>
            <w:vAlign w:val="top"/>
          </w:tcPr>
          <w:p w14:paraId="472EC3AD">
            <w:pPr>
              <w:widowControl w:val="0"/>
              <w:spacing w:before="113" w:line="219" w:lineRule="auto"/>
              <w:jc w:val="center"/>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w:t>
            </w:r>
          </w:p>
        </w:tc>
        <w:tc>
          <w:tcPr>
            <w:tcW w:w="4544" w:type="dxa"/>
            <w:noWrap w:val="0"/>
            <w:vAlign w:val="top"/>
          </w:tcPr>
          <w:p w14:paraId="267B1EC5">
            <w:pPr>
              <w:widowControl w:val="0"/>
              <w:spacing w:before="113" w:line="219" w:lineRule="auto"/>
              <w:rPr>
                <w:rFonts w:hint="eastAsia" w:ascii="宋体" w:hAnsi="宋体" w:eastAsia="宋体" w:cs="宋体"/>
                <w:color w:val="auto"/>
                <w:spacing w:val="-1"/>
                <w:sz w:val="24"/>
                <w:szCs w:val="24"/>
              </w:rPr>
            </w:pPr>
            <w:r>
              <w:rPr>
                <w:rFonts w:hint="eastAsia" w:ascii="宋体" w:hAnsi="宋体" w:eastAsia="宋体" w:cs="宋体"/>
                <w:color w:val="auto"/>
                <w:sz w:val="24"/>
                <w:szCs w:val="24"/>
                <w:lang w:eastAsia="zh-CN"/>
              </w:rPr>
              <w:t>韶关市北桓工程咨询有限公司</w:t>
            </w:r>
          </w:p>
        </w:tc>
        <w:tc>
          <w:tcPr>
            <w:tcW w:w="4826" w:type="dxa"/>
            <w:noWrap w:val="0"/>
            <w:vAlign w:val="center"/>
          </w:tcPr>
          <w:p w14:paraId="44AFA0EC">
            <w:pPr>
              <w:pStyle w:val="22"/>
              <w:wordWrap w:val="0"/>
              <w:adjustRightInd w:val="0"/>
              <w:snapToGrid w:val="0"/>
              <w:spacing w:line="360" w:lineRule="auto"/>
              <w:jc w:val="left"/>
              <w:rPr>
                <w:rFonts w:hint="eastAsia" w:ascii="宋体" w:hAnsi="宋体" w:cs="宋体"/>
                <w:spacing w:val="-1"/>
                <w:sz w:val="24"/>
              </w:rPr>
            </w:pPr>
            <w:r>
              <w:rPr>
                <w:rFonts w:hint="eastAsia" w:ascii="宋体" w:hAnsi="宋体" w:cs="宋体"/>
                <w:sz w:val="24"/>
              </w:rPr>
              <w:t>为本招标项目的招标代理机构</w:t>
            </w:r>
          </w:p>
        </w:tc>
      </w:tr>
      <w:tr w14:paraId="18B0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dxa"/>
            <w:noWrap w:val="0"/>
            <w:vAlign w:val="top"/>
          </w:tcPr>
          <w:p w14:paraId="28E8ECD5">
            <w:pPr>
              <w:widowControl w:val="0"/>
              <w:spacing w:before="113" w:line="219" w:lineRule="auto"/>
              <w:jc w:val="center"/>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4</w:t>
            </w:r>
          </w:p>
        </w:tc>
        <w:tc>
          <w:tcPr>
            <w:tcW w:w="4544" w:type="dxa"/>
            <w:noWrap w:val="0"/>
            <w:vAlign w:val="top"/>
          </w:tcPr>
          <w:p w14:paraId="75CF55EF">
            <w:pPr>
              <w:pStyle w:val="4"/>
              <w:widowControl w:val="0"/>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z w:val="24"/>
                <w:szCs w:val="24"/>
                <w:highlight w:val="none"/>
                <w:shd w:val="clear" w:color="auto" w:fill="FFFFFF"/>
                <w:lang w:eastAsia="zh-CN"/>
              </w:rPr>
              <w:t>金诺智信工程项目管理有限公司</w:t>
            </w:r>
          </w:p>
        </w:tc>
        <w:tc>
          <w:tcPr>
            <w:tcW w:w="4826" w:type="dxa"/>
            <w:noWrap w:val="0"/>
            <w:vAlign w:val="center"/>
          </w:tcPr>
          <w:p w14:paraId="3F0EA313">
            <w:pPr>
              <w:pStyle w:val="22"/>
              <w:wordWrap w:val="0"/>
              <w:adjustRightInd w:val="0"/>
              <w:snapToGrid w:val="0"/>
              <w:spacing w:line="360" w:lineRule="auto"/>
              <w:jc w:val="left"/>
              <w:rPr>
                <w:rFonts w:hint="eastAsia" w:ascii="宋体" w:hAnsi="宋体" w:cs="宋体"/>
                <w:sz w:val="24"/>
                <w:highlight w:val="none"/>
              </w:rPr>
            </w:pPr>
            <w:r>
              <w:rPr>
                <w:rFonts w:hint="eastAsia" w:ascii="宋体" w:hAnsi="宋体" w:cs="宋体"/>
                <w:sz w:val="24"/>
                <w:highlight w:val="none"/>
              </w:rPr>
              <w:t>为本招标项目的预算编制单位</w:t>
            </w:r>
          </w:p>
        </w:tc>
      </w:tr>
      <w:tr w14:paraId="51B84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dxa"/>
            <w:noWrap w:val="0"/>
            <w:vAlign w:val="top"/>
          </w:tcPr>
          <w:p w14:paraId="277D0994">
            <w:pPr>
              <w:widowControl w:val="0"/>
              <w:spacing w:before="113" w:line="219" w:lineRule="auto"/>
              <w:jc w:val="center"/>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5</w:t>
            </w:r>
          </w:p>
        </w:tc>
        <w:tc>
          <w:tcPr>
            <w:tcW w:w="4544" w:type="dxa"/>
            <w:noWrap w:val="0"/>
            <w:vAlign w:val="top"/>
          </w:tcPr>
          <w:p w14:paraId="79DA77F9">
            <w:pPr>
              <w:pStyle w:val="4"/>
              <w:widowControl w:val="0"/>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lang w:eastAsia="zh-CN"/>
              </w:rPr>
              <w:t>待定</w:t>
            </w:r>
          </w:p>
        </w:tc>
        <w:tc>
          <w:tcPr>
            <w:tcW w:w="4826" w:type="dxa"/>
            <w:noWrap w:val="0"/>
            <w:vAlign w:val="center"/>
          </w:tcPr>
          <w:p w14:paraId="42B9F89A">
            <w:pPr>
              <w:pStyle w:val="22"/>
              <w:wordWrap w:val="0"/>
              <w:adjustRightInd w:val="0"/>
              <w:snapToGrid w:val="0"/>
              <w:spacing w:line="360" w:lineRule="auto"/>
              <w:jc w:val="left"/>
              <w:rPr>
                <w:rFonts w:hint="eastAsia" w:ascii="宋体" w:hAnsi="宋体" w:cs="宋体"/>
                <w:sz w:val="24"/>
                <w:highlight w:val="none"/>
              </w:rPr>
            </w:pPr>
            <w:r>
              <w:rPr>
                <w:rFonts w:hint="eastAsia" w:ascii="宋体" w:hAnsi="宋体" w:cs="宋体"/>
                <w:sz w:val="24"/>
                <w:highlight w:val="none"/>
              </w:rPr>
              <w:t>为本招标项目的</w:t>
            </w:r>
            <w:r>
              <w:rPr>
                <w:rFonts w:hint="eastAsia" w:ascii="宋体" w:hAnsi="宋体" w:cs="宋体"/>
                <w:sz w:val="24"/>
                <w:highlight w:val="none"/>
                <w:lang w:val="en-US" w:eastAsia="zh-CN"/>
              </w:rPr>
              <w:t>监理</w:t>
            </w:r>
            <w:r>
              <w:rPr>
                <w:rFonts w:hint="eastAsia" w:ascii="宋体" w:hAnsi="宋体" w:cs="宋体"/>
                <w:sz w:val="24"/>
                <w:highlight w:val="none"/>
              </w:rPr>
              <w:t>单位</w:t>
            </w:r>
          </w:p>
        </w:tc>
      </w:tr>
    </w:tbl>
    <w:p w14:paraId="3DAA4CDF">
      <w:pPr>
        <w:spacing w:before="153" w:line="221" w:lineRule="auto"/>
        <w:ind w:left="706"/>
        <w:rPr>
          <w:rFonts w:ascii="宋体" w:hAnsi="宋体" w:eastAsia="宋体" w:cs="宋体"/>
          <w:color w:val="auto"/>
          <w:sz w:val="24"/>
          <w:szCs w:val="24"/>
        </w:rPr>
      </w:pPr>
      <w:r>
        <w:rPr>
          <w:rFonts w:ascii="Times New Roman" w:hAnsi="Times New Roman" w:eastAsia="Times New Roman" w:cs="Times New Roman"/>
          <w:b/>
          <w:bCs/>
          <w:color w:val="auto"/>
          <w:spacing w:val="-1"/>
          <w:sz w:val="24"/>
          <w:szCs w:val="24"/>
        </w:rPr>
        <w:t>2.5</w:t>
      </w:r>
      <w:r>
        <w:rPr>
          <w:rFonts w:ascii="宋体" w:hAnsi="宋体" w:eastAsia="宋体" w:cs="宋体"/>
          <w:color w:val="auto"/>
          <w:spacing w:val="-1"/>
          <w:sz w:val="24"/>
          <w:szCs w:val="24"/>
        </w:rPr>
        <w:t>其他要求</w:t>
      </w:r>
    </w:p>
    <w:p w14:paraId="2BF5D66A">
      <w:pPr>
        <w:spacing w:before="150" w:line="334" w:lineRule="auto"/>
        <w:ind w:left="232" w:right="99" w:firstLine="481"/>
        <w:rPr>
          <w:rFonts w:ascii="宋体" w:hAnsi="宋体" w:eastAsia="宋体" w:cs="宋体"/>
          <w:sz w:val="24"/>
          <w:szCs w:val="24"/>
        </w:rPr>
      </w:pPr>
      <w:r>
        <w:rPr>
          <w:rFonts w:ascii="宋体" w:hAnsi="宋体" w:eastAsia="宋体" w:cs="宋体"/>
          <w:color w:val="auto"/>
          <w:spacing w:val="-1"/>
          <w:sz w:val="24"/>
          <w:szCs w:val="24"/>
        </w:rPr>
        <w:t>省外企业及其拟派往本项目管理机构的所有</w:t>
      </w:r>
      <w:r>
        <w:rPr>
          <w:rFonts w:ascii="宋体" w:hAnsi="宋体" w:eastAsia="宋体" w:cs="宋体"/>
          <w:color w:val="auto"/>
          <w:spacing w:val="-2"/>
          <w:sz w:val="24"/>
          <w:szCs w:val="24"/>
        </w:rPr>
        <w:t>人员均须按照《广东省住房和城乡建</w:t>
      </w:r>
      <w:r>
        <w:rPr>
          <w:rFonts w:ascii="宋体" w:hAnsi="宋体" w:eastAsia="宋体" w:cs="宋体"/>
          <w:color w:val="auto"/>
          <w:spacing w:val="-1"/>
          <w:sz w:val="24"/>
          <w:szCs w:val="24"/>
        </w:rPr>
        <w:t>设厅关于取消省外建筑企业和人员进粤信息备案有关工作的通知》</w:t>
      </w:r>
      <w:r>
        <w:rPr>
          <w:rFonts w:ascii="宋体" w:hAnsi="宋体" w:eastAsia="宋体" w:cs="宋体"/>
          <w:color w:val="auto"/>
          <w:spacing w:val="-2"/>
          <w:sz w:val="24"/>
          <w:szCs w:val="24"/>
        </w:rPr>
        <w:t>（粤建市﹝</w:t>
      </w:r>
      <w:r>
        <w:rPr>
          <w:rFonts w:ascii="Times New Roman" w:hAnsi="Times New Roman" w:eastAsia="Times New Roman" w:cs="Times New Roman"/>
          <w:color w:val="auto"/>
          <w:spacing w:val="-2"/>
          <w:sz w:val="24"/>
          <w:szCs w:val="24"/>
        </w:rPr>
        <w:t>2015</w:t>
      </w:r>
      <w:r>
        <w:rPr>
          <w:rFonts w:ascii="宋体" w:hAnsi="宋体" w:eastAsia="宋体" w:cs="宋体"/>
          <w:color w:val="auto"/>
          <w:spacing w:val="-2"/>
          <w:sz w:val="24"/>
          <w:szCs w:val="24"/>
        </w:rPr>
        <w:t>﹞</w:t>
      </w:r>
      <w:r>
        <w:rPr>
          <w:rFonts w:ascii="Times New Roman" w:hAnsi="Times New Roman" w:eastAsia="Times New Roman" w:cs="Times New Roman"/>
          <w:color w:val="auto"/>
          <w:spacing w:val="-4"/>
          <w:sz w:val="24"/>
          <w:szCs w:val="24"/>
        </w:rPr>
        <w:t>52</w:t>
      </w:r>
      <w:r>
        <w:rPr>
          <w:rFonts w:ascii="宋体" w:hAnsi="宋体" w:eastAsia="宋体" w:cs="宋体"/>
          <w:color w:val="auto"/>
          <w:spacing w:val="-4"/>
          <w:sz w:val="24"/>
          <w:szCs w:val="24"/>
        </w:rPr>
        <w:t>号）规定在“进粤企业和人员诚信信息登记平台”录</w:t>
      </w:r>
      <w:r>
        <w:rPr>
          <w:rFonts w:ascii="宋体" w:hAnsi="宋体" w:eastAsia="宋体" w:cs="宋体"/>
          <w:spacing w:val="-4"/>
          <w:sz w:val="24"/>
          <w:szCs w:val="24"/>
        </w:rPr>
        <w:t>入相关信息并通过数</w:t>
      </w:r>
      <w:r>
        <w:rPr>
          <w:rFonts w:ascii="宋体" w:hAnsi="宋体" w:eastAsia="宋体" w:cs="宋体"/>
          <w:spacing w:val="-5"/>
          <w:sz w:val="24"/>
          <w:szCs w:val="24"/>
        </w:rPr>
        <w:t>据规范检</w:t>
      </w:r>
      <w:r>
        <w:rPr>
          <w:rFonts w:ascii="宋体" w:hAnsi="宋体" w:eastAsia="宋体" w:cs="宋体"/>
          <w:spacing w:val="-6"/>
          <w:sz w:val="24"/>
          <w:szCs w:val="24"/>
        </w:rPr>
        <w:t>查。</w:t>
      </w:r>
    </w:p>
    <w:p w14:paraId="6DD219AC">
      <w:pPr>
        <w:pStyle w:val="5"/>
        <w:spacing w:line="273" w:lineRule="auto"/>
      </w:pPr>
    </w:p>
    <w:p w14:paraId="4A3A6FAC">
      <w:pPr>
        <w:spacing w:before="79" w:line="220" w:lineRule="auto"/>
        <w:ind w:left="715"/>
        <w:outlineLvl w:val="2"/>
        <w:rPr>
          <w:rFonts w:ascii="宋体" w:hAnsi="宋体" w:eastAsia="宋体" w:cs="宋体"/>
          <w:sz w:val="24"/>
          <w:szCs w:val="24"/>
        </w:rPr>
      </w:pPr>
      <w:bookmarkStart w:id="22" w:name="_Toc10655"/>
      <w:r>
        <w:rPr>
          <w:rFonts w:ascii="宋体" w:hAnsi="宋体" w:eastAsia="宋体" w:cs="宋体"/>
          <w:b/>
          <w:bCs/>
          <w:spacing w:val="-4"/>
          <w:sz w:val="24"/>
          <w:szCs w:val="24"/>
        </w:rPr>
        <w:t>3．招标文件的获取</w:t>
      </w:r>
      <w:bookmarkEnd w:id="22"/>
    </w:p>
    <w:p w14:paraId="74320187">
      <w:pPr>
        <w:spacing w:before="182" w:line="219" w:lineRule="auto"/>
        <w:ind w:left="704"/>
        <w:rPr>
          <w:rFonts w:ascii="宋体" w:hAnsi="宋体" w:eastAsia="宋体" w:cs="宋体"/>
          <w:sz w:val="24"/>
          <w:szCs w:val="24"/>
        </w:rPr>
      </w:pPr>
      <w:r>
        <w:rPr>
          <w:rFonts w:ascii="Times New Roman" w:hAnsi="Times New Roman" w:eastAsia="Times New Roman" w:cs="Times New Roman"/>
          <w:b/>
          <w:bCs/>
          <w:spacing w:val="-1"/>
          <w:sz w:val="24"/>
          <w:szCs w:val="24"/>
        </w:rPr>
        <w:t>3.1</w:t>
      </w:r>
      <w:r>
        <w:rPr>
          <w:rFonts w:ascii="宋体" w:hAnsi="宋体" w:eastAsia="宋体" w:cs="宋体"/>
          <w:spacing w:val="-1"/>
          <w:sz w:val="24"/>
          <w:szCs w:val="24"/>
        </w:rPr>
        <w:t>本次招标实行电子投标。</w:t>
      </w:r>
    </w:p>
    <w:p w14:paraId="2035ADE2">
      <w:pPr>
        <w:spacing w:before="178" w:line="355" w:lineRule="auto"/>
        <w:ind w:left="229" w:firstLine="481"/>
        <w:rPr>
          <w:rFonts w:ascii="宋体" w:hAnsi="宋体" w:eastAsia="宋体" w:cs="宋体"/>
          <w:sz w:val="24"/>
          <w:szCs w:val="24"/>
        </w:rPr>
      </w:pPr>
      <w:r>
        <w:rPr>
          <w:rFonts w:ascii="宋体" w:hAnsi="宋体" w:eastAsia="宋体" w:cs="宋体"/>
          <w:spacing w:val="-1"/>
          <w:sz w:val="24"/>
          <w:szCs w:val="24"/>
        </w:rPr>
        <w:t>本次招标实行电子投标。本项目招标文件随招标公</w:t>
      </w:r>
      <w:r>
        <w:rPr>
          <w:rFonts w:ascii="宋体" w:hAnsi="宋体" w:eastAsia="宋体" w:cs="宋体"/>
          <w:spacing w:val="-2"/>
          <w:sz w:val="24"/>
          <w:szCs w:val="24"/>
        </w:rPr>
        <w:t>告一并在全国公共资源交易平台（广东省·韶关市</w:t>
      </w:r>
      <w:r>
        <w:rPr>
          <w:rFonts w:ascii="宋体" w:hAnsi="宋体" w:eastAsia="宋体" w:cs="宋体"/>
          <w:spacing w:val="-56"/>
          <w:sz w:val="24"/>
          <w:szCs w:val="24"/>
        </w:rPr>
        <w:t>）（</w:t>
      </w:r>
      <w:r>
        <w:rPr>
          <w:rFonts w:ascii="宋体" w:hAnsi="宋体" w:eastAsia="宋体" w:cs="宋体"/>
          <w:spacing w:val="-2"/>
          <w:sz w:val="24"/>
          <w:szCs w:val="24"/>
        </w:rPr>
        <w:t>https://yg</w:t>
      </w:r>
      <w:r>
        <w:rPr>
          <w:rFonts w:ascii="宋体" w:hAnsi="宋体" w:eastAsia="宋体" w:cs="宋体"/>
          <w:spacing w:val="-3"/>
          <w:sz w:val="24"/>
          <w:szCs w:val="24"/>
        </w:rPr>
        <w:t>p.gdzwfw.gov.cn/ggzy-portal/#/440200/index）</w:t>
      </w:r>
      <w:r>
        <w:rPr>
          <w:rFonts w:ascii="宋体" w:hAnsi="宋体" w:eastAsia="宋体" w:cs="宋体"/>
          <w:spacing w:val="-1"/>
          <w:sz w:val="24"/>
          <w:szCs w:val="24"/>
        </w:rPr>
        <w:t>网站发布。招标文件一经发布，视为发送投标人，招标文件及相</w:t>
      </w:r>
      <w:r>
        <w:rPr>
          <w:rFonts w:ascii="宋体" w:hAnsi="宋体" w:eastAsia="宋体" w:cs="宋体"/>
          <w:spacing w:val="-2"/>
          <w:sz w:val="24"/>
          <w:szCs w:val="24"/>
        </w:rPr>
        <w:t>关附件由投标人自行</w:t>
      </w:r>
      <w:r>
        <w:rPr>
          <w:rFonts w:ascii="宋体" w:hAnsi="宋体" w:eastAsia="宋体" w:cs="宋体"/>
          <w:spacing w:val="-7"/>
          <w:sz w:val="24"/>
          <w:szCs w:val="24"/>
        </w:rPr>
        <w:t>在全国公共资源交易平台（广东省·韶关市）网站下载。请于招标文件获取期间,（见</w:t>
      </w:r>
      <w:r>
        <w:rPr>
          <w:rFonts w:ascii="宋体" w:hAnsi="宋体" w:eastAsia="宋体" w:cs="宋体"/>
          <w:spacing w:val="-2"/>
          <w:sz w:val="24"/>
          <w:szCs w:val="24"/>
        </w:rPr>
        <w:t>本章第二节“重要事项时间地点一览表”）招标文件获取期间与招标公告发</w:t>
      </w:r>
      <w:r>
        <w:rPr>
          <w:rFonts w:ascii="宋体" w:hAnsi="宋体" w:eastAsia="宋体" w:cs="宋体"/>
          <w:spacing w:val="-3"/>
          <w:sz w:val="24"/>
          <w:szCs w:val="24"/>
        </w:rPr>
        <w:t>布时间一</w:t>
      </w:r>
      <w:r>
        <w:rPr>
          <w:rFonts w:ascii="宋体" w:hAnsi="宋体" w:eastAsia="宋体" w:cs="宋体"/>
          <w:spacing w:val="-4"/>
          <w:sz w:val="24"/>
          <w:szCs w:val="24"/>
        </w:rPr>
        <w:t>致，投标人须登录全国公共资源交易平台（广东省·韶关市</w:t>
      </w:r>
      <w:r>
        <w:rPr>
          <w:rFonts w:ascii="宋体" w:hAnsi="宋体" w:eastAsia="宋体" w:cs="宋体"/>
          <w:spacing w:val="-40"/>
          <w:sz w:val="24"/>
          <w:szCs w:val="24"/>
        </w:rPr>
        <w:t>）（</w:t>
      </w:r>
      <w:r>
        <w:rPr>
          <w:rFonts w:ascii="宋体" w:hAnsi="宋体" w:eastAsia="宋体" w:cs="宋体"/>
          <w:spacing w:val="-4"/>
          <w:sz w:val="24"/>
          <w:szCs w:val="24"/>
        </w:rPr>
        <w:t>https://ygp.gdzwfw.</w:t>
      </w:r>
      <w:r>
        <w:rPr>
          <w:rFonts w:ascii="宋体" w:hAnsi="宋体" w:eastAsia="宋体" w:cs="宋体"/>
          <w:sz w:val="24"/>
          <w:szCs w:val="24"/>
        </w:rPr>
        <w:t>gov</w:t>
      </w:r>
      <w:r>
        <w:rPr>
          <w:rFonts w:ascii="宋体" w:hAnsi="宋体" w:eastAsia="宋体" w:cs="宋体"/>
          <w:spacing w:val="2"/>
          <w:sz w:val="24"/>
          <w:szCs w:val="24"/>
        </w:rPr>
        <w:t>.</w:t>
      </w:r>
      <w:r>
        <w:rPr>
          <w:rFonts w:ascii="宋体" w:hAnsi="宋体" w:eastAsia="宋体" w:cs="宋体"/>
          <w:sz w:val="24"/>
          <w:szCs w:val="24"/>
        </w:rPr>
        <w:t>cn</w:t>
      </w:r>
      <w:r>
        <w:rPr>
          <w:rFonts w:ascii="宋体" w:hAnsi="宋体" w:eastAsia="宋体" w:cs="宋体"/>
          <w:spacing w:val="2"/>
          <w:sz w:val="24"/>
          <w:szCs w:val="24"/>
        </w:rPr>
        <w:t>/</w:t>
      </w:r>
      <w:r>
        <w:rPr>
          <w:rFonts w:ascii="宋体" w:hAnsi="宋体" w:eastAsia="宋体" w:cs="宋体"/>
          <w:sz w:val="24"/>
          <w:szCs w:val="24"/>
        </w:rPr>
        <w:t>ggzy</w:t>
      </w:r>
      <w:r>
        <w:rPr>
          <w:rFonts w:ascii="宋体" w:hAnsi="宋体" w:eastAsia="宋体" w:cs="宋体"/>
          <w:spacing w:val="2"/>
          <w:sz w:val="24"/>
          <w:szCs w:val="24"/>
        </w:rPr>
        <w:t>-</w:t>
      </w:r>
      <w:r>
        <w:rPr>
          <w:rFonts w:ascii="宋体" w:hAnsi="宋体" w:eastAsia="宋体" w:cs="宋体"/>
          <w:sz w:val="24"/>
          <w:szCs w:val="24"/>
        </w:rPr>
        <w:t>portal</w:t>
      </w:r>
      <w:r>
        <w:rPr>
          <w:rFonts w:ascii="宋体" w:hAnsi="宋体" w:eastAsia="宋体" w:cs="宋体"/>
          <w:spacing w:val="2"/>
          <w:sz w:val="24"/>
          <w:szCs w:val="24"/>
        </w:rPr>
        <w:t>/#/440200/</w:t>
      </w:r>
      <w:r>
        <w:rPr>
          <w:rFonts w:ascii="宋体" w:hAnsi="宋体" w:eastAsia="宋体" w:cs="宋体"/>
          <w:sz w:val="24"/>
          <w:szCs w:val="24"/>
        </w:rPr>
        <w:t>index</w:t>
      </w:r>
      <w:r>
        <w:rPr>
          <w:rFonts w:ascii="宋体" w:hAnsi="宋体" w:eastAsia="宋体" w:cs="宋体"/>
          <w:spacing w:val="7"/>
          <w:sz w:val="24"/>
          <w:szCs w:val="24"/>
        </w:rPr>
        <w:t>），</w:t>
      </w:r>
      <w:r>
        <w:rPr>
          <w:rFonts w:ascii="宋体" w:hAnsi="宋体" w:eastAsia="宋体" w:cs="宋体"/>
          <w:spacing w:val="2"/>
          <w:sz w:val="24"/>
          <w:szCs w:val="24"/>
        </w:rPr>
        <w:t>使用新建设工程交易系统进行下载</w:t>
      </w:r>
      <w:r>
        <w:rPr>
          <w:rFonts w:ascii="宋体" w:hAnsi="宋体" w:eastAsia="宋体" w:cs="宋体"/>
          <w:spacing w:val="1"/>
          <w:sz w:val="24"/>
          <w:szCs w:val="24"/>
        </w:rPr>
        <w:t>招标文</w:t>
      </w:r>
      <w:r>
        <w:rPr>
          <w:rFonts w:ascii="宋体" w:hAnsi="宋体" w:eastAsia="宋体" w:cs="宋体"/>
          <w:spacing w:val="-6"/>
          <w:sz w:val="24"/>
          <w:szCs w:val="24"/>
        </w:rPr>
        <w:t>件及相关附件，并于电子投标截止时间（见本章第二节“重要事项时间地点一览表”）</w:t>
      </w:r>
      <w:r>
        <w:rPr>
          <w:rFonts w:ascii="宋体" w:hAnsi="宋体" w:eastAsia="宋体" w:cs="宋体"/>
          <w:spacing w:val="-2"/>
          <w:sz w:val="24"/>
          <w:szCs w:val="24"/>
        </w:rPr>
        <w:t>前完成电子投标。投标人可登录全国公共资源交易平</w:t>
      </w:r>
      <w:r>
        <w:rPr>
          <w:rFonts w:ascii="宋体" w:hAnsi="宋体" w:eastAsia="宋体" w:cs="宋体"/>
          <w:spacing w:val="-3"/>
          <w:sz w:val="24"/>
          <w:szCs w:val="24"/>
        </w:rPr>
        <w:t>台（广东省·韶关市</w:t>
      </w:r>
      <w:r>
        <w:rPr>
          <w:rFonts w:ascii="宋体" w:hAnsi="宋体" w:eastAsia="宋体" w:cs="宋体"/>
          <w:spacing w:val="-25"/>
          <w:sz w:val="24"/>
          <w:szCs w:val="24"/>
        </w:rPr>
        <w:t>）（</w:t>
      </w:r>
      <w:r>
        <w:rPr>
          <w:rFonts w:ascii="宋体" w:hAnsi="宋体" w:eastAsia="宋体" w:cs="宋体"/>
          <w:spacing w:val="-3"/>
          <w:sz w:val="24"/>
          <w:szCs w:val="24"/>
        </w:rPr>
        <w:t>https:</w:t>
      </w:r>
      <w:r>
        <w:rPr>
          <w:rFonts w:ascii="宋体" w:hAnsi="宋体" w:eastAsia="宋体" w:cs="宋体"/>
          <w:sz w:val="24"/>
          <w:szCs w:val="24"/>
        </w:rPr>
        <w:t>//ygp.gdzwfw.gov.cn/ggz</w:t>
      </w:r>
      <w:r>
        <w:rPr>
          <w:rFonts w:ascii="宋体" w:hAnsi="宋体" w:eastAsia="宋体" w:cs="宋体"/>
          <w:spacing w:val="-1"/>
          <w:sz w:val="24"/>
          <w:szCs w:val="24"/>
        </w:rPr>
        <w:t>y-portal/#/440200/index</w:t>
      </w:r>
      <w:r>
        <w:rPr>
          <w:rFonts w:ascii="宋体" w:hAnsi="宋体" w:eastAsia="宋体" w:cs="宋体"/>
          <w:spacing w:val="-6"/>
          <w:sz w:val="24"/>
          <w:szCs w:val="24"/>
        </w:rPr>
        <w:t>），</w:t>
      </w:r>
      <w:r>
        <w:rPr>
          <w:rFonts w:ascii="宋体" w:hAnsi="宋体" w:eastAsia="宋体" w:cs="宋体"/>
          <w:spacing w:val="-1"/>
          <w:sz w:val="24"/>
          <w:szCs w:val="24"/>
        </w:rPr>
        <w:t>在【服务指南】栏目中建设</w:t>
      </w:r>
      <w:r>
        <w:rPr>
          <w:rFonts w:ascii="宋体" w:hAnsi="宋体" w:eastAsia="宋体" w:cs="宋体"/>
          <w:spacing w:val="-2"/>
          <w:sz w:val="24"/>
          <w:szCs w:val="24"/>
        </w:rPr>
        <w:t>工程交易中下载《韶关市公共资源建设工程交易系统-投</w:t>
      </w:r>
      <w:r>
        <w:rPr>
          <w:rFonts w:ascii="宋体" w:hAnsi="宋体" w:eastAsia="宋体" w:cs="宋体"/>
          <w:spacing w:val="-1"/>
          <w:sz w:val="24"/>
          <w:szCs w:val="24"/>
        </w:rPr>
        <w:t>标人操作指南（电子评标）》（附件2），了解网上获取招标文件操作流程。技术咨询电话：0751-837</w:t>
      </w:r>
      <w:r>
        <w:rPr>
          <w:rFonts w:ascii="宋体" w:hAnsi="宋体" w:eastAsia="宋体" w:cs="宋体"/>
          <w:spacing w:val="-4"/>
          <w:sz w:val="24"/>
          <w:szCs w:val="24"/>
        </w:rPr>
        <w:t>9671伍</w:t>
      </w:r>
      <w:r>
        <w:rPr>
          <w:rFonts w:ascii="宋体" w:hAnsi="宋体" w:eastAsia="宋体" w:cs="宋体"/>
          <w:spacing w:val="-5"/>
          <w:sz w:val="24"/>
          <w:szCs w:val="24"/>
        </w:rPr>
        <w:t>先生，</w:t>
      </w:r>
      <w:r>
        <w:rPr>
          <w:rFonts w:ascii="宋体" w:hAnsi="宋体" w:eastAsia="宋体" w:cs="宋体"/>
          <w:spacing w:val="-1"/>
          <w:sz w:val="24"/>
          <w:szCs w:val="24"/>
        </w:rPr>
        <w:t>业务咨询电话：0751-8633211、8633071。</w:t>
      </w:r>
    </w:p>
    <w:p w14:paraId="53531588">
      <w:pPr>
        <w:spacing w:before="142" w:line="330" w:lineRule="auto"/>
        <w:ind w:left="11" w:right="105" w:firstLine="473"/>
        <w:jc w:val="both"/>
        <w:rPr>
          <w:rFonts w:ascii="宋体" w:hAnsi="宋体" w:eastAsia="宋体" w:cs="宋体"/>
          <w:sz w:val="24"/>
          <w:szCs w:val="24"/>
        </w:rPr>
      </w:pPr>
      <w:r>
        <w:rPr>
          <w:rFonts w:ascii="Times New Roman" w:hAnsi="Times New Roman" w:eastAsia="Times New Roman" w:cs="Times New Roman"/>
          <w:b/>
          <w:bCs/>
          <w:spacing w:val="-1"/>
          <w:sz w:val="24"/>
          <w:szCs w:val="24"/>
        </w:rPr>
        <w:t>3.2</w:t>
      </w:r>
      <w:r>
        <w:rPr>
          <w:rFonts w:ascii="宋体" w:hAnsi="宋体" w:eastAsia="宋体" w:cs="宋体"/>
          <w:spacing w:val="-1"/>
          <w:sz w:val="24"/>
          <w:szCs w:val="24"/>
        </w:rPr>
        <w:t>只有申领了数字证书（CA）、“粤企签”或GDCA/SZCA/NETCA等符合法律法规规定的电子印章，并在交易系统中完成企业信息数据入库</w:t>
      </w:r>
      <w:r>
        <w:rPr>
          <w:rFonts w:ascii="宋体" w:hAnsi="宋体" w:eastAsia="宋体" w:cs="宋体"/>
          <w:spacing w:val="-2"/>
          <w:sz w:val="24"/>
          <w:szCs w:val="24"/>
        </w:rPr>
        <w:t>的投标人，方可使用建设</w:t>
      </w:r>
      <w:r>
        <w:rPr>
          <w:rFonts w:ascii="宋体" w:hAnsi="宋体" w:eastAsia="宋体" w:cs="宋体"/>
          <w:spacing w:val="-1"/>
          <w:sz w:val="24"/>
          <w:szCs w:val="24"/>
        </w:rPr>
        <w:t>工程交易系统进行招标文件及附件获取和电子投标。</w:t>
      </w:r>
    </w:p>
    <w:p w14:paraId="55671F26">
      <w:pPr>
        <w:spacing w:before="32" w:line="332" w:lineRule="auto"/>
        <w:ind w:left="10" w:right="90" w:firstLine="483"/>
        <w:jc w:val="both"/>
        <w:rPr>
          <w:rFonts w:ascii="宋体" w:hAnsi="宋体" w:eastAsia="宋体" w:cs="宋体"/>
          <w:sz w:val="24"/>
          <w:szCs w:val="24"/>
        </w:rPr>
      </w:pPr>
      <w:r>
        <w:rPr>
          <w:rFonts w:ascii="宋体" w:hAnsi="宋体" w:eastAsia="宋体" w:cs="宋体"/>
          <w:spacing w:val="-1"/>
          <w:sz w:val="24"/>
          <w:szCs w:val="24"/>
        </w:rPr>
        <w:t>首次在韶关市参与建设工程招标投标活动的</w:t>
      </w:r>
      <w:r>
        <w:rPr>
          <w:rFonts w:ascii="宋体" w:hAnsi="宋体" w:eastAsia="宋体" w:cs="宋体"/>
          <w:spacing w:val="-2"/>
          <w:sz w:val="24"/>
          <w:szCs w:val="24"/>
        </w:rPr>
        <w:t>投标人，必须在平台系统上传企业相</w:t>
      </w:r>
      <w:r>
        <w:rPr>
          <w:rFonts w:ascii="宋体" w:hAnsi="宋体" w:eastAsia="宋体" w:cs="宋体"/>
          <w:spacing w:val="-3"/>
          <w:sz w:val="24"/>
          <w:szCs w:val="24"/>
        </w:rPr>
        <w:t>关资料办理企业入库事宜。投标人可登录全国公共资源</w:t>
      </w:r>
      <w:r>
        <w:rPr>
          <w:rFonts w:ascii="宋体" w:hAnsi="宋体" w:eastAsia="宋体" w:cs="宋体"/>
          <w:spacing w:val="-4"/>
          <w:sz w:val="24"/>
          <w:szCs w:val="24"/>
        </w:rPr>
        <w:t>交易平台（广东省·韶关市）</w:t>
      </w:r>
      <w:r>
        <w:rPr>
          <w:rFonts w:ascii="宋体" w:hAnsi="宋体" w:eastAsia="宋体" w:cs="宋体"/>
          <w:spacing w:val="-1"/>
          <w:sz w:val="24"/>
          <w:szCs w:val="24"/>
        </w:rPr>
        <w:t>（</w:t>
      </w:r>
      <w:r>
        <w:fldChar w:fldCharType="begin"/>
      </w:r>
      <w:r>
        <w:instrText xml:space="preserve">HYPERLINK"https://ygp.gdzwfw.gov.cn/ggzy-portal/#/440200/index"</w:instrText>
      </w:r>
      <w:r>
        <w:fldChar w:fldCharType="separate"/>
      </w:r>
      <w:r>
        <w:rPr>
          <w:rFonts w:ascii="宋体" w:hAnsi="宋体" w:eastAsia="宋体" w:cs="宋体"/>
          <w:spacing w:val="-1"/>
          <w:sz w:val="24"/>
          <w:szCs w:val="24"/>
        </w:rPr>
        <w:t>https://ygp.gdzwfw.gov.cn/ggzy-portal/#/440200/index</w:t>
      </w:r>
      <w:r>
        <w:rPr>
          <w:rFonts w:ascii="宋体" w:hAnsi="宋体" w:eastAsia="宋体" w:cs="宋体"/>
          <w:spacing w:val="-1"/>
          <w:sz w:val="24"/>
          <w:szCs w:val="24"/>
        </w:rPr>
        <w:fldChar w:fldCharType="end"/>
      </w:r>
      <w:r>
        <w:rPr>
          <w:rFonts w:ascii="宋体" w:hAnsi="宋体" w:eastAsia="宋体" w:cs="宋体"/>
          <w:spacing w:val="-1"/>
          <w:sz w:val="24"/>
          <w:szCs w:val="24"/>
        </w:rPr>
        <w:t>）办理企业入库、数字证书及电子印章事宜，具体请在平台查阅相应的交易指引。</w:t>
      </w:r>
    </w:p>
    <w:p w14:paraId="36F6754C">
      <w:pPr>
        <w:spacing w:before="37" w:line="329" w:lineRule="auto"/>
        <w:ind w:left="9" w:right="105" w:firstLine="507"/>
        <w:jc w:val="both"/>
        <w:rPr>
          <w:rFonts w:ascii="宋体" w:hAnsi="宋体" w:eastAsia="宋体" w:cs="宋体"/>
          <w:sz w:val="24"/>
          <w:szCs w:val="24"/>
        </w:rPr>
      </w:pPr>
      <w:r>
        <w:rPr>
          <w:rFonts w:ascii="宋体" w:hAnsi="宋体" w:eastAsia="宋体" w:cs="宋体"/>
          <w:spacing w:val="-2"/>
          <w:sz w:val="24"/>
          <w:szCs w:val="24"/>
        </w:rPr>
        <w:t>已入库企业有关信息（如单位名称、基本账号、资质、人员等）发生变化</w:t>
      </w:r>
      <w:r>
        <w:rPr>
          <w:rFonts w:ascii="宋体" w:hAnsi="宋体" w:eastAsia="宋体" w:cs="宋体"/>
          <w:spacing w:val="-3"/>
          <w:sz w:val="24"/>
          <w:szCs w:val="24"/>
        </w:rPr>
        <w:t>的，须</w:t>
      </w:r>
      <w:r>
        <w:rPr>
          <w:rFonts w:ascii="宋体" w:hAnsi="宋体" w:eastAsia="宋体" w:cs="宋体"/>
          <w:spacing w:val="-1"/>
          <w:sz w:val="24"/>
          <w:szCs w:val="24"/>
        </w:rPr>
        <w:t>及时在交易系统进行相应变更。投标人未及时变更信息而造成的</w:t>
      </w:r>
      <w:r>
        <w:rPr>
          <w:rFonts w:ascii="宋体" w:hAnsi="宋体" w:eastAsia="宋体" w:cs="宋体"/>
          <w:spacing w:val="-2"/>
          <w:sz w:val="24"/>
          <w:szCs w:val="24"/>
        </w:rPr>
        <w:t>损失和后果，由投标人自行承担。</w:t>
      </w:r>
    </w:p>
    <w:p w14:paraId="401C85F2">
      <w:pPr>
        <w:spacing w:before="33" w:line="335" w:lineRule="auto"/>
        <w:ind w:left="10" w:right="105" w:firstLine="508"/>
        <w:jc w:val="both"/>
        <w:rPr>
          <w:rFonts w:ascii="宋体" w:hAnsi="宋体" w:eastAsia="宋体" w:cs="宋体"/>
          <w:sz w:val="24"/>
          <w:szCs w:val="24"/>
        </w:rPr>
      </w:pPr>
      <w:r>
        <w:rPr>
          <w:rFonts w:ascii="宋体" w:hAnsi="宋体" w:eastAsia="宋体" w:cs="宋体"/>
          <w:spacing w:val="-2"/>
          <w:sz w:val="24"/>
          <w:szCs w:val="24"/>
        </w:rPr>
        <w:t>电子印章：是指获得国家工业和信息化部颁发的《电子认证服务许可</w:t>
      </w:r>
      <w:r>
        <w:rPr>
          <w:rFonts w:ascii="宋体" w:hAnsi="宋体" w:eastAsia="宋体" w:cs="宋体"/>
          <w:spacing w:val="-3"/>
          <w:sz w:val="24"/>
          <w:szCs w:val="24"/>
        </w:rPr>
        <w:t>证》、国家</w:t>
      </w:r>
      <w:r>
        <w:rPr>
          <w:rFonts w:ascii="宋体" w:hAnsi="宋体" w:eastAsia="宋体" w:cs="宋体"/>
          <w:spacing w:val="-1"/>
          <w:sz w:val="24"/>
          <w:szCs w:val="24"/>
        </w:rPr>
        <w:t>密码管理局颁发的《电子认证服务使用密码许可证》等资质，</w:t>
      </w:r>
      <w:r>
        <w:rPr>
          <w:rFonts w:ascii="宋体" w:hAnsi="宋体" w:eastAsia="宋体" w:cs="宋体"/>
          <w:spacing w:val="-2"/>
          <w:sz w:val="24"/>
          <w:szCs w:val="24"/>
        </w:rPr>
        <w:t>具备承担因数字证书原</w:t>
      </w:r>
      <w:r>
        <w:rPr>
          <w:rFonts w:ascii="宋体" w:hAnsi="宋体" w:eastAsia="宋体" w:cs="宋体"/>
          <w:spacing w:val="-1"/>
          <w:sz w:val="24"/>
          <w:szCs w:val="24"/>
        </w:rPr>
        <w:t>因产生纠纷的相关责任的能力，且在广东省内具有数量基础和</w:t>
      </w:r>
      <w:r>
        <w:rPr>
          <w:rFonts w:ascii="宋体" w:hAnsi="宋体" w:eastAsia="宋体" w:cs="宋体"/>
          <w:spacing w:val="-2"/>
          <w:sz w:val="24"/>
          <w:szCs w:val="24"/>
        </w:rPr>
        <w:t>服务能力的依法设立的</w:t>
      </w:r>
      <w:r>
        <w:rPr>
          <w:rFonts w:ascii="宋体" w:hAnsi="宋体" w:eastAsia="宋体" w:cs="宋体"/>
          <w:spacing w:val="3"/>
          <w:sz w:val="24"/>
          <w:szCs w:val="24"/>
        </w:rPr>
        <w:t>电子认证服务机构签发的电子签章认证证书（即</w:t>
      </w:r>
      <w:r>
        <w:rPr>
          <w:rFonts w:ascii="宋体" w:hAnsi="宋体" w:eastAsia="宋体" w:cs="宋体"/>
          <w:sz w:val="24"/>
          <w:szCs w:val="24"/>
        </w:rPr>
        <w:t>CA</w:t>
      </w:r>
      <w:r>
        <w:rPr>
          <w:rFonts w:ascii="宋体" w:hAnsi="宋体" w:eastAsia="宋体" w:cs="宋体"/>
          <w:spacing w:val="3"/>
          <w:sz w:val="24"/>
          <w:szCs w:val="24"/>
        </w:rPr>
        <w:t>数字证书）。投标人应当到相关</w:t>
      </w:r>
      <w:r>
        <w:rPr>
          <w:rFonts w:ascii="宋体" w:hAnsi="宋体" w:eastAsia="宋体" w:cs="宋体"/>
          <w:spacing w:val="-1"/>
          <w:sz w:val="24"/>
          <w:szCs w:val="24"/>
        </w:rPr>
        <w:t>服务机构办理并取得数字证书介质和应用。电子印章包括机构</w:t>
      </w:r>
      <w:r>
        <w:rPr>
          <w:rFonts w:ascii="宋体" w:hAnsi="宋体" w:eastAsia="宋体" w:cs="宋体"/>
          <w:spacing w:val="-2"/>
          <w:sz w:val="24"/>
          <w:szCs w:val="24"/>
        </w:rPr>
        <w:t>法人电子形式印章，单</w:t>
      </w:r>
      <w:r>
        <w:rPr>
          <w:rFonts w:ascii="宋体" w:hAnsi="宋体" w:eastAsia="宋体" w:cs="宋体"/>
          <w:spacing w:val="-1"/>
          <w:sz w:val="24"/>
          <w:szCs w:val="24"/>
        </w:rPr>
        <w:t>位法定代表人、被委托人及其他个人的电子形式印章。电子印</w:t>
      </w:r>
      <w:r>
        <w:rPr>
          <w:rFonts w:ascii="宋体" w:hAnsi="宋体" w:eastAsia="宋体" w:cs="宋体"/>
          <w:spacing w:val="-2"/>
          <w:sz w:val="24"/>
          <w:szCs w:val="24"/>
        </w:rPr>
        <w:t>章与手写签名或者盖章</w:t>
      </w:r>
      <w:r>
        <w:rPr>
          <w:rFonts w:ascii="宋体" w:hAnsi="宋体" w:eastAsia="宋体" w:cs="宋体"/>
          <w:spacing w:val="-1"/>
          <w:sz w:val="24"/>
          <w:szCs w:val="24"/>
        </w:rPr>
        <w:t>具有同等的法律效力。</w:t>
      </w:r>
    </w:p>
    <w:p w14:paraId="5B1D3A6E">
      <w:pPr>
        <w:spacing w:before="33" w:line="221" w:lineRule="auto"/>
        <w:ind w:left="484"/>
        <w:rPr>
          <w:rFonts w:ascii="宋体" w:hAnsi="宋体" w:eastAsia="宋体" w:cs="宋体"/>
          <w:sz w:val="24"/>
          <w:szCs w:val="24"/>
        </w:rPr>
      </w:pPr>
      <w:r>
        <w:rPr>
          <w:rFonts w:ascii="Times New Roman" w:hAnsi="Times New Roman" w:eastAsia="Times New Roman" w:cs="Times New Roman"/>
          <w:b/>
          <w:bCs/>
          <w:spacing w:val="-3"/>
          <w:sz w:val="24"/>
          <w:szCs w:val="24"/>
        </w:rPr>
        <w:t>3.3</w:t>
      </w:r>
      <w:r>
        <w:rPr>
          <w:rFonts w:ascii="宋体" w:hAnsi="宋体" w:eastAsia="宋体" w:cs="宋体"/>
          <w:spacing w:val="-3"/>
          <w:sz w:val="24"/>
          <w:szCs w:val="24"/>
        </w:rPr>
        <w:t>投标保证</w:t>
      </w:r>
    </w:p>
    <w:p w14:paraId="7535F960">
      <w:pPr>
        <w:spacing w:before="152" w:line="280" w:lineRule="auto"/>
        <w:ind w:left="8" w:right="105" w:firstLine="476"/>
        <w:rPr>
          <w:rFonts w:ascii="宋体" w:hAnsi="宋体" w:eastAsia="宋体" w:cs="宋体"/>
          <w:sz w:val="24"/>
          <w:szCs w:val="24"/>
        </w:rPr>
      </w:pPr>
      <w:r>
        <w:rPr>
          <w:rFonts w:ascii="Times New Roman" w:hAnsi="Times New Roman" w:eastAsia="Times New Roman" w:cs="Times New Roman"/>
          <w:b/>
          <w:bCs/>
          <w:spacing w:val="-1"/>
          <w:sz w:val="24"/>
          <w:szCs w:val="24"/>
        </w:rPr>
        <w:t>3.3.1</w:t>
      </w:r>
      <w:r>
        <w:rPr>
          <w:rFonts w:ascii="宋体" w:hAnsi="宋体" w:eastAsia="宋体" w:cs="宋体"/>
          <w:spacing w:val="-1"/>
          <w:sz w:val="24"/>
          <w:szCs w:val="24"/>
        </w:rPr>
        <w:t>投标人须缴纳金额</w:t>
      </w:r>
      <w:r>
        <w:rPr>
          <w:rFonts w:ascii="宋体" w:hAnsi="宋体" w:eastAsia="宋体" w:cs="宋体"/>
          <w:color w:val="auto"/>
          <w:spacing w:val="-1"/>
          <w:sz w:val="24"/>
          <w:szCs w:val="24"/>
        </w:rPr>
        <w:t>为</w:t>
      </w:r>
      <w:r>
        <w:rPr>
          <w:rFonts w:hint="eastAsia" w:ascii="宋体" w:hAnsi="宋体" w:eastAsia="宋体" w:cs="宋体"/>
          <w:color w:val="auto"/>
          <w:spacing w:val="-1"/>
          <w:sz w:val="24"/>
          <w:szCs w:val="24"/>
          <w:u w:val="single"/>
          <w:lang w:eastAsia="zh-CN"/>
        </w:rPr>
        <w:t>5万元</w:t>
      </w:r>
      <w:r>
        <w:rPr>
          <w:rFonts w:ascii="宋体" w:hAnsi="宋体" w:eastAsia="宋体" w:cs="宋体"/>
          <w:color w:val="auto"/>
          <w:spacing w:val="-1"/>
          <w:sz w:val="24"/>
          <w:szCs w:val="24"/>
        </w:rPr>
        <w:t>人民</w:t>
      </w:r>
      <w:r>
        <w:rPr>
          <w:rFonts w:ascii="宋体" w:hAnsi="宋体" w:eastAsia="宋体" w:cs="宋体"/>
          <w:spacing w:val="-1"/>
          <w:sz w:val="24"/>
          <w:szCs w:val="24"/>
        </w:rPr>
        <w:t>币的投标保证。联合体投标的，由联合体牵头人</w:t>
      </w:r>
      <w:r>
        <w:rPr>
          <w:rFonts w:ascii="宋体" w:hAnsi="宋体" w:eastAsia="宋体" w:cs="宋体"/>
          <w:spacing w:val="-3"/>
          <w:sz w:val="24"/>
          <w:szCs w:val="24"/>
        </w:rPr>
        <w:t>缴纳。</w:t>
      </w:r>
    </w:p>
    <w:p w14:paraId="721B5B54">
      <w:pPr>
        <w:spacing w:before="35" w:line="325" w:lineRule="auto"/>
        <w:ind w:left="12" w:right="108" w:firstLine="471"/>
      </w:pPr>
      <w:r>
        <w:rPr>
          <w:rFonts w:ascii="Times New Roman" w:hAnsi="Times New Roman" w:eastAsia="Times New Roman" w:cs="Times New Roman"/>
          <w:b/>
          <w:bCs/>
          <w:spacing w:val="2"/>
          <w:sz w:val="24"/>
          <w:szCs w:val="24"/>
        </w:rPr>
        <w:t>3.3.2</w:t>
      </w:r>
      <w:r>
        <w:rPr>
          <w:rFonts w:ascii="宋体" w:hAnsi="宋体" w:eastAsia="宋体" w:cs="宋体"/>
          <w:spacing w:val="2"/>
          <w:sz w:val="24"/>
          <w:szCs w:val="24"/>
        </w:rPr>
        <w:t>投标保证的形式包括投标保证金、投标保证担保、投标保证保险三种</w:t>
      </w:r>
      <w:r>
        <w:rPr>
          <w:rFonts w:ascii="宋体" w:hAnsi="宋体" w:eastAsia="宋体" w:cs="宋体"/>
          <w:spacing w:val="1"/>
          <w:sz w:val="24"/>
          <w:szCs w:val="24"/>
        </w:rPr>
        <w:t>，由</w:t>
      </w:r>
      <w:r>
        <w:rPr>
          <w:rFonts w:ascii="宋体" w:hAnsi="宋体" w:eastAsia="宋体" w:cs="宋体"/>
          <w:spacing w:val="-2"/>
          <w:sz w:val="24"/>
          <w:szCs w:val="24"/>
        </w:rPr>
        <w:t>投标人自主选择。</w:t>
      </w:r>
    </w:p>
    <w:p w14:paraId="5F1D4740">
      <w:pPr>
        <w:spacing w:before="78" w:line="334" w:lineRule="auto"/>
        <w:ind w:left="12" w:right="2" w:firstLine="490"/>
        <w:jc w:val="both"/>
        <w:rPr>
          <w:rFonts w:ascii="宋体" w:hAnsi="宋体" w:eastAsia="宋体" w:cs="宋体"/>
          <w:spacing w:val="-1"/>
          <w:sz w:val="24"/>
          <w:szCs w:val="24"/>
        </w:rPr>
      </w:pPr>
      <w:bookmarkStart w:id="23" w:name="bookmark117"/>
      <w:bookmarkEnd w:id="23"/>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）采用投标保证金的，投标人在建设工程交易系统获取招</w:t>
      </w:r>
      <w:r>
        <w:rPr>
          <w:rFonts w:ascii="宋体" w:hAnsi="宋体" w:eastAsia="宋体" w:cs="宋体"/>
          <w:spacing w:val="1"/>
          <w:sz w:val="24"/>
          <w:szCs w:val="24"/>
        </w:rPr>
        <w:t>标文件完毕后，即</w:t>
      </w:r>
      <w:r>
        <w:rPr>
          <w:rFonts w:ascii="宋体" w:hAnsi="宋体" w:eastAsia="宋体" w:cs="宋体"/>
          <w:spacing w:val="-1"/>
          <w:sz w:val="24"/>
          <w:szCs w:val="24"/>
        </w:rPr>
        <w:t>可在系统申请缴纳投标保证金，获取本次招标投标保证金缴</w:t>
      </w:r>
      <w:r>
        <w:rPr>
          <w:rFonts w:ascii="宋体" w:hAnsi="宋体" w:eastAsia="宋体" w:cs="宋体"/>
          <w:spacing w:val="-2"/>
          <w:sz w:val="24"/>
          <w:szCs w:val="24"/>
        </w:rPr>
        <w:t>纳账号。投标人必须于投标保证金到账截</w:t>
      </w:r>
      <w:r>
        <w:rPr>
          <w:rFonts w:ascii="宋体" w:hAnsi="宋体" w:eastAsia="宋体" w:cs="宋体"/>
          <w:spacing w:val="-1"/>
          <w:sz w:val="24"/>
          <w:szCs w:val="24"/>
        </w:rPr>
        <w:t>止时间（见本招标文件“重要事项时间地点一览表”）前，从其基本账户将投标保证金转账到指定的缴纳账号。逾期到账的、从非投标人基本账户转出的，其投标无效。</w:t>
      </w:r>
    </w:p>
    <w:p w14:paraId="29B8439E">
      <w:pPr>
        <w:spacing w:before="78" w:line="334" w:lineRule="auto"/>
        <w:ind w:left="12" w:right="2" w:firstLine="490"/>
        <w:jc w:val="both"/>
        <w:rPr>
          <w:rFonts w:ascii="宋体" w:hAnsi="宋体" w:eastAsia="宋体" w:cs="宋体"/>
          <w:spacing w:val="-1"/>
          <w:sz w:val="24"/>
          <w:szCs w:val="24"/>
        </w:rPr>
      </w:pPr>
      <w:r>
        <w:rPr>
          <w:rFonts w:ascii="宋体" w:hAnsi="宋体" w:eastAsia="宋体" w:cs="宋体"/>
          <w:spacing w:val="-1"/>
          <w:sz w:val="24"/>
          <w:szCs w:val="24"/>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1F9F8B4D">
      <w:pPr>
        <w:spacing w:before="78" w:line="334" w:lineRule="auto"/>
        <w:ind w:left="12" w:right="2" w:firstLine="490"/>
        <w:jc w:val="both"/>
        <w:rPr>
          <w:rFonts w:ascii="宋体" w:hAnsi="宋体" w:eastAsia="宋体" w:cs="宋体"/>
          <w:spacing w:val="-3"/>
          <w:sz w:val="24"/>
          <w:szCs w:val="24"/>
        </w:rPr>
      </w:pPr>
      <w:r>
        <w:rPr>
          <w:rFonts w:ascii="宋体" w:hAnsi="宋体" w:eastAsia="宋体" w:cs="宋体"/>
          <w:spacing w:val="-1"/>
          <w:sz w:val="24"/>
          <w:szCs w:val="24"/>
        </w:rPr>
        <w:t>（3）采用投标保证保险的，投标人须在投标保证保险投保截止时间（见本招标文件“重要事项时间地点一览表”）前，使用建设工程交易系统完成网上投保。投标人可在系统选择保险机构、录入投保信息、支付保费、打印</w:t>
      </w:r>
      <w:r>
        <w:rPr>
          <w:rFonts w:ascii="宋体" w:hAnsi="宋体" w:eastAsia="宋体" w:cs="宋体"/>
          <w:spacing w:val="-2"/>
          <w:sz w:val="24"/>
          <w:szCs w:val="24"/>
        </w:rPr>
        <w:t>电子保单，电子保单的有</w:t>
      </w:r>
      <w:r>
        <w:rPr>
          <w:rFonts w:ascii="宋体" w:hAnsi="宋体" w:eastAsia="宋体" w:cs="宋体"/>
          <w:spacing w:val="-3"/>
          <w:sz w:val="24"/>
          <w:szCs w:val="24"/>
        </w:rPr>
        <w:t>效期不得短于投标有效期。投标人可登录全国公共资源交易平台（广东省·韶关市）（</w:t>
      </w:r>
      <w:r>
        <w:rPr>
          <w:rFonts w:ascii="宋体" w:hAnsi="宋体" w:eastAsia="宋体" w:cs="宋体"/>
          <w:spacing w:val="-3"/>
          <w:sz w:val="24"/>
          <w:szCs w:val="24"/>
        </w:rPr>
        <w:fldChar w:fldCharType="begin"/>
      </w:r>
      <w:r>
        <w:rPr>
          <w:rFonts w:ascii="宋体" w:hAnsi="宋体" w:eastAsia="宋体" w:cs="宋体"/>
          <w:spacing w:val="-3"/>
          <w:sz w:val="24"/>
          <w:szCs w:val="24"/>
        </w:rPr>
        <w:instrText xml:space="preserve">HYPERLINK"https://ygp.gdzwfw.gov.cn/ggzy-portal/#/440200/index"</w:instrText>
      </w:r>
      <w:r>
        <w:rPr>
          <w:rFonts w:ascii="宋体" w:hAnsi="宋体" w:eastAsia="宋体" w:cs="宋体"/>
          <w:spacing w:val="-3"/>
          <w:sz w:val="24"/>
          <w:szCs w:val="24"/>
        </w:rPr>
        <w:fldChar w:fldCharType="separate"/>
      </w:r>
      <w:r>
        <w:rPr>
          <w:rFonts w:ascii="宋体" w:hAnsi="宋体" w:eastAsia="宋体" w:cs="宋体"/>
          <w:spacing w:val="-3"/>
          <w:sz w:val="24"/>
          <w:szCs w:val="24"/>
        </w:rPr>
        <w:t>https://ygp.gdzwfw.gov.cn/ggzy-portal/#/440200/index</w:t>
      </w:r>
      <w:r>
        <w:rPr>
          <w:rFonts w:ascii="宋体" w:hAnsi="宋体" w:eastAsia="宋体" w:cs="宋体"/>
          <w:spacing w:val="-3"/>
          <w:sz w:val="24"/>
          <w:szCs w:val="24"/>
        </w:rPr>
        <w:fldChar w:fldCharType="end"/>
      </w:r>
      <w:r>
        <w:rPr>
          <w:rFonts w:ascii="宋体" w:hAnsi="宋体" w:eastAsia="宋体" w:cs="宋体"/>
          <w:spacing w:val="-3"/>
          <w:sz w:val="24"/>
          <w:szCs w:val="24"/>
        </w:rPr>
        <w:t>），在【服务指南】栏目中下载《建设工程网上交易系统保险保证金缴纳操作指南》，了解网上投保具体操作流程。逾期投保的，其投标无效。</w:t>
      </w:r>
    </w:p>
    <w:p w14:paraId="23F003C7">
      <w:pPr>
        <w:spacing w:before="78" w:line="334" w:lineRule="auto"/>
        <w:ind w:left="12" w:right="2" w:firstLine="490"/>
        <w:jc w:val="both"/>
        <w:rPr>
          <w:rFonts w:ascii="宋体" w:hAnsi="宋体" w:eastAsia="宋体" w:cs="宋体"/>
          <w:spacing w:val="-3"/>
          <w:sz w:val="24"/>
          <w:szCs w:val="24"/>
        </w:rPr>
      </w:pPr>
      <w:r>
        <w:rPr>
          <w:rFonts w:ascii="宋体" w:hAnsi="宋体" w:eastAsia="宋体" w:cs="宋体"/>
          <w:spacing w:val="-3"/>
          <w:sz w:val="24"/>
          <w:szCs w:val="24"/>
        </w:rPr>
        <w:t>温馨提示：1.投标人采用投标保证担保或投标保证保险的，为避免在评标过程中因有效期发生争议，建议投标人将银行保函或电子保单有效期设置为较招标文件规定的投标有效期延长不少于20个日历天。</w:t>
      </w:r>
    </w:p>
    <w:p w14:paraId="46BBF62D">
      <w:pPr>
        <w:spacing w:before="78" w:line="334" w:lineRule="auto"/>
        <w:ind w:left="12" w:right="2" w:firstLine="490"/>
        <w:jc w:val="both"/>
      </w:pPr>
      <w:r>
        <w:rPr>
          <w:rFonts w:ascii="Times New Roman" w:hAnsi="Times New Roman" w:eastAsia="Times New Roman" w:cs="Times New Roman"/>
          <w:b/>
          <w:bCs/>
          <w:spacing w:val="2"/>
          <w:sz w:val="24"/>
          <w:szCs w:val="24"/>
        </w:rPr>
        <w:t>3.4</w:t>
      </w:r>
      <w:r>
        <w:rPr>
          <w:rFonts w:ascii="宋体" w:hAnsi="宋体" w:eastAsia="宋体" w:cs="宋体"/>
          <w:spacing w:val="-3"/>
          <w:sz w:val="24"/>
          <w:szCs w:val="24"/>
        </w:rPr>
        <w:t>若投标人因自身原因未能正确完成获取招标文件</w:t>
      </w:r>
      <w:r>
        <w:rPr>
          <w:rFonts w:ascii="宋体" w:hAnsi="宋体" w:eastAsia="宋体" w:cs="宋体"/>
          <w:sz w:val="24"/>
          <w:szCs w:val="24"/>
        </w:rPr>
        <w:t>、电子投标、缴纳投标保证</w:t>
      </w:r>
      <w:r>
        <w:rPr>
          <w:rFonts w:ascii="宋体" w:hAnsi="宋体" w:eastAsia="宋体" w:cs="宋体"/>
          <w:spacing w:val="-4"/>
          <w:sz w:val="24"/>
          <w:szCs w:val="24"/>
        </w:rPr>
        <w:t>的，其投标无效。</w:t>
      </w:r>
    </w:p>
    <w:p w14:paraId="1B2DEC5A">
      <w:pPr>
        <w:spacing w:before="79" w:line="221" w:lineRule="auto"/>
        <w:ind w:left="487"/>
        <w:outlineLvl w:val="2"/>
        <w:rPr>
          <w:rFonts w:ascii="宋体" w:hAnsi="宋体" w:eastAsia="宋体" w:cs="宋体"/>
          <w:sz w:val="24"/>
          <w:szCs w:val="24"/>
        </w:rPr>
      </w:pPr>
      <w:bookmarkStart w:id="24" w:name="bookmark64"/>
      <w:bookmarkEnd w:id="24"/>
      <w:bookmarkStart w:id="25" w:name="bookmark78"/>
      <w:bookmarkEnd w:id="25"/>
      <w:bookmarkStart w:id="26" w:name="_Toc27100"/>
      <w:r>
        <w:rPr>
          <w:rFonts w:ascii="Times New Roman" w:hAnsi="Times New Roman" w:eastAsia="Times New Roman" w:cs="Times New Roman"/>
          <w:b/>
          <w:bCs/>
          <w:spacing w:val="-8"/>
          <w:sz w:val="24"/>
          <w:szCs w:val="24"/>
        </w:rPr>
        <w:t>4</w:t>
      </w:r>
      <w:r>
        <w:rPr>
          <w:rFonts w:ascii="宋体" w:hAnsi="宋体" w:eastAsia="宋体" w:cs="宋体"/>
          <w:b/>
          <w:bCs/>
          <w:spacing w:val="-8"/>
          <w:sz w:val="24"/>
          <w:szCs w:val="24"/>
        </w:rPr>
        <w:t>．工期要求</w:t>
      </w:r>
      <w:bookmarkEnd w:id="26"/>
    </w:p>
    <w:p w14:paraId="5406F7B5">
      <w:pPr>
        <w:spacing w:before="153" w:line="324" w:lineRule="auto"/>
        <w:ind w:left="30" w:right="65" w:firstLine="461"/>
        <w:rPr>
          <w:rFonts w:ascii="宋体" w:hAnsi="宋体" w:eastAsia="宋体" w:cs="宋体"/>
          <w:sz w:val="24"/>
          <w:szCs w:val="24"/>
        </w:rPr>
      </w:pPr>
      <w:r>
        <w:rPr>
          <w:rFonts w:ascii="宋体" w:hAnsi="宋体" w:eastAsia="宋体" w:cs="宋体"/>
          <w:spacing w:val="-2"/>
          <w:sz w:val="24"/>
          <w:szCs w:val="24"/>
        </w:rPr>
        <w:t>本招标项目招标工期为</w:t>
      </w:r>
      <w:r>
        <w:rPr>
          <w:rFonts w:hint="eastAsia" w:ascii="宋体" w:hAnsi="宋体" w:eastAsia="宋体" w:cs="宋体"/>
          <w:spacing w:val="-2"/>
          <w:sz w:val="24"/>
          <w:szCs w:val="24"/>
          <w:lang w:val="en-US" w:eastAsia="zh-CN"/>
        </w:rPr>
        <w:t>90</w:t>
      </w:r>
      <w:r>
        <w:rPr>
          <w:rFonts w:ascii="宋体" w:hAnsi="宋体" w:eastAsia="宋体" w:cs="宋体"/>
          <w:spacing w:val="-2"/>
          <w:sz w:val="24"/>
          <w:szCs w:val="24"/>
        </w:rPr>
        <w:t>个日历天，中标人必须在招标工期内完成招标范围内</w:t>
      </w:r>
      <w:r>
        <w:rPr>
          <w:rFonts w:ascii="宋体" w:hAnsi="宋体" w:eastAsia="宋体" w:cs="宋体"/>
          <w:spacing w:val="-5"/>
          <w:sz w:val="24"/>
          <w:szCs w:val="24"/>
        </w:rPr>
        <w:t>的全部内容。</w:t>
      </w:r>
    </w:p>
    <w:p w14:paraId="2CB2DB47">
      <w:pPr>
        <w:spacing w:before="78" w:line="219" w:lineRule="auto"/>
        <w:ind w:left="488"/>
        <w:outlineLvl w:val="2"/>
        <w:rPr>
          <w:rFonts w:ascii="宋体" w:hAnsi="宋体" w:eastAsia="宋体" w:cs="宋体"/>
          <w:sz w:val="24"/>
          <w:szCs w:val="24"/>
        </w:rPr>
      </w:pPr>
      <w:bookmarkStart w:id="27" w:name="_Toc3173"/>
      <w:r>
        <w:rPr>
          <w:rFonts w:ascii="Times New Roman" w:hAnsi="Times New Roman" w:eastAsia="Times New Roman" w:cs="Times New Roman"/>
          <w:b/>
          <w:bCs/>
          <w:spacing w:val="-5"/>
          <w:sz w:val="24"/>
          <w:szCs w:val="24"/>
        </w:rPr>
        <w:t>5</w:t>
      </w:r>
      <w:r>
        <w:rPr>
          <w:rFonts w:ascii="宋体" w:hAnsi="宋体" w:eastAsia="宋体" w:cs="宋体"/>
          <w:b/>
          <w:bCs/>
          <w:spacing w:val="-5"/>
          <w:sz w:val="24"/>
          <w:szCs w:val="24"/>
        </w:rPr>
        <w:t>．质量标准和材料、机械要求</w:t>
      </w:r>
      <w:bookmarkEnd w:id="27"/>
    </w:p>
    <w:p w14:paraId="6B83ABBF">
      <w:pPr>
        <w:spacing w:before="154" w:line="279" w:lineRule="auto"/>
        <w:ind w:left="11" w:right="99" w:firstLine="477"/>
        <w:rPr>
          <w:rFonts w:ascii="宋体" w:hAnsi="宋体" w:eastAsia="宋体" w:cs="宋体"/>
          <w:sz w:val="24"/>
          <w:szCs w:val="24"/>
        </w:rPr>
      </w:pPr>
      <w:r>
        <w:rPr>
          <w:rFonts w:ascii="Times New Roman" w:hAnsi="Times New Roman" w:eastAsia="Times New Roman" w:cs="Times New Roman"/>
          <w:b/>
          <w:bCs/>
          <w:sz w:val="24"/>
          <w:szCs w:val="24"/>
        </w:rPr>
        <w:t>5.1</w:t>
      </w:r>
      <w:r>
        <w:rPr>
          <w:rFonts w:ascii="宋体" w:hAnsi="宋体" w:eastAsia="宋体" w:cs="宋体"/>
          <w:sz w:val="24"/>
          <w:szCs w:val="24"/>
        </w:rPr>
        <w:t>施工工艺严格按照国家和广东省的有关现行施工技术规范及标准执行，工程</w:t>
      </w:r>
      <w:r>
        <w:rPr>
          <w:rFonts w:ascii="宋体" w:hAnsi="宋体" w:eastAsia="宋体" w:cs="宋体"/>
          <w:spacing w:val="-1"/>
          <w:sz w:val="24"/>
          <w:szCs w:val="24"/>
        </w:rPr>
        <w:t>质量标准须达到</w:t>
      </w:r>
      <w:r>
        <w:rPr>
          <w:rFonts w:ascii="宋体" w:hAnsi="宋体" w:eastAsia="宋体" w:cs="宋体"/>
          <w:spacing w:val="-1"/>
          <w:sz w:val="24"/>
          <w:szCs w:val="24"/>
          <w:u w:val="single"/>
        </w:rPr>
        <w:t>合格标准</w:t>
      </w:r>
      <w:r>
        <w:rPr>
          <w:rFonts w:ascii="宋体" w:hAnsi="宋体" w:eastAsia="宋体" w:cs="宋体"/>
          <w:spacing w:val="-1"/>
          <w:sz w:val="24"/>
          <w:szCs w:val="24"/>
        </w:rPr>
        <w:t>。</w:t>
      </w:r>
    </w:p>
    <w:p w14:paraId="5A697319">
      <w:pPr>
        <w:spacing w:before="154" w:line="279" w:lineRule="auto"/>
        <w:ind w:left="10" w:right="99" w:firstLine="558"/>
        <w:rPr>
          <w:rFonts w:ascii="宋体" w:hAnsi="宋体" w:eastAsia="宋体" w:cs="宋体"/>
          <w:sz w:val="24"/>
          <w:szCs w:val="24"/>
        </w:rPr>
      </w:pPr>
      <w:r>
        <w:rPr>
          <w:rFonts w:ascii="Times New Roman" w:hAnsi="Times New Roman" w:eastAsia="Times New Roman" w:cs="Times New Roman"/>
          <w:b/>
          <w:bCs/>
          <w:spacing w:val="-3"/>
          <w:sz w:val="24"/>
          <w:szCs w:val="24"/>
        </w:rPr>
        <w:t>5.2</w:t>
      </w:r>
      <w:r>
        <w:rPr>
          <w:rFonts w:ascii="宋体" w:hAnsi="宋体" w:eastAsia="宋体" w:cs="宋体"/>
          <w:spacing w:val="-3"/>
          <w:sz w:val="24"/>
          <w:szCs w:val="24"/>
        </w:rPr>
        <w:t>中标人在施工中如果工程质量不符合设计要求和有关规定，招标人或监理单</w:t>
      </w:r>
      <w:r>
        <w:rPr>
          <w:rFonts w:ascii="宋体" w:hAnsi="宋体" w:eastAsia="宋体" w:cs="宋体"/>
          <w:sz w:val="24"/>
          <w:szCs w:val="24"/>
        </w:rPr>
        <w:t>位要求停工和返工的必须立即执行，并承担由此产生的各</w:t>
      </w:r>
      <w:r>
        <w:rPr>
          <w:rFonts w:ascii="宋体" w:hAnsi="宋体" w:eastAsia="宋体" w:cs="宋体"/>
          <w:spacing w:val="-1"/>
          <w:sz w:val="24"/>
          <w:szCs w:val="24"/>
        </w:rPr>
        <w:t>种费用，工期不予顺延。</w:t>
      </w:r>
    </w:p>
    <w:p w14:paraId="14719094">
      <w:pPr>
        <w:spacing w:before="152" w:line="309" w:lineRule="auto"/>
        <w:ind w:left="9" w:firstLine="568"/>
        <w:rPr>
          <w:rFonts w:ascii="宋体" w:hAnsi="宋体" w:eastAsia="宋体" w:cs="宋体"/>
          <w:spacing w:val="-1"/>
          <w:sz w:val="24"/>
          <w:szCs w:val="24"/>
        </w:rPr>
      </w:pPr>
      <w:r>
        <w:rPr>
          <w:rFonts w:ascii="Times New Roman" w:hAnsi="Times New Roman" w:eastAsia="Times New Roman" w:cs="Times New Roman"/>
          <w:b/>
          <w:bCs/>
          <w:spacing w:val="-6"/>
          <w:sz w:val="24"/>
          <w:szCs w:val="24"/>
        </w:rPr>
        <w:t>5.3</w:t>
      </w:r>
      <w:r>
        <w:rPr>
          <w:rFonts w:ascii="宋体" w:hAnsi="宋体" w:eastAsia="宋体" w:cs="宋体"/>
          <w:spacing w:val="-6"/>
          <w:sz w:val="24"/>
          <w:szCs w:val="24"/>
        </w:rPr>
        <w:t>保修期限按《建设工程质量管理条例》（中华人民共和国国务院令第</w:t>
      </w:r>
      <w:r>
        <w:rPr>
          <w:rFonts w:ascii="Times New Roman" w:hAnsi="Times New Roman" w:eastAsia="Times New Roman" w:cs="Times New Roman"/>
          <w:spacing w:val="-6"/>
          <w:sz w:val="24"/>
          <w:szCs w:val="24"/>
        </w:rPr>
        <w:t>279</w:t>
      </w:r>
      <w:r>
        <w:rPr>
          <w:rFonts w:ascii="宋体" w:hAnsi="宋体" w:eastAsia="宋体" w:cs="宋体"/>
          <w:spacing w:val="-6"/>
          <w:sz w:val="24"/>
          <w:szCs w:val="24"/>
        </w:rPr>
        <w:t>号）</w:t>
      </w:r>
      <w:r>
        <w:rPr>
          <w:rFonts w:ascii="宋体" w:hAnsi="宋体" w:eastAsia="宋体" w:cs="宋体"/>
          <w:spacing w:val="-1"/>
          <w:sz w:val="24"/>
          <w:szCs w:val="24"/>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7541221A">
      <w:pPr>
        <w:spacing w:before="152" w:line="309" w:lineRule="auto"/>
        <w:ind w:left="9" w:firstLine="568"/>
        <w:rPr>
          <w:rFonts w:ascii="宋体" w:hAnsi="宋体" w:eastAsia="宋体" w:cs="宋体"/>
          <w:spacing w:val="-1"/>
          <w:sz w:val="24"/>
          <w:szCs w:val="24"/>
        </w:rPr>
      </w:pPr>
      <w:r>
        <w:rPr>
          <w:rFonts w:ascii="Times New Roman" w:hAnsi="Times New Roman" w:eastAsia="Times New Roman" w:cs="Times New Roman"/>
          <w:b/>
          <w:bCs/>
          <w:spacing w:val="-6"/>
          <w:sz w:val="24"/>
          <w:szCs w:val="24"/>
        </w:rPr>
        <w:t>5.4</w:t>
      </w:r>
      <w:r>
        <w:rPr>
          <w:rFonts w:ascii="宋体" w:hAnsi="宋体" w:eastAsia="宋体" w:cs="宋体"/>
          <w:spacing w:val="-1"/>
          <w:sz w:val="24"/>
          <w:szCs w:val="24"/>
        </w:rPr>
        <w:t>本招标项目</w:t>
      </w:r>
      <w:r>
        <w:rPr>
          <w:rFonts w:hint="eastAsia" w:ascii="宋体" w:hAnsi="宋体" w:eastAsia="宋体" w:cs="宋体"/>
          <w:spacing w:val="-1"/>
          <w:sz w:val="24"/>
          <w:szCs w:val="24"/>
          <w:lang w:eastAsia="zh-CN"/>
        </w:rPr>
        <w:t>不</w:t>
      </w:r>
      <w:r>
        <w:rPr>
          <w:rFonts w:ascii="宋体" w:hAnsi="宋体" w:eastAsia="宋体" w:cs="宋体"/>
          <w:spacing w:val="-1"/>
          <w:sz w:val="24"/>
          <w:szCs w:val="24"/>
        </w:rPr>
        <w:t>纳入绿色建筑实施范围</w:t>
      </w:r>
      <w:r>
        <w:rPr>
          <w:rFonts w:hint="eastAsia" w:ascii="宋体" w:hAnsi="宋体" w:eastAsia="宋体" w:cs="宋体"/>
          <w:spacing w:val="-1"/>
          <w:sz w:val="24"/>
          <w:szCs w:val="24"/>
          <w:lang w:eastAsia="zh-CN"/>
        </w:rPr>
        <w:t>。</w:t>
      </w:r>
    </w:p>
    <w:p w14:paraId="713303C4">
      <w:pPr>
        <w:spacing w:before="152" w:line="309" w:lineRule="auto"/>
        <w:ind w:left="9" w:firstLine="568"/>
        <w:rPr>
          <w:rFonts w:ascii="宋体" w:hAnsi="宋体" w:eastAsia="宋体" w:cs="宋体"/>
          <w:spacing w:val="-1"/>
          <w:sz w:val="24"/>
          <w:szCs w:val="24"/>
        </w:rPr>
      </w:pPr>
      <w:r>
        <w:rPr>
          <w:rFonts w:ascii="Times New Roman" w:hAnsi="Times New Roman" w:eastAsia="Times New Roman" w:cs="Times New Roman"/>
          <w:b/>
          <w:bCs/>
          <w:spacing w:val="-6"/>
          <w:sz w:val="24"/>
          <w:szCs w:val="24"/>
        </w:rPr>
        <w:t>5.5</w:t>
      </w:r>
      <w:r>
        <w:rPr>
          <w:rFonts w:ascii="宋体" w:hAnsi="宋体" w:eastAsia="宋体" w:cs="宋体"/>
          <w:spacing w:val="-1"/>
          <w:sz w:val="24"/>
          <w:szCs w:val="24"/>
        </w:rPr>
        <w:t>其它：招标项目</w:t>
      </w:r>
      <w:r>
        <w:rPr>
          <w:rFonts w:hint="eastAsia" w:ascii="宋体" w:hAnsi="宋体" w:eastAsia="宋体" w:cs="宋体"/>
          <w:spacing w:val="-1"/>
          <w:sz w:val="24"/>
          <w:szCs w:val="24"/>
          <w:lang w:eastAsia="zh-CN"/>
        </w:rPr>
        <w:t>不</w:t>
      </w:r>
      <w:r>
        <w:rPr>
          <w:rFonts w:ascii="宋体" w:hAnsi="宋体" w:eastAsia="宋体" w:cs="宋体"/>
          <w:spacing w:val="-1"/>
          <w:sz w:val="24"/>
          <w:szCs w:val="24"/>
        </w:rPr>
        <w:t>纳入装配式建造建设实施范围。</w:t>
      </w:r>
    </w:p>
    <w:p w14:paraId="6E73FF7C">
      <w:pPr>
        <w:spacing w:before="152" w:line="309" w:lineRule="auto"/>
        <w:ind w:left="9" w:firstLine="568"/>
        <w:rPr>
          <w:rFonts w:ascii="宋体" w:hAnsi="宋体" w:eastAsia="宋体" w:cs="宋体"/>
          <w:spacing w:val="-1"/>
          <w:sz w:val="24"/>
          <w:szCs w:val="24"/>
        </w:rPr>
      </w:pPr>
      <w:r>
        <w:rPr>
          <w:rFonts w:ascii="Times New Roman" w:hAnsi="Times New Roman" w:eastAsia="Times New Roman" w:cs="Times New Roman"/>
          <w:b/>
          <w:bCs/>
          <w:spacing w:val="-6"/>
          <w:sz w:val="24"/>
          <w:szCs w:val="24"/>
        </w:rPr>
        <w:t>5.6</w:t>
      </w:r>
      <w:r>
        <w:rPr>
          <w:rFonts w:ascii="宋体" w:hAnsi="宋体" w:eastAsia="宋体" w:cs="宋体"/>
          <w:spacing w:val="-1"/>
          <w:sz w:val="24"/>
          <w:szCs w:val="24"/>
        </w:rPr>
        <w:t>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w:t>
      </w:r>
    </w:p>
    <w:p w14:paraId="159805A6">
      <w:pPr>
        <w:spacing w:before="152" w:line="309" w:lineRule="auto"/>
        <w:ind w:left="9" w:firstLine="568"/>
        <w:rPr>
          <w:rFonts w:ascii="宋体" w:hAnsi="宋体" w:eastAsia="宋体" w:cs="宋体"/>
          <w:spacing w:val="-1"/>
          <w:sz w:val="24"/>
          <w:szCs w:val="24"/>
        </w:rPr>
      </w:pPr>
      <w:r>
        <w:rPr>
          <w:rFonts w:ascii="Times New Roman" w:hAnsi="Times New Roman" w:eastAsia="Times New Roman" w:cs="Times New Roman"/>
          <w:b/>
          <w:bCs/>
          <w:spacing w:val="-6"/>
          <w:sz w:val="24"/>
          <w:szCs w:val="24"/>
        </w:rPr>
        <w:t>5.</w:t>
      </w:r>
      <w:r>
        <w:rPr>
          <w:rFonts w:hint="eastAsia" w:ascii="Times New Roman" w:hAnsi="Times New Roman" w:eastAsia="Times New Roman" w:cs="Times New Roman"/>
          <w:b/>
          <w:bCs/>
          <w:spacing w:val="-6"/>
          <w:sz w:val="24"/>
          <w:szCs w:val="24"/>
          <w:lang w:eastAsia="zh-CN"/>
        </w:rPr>
        <w:t>7</w:t>
      </w:r>
      <w:r>
        <w:rPr>
          <w:rFonts w:ascii="宋体" w:hAnsi="宋体" w:eastAsia="宋体" w:cs="宋体"/>
          <w:spacing w:val="-1"/>
          <w:sz w:val="24"/>
          <w:szCs w:val="24"/>
        </w:rPr>
        <w:t>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752D87AA">
      <w:pPr>
        <w:pStyle w:val="5"/>
        <w:spacing w:line="257" w:lineRule="auto"/>
      </w:pPr>
    </w:p>
    <w:p w14:paraId="4F6247DB">
      <w:pPr>
        <w:spacing w:before="78" w:line="220" w:lineRule="auto"/>
        <w:ind w:left="489"/>
        <w:outlineLvl w:val="2"/>
        <w:rPr>
          <w:rFonts w:ascii="宋体" w:hAnsi="宋体" w:eastAsia="宋体" w:cs="宋体"/>
          <w:sz w:val="24"/>
          <w:szCs w:val="24"/>
        </w:rPr>
      </w:pPr>
      <w:bookmarkStart w:id="28" w:name="_Toc20271"/>
      <w:r>
        <w:rPr>
          <w:rFonts w:ascii="Times New Roman" w:hAnsi="Times New Roman" w:eastAsia="Times New Roman" w:cs="Times New Roman"/>
          <w:b/>
          <w:bCs/>
          <w:spacing w:val="-6"/>
          <w:sz w:val="24"/>
          <w:szCs w:val="24"/>
        </w:rPr>
        <w:t>6</w:t>
      </w:r>
      <w:r>
        <w:rPr>
          <w:rFonts w:ascii="宋体" w:hAnsi="宋体" w:eastAsia="宋体" w:cs="宋体"/>
          <w:b/>
          <w:bCs/>
          <w:spacing w:val="-6"/>
          <w:sz w:val="24"/>
          <w:szCs w:val="24"/>
        </w:rPr>
        <w:t>．施工条件及现场踏勘</w:t>
      </w:r>
      <w:bookmarkEnd w:id="28"/>
    </w:p>
    <w:p w14:paraId="3AE0D2C9">
      <w:pPr>
        <w:keepNext w:val="0"/>
        <w:keepLines w:val="0"/>
        <w:pageBreakBefore w:val="0"/>
        <w:widowControl/>
        <w:kinsoku w:val="0"/>
        <w:wordWrap/>
        <w:overflowPunct/>
        <w:topLinePunct w:val="0"/>
        <w:autoSpaceDE w:val="0"/>
        <w:autoSpaceDN w:val="0"/>
        <w:bidi w:val="0"/>
        <w:adjustRightInd w:val="0"/>
        <w:snapToGrid w:val="0"/>
        <w:spacing w:line="360" w:lineRule="auto"/>
        <w:ind w:left="11" w:right="96" w:firstLine="556"/>
        <w:textAlignment w:val="baseline"/>
        <w:rPr>
          <w:rFonts w:ascii="宋体" w:hAnsi="宋体" w:eastAsia="宋体" w:cs="宋体"/>
          <w:spacing w:val="-2"/>
          <w:sz w:val="24"/>
          <w:szCs w:val="24"/>
        </w:rPr>
      </w:pPr>
      <w:r>
        <w:rPr>
          <w:rFonts w:ascii="Times New Roman" w:hAnsi="Times New Roman" w:eastAsia="Times New Roman" w:cs="Times New Roman"/>
          <w:b/>
          <w:bCs/>
          <w:spacing w:val="-2"/>
          <w:sz w:val="24"/>
          <w:szCs w:val="24"/>
        </w:rPr>
        <w:t>6.1</w:t>
      </w:r>
      <w:r>
        <w:rPr>
          <w:rFonts w:ascii="宋体" w:hAnsi="宋体" w:eastAsia="宋体" w:cs="宋体"/>
          <w:spacing w:val="-2"/>
          <w:sz w:val="24"/>
          <w:szCs w:val="24"/>
        </w:rPr>
        <w:t>招标人仅在本招标项目征地红线范围内提供场地，其他一切场地费用由中标人自行负责（含临时道路）。</w:t>
      </w:r>
    </w:p>
    <w:p w14:paraId="3F177416">
      <w:pPr>
        <w:keepNext w:val="0"/>
        <w:keepLines w:val="0"/>
        <w:pageBreakBefore w:val="0"/>
        <w:widowControl/>
        <w:kinsoku w:val="0"/>
        <w:wordWrap/>
        <w:overflowPunct/>
        <w:topLinePunct w:val="0"/>
        <w:autoSpaceDE w:val="0"/>
        <w:autoSpaceDN w:val="0"/>
        <w:bidi w:val="0"/>
        <w:adjustRightInd w:val="0"/>
        <w:snapToGrid w:val="0"/>
        <w:spacing w:line="360" w:lineRule="auto"/>
        <w:ind w:left="11" w:right="96" w:firstLine="556"/>
        <w:textAlignment w:val="baseline"/>
        <w:rPr>
          <w:rFonts w:ascii="宋体" w:hAnsi="宋体" w:eastAsia="宋体" w:cs="宋体"/>
          <w:spacing w:val="-2"/>
          <w:sz w:val="24"/>
          <w:szCs w:val="24"/>
        </w:rPr>
      </w:pPr>
      <w:bookmarkStart w:id="29" w:name="bookmark118"/>
      <w:bookmarkEnd w:id="29"/>
      <w:r>
        <w:rPr>
          <w:rFonts w:ascii="Times New Roman" w:hAnsi="Times New Roman" w:eastAsia="Times New Roman" w:cs="Times New Roman"/>
          <w:b/>
          <w:bCs/>
          <w:spacing w:val="-2"/>
          <w:sz w:val="24"/>
          <w:szCs w:val="24"/>
        </w:rPr>
        <w:t>6.2</w:t>
      </w:r>
      <w:r>
        <w:rPr>
          <w:rFonts w:ascii="宋体" w:hAnsi="宋体" w:eastAsia="宋体" w:cs="宋体"/>
          <w:spacing w:val="-2"/>
          <w:sz w:val="24"/>
          <w:szCs w:val="24"/>
        </w:rPr>
        <w:t>施工用水：</w:t>
      </w:r>
      <w:r>
        <w:rPr>
          <w:rFonts w:ascii="宋体" w:hAnsi="宋体" w:eastAsia="宋体" w:cs="宋体"/>
          <w:spacing w:val="-2"/>
          <w:sz w:val="24"/>
          <w:szCs w:val="24"/>
          <w:u w:val="single"/>
        </w:rPr>
        <w:t>由中标人自行解决，费用考虑在投标报价中</w:t>
      </w:r>
      <w:r>
        <w:rPr>
          <w:rFonts w:ascii="宋体" w:hAnsi="宋体" w:eastAsia="宋体" w:cs="宋体"/>
          <w:spacing w:val="-2"/>
          <w:sz w:val="24"/>
          <w:szCs w:val="24"/>
        </w:rPr>
        <w:t>。</w:t>
      </w:r>
    </w:p>
    <w:p w14:paraId="391668BC">
      <w:pPr>
        <w:keepNext w:val="0"/>
        <w:keepLines w:val="0"/>
        <w:pageBreakBefore w:val="0"/>
        <w:widowControl/>
        <w:kinsoku w:val="0"/>
        <w:wordWrap/>
        <w:overflowPunct/>
        <w:topLinePunct w:val="0"/>
        <w:autoSpaceDE w:val="0"/>
        <w:autoSpaceDN w:val="0"/>
        <w:bidi w:val="0"/>
        <w:adjustRightInd w:val="0"/>
        <w:snapToGrid w:val="0"/>
        <w:spacing w:line="360" w:lineRule="auto"/>
        <w:ind w:left="11" w:right="96" w:firstLine="556"/>
        <w:textAlignment w:val="baseline"/>
        <w:rPr>
          <w:rFonts w:ascii="宋体" w:hAnsi="宋体" w:eastAsia="宋体" w:cs="宋体"/>
          <w:spacing w:val="-2"/>
          <w:sz w:val="24"/>
          <w:szCs w:val="24"/>
        </w:rPr>
      </w:pPr>
      <w:r>
        <w:rPr>
          <w:rFonts w:ascii="Times New Roman" w:hAnsi="Times New Roman" w:eastAsia="Times New Roman" w:cs="Times New Roman"/>
          <w:b/>
          <w:bCs/>
          <w:spacing w:val="-2"/>
          <w:sz w:val="24"/>
          <w:szCs w:val="24"/>
        </w:rPr>
        <w:t>6.3</w:t>
      </w:r>
      <w:r>
        <w:rPr>
          <w:rFonts w:ascii="宋体" w:hAnsi="宋体" w:eastAsia="宋体" w:cs="宋体"/>
          <w:spacing w:val="-2"/>
          <w:sz w:val="24"/>
          <w:szCs w:val="24"/>
        </w:rPr>
        <w:t>施工用电：</w:t>
      </w:r>
      <w:r>
        <w:rPr>
          <w:rFonts w:ascii="宋体" w:hAnsi="宋体" w:eastAsia="宋体" w:cs="宋体"/>
          <w:spacing w:val="-2"/>
          <w:sz w:val="24"/>
          <w:szCs w:val="24"/>
          <w:u w:val="single"/>
        </w:rPr>
        <w:t>由中标人自行解决，费用考虑在投标报价中</w:t>
      </w:r>
      <w:r>
        <w:rPr>
          <w:rFonts w:ascii="宋体" w:hAnsi="宋体" w:eastAsia="宋体" w:cs="宋体"/>
          <w:spacing w:val="-2"/>
          <w:sz w:val="24"/>
          <w:szCs w:val="24"/>
        </w:rPr>
        <w:t>。</w:t>
      </w:r>
    </w:p>
    <w:p w14:paraId="61FAE6F9">
      <w:pPr>
        <w:keepNext w:val="0"/>
        <w:keepLines w:val="0"/>
        <w:pageBreakBefore w:val="0"/>
        <w:widowControl/>
        <w:kinsoku w:val="0"/>
        <w:wordWrap/>
        <w:overflowPunct/>
        <w:topLinePunct w:val="0"/>
        <w:autoSpaceDE w:val="0"/>
        <w:autoSpaceDN w:val="0"/>
        <w:bidi w:val="0"/>
        <w:adjustRightInd w:val="0"/>
        <w:snapToGrid w:val="0"/>
        <w:spacing w:line="360" w:lineRule="auto"/>
        <w:ind w:left="11" w:right="96" w:firstLine="556"/>
        <w:textAlignment w:val="baseline"/>
        <w:rPr>
          <w:rFonts w:ascii="宋体" w:hAnsi="宋体" w:eastAsia="宋体" w:cs="宋体"/>
          <w:sz w:val="24"/>
          <w:szCs w:val="24"/>
        </w:rPr>
      </w:pPr>
      <w:r>
        <w:rPr>
          <w:rFonts w:ascii="Times New Roman" w:hAnsi="Times New Roman" w:eastAsia="Times New Roman" w:cs="Times New Roman"/>
          <w:b/>
          <w:bCs/>
          <w:spacing w:val="-2"/>
          <w:sz w:val="24"/>
          <w:szCs w:val="24"/>
        </w:rPr>
        <w:t>6.4</w:t>
      </w:r>
      <w:r>
        <w:rPr>
          <w:rFonts w:ascii="宋体" w:hAnsi="宋体" w:eastAsia="宋体" w:cs="宋体"/>
          <w:spacing w:val="-2"/>
          <w:sz w:val="24"/>
          <w:szCs w:val="24"/>
        </w:rPr>
        <w:t>施工用水、用电各提供一驳接点到现场边缘。要求中标人单独安装水表、电表，其水、电费按项目所在地韶关市/</w:t>
      </w:r>
      <w:r>
        <w:rPr>
          <w:rFonts w:hint="eastAsia" w:ascii="宋体" w:hAnsi="宋体" w:eastAsia="宋体" w:cs="宋体"/>
          <w:spacing w:val="-2"/>
          <w:sz w:val="24"/>
          <w:szCs w:val="24"/>
          <w:lang w:val="en-US" w:eastAsia="zh-CN"/>
        </w:rPr>
        <w:t>乐昌市</w:t>
      </w:r>
      <w:r>
        <w:rPr>
          <w:rFonts w:ascii="宋体" w:hAnsi="宋体" w:eastAsia="宋体" w:cs="宋体"/>
          <w:spacing w:val="-2"/>
          <w:sz w:val="24"/>
          <w:szCs w:val="24"/>
        </w:rPr>
        <w:t>基建工程水、电计费</w:t>
      </w:r>
      <w:r>
        <w:rPr>
          <w:rFonts w:ascii="宋体" w:hAnsi="宋体" w:eastAsia="宋体" w:cs="宋体"/>
          <w:spacing w:val="-3"/>
          <w:sz w:val="24"/>
          <w:szCs w:val="24"/>
        </w:rPr>
        <w:t>标准计算并由中标人缴纳。</w:t>
      </w:r>
    </w:p>
    <w:p w14:paraId="2AD49666">
      <w:pPr>
        <w:spacing w:before="154" w:line="299" w:lineRule="auto"/>
        <w:ind w:left="9" w:right="16" w:firstLine="558"/>
        <w:rPr>
          <w:rFonts w:ascii="宋体" w:hAnsi="宋体" w:eastAsia="宋体" w:cs="宋体"/>
          <w:sz w:val="24"/>
          <w:szCs w:val="24"/>
        </w:rPr>
      </w:pPr>
      <w:r>
        <w:rPr>
          <w:rFonts w:ascii="Times New Roman" w:hAnsi="Times New Roman" w:eastAsia="Times New Roman" w:cs="Times New Roman"/>
          <w:b/>
          <w:bCs/>
          <w:spacing w:val="-2"/>
          <w:sz w:val="24"/>
          <w:szCs w:val="24"/>
        </w:rPr>
        <w:t>6.5</w:t>
      </w:r>
      <w:r>
        <w:rPr>
          <w:rFonts w:ascii="宋体" w:hAnsi="宋体" w:eastAsia="宋体" w:cs="宋体"/>
          <w:spacing w:val="-2"/>
          <w:sz w:val="24"/>
          <w:szCs w:val="24"/>
        </w:rPr>
        <w:t>招标人不组织现场踏勘，但会在招标文件及有关设计文件中明确告知招标项</w:t>
      </w:r>
      <w:r>
        <w:rPr>
          <w:rFonts w:ascii="宋体" w:hAnsi="宋体" w:eastAsia="宋体" w:cs="宋体"/>
          <w:spacing w:val="-1"/>
          <w:sz w:val="24"/>
          <w:szCs w:val="24"/>
        </w:rPr>
        <w:t>目的具体位置和周边环境，并在现场设置足以识别的标识或提</w:t>
      </w:r>
      <w:r>
        <w:rPr>
          <w:rFonts w:ascii="宋体" w:hAnsi="宋体" w:eastAsia="宋体" w:cs="宋体"/>
          <w:spacing w:val="-2"/>
          <w:sz w:val="24"/>
          <w:szCs w:val="24"/>
        </w:rPr>
        <w:t>供足以表明招标项目具</w:t>
      </w:r>
      <w:r>
        <w:rPr>
          <w:rFonts w:ascii="宋体" w:hAnsi="宋体" w:eastAsia="宋体" w:cs="宋体"/>
          <w:sz w:val="24"/>
          <w:szCs w:val="24"/>
        </w:rPr>
        <w:t>体位置的文字或图片。投标人需要了解现场情况的</w:t>
      </w:r>
      <w:r>
        <w:rPr>
          <w:rFonts w:ascii="宋体" w:hAnsi="宋体" w:eastAsia="宋体" w:cs="宋体"/>
          <w:spacing w:val="-1"/>
          <w:sz w:val="24"/>
          <w:szCs w:val="24"/>
        </w:rPr>
        <w:t>，可自行进行现场踏勘。</w:t>
      </w:r>
    </w:p>
    <w:p w14:paraId="1107F88D">
      <w:pPr>
        <w:spacing w:before="153" w:line="280" w:lineRule="auto"/>
        <w:ind w:left="9" w:right="16" w:firstLine="558"/>
        <w:rPr>
          <w:rFonts w:ascii="宋体" w:hAnsi="宋体" w:eastAsia="宋体" w:cs="宋体"/>
          <w:sz w:val="24"/>
          <w:szCs w:val="24"/>
        </w:rPr>
      </w:pPr>
      <w:r>
        <w:rPr>
          <w:rFonts w:ascii="Times New Roman" w:hAnsi="Times New Roman" w:eastAsia="Times New Roman" w:cs="Times New Roman"/>
          <w:b/>
          <w:bCs/>
          <w:spacing w:val="-2"/>
          <w:sz w:val="24"/>
          <w:szCs w:val="24"/>
        </w:rPr>
        <w:t>6.6</w:t>
      </w:r>
      <w:r>
        <w:rPr>
          <w:rFonts w:ascii="宋体" w:hAnsi="宋体" w:eastAsia="宋体" w:cs="宋体"/>
          <w:spacing w:val="-2"/>
          <w:sz w:val="24"/>
          <w:szCs w:val="24"/>
        </w:rPr>
        <w:t>在现场踏勘过程中，投标人应确保自身安全，投标人如果发生人身伤亡、财</w:t>
      </w:r>
      <w:r>
        <w:rPr>
          <w:rFonts w:ascii="宋体" w:hAnsi="宋体" w:eastAsia="宋体" w:cs="宋体"/>
          <w:spacing w:val="-1"/>
          <w:sz w:val="24"/>
          <w:szCs w:val="24"/>
        </w:rPr>
        <w:t>物或其他损失，法律法规有规定的按有关规定处理，没有规定</w:t>
      </w:r>
      <w:r>
        <w:rPr>
          <w:rFonts w:ascii="宋体" w:hAnsi="宋体" w:eastAsia="宋体" w:cs="宋体"/>
          <w:spacing w:val="-2"/>
          <w:sz w:val="24"/>
          <w:szCs w:val="24"/>
        </w:rPr>
        <w:t>的由投标人自行负责。</w:t>
      </w:r>
    </w:p>
    <w:p w14:paraId="2757D159">
      <w:pPr>
        <w:spacing w:before="153" w:line="220" w:lineRule="auto"/>
        <w:ind w:left="568"/>
      </w:pPr>
      <w:r>
        <w:rPr>
          <w:rFonts w:ascii="Times New Roman" w:hAnsi="Times New Roman" w:eastAsia="Times New Roman" w:cs="Times New Roman"/>
          <w:b/>
          <w:bCs/>
          <w:sz w:val="24"/>
          <w:szCs w:val="24"/>
        </w:rPr>
        <w:t>6.7</w:t>
      </w:r>
      <w:r>
        <w:rPr>
          <w:rFonts w:ascii="宋体" w:hAnsi="宋体" w:eastAsia="宋体" w:cs="宋体"/>
          <w:sz w:val="24"/>
          <w:szCs w:val="24"/>
        </w:rPr>
        <w:t>现场踏勘期间的交通、食宿由投标人</w:t>
      </w:r>
      <w:r>
        <w:rPr>
          <w:rFonts w:ascii="宋体" w:hAnsi="宋体" w:eastAsia="宋体" w:cs="宋体"/>
          <w:spacing w:val="-1"/>
          <w:sz w:val="24"/>
          <w:szCs w:val="24"/>
        </w:rPr>
        <w:t>自行安排，费用自理。</w:t>
      </w:r>
    </w:p>
    <w:p w14:paraId="6F733AC4">
      <w:pPr>
        <w:pStyle w:val="5"/>
        <w:spacing w:line="257" w:lineRule="auto"/>
      </w:pPr>
    </w:p>
    <w:p w14:paraId="7BC4347A">
      <w:pPr>
        <w:spacing w:before="78" w:line="220" w:lineRule="auto"/>
        <w:ind w:left="488"/>
        <w:outlineLvl w:val="2"/>
        <w:rPr>
          <w:rFonts w:ascii="宋体" w:hAnsi="宋体" w:eastAsia="宋体" w:cs="宋体"/>
          <w:sz w:val="24"/>
          <w:szCs w:val="24"/>
        </w:rPr>
      </w:pPr>
      <w:bookmarkStart w:id="30" w:name="bookmark81"/>
      <w:bookmarkEnd w:id="30"/>
      <w:bookmarkStart w:id="31" w:name="bookmark67"/>
      <w:bookmarkEnd w:id="31"/>
      <w:bookmarkStart w:id="32" w:name="bookmark69"/>
      <w:bookmarkEnd w:id="32"/>
      <w:bookmarkStart w:id="33" w:name="_Toc9426"/>
      <w:r>
        <w:rPr>
          <w:rFonts w:ascii="Times New Roman" w:hAnsi="Times New Roman" w:eastAsia="Times New Roman" w:cs="Times New Roman"/>
          <w:b/>
          <w:bCs/>
          <w:spacing w:val="-5"/>
          <w:sz w:val="24"/>
          <w:szCs w:val="24"/>
        </w:rPr>
        <w:t>7</w:t>
      </w:r>
      <w:r>
        <w:rPr>
          <w:rFonts w:ascii="宋体" w:hAnsi="宋体" w:eastAsia="宋体" w:cs="宋体"/>
          <w:b/>
          <w:bCs/>
          <w:spacing w:val="-5"/>
          <w:sz w:val="24"/>
          <w:szCs w:val="24"/>
        </w:rPr>
        <w:t>．招标文件的提问和答疑</w:t>
      </w:r>
      <w:bookmarkEnd w:id="33"/>
    </w:p>
    <w:p w14:paraId="608F7188">
      <w:pPr>
        <w:spacing w:before="153" w:line="299" w:lineRule="auto"/>
        <w:ind w:left="9" w:right="16" w:firstLine="478"/>
        <w:rPr>
          <w:rFonts w:ascii="宋体" w:hAnsi="宋体" w:eastAsia="宋体" w:cs="宋体"/>
          <w:sz w:val="24"/>
          <w:szCs w:val="24"/>
        </w:rPr>
      </w:pPr>
      <w:r>
        <w:rPr>
          <w:rFonts w:ascii="Times New Roman" w:hAnsi="Times New Roman" w:eastAsia="Times New Roman" w:cs="Times New Roman"/>
          <w:b/>
          <w:bCs/>
          <w:sz w:val="24"/>
          <w:szCs w:val="24"/>
        </w:rPr>
        <w:t>7.1</w:t>
      </w:r>
      <w:r>
        <w:rPr>
          <w:rFonts w:ascii="宋体" w:hAnsi="宋体" w:eastAsia="宋体" w:cs="宋体"/>
          <w:sz w:val="24"/>
          <w:szCs w:val="24"/>
        </w:rPr>
        <w:t>投标人若对招标文件（含施工图、招标工程量清单）有疑问，应在提问截止</w:t>
      </w:r>
      <w:r>
        <w:rPr>
          <w:rFonts w:ascii="宋体" w:hAnsi="宋体" w:eastAsia="宋体" w:cs="宋体"/>
          <w:spacing w:val="-2"/>
          <w:sz w:val="24"/>
          <w:szCs w:val="24"/>
        </w:rPr>
        <w:t>时间（见本章第二节“重要事项时间地点一览表”）前使用建设工程交易</w:t>
      </w:r>
      <w:r>
        <w:rPr>
          <w:rFonts w:ascii="宋体" w:hAnsi="宋体" w:eastAsia="宋体" w:cs="宋体"/>
          <w:spacing w:val="-3"/>
          <w:sz w:val="24"/>
          <w:szCs w:val="24"/>
        </w:rPr>
        <w:t>系统提出问</w:t>
      </w:r>
      <w:r>
        <w:rPr>
          <w:rFonts w:ascii="宋体" w:hAnsi="宋体" w:eastAsia="宋体" w:cs="宋体"/>
          <w:spacing w:val="-1"/>
          <w:sz w:val="24"/>
          <w:szCs w:val="24"/>
        </w:rPr>
        <w:t>题。未在指定时间前、未采用指定方式提出的，招标人不予受理。</w:t>
      </w:r>
    </w:p>
    <w:p w14:paraId="66FE711D">
      <w:pPr>
        <w:spacing w:before="154" w:line="309" w:lineRule="auto"/>
        <w:ind w:left="9" w:right="16" w:firstLine="558"/>
        <w:rPr>
          <w:rFonts w:ascii="宋体" w:hAnsi="宋体" w:eastAsia="宋体" w:cs="宋体"/>
          <w:sz w:val="24"/>
          <w:szCs w:val="24"/>
        </w:rPr>
      </w:pPr>
      <w:r>
        <w:rPr>
          <w:rFonts w:ascii="Times New Roman" w:hAnsi="Times New Roman" w:eastAsia="Times New Roman" w:cs="Times New Roman"/>
          <w:b/>
          <w:bCs/>
          <w:spacing w:val="-1"/>
          <w:sz w:val="24"/>
          <w:szCs w:val="24"/>
        </w:rPr>
        <w:t>7.2</w:t>
      </w:r>
      <w:r>
        <w:rPr>
          <w:rFonts w:ascii="宋体" w:hAnsi="宋体" w:eastAsia="宋体" w:cs="宋体"/>
          <w:spacing w:val="-1"/>
          <w:sz w:val="24"/>
          <w:szCs w:val="24"/>
        </w:rPr>
        <w:t>招标人在提问截止时间（见本章第二节“重要</w:t>
      </w:r>
      <w:r>
        <w:rPr>
          <w:rFonts w:ascii="宋体" w:hAnsi="宋体" w:eastAsia="宋体" w:cs="宋体"/>
          <w:spacing w:val="-2"/>
          <w:sz w:val="24"/>
          <w:szCs w:val="24"/>
        </w:rPr>
        <w:t>事项时间地点一览表”）后</w:t>
      </w:r>
      <w:r>
        <w:rPr>
          <w:rFonts w:ascii="Times New Roman" w:hAnsi="Times New Roman" w:eastAsia="Times New Roman" w:cs="Times New Roman"/>
          <w:spacing w:val="-2"/>
          <w:sz w:val="24"/>
          <w:szCs w:val="24"/>
        </w:rPr>
        <w:t>3</w:t>
      </w:r>
      <w:r>
        <w:rPr>
          <w:rFonts w:ascii="宋体" w:hAnsi="宋体" w:eastAsia="宋体" w:cs="宋体"/>
          <w:spacing w:val="-1"/>
          <w:sz w:val="24"/>
          <w:szCs w:val="24"/>
        </w:rPr>
        <w:t>日内，一次性对收到的所有问题作出答复，并形成答疑（或修</w:t>
      </w:r>
      <w:r>
        <w:rPr>
          <w:rFonts w:ascii="宋体" w:hAnsi="宋体" w:eastAsia="宋体" w:cs="宋体"/>
          <w:spacing w:val="-2"/>
          <w:sz w:val="24"/>
          <w:szCs w:val="24"/>
        </w:rPr>
        <w:t>改）公告在发布招标公</w:t>
      </w:r>
      <w:r>
        <w:rPr>
          <w:rFonts w:ascii="宋体" w:hAnsi="宋体" w:eastAsia="宋体" w:cs="宋体"/>
          <w:spacing w:val="-1"/>
          <w:sz w:val="24"/>
          <w:szCs w:val="24"/>
        </w:rPr>
        <w:t>告的媒介上公开发布。答疑（或修改）公告一旦发布，即视所</w:t>
      </w:r>
      <w:r>
        <w:rPr>
          <w:rFonts w:ascii="宋体" w:hAnsi="宋体" w:eastAsia="宋体" w:cs="宋体"/>
          <w:spacing w:val="-2"/>
          <w:sz w:val="24"/>
          <w:szCs w:val="24"/>
        </w:rPr>
        <w:t>有潜在投标人已经知悉</w:t>
      </w:r>
      <w:r>
        <w:rPr>
          <w:rFonts w:ascii="宋体" w:hAnsi="宋体" w:eastAsia="宋体" w:cs="宋体"/>
          <w:spacing w:val="-1"/>
          <w:sz w:val="24"/>
          <w:szCs w:val="24"/>
        </w:rPr>
        <w:t>答疑（或修改）内容，投标人未及时关注而造成的损失和后果</w:t>
      </w:r>
      <w:r>
        <w:rPr>
          <w:rFonts w:ascii="宋体" w:hAnsi="宋体" w:eastAsia="宋体" w:cs="宋体"/>
          <w:spacing w:val="-2"/>
          <w:sz w:val="24"/>
          <w:szCs w:val="24"/>
        </w:rPr>
        <w:t>，由投标人自行承担。</w:t>
      </w:r>
    </w:p>
    <w:p w14:paraId="73C1C6C3">
      <w:pPr>
        <w:spacing w:before="152" w:line="219" w:lineRule="auto"/>
        <w:ind w:firstLine="476" w:firstLineChars="200"/>
        <w:jc w:val="both"/>
      </w:pPr>
      <w:r>
        <w:rPr>
          <w:rFonts w:ascii="Times New Roman" w:hAnsi="Times New Roman" w:eastAsia="Times New Roman" w:cs="Times New Roman"/>
          <w:b/>
          <w:bCs/>
          <w:spacing w:val="-1"/>
          <w:sz w:val="24"/>
          <w:szCs w:val="24"/>
        </w:rPr>
        <w:t>7.3</w:t>
      </w:r>
      <w:r>
        <w:rPr>
          <w:rFonts w:ascii="宋体" w:hAnsi="宋体" w:eastAsia="宋体" w:cs="宋体"/>
          <w:spacing w:val="-1"/>
          <w:sz w:val="24"/>
          <w:szCs w:val="24"/>
        </w:rPr>
        <w:t>招标人对招标文件所作的答疑（或修改）公告，构成</w:t>
      </w:r>
      <w:r>
        <w:rPr>
          <w:rFonts w:ascii="宋体" w:hAnsi="宋体" w:eastAsia="宋体" w:cs="宋体"/>
          <w:spacing w:val="-2"/>
          <w:sz w:val="24"/>
          <w:szCs w:val="24"/>
        </w:rPr>
        <w:t>招标文件的组成部分。</w:t>
      </w:r>
    </w:p>
    <w:p w14:paraId="259B3EF7">
      <w:pPr>
        <w:spacing w:before="79" w:line="219" w:lineRule="auto"/>
        <w:ind w:left="488"/>
        <w:outlineLvl w:val="1"/>
        <w:rPr>
          <w:rFonts w:ascii="宋体" w:hAnsi="宋体" w:eastAsia="宋体" w:cs="宋体"/>
          <w:sz w:val="24"/>
          <w:szCs w:val="24"/>
        </w:rPr>
      </w:pPr>
      <w:bookmarkStart w:id="34" w:name="_Toc12890"/>
      <w:r>
        <w:rPr>
          <w:rFonts w:ascii="Times New Roman" w:hAnsi="Times New Roman" w:eastAsia="Times New Roman" w:cs="Times New Roman"/>
          <w:b/>
          <w:bCs/>
          <w:spacing w:val="-5"/>
          <w:sz w:val="24"/>
          <w:szCs w:val="24"/>
        </w:rPr>
        <w:t>8</w:t>
      </w:r>
      <w:r>
        <w:rPr>
          <w:rFonts w:ascii="宋体" w:hAnsi="宋体" w:eastAsia="宋体" w:cs="宋体"/>
          <w:b/>
          <w:bCs/>
          <w:spacing w:val="-5"/>
          <w:sz w:val="24"/>
          <w:szCs w:val="24"/>
        </w:rPr>
        <w:t>．</w:t>
      </w:r>
      <w:r>
        <w:rPr>
          <w:rFonts w:ascii="宋体" w:hAnsi="宋体" w:eastAsia="宋体" w:cs="宋体"/>
          <w:b/>
          <w:bCs/>
          <w:spacing w:val="-1"/>
          <w:sz w:val="24"/>
          <w:szCs w:val="24"/>
        </w:rPr>
        <w:t>招标控制价及最高投标限价</w:t>
      </w:r>
      <w:bookmarkEnd w:id="34"/>
    </w:p>
    <w:p w14:paraId="0A022EAD">
      <w:pPr>
        <w:spacing w:before="155" w:line="219" w:lineRule="auto"/>
        <w:ind w:left="488"/>
        <w:rPr>
          <w:rFonts w:ascii="宋体" w:hAnsi="宋体" w:eastAsia="宋体" w:cs="宋体"/>
          <w:sz w:val="24"/>
          <w:szCs w:val="24"/>
        </w:rPr>
      </w:pPr>
      <w:r>
        <w:rPr>
          <w:rFonts w:ascii="Times New Roman" w:hAnsi="Times New Roman" w:eastAsia="Times New Roman" w:cs="Times New Roman"/>
          <w:b/>
          <w:bCs/>
          <w:spacing w:val="-1"/>
          <w:sz w:val="24"/>
          <w:szCs w:val="24"/>
        </w:rPr>
        <w:t>8.1</w:t>
      </w:r>
      <w:r>
        <w:rPr>
          <w:rFonts w:ascii="宋体" w:hAnsi="宋体" w:eastAsia="宋体" w:cs="宋体"/>
          <w:spacing w:val="-1"/>
          <w:sz w:val="24"/>
          <w:szCs w:val="24"/>
        </w:rPr>
        <w:t>本招标项目按照以下依据编制</w:t>
      </w:r>
      <w:r>
        <w:rPr>
          <w:rFonts w:ascii="宋体" w:hAnsi="宋体" w:eastAsia="宋体" w:cs="宋体"/>
          <w:b/>
          <w:bCs/>
          <w:spacing w:val="-1"/>
          <w:sz w:val="24"/>
          <w:szCs w:val="24"/>
        </w:rPr>
        <w:t>招标控制价</w:t>
      </w:r>
      <w:r>
        <w:rPr>
          <w:rFonts w:ascii="宋体" w:hAnsi="宋体" w:eastAsia="宋体" w:cs="宋体"/>
          <w:spacing w:val="-1"/>
          <w:sz w:val="24"/>
          <w:szCs w:val="24"/>
        </w:rPr>
        <w:t>：</w:t>
      </w:r>
    </w:p>
    <w:p w14:paraId="2DC5F2D8">
      <w:pPr>
        <w:spacing w:before="157" w:line="219" w:lineRule="auto"/>
        <w:ind w:left="501"/>
        <w:rPr>
          <w:rFonts w:ascii="宋体" w:hAnsi="宋体" w:eastAsia="宋体" w:cs="宋体"/>
          <w:sz w:val="24"/>
          <w:szCs w:val="24"/>
        </w:rPr>
      </w:pPr>
      <w:r>
        <w:rPr>
          <w:rFonts w:ascii="宋体" w:hAnsi="宋体" w:eastAsia="宋体" w:cs="宋体"/>
          <w:color w:val="auto"/>
          <w:spacing w:val="-1"/>
          <w:sz w:val="24"/>
          <w:szCs w:val="24"/>
        </w:rPr>
        <w:t>（1）</w:t>
      </w:r>
      <w:r>
        <w:rPr>
          <w:rFonts w:hint="eastAsia" w:ascii="宋体" w:hAnsi="宋体" w:eastAsia="宋体" w:cs="宋体"/>
          <w:color w:val="auto"/>
          <w:spacing w:val="-1"/>
          <w:sz w:val="24"/>
          <w:szCs w:val="24"/>
          <w:lang w:eastAsia="zh-CN"/>
        </w:rPr>
        <w:t>《建设工程工程量清单计价标准》（GB/T50500-2024）</w:t>
      </w:r>
      <w:r>
        <w:rPr>
          <w:rFonts w:ascii="宋体" w:hAnsi="宋体" w:eastAsia="宋体" w:cs="宋体"/>
          <w:spacing w:val="-1"/>
          <w:sz w:val="24"/>
          <w:szCs w:val="24"/>
        </w:rPr>
        <w:t>；</w:t>
      </w:r>
    </w:p>
    <w:p w14:paraId="487410CC">
      <w:pPr>
        <w:spacing w:before="153" w:line="309" w:lineRule="auto"/>
        <w:ind w:left="9" w:right="16" w:firstLine="49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）《广东省建设工程计价依据（</w:t>
      </w:r>
      <w:r>
        <w:rPr>
          <w:rFonts w:ascii="Times New Roman" w:hAnsi="Times New Roman" w:eastAsia="Times New Roman" w:cs="Times New Roman"/>
          <w:spacing w:val="2"/>
          <w:sz w:val="24"/>
          <w:szCs w:val="24"/>
        </w:rPr>
        <w:t>2018</w:t>
      </w:r>
      <w:r>
        <w:rPr>
          <w:rFonts w:ascii="宋体" w:hAnsi="宋体" w:eastAsia="宋体" w:cs="宋体"/>
          <w:spacing w:val="2"/>
          <w:sz w:val="24"/>
          <w:szCs w:val="24"/>
        </w:rPr>
        <w:t>）》。具体</w:t>
      </w:r>
      <w:r>
        <w:rPr>
          <w:rFonts w:ascii="宋体" w:hAnsi="宋体" w:eastAsia="宋体" w:cs="宋体"/>
          <w:spacing w:val="1"/>
          <w:sz w:val="24"/>
          <w:szCs w:val="24"/>
        </w:rPr>
        <w:t>包括：《广东省房屋建筑与</w:t>
      </w:r>
      <w:r>
        <w:rPr>
          <w:rFonts w:ascii="宋体" w:hAnsi="宋体" w:eastAsia="宋体" w:cs="宋体"/>
          <w:spacing w:val="-1"/>
          <w:sz w:val="24"/>
          <w:szCs w:val="24"/>
        </w:rPr>
        <w:t>装饰工程综合定额（</w:t>
      </w:r>
      <w:r>
        <w:rPr>
          <w:rFonts w:ascii="Times New Roman" w:hAnsi="Times New Roman" w:eastAsia="Times New Roman" w:cs="Times New Roman"/>
          <w:spacing w:val="-1"/>
          <w:sz w:val="24"/>
          <w:szCs w:val="24"/>
        </w:rPr>
        <w:t>2018</w:t>
      </w:r>
      <w:r>
        <w:rPr>
          <w:rFonts w:ascii="宋体" w:hAnsi="宋体" w:eastAsia="宋体" w:cs="宋体"/>
          <w:spacing w:val="-1"/>
          <w:sz w:val="24"/>
          <w:szCs w:val="24"/>
        </w:rPr>
        <w:t>）》《广东省市政工程综合定额（</w:t>
      </w:r>
      <w:r>
        <w:rPr>
          <w:rFonts w:ascii="Times New Roman" w:hAnsi="Times New Roman" w:eastAsia="Times New Roman" w:cs="Times New Roman"/>
          <w:spacing w:val="-1"/>
          <w:sz w:val="24"/>
          <w:szCs w:val="24"/>
        </w:rPr>
        <w:t>2018</w:t>
      </w:r>
      <w:r>
        <w:rPr>
          <w:rFonts w:ascii="宋体" w:hAnsi="宋体" w:eastAsia="宋体" w:cs="宋体"/>
          <w:spacing w:val="-1"/>
          <w:sz w:val="24"/>
          <w:szCs w:val="24"/>
        </w:rPr>
        <w:t>）》《</w:t>
      </w:r>
      <w:r>
        <w:rPr>
          <w:rFonts w:ascii="宋体" w:hAnsi="宋体" w:eastAsia="宋体" w:cs="宋体"/>
          <w:spacing w:val="-2"/>
          <w:sz w:val="24"/>
          <w:szCs w:val="24"/>
        </w:rPr>
        <w:t>广东省通用安</w:t>
      </w:r>
      <w:r>
        <w:rPr>
          <w:rFonts w:ascii="宋体" w:hAnsi="宋体" w:eastAsia="宋体" w:cs="宋体"/>
          <w:spacing w:val="-1"/>
          <w:sz w:val="24"/>
          <w:szCs w:val="24"/>
        </w:rPr>
        <w:t>装工程综合定额（</w:t>
      </w:r>
      <w:r>
        <w:rPr>
          <w:rFonts w:ascii="Times New Roman" w:hAnsi="Times New Roman" w:eastAsia="Times New Roman" w:cs="Times New Roman"/>
          <w:spacing w:val="-1"/>
          <w:sz w:val="24"/>
          <w:szCs w:val="24"/>
        </w:rPr>
        <w:t>2018</w:t>
      </w:r>
      <w:r>
        <w:rPr>
          <w:rFonts w:ascii="宋体" w:hAnsi="宋体" w:eastAsia="宋体" w:cs="宋体"/>
          <w:spacing w:val="-1"/>
          <w:sz w:val="24"/>
          <w:szCs w:val="24"/>
        </w:rPr>
        <w:t>）》《广东省园林绿化工程综合定额（</w:t>
      </w:r>
      <w:r>
        <w:rPr>
          <w:rFonts w:ascii="Times New Roman" w:hAnsi="Times New Roman" w:eastAsia="Times New Roman" w:cs="Times New Roman"/>
          <w:spacing w:val="-1"/>
          <w:sz w:val="24"/>
          <w:szCs w:val="24"/>
        </w:rPr>
        <w:t>2018</w:t>
      </w:r>
      <w:r>
        <w:rPr>
          <w:rFonts w:ascii="宋体" w:hAnsi="宋体" w:eastAsia="宋体" w:cs="宋体"/>
          <w:spacing w:val="-1"/>
          <w:sz w:val="24"/>
          <w:szCs w:val="24"/>
        </w:rPr>
        <w:t>）》</w:t>
      </w:r>
      <w:r>
        <w:rPr>
          <w:rFonts w:ascii="宋体" w:hAnsi="宋体" w:eastAsia="宋体" w:cs="宋体"/>
          <w:spacing w:val="-2"/>
          <w:sz w:val="24"/>
          <w:szCs w:val="24"/>
        </w:rPr>
        <w:t>《广东省建设</w:t>
      </w:r>
      <w:r>
        <w:rPr>
          <w:rFonts w:ascii="宋体" w:hAnsi="宋体" w:eastAsia="宋体" w:cs="宋体"/>
          <w:spacing w:val="-1"/>
          <w:sz w:val="24"/>
          <w:szCs w:val="24"/>
        </w:rPr>
        <w:t>工程施工机具台班费用编制规则（</w:t>
      </w:r>
      <w:r>
        <w:rPr>
          <w:rFonts w:ascii="Times New Roman" w:hAnsi="Times New Roman" w:eastAsia="Times New Roman" w:cs="Times New Roman"/>
          <w:spacing w:val="-1"/>
          <w:sz w:val="24"/>
          <w:szCs w:val="24"/>
        </w:rPr>
        <w:t>2018</w:t>
      </w:r>
      <w:r>
        <w:rPr>
          <w:rFonts w:ascii="宋体" w:hAnsi="宋体" w:eastAsia="宋体" w:cs="宋体"/>
          <w:spacing w:val="-1"/>
          <w:sz w:val="24"/>
          <w:szCs w:val="24"/>
        </w:rPr>
        <w:t>）》等；</w:t>
      </w:r>
    </w:p>
    <w:p w14:paraId="483F244A">
      <w:pPr>
        <w:spacing w:before="154" w:line="221" w:lineRule="auto"/>
        <w:ind w:left="50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）施工图及相关资料；</w:t>
      </w:r>
    </w:p>
    <w:p w14:paraId="3D143663">
      <w:pPr>
        <w:spacing w:before="78" w:line="220" w:lineRule="auto"/>
        <w:ind w:left="502"/>
        <w:rPr>
          <w:rFonts w:ascii="宋体" w:hAnsi="宋体" w:eastAsia="宋体" w:cs="宋体"/>
          <w:sz w:val="24"/>
          <w:szCs w:val="24"/>
        </w:rPr>
      </w:pPr>
      <w:bookmarkStart w:id="35" w:name="bookmark119"/>
      <w:bookmarkEnd w:id="35"/>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）招标文件及招标工程量清单；</w:t>
      </w:r>
    </w:p>
    <w:p w14:paraId="7896B116">
      <w:pPr>
        <w:spacing w:before="155" w:line="220" w:lineRule="auto"/>
        <w:ind w:left="502"/>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）施工现场情况、工程特点及常规施工方案；</w:t>
      </w:r>
    </w:p>
    <w:p w14:paraId="4AD9FF0D">
      <w:pPr>
        <w:spacing w:before="153" w:line="278" w:lineRule="auto"/>
        <w:ind w:left="12" w:right="136" w:firstLine="489"/>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6</w:t>
      </w:r>
      <w:r>
        <w:rPr>
          <w:rFonts w:ascii="宋体" w:hAnsi="宋体" w:eastAsia="宋体" w:cs="宋体"/>
          <w:spacing w:val="-3"/>
          <w:sz w:val="24"/>
          <w:szCs w:val="24"/>
        </w:rPr>
        <w:t>）项目所在地工程造价管理机构发布的工程造价信息，工程造</w:t>
      </w:r>
      <w:r>
        <w:rPr>
          <w:rFonts w:ascii="宋体" w:hAnsi="宋体" w:eastAsia="宋体" w:cs="宋体"/>
          <w:spacing w:val="-4"/>
          <w:sz w:val="24"/>
          <w:szCs w:val="24"/>
        </w:rPr>
        <w:t>价信息缺项的，</w:t>
      </w:r>
      <w:r>
        <w:rPr>
          <w:rFonts w:ascii="宋体" w:hAnsi="宋体" w:eastAsia="宋体" w:cs="宋体"/>
          <w:spacing w:val="-2"/>
          <w:sz w:val="24"/>
          <w:szCs w:val="24"/>
        </w:rPr>
        <w:t>参照市场价格；</w:t>
      </w:r>
    </w:p>
    <w:p w14:paraId="08434C42">
      <w:pPr>
        <w:spacing w:before="157" w:line="220" w:lineRule="auto"/>
        <w:ind w:left="502"/>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7</w:t>
      </w:r>
      <w:r>
        <w:rPr>
          <w:rFonts w:ascii="宋体" w:hAnsi="宋体" w:eastAsia="宋体" w:cs="宋体"/>
          <w:spacing w:val="-1"/>
          <w:sz w:val="24"/>
          <w:szCs w:val="24"/>
        </w:rPr>
        <w:t>）与建设项目相关的标准、规范、技术资料。</w:t>
      </w:r>
    </w:p>
    <w:p w14:paraId="75906F1E">
      <w:pPr>
        <w:spacing w:before="79" w:line="333" w:lineRule="auto"/>
        <w:ind w:left="11" w:firstLine="479"/>
        <w:jc w:val="both"/>
        <w:rPr>
          <w:rFonts w:hint="eastAsia" w:ascii="宋体" w:hAnsi="宋体" w:eastAsia="宋体" w:cs="宋体"/>
          <w:b w:val="0"/>
          <w:bCs w:val="0"/>
          <w:i w:val="0"/>
          <w:iCs w:val="0"/>
          <w:caps w:val="0"/>
          <w:color w:val="auto"/>
          <w:spacing w:val="-10"/>
          <w:sz w:val="24"/>
          <w:szCs w:val="24"/>
          <w:highlight w:val="none"/>
          <w:lang w:val="en-US" w:eastAsia="zh-CN" w:bidi="ar-SA"/>
        </w:rPr>
      </w:pPr>
      <w:r>
        <w:rPr>
          <w:rFonts w:ascii="宋体" w:hAnsi="宋体" w:eastAsia="宋体" w:cs="宋体"/>
          <w:b/>
          <w:bCs/>
          <w:color w:val="auto"/>
          <w:sz w:val="24"/>
          <w:szCs w:val="24"/>
        </w:rPr>
        <w:t>8.2</w:t>
      </w:r>
      <w:r>
        <w:rPr>
          <w:rFonts w:hint="eastAsia" w:ascii="宋体" w:hAnsi="宋体" w:eastAsia="宋体" w:cs="宋体"/>
          <w:b w:val="0"/>
          <w:bCs w:val="0"/>
          <w:color w:val="auto"/>
          <w:spacing w:val="-10"/>
          <w:sz w:val="24"/>
          <w:szCs w:val="24"/>
          <w:highlight w:val="none"/>
          <w:shd w:val="clear" w:color="auto" w:fill="auto"/>
          <w:lang w:eastAsia="zh-CN" w:bidi="ar-SA"/>
        </w:rPr>
        <w:t>本项目招标控制价为：大写：叁佰陆拾捌万陆仟贰佰捌拾元捌角整，小写：¥3686280.80元，其中：安全生产措施费：¥70588.76元，暂列金额：¥99000.00元。</w:t>
      </w:r>
      <w:r>
        <w:rPr>
          <w:rFonts w:hint="eastAsia" w:ascii="宋体" w:hAnsi="宋体" w:eastAsia="宋体" w:cs="宋体"/>
          <w:b w:val="0"/>
          <w:bCs w:val="0"/>
          <w:i w:val="0"/>
          <w:iCs w:val="0"/>
          <w:caps w:val="0"/>
          <w:color w:val="auto"/>
          <w:spacing w:val="-5"/>
          <w:sz w:val="24"/>
          <w:szCs w:val="24"/>
          <w:highlight w:val="none"/>
          <w:lang w:val="en-US" w:eastAsia="zh-CN" w:bidi="ar-SA"/>
        </w:rPr>
        <w:t>具体详见如下：</w:t>
      </w:r>
    </w:p>
    <w:tbl>
      <w:tblPr>
        <w:tblStyle w:val="14"/>
        <w:tblW w:w="102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1"/>
        <w:gridCol w:w="3323"/>
        <w:gridCol w:w="2287"/>
        <w:gridCol w:w="1895"/>
        <w:gridCol w:w="2092"/>
      </w:tblGrid>
      <w:tr w14:paraId="627FA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661" w:type="dxa"/>
            <w:vMerge w:val="restart"/>
            <w:tcBorders>
              <w:top w:val="single" w:color="000000" w:sz="4" w:space="0"/>
              <w:left w:val="single" w:color="000000" w:sz="4" w:space="0"/>
              <w:bottom w:val="single" w:color="000000" w:sz="4" w:space="0"/>
              <w:right w:val="single" w:color="000000" w:sz="4" w:space="0"/>
            </w:tcBorders>
            <w:noWrap/>
            <w:vAlign w:val="center"/>
          </w:tcPr>
          <w:p w14:paraId="53F26B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序号</w:t>
            </w:r>
          </w:p>
        </w:tc>
        <w:tc>
          <w:tcPr>
            <w:tcW w:w="3323" w:type="dxa"/>
            <w:vMerge w:val="restart"/>
            <w:tcBorders>
              <w:top w:val="single" w:color="000000" w:sz="4" w:space="0"/>
              <w:left w:val="single" w:color="000000" w:sz="4" w:space="0"/>
              <w:bottom w:val="single" w:color="000000" w:sz="4" w:space="0"/>
              <w:right w:val="single" w:color="000000" w:sz="4" w:space="0"/>
            </w:tcBorders>
            <w:noWrap w:val="0"/>
            <w:vAlign w:val="center"/>
          </w:tcPr>
          <w:p w14:paraId="21D49F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单项工程名称</w:t>
            </w:r>
          </w:p>
        </w:tc>
        <w:tc>
          <w:tcPr>
            <w:tcW w:w="2287" w:type="dxa"/>
            <w:vMerge w:val="restart"/>
            <w:tcBorders>
              <w:top w:val="single" w:color="000000" w:sz="4" w:space="0"/>
              <w:left w:val="single" w:color="000000" w:sz="4" w:space="0"/>
              <w:bottom w:val="single" w:color="000000" w:sz="4" w:space="0"/>
              <w:right w:val="single" w:color="000000" w:sz="4" w:space="0"/>
            </w:tcBorders>
            <w:noWrap/>
            <w:vAlign w:val="center"/>
          </w:tcPr>
          <w:p w14:paraId="0A9C43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金额(元)</w:t>
            </w:r>
          </w:p>
        </w:tc>
        <w:tc>
          <w:tcPr>
            <w:tcW w:w="3987" w:type="dxa"/>
            <w:gridSpan w:val="2"/>
            <w:tcBorders>
              <w:top w:val="single" w:color="000000" w:sz="4" w:space="0"/>
              <w:left w:val="single" w:color="000000" w:sz="4" w:space="0"/>
              <w:bottom w:val="single" w:color="000000" w:sz="4" w:space="0"/>
              <w:right w:val="single" w:color="000000" w:sz="4" w:space="0"/>
            </w:tcBorders>
            <w:noWrap/>
            <w:vAlign w:val="center"/>
          </w:tcPr>
          <w:p w14:paraId="4F38DA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其中：（元）</w:t>
            </w:r>
          </w:p>
        </w:tc>
      </w:tr>
      <w:tr w14:paraId="77C58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661" w:type="dxa"/>
            <w:vMerge w:val="continue"/>
            <w:tcBorders>
              <w:top w:val="single" w:color="000000" w:sz="4" w:space="0"/>
              <w:left w:val="single" w:color="000000" w:sz="4" w:space="0"/>
              <w:bottom w:val="single" w:color="000000" w:sz="4" w:space="0"/>
              <w:right w:val="single" w:color="000000" w:sz="4" w:space="0"/>
            </w:tcBorders>
            <w:noWrap/>
            <w:vAlign w:val="center"/>
          </w:tcPr>
          <w:p w14:paraId="3999DC17">
            <w:pPr>
              <w:jc w:val="center"/>
              <w:rPr>
                <w:rFonts w:hint="eastAsia" w:ascii="宋体" w:hAnsi="宋体" w:eastAsia="宋体" w:cs="宋体"/>
                <w:i w:val="0"/>
                <w:iCs w:val="0"/>
                <w:color w:val="000000"/>
                <w:sz w:val="24"/>
                <w:szCs w:val="24"/>
                <w:u w:val="none"/>
              </w:rPr>
            </w:pPr>
          </w:p>
        </w:tc>
        <w:tc>
          <w:tcPr>
            <w:tcW w:w="33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FB05E0">
            <w:pPr>
              <w:jc w:val="center"/>
              <w:rPr>
                <w:rFonts w:hint="eastAsia" w:ascii="宋体" w:hAnsi="宋体" w:eastAsia="宋体" w:cs="宋体"/>
                <w:i w:val="0"/>
                <w:iCs w:val="0"/>
                <w:color w:val="000000"/>
                <w:sz w:val="24"/>
                <w:szCs w:val="24"/>
                <w:u w:val="none"/>
              </w:rPr>
            </w:pPr>
          </w:p>
        </w:tc>
        <w:tc>
          <w:tcPr>
            <w:tcW w:w="2287" w:type="dxa"/>
            <w:vMerge w:val="continue"/>
            <w:tcBorders>
              <w:top w:val="single" w:color="000000" w:sz="4" w:space="0"/>
              <w:left w:val="single" w:color="000000" w:sz="4" w:space="0"/>
              <w:bottom w:val="single" w:color="000000" w:sz="4" w:space="0"/>
              <w:right w:val="single" w:color="000000" w:sz="4" w:space="0"/>
            </w:tcBorders>
            <w:noWrap/>
            <w:vAlign w:val="center"/>
          </w:tcPr>
          <w:p w14:paraId="6A92C07D">
            <w:pPr>
              <w:jc w:val="center"/>
              <w:rPr>
                <w:rFonts w:hint="eastAsia" w:ascii="宋体" w:hAnsi="宋体" w:eastAsia="宋体" w:cs="宋体"/>
                <w:i w:val="0"/>
                <w:iCs w:val="0"/>
                <w:color w:val="000000"/>
                <w:sz w:val="24"/>
                <w:szCs w:val="24"/>
                <w:u w:val="none"/>
              </w:rPr>
            </w:pPr>
          </w:p>
        </w:tc>
        <w:tc>
          <w:tcPr>
            <w:tcW w:w="1895" w:type="dxa"/>
            <w:tcBorders>
              <w:top w:val="single" w:color="000000" w:sz="4" w:space="0"/>
              <w:left w:val="single" w:color="000000" w:sz="4" w:space="0"/>
              <w:bottom w:val="single" w:color="000000" w:sz="4" w:space="0"/>
              <w:right w:val="single" w:color="000000" w:sz="4" w:space="0"/>
            </w:tcBorders>
            <w:noWrap w:val="0"/>
            <w:vAlign w:val="center"/>
          </w:tcPr>
          <w:p w14:paraId="2604AB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暂估价</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41F626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安全生产措施费</w:t>
            </w:r>
          </w:p>
        </w:tc>
      </w:tr>
      <w:tr w14:paraId="36744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F94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332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4EC8B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大屋至车田路灯工程</w:t>
            </w:r>
          </w:p>
        </w:tc>
        <w:tc>
          <w:tcPr>
            <w:tcW w:w="22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2839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90577.42 </w:t>
            </w:r>
          </w:p>
        </w:tc>
        <w:tc>
          <w:tcPr>
            <w:tcW w:w="1895" w:type="dxa"/>
            <w:tcBorders>
              <w:top w:val="single" w:color="000000" w:sz="4" w:space="0"/>
              <w:left w:val="single" w:color="000000" w:sz="4" w:space="0"/>
              <w:bottom w:val="single" w:color="000000" w:sz="4" w:space="0"/>
              <w:right w:val="single" w:color="000000" w:sz="4" w:space="0"/>
              <w:tr2bl w:val="single" w:color="000000" w:sz="4" w:space="0"/>
            </w:tcBorders>
            <w:shd w:val="clear" w:color="FFFFFF" w:fill="FFFFFF"/>
            <w:noWrap w:val="0"/>
            <w:vAlign w:val="center"/>
          </w:tcPr>
          <w:p w14:paraId="49C270D9">
            <w:pPr>
              <w:jc w:val="center"/>
              <w:rPr>
                <w:rFonts w:hint="eastAsia" w:ascii="宋体" w:hAnsi="宋体" w:eastAsia="宋体" w:cs="宋体"/>
                <w:i w:val="0"/>
                <w:iCs w:val="0"/>
                <w:color w:val="000000"/>
                <w:sz w:val="24"/>
                <w:szCs w:val="24"/>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60E401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 </w:t>
            </w:r>
          </w:p>
        </w:tc>
      </w:tr>
      <w:tr w14:paraId="7EBDB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1C5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332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9B9E7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兔子冲</w:t>
            </w:r>
          </w:p>
        </w:tc>
        <w:tc>
          <w:tcPr>
            <w:tcW w:w="22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8F69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11595.99 </w:t>
            </w:r>
          </w:p>
        </w:tc>
        <w:tc>
          <w:tcPr>
            <w:tcW w:w="1895" w:type="dxa"/>
            <w:tcBorders>
              <w:top w:val="single" w:color="000000" w:sz="4" w:space="0"/>
              <w:left w:val="single" w:color="000000" w:sz="4" w:space="0"/>
              <w:bottom w:val="single" w:color="000000" w:sz="4" w:space="0"/>
              <w:right w:val="single" w:color="000000" w:sz="4" w:space="0"/>
              <w:tr2bl w:val="single" w:color="000000" w:sz="4" w:space="0"/>
            </w:tcBorders>
            <w:shd w:val="clear" w:color="FFFFFF" w:fill="FFFFFF"/>
            <w:noWrap w:val="0"/>
            <w:vAlign w:val="center"/>
          </w:tcPr>
          <w:p w14:paraId="260CCBB7">
            <w:pPr>
              <w:jc w:val="center"/>
              <w:rPr>
                <w:rFonts w:hint="eastAsia" w:ascii="宋体" w:hAnsi="宋体" w:eastAsia="宋体" w:cs="宋体"/>
                <w:i w:val="0"/>
                <w:iCs w:val="0"/>
                <w:color w:val="000000"/>
                <w:sz w:val="24"/>
                <w:szCs w:val="24"/>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43ECB7EE">
            <w:pPr>
              <w:jc w:val="center"/>
              <w:rPr>
                <w:rFonts w:hint="eastAsia" w:ascii="宋体" w:hAnsi="宋体" w:eastAsia="宋体" w:cs="宋体"/>
                <w:i w:val="0"/>
                <w:iCs w:val="0"/>
                <w:color w:val="000000"/>
                <w:sz w:val="24"/>
                <w:szCs w:val="24"/>
                <w:u w:val="none"/>
              </w:rPr>
            </w:pPr>
          </w:p>
        </w:tc>
      </w:tr>
      <w:tr w14:paraId="72E4D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04A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w:t>
            </w:r>
          </w:p>
        </w:tc>
        <w:tc>
          <w:tcPr>
            <w:tcW w:w="332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37B95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小石村</w:t>
            </w:r>
          </w:p>
        </w:tc>
        <w:tc>
          <w:tcPr>
            <w:tcW w:w="22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5F83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58914.33 </w:t>
            </w:r>
          </w:p>
        </w:tc>
        <w:tc>
          <w:tcPr>
            <w:tcW w:w="1895" w:type="dxa"/>
            <w:tcBorders>
              <w:top w:val="single" w:color="000000" w:sz="4" w:space="0"/>
              <w:left w:val="single" w:color="000000" w:sz="4" w:space="0"/>
              <w:bottom w:val="single" w:color="000000" w:sz="4" w:space="0"/>
              <w:right w:val="single" w:color="000000" w:sz="4" w:space="0"/>
              <w:tr2bl w:val="single" w:color="000000" w:sz="4" w:space="0"/>
            </w:tcBorders>
            <w:shd w:val="clear" w:color="FFFFFF" w:fill="FFFFFF"/>
            <w:noWrap w:val="0"/>
            <w:vAlign w:val="center"/>
          </w:tcPr>
          <w:p w14:paraId="23A428B4">
            <w:pPr>
              <w:jc w:val="center"/>
              <w:rPr>
                <w:rFonts w:hint="eastAsia" w:ascii="宋体" w:hAnsi="宋体" w:eastAsia="宋体" w:cs="宋体"/>
                <w:i w:val="0"/>
                <w:iCs w:val="0"/>
                <w:color w:val="000000"/>
                <w:sz w:val="24"/>
                <w:szCs w:val="24"/>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1C7C7994">
            <w:pPr>
              <w:jc w:val="center"/>
              <w:rPr>
                <w:rFonts w:hint="eastAsia" w:ascii="宋体" w:hAnsi="宋体" w:eastAsia="宋体" w:cs="宋体"/>
                <w:i w:val="0"/>
                <w:iCs w:val="0"/>
                <w:color w:val="000000"/>
                <w:sz w:val="24"/>
                <w:szCs w:val="24"/>
                <w:u w:val="none"/>
              </w:rPr>
            </w:pPr>
          </w:p>
        </w:tc>
      </w:tr>
      <w:tr w14:paraId="56DF1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8B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w:t>
            </w:r>
          </w:p>
        </w:tc>
        <w:tc>
          <w:tcPr>
            <w:tcW w:w="332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C3839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曲水塘</w:t>
            </w:r>
          </w:p>
        </w:tc>
        <w:tc>
          <w:tcPr>
            <w:tcW w:w="22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E336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27106.50 </w:t>
            </w:r>
          </w:p>
        </w:tc>
        <w:tc>
          <w:tcPr>
            <w:tcW w:w="1895" w:type="dxa"/>
            <w:tcBorders>
              <w:top w:val="single" w:color="000000" w:sz="4" w:space="0"/>
              <w:left w:val="single" w:color="000000" w:sz="4" w:space="0"/>
              <w:bottom w:val="single" w:color="000000" w:sz="4" w:space="0"/>
              <w:right w:val="single" w:color="000000" w:sz="4" w:space="0"/>
              <w:tr2bl w:val="single" w:color="000000" w:sz="4" w:space="0"/>
            </w:tcBorders>
            <w:shd w:val="clear" w:color="FFFFFF" w:fill="FFFFFF"/>
            <w:noWrap w:val="0"/>
            <w:vAlign w:val="center"/>
          </w:tcPr>
          <w:p w14:paraId="1B8039D0">
            <w:pPr>
              <w:jc w:val="center"/>
              <w:rPr>
                <w:rFonts w:hint="eastAsia" w:ascii="宋体" w:hAnsi="宋体" w:eastAsia="宋体" w:cs="宋体"/>
                <w:i w:val="0"/>
                <w:iCs w:val="0"/>
                <w:color w:val="000000"/>
                <w:sz w:val="24"/>
                <w:szCs w:val="24"/>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53DCF69E">
            <w:pPr>
              <w:jc w:val="center"/>
              <w:rPr>
                <w:rFonts w:hint="eastAsia" w:ascii="宋体" w:hAnsi="宋体" w:eastAsia="宋体" w:cs="宋体"/>
                <w:i w:val="0"/>
                <w:iCs w:val="0"/>
                <w:color w:val="000000"/>
                <w:sz w:val="24"/>
                <w:szCs w:val="24"/>
                <w:u w:val="none"/>
              </w:rPr>
            </w:pPr>
          </w:p>
        </w:tc>
      </w:tr>
      <w:tr w14:paraId="1BBE1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909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w:t>
            </w:r>
          </w:p>
        </w:tc>
        <w:tc>
          <w:tcPr>
            <w:tcW w:w="332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9C886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三溪坪</w:t>
            </w:r>
          </w:p>
        </w:tc>
        <w:tc>
          <w:tcPr>
            <w:tcW w:w="22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477E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317452.46 </w:t>
            </w:r>
          </w:p>
        </w:tc>
        <w:tc>
          <w:tcPr>
            <w:tcW w:w="1895" w:type="dxa"/>
            <w:tcBorders>
              <w:top w:val="single" w:color="000000" w:sz="4" w:space="0"/>
              <w:left w:val="single" w:color="000000" w:sz="4" w:space="0"/>
              <w:bottom w:val="single" w:color="000000" w:sz="4" w:space="0"/>
              <w:right w:val="single" w:color="000000" w:sz="4" w:space="0"/>
              <w:tr2bl w:val="single" w:color="000000" w:sz="4" w:space="0"/>
            </w:tcBorders>
            <w:shd w:val="clear" w:color="FFFFFF" w:fill="FFFFFF"/>
            <w:noWrap w:val="0"/>
            <w:vAlign w:val="center"/>
          </w:tcPr>
          <w:p w14:paraId="02DCE73F">
            <w:pPr>
              <w:jc w:val="center"/>
              <w:rPr>
                <w:rFonts w:hint="eastAsia" w:ascii="宋体" w:hAnsi="宋体" w:eastAsia="宋体" w:cs="宋体"/>
                <w:i w:val="0"/>
                <w:iCs w:val="0"/>
                <w:color w:val="000000"/>
                <w:sz w:val="24"/>
                <w:szCs w:val="24"/>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1696E4B8">
            <w:pPr>
              <w:jc w:val="center"/>
              <w:rPr>
                <w:rFonts w:hint="eastAsia" w:ascii="宋体" w:hAnsi="宋体" w:eastAsia="宋体" w:cs="宋体"/>
                <w:i w:val="0"/>
                <w:iCs w:val="0"/>
                <w:color w:val="000000"/>
                <w:sz w:val="24"/>
                <w:szCs w:val="24"/>
                <w:u w:val="none"/>
              </w:rPr>
            </w:pPr>
          </w:p>
        </w:tc>
      </w:tr>
      <w:tr w14:paraId="268C1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A26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6</w:t>
            </w:r>
          </w:p>
        </w:tc>
        <w:tc>
          <w:tcPr>
            <w:tcW w:w="332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96B79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大屋村</w:t>
            </w:r>
          </w:p>
        </w:tc>
        <w:tc>
          <w:tcPr>
            <w:tcW w:w="22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79D6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30808.30 </w:t>
            </w:r>
          </w:p>
        </w:tc>
        <w:tc>
          <w:tcPr>
            <w:tcW w:w="1895" w:type="dxa"/>
            <w:tcBorders>
              <w:top w:val="single" w:color="000000" w:sz="4" w:space="0"/>
              <w:left w:val="single" w:color="000000" w:sz="4" w:space="0"/>
              <w:bottom w:val="single" w:color="000000" w:sz="4" w:space="0"/>
              <w:right w:val="single" w:color="000000" w:sz="4" w:space="0"/>
              <w:tr2bl w:val="single" w:color="000000" w:sz="4" w:space="0"/>
            </w:tcBorders>
            <w:shd w:val="clear" w:color="FFFFFF" w:fill="FFFFFF"/>
            <w:noWrap w:val="0"/>
            <w:vAlign w:val="center"/>
          </w:tcPr>
          <w:p w14:paraId="78141513">
            <w:pPr>
              <w:jc w:val="center"/>
              <w:rPr>
                <w:rFonts w:hint="eastAsia" w:ascii="宋体" w:hAnsi="宋体" w:eastAsia="宋体" w:cs="宋体"/>
                <w:i w:val="0"/>
                <w:iCs w:val="0"/>
                <w:color w:val="000000"/>
                <w:sz w:val="24"/>
                <w:szCs w:val="24"/>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46D958C5">
            <w:pPr>
              <w:jc w:val="center"/>
              <w:rPr>
                <w:rFonts w:hint="eastAsia" w:ascii="宋体" w:hAnsi="宋体" w:eastAsia="宋体" w:cs="宋体"/>
                <w:i w:val="0"/>
                <w:iCs w:val="0"/>
                <w:color w:val="000000"/>
                <w:sz w:val="24"/>
                <w:szCs w:val="24"/>
                <w:u w:val="none"/>
              </w:rPr>
            </w:pPr>
          </w:p>
        </w:tc>
      </w:tr>
      <w:tr w14:paraId="1FC73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B4B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7</w:t>
            </w:r>
          </w:p>
        </w:tc>
        <w:tc>
          <w:tcPr>
            <w:tcW w:w="332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0E9E7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三溪圩、庙湾</w:t>
            </w:r>
          </w:p>
        </w:tc>
        <w:tc>
          <w:tcPr>
            <w:tcW w:w="22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709E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448291.59 </w:t>
            </w:r>
          </w:p>
        </w:tc>
        <w:tc>
          <w:tcPr>
            <w:tcW w:w="1895" w:type="dxa"/>
            <w:tcBorders>
              <w:top w:val="single" w:color="000000" w:sz="4" w:space="0"/>
              <w:left w:val="single" w:color="000000" w:sz="4" w:space="0"/>
              <w:bottom w:val="single" w:color="000000" w:sz="4" w:space="0"/>
              <w:right w:val="single" w:color="000000" w:sz="4" w:space="0"/>
              <w:tr2bl w:val="single" w:color="000000" w:sz="4" w:space="0"/>
            </w:tcBorders>
            <w:shd w:val="clear" w:color="FFFFFF" w:fill="FFFFFF"/>
            <w:noWrap w:val="0"/>
            <w:vAlign w:val="center"/>
          </w:tcPr>
          <w:p w14:paraId="5CBDA5AC">
            <w:pPr>
              <w:jc w:val="center"/>
              <w:rPr>
                <w:rFonts w:hint="eastAsia" w:ascii="宋体" w:hAnsi="宋体" w:eastAsia="宋体" w:cs="宋体"/>
                <w:i w:val="0"/>
                <w:iCs w:val="0"/>
                <w:color w:val="000000"/>
                <w:sz w:val="24"/>
                <w:szCs w:val="24"/>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3126F1C4">
            <w:pPr>
              <w:jc w:val="center"/>
              <w:rPr>
                <w:rFonts w:hint="eastAsia" w:ascii="宋体" w:hAnsi="宋体" w:eastAsia="宋体" w:cs="宋体"/>
                <w:i w:val="0"/>
                <w:iCs w:val="0"/>
                <w:color w:val="000000"/>
                <w:sz w:val="24"/>
                <w:szCs w:val="24"/>
                <w:u w:val="none"/>
              </w:rPr>
            </w:pPr>
          </w:p>
        </w:tc>
      </w:tr>
      <w:tr w14:paraId="5EF2C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A7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8</w:t>
            </w:r>
          </w:p>
        </w:tc>
        <w:tc>
          <w:tcPr>
            <w:tcW w:w="332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0933A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车田村</w:t>
            </w:r>
          </w:p>
        </w:tc>
        <w:tc>
          <w:tcPr>
            <w:tcW w:w="22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8C99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336668.19 </w:t>
            </w:r>
          </w:p>
        </w:tc>
        <w:tc>
          <w:tcPr>
            <w:tcW w:w="1895" w:type="dxa"/>
            <w:tcBorders>
              <w:top w:val="single" w:color="000000" w:sz="4" w:space="0"/>
              <w:left w:val="single" w:color="000000" w:sz="4" w:space="0"/>
              <w:bottom w:val="single" w:color="000000" w:sz="4" w:space="0"/>
              <w:right w:val="single" w:color="000000" w:sz="4" w:space="0"/>
              <w:tr2bl w:val="single" w:color="000000" w:sz="4" w:space="0"/>
            </w:tcBorders>
            <w:shd w:val="clear" w:color="FFFFFF" w:fill="FFFFFF"/>
            <w:noWrap w:val="0"/>
            <w:vAlign w:val="center"/>
          </w:tcPr>
          <w:p w14:paraId="3FB9D5E1">
            <w:pPr>
              <w:jc w:val="center"/>
              <w:rPr>
                <w:rFonts w:hint="eastAsia" w:ascii="宋体" w:hAnsi="宋体" w:eastAsia="宋体" w:cs="宋体"/>
                <w:i w:val="0"/>
                <w:iCs w:val="0"/>
                <w:color w:val="000000"/>
                <w:sz w:val="24"/>
                <w:szCs w:val="24"/>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301862C0">
            <w:pPr>
              <w:jc w:val="center"/>
              <w:rPr>
                <w:rFonts w:hint="eastAsia" w:ascii="宋体" w:hAnsi="宋体" w:eastAsia="宋体" w:cs="宋体"/>
                <w:i w:val="0"/>
                <w:iCs w:val="0"/>
                <w:color w:val="000000"/>
                <w:sz w:val="24"/>
                <w:szCs w:val="24"/>
                <w:u w:val="none"/>
              </w:rPr>
            </w:pPr>
          </w:p>
        </w:tc>
      </w:tr>
      <w:tr w14:paraId="0D594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026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9</w:t>
            </w:r>
          </w:p>
        </w:tc>
        <w:tc>
          <w:tcPr>
            <w:tcW w:w="332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96826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梅三公路车田改道</w:t>
            </w:r>
          </w:p>
        </w:tc>
        <w:tc>
          <w:tcPr>
            <w:tcW w:w="22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F9B2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1772400.42 </w:t>
            </w:r>
          </w:p>
        </w:tc>
        <w:tc>
          <w:tcPr>
            <w:tcW w:w="1895" w:type="dxa"/>
            <w:tcBorders>
              <w:top w:val="single" w:color="000000" w:sz="4" w:space="0"/>
              <w:left w:val="single" w:color="000000" w:sz="4" w:space="0"/>
              <w:bottom w:val="single" w:color="000000" w:sz="4" w:space="0"/>
              <w:right w:val="single" w:color="000000" w:sz="4" w:space="0"/>
              <w:tr2bl w:val="single" w:color="000000" w:sz="4" w:space="0"/>
            </w:tcBorders>
            <w:shd w:val="clear" w:color="FFFFFF" w:fill="FFFFFF"/>
            <w:noWrap w:val="0"/>
            <w:vAlign w:val="center"/>
          </w:tcPr>
          <w:p w14:paraId="7218E7B3">
            <w:pPr>
              <w:jc w:val="center"/>
              <w:rPr>
                <w:rFonts w:hint="eastAsia" w:ascii="宋体" w:hAnsi="宋体" w:eastAsia="宋体" w:cs="宋体"/>
                <w:i w:val="0"/>
                <w:iCs w:val="0"/>
                <w:color w:val="000000"/>
                <w:sz w:val="24"/>
                <w:szCs w:val="24"/>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743B6152">
            <w:pPr>
              <w:jc w:val="center"/>
              <w:rPr>
                <w:rFonts w:hint="eastAsia" w:ascii="宋体" w:hAnsi="宋体" w:eastAsia="宋体" w:cs="宋体"/>
                <w:i w:val="0"/>
                <w:iCs w:val="0"/>
                <w:color w:val="000000"/>
                <w:sz w:val="24"/>
                <w:szCs w:val="24"/>
                <w:u w:val="none"/>
              </w:rPr>
            </w:pPr>
          </w:p>
        </w:tc>
      </w:tr>
      <w:tr w14:paraId="2A20F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360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41</w:t>
            </w:r>
          </w:p>
        </w:tc>
        <w:tc>
          <w:tcPr>
            <w:tcW w:w="332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B18E4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措施项目费</w:t>
            </w:r>
          </w:p>
        </w:tc>
        <w:tc>
          <w:tcPr>
            <w:tcW w:w="22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2321D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189093.80 </w:t>
            </w:r>
          </w:p>
        </w:tc>
        <w:tc>
          <w:tcPr>
            <w:tcW w:w="1895" w:type="dxa"/>
            <w:tcBorders>
              <w:top w:val="single" w:color="000000" w:sz="4" w:space="0"/>
              <w:left w:val="single" w:color="000000" w:sz="4" w:space="0"/>
              <w:bottom w:val="single" w:color="000000" w:sz="4" w:space="0"/>
              <w:right w:val="single" w:color="000000" w:sz="4" w:space="0"/>
              <w:tr2bl w:val="single" w:color="000000" w:sz="4" w:space="0"/>
            </w:tcBorders>
            <w:shd w:val="clear" w:color="FFFFFF" w:fill="FFFFFF"/>
            <w:noWrap w:val="0"/>
            <w:vAlign w:val="center"/>
          </w:tcPr>
          <w:p w14:paraId="17E20EA9">
            <w:pPr>
              <w:jc w:val="center"/>
              <w:rPr>
                <w:rFonts w:hint="eastAsia" w:ascii="宋体" w:hAnsi="宋体" w:eastAsia="宋体" w:cs="宋体"/>
                <w:i w:val="0"/>
                <w:iCs w:val="0"/>
                <w:color w:val="000000"/>
                <w:sz w:val="24"/>
                <w:szCs w:val="24"/>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7DE409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70588.76 </w:t>
            </w:r>
          </w:p>
        </w:tc>
      </w:tr>
      <w:tr w14:paraId="4675C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704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42</w:t>
            </w:r>
          </w:p>
        </w:tc>
        <w:tc>
          <w:tcPr>
            <w:tcW w:w="332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49B1C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暂列金额</w:t>
            </w:r>
          </w:p>
        </w:tc>
        <w:tc>
          <w:tcPr>
            <w:tcW w:w="22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FA01A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99000.00 </w:t>
            </w:r>
          </w:p>
        </w:tc>
        <w:tc>
          <w:tcPr>
            <w:tcW w:w="1895" w:type="dxa"/>
            <w:tcBorders>
              <w:top w:val="single" w:color="000000" w:sz="4" w:space="0"/>
              <w:left w:val="single" w:color="000000" w:sz="4" w:space="0"/>
              <w:bottom w:val="single" w:color="000000" w:sz="4" w:space="0"/>
              <w:right w:val="single" w:color="000000" w:sz="4" w:space="0"/>
              <w:tr2bl w:val="single" w:color="000000" w:sz="4" w:space="0"/>
            </w:tcBorders>
            <w:shd w:val="clear" w:color="FFFFFF" w:fill="FFFFFF"/>
            <w:noWrap w:val="0"/>
            <w:vAlign w:val="center"/>
          </w:tcPr>
          <w:p w14:paraId="34AB9217">
            <w:pPr>
              <w:jc w:val="center"/>
              <w:rPr>
                <w:rFonts w:hint="eastAsia" w:ascii="宋体" w:hAnsi="宋体" w:eastAsia="宋体" w:cs="宋体"/>
                <w:i w:val="0"/>
                <w:iCs w:val="0"/>
                <w:color w:val="000000"/>
                <w:sz w:val="24"/>
                <w:szCs w:val="24"/>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6AAF410A">
            <w:pPr>
              <w:jc w:val="center"/>
              <w:rPr>
                <w:rFonts w:hint="eastAsia" w:ascii="宋体" w:hAnsi="宋体" w:eastAsia="宋体" w:cs="宋体"/>
                <w:i w:val="0"/>
                <w:iCs w:val="0"/>
                <w:color w:val="000000"/>
                <w:sz w:val="24"/>
                <w:szCs w:val="24"/>
                <w:u w:val="none"/>
              </w:rPr>
            </w:pPr>
          </w:p>
        </w:tc>
      </w:tr>
      <w:tr w14:paraId="5415C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B9D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43</w:t>
            </w:r>
          </w:p>
        </w:tc>
        <w:tc>
          <w:tcPr>
            <w:tcW w:w="332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D1AF5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增值税</w:t>
            </w:r>
          </w:p>
        </w:tc>
        <w:tc>
          <w:tcPr>
            <w:tcW w:w="22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95578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304371.81 </w:t>
            </w:r>
          </w:p>
        </w:tc>
        <w:tc>
          <w:tcPr>
            <w:tcW w:w="1895" w:type="dxa"/>
            <w:tcBorders>
              <w:top w:val="single" w:color="000000" w:sz="4" w:space="0"/>
              <w:left w:val="single" w:color="000000" w:sz="4" w:space="0"/>
              <w:bottom w:val="single" w:color="000000" w:sz="4" w:space="0"/>
              <w:right w:val="single" w:color="000000" w:sz="4" w:space="0"/>
              <w:tr2bl w:val="single" w:color="000000" w:sz="4" w:space="0"/>
            </w:tcBorders>
            <w:shd w:val="clear" w:color="FFFFFF" w:fill="FFFFFF"/>
            <w:noWrap w:val="0"/>
            <w:vAlign w:val="center"/>
          </w:tcPr>
          <w:p w14:paraId="1A0E9A50">
            <w:pPr>
              <w:jc w:val="center"/>
              <w:rPr>
                <w:rFonts w:hint="eastAsia" w:ascii="宋体" w:hAnsi="宋体" w:eastAsia="宋体" w:cs="宋体"/>
                <w:i w:val="0"/>
                <w:iCs w:val="0"/>
                <w:color w:val="000000"/>
                <w:sz w:val="24"/>
                <w:szCs w:val="24"/>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5E3F65C0">
            <w:pPr>
              <w:jc w:val="center"/>
              <w:rPr>
                <w:rFonts w:hint="eastAsia" w:ascii="宋体" w:hAnsi="宋体" w:eastAsia="宋体" w:cs="宋体"/>
                <w:i w:val="0"/>
                <w:iCs w:val="0"/>
                <w:color w:val="000000"/>
                <w:sz w:val="24"/>
                <w:szCs w:val="24"/>
                <w:u w:val="none"/>
              </w:rPr>
            </w:pPr>
          </w:p>
        </w:tc>
      </w:tr>
      <w:tr w14:paraId="1738B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4C71A">
            <w:pPr>
              <w:jc w:val="center"/>
              <w:rPr>
                <w:rFonts w:hint="eastAsia" w:ascii="宋体" w:hAnsi="宋体" w:eastAsia="宋体" w:cs="宋体"/>
                <w:i w:val="0"/>
                <w:iCs w:val="0"/>
                <w:color w:val="000000"/>
                <w:sz w:val="24"/>
                <w:szCs w:val="24"/>
                <w:u w:val="none"/>
              </w:rPr>
            </w:pPr>
          </w:p>
        </w:tc>
        <w:tc>
          <w:tcPr>
            <w:tcW w:w="332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95D0BA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合计</w:t>
            </w:r>
          </w:p>
        </w:tc>
        <w:tc>
          <w:tcPr>
            <w:tcW w:w="22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8E540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 xml:space="preserve">3686280.80 </w:t>
            </w:r>
          </w:p>
        </w:tc>
        <w:tc>
          <w:tcPr>
            <w:tcW w:w="1895" w:type="dxa"/>
            <w:tcBorders>
              <w:top w:val="single" w:color="000000" w:sz="4" w:space="0"/>
              <w:left w:val="single" w:color="000000" w:sz="4" w:space="0"/>
              <w:bottom w:val="single" w:color="000000" w:sz="4" w:space="0"/>
              <w:right w:val="single" w:color="000000" w:sz="4" w:space="0"/>
              <w:tr2bl w:val="single" w:color="000000" w:sz="4" w:space="0"/>
            </w:tcBorders>
            <w:shd w:val="clear" w:color="FFFFFF" w:fill="FFFFFF"/>
            <w:noWrap w:val="0"/>
            <w:vAlign w:val="center"/>
          </w:tcPr>
          <w:p w14:paraId="758406FB">
            <w:pPr>
              <w:jc w:val="center"/>
              <w:rPr>
                <w:rFonts w:hint="eastAsia" w:ascii="宋体" w:hAnsi="宋体" w:eastAsia="宋体" w:cs="宋体"/>
                <w:i w:val="0"/>
                <w:iCs w:val="0"/>
                <w:color w:val="000000"/>
                <w:sz w:val="24"/>
                <w:szCs w:val="24"/>
                <w:u w:val="none"/>
              </w:rPr>
            </w:pPr>
          </w:p>
        </w:tc>
        <w:tc>
          <w:tcPr>
            <w:tcW w:w="2092" w:type="dxa"/>
            <w:tcBorders>
              <w:top w:val="single" w:color="000000" w:sz="4" w:space="0"/>
              <w:left w:val="single" w:color="000000" w:sz="4" w:space="0"/>
              <w:bottom w:val="single" w:color="000000" w:sz="4" w:space="0"/>
              <w:right w:val="single" w:color="000000" w:sz="4" w:space="0"/>
              <w:tr2bl w:val="single" w:color="000000" w:sz="4" w:space="0"/>
            </w:tcBorders>
            <w:shd w:val="clear" w:color="FFFFFF" w:fill="FFFFFF"/>
            <w:noWrap w:val="0"/>
            <w:vAlign w:val="center"/>
          </w:tcPr>
          <w:p w14:paraId="53D5C239">
            <w:pPr>
              <w:jc w:val="center"/>
              <w:rPr>
                <w:rFonts w:hint="eastAsia" w:ascii="宋体" w:hAnsi="宋体" w:eastAsia="宋体" w:cs="宋体"/>
                <w:i w:val="0"/>
                <w:iCs w:val="0"/>
                <w:color w:val="000000"/>
                <w:sz w:val="24"/>
                <w:szCs w:val="24"/>
                <w:u w:val="none"/>
              </w:rPr>
            </w:pPr>
          </w:p>
        </w:tc>
      </w:tr>
    </w:tbl>
    <w:p w14:paraId="1F1F2AFE">
      <w:pPr>
        <w:pStyle w:val="3"/>
        <w:rPr>
          <w:rFonts w:hint="eastAsia"/>
          <w:lang w:val="en-US" w:eastAsia="zh-CN"/>
        </w:rPr>
      </w:pPr>
    </w:p>
    <w:p w14:paraId="4305A90A">
      <w:pPr>
        <w:spacing w:before="79" w:line="333" w:lineRule="auto"/>
        <w:ind w:left="11" w:firstLine="479"/>
        <w:jc w:val="both"/>
        <w:rPr>
          <w:rFonts w:ascii="宋体" w:hAnsi="宋体" w:eastAsia="宋体" w:cs="宋体"/>
          <w:sz w:val="24"/>
          <w:szCs w:val="24"/>
        </w:rPr>
      </w:pPr>
      <w:r>
        <w:rPr>
          <w:rFonts w:ascii="Times New Roman" w:hAnsi="Times New Roman" w:eastAsia="Times New Roman" w:cs="Times New Roman"/>
          <w:b/>
          <w:bCs/>
          <w:color w:val="auto"/>
          <w:sz w:val="24"/>
          <w:szCs w:val="24"/>
        </w:rPr>
        <w:t>8.</w:t>
      </w:r>
      <w:r>
        <w:rPr>
          <w:rFonts w:hint="eastAsia" w:ascii="Times New Roman" w:hAnsi="Times New Roman" w:eastAsia="宋体" w:cs="Times New Roman"/>
          <w:b/>
          <w:bCs/>
          <w:color w:val="auto"/>
          <w:sz w:val="24"/>
          <w:szCs w:val="24"/>
          <w:lang w:eastAsia="zh-CN"/>
        </w:rPr>
        <w:t>3</w:t>
      </w:r>
      <w:r>
        <w:rPr>
          <w:rFonts w:ascii="宋体" w:hAnsi="宋体" w:eastAsia="宋体" w:cs="宋体"/>
          <w:color w:val="auto"/>
          <w:sz w:val="24"/>
          <w:szCs w:val="24"/>
        </w:rPr>
        <w:t>暂估价指招标工程量清单中</w:t>
      </w:r>
      <w:r>
        <w:rPr>
          <w:rFonts w:ascii="宋体" w:hAnsi="宋体" w:eastAsia="宋体" w:cs="宋体"/>
          <w:sz w:val="24"/>
          <w:szCs w:val="24"/>
        </w:rPr>
        <w:t>提供的用于支付必然发生但暂时不能确定价格的</w:t>
      </w:r>
      <w:r>
        <w:rPr>
          <w:rFonts w:ascii="宋体" w:hAnsi="宋体" w:eastAsia="宋体" w:cs="宋体"/>
          <w:spacing w:val="-1"/>
          <w:sz w:val="24"/>
          <w:szCs w:val="24"/>
        </w:rPr>
        <w:t>材料、工程设备的单价以及专业工程的金额；暂列金额指招标</w:t>
      </w:r>
      <w:r>
        <w:rPr>
          <w:rFonts w:ascii="宋体" w:hAnsi="宋体" w:eastAsia="宋体" w:cs="宋体"/>
          <w:spacing w:val="-2"/>
          <w:sz w:val="24"/>
          <w:szCs w:val="24"/>
        </w:rPr>
        <w:t>工程量清单中暂定并包括在合同价款中的一笔款项，用于工程合同签订时尚未确定或</w:t>
      </w:r>
      <w:r>
        <w:rPr>
          <w:rFonts w:ascii="宋体" w:hAnsi="宋体" w:eastAsia="宋体" w:cs="宋体"/>
          <w:spacing w:val="-3"/>
          <w:sz w:val="24"/>
          <w:szCs w:val="24"/>
        </w:rPr>
        <w:t>者不可预见的所需材料、</w:t>
      </w:r>
      <w:r>
        <w:rPr>
          <w:rFonts w:ascii="宋体" w:hAnsi="宋体" w:eastAsia="宋体" w:cs="宋体"/>
          <w:spacing w:val="-1"/>
          <w:sz w:val="24"/>
          <w:szCs w:val="24"/>
        </w:rPr>
        <w:t>工程设备、服务的采购，施工中可能发生的工程变更、合同约</w:t>
      </w:r>
      <w:r>
        <w:rPr>
          <w:rFonts w:ascii="宋体" w:hAnsi="宋体" w:eastAsia="宋体" w:cs="宋体"/>
          <w:spacing w:val="-2"/>
          <w:sz w:val="24"/>
          <w:szCs w:val="24"/>
        </w:rPr>
        <w:t>定调整因素出现时的合</w:t>
      </w:r>
      <w:r>
        <w:rPr>
          <w:rFonts w:ascii="宋体" w:hAnsi="宋体" w:eastAsia="宋体" w:cs="宋体"/>
          <w:spacing w:val="-1"/>
          <w:sz w:val="24"/>
          <w:szCs w:val="24"/>
        </w:rPr>
        <w:t>同价款调整以及发生的索赔、现场签证确认等的费用。</w:t>
      </w:r>
    </w:p>
    <w:p w14:paraId="158ECF56">
      <w:pPr>
        <w:spacing w:before="36" w:line="360" w:lineRule="auto"/>
        <w:ind w:left="10" w:right="200" w:firstLine="480"/>
        <w:rPr>
          <w:rFonts w:ascii="宋体" w:hAnsi="宋体" w:eastAsia="宋体" w:cs="宋体"/>
          <w:sz w:val="24"/>
          <w:szCs w:val="24"/>
        </w:rPr>
      </w:pPr>
      <w:r>
        <w:rPr>
          <w:rFonts w:ascii="Times New Roman" w:hAnsi="Times New Roman" w:eastAsia="Times New Roman" w:cs="Times New Roman"/>
          <w:b/>
          <w:bCs/>
          <w:sz w:val="24"/>
          <w:szCs w:val="24"/>
        </w:rPr>
        <w:t>8.</w:t>
      </w:r>
      <w:r>
        <w:rPr>
          <w:rFonts w:hint="eastAsia" w:ascii="Times New Roman" w:hAnsi="Times New Roman" w:eastAsia="宋体" w:cs="Times New Roman"/>
          <w:b/>
          <w:bCs/>
          <w:sz w:val="24"/>
          <w:szCs w:val="24"/>
          <w:lang w:eastAsia="zh-CN"/>
        </w:rPr>
        <w:t>4</w:t>
      </w:r>
      <w:r>
        <w:rPr>
          <w:rFonts w:ascii="宋体" w:hAnsi="宋体" w:eastAsia="宋体" w:cs="宋体"/>
          <w:sz w:val="24"/>
          <w:szCs w:val="24"/>
        </w:rPr>
        <w:t>本招标项目以暂估价形式列入招标工程量清单中的材料、工程设备、专业工</w:t>
      </w:r>
      <w:r>
        <w:rPr>
          <w:rFonts w:ascii="宋体" w:hAnsi="宋体" w:eastAsia="宋体" w:cs="宋体"/>
          <w:spacing w:val="-2"/>
          <w:sz w:val="24"/>
          <w:szCs w:val="24"/>
        </w:rPr>
        <w:t>程（以下统称“暂估价项目”）包括：</w:t>
      </w:r>
      <w:r>
        <w:rPr>
          <w:rFonts w:ascii="宋体" w:hAnsi="宋体" w:eastAsia="宋体" w:cs="宋体"/>
          <w:sz w:val="24"/>
          <w:szCs w:val="24"/>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r>
        <w:rPr>
          <w:rFonts w:hint="eastAsia" w:ascii="宋体" w:hAnsi="宋体" w:eastAsia="宋体" w:cs="宋体"/>
          <w:sz w:val="24"/>
          <w:szCs w:val="24"/>
          <w:u w:val="single"/>
        </w:rPr>
        <w:t>。</w:t>
      </w:r>
    </w:p>
    <w:p w14:paraId="612BC576">
      <w:pPr>
        <w:spacing w:before="154" w:line="280" w:lineRule="auto"/>
        <w:ind w:left="12" w:right="200" w:firstLine="477"/>
        <w:rPr>
          <w:rFonts w:ascii="宋体" w:hAnsi="宋体" w:eastAsia="宋体" w:cs="宋体"/>
          <w:spacing w:val="-2"/>
          <w:sz w:val="24"/>
          <w:szCs w:val="24"/>
        </w:rPr>
      </w:pPr>
      <w:r>
        <w:rPr>
          <w:rFonts w:ascii="Times New Roman" w:hAnsi="Times New Roman" w:eastAsia="Times New Roman" w:cs="Times New Roman"/>
          <w:b/>
          <w:bCs/>
          <w:sz w:val="24"/>
          <w:szCs w:val="24"/>
        </w:rPr>
        <w:t>8.</w:t>
      </w:r>
      <w:r>
        <w:rPr>
          <w:rFonts w:hint="eastAsia" w:ascii="Times New Roman" w:hAnsi="Times New Roman" w:eastAsia="宋体" w:cs="Times New Roman"/>
          <w:b/>
          <w:bCs/>
          <w:sz w:val="24"/>
          <w:szCs w:val="24"/>
          <w:lang w:eastAsia="zh-CN"/>
        </w:rPr>
        <w:t>5</w:t>
      </w:r>
      <w:r>
        <w:rPr>
          <w:rFonts w:ascii="宋体" w:hAnsi="宋体" w:eastAsia="宋体" w:cs="宋体"/>
          <w:sz w:val="24"/>
          <w:szCs w:val="24"/>
        </w:rPr>
        <w:t>当暂估价项目的内容、标准、要求在项目实施过程中得以深化、明确、固定</w:t>
      </w:r>
      <w:r>
        <w:rPr>
          <w:rFonts w:ascii="宋体" w:hAnsi="宋体" w:eastAsia="宋体" w:cs="宋体"/>
          <w:spacing w:val="-2"/>
          <w:sz w:val="24"/>
          <w:szCs w:val="24"/>
        </w:rPr>
        <w:t>后，按以下原则发包：</w:t>
      </w:r>
    </w:p>
    <w:p w14:paraId="5A42E3B7">
      <w:pPr>
        <w:spacing w:before="30" w:line="299" w:lineRule="auto"/>
        <w:ind w:left="11" w:right="65" w:firstLine="489"/>
        <w:rPr>
          <w:rFonts w:ascii="宋体" w:hAnsi="宋体" w:eastAsia="宋体" w:cs="宋体"/>
          <w:spacing w:val="2"/>
          <w:sz w:val="24"/>
          <w:szCs w:val="24"/>
        </w:rPr>
      </w:pPr>
      <w:r>
        <w:rPr>
          <w:rFonts w:ascii="宋体" w:hAnsi="宋体" w:eastAsia="宋体" w:cs="宋体"/>
          <w:spacing w:val="2"/>
          <w:sz w:val="24"/>
          <w:szCs w:val="24"/>
        </w:rPr>
        <w:t>（1）暂估价项目按工程、货物（指材料或工程设备，下同）的类别分类汇总的金额，达到必须招标规模标准的，由</w:t>
      </w:r>
      <w:r>
        <w:rPr>
          <w:rFonts w:ascii="宋体" w:hAnsi="宋体" w:eastAsia="宋体" w:cs="宋体"/>
          <w:spacing w:val="2"/>
          <w:sz w:val="24"/>
          <w:szCs w:val="24"/>
          <w:u w:val="single"/>
        </w:rPr>
        <w:t>中标人招标，招标人参与管理</w:t>
      </w:r>
      <w:r>
        <w:rPr>
          <w:rFonts w:ascii="宋体" w:hAnsi="宋体" w:eastAsia="宋体" w:cs="宋体"/>
          <w:spacing w:val="2"/>
          <w:sz w:val="24"/>
          <w:szCs w:val="24"/>
        </w:rPr>
        <w:t>，确定专业工程承包人（或材料、工程设备供应商）和合同价格。</w:t>
      </w:r>
    </w:p>
    <w:p w14:paraId="16C0DE71">
      <w:pPr>
        <w:spacing w:before="30" w:line="299" w:lineRule="auto"/>
        <w:ind w:left="11" w:right="65" w:firstLine="48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）暂估价项目按工程、货物的类别分类汇总的金额，未</w:t>
      </w:r>
      <w:r>
        <w:rPr>
          <w:rFonts w:ascii="宋体" w:hAnsi="宋体" w:eastAsia="宋体" w:cs="宋体"/>
          <w:spacing w:val="1"/>
          <w:sz w:val="24"/>
          <w:szCs w:val="24"/>
        </w:rPr>
        <w:t>达到必须招标规模标</w:t>
      </w:r>
      <w:r>
        <w:rPr>
          <w:rFonts w:ascii="宋体" w:hAnsi="宋体" w:eastAsia="宋体" w:cs="宋体"/>
          <w:spacing w:val="-1"/>
          <w:sz w:val="24"/>
          <w:szCs w:val="24"/>
        </w:rPr>
        <w:t>准但适用政府采购规定的，按照政府采购规定确定专业工</w:t>
      </w:r>
      <w:r>
        <w:rPr>
          <w:rFonts w:ascii="宋体" w:hAnsi="宋体" w:eastAsia="宋体" w:cs="宋体"/>
          <w:spacing w:val="-2"/>
          <w:sz w:val="24"/>
          <w:szCs w:val="24"/>
        </w:rPr>
        <w:t>程承包人（或材料、工程设备供应商）和合同价格。</w:t>
      </w:r>
    </w:p>
    <w:p w14:paraId="02AF00E0">
      <w:pPr>
        <w:spacing w:before="154" w:line="309" w:lineRule="auto"/>
        <w:ind w:left="11" w:right="65" w:firstLine="48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）暂估价项目按工程、货物的类别分类汇总的金额，未</w:t>
      </w:r>
      <w:r>
        <w:rPr>
          <w:rFonts w:ascii="宋体" w:hAnsi="宋体" w:eastAsia="宋体" w:cs="宋体"/>
          <w:spacing w:val="1"/>
          <w:sz w:val="24"/>
          <w:szCs w:val="24"/>
        </w:rPr>
        <w:t>达到必须招标规模标</w:t>
      </w:r>
      <w:r>
        <w:rPr>
          <w:rFonts w:ascii="宋体" w:hAnsi="宋体" w:eastAsia="宋体" w:cs="宋体"/>
          <w:spacing w:val="-1"/>
          <w:sz w:val="24"/>
          <w:szCs w:val="24"/>
        </w:rPr>
        <w:t>准也不适用政府采购规定，中标人具备相应资格条件的，</w:t>
      </w:r>
      <w:r>
        <w:rPr>
          <w:rFonts w:ascii="宋体" w:hAnsi="宋体" w:eastAsia="宋体" w:cs="宋体"/>
          <w:spacing w:val="-2"/>
          <w:sz w:val="24"/>
          <w:szCs w:val="24"/>
        </w:rPr>
        <w:t>由中标人承包；中标人不具</w:t>
      </w:r>
      <w:r>
        <w:rPr>
          <w:rFonts w:ascii="宋体" w:hAnsi="宋体" w:eastAsia="宋体" w:cs="宋体"/>
          <w:spacing w:val="-1"/>
          <w:sz w:val="24"/>
          <w:szCs w:val="24"/>
        </w:rPr>
        <w:t>备相应资格条件但具备分包权的，由中标人分包，招标人</w:t>
      </w:r>
      <w:r>
        <w:rPr>
          <w:rFonts w:ascii="宋体" w:hAnsi="宋体" w:eastAsia="宋体" w:cs="宋体"/>
          <w:spacing w:val="-2"/>
          <w:sz w:val="24"/>
          <w:szCs w:val="24"/>
        </w:rPr>
        <w:t>同中标人结算原则按本招标文件相关条款执行。</w:t>
      </w:r>
    </w:p>
    <w:p w14:paraId="2E23D127">
      <w:pPr>
        <w:spacing w:before="154" w:line="299" w:lineRule="auto"/>
        <w:ind w:left="11" w:right="65" w:firstLine="48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）暂估价项目按工程、货物的类别分类汇总的金额，未</w:t>
      </w:r>
      <w:r>
        <w:rPr>
          <w:rFonts w:ascii="宋体" w:hAnsi="宋体" w:eastAsia="宋体" w:cs="宋体"/>
          <w:spacing w:val="1"/>
          <w:sz w:val="24"/>
          <w:szCs w:val="24"/>
        </w:rPr>
        <w:t>达到必须招标规模标</w:t>
      </w:r>
      <w:r>
        <w:rPr>
          <w:rFonts w:ascii="宋体" w:hAnsi="宋体" w:eastAsia="宋体" w:cs="宋体"/>
          <w:spacing w:val="-1"/>
          <w:sz w:val="24"/>
          <w:szCs w:val="24"/>
        </w:rPr>
        <w:t>准也不适用政府采购规定，中标人既不具备相应资格条件</w:t>
      </w:r>
      <w:r>
        <w:rPr>
          <w:rFonts w:ascii="宋体" w:hAnsi="宋体" w:eastAsia="宋体" w:cs="宋体"/>
          <w:spacing w:val="-2"/>
          <w:sz w:val="24"/>
          <w:szCs w:val="24"/>
        </w:rPr>
        <w:t>又不具备分包权的，由招标人另行发包。</w:t>
      </w:r>
    </w:p>
    <w:p w14:paraId="48AE03A7">
      <w:pPr>
        <w:spacing w:before="155" w:line="279" w:lineRule="auto"/>
        <w:ind w:left="9" w:right="66" w:firstLine="49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）暂估价项目由其他承包人承包的，纳入中标人的管理</w:t>
      </w:r>
      <w:r>
        <w:rPr>
          <w:rFonts w:ascii="宋体" w:hAnsi="宋体" w:eastAsia="宋体" w:cs="宋体"/>
          <w:spacing w:val="1"/>
          <w:sz w:val="24"/>
          <w:szCs w:val="24"/>
        </w:rPr>
        <w:t>和协调范围，由其他</w:t>
      </w:r>
      <w:r>
        <w:rPr>
          <w:rFonts w:ascii="宋体" w:hAnsi="宋体" w:eastAsia="宋体" w:cs="宋体"/>
          <w:spacing w:val="-1"/>
          <w:sz w:val="24"/>
          <w:szCs w:val="24"/>
        </w:rPr>
        <w:t>承包人向中标人承担质量、安全、文明施工、工期责任，中标</w:t>
      </w:r>
      <w:r>
        <w:rPr>
          <w:rFonts w:ascii="宋体" w:hAnsi="宋体" w:eastAsia="宋体" w:cs="宋体"/>
          <w:spacing w:val="-2"/>
          <w:sz w:val="24"/>
          <w:szCs w:val="24"/>
        </w:rPr>
        <w:t>人向招标人承担责任。</w:t>
      </w:r>
    </w:p>
    <w:p w14:paraId="2DEA0C21">
      <w:pPr>
        <w:spacing w:before="155" w:line="333" w:lineRule="auto"/>
        <w:ind w:left="10" w:right="65" w:firstLine="478"/>
        <w:jc w:val="both"/>
        <w:rPr>
          <w:rFonts w:ascii="宋体" w:hAnsi="宋体" w:eastAsia="宋体" w:cs="宋体"/>
          <w:sz w:val="24"/>
          <w:szCs w:val="24"/>
        </w:rPr>
      </w:pPr>
      <w:r>
        <w:rPr>
          <w:rFonts w:ascii="Times New Roman" w:hAnsi="Times New Roman" w:eastAsia="Times New Roman" w:cs="Times New Roman"/>
          <w:b/>
          <w:bCs/>
          <w:sz w:val="24"/>
          <w:szCs w:val="24"/>
        </w:rPr>
        <w:t>8.</w:t>
      </w:r>
      <w:r>
        <w:rPr>
          <w:rFonts w:hint="eastAsia" w:ascii="Times New Roman" w:hAnsi="Times New Roman" w:eastAsia="宋体" w:cs="Times New Roman"/>
          <w:b/>
          <w:bCs/>
          <w:sz w:val="24"/>
          <w:szCs w:val="24"/>
          <w:lang w:val="en-US" w:eastAsia="zh-CN"/>
        </w:rPr>
        <w:t>6</w:t>
      </w:r>
      <w:r>
        <w:rPr>
          <w:rFonts w:ascii="宋体" w:hAnsi="宋体" w:eastAsia="宋体" w:cs="宋体"/>
          <w:sz w:val="24"/>
          <w:szCs w:val="24"/>
        </w:rPr>
        <w:t>本招标项目以暂列金额形式列入招标工程量清单中的所需货物和服务的采购</w:t>
      </w:r>
      <w:r>
        <w:rPr>
          <w:rFonts w:ascii="宋体" w:hAnsi="宋体" w:eastAsia="宋体" w:cs="宋体"/>
          <w:spacing w:val="-1"/>
          <w:sz w:val="24"/>
          <w:szCs w:val="24"/>
        </w:rPr>
        <w:t>（以下统称“暂列金额项目”）若有发生，按照本节第</w:t>
      </w:r>
      <w:r>
        <w:rPr>
          <w:rFonts w:ascii="Times New Roman" w:hAnsi="Times New Roman" w:eastAsia="Times New Roman" w:cs="Times New Roman"/>
          <w:b/>
          <w:bCs/>
          <w:spacing w:val="-1"/>
          <w:sz w:val="24"/>
          <w:szCs w:val="24"/>
        </w:rPr>
        <w:t>8.5</w:t>
      </w:r>
      <w:r>
        <w:rPr>
          <w:rFonts w:ascii="宋体" w:hAnsi="宋体" w:eastAsia="宋体" w:cs="宋体"/>
          <w:spacing w:val="-1"/>
          <w:sz w:val="24"/>
          <w:szCs w:val="24"/>
        </w:rPr>
        <w:t>条的规定确定货物（或服务）供应商和合同价格。暂列金额项目由其他承包人承包的</w:t>
      </w:r>
      <w:r>
        <w:rPr>
          <w:rFonts w:ascii="宋体" w:hAnsi="宋体" w:eastAsia="宋体" w:cs="宋体"/>
          <w:spacing w:val="-2"/>
          <w:sz w:val="24"/>
          <w:szCs w:val="24"/>
        </w:rPr>
        <w:t>，纳入中标人的管理和协</w:t>
      </w:r>
      <w:r>
        <w:rPr>
          <w:rFonts w:ascii="宋体" w:hAnsi="宋体" w:eastAsia="宋体" w:cs="宋体"/>
          <w:spacing w:val="-1"/>
          <w:sz w:val="24"/>
          <w:szCs w:val="24"/>
        </w:rPr>
        <w:t>调范围，由其他承包人向中标人承担质量、安全、文明</w:t>
      </w:r>
      <w:r>
        <w:rPr>
          <w:rFonts w:ascii="宋体" w:hAnsi="宋体" w:eastAsia="宋体" w:cs="宋体"/>
          <w:spacing w:val="-2"/>
          <w:sz w:val="24"/>
          <w:szCs w:val="24"/>
        </w:rPr>
        <w:t>施工、工期责任，中标人向招标人承担责任。</w:t>
      </w:r>
    </w:p>
    <w:p w14:paraId="380128E3">
      <w:pPr>
        <w:pStyle w:val="5"/>
        <w:spacing w:line="391" w:lineRule="auto"/>
      </w:pPr>
    </w:p>
    <w:p w14:paraId="32F821FD">
      <w:pPr>
        <w:spacing w:before="79" w:line="219" w:lineRule="auto"/>
        <w:ind w:left="487"/>
        <w:outlineLvl w:val="2"/>
        <w:rPr>
          <w:rFonts w:ascii="宋体" w:hAnsi="宋体" w:eastAsia="宋体" w:cs="宋体"/>
          <w:sz w:val="24"/>
          <w:szCs w:val="24"/>
        </w:rPr>
      </w:pPr>
      <w:bookmarkStart w:id="36" w:name="_Toc25884"/>
      <w:r>
        <w:rPr>
          <w:rFonts w:ascii="Times New Roman" w:hAnsi="Times New Roman" w:eastAsia="Times New Roman" w:cs="Times New Roman"/>
          <w:b/>
          <w:bCs/>
          <w:spacing w:val="-8"/>
          <w:sz w:val="24"/>
          <w:szCs w:val="24"/>
        </w:rPr>
        <w:t>9</w:t>
      </w:r>
      <w:r>
        <w:rPr>
          <w:rFonts w:ascii="宋体" w:hAnsi="宋体" w:eastAsia="宋体" w:cs="宋体"/>
          <w:b/>
          <w:bCs/>
          <w:spacing w:val="-8"/>
          <w:sz w:val="24"/>
          <w:szCs w:val="24"/>
        </w:rPr>
        <w:t>．投标报价</w:t>
      </w:r>
      <w:bookmarkEnd w:id="36"/>
    </w:p>
    <w:p w14:paraId="484621F3">
      <w:pPr>
        <w:spacing w:before="157" w:line="219" w:lineRule="auto"/>
        <w:ind w:left="487"/>
        <w:rPr>
          <w:rFonts w:ascii="宋体" w:hAnsi="宋体" w:eastAsia="宋体" w:cs="宋体"/>
          <w:sz w:val="24"/>
          <w:szCs w:val="24"/>
        </w:rPr>
      </w:pPr>
      <w:r>
        <w:rPr>
          <w:rFonts w:ascii="Times New Roman" w:hAnsi="Times New Roman" w:eastAsia="Times New Roman" w:cs="Times New Roman"/>
          <w:b/>
          <w:bCs/>
          <w:spacing w:val="-1"/>
          <w:sz w:val="24"/>
          <w:szCs w:val="24"/>
        </w:rPr>
        <w:t>9.1</w:t>
      </w:r>
      <w:r>
        <w:rPr>
          <w:rFonts w:ascii="宋体" w:hAnsi="宋体" w:eastAsia="宋体" w:cs="宋体"/>
          <w:spacing w:val="-1"/>
          <w:sz w:val="24"/>
          <w:szCs w:val="24"/>
        </w:rPr>
        <w:t>投标人应按照以下依据编制投标报价：</w:t>
      </w:r>
    </w:p>
    <w:p w14:paraId="1CDDDFD7">
      <w:pPr>
        <w:spacing w:before="155" w:line="219" w:lineRule="auto"/>
        <w:ind w:left="50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w:t>
      </w:r>
      <w:r>
        <w:rPr>
          <w:rFonts w:hint="eastAsia" w:ascii="宋体" w:hAnsi="宋体" w:eastAsia="宋体" w:cs="宋体"/>
          <w:spacing w:val="-1"/>
          <w:sz w:val="24"/>
          <w:szCs w:val="24"/>
          <w:lang w:eastAsia="zh-CN"/>
        </w:rPr>
        <w:t>《建设工程工程量清单计价标准》（GB/T50500-2024）</w:t>
      </w:r>
      <w:r>
        <w:rPr>
          <w:rFonts w:ascii="宋体" w:hAnsi="宋体" w:eastAsia="宋体" w:cs="宋体"/>
          <w:spacing w:val="4"/>
          <w:sz w:val="24"/>
          <w:szCs w:val="24"/>
        </w:rPr>
        <w:t>；</w:t>
      </w:r>
    </w:p>
    <w:p w14:paraId="1AEEACC9">
      <w:pPr>
        <w:spacing w:before="153" w:line="309" w:lineRule="auto"/>
        <w:ind w:left="9" w:right="65" w:firstLine="49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）《广东省建设工程计价依据（</w:t>
      </w:r>
      <w:r>
        <w:rPr>
          <w:rFonts w:ascii="Times New Roman" w:hAnsi="Times New Roman" w:eastAsia="Times New Roman" w:cs="Times New Roman"/>
          <w:spacing w:val="2"/>
          <w:sz w:val="24"/>
          <w:szCs w:val="24"/>
        </w:rPr>
        <w:t>2018</w:t>
      </w:r>
      <w:r>
        <w:rPr>
          <w:rFonts w:ascii="宋体" w:hAnsi="宋体" w:eastAsia="宋体" w:cs="宋体"/>
          <w:spacing w:val="2"/>
          <w:sz w:val="24"/>
          <w:szCs w:val="24"/>
        </w:rPr>
        <w:t>）》。具体</w:t>
      </w:r>
      <w:r>
        <w:rPr>
          <w:rFonts w:ascii="宋体" w:hAnsi="宋体" w:eastAsia="宋体" w:cs="宋体"/>
          <w:spacing w:val="1"/>
          <w:sz w:val="24"/>
          <w:szCs w:val="24"/>
        </w:rPr>
        <w:t>包括：《广东省房屋建筑与</w:t>
      </w:r>
      <w:r>
        <w:rPr>
          <w:rFonts w:ascii="宋体" w:hAnsi="宋体" w:eastAsia="宋体" w:cs="宋体"/>
          <w:spacing w:val="-1"/>
          <w:sz w:val="24"/>
          <w:szCs w:val="24"/>
        </w:rPr>
        <w:t>装饰工程综合定额（</w:t>
      </w:r>
      <w:r>
        <w:rPr>
          <w:rFonts w:ascii="Times New Roman" w:hAnsi="Times New Roman" w:eastAsia="Times New Roman" w:cs="Times New Roman"/>
          <w:spacing w:val="-1"/>
          <w:sz w:val="24"/>
          <w:szCs w:val="24"/>
        </w:rPr>
        <w:t>2018</w:t>
      </w:r>
      <w:r>
        <w:rPr>
          <w:rFonts w:ascii="宋体" w:hAnsi="宋体" w:eastAsia="宋体" w:cs="宋体"/>
          <w:spacing w:val="-1"/>
          <w:sz w:val="24"/>
          <w:szCs w:val="24"/>
        </w:rPr>
        <w:t>）》《广东省市政工程综合定额（</w:t>
      </w:r>
      <w:r>
        <w:rPr>
          <w:rFonts w:ascii="Times New Roman" w:hAnsi="Times New Roman" w:eastAsia="Times New Roman" w:cs="Times New Roman"/>
          <w:spacing w:val="-1"/>
          <w:sz w:val="24"/>
          <w:szCs w:val="24"/>
        </w:rPr>
        <w:t>2018</w:t>
      </w:r>
      <w:r>
        <w:rPr>
          <w:rFonts w:ascii="宋体" w:hAnsi="宋体" w:eastAsia="宋体" w:cs="宋体"/>
          <w:spacing w:val="-1"/>
          <w:sz w:val="24"/>
          <w:szCs w:val="24"/>
        </w:rPr>
        <w:t>）》《</w:t>
      </w:r>
      <w:r>
        <w:rPr>
          <w:rFonts w:ascii="宋体" w:hAnsi="宋体" w:eastAsia="宋体" w:cs="宋体"/>
          <w:spacing w:val="-2"/>
          <w:sz w:val="24"/>
          <w:szCs w:val="24"/>
        </w:rPr>
        <w:t>广东省通用安</w:t>
      </w:r>
      <w:r>
        <w:rPr>
          <w:rFonts w:ascii="宋体" w:hAnsi="宋体" w:eastAsia="宋体" w:cs="宋体"/>
          <w:spacing w:val="-1"/>
          <w:sz w:val="24"/>
          <w:szCs w:val="24"/>
        </w:rPr>
        <w:t>装工程综合定额（</w:t>
      </w:r>
      <w:r>
        <w:rPr>
          <w:rFonts w:ascii="Times New Roman" w:hAnsi="Times New Roman" w:eastAsia="Times New Roman" w:cs="Times New Roman"/>
          <w:spacing w:val="-1"/>
          <w:sz w:val="24"/>
          <w:szCs w:val="24"/>
        </w:rPr>
        <w:t>2018</w:t>
      </w:r>
      <w:r>
        <w:rPr>
          <w:rFonts w:ascii="宋体" w:hAnsi="宋体" w:eastAsia="宋体" w:cs="宋体"/>
          <w:spacing w:val="-1"/>
          <w:sz w:val="24"/>
          <w:szCs w:val="24"/>
        </w:rPr>
        <w:t>）》《广东省园林绿化工程综合定额（</w:t>
      </w:r>
      <w:r>
        <w:rPr>
          <w:rFonts w:ascii="Times New Roman" w:hAnsi="Times New Roman" w:eastAsia="Times New Roman" w:cs="Times New Roman"/>
          <w:spacing w:val="-1"/>
          <w:sz w:val="24"/>
          <w:szCs w:val="24"/>
        </w:rPr>
        <w:t>2018</w:t>
      </w:r>
      <w:r>
        <w:rPr>
          <w:rFonts w:ascii="宋体" w:hAnsi="宋体" w:eastAsia="宋体" w:cs="宋体"/>
          <w:spacing w:val="-1"/>
          <w:sz w:val="24"/>
          <w:szCs w:val="24"/>
        </w:rPr>
        <w:t>）》</w:t>
      </w:r>
      <w:r>
        <w:rPr>
          <w:rFonts w:ascii="宋体" w:hAnsi="宋体" w:eastAsia="宋体" w:cs="宋体"/>
          <w:spacing w:val="-2"/>
          <w:sz w:val="24"/>
          <w:szCs w:val="24"/>
        </w:rPr>
        <w:t>《广东省建设</w:t>
      </w:r>
      <w:r>
        <w:rPr>
          <w:rFonts w:ascii="宋体" w:hAnsi="宋体" w:eastAsia="宋体" w:cs="宋体"/>
          <w:spacing w:val="-1"/>
          <w:sz w:val="24"/>
          <w:szCs w:val="24"/>
        </w:rPr>
        <w:t>工程施工机具台班费用编制规则（</w:t>
      </w:r>
      <w:r>
        <w:rPr>
          <w:rFonts w:ascii="Times New Roman" w:hAnsi="Times New Roman" w:eastAsia="Times New Roman" w:cs="Times New Roman"/>
          <w:spacing w:val="-1"/>
          <w:sz w:val="24"/>
          <w:szCs w:val="24"/>
        </w:rPr>
        <w:t>2018</w:t>
      </w:r>
      <w:r>
        <w:rPr>
          <w:rFonts w:ascii="宋体" w:hAnsi="宋体" w:eastAsia="宋体" w:cs="宋体"/>
          <w:spacing w:val="-1"/>
          <w:sz w:val="24"/>
          <w:szCs w:val="24"/>
        </w:rPr>
        <w:t>）》等；</w:t>
      </w:r>
    </w:p>
    <w:p w14:paraId="254B5461">
      <w:pPr>
        <w:spacing w:before="78" w:line="220" w:lineRule="auto"/>
        <w:ind w:left="501"/>
        <w:rPr>
          <w:rFonts w:ascii="宋体" w:hAnsi="宋体" w:eastAsia="宋体" w:cs="宋体"/>
          <w:sz w:val="24"/>
          <w:szCs w:val="24"/>
        </w:rPr>
      </w:pPr>
      <w:bookmarkStart w:id="37" w:name="bookmark120"/>
      <w:bookmarkEnd w:id="37"/>
      <w:r>
        <w:rPr>
          <w:rFonts w:ascii="宋体" w:hAnsi="宋体" w:eastAsia="宋体" w:cs="宋体"/>
          <w:spacing w:val="-3"/>
          <w:sz w:val="24"/>
          <w:szCs w:val="24"/>
        </w:rPr>
        <w:t>（</w:t>
      </w:r>
      <w:r>
        <w:rPr>
          <w:rFonts w:ascii="Times New Roman" w:hAnsi="Times New Roman" w:eastAsia="Times New Roman" w:cs="Times New Roman"/>
          <w:spacing w:val="-3"/>
          <w:sz w:val="24"/>
          <w:szCs w:val="24"/>
        </w:rPr>
        <w:t>3</w:t>
      </w:r>
      <w:r>
        <w:rPr>
          <w:rFonts w:ascii="宋体" w:hAnsi="宋体" w:eastAsia="宋体" w:cs="宋体"/>
          <w:spacing w:val="-3"/>
          <w:sz w:val="24"/>
          <w:szCs w:val="24"/>
        </w:rPr>
        <w:t>）企业定额；</w:t>
      </w:r>
    </w:p>
    <w:p w14:paraId="0753C62C">
      <w:pPr>
        <w:spacing w:before="155" w:line="219" w:lineRule="auto"/>
        <w:ind w:left="50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）招标文件及其答疑（或修改）公告、招标工程量清单；</w:t>
      </w:r>
    </w:p>
    <w:p w14:paraId="0783D419">
      <w:pPr>
        <w:spacing w:before="154" w:line="221" w:lineRule="auto"/>
        <w:ind w:left="50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）施工图及相关资料；</w:t>
      </w:r>
    </w:p>
    <w:p w14:paraId="0D3611D0">
      <w:pPr>
        <w:spacing w:before="152" w:line="219" w:lineRule="auto"/>
        <w:ind w:left="50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6</w:t>
      </w:r>
      <w:r>
        <w:rPr>
          <w:rFonts w:ascii="宋体" w:hAnsi="宋体" w:eastAsia="宋体" w:cs="宋体"/>
          <w:spacing w:val="-1"/>
          <w:sz w:val="24"/>
          <w:szCs w:val="24"/>
        </w:rPr>
        <w:t>）施工现场情况、工程特点及投标时拟定的施工组织设计或施工方案；</w:t>
      </w:r>
    </w:p>
    <w:p w14:paraId="55FA71F0">
      <w:pPr>
        <w:spacing w:before="156" w:line="219" w:lineRule="auto"/>
        <w:ind w:left="50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7</w:t>
      </w:r>
      <w:r>
        <w:rPr>
          <w:rFonts w:ascii="宋体" w:hAnsi="宋体" w:eastAsia="宋体" w:cs="宋体"/>
          <w:spacing w:val="-1"/>
          <w:sz w:val="24"/>
          <w:szCs w:val="24"/>
        </w:rPr>
        <w:t>）市场价格信息或项目所在地工程造价管理机构发布的工程造价信息；</w:t>
      </w:r>
    </w:p>
    <w:p w14:paraId="6435F049">
      <w:pPr>
        <w:spacing w:before="155" w:line="220" w:lineRule="auto"/>
        <w:ind w:left="50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8</w:t>
      </w:r>
      <w:r>
        <w:rPr>
          <w:rFonts w:ascii="宋体" w:hAnsi="宋体" w:eastAsia="宋体" w:cs="宋体"/>
          <w:spacing w:val="-1"/>
          <w:sz w:val="24"/>
          <w:szCs w:val="24"/>
        </w:rPr>
        <w:t>）与建设项目相关的标准、规范、技术资料。</w:t>
      </w:r>
    </w:p>
    <w:p w14:paraId="5489E92D">
      <w:pPr>
        <w:spacing w:before="153" w:line="309" w:lineRule="auto"/>
        <w:ind w:left="8" w:right="150" w:firstLine="558"/>
        <w:rPr>
          <w:rFonts w:ascii="宋体" w:hAnsi="宋体" w:eastAsia="宋体" w:cs="宋体"/>
          <w:sz w:val="24"/>
          <w:szCs w:val="24"/>
        </w:rPr>
      </w:pPr>
      <w:r>
        <w:rPr>
          <w:rFonts w:ascii="Times New Roman" w:hAnsi="Times New Roman" w:eastAsia="Times New Roman" w:cs="Times New Roman"/>
          <w:b/>
          <w:bCs/>
          <w:spacing w:val="-2"/>
          <w:sz w:val="24"/>
          <w:szCs w:val="24"/>
        </w:rPr>
        <w:t>9.2</w:t>
      </w:r>
      <w:r>
        <w:rPr>
          <w:rFonts w:ascii="宋体" w:hAnsi="宋体" w:eastAsia="宋体" w:cs="宋体"/>
          <w:spacing w:val="-2"/>
          <w:sz w:val="24"/>
          <w:szCs w:val="24"/>
        </w:rPr>
        <w:t>投标人应根据招标工程量清单、工程量清单计价规范中的工作内容、设计文</w:t>
      </w:r>
      <w:r>
        <w:rPr>
          <w:rFonts w:ascii="宋体" w:hAnsi="宋体" w:eastAsia="宋体" w:cs="宋体"/>
          <w:spacing w:val="-1"/>
          <w:sz w:val="24"/>
          <w:szCs w:val="24"/>
        </w:rPr>
        <w:t>件和有关要求、施工现场实际情况、投标人拟定的施工组织设计</w:t>
      </w:r>
      <w:r>
        <w:rPr>
          <w:rFonts w:ascii="宋体" w:hAnsi="宋体" w:eastAsia="宋体" w:cs="宋体"/>
          <w:spacing w:val="-2"/>
          <w:sz w:val="24"/>
          <w:szCs w:val="24"/>
        </w:rPr>
        <w:t>、本单位的企业定额</w:t>
      </w:r>
      <w:r>
        <w:rPr>
          <w:rFonts w:ascii="宋体" w:hAnsi="宋体" w:eastAsia="宋体" w:cs="宋体"/>
          <w:spacing w:val="-1"/>
          <w:sz w:val="24"/>
          <w:szCs w:val="24"/>
        </w:rPr>
        <w:t>和市场价格进行编制，自行报价，并承担一定范围内的风险费用</w:t>
      </w:r>
      <w:r>
        <w:rPr>
          <w:rFonts w:ascii="宋体" w:hAnsi="宋体" w:eastAsia="宋体" w:cs="宋体"/>
          <w:spacing w:val="-2"/>
          <w:sz w:val="24"/>
          <w:szCs w:val="24"/>
        </w:rPr>
        <w:t>。所谓“一定范围内</w:t>
      </w:r>
      <w:r>
        <w:rPr>
          <w:rFonts w:ascii="宋体" w:hAnsi="宋体" w:eastAsia="宋体" w:cs="宋体"/>
          <w:spacing w:val="-3"/>
          <w:sz w:val="24"/>
          <w:szCs w:val="24"/>
        </w:rPr>
        <w:t>的风险”是指合同约定的风险。</w:t>
      </w:r>
    </w:p>
    <w:p w14:paraId="2F062D5D">
      <w:pPr>
        <w:spacing w:before="152" w:line="309" w:lineRule="auto"/>
        <w:ind w:left="9" w:right="150" w:firstLine="557"/>
        <w:rPr>
          <w:rFonts w:ascii="宋体" w:hAnsi="宋体" w:eastAsia="宋体" w:cs="宋体"/>
          <w:sz w:val="24"/>
          <w:szCs w:val="24"/>
        </w:rPr>
      </w:pPr>
      <w:r>
        <w:rPr>
          <w:rFonts w:ascii="Times New Roman" w:hAnsi="Times New Roman" w:eastAsia="Times New Roman" w:cs="Times New Roman"/>
          <w:b/>
          <w:bCs/>
          <w:spacing w:val="-2"/>
          <w:sz w:val="24"/>
          <w:szCs w:val="24"/>
        </w:rPr>
        <w:t>9.3</w:t>
      </w:r>
      <w:r>
        <w:rPr>
          <w:rFonts w:ascii="宋体" w:hAnsi="宋体" w:eastAsia="宋体" w:cs="宋体"/>
          <w:spacing w:val="-2"/>
          <w:sz w:val="24"/>
          <w:szCs w:val="24"/>
        </w:rPr>
        <w:t>招标人及招标代理机构不集中组织现场踏勘，投标人需要了解现场情况的，</w:t>
      </w:r>
      <w:r>
        <w:rPr>
          <w:rFonts w:ascii="宋体" w:hAnsi="宋体" w:eastAsia="宋体" w:cs="宋体"/>
          <w:spacing w:val="-1"/>
          <w:sz w:val="24"/>
          <w:szCs w:val="24"/>
        </w:rPr>
        <w:t>可自行进行现场踏勘。各投标人应勘察施工现场及周围环</w:t>
      </w:r>
      <w:r>
        <w:rPr>
          <w:rFonts w:ascii="宋体" w:hAnsi="宋体" w:eastAsia="宋体" w:cs="宋体"/>
          <w:spacing w:val="-2"/>
          <w:sz w:val="24"/>
          <w:szCs w:val="24"/>
        </w:rPr>
        <w:t>境、地形、地貌、水文、交</w:t>
      </w:r>
      <w:r>
        <w:rPr>
          <w:rFonts w:ascii="宋体" w:hAnsi="宋体" w:eastAsia="宋体" w:cs="宋体"/>
          <w:spacing w:val="-1"/>
          <w:sz w:val="24"/>
          <w:szCs w:val="24"/>
        </w:rPr>
        <w:t>通等情况，以获得一切可能影响到投标的直接资料。投标人应</w:t>
      </w:r>
      <w:r>
        <w:rPr>
          <w:rFonts w:ascii="宋体" w:hAnsi="宋体" w:eastAsia="宋体" w:cs="宋体"/>
          <w:spacing w:val="-2"/>
          <w:sz w:val="24"/>
          <w:szCs w:val="24"/>
        </w:rPr>
        <w:t>针对现场情况编制施工</w:t>
      </w:r>
      <w:r>
        <w:rPr>
          <w:rFonts w:ascii="宋体" w:hAnsi="宋体" w:eastAsia="宋体" w:cs="宋体"/>
          <w:spacing w:val="-1"/>
          <w:sz w:val="24"/>
          <w:szCs w:val="24"/>
        </w:rPr>
        <w:t>组织设计，并在编制投标报价时考虑现场情况的影响。</w:t>
      </w:r>
    </w:p>
    <w:p w14:paraId="7CD4D64C">
      <w:pPr>
        <w:spacing w:before="155" w:line="279" w:lineRule="auto"/>
        <w:ind w:left="10" w:right="150" w:firstLine="556"/>
        <w:rPr>
          <w:rFonts w:ascii="宋体" w:hAnsi="宋体" w:eastAsia="宋体" w:cs="宋体"/>
          <w:sz w:val="24"/>
          <w:szCs w:val="24"/>
        </w:rPr>
      </w:pPr>
      <w:r>
        <w:rPr>
          <w:rFonts w:ascii="Times New Roman" w:hAnsi="Times New Roman" w:eastAsia="Times New Roman" w:cs="Times New Roman"/>
          <w:b/>
          <w:bCs/>
          <w:spacing w:val="-2"/>
          <w:sz w:val="24"/>
          <w:szCs w:val="24"/>
        </w:rPr>
        <w:t>9.4</w:t>
      </w:r>
      <w:r>
        <w:rPr>
          <w:rFonts w:ascii="宋体" w:hAnsi="宋体" w:eastAsia="宋体" w:cs="宋体"/>
          <w:spacing w:val="-2"/>
          <w:sz w:val="24"/>
          <w:szCs w:val="24"/>
        </w:rPr>
        <w:t>招标人向投标人提供的有关现场的数据和资料，是招标人现有的能被投标人</w:t>
      </w:r>
      <w:r>
        <w:rPr>
          <w:rFonts w:ascii="宋体" w:hAnsi="宋体" w:eastAsia="宋体" w:cs="宋体"/>
          <w:sz w:val="24"/>
          <w:szCs w:val="24"/>
        </w:rPr>
        <w:t>利用的资料，招标人对投标人做出的任何推论</w:t>
      </w:r>
      <w:r>
        <w:rPr>
          <w:rFonts w:ascii="宋体" w:hAnsi="宋体" w:eastAsia="宋体" w:cs="宋体"/>
          <w:spacing w:val="-1"/>
          <w:sz w:val="24"/>
          <w:szCs w:val="24"/>
        </w:rPr>
        <w:t>、理解和结论均不负责任。</w:t>
      </w:r>
    </w:p>
    <w:p w14:paraId="152FEFF3">
      <w:pPr>
        <w:spacing w:before="154" w:line="299" w:lineRule="auto"/>
        <w:ind w:left="12" w:firstLine="554"/>
        <w:rPr>
          <w:rFonts w:ascii="宋体" w:hAnsi="宋体" w:eastAsia="宋体" w:cs="宋体"/>
          <w:sz w:val="24"/>
          <w:szCs w:val="24"/>
        </w:rPr>
      </w:pPr>
      <w:r>
        <w:rPr>
          <w:rFonts w:ascii="Times New Roman" w:hAnsi="Times New Roman" w:eastAsia="Times New Roman" w:cs="Times New Roman"/>
          <w:b/>
          <w:bCs/>
          <w:spacing w:val="-2"/>
          <w:sz w:val="24"/>
          <w:szCs w:val="24"/>
        </w:rPr>
        <w:t>9.5</w:t>
      </w:r>
      <w:r>
        <w:rPr>
          <w:rFonts w:ascii="宋体" w:hAnsi="宋体" w:eastAsia="宋体" w:cs="宋体"/>
          <w:spacing w:val="-2"/>
          <w:sz w:val="24"/>
          <w:szCs w:val="24"/>
        </w:rPr>
        <w:t>投标人必须按照招标工程量清单及表格填报价格。项目编码、项目名称、项</w:t>
      </w:r>
      <w:r>
        <w:rPr>
          <w:rFonts w:ascii="宋体" w:hAnsi="宋体" w:eastAsia="宋体" w:cs="宋体"/>
          <w:spacing w:val="2"/>
          <w:sz w:val="24"/>
          <w:szCs w:val="24"/>
        </w:rPr>
        <w:t>目特征、计量单位、工程量必须与招标工程量清单一致。所有报价均以人</w:t>
      </w:r>
      <w:r>
        <w:rPr>
          <w:rFonts w:ascii="宋体" w:hAnsi="宋体" w:eastAsia="宋体" w:cs="宋体"/>
          <w:spacing w:val="1"/>
          <w:sz w:val="24"/>
          <w:szCs w:val="24"/>
        </w:rPr>
        <w:t>民币“元”</w:t>
      </w:r>
      <w:r>
        <w:rPr>
          <w:rFonts w:ascii="宋体" w:hAnsi="宋体" w:eastAsia="宋体" w:cs="宋体"/>
          <w:spacing w:val="-1"/>
          <w:sz w:val="24"/>
          <w:szCs w:val="24"/>
        </w:rPr>
        <w:t>为单位，并保留小数点后两位。</w:t>
      </w:r>
    </w:p>
    <w:p w14:paraId="70D00140">
      <w:pPr>
        <w:spacing w:before="158" w:line="314" w:lineRule="auto"/>
        <w:ind w:left="9" w:right="150" w:firstLine="557"/>
        <w:rPr>
          <w:rFonts w:ascii="宋体" w:hAnsi="宋体" w:eastAsia="宋体" w:cs="宋体"/>
          <w:sz w:val="24"/>
          <w:szCs w:val="24"/>
        </w:rPr>
      </w:pPr>
      <w:r>
        <w:rPr>
          <w:rFonts w:ascii="Times New Roman" w:hAnsi="Times New Roman" w:eastAsia="Times New Roman" w:cs="Times New Roman"/>
          <w:b/>
          <w:bCs/>
          <w:spacing w:val="-2"/>
          <w:sz w:val="24"/>
          <w:szCs w:val="24"/>
        </w:rPr>
        <w:t>9.6</w:t>
      </w:r>
      <w:r>
        <w:rPr>
          <w:rFonts w:ascii="宋体" w:hAnsi="宋体" w:eastAsia="宋体" w:cs="宋体"/>
          <w:spacing w:val="-2"/>
          <w:sz w:val="24"/>
          <w:szCs w:val="24"/>
        </w:rPr>
        <w:t>投标人只允许有一个投标总价。投标总价必须同时用大、小写表示，大、小</w:t>
      </w:r>
      <w:r>
        <w:rPr>
          <w:rFonts w:ascii="宋体" w:hAnsi="宋体" w:eastAsia="宋体" w:cs="宋体"/>
          <w:spacing w:val="-1"/>
          <w:sz w:val="24"/>
          <w:szCs w:val="24"/>
        </w:rPr>
        <w:t>写报价应保持一致，若不一致，以大写报价为准。招标工程量</w:t>
      </w:r>
      <w:r>
        <w:rPr>
          <w:rFonts w:ascii="宋体" w:hAnsi="宋体" w:eastAsia="宋体" w:cs="宋体"/>
          <w:spacing w:val="-2"/>
          <w:sz w:val="24"/>
          <w:szCs w:val="24"/>
        </w:rPr>
        <w:t>清单与计价表中列明的</w:t>
      </w:r>
      <w:r>
        <w:rPr>
          <w:rFonts w:ascii="宋体" w:hAnsi="宋体" w:eastAsia="宋体" w:cs="宋体"/>
          <w:spacing w:val="-1"/>
          <w:sz w:val="24"/>
          <w:szCs w:val="24"/>
        </w:rPr>
        <w:t>所有需要填写单价和合价的项目，投标人均应填写且只允许有</w:t>
      </w:r>
      <w:r>
        <w:rPr>
          <w:rFonts w:ascii="宋体" w:hAnsi="宋体" w:eastAsia="宋体" w:cs="宋体"/>
          <w:spacing w:val="-2"/>
          <w:sz w:val="24"/>
          <w:szCs w:val="24"/>
        </w:rPr>
        <w:t>一个报价。未填写单价</w:t>
      </w:r>
      <w:r>
        <w:rPr>
          <w:rFonts w:ascii="宋体" w:hAnsi="宋体" w:eastAsia="宋体" w:cs="宋体"/>
          <w:spacing w:val="-1"/>
          <w:sz w:val="24"/>
          <w:szCs w:val="24"/>
        </w:rPr>
        <w:t>和合价的项目，视为此项费用已包含在已标价工程量清单其他</w:t>
      </w:r>
      <w:r>
        <w:rPr>
          <w:rFonts w:ascii="宋体" w:hAnsi="宋体" w:eastAsia="宋体" w:cs="宋体"/>
          <w:spacing w:val="-2"/>
          <w:sz w:val="24"/>
          <w:szCs w:val="24"/>
        </w:rPr>
        <w:t>项目的单价和合价中，</w:t>
      </w:r>
      <w:r>
        <w:rPr>
          <w:rFonts w:ascii="宋体" w:hAnsi="宋体" w:eastAsia="宋体" w:cs="宋体"/>
          <w:spacing w:val="-1"/>
          <w:sz w:val="24"/>
          <w:szCs w:val="24"/>
        </w:rPr>
        <w:t>竣工结算时不得重新组价和调整。</w:t>
      </w:r>
    </w:p>
    <w:p w14:paraId="7A29F307">
      <w:pPr>
        <w:spacing w:before="152" w:line="309" w:lineRule="auto"/>
        <w:ind w:left="7" w:right="120" w:firstLine="480"/>
        <w:rPr>
          <w:rFonts w:ascii="宋体" w:hAnsi="宋体" w:eastAsia="宋体" w:cs="宋体"/>
          <w:b/>
          <w:bCs/>
          <w:spacing w:val="-3"/>
          <w:sz w:val="24"/>
          <w:szCs w:val="24"/>
        </w:rPr>
      </w:pPr>
      <w:r>
        <w:rPr>
          <w:rFonts w:ascii="Times New Roman" w:hAnsi="Times New Roman" w:eastAsia="Times New Roman" w:cs="Times New Roman"/>
          <w:b/>
          <w:bCs/>
          <w:sz w:val="24"/>
          <w:szCs w:val="24"/>
        </w:rPr>
        <w:t>9.7</w:t>
      </w:r>
      <w:r>
        <w:rPr>
          <w:rFonts w:ascii="宋体" w:hAnsi="宋体" w:eastAsia="宋体" w:cs="宋体"/>
          <w:sz w:val="24"/>
          <w:szCs w:val="24"/>
        </w:rPr>
        <w:t>投标人的投标总价不得高于</w:t>
      </w:r>
      <w:r>
        <w:rPr>
          <w:rFonts w:ascii="宋体" w:hAnsi="宋体" w:eastAsia="宋体" w:cs="宋体"/>
          <w:b/>
          <w:bCs/>
          <w:sz w:val="24"/>
          <w:szCs w:val="24"/>
        </w:rPr>
        <w:t>最高投标限价</w:t>
      </w:r>
      <w:r>
        <w:rPr>
          <w:rFonts w:ascii="宋体" w:hAnsi="宋体" w:eastAsia="宋体" w:cs="宋体"/>
          <w:sz w:val="24"/>
          <w:szCs w:val="24"/>
        </w:rPr>
        <w:t>，也不得低于工程成本。投标人对</w:t>
      </w:r>
      <w:r>
        <w:rPr>
          <w:rFonts w:ascii="宋体" w:hAnsi="宋体" w:eastAsia="宋体" w:cs="宋体"/>
          <w:spacing w:val="-1"/>
          <w:sz w:val="24"/>
          <w:szCs w:val="24"/>
        </w:rPr>
        <w:t>投标总价的所有优惠（降价、让利等</w:t>
      </w:r>
      <w:r>
        <w:rPr>
          <w:rFonts w:ascii="宋体" w:hAnsi="宋体" w:eastAsia="宋体" w:cs="宋体"/>
          <w:spacing w:val="-4"/>
          <w:sz w:val="24"/>
          <w:szCs w:val="24"/>
        </w:rPr>
        <w:t>），</w:t>
      </w:r>
      <w:r>
        <w:rPr>
          <w:rFonts w:ascii="宋体" w:hAnsi="宋体" w:eastAsia="宋体" w:cs="宋体"/>
          <w:spacing w:val="-1"/>
          <w:sz w:val="24"/>
          <w:szCs w:val="24"/>
        </w:rPr>
        <w:t>均应当反映在具体清单项目或其综合</w:t>
      </w:r>
      <w:r>
        <w:rPr>
          <w:rFonts w:ascii="宋体" w:hAnsi="宋体" w:eastAsia="宋体" w:cs="宋体"/>
          <w:spacing w:val="-2"/>
          <w:sz w:val="24"/>
          <w:szCs w:val="24"/>
        </w:rPr>
        <w:t>单价的</w:t>
      </w:r>
      <w:r>
        <w:rPr>
          <w:rFonts w:ascii="宋体" w:hAnsi="宋体" w:eastAsia="宋体" w:cs="宋体"/>
          <w:spacing w:val="1"/>
          <w:sz w:val="24"/>
          <w:szCs w:val="24"/>
        </w:rPr>
        <w:t>报价上。</w:t>
      </w:r>
      <w:r>
        <w:rPr>
          <w:rFonts w:ascii="宋体" w:hAnsi="宋体" w:eastAsia="宋体" w:cs="宋体"/>
          <w:b/>
          <w:bCs/>
          <w:spacing w:val="1"/>
          <w:sz w:val="24"/>
          <w:szCs w:val="24"/>
        </w:rPr>
        <w:t>如果投标人的投标总价下浮率高于</w:t>
      </w:r>
      <w:r>
        <w:rPr>
          <w:rFonts w:ascii="Times New Roman" w:hAnsi="Times New Roman" w:eastAsia="Times New Roman" w:cs="Times New Roman"/>
          <w:b/>
          <w:bCs/>
          <w:spacing w:val="1"/>
          <w:sz w:val="24"/>
          <w:szCs w:val="24"/>
        </w:rPr>
        <w:t>15%</w:t>
      </w:r>
      <w:r>
        <w:rPr>
          <w:rFonts w:ascii="宋体" w:hAnsi="宋体" w:eastAsia="宋体" w:cs="宋体"/>
          <w:b/>
          <w:bCs/>
          <w:spacing w:val="1"/>
          <w:sz w:val="24"/>
          <w:szCs w:val="24"/>
        </w:rPr>
        <w:t>时，投标人必须在投标文件中专项</w:t>
      </w:r>
      <w:r>
        <w:rPr>
          <w:rFonts w:ascii="宋体" w:hAnsi="宋体" w:eastAsia="宋体" w:cs="宋体"/>
          <w:b/>
          <w:bCs/>
          <w:spacing w:val="-3"/>
          <w:sz w:val="24"/>
          <w:szCs w:val="24"/>
        </w:rPr>
        <w:t>作出详细合理的书面说明并提供以往类似工程详细成本分析报告供评标委员会审查。</w:t>
      </w:r>
    </w:p>
    <w:p w14:paraId="7110348F">
      <w:pPr>
        <w:pStyle w:val="3"/>
        <w:rPr>
          <w:rFonts w:eastAsia="宋体"/>
          <w:lang w:eastAsia="zh-CN"/>
        </w:rPr>
      </w:pPr>
      <w:r>
        <w:rPr>
          <w:rFonts w:hint="eastAsia" w:ascii="宋体" w:hAnsi="宋体" w:eastAsia="宋体" w:cs="宋体"/>
          <w:b/>
          <w:bCs/>
          <w:spacing w:val="-3"/>
          <w:sz w:val="24"/>
          <w:szCs w:val="24"/>
          <w:lang w:eastAsia="zh-CN"/>
        </w:rPr>
        <w:t>投标总价下浮率=（1-投标总价</w:t>
      </w:r>
      <w:r>
        <w:rPr>
          <w:rFonts w:ascii="宋体" w:hAnsi="宋体" w:eastAsia="宋体" w:cs="宋体"/>
          <w:b/>
          <w:bCs/>
          <w:spacing w:val="-1"/>
          <w:sz w:val="24"/>
          <w:szCs w:val="24"/>
        </w:rPr>
        <w:t>÷</w:t>
      </w:r>
      <w:r>
        <w:rPr>
          <w:rFonts w:hint="eastAsia" w:ascii="宋体" w:hAnsi="宋体" w:eastAsia="宋体" w:cs="宋体"/>
          <w:b/>
          <w:bCs/>
          <w:spacing w:val="-1"/>
          <w:sz w:val="24"/>
          <w:szCs w:val="24"/>
          <w:lang w:eastAsia="zh-CN"/>
        </w:rPr>
        <w:t>招标控制价）</w:t>
      </w:r>
      <w:r>
        <w:rPr>
          <w:rFonts w:ascii="宋体" w:hAnsi="宋体" w:eastAsia="宋体" w:cs="宋体"/>
          <w:b/>
          <w:bCs/>
          <w:spacing w:val="-1"/>
          <w:sz w:val="24"/>
          <w:szCs w:val="24"/>
        </w:rPr>
        <w:t>×</w:t>
      </w:r>
      <w:r>
        <w:rPr>
          <w:rFonts w:hint="eastAsia" w:ascii="宋体" w:hAnsi="宋体" w:eastAsia="宋体" w:cs="宋体"/>
          <w:b/>
          <w:bCs/>
          <w:spacing w:val="-1"/>
          <w:sz w:val="24"/>
          <w:szCs w:val="24"/>
          <w:lang w:eastAsia="zh-CN"/>
        </w:rPr>
        <w:t>100%</w:t>
      </w:r>
    </w:p>
    <w:p w14:paraId="7C0E66E2">
      <w:pPr>
        <w:spacing w:before="146" w:line="325" w:lineRule="auto"/>
        <w:ind w:left="29" w:right="153" w:firstLine="458"/>
      </w:pPr>
      <w:r>
        <w:rPr>
          <w:rFonts w:ascii="Times New Roman" w:hAnsi="Times New Roman" w:eastAsia="Times New Roman" w:cs="Times New Roman"/>
          <w:b/>
          <w:bCs/>
          <w:sz w:val="24"/>
          <w:szCs w:val="24"/>
        </w:rPr>
        <w:t>9.8</w:t>
      </w:r>
      <w:r>
        <w:rPr>
          <w:rFonts w:ascii="宋体" w:hAnsi="宋体" w:eastAsia="宋体" w:cs="宋体"/>
          <w:sz w:val="24"/>
          <w:szCs w:val="24"/>
        </w:rPr>
        <w:t>投标人的绿色施工安全防护措施费报价必须达到或超过</w:t>
      </w:r>
      <w:r>
        <w:rPr>
          <w:rFonts w:ascii="宋体" w:hAnsi="宋体" w:eastAsia="宋体" w:cs="宋体"/>
          <w:b/>
          <w:bCs/>
          <w:sz w:val="24"/>
          <w:szCs w:val="24"/>
        </w:rPr>
        <w:t>最高投标限价</w:t>
      </w:r>
      <w:r>
        <w:rPr>
          <w:rFonts w:ascii="宋体" w:hAnsi="宋体" w:eastAsia="宋体" w:cs="宋体"/>
          <w:sz w:val="24"/>
          <w:szCs w:val="24"/>
        </w:rPr>
        <w:t>中</w:t>
      </w:r>
      <w:r>
        <w:rPr>
          <w:rFonts w:ascii="宋体" w:hAnsi="宋体" w:eastAsia="宋体" w:cs="宋体"/>
          <w:spacing w:val="-1"/>
          <w:sz w:val="24"/>
          <w:szCs w:val="24"/>
        </w:rPr>
        <w:t>提供</w:t>
      </w:r>
      <w:r>
        <w:rPr>
          <w:rFonts w:ascii="宋体" w:hAnsi="宋体" w:eastAsia="宋体" w:cs="宋体"/>
          <w:spacing w:val="-3"/>
          <w:sz w:val="24"/>
          <w:szCs w:val="24"/>
        </w:rPr>
        <w:t>的绿色施工安全防护措施费。</w:t>
      </w:r>
    </w:p>
    <w:p w14:paraId="02D03380">
      <w:pPr>
        <w:spacing w:before="78" w:line="309" w:lineRule="auto"/>
        <w:ind w:left="8" w:right="99" w:firstLine="479"/>
        <w:rPr>
          <w:rFonts w:ascii="宋体" w:hAnsi="宋体" w:eastAsia="宋体" w:cs="宋体"/>
          <w:sz w:val="24"/>
          <w:szCs w:val="24"/>
        </w:rPr>
      </w:pPr>
      <w:r>
        <w:rPr>
          <w:rFonts w:ascii="Times New Roman" w:hAnsi="Times New Roman" w:eastAsia="Times New Roman" w:cs="Times New Roman"/>
          <w:b/>
          <w:bCs/>
          <w:sz w:val="24"/>
          <w:szCs w:val="24"/>
        </w:rPr>
        <w:t>9.9</w:t>
      </w:r>
      <w:r>
        <w:rPr>
          <w:rFonts w:ascii="宋体" w:hAnsi="宋体" w:eastAsia="宋体" w:cs="宋体"/>
          <w:sz w:val="24"/>
          <w:szCs w:val="24"/>
        </w:rPr>
        <w:t>投标人必须按照招标工程量清单中提供的暂列金额和暂估价统一报价。投标</w:t>
      </w:r>
      <w:r>
        <w:rPr>
          <w:rFonts w:ascii="宋体" w:hAnsi="宋体" w:eastAsia="宋体" w:cs="宋体"/>
          <w:spacing w:val="-1"/>
          <w:sz w:val="24"/>
          <w:szCs w:val="24"/>
        </w:rPr>
        <w:t>人应充分考虑暂估价项目（或暂列金额项目）的管理和协调所发</w:t>
      </w:r>
      <w:r>
        <w:rPr>
          <w:rFonts w:ascii="宋体" w:hAnsi="宋体" w:eastAsia="宋体" w:cs="宋体"/>
          <w:spacing w:val="-2"/>
          <w:sz w:val="24"/>
          <w:szCs w:val="24"/>
        </w:rPr>
        <w:t>生的费用，并将其纳</w:t>
      </w:r>
      <w:r>
        <w:rPr>
          <w:rFonts w:ascii="宋体" w:hAnsi="宋体" w:eastAsia="宋体" w:cs="宋体"/>
          <w:spacing w:val="-1"/>
          <w:sz w:val="24"/>
          <w:szCs w:val="24"/>
        </w:rPr>
        <w:t>入已标价工程量清单中的适当项目。招标人视该项管理和协调所</w:t>
      </w:r>
      <w:r>
        <w:rPr>
          <w:rFonts w:ascii="宋体" w:hAnsi="宋体" w:eastAsia="宋体" w:cs="宋体"/>
          <w:spacing w:val="-2"/>
          <w:sz w:val="24"/>
          <w:szCs w:val="24"/>
        </w:rPr>
        <w:t>发生的费用已包含在</w:t>
      </w:r>
      <w:r>
        <w:rPr>
          <w:rFonts w:ascii="宋体" w:hAnsi="宋体" w:eastAsia="宋体" w:cs="宋体"/>
          <w:spacing w:val="-1"/>
          <w:sz w:val="24"/>
          <w:szCs w:val="24"/>
        </w:rPr>
        <w:t>其它有价款的竞争性报价内，不再另行支付。</w:t>
      </w:r>
    </w:p>
    <w:p w14:paraId="225327E3">
      <w:pPr>
        <w:spacing w:before="78" w:line="309" w:lineRule="auto"/>
        <w:ind w:left="8" w:right="99" w:firstLine="479"/>
        <w:rPr>
          <w:rFonts w:ascii="宋体" w:hAnsi="宋体" w:eastAsia="宋体" w:cs="宋体"/>
          <w:spacing w:val="-1"/>
          <w:sz w:val="24"/>
          <w:szCs w:val="24"/>
        </w:rPr>
      </w:pPr>
      <w:r>
        <w:rPr>
          <w:rFonts w:ascii="Times New Roman" w:hAnsi="Times New Roman" w:eastAsia="Times New Roman" w:cs="Times New Roman"/>
          <w:b/>
          <w:bCs/>
          <w:spacing w:val="-1"/>
          <w:sz w:val="24"/>
          <w:szCs w:val="24"/>
        </w:rPr>
        <w:t>9.10</w:t>
      </w:r>
      <w:r>
        <w:rPr>
          <w:rFonts w:ascii="宋体" w:hAnsi="宋体" w:eastAsia="宋体" w:cs="宋体"/>
          <w:spacing w:val="-1"/>
          <w:sz w:val="24"/>
          <w:szCs w:val="24"/>
        </w:rPr>
        <w:t>预算包干内容一般包括施工雨（污）水的排除、因地形影响造成的场内料具二次运输、20米高以下的工程用水加压措施、施工材料堆放场地的整理、机电安装后的补洞（槽）工料费、工程成品保护费、施工中的临时停水停电、基础埋深2米以内挖土方的塌方、日间照明施工</w:t>
      </w:r>
      <w:r>
        <w:rPr>
          <w:rFonts w:ascii="宋体" w:hAnsi="宋体" w:eastAsia="宋体" w:cs="宋体"/>
          <w:color w:val="auto"/>
          <w:spacing w:val="-1"/>
          <w:sz w:val="24"/>
          <w:szCs w:val="24"/>
        </w:rPr>
        <w:t>增加费（不包括地下室和特殊工程）、完工清场后的垃</w:t>
      </w:r>
      <w:r>
        <w:rPr>
          <w:rFonts w:ascii="宋体" w:hAnsi="宋体" w:eastAsia="宋体" w:cs="宋体"/>
          <w:color w:val="auto"/>
          <w:spacing w:val="-7"/>
          <w:sz w:val="24"/>
          <w:szCs w:val="24"/>
        </w:rPr>
        <w:t>圾外运等。投标报价时，应按《广东省建设工程计价依据（</w:t>
      </w:r>
      <w:r>
        <w:rPr>
          <w:rFonts w:ascii="Times New Roman" w:hAnsi="Times New Roman" w:eastAsia="Times New Roman" w:cs="Times New Roman"/>
          <w:color w:val="auto"/>
          <w:spacing w:val="-7"/>
          <w:sz w:val="24"/>
          <w:szCs w:val="24"/>
        </w:rPr>
        <w:t>2018</w:t>
      </w:r>
      <w:r>
        <w:rPr>
          <w:rFonts w:ascii="宋体" w:hAnsi="宋体" w:eastAsia="宋体" w:cs="宋体"/>
          <w:color w:val="auto"/>
          <w:spacing w:val="-7"/>
          <w:sz w:val="24"/>
          <w:szCs w:val="24"/>
        </w:rPr>
        <w:t>）》规定的费率报价，</w:t>
      </w:r>
      <w:r>
        <w:rPr>
          <w:rFonts w:ascii="宋体" w:hAnsi="宋体" w:eastAsia="宋体" w:cs="宋体"/>
          <w:color w:val="auto"/>
          <w:spacing w:val="-2"/>
          <w:sz w:val="24"/>
          <w:szCs w:val="24"/>
        </w:rPr>
        <w:t>若招标工程量清单明确说明不计算预算包干费或</w:t>
      </w:r>
      <w:r>
        <w:rPr>
          <w:rFonts w:ascii="宋体" w:hAnsi="宋体" w:eastAsia="宋体" w:cs="宋体"/>
          <w:color w:val="auto"/>
          <w:spacing w:val="-3"/>
          <w:sz w:val="24"/>
          <w:szCs w:val="24"/>
        </w:rPr>
        <w:t>另外确定预算包干费费率的，则按招</w:t>
      </w:r>
      <w:r>
        <w:rPr>
          <w:rFonts w:hint="eastAsia" w:ascii="宋体" w:hAnsi="宋体" w:eastAsia="宋体" w:cs="宋体"/>
          <w:color w:val="auto"/>
          <w:spacing w:val="-3"/>
          <w:sz w:val="24"/>
          <w:szCs w:val="24"/>
          <w:lang w:eastAsia="zh-CN"/>
        </w:rPr>
        <w:t>标工程量清单报价。</w:t>
      </w:r>
    </w:p>
    <w:p w14:paraId="3F35088F">
      <w:pPr>
        <w:pStyle w:val="5"/>
        <w:spacing w:line="253" w:lineRule="auto"/>
      </w:pPr>
    </w:p>
    <w:p w14:paraId="1FD84C17">
      <w:pPr>
        <w:spacing w:before="78" w:line="220" w:lineRule="auto"/>
        <w:ind w:left="496"/>
        <w:outlineLvl w:val="2"/>
        <w:rPr>
          <w:rFonts w:ascii="宋体" w:hAnsi="宋体" w:eastAsia="宋体" w:cs="宋体"/>
          <w:sz w:val="24"/>
          <w:szCs w:val="24"/>
        </w:rPr>
      </w:pPr>
      <w:bookmarkStart w:id="38" w:name="_Toc26296"/>
      <w:r>
        <w:rPr>
          <w:rFonts w:ascii="Times New Roman" w:hAnsi="Times New Roman" w:eastAsia="Times New Roman" w:cs="Times New Roman"/>
          <w:b/>
          <w:bCs/>
          <w:spacing w:val="-6"/>
          <w:sz w:val="24"/>
          <w:szCs w:val="24"/>
        </w:rPr>
        <w:t>10</w:t>
      </w:r>
      <w:r>
        <w:rPr>
          <w:rFonts w:ascii="宋体" w:hAnsi="宋体" w:eastAsia="宋体" w:cs="宋体"/>
          <w:b/>
          <w:bCs/>
          <w:spacing w:val="-6"/>
          <w:sz w:val="24"/>
          <w:szCs w:val="24"/>
        </w:rPr>
        <w:t>．投标文件的编制要求</w:t>
      </w:r>
      <w:bookmarkEnd w:id="38"/>
    </w:p>
    <w:p w14:paraId="1C13654D">
      <w:pPr>
        <w:spacing w:before="152" w:line="222" w:lineRule="auto"/>
        <w:ind w:left="496"/>
        <w:outlineLvl w:val="2"/>
        <w:rPr>
          <w:rFonts w:ascii="宋体" w:hAnsi="宋体" w:eastAsia="宋体" w:cs="宋体"/>
          <w:sz w:val="24"/>
          <w:szCs w:val="24"/>
        </w:rPr>
      </w:pPr>
      <w:bookmarkStart w:id="39" w:name="_Toc20590"/>
      <w:r>
        <w:rPr>
          <w:rFonts w:ascii="Times New Roman" w:hAnsi="Times New Roman" w:eastAsia="Times New Roman" w:cs="Times New Roman"/>
          <w:b/>
          <w:bCs/>
          <w:spacing w:val="-4"/>
          <w:sz w:val="24"/>
          <w:szCs w:val="24"/>
        </w:rPr>
        <w:t>10.1</w:t>
      </w:r>
      <w:r>
        <w:rPr>
          <w:rFonts w:ascii="宋体" w:hAnsi="宋体" w:eastAsia="宋体" w:cs="宋体"/>
          <w:spacing w:val="-4"/>
          <w:sz w:val="24"/>
          <w:szCs w:val="24"/>
        </w:rPr>
        <w:t>一般要求</w:t>
      </w:r>
      <w:bookmarkEnd w:id="39"/>
    </w:p>
    <w:p w14:paraId="6F20A008">
      <w:pPr>
        <w:spacing w:before="118" w:line="295" w:lineRule="auto"/>
        <w:ind w:left="11" w:right="99" w:firstLine="480"/>
        <w:rPr>
          <w:rFonts w:ascii="宋体" w:hAnsi="宋体" w:eastAsia="宋体" w:cs="宋体"/>
          <w:sz w:val="24"/>
          <w:szCs w:val="24"/>
        </w:rPr>
      </w:pPr>
      <w:r>
        <w:rPr>
          <w:rFonts w:ascii="宋体" w:hAnsi="宋体" w:eastAsia="宋体" w:cs="宋体"/>
          <w:spacing w:val="2"/>
          <w:sz w:val="24"/>
          <w:szCs w:val="24"/>
        </w:rPr>
        <w:t>投标文件应按第六章投标文件格式规定的内容，投标人提交的投标文件应当使</w:t>
      </w:r>
      <w:r>
        <w:rPr>
          <w:rFonts w:ascii="宋体" w:hAnsi="宋体" w:eastAsia="宋体" w:cs="宋体"/>
          <w:spacing w:val="-1"/>
          <w:sz w:val="24"/>
          <w:szCs w:val="24"/>
        </w:rPr>
        <w:t>用招标文件所提供的投标文件全部格式。</w:t>
      </w:r>
    </w:p>
    <w:p w14:paraId="452D700A">
      <w:pPr>
        <w:spacing w:before="68" w:line="299" w:lineRule="auto"/>
        <w:ind w:left="11" w:right="99" w:firstLine="563"/>
        <w:rPr>
          <w:rFonts w:ascii="宋体" w:hAnsi="宋体" w:eastAsia="宋体" w:cs="宋体"/>
          <w:sz w:val="24"/>
          <w:szCs w:val="24"/>
        </w:rPr>
      </w:pPr>
      <w:r>
        <w:rPr>
          <w:rFonts w:ascii="Times New Roman" w:hAnsi="Times New Roman" w:eastAsia="Times New Roman" w:cs="Times New Roman"/>
          <w:b/>
          <w:bCs/>
          <w:spacing w:val="-3"/>
          <w:sz w:val="24"/>
          <w:szCs w:val="24"/>
        </w:rPr>
        <w:t>10.1.1</w:t>
      </w:r>
      <w:r>
        <w:rPr>
          <w:rFonts w:ascii="宋体" w:hAnsi="宋体" w:eastAsia="宋体" w:cs="宋体"/>
          <w:spacing w:val="-3"/>
          <w:sz w:val="24"/>
          <w:szCs w:val="24"/>
        </w:rPr>
        <w:t>投标人必须响应招标文件，并在充分理解招</w:t>
      </w:r>
      <w:r>
        <w:rPr>
          <w:rFonts w:ascii="宋体" w:hAnsi="宋体" w:eastAsia="宋体" w:cs="宋体"/>
          <w:spacing w:val="-4"/>
          <w:sz w:val="24"/>
          <w:szCs w:val="24"/>
        </w:rPr>
        <w:t>标人提供的全部文件、设计图</w:t>
      </w:r>
      <w:r>
        <w:rPr>
          <w:rFonts w:ascii="宋体" w:hAnsi="宋体" w:eastAsia="宋体" w:cs="宋体"/>
          <w:spacing w:val="-1"/>
          <w:sz w:val="24"/>
          <w:szCs w:val="24"/>
        </w:rPr>
        <w:t>纸、资料及现场条件的基础上编制投标文件。因投标文件</w:t>
      </w:r>
      <w:r>
        <w:rPr>
          <w:rFonts w:ascii="宋体" w:hAnsi="宋体" w:eastAsia="宋体" w:cs="宋体"/>
          <w:spacing w:val="-2"/>
          <w:sz w:val="24"/>
          <w:szCs w:val="24"/>
        </w:rPr>
        <w:t>不符合招标文件的要求而造</w:t>
      </w:r>
      <w:r>
        <w:rPr>
          <w:rFonts w:ascii="宋体" w:hAnsi="宋体" w:eastAsia="宋体" w:cs="宋体"/>
          <w:spacing w:val="-1"/>
          <w:sz w:val="24"/>
          <w:szCs w:val="24"/>
        </w:rPr>
        <w:t>成的损失和后果，由投标人自行承担。</w:t>
      </w:r>
    </w:p>
    <w:p w14:paraId="1E8A84B8">
      <w:pPr>
        <w:spacing w:before="123" w:line="290" w:lineRule="auto"/>
        <w:ind w:left="8" w:firstLine="566"/>
        <w:rPr>
          <w:rFonts w:ascii="宋体" w:hAnsi="宋体" w:eastAsia="宋体" w:cs="宋体"/>
          <w:sz w:val="24"/>
          <w:szCs w:val="24"/>
        </w:rPr>
      </w:pPr>
      <w:r>
        <w:rPr>
          <w:rFonts w:ascii="Times New Roman" w:hAnsi="Times New Roman" w:eastAsia="Times New Roman" w:cs="Times New Roman"/>
          <w:b/>
          <w:bCs/>
          <w:spacing w:val="-3"/>
          <w:sz w:val="24"/>
          <w:szCs w:val="24"/>
        </w:rPr>
        <w:t>10.1.2</w:t>
      </w:r>
      <w:r>
        <w:rPr>
          <w:rFonts w:ascii="宋体" w:hAnsi="宋体" w:eastAsia="宋体" w:cs="宋体"/>
          <w:spacing w:val="-3"/>
          <w:sz w:val="24"/>
          <w:szCs w:val="24"/>
        </w:rPr>
        <w:t>投标文件全部采用电子文档，投标文件所附</w:t>
      </w:r>
      <w:r>
        <w:rPr>
          <w:rFonts w:ascii="宋体" w:hAnsi="宋体" w:eastAsia="宋体" w:cs="宋体"/>
          <w:spacing w:val="-4"/>
          <w:sz w:val="24"/>
          <w:szCs w:val="24"/>
        </w:rPr>
        <w:t>证书证件均为原件扫描件，并</w:t>
      </w:r>
      <w:r>
        <w:rPr>
          <w:rFonts w:ascii="宋体" w:hAnsi="宋体" w:eastAsia="宋体" w:cs="宋体"/>
          <w:spacing w:val="-1"/>
          <w:sz w:val="24"/>
          <w:szCs w:val="24"/>
        </w:rPr>
        <w:t>采用单位数字证书，按招标文件要求在相应位置加盖电子印章。</w:t>
      </w:r>
      <w:r>
        <w:rPr>
          <w:rFonts w:ascii="宋体" w:hAnsi="宋体" w:eastAsia="宋体" w:cs="宋体"/>
          <w:spacing w:val="-2"/>
          <w:sz w:val="24"/>
          <w:szCs w:val="24"/>
        </w:rPr>
        <w:t>投标文件中需个人签</w:t>
      </w:r>
      <w:r>
        <w:rPr>
          <w:rFonts w:ascii="宋体" w:hAnsi="宋体" w:eastAsia="宋体" w:cs="宋体"/>
          <w:spacing w:val="-1"/>
          <w:sz w:val="24"/>
          <w:szCs w:val="24"/>
        </w:rPr>
        <w:t>字或盖章的，应加盖个人电子印章或在线下完成后扫描上传。按</w:t>
      </w:r>
      <w:r>
        <w:rPr>
          <w:rFonts w:ascii="宋体" w:hAnsi="宋体" w:eastAsia="宋体" w:cs="宋体"/>
          <w:spacing w:val="-2"/>
          <w:sz w:val="24"/>
          <w:szCs w:val="24"/>
        </w:rPr>
        <w:t>照交易平台关于全流</w:t>
      </w:r>
      <w:r>
        <w:rPr>
          <w:rFonts w:ascii="宋体" w:hAnsi="宋体" w:eastAsia="宋体" w:cs="宋体"/>
          <w:spacing w:val="-7"/>
          <w:sz w:val="24"/>
          <w:szCs w:val="24"/>
        </w:rPr>
        <w:t>程电子化项目的相关指南进行操作。详见：全国公共资源</w:t>
      </w:r>
      <w:r>
        <w:rPr>
          <w:rFonts w:ascii="宋体" w:hAnsi="宋体" w:eastAsia="宋体" w:cs="宋体"/>
          <w:spacing w:val="-8"/>
          <w:sz w:val="24"/>
          <w:szCs w:val="24"/>
        </w:rPr>
        <w:t>交易平台（广东省·韶关市）</w:t>
      </w:r>
      <w:r>
        <w:rPr>
          <w:rFonts w:ascii="宋体" w:hAnsi="宋体" w:eastAsia="宋体" w:cs="宋体"/>
          <w:spacing w:val="-2"/>
          <w:sz w:val="24"/>
          <w:szCs w:val="24"/>
        </w:rPr>
        <w:t>交易指引。</w:t>
      </w:r>
    </w:p>
    <w:p w14:paraId="2B4931BA">
      <w:pPr>
        <w:spacing w:before="1" w:line="219" w:lineRule="auto"/>
        <w:ind w:left="579"/>
        <w:rPr>
          <w:rFonts w:ascii="宋体" w:hAnsi="宋体" w:eastAsia="宋体" w:cs="宋体"/>
          <w:sz w:val="24"/>
          <w:szCs w:val="24"/>
        </w:rPr>
      </w:pPr>
      <w:r>
        <w:rPr>
          <w:rFonts w:ascii="Times New Roman" w:hAnsi="Times New Roman" w:eastAsia="Times New Roman" w:cs="Times New Roman"/>
          <w:b/>
          <w:bCs/>
          <w:spacing w:val="-1"/>
          <w:sz w:val="24"/>
          <w:szCs w:val="24"/>
        </w:rPr>
        <w:t>10.1.3</w:t>
      </w:r>
      <w:r>
        <w:rPr>
          <w:rFonts w:ascii="宋体" w:hAnsi="宋体" w:eastAsia="宋体" w:cs="宋体"/>
          <w:spacing w:val="-1"/>
          <w:sz w:val="24"/>
          <w:szCs w:val="24"/>
        </w:rPr>
        <w:t>投标文件需按以下要求签字、盖章：电子投标文件：</w:t>
      </w:r>
    </w:p>
    <w:p w14:paraId="31AC77CD">
      <w:pPr>
        <w:spacing w:before="111" w:line="279" w:lineRule="auto"/>
        <w:ind w:right="133" w:firstLine="579"/>
        <w:rPr>
          <w:rFonts w:ascii="宋体" w:hAnsi="宋体" w:eastAsia="宋体" w:cs="宋体"/>
          <w:sz w:val="24"/>
          <w:szCs w:val="24"/>
        </w:rPr>
      </w:pPr>
      <w:r>
        <w:fldChar w:fldCharType="begin"/>
      </w:r>
      <w:r>
        <w:instrText xml:space="preserve">HYPERLINK"10.1.3.1"</w:instrText>
      </w:r>
      <w:r>
        <w:fldChar w:fldCharType="separate"/>
      </w:r>
      <w:r>
        <w:rPr>
          <w:rFonts w:ascii="Times New Roman" w:hAnsi="Times New Roman" w:eastAsia="Times New Roman" w:cs="Times New Roman"/>
          <w:b/>
          <w:bCs/>
          <w:spacing w:val="-2"/>
          <w:sz w:val="24"/>
          <w:szCs w:val="24"/>
        </w:rPr>
        <w:t>10.1.3.1</w:t>
      </w:r>
      <w:r>
        <w:rPr>
          <w:rFonts w:ascii="Times New Roman" w:hAnsi="Times New Roman" w:eastAsia="Times New Roman" w:cs="Times New Roman"/>
          <w:b/>
          <w:bCs/>
          <w:spacing w:val="-2"/>
          <w:sz w:val="24"/>
          <w:szCs w:val="24"/>
        </w:rPr>
        <w:fldChar w:fldCharType="end"/>
      </w:r>
      <w:r>
        <w:rPr>
          <w:rFonts w:ascii="宋体" w:hAnsi="宋体" w:eastAsia="宋体" w:cs="宋体"/>
          <w:spacing w:val="-2"/>
          <w:sz w:val="24"/>
          <w:szCs w:val="24"/>
        </w:rPr>
        <w:t>投标文件封面、组成</w:t>
      </w:r>
      <w:r>
        <w:rPr>
          <w:rFonts w:ascii="宋体" w:hAnsi="宋体" w:eastAsia="宋体" w:cs="宋体"/>
          <w:spacing w:val="-3"/>
          <w:sz w:val="24"/>
          <w:szCs w:val="24"/>
        </w:rPr>
        <w:t>内容中凡注明“签字”处由要求的人员签字或电子</w:t>
      </w:r>
      <w:r>
        <w:rPr>
          <w:rFonts w:ascii="宋体" w:hAnsi="宋体" w:eastAsia="宋体" w:cs="宋体"/>
          <w:spacing w:val="-2"/>
          <w:sz w:val="24"/>
          <w:szCs w:val="24"/>
        </w:rPr>
        <w:t>签章；凡注明“签字或盖章”处由要求的人员签字或盖其私章（电子印章</w:t>
      </w:r>
      <w:r>
        <w:rPr>
          <w:rFonts w:ascii="宋体" w:hAnsi="宋体" w:eastAsia="宋体" w:cs="宋体"/>
          <w:spacing w:val="2"/>
          <w:sz w:val="24"/>
          <w:szCs w:val="24"/>
        </w:rPr>
        <w:t>）；</w:t>
      </w:r>
      <w:r>
        <w:rPr>
          <w:rFonts w:ascii="宋体" w:hAnsi="宋体" w:eastAsia="宋体" w:cs="宋体"/>
          <w:spacing w:val="-2"/>
          <w:sz w:val="24"/>
          <w:szCs w:val="24"/>
        </w:rPr>
        <w:t>凡注明</w:t>
      </w:r>
      <w:r>
        <w:rPr>
          <w:rFonts w:ascii="宋体" w:hAnsi="宋体" w:eastAsia="宋体" w:cs="宋体"/>
          <w:spacing w:val="-1"/>
          <w:sz w:val="24"/>
          <w:szCs w:val="24"/>
        </w:rPr>
        <w:t>“签字并盖执业印章”处由要求的人员签字并盖其执业印</w:t>
      </w:r>
      <w:r>
        <w:rPr>
          <w:rFonts w:ascii="宋体" w:hAnsi="宋体" w:eastAsia="宋体" w:cs="宋体"/>
          <w:spacing w:val="-2"/>
          <w:sz w:val="24"/>
          <w:szCs w:val="24"/>
        </w:rPr>
        <w:t>章。</w:t>
      </w:r>
    </w:p>
    <w:p w14:paraId="73E55BF9">
      <w:pPr>
        <w:spacing w:before="112" w:line="264" w:lineRule="auto"/>
        <w:ind w:left="13" w:right="133" w:firstLine="565"/>
        <w:rPr>
          <w:rFonts w:ascii="宋体" w:hAnsi="宋体" w:eastAsia="宋体" w:cs="宋体"/>
          <w:sz w:val="24"/>
          <w:szCs w:val="24"/>
        </w:rPr>
      </w:pPr>
      <w:r>
        <w:fldChar w:fldCharType="begin"/>
      </w:r>
      <w:r>
        <w:instrText xml:space="preserve">HYPERLINK"10.1.3.2"</w:instrText>
      </w:r>
      <w:r>
        <w:fldChar w:fldCharType="separate"/>
      </w:r>
      <w:r>
        <w:rPr>
          <w:rFonts w:ascii="Times New Roman" w:hAnsi="Times New Roman" w:eastAsia="Times New Roman" w:cs="Times New Roman"/>
          <w:b/>
          <w:bCs/>
          <w:spacing w:val="-2"/>
          <w:sz w:val="24"/>
          <w:szCs w:val="24"/>
        </w:rPr>
        <w:t>10.1.3.2</w:t>
      </w:r>
      <w:r>
        <w:rPr>
          <w:rFonts w:ascii="Times New Roman" w:hAnsi="Times New Roman" w:eastAsia="Times New Roman" w:cs="Times New Roman"/>
          <w:b/>
          <w:bCs/>
          <w:spacing w:val="-2"/>
          <w:sz w:val="24"/>
          <w:szCs w:val="24"/>
        </w:rPr>
        <w:fldChar w:fldCharType="end"/>
      </w:r>
      <w:r>
        <w:rPr>
          <w:rFonts w:ascii="宋体" w:hAnsi="宋体" w:eastAsia="宋体" w:cs="宋体"/>
          <w:spacing w:val="-2"/>
          <w:sz w:val="24"/>
          <w:szCs w:val="24"/>
        </w:rPr>
        <w:t>投标文件封套、封面、组成内容中凡要求录入投标人名称且注明“盖单</w:t>
      </w:r>
      <w:r>
        <w:rPr>
          <w:rFonts w:ascii="宋体" w:hAnsi="宋体" w:eastAsia="宋体" w:cs="宋体"/>
          <w:spacing w:val="-3"/>
          <w:sz w:val="24"/>
          <w:szCs w:val="24"/>
        </w:rPr>
        <w:t>位章”处盖单位法人公章（电子印章）。</w:t>
      </w:r>
    </w:p>
    <w:p w14:paraId="6B17781D">
      <w:pPr>
        <w:spacing w:before="146" w:line="279" w:lineRule="auto"/>
        <w:ind w:left="16" w:right="135" w:firstLine="562"/>
        <w:rPr>
          <w:rFonts w:ascii="宋体" w:hAnsi="宋体" w:eastAsia="宋体" w:cs="宋体"/>
          <w:sz w:val="24"/>
          <w:szCs w:val="24"/>
        </w:rPr>
      </w:pPr>
      <w:r>
        <w:fldChar w:fldCharType="begin"/>
      </w:r>
      <w:r>
        <w:instrText xml:space="preserve">HYPERLINK"10.1.3.3"</w:instrText>
      </w:r>
      <w:r>
        <w:fldChar w:fldCharType="separate"/>
      </w:r>
      <w:r>
        <w:rPr>
          <w:rFonts w:ascii="Times New Roman" w:hAnsi="Times New Roman" w:eastAsia="Times New Roman" w:cs="Times New Roman"/>
          <w:b/>
          <w:bCs/>
          <w:spacing w:val="-1"/>
          <w:sz w:val="24"/>
          <w:szCs w:val="24"/>
        </w:rPr>
        <w:t>10.1.3.3</w:t>
      </w:r>
      <w:r>
        <w:rPr>
          <w:rFonts w:ascii="Times New Roman" w:hAnsi="Times New Roman" w:eastAsia="Times New Roman" w:cs="Times New Roman"/>
          <w:b/>
          <w:bCs/>
          <w:spacing w:val="-1"/>
          <w:sz w:val="24"/>
          <w:szCs w:val="24"/>
        </w:rPr>
        <w:fldChar w:fldCharType="end"/>
      </w:r>
      <w:r>
        <w:rPr>
          <w:rFonts w:ascii="宋体" w:hAnsi="宋体" w:eastAsia="宋体" w:cs="宋体"/>
          <w:spacing w:val="-1"/>
          <w:sz w:val="24"/>
          <w:szCs w:val="24"/>
        </w:rPr>
        <w:t>投标文件的签字均为签字人本人亲笔署名或签章</w:t>
      </w:r>
      <w:r>
        <w:rPr>
          <w:rFonts w:ascii="宋体" w:hAnsi="宋体" w:eastAsia="宋体" w:cs="宋体"/>
          <w:spacing w:val="-2"/>
          <w:sz w:val="24"/>
          <w:szCs w:val="24"/>
        </w:rPr>
        <w:t>（电子印章</w:t>
      </w:r>
      <w:r>
        <w:rPr>
          <w:rFonts w:ascii="宋体" w:hAnsi="宋体" w:eastAsia="宋体" w:cs="宋体"/>
          <w:spacing w:val="-14"/>
          <w:sz w:val="24"/>
          <w:szCs w:val="24"/>
        </w:rPr>
        <w:t>），</w:t>
      </w:r>
      <w:r>
        <w:rPr>
          <w:rFonts w:ascii="宋体" w:hAnsi="宋体" w:eastAsia="宋体" w:cs="宋体"/>
          <w:spacing w:val="-2"/>
          <w:sz w:val="24"/>
          <w:szCs w:val="24"/>
        </w:rPr>
        <w:t>其余部</w:t>
      </w:r>
      <w:r>
        <w:rPr>
          <w:rFonts w:ascii="宋体" w:hAnsi="宋体" w:eastAsia="宋体" w:cs="宋体"/>
          <w:spacing w:val="-1"/>
          <w:sz w:val="24"/>
          <w:szCs w:val="24"/>
        </w:rPr>
        <w:t>分的复印件无须另行签字、盖章。</w:t>
      </w:r>
    </w:p>
    <w:p w14:paraId="65FAD787">
      <w:pPr>
        <w:spacing w:before="155" w:line="279" w:lineRule="auto"/>
        <w:ind w:left="16" w:right="133" w:firstLine="562"/>
        <w:rPr>
          <w:rFonts w:ascii="宋体" w:hAnsi="宋体" w:eastAsia="宋体" w:cs="宋体"/>
          <w:sz w:val="24"/>
          <w:szCs w:val="24"/>
        </w:rPr>
      </w:pPr>
      <w:r>
        <w:fldChar w:fldCharType="begin"/>
      </w:r>
      <w:r>
        <w:instrText xml:space="preserve">HYPERLINK"10.1.3.4"</w:instrText>
      </w:r>
      <w:r>
        <w:fldChar w:fldCharType="separate"/>
      </w:r>
      <w:r>
        <w:rPr>
          <w:rFonts w:ascii="Times New Roman" w:hAnsi="Times New Roman" w:eastAsia="Times New Roman" w:cs="Times New Roman"/>
          <w:b/>
          <w:bCs/>
          <w:spacing w:val="-2"/>
          <w:sz w:val="24"/>
          <w:szCs w:val="24"/>
        </w:rPr>
        <w:t>10.1.3.4</w:t>
      </w:r>
      <w:r>
        <w:rPr>
          <w:rFonts w:ascii="Times New Roman" w:hAnsi="Times New Roman" w:eastAsia="Times New Roman" w:cs="Times New Roman"/>
          <w:b/>
          <w:bCs/>
          <w:spacing w:val="-2"/>
          <w:sz w:val="24"/>
          <w:szCs w:val="24"/>
        </w:rPr>
        <w:fldChar w:fldCharType="end"/>
      </w:r>
      <w:r>
        <w:rPr>
          <w:rFonts w:ascii="宋体" w:hAnsi="宋体" w:eastAsia="宋体" w:cs="宋体"/>
          <w:spacing w:val="-2"/>
          <w:sz w:val="24"/>
          <w:szCs w:val="24"/>
        </w:rPr>
        <w:t>联合体投标的，除《联合体协议书》外，由联合体牵头人按以上要求签</w:t>
      </w:r>
      <w:r>
        <w:rPr>
          <w:rFonts w:ascii="宋体" w:hAnsi="宋体" w:eastAsia="宋体" w:cs="宋体"/>
          <w:spacing w:val="-1"/>
          <w:sz w:val="24"/>
          <w:szCs w:val="24"/>
        </w:rPr>
        <w:t>亲笔署名或签章（电子印章）即可。</w:t>
      </w:r>
    </w:p>
    <w:p w14:paraId="3E6D754D">
      <w:pPr>
        <w:spacing w:before="155" w:line="219" w:lineRule="auto"/>
        <w:ind w:left="500"/>
        <w:outlineLvl w:val="2"/>
        <w:rPr>
          <w:rFonts w:ascii="宋体" w:hAnsi="宋体" w:eastAsia="宋体" w:cs="宋体"/>
          <w:sz w:val="24"/>
          <w:szCs w:val="24"/>
        </w:rPr>
      </w:pPr>
      <w:bookmarkStart w:id="40" w:name="_Toc21271"/>
      <w:r>
        <w:rPr>
          <w:rFonts w:ascii="Times New Roman" w:hAnsi="Times New Roman" w:eastAsia="Times New Roman" w:cs="Times New Roman"/>
          <w:b/>
          <w:bCs/>
          <w:spacing w:val="-2"/>
          <w:sz w:val="24"/>
          <w:szCs w:val="24"/>
        </w:rPr>
        <w:t>10.2</w:t>
      </w:r>
      <w:r>
        <w:rPr>
          <w:rFonts w:ascii="宋体" w:hAnsi="宋体" w:eastAsia="宋体" w:cs="宋体"/>
          <w:spacing w:val="-2"/>
          <w:sz w:val="24"/>
          <w:szCs w:val="24"/>
        </w:rPr>
        <w:t>商务标书的编制要求</w:t>
      </w:r>
      <w:bookmarkEnd w:id="40"/>
    </w:p>
    <w:p w14:paraId="306E2EAE">
      <w:pPr>
        <w:spacing w:before="157" w:line="219" w:lineRule="auto"/>
        <w:ind w:left="581"/>
        <w:rPr>
          <w:rFonts w:ascii="宋体" w:hAnsi="宋体" w:eastAsia="宋体" w:cs="宋体"/>
          <w:sz w:val="24"/>
          <w:szCs w:val="24"/>
        </w:rPr>
      </w:pPr>
      <w:r>
        <w:rPr>
          <w:rFonts w:ascii="Times New Roman" w:hAnsi="Times New Roman" w:eastAsia="Times New Roman" w:cs="Times New Roman"/>
          <w:b/>
          <w:bCs/>
          <w:spacing w:val="-1"/>
          <w:sz w:val="24"/>
          <w:szCs w:val="24"/>
        </w:rPr>
        <w:t>10.2.1</w:t>
      </w:r>
      <w:r>
        <w:rPr>
          <w:rFonts w:ascii="宋体" w:hAnsi="宋体" w:eastAsia="宋体" w:cs="宋体"/>
          <w:spacing w:val="-1"/>
          <w:sz w:val="24"/>
          <w:szCs w:val="24"/>
        </w:rPr>
        <w:t>商务标书包括但不限于以下内容：</w:t>
      </w:r>
    </w:p>
    <w:p w14:paraId="3A2EA56C">
      <w:pPr>
        <w:spacing w:before="154" w:line="220" w:lineRule="auto"/>
        <w:ind w:left="505"/>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w:t>
      </w:r>
      <w:r>
        <w:rPr>
          <w:rFonts w:ascii="宋体" w:hAnsi="宋体" w:eastAsia="宋体" w:cs="宋体"/>
          <w:spacing w:val="-3"/>
          <w:sz w:val="24"/>
          <w:szCs w:val="24"/>
        </w:rPr>
        <w:t>）封面（格式一</w:t>
      </w:r>
      <w:r>
        <w:rPr>
          <w:rFonts w:ascii="宋体" w:hAnsi="宋体" w:eastAsia="宋体" w:cs="宋体"/>
          <w:spacing w:val="2"/>
          <w:sz w:val="24"/>
          <w:szCs w:val="24"/>
        </w:rPr>
        <w:t>）；</w:t>
      </w:r>
    </w:p>
    <w:p w14:paraId="6B146672">
      <w:pPr>
        <w:spacing w:before="153" w:line="222" w:lineRule="auto"/>
        <w:ind w:left="505"/>
        <w:rPr>
          <w:rFonts w:ascii="宋体" w:hAnsi="宋体" w:eastAsia="宋体" w:cs="宋体"/>
          <w:sz w:val="24"/>
          <w:szCs w:val="24"/>
        </w:rPr>
      </w:pPr>
      <w:r>
        <w:rPr>
          <w:rFonts w:ascii="宋体" w:hAnsi="宋体" w:eastAsia="宋体" w:cs="宋体"/>
          <w:spacing w:val="-13"/>
          <w:sz w:val="24"/>
          <w:szCs w:val="24"/>
        </w:rPr>
        <w:t>（</w:t>
      </w:r>
      <w:r>
        <w:rPr>
          <w:rFonts w:ascii="Times New Roman" w:hAnsi="Times New Roman" w:eastAsia="Times New Roman" w:cs="Times New Roman"/>
          <w:spacing w:val="-13"/>
          <w:sz w:val="24"/>
          <w:szCs w:val="24"/>
        </w:rPr>
        <w:t>2</w:t>
      </w:r>
      <w:r>
        <w:rPr>
          <w:rFonts w:ascii="宋体" w:hAnsi="宋体" w:eastAsia="宋体" w:cs="宋体"/>
          <w:spacing w:val="-13"/>
          <w:sz w:val="24"/>
          <w:szCs w:val="24"/>
        </w:rPr>
        <w:t>）目录；</w:t>
      </w:r>
    </w:p>
    <w:p w14:paraId="6901DD29">
      <w:pPr>
        <w:spacing w:before="153" w:line="220" w:lineRule="auto"/>
        <w:ind w:left="50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）《投标函》（格式二</w:t>
      </w:r>
      <w:r>
        <w:rPr>
          <w:rFonts w:ascii="宋体" w:hAnsi="宋体" w:eastAsia="宋体" w:cs="宋体"/>
          <w:spacing w:val="1"/>
          <w:sz w:val="24"/>
          <w:szCs w:val="24"/>
        </w:rPr>
        <w:t>）；</w:t>
      </w:r>
    </w:p>
    <w:p w14:paraId="5D796A43">
      <w:pPr>
        <w:spacing w:before="153" w:line="220" w:lineRule="auto"/>
        <w:ind w:left="50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）《各项承诺一览表》（格式三</w:t>
      </w:r>
      <w:r>
        <w:rPr>
          <w:rFonts w:ascii="宋体" w:hAnsi="宋体" w:eastAsia="宋体" w:cs="宋体"/>
          <w:spacing w:val="5"/>
          <w:sz w:val="24"/>
          <w:szCs w:val="24"/>
        </w:rPr>
        <w:t>）；</w:t>
      </w:r>
    </w:p>
    <w:p w14:paraId="478FA979">
      <w:pPr>
        <w:spacing w:before="154" w:line="219" w:lineRule="auto"/>
        <w:ind w:left="50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）《授权委托书》（格式四</w:t>
      </w:r>
      <w:r>
        <w:rPr>
          <w:rFonts w:ascii="宋体" w:hAnsi="宋体" w:eastAsia="宋体" w:cs="宋体"/>
          <w:spacing w:val="3"/>
          <w:sz w:val="24"/>
          <w:szCs w:val="24"/>
        </w:rPr>
        <w:t>）；</w:t>
      </w:r>
    </w:p>
    <w:p w14:paraId="0DFA657E">
      <w:pPr>
        <w:spacing w:before="156" w:line="220" w:lineRule="auto"/>
        <w:ind w:left="50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6</w:t>
      </w:r>
      <w:r>
        <w:rPr>
          <w:rFonts w:ascii="宋体" w:hAnsi="宋体" w:eastAsia="宋体" w:cs="宋体"/>
          <w:spacing w:val="-2"/>
          <w:sz w:val="24"/>
          <w:szCs w:val="24"/>
        </w:rPr>
        <w:t>）《法定代表人身份证明》（格式五</w:t>
      </w:r>
      <w:r>
        <w:rPr>
          <w:rFonts w:ascii="宋体" w:hAnsi="宋体" w:eastAsia="宋体" w:cs="宋体"/>
          <w:spacing w:val="7"/>
          <w:sz w:val="24"/>
          <w:szCs w:val="24"/>
        </w:rPr>
        <w:t>）；</w:t>
      </w:r>
    </w:p>
    <w:p w14:paraId="556FB3CC">
      <w:pPr>
        <w:spacing w:before="154" w:line="219" w:lineRule="auto"/>
        <w:ind w:left="50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7</w:t>
      </w:r>
      <w:r>
        <w:rPr>
          <w:rFonts w:ascii="宋体" w:hAnsi="宋体" w:eastAsia="宋体" w:cs="宋体"/>
          <w:spacing w:val="-1"/>
          <w:sz w:val="24"/>
          <w:szCs w:val="24"/>
        </w:rPr>
        <w:t>）《联合体协议书》（格式六）及所附资料；</w:t>
      </w:r>
    </w:p>
    <w:p w14:paraId="667756E9">
      <w:pPr>
        <w:spacing w:before="153" w:line="309" w:lineRule="auto"/>
        <w:ind w:left="13" w:right="133" w:firstLine="49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8</w:t>
      </w:r>
      <w:r>
        <w:rPr>
          <w:rFonts w:ascii="宋体" w:hAnsi="宋体" w:eastAsia="宋体" w:cs="宋体"/>
          <w:spacing w:val="2"/>
          <w:sz w:val="24"/>
          <w:szCs w:val="24"/>
        </w:rPr>
        <w:t>）投标保证缴纳证明（投标人采用投标保证金的，附建</w:t>
      </w:r>
      <w:r>
        <w:rPr>
          <w:rFonts w:ascii="宋体" w:hAnsi="宋体" w:eastAsia="宋体" w:cs="宋体"/>
          <w:spacing w:val="1"/>
          <w:sz w:val="24"/>
          <w:szCs w:val="24"/>
        </w:rPr>
        <w:t>设工程交易系统《缴</w:t>
      </w:r>
      <w:r>
        <w:rPr>
          <w:rFonts w:ascii="宋体" w:hAnsi="宋体" w:eastAsia="宋体" w:cs="宋体"/>
          <w:spacing w:val="-1"/>
          <w:sz w:val="24"/>
          <w:szCs w:val="24"/>
        </w:rPr>
        <w:t>纳投标保证金通知书》页面截图和银行转账单彩色扫描件；采</w:t>
      </w:r>
      <w:r>
        <w:rPr>
          <w:rFonts w:ascii="宋体" w:hAnsi="宋体" w:eastAsia="宋体" w:cs="宋体"/>
          <w:spacing w:val="-2"/>
          <w:sz w:val="24"/>
          <w:szCs w:val="24"/>
        </w:rPr>
        <w:t>用投标保证担保的，附银行保函彩色扫描件；采用投标保证保险的，附电子保单和</w:t>
      </w:r>
      <w:r>
        <w:rPr>
          <w:rFonts w:ascii="宋体" w:hAnsi="宋体" w:eastAsia="宋体" w:cs="宋体"/>
          <w:b/>
          <w:bCs/>
          <w:spacing w:val="-2"/>
          <w:sz w:val="24"/>
          <w:szCs w:val="24"/>
        </w:rPr>
        <w:t>《韶关市公共资源交易一</w:t>
      </w:r>
      <w:r>
        <w:rPr>
          <w:rFonts w:ascii="宋体" w:hAnsi="宋体" w:eastAsia="宋体" w:cs="宋体"/>
          <w:b/>
          <w:bCs/>
          <w:spacing w:val="-3"/>
          <w:sz w:val="24"/>
          <w:szCs w:val="24"/>
        </w:rPr>
        <w:t>体化平台保证金缴纳信息》页面截图</w:t>
      </w:r>
      <w:r>
        <w:rPr>
          <w:rFonts w:ascii="宋体" w:hAnsi="宋体" w:eastAsia="宋体" w:cs="宋体"/>
          <w:spacing w:val="4"/>
          <w:sz w:val="24"/>
          <w:szCs w:val="24"/>
        </w:rPr>
        <w:t>）；</w:t>
      </w:r>
    </w:p>
    <w:p w14:paraId="71D67863">
      <w:pPr>
        <w:spacing w:before="156" w:line="219" w:lineRule="auto"/>
        <w:ind w:left="50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9</w:t>
      </w:r>
      <w:r>
        <w:rPr>
          <w:rFonts w:ascii="宋体" w:hAnsi="宋体" w:eastAsia="宋体" w:cs="宋体"/>
          <w:spacing w:val="-1"/>
          <w:sz w:val="24"/>
          <w:szCs w:val="24"/>
        </w:rPr>
        <w:t>）《投标人基本情况表》（格式七）及所附资料；</w:t>
      </w:r>
    </w:p>
    <w:p w14:paraId="1DB67E22">
      <w:pPr>
        <w:spacing w:before="155" w:line="219" w:lineRule="auto"/>
        <w:ind w:left="50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10</w:t>
      </w:r>
      <w:r>
        <w:rPr>
          <w:rFonts w:ascii="宋体" w:hAnsi="宋体" w:eastAsia="宋体" w:cs="宋体"/>
          <w:spacing w:val="-1"/>
          <w:sz w:val="24"/>
          <w:szCs w:val="24"/>
        </w:rPr>
        <w:t>）《项目经理简历表》（格式八）及所附资料；</w:t>
      </w:r>
    </w:p>
    <w:p w14:paraId="782CAF1E">
      <w:pPr>
        <w:spacing w:before="154" w:line="220" w:lineRule="auto"/>
        <w:ind w:left="50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11</w:t>
      </w:r>
      <w:r>
        <w:rPr>
          <w:rFonts w:ascii="宋体" w:hAnsi="宋体" w:eastAsia="宋体" w:cs="宋体"/>
          <w:spacing w:val="-2"/>
          <w:sz w:val="24"/>
          <w:szCs w:val="24"/>
        </w:rPr>
        <w:t>）《项目经理任职声明》（格式九</w:t>
      </w:r>
      <w:r>
        <w:rPr>
          <w:rFonts w:ascii="宋体" w:hAnsi="宋体" w:eastAsia="宋体" w:cs="宋体"/>
          <w:spacing w:val="7"/>
          <w:sz w:val="24"/>
          <w:szCs w:val="24"/>
        </w:rPr>
        <w:t>）；</w:t>
      </w:r>
    </w:p>
    <w:p w14:paraId="430FFA8D">
      <w:pPr>
        <w:spacing w:before="156" w:line="219" w:lineRule="auto"/>
        <w:ind w:left="50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12</w:t>
      </w:r>
      <w:r>
        <w:rPr>
          <w:rFonts w:ascii="宋体" w:hAnsi="宋体" w:eastAsia="宋体" w:cs="宋体"/>
          <w:spacing w:val="-1"/>
          <w:sz w:val="24"/>
          <w:szCs w:val="24"/>
        </w:rPr>
        <w:t>）《项目技术负责人简历表》（格式十）及所附资料；</w:t>
      </w:r>
    </w:p>
    <w:p w14:paraId="65A3B932">
      <w:pPr>
        <w:spacing w:before="154" w:line="219" w:lineRule="auto"/>
        <w:ind w:left="50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13</w:t>
      </w:r>
      <w:r>
        <w:rPr>
          <w:rFonts w:ascii="宋体" w:hAnsi="宋体" w:eastAsia="宋体" w:cs="宋体"/>
          <w:spacing w:val="-1"/>
          <w:sz w:val="24"/>
          <w:szCs w:val="24"/>
        </w:rPr>
        <w:t>）《项目管理机构组成表》（格式十一）及所附资料；</w:t>
      </w:r>
    </w:p>
    <w:p w14:paraId="3E975BAA">
      <w:pPr>
        <w:spacing w:before="155" w:line="219" w:lineRule="auto"/>
        <w:ind w:left="505"/>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14</w:t>
      </w:r>
      <w:r>
        <w:rPr>
          <w:rFonts w:ascii="宋体" w:hAnsi="宋体" w:eastAsia="宋体" w:cs="宋体"/>
          <w:spacing w:val="-4"/>
          <w:sz w:val="24"/>
          <w:szCs w:val="24"/>
        </w:rPr>
        <w:t>）本节第</w:t>
      </w:r>
      <w:r>
        <w:rPr>
          <w:rFonts w:ascii="Times New Roman" w:hAnsi="Times New Roman" w:eastAsia="Times New Roman" w:cs="Times New Roman"/>
          <w:b/>
          <w:bCs/>
          <w:spacing w:val="-4"/>
          <w:sz w:val="24"/>
          <w:szCs w:val="24"/>
        </w:rPr>
        <w:t>15.5.1</w:t>
      </w:r>
      <w:r>
        <w:rPr>
          <w:rFonts w:ascii="宋体" w:hAnsi="宋体" w:eastAsia="宋体" w:cs="宋体"/>
          <w:spacing w:val="-4"/>
          <w:sz w:val="24"/>
          <w:szCs w:val="24"/>
        </w:rPr>
        <w:t>目“评标方法”要求提供的</w:t>
      </w:r>
      <w:r>
        <w:rPr>
          <w:rFonts w:ascii="宋体" w:hAnsi="宋体" w:eastAsia="宋体" w:cs="宋体"/>
          <w:spacing w:val="-5"/>
          <w:sz w:val="24"/>
          <w:szCs w:val="24"/>
        </w:rPr>
        <w:t>评审资料；</w:t>
      </w:r>
    </w:p>
    <w:p w14:paraId="4D8FBC12">
      <w:pPr>
        <w:spacing w:before="78" w:line="299" w:lineRule="auto"/>
        <w:ind w:left="8" w:right="61" w:firstLine="492"/>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15</w:t>
      </w:r>
      <w:r>
        <w:rPr>
          <w:rFonts w:ascii="宋体" w:hAnsi="宋体" w:eastAsia="宋体" w:cs="宋体"/>
          <w:spacing w:val="-2"/>
          <w:sz w:val="24"/>
          <w:szCs w:val="24"/>
        </w:rPr>
        <w:t>）投标人认为有必要补充的其他资料。（例如投标人已经工商变更，但其企</w:t>
      </w:r>
      <w:r>
        <w:rPr>
          <w:rFonts w:ascii="宋体" w:hAnsi="宋体" w:eastAsia="宋体" w:cs="宋体"/>
          <w:spacing w:val="-1"/>
          <w:sz w:val="24"/>
          <w:szCs w:val="24"/>
        </w:rPr>
        <w:t>业资质证书、安全生产许可证或其员工执业资格注册证书上的企</w:t>
      </w:r>
      <w:r>
        <w:rPr>
          <w:rFonts w:ascii="宋体" w:hAnsi="宋体" w:eastAsia="宋体" w:cs="宋体"/>
          <w:spacing w:val="-2"/>
          <w:sz w:val="24"/>
          <w:szCs w:val="24"/>
        </w:rPr>
        <w:t>业名称未能在投标期</w:t>
      </w:r>
      <w:r>
        <w:rPr>
          <w:rFonts w:ascii="宋体" w:hAnsi="宋体" w:eastAsia="宋体" w:cs="宋体"/>
          <w:spacing w:val="-1"/>
          <w:sz w:val="24"/>
          <w:szCs w:val="24"/>
        </w:rPr>
        <w:t>间完成变更的书面说明和佐证材料等）</w:t>
      </w:r>
    </w:p>
    <w:p w14:paraId="79E7A55E">
      <w:pPr>
        <w:spacing w:before="155" w:line="262" w:lineRule="auto"/>
        <w:ind w:left="9" w:right="61" w:firstLine="486"/>
        <w:rPr>
          <w:rFonts w:ascii="宋体" w:hAnsi="宋体" w:eastAsia="宋体" w:cs="宋体"/>
          <w:sz w:val="24"/>
          <w:szCs w:val="24"/>
        </w:rPr>
      </w:pPr>
      <w:r>
        <w:rPr>
          <w:rFonts w:ascii="Times New Roman" w:hAnsi="Times New Roman" w:eastAsia="Times New Roman" w:cs="Times New Roman"/>
          <w:b/>
          <w:bCs/>
          <w:sz w:val="24"/>
          <w:szCs w:val="24"/>
        </w:rPr>
        <w:t>10.2.2</w:t>
      </w:r>
      <w:r>
        <w:rPr>
          <w:rFonts w:ascii="宋体" w:hAnsi="宋体" w:eastAsia="宋体" w:cs="宋体"/>
          <w:sz w:val="24"/>
          <w:szCs w:val="24"/>
        </w:rPr>
        <w:t>本节第</w:t>
      </w:r>
      <w:r>
        <w:rPr>
          <w:rFonts w:ascii="Times New Roman" w:hAnsi="Times New Roman" w:eastAsia="Times New Roman" w:cs="Times New Roman"/>
          <w:b/>
          <w:bCs/>
          <w:sz w:val="24"/>
          <w:szCs w:val="24"/>
        </w:rPr>
        <w:t>10.2.1</w:t>
      </w:r>
      <w:r>
        <w:rPr>
          <w:rFonts w:ascii="宋体" w:hAnsi="宋体" w:eastAsia="宋体" w:cs="宋体"/>
          <w:sz w:val="24"/>
          <w:szCs w:val="24"/>
        </w:rPr>
        <w:t>目中所列出的商务标书组成内容中，第（</w:t>
      </w:r>
      <w:r>
        <w:rPr>
          <w:rFonts w:ascii="Times New Roman" w:hAnsi="Times New Roman" w:eastAsia="Times New Roman" w:cs="Times New Roman"/>
          <w:spacing w:val="-1"/>
          <w:sz w:val="24"/>
          <w:szCs w:val="24"/>
        </w:rPr>
        <w:t>1</w:t>
      </w:r>
      <w:r>
        <w:rPr>
          <w:rFonts w:ascii="宋体" w:hAnsi="宋体" w:eastAsia="宋体" w:cs="宋体"/>
          <w:spacing w:val="-1"/>
          <w:sz w:val="24"/>
          <w:szCs w:val="24"/>
        </w:rPr>
        <w:t>）至第（</w:t>
      </w:r>
      <w:r>
        <w:rPr>
          <w:rFonts w:ascii="Times New Roman" w:hAnsi="Times New Roman" w:eastAsia="Times New Roman" w:cs="Times New Roman"/>
          <w:spacing w:val="-1"/>
          <w:sz w:val="24"/>
          <w:szCs w:val="24"/>
        </w:rPr>
        <w:t>13</w:t>
      </w:r>
      <w:r>
        <w:rPr>
          <w:rFonts w:ascii="宋体" w:hAnsi="宋体" w:eastAsia="宋体" w:cs="宋体"/>
          <w:spacing w:val="-1"/>
          <w:sz w:val="24"/>
          <w:szCs w:val="24"/>
        </w:rPr>
        <w:t>）项</w:t>
      </w:r>
      <w:r>
        <w:rPr>
          <w:rFonts w:ascii="宋体" w:hAnsi="宋体" w:eastAsia="宋体" w:cs="宋体"/>
          <w:sz w:val="24"/>
          <w:szCs w:val="24"/>
        </w:rPr>
        <w:t>所有投标人均应提供，</w:t>
      </w:r>
      <w:r>
        <w:rPr>
          <w:rFonts w:ascii="宋体" w:hAnsi="宋体" w:eastAsia="宋体" w:cs="宋体"/>
          <w:b/>
          <w:bCs/>
          <w:sz w:val="24"/>
          <w:szCs w:val="24"/>
        </w:rPr>
        <w:t>但非联合体投标的，</w:t>
      </w:r>
      <w:r>
        <w:rPr>
          <w:rFonts w:ascii="宋体" w:hAnsi="宋体" w:eastAsia="宋体" w:cs="宋体"/>
          <w:b/>
          <w:bCs/>
          <w:spacing w:val="-1"/>
          <w:sz w:val="24"/>
          <w:szCs w:val="24"/>
        </w:rPr>
        <w:t>无需提供第（</w:t>
      </w:r>
      <w:r>
        <w:rPr>
          <w:rFonts w:ascii="Times New Roman" w:hAnsi="Times New Roman" w:eastAsia="Times New Roman" w:cs="Times New Roman"/>
          <w:b/>
          <w:bCs/>
          <w:spacing w:val="-1"/>
          <w:sz w:val="24"/>
          <w:szCs w:val="24"/>
        </w:rPr>
        <w:t>7</w:t>
      </w:r>
      <w:r>
        <w:rPr>
          <w:rFonts w:ascii="宋体" w:hAnsi="宋体" w:eastAsia="宋体" w:cs="宋体"/>
          <w:b/>
          <w:bCs/>
          <w:spacing w:val="-1"/>
          <w:sz w:val="24"/>
          <w:szCs w:val="24"/>
        </w:rPr>
        <w:t>）项内容。</w:t>
      </w:r>
    </w:p>
    <w:p w14:paraId="7A289CCD">
      <w:pPr>
        <w:spacing w:before="199" w:line="279" w:lineRule="auto"/>
        <w:ind w:left="8" w:right="61" w:firstLine="487"/>
        <w:rPr>
          <w:rFonts w:ascii="宋体" w:hAnsi="宋体" w:eastAsia="宋体" w:cs="宋体"/>
          <w:sz w:val="24"/>
          <w:szCs w:val="24"/>
        </w:rPr>
      </w:pPr>
      <w:r>
        <w:rPr>
          <w:rFonts w:ascii="Times New Roman" w:hAnsi="Times New Roman" w:eastAsia="Times New Roman" w:cs="Times New Roman"/>
          <w:b/>
          <w:bCs/>
          <w:sz w:val="24"/>
          <w:szCs w:val="24"/>
        </w:rPr>
        <w:t>10.2.3</w:t>
      </w:r>
      <w:r>
        <w:rPr>
          <w:rFonts w:ascii="宋体" w:hAnsi="宋体" w:eastAsia="宋体" w:cs="宋体"/>
          <w:spacing w:val="-8"/>
          <w:sz w:val="24"/>
          <w:szCs w:val="24"/>
        </w:rPr>
        <w:t>商务标书的组成内容按本节第10.2.1目规定的顺序整理、编排后，逐页（页</w:t>
      </w:r>
      <w:r>
        <w:rPr>
          <w:rFonts w:ascii="宋体" w:hAnsi="宋体" w:eastAsia="宋体" w:cs="宋体"/>
          <w:spacing w:val="-1"/>
          <w:sz w:val="24"/>
          <w:szCs w:val="24"/>
        </w:rPr>
        <w:t>码起始从封面开始）连续标记页码。</w:t>
      </w:r>
    </w:p>
    <w:p w14:paraId="3FBF8A1B">
      <w:pPr>
        <w:pStyle w:val="5"/>
        <w:spacing w:line="257" w:lineRule="auto"/>
      </w:pPr>
    </w:p>
    <w:p w14:paraId="5DDAA3AC">
      <w:pPr>
        <w:spacing w:before="78" w:line="219" w:lineRule="auto"/>
        <w:ind w:left="496"/>
        <w:outlineLvl w:val="2"/>
        <w:rPr>
          <w:rFonts w:ascii="宋体" w:hAnsi="宋体" w:eastAsia="宋体" w:cs="宋体"/>
          <w:sz w:val="24"/>
          <w:szCs w:val="24"/>
        </w:rPr>
      </w:pPr>
      <w:bookmarkStart w:id="41" w:name="_Toc10602"/>
      <w:r>
        <w:rPr>
          <w:rFonts w:ascii="Times New Roman" w:hAnsi="Times New Roman" w:eastAsia="Times New Roman" w:cs="Times New Roman"/>
          <w:b/>
          <w:bCs/>
          <w:spacing w:val="-2"/>
          <w:sz w:val="24"/>
          <w:szCs w:val="24"/>
        </w:rPr>
        <w:t>10.3</w:t>
      </w:r>
      <w:r>
        <w:rPr>
          <w:rFonts w:ascii="宋体" w:hAnsi="宋体" w:eastAsia="宋体" w:cs="宋体"/>
          <w:spacing w:val="-2"/>
          <w:sz w:val="24"/>
          <w:szCs w:val="24"/>
        </w:rPr>
        <w:t>经济标书的编制要求</w:t>
      </w:r>
      <w:bookmarkEnd w:id="41"/>
    </w:p>
    <w:p w14:paraId="5598EF49">
      <w:pPr>
        <w:spacing w:before="154" w:line="219" w:lineRule="auto"/>
        <w:ind w:left="496"/>
        <w:rPr>
          <w:rFonts w:ascii="宋体" w:hAnsi="宋体" w:eastAsia="宋体" w:cs="宋体"/>
          <w:sz w:val="24"/>
          <w:szCs w:val="24"/>
        </w:rPr>
      </w:pPr>
      <w:r>
        <w:rPr>
          <w:rFonts w:ascii="Times New Roman" w:hAnsi="Times New Roman" w:eastAsia="Times New Roman" w:cs="Times New Roman"/>
          <w:b/>
          <w:bCs/>
          <w:spacing w:val="-1"/>
          <w:sz w:val="24"/>
          <w:szCs w:val="24"/>
        </w:rPr>
        <w:t>10.3.1</w:t>
      </w:r>
      <w:r>
        <w:rPr>
          <w:rFonts w:ascii="宋体" w:hAnsi="宋体" w:eastAsia="宋体" w:cs="宋体"/>
          <w:spacing w:val="-1"/>
          <w:sz w:val="24"/>
          <w:szCs w:val="24"/>
        </w:rPr>
        <w:t>经济标书包括以下内容：</w:t>
      </w:r>
    </w:p>
    <w:p w14:paraId="73C4135B">
      <w:pPr>
        <w:spacing w:before="156" w:line="220" w:lineRule="auto"/>
        <w:ind w:left="501"/>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w:t>
      </w:r>
      <w:r>
        <w:rPr>
          <w:rFonts w:ascii="宋体" w:hAnsi="宋体" w:eastAsia="宋体" w:cs="宋体"/>
          <w:spacing w:val="-3"/>
          <w:sz w:val="24"/>
          <w:szCs w:val="24"/>
        </w:rPr>
        <w:t>）封面（格式一</w:t>
      </w:r>
      <w:r>
        <w:rPr>
          <w:rFonts w:ascii="宋体" w:hAnsi="宋体" w:eastAsia="宋体" w:cs="宋体"/>
          <w:spacing w:val="2"/>
          <w:sz w:val="24"/>
          <w:szCs w:val="24"/>
        </w:rPr>
        <w:t>）；</w:t>
      </w:r>
    </w:p>
    <w:p w14:paraId="2AE3F2F3">
      <w:pPr>
        <w:spacing w:before="153" w:line="222" w:lineRule="auto"/>
        <w:ind w:left="501"/>
        <w:rPr>
          <w:rFonts w:ascii="宋体" w:hAnsi="宋体" w:eastAsia="宋体" w:cs="宋体"/>
          <w:sz w:val="24"/>
          <w:szCs w:val="24"/>
        </w:rPr>
      </w:pPr>
      <w:r>
        <w:rPr>
          <w:rFonts w:ascii="宋体" w:hAnsi="宋体" w:eastAsia="宋体" w:cs="宋体"/>
          <w:spacing w:val="-13"/>
          <w:sz w:val="24"/>
          <w:szCs w:val="24"/>
        </w:rPr>
        <w:t>（</w:t>
      </w:r>
      <w:r>
        <w:rPr>
          <w:rFonts w:ascii="Times New Roman" w:hAnsi="Times New Roman" w:eastAsia="Times New Roman" w:cs="Times New Roman"/>
          <w:spacing w:val="-13"/>
          <w:sz w:val="24"/>
          <w:szCs w:val="24"/>
        </w:rPr>
        <w:t>2</w:t>
      </w:r>
      <w:r>
        <w:rPr>
          <w:rFonts w:ascii="宋体" w:hAnsi="宋体" w:eastAsia="宋体" w:cs="宋体"/>
          <w:spacing w:val="-13"/>
          <w:sz w:val="24"/>
          <w:szCs w:val="24"/>
        </w:rPr>
        <w:t>）目录；</w:t>
      </w:r>
    </w:p>
    <w:p w14:paraId="61E7A286">
      <w:pPr>
        <w:spacing w:before="150" w:line="219" w:lineRule="auto"/>
        <w:ind w:left="501"/>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3</w:t>
      </w:r>
      <w:r>
        <w:rPr>
          <w:rFonts w:ascii="宋体" w:hAnsi="宋体" w:eastAsia="宋体" w:cs="宋体"/>
          <w:spacing w:val="-3"/>
          <w:sz w:val="24"/>
          <w:szCs w:val="24"/>
        </w:rPr>
        <w:t>）《投标总价》；</w:t>
      </w:r>
    </w:p>
    <w:p w14:paraId="4E57995F">
      <w:pPr>
        <w:spacing w:before="157" w:line="219" w:lineRule="auto"/>
        <w:ind w:left="492"/>
        <w:rPr>
          <w:rFonts w:ascii="宋体" w:hAnsi="宋体" w:eastAsia="宋体" w:cs="宋体"/>
          <w:sz w:val="24"/>
          <w:szCs w:val="24"/>
        </w:rPr>
      </w:pPr>
      <w:r>
        <w:rPr>
          <w:rFonts w:ascii="宋体" w:hAnsi="宋体" w:eastAsia="宋体" w:cs="宋体"/>
          <w:sz w:val="24"/>
          <w:szCs w:val="24"/>
        </w:rPr>
        <w:t>说明：《投标总价》的格式按照《</w:t>
      </w:r>
      <w:r>
        <w:rPr>
          <w:rFonts w:hint="eastAsia" w:ascii="宋体" w:hAnsi="宋体" w:eastAsia="宋体" w:cs="宋体"/>
          <w:sz w:val="24"/>
          <w:szCs w:val="24"/>
          <w:lang w:eastAsia="zh-CN"/>
        </w:rPr>
        <w:t>建设工程工程量清单计价标准</w:t>
      </w:r>
      <w:r>
        <w:rPr>
          <w:rFonts w:ascii="宋体" w:hAnsi="宋体" w:eastAsia="宋体" w:cs="宋体"/>
          <w:spacing w:val="-1"/>
          <w:sz w:val="24"/>
          <w:szCs w:val="24"/>
        </w:rPr>
        <w:t>》（</w:t>
      </w:r>
      <w:r>
        <w:rPr>
          <w:rFonts w:ascii="Times New Roman" w:hAnsi="Times New Roman" w:eastAsia="Times New Roman" w:cs="Times New Roman"/>
          <w:spacing w:val="-1"/>
          <w:sz w:val="24"/>
          <w:szCs w:val="24"/>
        </w:rPr>
        <w:t>GB50500</w:t>
      </w:r>
      <w:r>
        <w:rPr>
          <w:rFonts w:ascii="宋体" w:hAnsi="宋体" w:eastAsia="宋体" w:cs="宋体"/>
          <w:spacing w:val="-1"/>
          <w:sz w:val="24"/>
          <w:szCs w:val="24"/>
        </w:rPr>
        <w:t>—</w:t>
      </w:r>
    </w:p>
    <w:p w14:paraId="5261B5CD">
      <w:pPr>
        <w:spacing w:before="155" w:line="220" w:lineRule="auto"/>
        <w:ind w:left="5"/>
        <w:rPr>
          <w:rFonts w:ascii="宋体" w:hAnsi="宋体" w:eastAsia="宋体" w:cs="宋体"/>
          <w:sz w:val="24"/>
          <w:szCs w:val="24"/>
        </w:rPr>
      </w:pPr>
      <w:r>
        <w:rPr>
          <w:rFonts w:hint="eastAsia" w:ascii="Times New Roman" w:hAnsi="Times New Roman" w:eastAsia="宋体" w:cs="Times New Roman"/>
          <w:spacing w:val="-1"/>
          <w:sz w:val="24"/>
          <w:szCs w:val="24"/>
          <w:lang w:val="en-US" w:eastAsia="zh-CN"/>
        </w:rPr>
        <w:t>2024</w:t>
      </w:r>
      <w:r>
        <w:rPr>
          <w:rFonts w:ascii="宋体" w:hAnsi="宋体" w:eastAsia="宋体" w:cs="宋体"/>
          <w:spacing w:val="-1"/>
          <w:sz w:val="24"/>
          <w:szCs w:val="24"/>
        </w:rPr>
        <w:t>）执行，并应满足以下要求：</w:t>
      </w:r>
    </w:p>
    <w:p w14:paraId="12DACB92">
      <w:pPr>
        <w:spacing w:before="150" w:line="309" w:lineRule="auto"/>
        <w:ind w:left="8" w:firstLine="482"/>
        <w:rPr>
          <w:rFonts w:ascii="宋体" w:hAnsi="宋体" w:eastAsia="宋体" w:cs="宋体"/>
          <w:sz w:val="24"/>
          <w:szCs w:val="24"/>
        </w:rPr>
      </w:pPr>
      <w:r>
        <w:rPr>
          <w:rFonts w:ascii="Times New Roman" w:hAnsi="Times New Roman" w:eastAsia="Times New Roman" w:cs="Times New Roman"/>
          <w:b/>
          <w:bCs/>
          <w:spacing w:val="-2"/>
          <w:sz w:val="24"/>
          <w:szCs w:val="24"/>
        </w:rPr>
        <w:t>a</w:t>
      </w:r>
      <w:r>
        <w:rPr>
          <w:rFonts w:ascii="宋体" w:hAnsi="宋体" w:eastAsia="宋体" w:cs="宋体"/>
          <w:spacing w:val="-2"/>
          <w:sz w:val="24"/>
          <w:szCs w:val="24"/>
        </w:rPr>
        <w:t>．《投标总价扉页》（即扉—3）后应附编制人的造价工程师注册证书彩色扫描件（须扫描至变更注册栏，一级造价师或二级造价师均可提供电子证书）；投标人委托造价咨询单位编制《投标总价》的，在该扉页“投标人”栏目加盖造价</w:t>
      </w:r>
      <w:r>
        <w:rPr>
          <w:rFonts w:ascii="宋体" w:hAnsi="宋体" w:eastAsia="宋体" w:cs="宋体"/>
          <w:spacing w:val="-7"/>
          <w:sz w:val="24"/>
          <w:szCs w:val="24"/>
        </w:rPr>
        <w:t>咨询人公章，</w:t>
      </w:r>
      <w:r>
        <w:rPr>
          <w:rFonts w:ascii="宋体" w:hAnsi="宋体" w:eastAsia="宋体" w:cs="宋体"/>
          <w:spacing w:val="-1"/>
          <w:sz w:val="24"/>
          <w:szCs w:val="24"/>
        </w:rPr>
        <w:t>并在该扉页后附造价咨询人的营业执照副本彩色扫描件。</w:t>
      </w:r>
    </w:p>
    <w:p w14:paraId="4B233B3A">
      <w:pPr>
        <w:spacing w:before="119" w:line="314" w:lineRule="auto"/>
        <w:ind w:left="10" w:right="61" w:firstLine="474"/>
        <w:rPr>
          <w:rFonts w:ascii="宋体" w:hAnsi="宋体" w:eastAsia="宋体" w:cs="宋体"/>
          <w:sz w:val="24"/>
          <w:szCs w:val="24"/>
        </w:rPr>
      </w:pPr>
      <w:r>
        <w:rPr>
          <w:rFonts w:ascii="Times New Roman" w:hAnsi="Times New Roman" w:eastAsia="Times New Roman" w:cs="Times New Roman"/>
          <w:b/>
          <w:bCs/>
          <w:spacing w:val="2"/>
          <w:sz w:val="24"/>
          <w:szCs w:val="24"/>
        </w:rPr>
        <w:t>b.</w:t>
      </w:r>
      <w:r>
        <w:rPr>
          <w:rFonts w:ascii="宋体" w:hAnsi="宋体" w:eastAsia="宋体" w:cs="宋体"/>
          <w:spacing w:val="2"/>
          <w:sz w:val="24"/>
          <w:szCs w:val="24"/>
        </w:rPr>
        <w:t>投标人认为有必要补充的其他资料（例如关于投标总价下浮率超过</w:t>
      </w:r>
      <w:r>
        <w:rPr>
          <w:rFonts w:ascii="Times New Roman" w:hAnsi="Times New Roman" w:eastAsia="Times New Roman" w:cs="Times New Roman"/>
          <w:spacing w:val="1"/>
          <w:sz w:val="24"/>
          <w:szCs w:val="24"/>
        </w:rPr>
        <w:t>15%</w:t>
      </w:r>
      <w:r>
        <w:rPr>
          <w:rFonts w:ascii="宋体" w:hAnsi="宋体" w:eastAsia="宋体" w:cs="宋体"/>
          <w:spacing w:val="1"/>
          <w:sz w:val="24"/>
          <w:szCs w:val="24"/>
        </w:rPr>
        <w:t>的书</w:t>
      </w:r>
      <w:r>
        <w:rPr>
          <w:rFonts w:ascii="宋体" w:hAnsi="宋体" w:eastAsia="宋体" w:cs="宋体"/>
          <w:spacing w:val="-2"/>
          <w:sz w:val="24"/>
          <w:szCs w:val="24"/>
        </w:rPr>
        <w:t>面说明和佐证材料）。</w:t>
      </w:r>
    </w:p>
    <w:p w14:paraId="01EE320C">
      <w:pPr>
        <w:spacing w:before="99" w:line="280" w:lineRule="auto"/>
        <w:ind w:left="10" w:right="63" w:firstLine="485"/>
        <w:rPr>
          <w:rFonts w:ascii="宋体" w:hAnsi="宋体" w:eastAsia="宋体" w:cs="宋体"/>
          <w:sz w:val="24"/>
          <w:szCs w:val="24"/>
        </w:rPr>
      </w:pPr>
      <w:r>
        <w:rPr>
          <w:rFonts w:ascii="Times New Roman" w:hAnsi="Times New Roman" w:eastAsia="Times New Roman" w:cs="Times New Roman"/>
          <w:b/>
          <w:bCs/>
          <w:spacing w:val="-3"/>
          <w:sz w:val="24"/>
          <w:szCs w:val="24"/>
        </w:rPr>
        <w:t>10.3.2</w:t>
      </w:r>
      <w:r>
        <w:rPr>
          <w:rFonts w:ascii="宋体" w:hAnsi="宋体" w:eastAsia="宋体" w:cs="宋体"/>
          <w:spacing w:val="-3"/>
          <w:sz w:val="24"/>
          <w:szCs w:val="24"/>
        </w:rPr>
        <w:t>本节第</w:t>
      </w:r>
      <w:r>
        <w:rPr>
          <w:rFonts w:ascii="Times New Roman" w:hAnsi="Times New Roman" w:eastAsia="Times New Roman" w:cs="Times New Roman"/>
          <w:b/>
          <w:bCs/>
          <w:spacing w:val="-3"/>
          <w:sz w:val="24"/>
          <w:szCs w:val="24"/>
        </w:rPr>
        <w:t>10.3.1</w:t>
      </w:r>
      <w:r>
        <w:rPr>
          <w:rFonts w:ascii="宋体" w:hAnsi="宋体" w:eastAsia="宋体" w:cs="宋体"/>
          <w:spacing w:val="-3"/>
          <w:sz w:val="24"/>
          <w:szCs w:val="24"/>
        </w:rPr>
        <w:t>目中所列出的经济标书组成内容中，第（</w:t>
      </w:r>
      <w:r>
        <w:rPr>
          <w:rFonts w:ascii="Times New Roman" w:hAnsi="Times New Roman" w:eastAsia="Times New Roman" w:cs="Times New Roman"/>
          <w:spacing w:val="-3"/>
          <w:sz w:val="24"/>
          <w:szCs w:val="24"/>
        </w:rPr>
        <w:t>1</w:t>
      </w:r>
      <w:r>
        <w:rPr>
          <w:rFonts w:ascii="宋体" w:hAnsi="宋体" w:eastAsia="宋体" w:cs="宋体"/>
          <w:spacing w:val="-3"/>
          <w:sz w:val="24"/>
          <w:szCs w:val="24"/>
        </w:rPr>
        <w:t>）至第（</w:t>
      </w:r>
      <w:r>
        <w:rPr>
          <w:rFonts w:ascii="Times New Roman" w:hAnsi="Times New Roman" w:eastAsia="Times New Roman" w:cs="Times New Roman"/>
          <w:spacing w:val="-3"/>
          <w:sz w:val="24"/>
          <w:szCs w:val="24"/>
        </w:rPr>
        <w:t>3</w:t>
      </w:r>
      <w:r>
        <w:rPr>
          <w:rFonts w:ascii="宋体" w:hAnsi="宋体" w:eastAsia="宋体" w:cs="宋体"/>
          <w:spacing w:val="-3"/>
          <w:sz w:val="24"/>
          <w:szCs w:val="24"/>
        </w:rPr>
        <w:t>）项所</w:t>
      </w:r>
      <w:r>
        <w:rPr>
          <w:rFonts w:ascii="宋体" w:hAnsi="宋体" w:eastAsia="宋体" w:cs="宋体"/>
          <w:spacing w:val="-2"/>
          <w:sz w:val="24"/>
          <w:szCs w:val="24"/>
        </w:rPr>
        <w:t>有投标人均应提供。</w:t>
      </w:r>
    </w:p>
    <w:p w14:paraId="4E892A40">
      <w:pPr>
        <w:spacing w:before="155" w:line="279" w:lineRule="auto"/>
        <w:ind w:left="8" w:right="61" w:firstLine="487"/>
      </w:pPr>
      <w:r>
        <w:rPr>
          <w:rFonts w:ascii="Times New Roman" w:hAnsi="Times New Roman" w:eastAsia="Times New Roman" w:cs="Times New Roman"/>
          <w:b/>
          <w:bCs/>
          <w:spacing w:val="-10"/>
          <w:sz w:val="24"/>
          <w:szCs w:val="24"/>
        </w:rPr>
        <w:t>10.3.3</w:t>
      </w:r>
      <w:r>
        <w:rPr>
          <w:rFonts w:ascii="宋体" w:hAnsi="宋体" w:eastAsia="宋体" w:cs="宋体"/>
          <w:spacing w:val="-10"/>
          <w:sz w:val="24"/>
          <w:szCs w:val="24"/>
        </w:rPr>
        <w:t>经济标书的组成内容按本节第10</w:t>
      </w:r>
      <w:r>
        <w:rPr>
          <w:rFonts w:ascii="宋体" w:hAnsi="宋体" w:eastAsia="宋体" w:cs="宋体"/>
          <w:spacing w:val="-11"/>
          <w:sz w:val="24"/>
          <w:szCs w:val="24"/>
        </w:rPr>
        <w:t>.3.1目规定的顺序整理、编排后，逐页（页</w:t>
      </w:r>
      <w:r>
        <w:rPr>
          <w:rFonts w:ascii="宋体" w:hAnsi="宋体" w:eastAsia="宋体" w:cs="宋体"/>
          <w:spacing w:val="-1"/>
          <w:sz w:val="24"/>
          <w:szCs w:val="24"/>
        </w:rPr>
        <w:t>码起始从封面开始）连续标记页码。</w:t>
      </w:r>
    </w:p>
    <w:p w14:paraId="68152D9F">
      <w:pPr>
        <w:spacing w:before="82" w:line="213" w:lineRule="auto"/>
        <w:ind w:left="496"/>
        <w:rPr>
          <w:rFonts w:ascii="宋体" w:hAnsi="宋体" w:eastAsia="宋体" w:cs="宋体"/>
          <w:sz w:val="25"/>
          <w:szCs w:val="25"/>
        </w:rPr>
      </w:pPr>
      <w:r>
        <w:rPr>
          <w:rFonts w:ascii="Times New Roman" w:hAnsi="Times New Roman" w:eastAsia="Times New Roman" w:cs="Times New Roman"/>
          <w:b/>
          <w:bCs/>
          <w:spacing w:val="-3"/>
          <w:sz w:val="24"/>
          <w:szCs w:val="24"/>
        </w:rPr>
        <w:t>10.4</w:t>
      </w:r>
      <w:r>
        <w:rPr>
          <w:rFonts w:ascii="宋体" w:hAnsi="宋体" w:eastAsia="宋体" w:cs="宋体"/>
          <w:spacing w:val="-3"/>
          <w:sz w:val="24"/>
          <w:szCs w:val="24"/>
        </w:rPr>
        <w:t>施工组织设计的编制要求</w:t>
      </w:r>
    </w:p>
    <w:p w14:paraId="3676A978">
      <w:pPr>
        <w:spacing w:before="151" w:line="219" w:lineRule="auto"/>
        <w:ind w:left="496"/>
        <w:rPr>
          <w:rFonts w:ascii="宋体" w:hAnsi="宋体" w:eastAsia="宋体" w:cs="宋体"/>
          <w:sz w:val="24"/>
          <w:szCs w:val="24"/>
        </w:rPr>
      </w:pPr>
      <w:r>
        <w:rPr>
          <w:rFonts w:ascii="Times New Roman" w:hAnsi="Times New Roman" w:eastAsia="Times New Roman" w:cs="Times New Roman"/>
          <w:b/>
          <w:bCs/>
          <w:spacing w:val="-1"/>
          <w:sz w:val="24"/>
          <w:szCs w:val="24"/>
        </w:rPr>
        <w:t>10.4.1</w:t>
      </w:r>
      <w:r>
        <w:rPr>
          <w:rFonts w:ascii="宋体" w:hAnsi="宋体" w:eastAsia="宋体" w:cs="宋体"/>
          <w:spacing w:val="-1"/>
          <w:sz w:val="24"/>
          <w:szCs w:val="24"/>
        </w:rPr>
        <w:t>施工组织设计的编制依据包括且不限于：</w:t>
      </w:r>
    </w:p>
    <w:p w14:paraId="00FED560">
      <w:pPr>
        <w:spacing w:before="156" w:line="219" w:lineRule="auto"/>
        <w:ind w:left="50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）招标文件及其答疑（或修改）公告；</w:t>
      </w:r>
    </w:p>
    <w:p w14:paraId="4AD4C641">
      <w:pPr>
        <w:spacing w:before="155" w:line="221" w:lineRule="auto"/>
        <w:ind w:left="50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）施工图及相关资料；</w:t>
      </w:r>
    </w:p>
    <w:p w14:paraId="759551AB">
      <w:pPr>
        <w:spacing w:before="152" w:line="220" w:lineRule="auto"/>
        <w:ind w:left="50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）施工现场情况、工程特点；</w:t>
      </w:r>
    </w:p>
    <w:p w14:paraId="5E931E5F">
      <w:pPr>
        <w:spacing w:before="78" w:line="220" w:lineRule="auto"/>
        <w:ind w:left="50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）相关法律、法规、规定；</w:t>
      </w:r>
    </w:p>
    <w:p w14:paraId="7F98F458">
      <w:pPr>
        <w:spacing w:before="153" w:line="299" w:lineRule="auto"/>
        <w:ind w:left="10" w:right="211" w:firstLine="49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）国家、广东省、韶关市关于施工现场管理、施工工艺</w:t>
      </w:r>
      <w:r>
        <w:rPr>
          <w:rFonts w:ascii="宋体" w:hAnsi="宋体" w:eastAsia="宋体" w:cs="宋体"/>
          <w:spacing w:val="1"/>
          <w:sz w:val="24"/>
          <w:szCs w:val="24"/>
        </w:rPr>
        <w:t>、绿色施工、安全防</w:t>
      </w:r>
      <w:r>
        <w:rPr>
          <w:rFonts w:ascii="宋体" w:hAnsi="宋体" w:eastAsia="宋体" w:cs="宋体"/>
          <w:spacing w:val="-1"/>
          <w:sz w:val="24"/>
          <w:szCs w:val="24"/>
        </w:rPr>
        <w:t>护、文明施工、环境保护等方面的标准、规范、技术资料。</w:t>
      </w:r>
      <w:r>
        <w:rPr>
          <w:rFonts w:ascii="宋体" w:hAnsi="宋体" w:eastAsia="宋体" w:cs="宋体"/>
          <w:spacing w:val="-2"/>
          <w:sz w:val="24"/>
          <w:szCs w:val="24"/>
        </w:rPr>
        <w:t>如《广东省住房和城乡建</w:t>
      </w:r>
      <w:r>
        <w:rPr>
          <w:rFonts w:ascii="宋体" w:hAnsi="宋体" w:eastAsia="宋体" w:cs="宋体"/>
          <w:sz w:val="24"/>
          <w:szCs w:val="24"/>
        </w:rPr>
        <w:t>设厅绿色施工导则》《广东省建设工程施工扬尘污染防</w:t>
      </w:r>
      <w:r>
        <w:rPr>
          <w:rFonts w:ascii="宋体" w:hAnsi="宋体" w:eastAsia="宋体" w:cs="宋体"/>
          <w:spacing w:val="-1"/>
          <w:sz w:val="24"/>
          <w:szCs w:val="24"/>
        </w:rPr>
        <w:t>治管理办法（试行）》等；</w:t>
      </w:r>
    </w:p>
    <w:p w14:paraId="56337F3A">
      <w:pPr>
        <w:spacing w:before="155" w:line="220" w:lineRule="auto"/>
        <w:ind w:left="50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6</w:t>
      </w:r>
      <w:r>
        <w:rPr>
          <w:rFonts w:ascii="宋体" w:hAnsi="宋体" w:eastAsia="宋体" w:cs="宋体"/>
          <w:spacing w:val="-2"/>
          <w:sz w:val="24"/>
          <w:szCs w:val="24"/>
        </w:rPr>
        <w:t>）企业内部标准、工法。</w:t>
      </w:r>
    </w:p>
    <w:p w14:paraId="50345C39">
      <w:pPr>
        <w:spacing w:before="153" w:line="220" w:lineRule="auto"/>
        <w:ind w:left="496"/>
        <w:rPr>
          <w:rFonts w:ascii="宋体" w:hAnsi="宋体" w:eastAsia="宋体" w:cs="宋体"/>
          <w:sz w:val="24"/>
          <w:szCs w:val="24"/>
        </w:rPr>
      </w:pPr>
      <w:r>
        <w:rPr>
          <w:rFonts w:ascii="Times New Roman" w:hAnsi="Times New Roman" w:eastAsia="Times New Roman" w:cs="Times New Roman"/>
          <w:b/>
          <w:bCs/>
          <w:spacing w:val="-1"/>
          <w:sz w:val="24"/>
          <w:szCs w:val="24"/>
        </w:rPr>
        <w:t>10.4.2</w:t>
      </w:r>
      <w:r>
        <w:rPr>
          <w:rFonts w:ascii="宋体" w:hAnsi="宋体" w:eastAsia="宋体" w:cs="宋体"/>
          <w:spacing w:val="-1"/>
          <w:sz w:val="24"/>
          <w:szCs w:val="24"/>
        </w:rPr>
        <w:t>施工组织设计包括但不限于以下内容：</w:t>
      </w:r>
    </w:p>
    <w:p w14:paraId="72C594DB">
      <w:pPr>
        <w:spacing w:before="153" w:line="220" w:lineRule="auto"/>
        <w:ind w:left="501"/>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w:t>
      </w:r>
      <w:r>
        <w:rPr>
          <w:rFonts w:ascii="宋体" w:hAnsi="宋体" w:eastAsia="宋体" w:cs="宋体"/>
          <w:spacing w:val="-3"/>
          <w:sz w:val="24"/>
          <w:szCs w:val="24"/>
        </w:rPr>
        <w:t>）封面（格式一</w:t>
      </w:r>
      <w:r>
        <w:rPr>
          <w:rFonts w:ascii="宋体" w:hAnsi="宋体" w:eastAsia="宋体" w:cs="宋体"/>
          <w:spacing w:val="2"/>
          <w:sz w:val="24"/>
          <w:szCs w:val="24"/>
        </w:rPr>
        <w:t>）；</w:t>
      </w:r>
    </w:p>
    <w:p w14:paraId="6BAC4548">
      <w:pPr>
        <w:spacing w:before="156" w:line="222" w:lineRule="auto"/>
        <w:ind w:left="501"/>
        <w:rPr>
          <w:rFonts w:ascii="宋体" w:hAnsi="宋体" w:eastAsia="宋体" w:cs="宋体"/>
          <w:sz w:val="24"/>
          <w:szCs w:val="24"/>
        </w:rPr>
      </w:pPr>
      <w:r>
        <w:rPr>
          <w:rFonts w:ascii="宋体" w:hAnsi="宋体" w:eastAsia="宋体" w:cs="宋体"/>
          <w:spacing w:val="-13"/>
          <w:sz w:val="24"/>
          <w:szCs w:val="24"/>
        </w:rPr>
        <w:t>（</w:t>
      </w:r>
      <w:r>
        <w:rPr>
          <w:rFonts w:ascii="Times New Roman" w:hAnsi="Times New Roman" w:eastAsia="Times New Roman" w:cs="Times New Roman"/>
          <w:spacing w:val="-13"/>
          <w:sz w:val="24"/>
          <w:szCs w:val="24"/>
        </w:rPr>
        <w:t>2</w:t>
      </w:r>
      <w:r>
        <w:rPr>
          <w:rFonts w:ascii="宋体" w:hAnsi="宋体" w:eastAsia="宋体" w:cs="宋体"/>
          <w:spacing w:val="-13"/>
          <w:sz w:val="24"/>
          <w:szCs w:val="24"/>
        </w:rPr>
        <w:t>）目录；</w:t>
      </w:r>
    </w:p>
    <w:p w14:paraId="5B8B6FD9">
      <w:pPr>
        <w:spacing w:before="150" w:line="220" w:lineRule="auto"/>
        <w:ind w:left="50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）总体概述（包括施工程序总体设想及施工段划分等内容</w:t>
      </w:r>
      <w:r>
        <w:rPr>
          <w:rFonts w:ascii="宋体" w:hAnsi="宋体" w:eastAsia="宋体" w:cs="宋体"/>
          <w:spacing w:val="2"/>
          <w:sz w:val="24"/>
          <w:szCs w:val="24"/>
        </w:rPr>
        <w:t>）；</w:t>
      </w:r>
    </w:p>
    <w:p w14:paraId="7C3DAFF9">
      <w:pPr>
        <w:spacing w:before="154" w:line="299" w:lineRule="auto"/>
        <w:ind w:left="9" w:right="211" w:firstLine="49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）施工总进度计划及保证措施（包括进度管理目标；以</w:t>
      </w:r>
      <w:r>
        <w:rPr>
          <w:rFonts w:ascii="宋体" w:hAnsi="宋体" w:eastAsia="宋体" w:cs="宋体"/>
          <w:spacing w:val="1"/>
          <w:sz w:val="24"/>
          <w:szCs w:val="24"/>
        </w:rPr>
        <w:t>横道图或标明关键线</w:t>
      </w:r>
      <w:r>
        <w:rPr>
          <w:rFonts w:ascii="宋体" w:hAnsi="宋体" w:eastAsia="宋体" w:cs="宋体"/>
          <w:spacing w:val="-1"/>
          <w:sz w:val="24"/>
          <w:szCs w:val="24"/>
        </w:rPr>
        <w:t>路的网络进度计划；保障进度计划需要的人、材、机需求计划</w:t>
      </w:r>
      <w:r>
        <w:rPr>
          <w:rFonts w:ascii="宋体" w:hAnsi="宋体" w:eastAsia="宋体" w:cs="宋体"/>
          <w:spacing w:val="-2"/>
          <w:sz w:val="24"/>
          <w:szCs w:val="24"/>
        </w:rPr>
        <w:t>及保证措施；违约责任承诺等内容</w:t>
      </w:r>
      <w:r>
        <w:rPr>
          <w:rFonts w:ascii="宋体" w:hAnsi="宋体" w:eastAsia="宋体" w:cs="宋体"/>
          <w:sz w:val="24"/>
          <w:szCs w:val="24"/>
        </w:rPr>
        <w:t>）；</w:t>
      </w:r>
    </w:p>
    <w:p w14:paraId="5411A133">
      <w:pPr>
        <w:spacing w:before="153" w:line="220" w:lineRule="auto"/>
        <w:ind w:left="501"/>
        <w:rPr>
          <w:rFonts w:ascii="宋体" w:hAnsi="宋体" w:eastAsia="宋体" w:cs="宋体"/>
          <w:sz w:val="24"/>
          <w:szCs w:val="24"/>
        </w:rPr>
      </w:pPr>
      <w:r>
        <w:rPr>
          <w:rFonts w:ascii="宋体" w:hAnsi="宋体" w:eastAsia="宋体" w:cs="宋体"/>
          <w:spacing w:val="-5"/>
          <w:sz w:val="24"/>
          <w:szCs w:val="24"/>
        </w:rPr>
        <w:t>（</w:t>
      </w:r>
      <w:r>
        <w:rPr>
          <w:rFonts w:ascii="Times New Roman" w:hAnsi="Times New Roman" w:eastAsia="Times New Roman" w:cs="Times New Roman"/>
          <w:spacing w:val="-5"/>
          <w:sz w:val="24"/>
          <w:szCs w:val="24"/>
        </w:rPr>
        <w:t>5</w:t>
      </w:r>
      <w:r>
        <w:rPr>
          <w:rFonts w:ascii="宋体" w:hAnsi="宋体" w:eastAsia="宋体" w:cs="宋体"/>
          <w:spacing w:val="-5"/>
          <w:sz w:val="24"/>
          <w:szCs w:val="24"/>
        </w:rPr>
        <w:t>）质量保证措施（包括质量管理目标；相应保证措施；违约责任承诺</w:t>
      </w:r>
      <w:r>
        <w:rPr>
          <w:rFonts w:ascii="宋体" w:hAnsi="宋体" w:eastAsia="宋体" w:cs="宋体"/>
          <w:spacing w:val="-6"/>
          <w:sz w:val="24"/>
          <w:szCs w:val="24"/>
        </w:rPr>
        <w:t>等内容</w:t>
      </w:r>
      <w:r>
        <w:rPr>
          <w:rFonts w:ascii="宋体" w:hAnsi="宋体" w:eastAsia="宋体" w:cs="宋体"/>
          <w:spacing w:val="-62"/>
          <w:w w:val="97"/>
          <w:sz w:val="24"/>
          <w:szCs w:val="24"/>
        </w:rPr>
        <w:t>）；</w:t>
      </w:r>
    </w:p>
    <w:p w14:paraId="3FCE287D">
      <w:pPr>
        <w:spacing w:before="156" w:line="279" w:lineRule="auto"/>
        <w:ind w:left="11" w:right="211" w:firstLine="489"/>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6</w:t>
      </w:r>
      <w:r>
        <w:rPr>
          <w:rFonts w:ascii="宋体" w:hAnsi="宋体" w:eastAsia="宋体" w:cs="宋体"/>
          <w:spacing w:val="2"/>
          <w:sz w:val="24"/>
          <w:szCs w:val="24"/>
        </w:rPr>
        <w:t>）施工技术措施（包括关键施工技术、工艺及工程项目</w:t>
      </w:r>
      <w:r>
        <w:rPr>
          <w:rFonts w:ascii="宋体" w:hAnsi="宋体" w:eastAsia="宋体" w:cs="宋体"/>
          <w:spacing w:val="1"/>
          <w:sz w:val="24"/>
          <w:szCs w:val="24"/>
        </w:rPr>
        <w:t>实施的重点、难点分</w:t>
      </w:r>
      <w:r>
        <w:rPr>
          <w:rFonts w:ascii="宋体" w:hAnsi="宋体" w:eastAsia="宋体" w:cs="宋体"/>
          <w:spacing w:val="-1"/>
          <w:sz w:val="24"/>
          <w:szCs w:val="24"/>
        </w:rPr>
        <w:t>析和解决方案；新技术应用与承诺等内容</w:t>
      </w:r>
      <w:r>
        <w:rPr>
          <w:rFonts w:ascii="宋体" w:hAnsi="宋体" w:eastAsia="宋体" w:cs="宋体"/>
          <w:spacing w:val="2"/>
          <w:sz w:val="24"/>
          <w:szCs w:val="24"/>
        </w:rPr>
        <w:t>）；</w:t>
      </w:r>
    </w:p>
    <w:p w14:paraId="3BE79047">
      <w:pPr>
        <w:spacing w:before="118" w:line="297" w:lineRule="auto"/>
        <w:ind w:left="11" w:right="31" w:firstLine="48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7</w:t>
      </w:r>
      <w:r>
        <w:rPr>
          <w:rFonts w:ascii="宋体" w:hAnsi="宋体" w:eastAsia="宋体" w:cs="宋体"/>
          <w:spacing w:val="-1"/>
          <w:sz w:val="24"/>
          <w:szCs w:val="24"/>
        </w:rPr>
        <w:t>）绿色施工、安全防护、文明施工措施计划(应对建设单位组织的勘察设计等单位在施工招标文件中列出的危大工程清单(详见格式十三)进行投标文件回应，如有)</w:t>
      </w:r>
      <w:r>
        <w:rPr>
          <w:rFonts w:ascii="宋体" w:hAnsi="宋体" w:eastAsia="宋体" w:cs="宋体"/>
          <w:spacing w:val="-3"/>
          <w:sz w:val="24"/>
          <w:szCs w:val="24"/>
        </w:rPr>
        <w:t>；</w:t>
      </w:r>
    </w:p>
    <w:p w14:paraId="39D7AE41">
      <w:pPr>
        <w:spacing w:before="143" w:line="299" w:lineRule="auto"/>
        <w:ind w:left="8" w:right="211" w:firstLine="492"/>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8</w:t>
      </w:r>
      <w:r>
        <w:rPr>
          <w:rFonts w:ascii="宋体" w:hAnsi="宋体" w:eastAsia="宋体" w:cs="宋体"/>
          <w:spacing w:val="2"/>
          <w:sz w:val="24"/>
          <w:szCs w:val="24"/>
        </w:rPr>
        <w:t>）施工现场总平面布置（投标人应递交一份施工现场总</w:t>
      </w:r>
      <w:r>
        <w:rPr>
          <w:rFonts w:ascii="宋体" w:hAnsi="宋体" w:eastAsia="宋体" w:cs="宋体"/>
          <w:spacing w:val="1"/>
          <w:sz w:val="24"/>
          <w:szCs w:val="24"/>
        </w:rPr>
        <w:t>平面布置图，绘出现</w:t>
      </w:r>
      <w:r>
        <w:rPr>
          <w:rFonts w:ascii="宋体" w:hAnsi="宋体" w:eastAsia="宋体" w:cs="宋体"/>
          <w:spacing w:val="-1"/>
          <w:sz w:val="24"/>
          <w:szCs w:val="24"/>
        </w:rPr>
        <w:t>场临时设施布置图表并附文字说明，说明临时设施、加工车间、</w:t>
      </w:r>
      <w:r>
        <w:rPr>
          <w:rFonts w:ascii="宋体" w:hAnsi="宋体" w:eastAsia="宋体" w:cs="宋体"/>
          <w:spacing w:val="-2"/>
          <w:sz w:val="24"/>
          <w:szCs w:val="24"/>
        </w:rPr>
        <w:t>现场办公、设备及仓</w:t>
      </w:r>
      <w:r>
        <w:rPr>
          <w:rFonts w:ascii="宋体" w:hAnsi="宋体" w:eastAsia="宋体" w:cs="宋体"/>
          <w:spacing w:val="-1"/>
          <w:sz w:val="24"/>
          <w:szCs w:val="24"/>
        </w:rPr>
        <w:t>储、供电、供水、卫生、生活、道路、消防等设施的情况和布置</w:t>
      </w:r>
      <w:r>
        <w:rPr>
          <w:rFonts w:ascii="宋体" w:hAnsi="宋体" w:eastAsia="宋体" w:cs="宋体"/>
          <w:spacing w:val="9"/>
          <w:sz w:val="24"/>
          <w:szCs w:val="24"/>
        </w:rPr>
        <w:t>）；</w:t>
      </w:r>
    </w:p>
    <w:p w14:paraId="0F130E28">
      <w:pPr>
        <w:spacing w:before="155" w:line="219" w:lineRule="auto"/>
        <w:ind w:left="501"/>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9</w:t>
      </w:r>
      <w:r>
        <w:rPr>
          <w:rFonts w:ascii="宋体" w:hAnsi="宋体" w:eastAsia="宋体" w:cs="宋体"/>
          <w:spacing w:val="-3"/>
          <w:sz w:val="24"/>
          <w:szCs w:val="24"/>
        </w:rPr>
        <w:t>）项目管理机构。</w:t>
      </w:r>
    </w:p>
    <w:p w14:paraId="1D3B1D71">
      <w:pPr>
        <w:spacing w:before="154" w:line="280" w:lineRule="auto"/>
        <w:ind w:left="9" w:right="211" w:firstLine="49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10</w:t>
      </w:r>
      <w:r>
        <w:rPr>
          <w:rFonts w:ascii="宋体" w:hAnsi="宋体" w:eastAsia="宋体" w:cs="宋体"/>
          <w:spacing w:val="-2"/>
          <w:sz w:val="24"/>
          <w:szCs w:val="24"/>
        </w:rPr>
        <w:t>）投标人认为有必要补充的其他内容（例如对总包管理的认识以及对专业分</w:t>
      </w:r>
      <w:r>
        <w:rPr>
          <w:rFonts w:ascii="宋体" w:hAnsi="宋体" w:eastAsia="宋体" w:cs="宋体"/>
          <w:spacing w:val="-1"/>
          <w:sz w:val="24"/>
          <w:szCs w:val="24"/>
        </w:rPr>
        <w:t>包工程的管理、协调、配合、服务方案）。</w:t>
      </w:r>
    </w:p>
    <w:p w14:paraId="0AA68957">
      <w:pPr>
        <w:spacing w:before="152" w:line="279" w:lineRule="auto"/>
        <w:ind w:left="13" w:right="196" w:firstLine="482"/>
        <w:rPr>
          <w:rFonts w:ascii="宋体" w:hAnsi="宋体" w:eastAsia="宋体" w:cs="宋体"/>
          <w:sz w:val="24"/>
          <w:szCs w:val="24"/>
        </w:rPr>
      </w:pPr>
      <w:r>
        <w:rPr>
          <w:rFonts w:ascii="Times New Roman" w:hAnsi="Times New Roman" w:eastAsia="Times New Roman" w:cs="Times New Roman"/>
          <w:b/>
          <w:bCs/>
          <w:spacing w:val="-2"/>
          <w:sz w:val="24"/>
          <w:szCs w:val="24"/>
        </w:rPr>
        <w:t>10.4.3</w:t>
      </w:r>
      <w:r>
        <w:rPr>
          <w:rFonts w:ascii="宋体" w:hAnsi="宋体" w:eastAsia="宋体" w:cs="宋体"/>
          <w:spacing w:val="-2"/>
          <w:sz w:val="24"/>
          <w:szCs w:val="24"/>
        </w:rPr>
        <w:t>本节第</w:t>
      </w:r>
      <w:r>
        <w:rPr>
          <w:rFonts w:ascii="Times New Roman" w:hAnsi="Times New Roman" w:eastAsia="Times New Roman" w:cs="Times New Roman"/>
          <w:b/>
          <w:bCs/>
          <w:spacing w:val="-2"/>
          <w:sz w:val="24"/>
          <w:szCs w:val="24"/>
        </w:rPr>
        <w:t>10.4.2</w:t>
      </w:r>
      <w:r>
        <w:rPr>
          <w:rFonts w:ascii="宋体" w:hAnsi="宋体" w:eastAsia="宋体" w:cs="宋体"/>
          <w:spacing w:val="-2"/>
          <w:sz w:val="24"/>
          <w:szCs w:val="24"/>
        </w:rPr>
        <w:t>目中所列出</w:t>
      </w:r>
      <w:r>
        <w:rPr>
          <w:rFonts w:ascii="宋体" w:hAnsi="宋体" w:eastAsia="宋体" w:cs="宋体"/>
          <w:spacing w:val="-3"/>
          <w:sz w:val="24"/>
          <w:szCs w:val="24"/>
        </w:rPr>
        <w:t>的施工组织设计组成内容中，第（</w:t>
      </w:r>
      <w:r>
        <w:rPr>
          <w:rFonts w:ascii="Times New Roman" w:hAnsi="Times New Roman" w:eastAsia="Times New Roman" w:cs="Times New Roman"/>
          <w:spacing w:val="-3"/>
          <w:sz w:val="24"/>
          <w:szCs w:val="24"/>
        </w:rPr>
        <w:t>1</w:t>
      </w:r>
      <w:r>
        <w:rPr>
          <w:rFonts w:ascii="宋体" w:hAnsi="宋体" w:eastAsia="宋体" w:cs="宋体"/>
          <w:spacing w:val="-3"/>
          <w:sz w:val="24"/>
          <w:szCs w:val="24"/>
        </w:rPr>
        <w:t>）至第（</w:t>
      </w:r>
      <w:r>
        <w:rPr>
          <w:rFonts w:ascii="Times New Roman" w:hAnsi="Times New Roman" w:eastAsia="Times New Roman" w:cs="Times New Roman"/>
          <w:spacing w:val="-3"/>
          <w:sz w:val="24"/>
          <w:szCs w:val="24"/>
        </w:rPr>
        <w:t>9</w:t>
      </w:r>
      <w:r>
        <w:rPr>
          <w:rFonts w:ascii="宋体" w:hAnsi="宋体" w:eastAsia="宋体" w:cs="宋体"/>
          <w:spacing w:val="-3"/>
          <w:sz w:val="24"/>
          <w:szCs w:val="24"/>
        </w:rPr>
        <w:t>）</w:t>
      </w:r>
      <w:r>
        <w:rPr>
          <w:rFonts w:ascii="宋体" w:hAnsi="宋体" w:eastAsia="宋体" w:cs="宋体"/>
          <w:spacing w:val="-2"/>
          <w:sz w:val="24"/>
          <w:szCs w:val="24"/>
        </w:rPr>
        <w:t>项所有投标人均应提供。</w:t>
      </w:r>
    </w:p>
    <w:p w14:paraId="520FC498">
      <w:pPr>
        <w:spacing w:before="157" w:line="279" w:lineRule="auto"/>
        <w:ind w:left="15" w:right="211" w:firstLine="480"/>
        <w:rPr>
          <w:rFonts w:ascii="宋体" w:hAnsi="宋体" w:eastAsia="宋体" w:cs="宋体"/>
          <w:spacing w:val="-1"/>
          <w:sz w:val="24"/>
          <w:szCs w:val="24"/>
        </w:rPr>
      </w:pPr>
      <w:r>
        <w:rPr>
          <w:rFonts w:ascii="Times New Roman" w:hAnsi="Times New Roman" w:eastAsia="Times New Roman" w:cs="Times New Roman"/>
          <w:b/>
          <w:bCs/>
          <w:spacing w:val="-5"/>
          <w:sz w:val="24"/>
          <w:szCs w:val="24"/>
        </w:rPr>
        <w:t>10.4.4</w:t>
      </w:r>
      <w:r>
        <w:rPr>
          <w:rFonts w:ascii="宋体" w:hAnsi="宋体" w:eastAsia="宋体" w:cs="宋体"/>
          <w:spacing w:val="-5"/>
          <w:sz w:val="24"/>
          <w:szCs w:val="24"/>
        </w:rPr>
        <w:t>施工组织设计的组成内容按本节第10.4.2目规定的顺序整理、编排后，逐</w:t>
      </w:r>
      <w:r>
        <w:rPr>
          <w:rFonts w:ascii="宋体" w:hAnsi="宋体" w:eastAsia="宋体" w:cs="宋体"/>
          <w:spacing w:val="-1"/>
          <w:sz w:val="24"/>
          <w:szCs w:val="24"/>
        </w:rPr>
        <w:t>页（页码起始从封面开始）连续标记页码。</w:t>
      </w:r>
    </w:p>
    <w:p w14:paraId="3E260AB9">
      <w:pPr>
        <w:pStyle w:val="3"/>
      </w:pPr>
      <w:r>
        <w:rPr>
          <w:rFonts w:ascii="Times New Roman" w:hAnsi="Times New Roman" w:eastAsia="Times New Roman" w:cs="Times New Roman"/>
          <w:b/>
          <w:bCs/>
          <w:spacing w:val="-1"/>
          <w:sz w:val="24"/>
          <w:szCs w:val="24"/>
        </w:rPr>
        <w:t>10.4.5</w:t>
      </w:r>
      <w:r>
        <w:rPr>
          <w:rFonts w:ascii="宋体" w:hAnsi="宋体" w:eastAsia="宋体" w:cs="宋体"/>
          <w:spacing w:val="-1"/>
          <w:sz w:val="24"/>
          <w:szCs w:val="24"/>
        </w:rPr>
        <w:t>施工组织设计的正文不得超过</w:t>
      </w:r>
      <w:r>
        <w:rPr>
          <w:rFonts w:hint="eastAsia" w:ascii="宋体" w:hAnsi="宋体" w:eastAsia="宋体" w:cs="宋体"/>
          <w:spacing w:val="-1"/>
          <w:sz w:val="24"/>
          <w:szCs w:val="24"/>
          <w:u w:val="single"/>
          <w:lang w:eastAsia="zh-CN"/>
        </w:rPr>
        <w:t>200</w:t>
      </w:r>
      <w:r>
        <w:rPr>
          <w:rFonts w:ascii="宋体" w:hAnsi="宋体" w:eastAsia="宋体" w:cs="宋体"/>
          <w:spacing w:val="-1"/>
          <w:sz w:val="24"/>
          <w:szCs w:val="24"/>
        </w:rPr>
        <w:t>页</w:t>
      </w:r>
      <w:r>
        <w:rPr>
          <w:rFonts w:hint="eastAsia" w:ascii="宋体" w:hAnsi="宋体" w:eastAsia="宋体" w:cs="宋体"/>
          <w:spacing w:val="-1"/>
          <w:sz w:val="24"/>
          <w:szCs w:val="24"/>
          <w:lang w:eastAsia="zh-CN"/>
        </w:rPr>
        <w:t>。</w:t>
      </w:r>
    </w:p>
    <w:p w14:paraId="52D88766">
      <w:pPr>
        <w:pStyle w:val="5"/>
        <w:spacing w:line="241" w:lineRule="auto"/>
      </w:pPr>
      <w:bookmarkStart w:id="42" w:name="bookmark121"/>
      <w:bookmarkEnd w:id="42"/>
    </w:p>
    <w:p w14:paraId="6DFEAC09">
      <w:pPr>
        <w:spacing w:before="78" w:line="221" w:lineRule="auto"/>
        <w:ind w:left="496"/>
        <w:outlineLvl w:val="2"/>
        <w:rPr>
          <w:rFonts w:ascii="宋体" w:hAnsi="宋体" w:eastAsia="宋体" w:cs="宋体"/>
          <w:sz w:val="24"/>
          <w:szCs w:val="24"/>
        </w:rPr>
      </w:pPr>
      <w:bookmarkStart w:id="43" w:name="_Toc29307"/>
      <w:r>
        <w:rPr>
          <w:rFonts w:ascii="Times New Roman" w:hAnsi="Times New Roman" w:eastAsia="Times New Roman" w:cs="Times New Roman"/>
          <w:b/>
          <w:bCs/>
          <w:spacing w:val="-9"/>
          <w:sz w:val="24"/>
          <w:szCs w:val="24"/>
        </w:rPr>
        <w:t>11.</w:t>
      </w:r>
      <w:r>
        <w:rPr>
          <w:rFonts w:ascii="宋体" w:hAnsi="宋体" w:eastAsia="宋体" w:cs="宋体"/>
          <w:spacing w:val="-9"/>
          <w:sz w:val="24"/>
          <w:szCs w:val="24"/>
        </w:rPr>
        <w:t>电子投标：</w:t>
      </w:r>
      <w:bookmarkEnd w:id="43"/>
    </w:p>
    <w:p w14:paraId="1E2DD7D1">
      <w:pPr>
        <w:spacing w:before="112" w:line="360" w:lineRule="auto"/>
        <w:ind w:left="10" w:firstLine="485"/>
        <w:rPr>
          <w:rFonts w:ascii="宋体" w:hAnsi="宋体" w:eastAsia="宋体" w:cs="宋体"/>
          <w:sz w:val="24"/>
          <w:szCs w:val="24"/>
        </w:rPr>
      </w:pPr>
      <w:r>
        <w:rPr>
          <w:rFonts w:ascii="Times New Roman" w:hAnsi="Times New Roman" w:eastAsia="Times New Roman" w:cs="Times New Roman"/>
          <w:b/>
          <w:bCs/>
          <w:spacing w:val="-3"/>
          <w:sz w:val="24"/>
          <w:szCs w:val="24"/>
        </w:rPr>
        <w:t>11.1</w:t>
      </w:r>
      <w:r>
        <w:rPr>
          <w:rFonts w:ascii="宋体" w:hAnsi="宋体" w:eastAsia="宋体" w:cs="宋体"/>
          <w:spacing w:val="-3"/>
          <w:sz w:val="24"/>
          <w:szCs w:val="24"/>
        </w:rPr>
        <w:t>在建设工程交易系统上传加盖了电子印章的投标文件、录入相关信息及标书</w:t>
      </w:r>
      <w:r>
        <w:rPr>
          <w:rFonts w:ascii="宋体" w:hAnsi="宋体" w:eastAsia="宋体" w:cs="宋体"/>
          <w:spacing w:val="2"/>
          <w:sz w:val="24"/>
          <w:szCs w:val="24"/>
        </w:rPr>
        <w:t>页码信息</w:t>
      </w:r>
      <w:r>
        <w:rPr>
          <w:rFonts w:ascii="宋体" w:hAnsi="宋体" w:eastAsia="宋体" w:cs="宋体"/>
          <w:spacing w:val="-25"/>
          <w:sz w:val="24"/>
          <w:szCs w:val="24"/>
        </w:rPr>
        <w:t>，（</w:t>
      </w:r>
      <w:r>
        <w:rPr>
          <w:rFonts w:ascii="宋体" w:hAnsi="宋体" w:eastAsia="宋体" w:cs="宋体"/>
          <w:spacing w:val="2"/>
          <w:sz w:val="24"/>
          <w:szCs w:val="24"/>
        </w:rPr>
        <w:t>页码起始从封面开始）并提交投标标书。提交标书为已加密投标文件。</w:t>
      </w:r>
      <w:r>
        <w:rPr>
          <w:rFonts w:ascii="宋体" w:hAnsi="宋体" w:eastAsia="宋体" w:cs="宋体"/>
          <w:spacing w:val="-2"/>
          <w:sz w:val="24"/>
          <w:szCs w:val="24"/>
        </w:rPr>
        <w:t>具体操作参照《韶关市公共资源建设工程交易系统-投标人操</w:t>
      </w:r>
      <w:r>
        <w:rPr>
          <w:rFonts w:ascii="宋体" w:hAnsi="宋体" w:eastAsia="宋体" w:cs="宋体"/>
          <w:spacing w:val="-3"/>
          <w:sz w:val="24"/>
          <w:szCs w:val="24"/>
        </w:rPr>
        <w:t>作指南（电子评标）》。</w:t>
      </w:r>
      <w:r>
        <w:rPr>
          <w:rFonts w:ascii="宋体" w:hAnsi="宋体" w:eastAsia="宋体" w:cs="宋体"/>
          <w:spacing w:val="-1"/>
          <w:sz w:val="24"/>
          <w:szCs w:val="24"/>
        </w:rPr>
        <w:t>本项目评标采用全流程电子化进行招标投标（投标人应根据</w:t>
      </w:r>
      <w:r>
        <w:rPr>
          <w:rFonts w:ascii="宋体" w:hAnsi="宋体" w:eastAsia="宋体" w:cs="宋体"/>
          <w:spacing w:val="-2"/>
          <w:sz w:val="24"/>
          <w:szCs w:val="24"/>
        </w:rPr>
        <w:t>韶关市公共资源建设工程</w:t>
      </w:r>
      <w:r>
        <w:rPr>
          <w:rFonts w:ascii="宋体" w:hAnsi="宋体" w:eastAsia="宋体" w:cs="宋体"/>
          <w:spacing w:val="-1"/>
          <w:sz w:val="24"/>
          <w:szCs w:val="24"/>
        </w:rPr>
        <w:t>交易系统进行编辑投标相关内容、按招标文件电子投标要求</w:t>
      </w:r>
      <w:r>
        <w:rPr>
          <w:rFonts w:ascii="宋体" w:hAnsi="宋体" w:eastAsia="宋体" w:cs="宋体"/>
          <w:spacing w:val="-2"/>
          <w:sz w:val="24"/>
          <w:szCs w:val="24"/>
        </w:rPr>
        <w:t>上传已加盖电子印章投标</w:t>
      </w:r>
      <w:r>
        <w:rPr>
          <w:rFonts w:ascii="宋体" w:hAnsi="宋体" w:eastAsia="宋体" w:cs="宋体"/>
          <w:spacing w:val="-1"/>
          <w:sz w:val="24"/>
          <w:szCs w:val="24"/>
        </w:rPr>
        <w:t>文件，否则将自行承担不利后果）。投标文件完成上传后，投标人应</w:t>
      </w:r>
      <w:r>
        <w:rPr>
          <w:rFonts w:ascii="宋体" w:hAnsi="宋体" w:eastAsia="宋体" w:cs="宋体"/>
          <w:spacing w:val="-2"/>
          <w:sz w:val="24"/>
          <w:szCs w:val="24"/>
        </w:rPr>
        <w:t>使用CA数字证</w:t>
      </w:r>
      <w:r>
        <w:rPr>
          <w:rFonts w:ascii="宋体" w:hAnsi="宋体" w:eastAsia="宋体" w:cs="宋体"/>
          <w:spacing w:val="-1"/>
          <w:sz w:val="24"/>
          <w:szCs w:val="24"/>
        </w:rPr>
        <w:t>书对投标文件进行文件加密，形成加密的投标文件并提交标书。</w:t>
      </w:r>
    </w:p>
    <w:p w14:paraId="7CF95F08">
      <w:pPr>
        <w:spacing w:before="115" w:line="360" w:lineRule="auto"/>
        <w:ind w:left="10" w:right="81" w:firstLine="485"/>
        <w:rPr>
          <w:rFonts w:ascii="宋体" w:hAnsi="宋体" w:eastAsia="宋体" w:cs="宋体"/>
          <w:color w:val="auto"/>
          <w:sz w:val="24"/>
          <w:szCs w:val="24"/>
        </w:rPr>
      </w:pPr>
      <w:r>
        <w:rPr>
          <w:rFonts w:ascii="Times New Roman" w:hAnsi="Times New Roman" w:eastAsia="Times New Roman" w:cs="Times New Roman"/>
          <w:b/>
          <w:bCs/>
          <w:spacing w:val="-4"/>
          <w:sz w:val="24"/>
          <w:szCs w:val="24"/>
        </w:rPr>
        <w:t>11.2</w:t>
      </w:r>
      <w:r>
        <w:rPr>
          <w:rFonts w:ascii="宋体" w:hAnsi="宋体" w:eastAsia="宋体" w:cs="宋体"/>
          <w:spacing w:val="-4"/>
          <w:sz w:val="24"/>
          <w:szCs w:val="24"/>
        </w:rPr>
        <w:t>电子投标文件的修改、撤回：在提交投标文件截止时间前，投标人可</w:t>
      </w:r>
      <w:r>
        <w:rPr>
          <w:rFonts w:ascii="宋体" w:hAnsi="宋体" w:eastAsia="宋体" w:cs="宋体"/>
          <w:spacing w:val="-5"/>
          <w:sz w:val="24"/>
          <w:szCs w:val="24"/>
        </w:rPr>
        <w:t>以修改</w:t>
      </w:r>
      <w:r>
        <w:rPr>
          <w:rFonts w:ascii="宋体" w:hAnsi="宋体" w:eastAsia="宋体" w:cs="宋体"/>
          <w:spacing w:val="-1"/>
          <w:sz w:val="24"/>
          <w:szCs w:val="24"/>
        </w:rPr>
        <w:t>或撤回未解密的电子投标文件，并于提交投标文件截止时间</w:t>
      </w:r>
      <w:r>
        <w:rPr>
          <w:rFonts w:ascii="宋体" w:hAnsi="宋体" w:eastAsia="宋体" w:cs="宋体"/>
          <w:spacing w:val="-2"/>
          <w:sz w:val="24"/>
          <w:szCs w:val="24"/>
        </w:rPr>
        <w:t>前将重新上传修改后的电</w:t>
      </w:r>
      <w:r>
        <w:rPr>
          <w:rFonts w:ascii="宋体" w:hAnsi="宋体" w:eastAsia="宋体" w:cs="宋体"/>
          <w:spacing w:val="-1"/>
          <w:sz w:val="24"/>
          <w:szCs w:val="24"/>
        </w:rPr>
        <w:t>子投标文件至系统，到达投标文件提交截止时间后投标人不</w:t>
      </w:r>
      <w:r>
        <w:rPr>
          <w:rFonts w:ascii="宋体" w:hAnsi="宋体" w:eastAsia="宋体" w:cs="宋体"/>
          <w:spacing w:val="-2"/>
          <w:sz w:val="24"/>
          <w:szCs w:val="24"/>
        </w:rPr>
        <w:t>得撤回、补充、修改和更</w:t>
      </w:r>
      <w:r>
        <w:rPr>
          <w:rFonts w:ascii="宋体" w:hAnsi="宋体" w:eastAsia="宋体" w:cs="宋体"/>
          <w:color w:val="auto"/>
          <w:spacing w:val="-2"/>
          <w:sz w:val="24"/>
          <w:szCs w:val="24"/>
        </w:rPr>
        <w:t>换投标文件。</w:t>
      </w:r>
    </w:p>
    <w:p w14:paraId="674A6FE0">
      <w:pPr>
        <w:pStyle w:val="5"/>
        <w:spacing w:line="252" w:lineRule="auto"/>
        <w:rPr>
          <w:color w:val="auto"/>
        </w:rPr>
      </w:pPr>
    </w:p>
    <w:p w14:paraId="5BC6B7A4">
      <w:pPr>
        <w:numPr>
          <w:ilvl w:val="0"/>
          <w:numId w:val="1"/>
        </w:numPr>
        <w:spacing w:before="78" w:line="220" w:lineRule="auto"/>
        <w:ind w:left="496"/>
        <w:outlineLvl w:val="2"/>
        <w:rPr>
          <w:rFonts w:ascii="宋体" w:hAnsi="宋体" w:eastAsia="宋体" w:cs="宋体"/>
          <w:b/>
          <w:bCs/>
          <w:color w:val="auto"/>
          <w:spacing w:val="-4"/>
          <w:sz w:val="24"/>
          <w:szCs w:val="24"/>
        </w:rPr>
      </w:pPr>
      <w:bookmarkStart w:id="44" w:name="_Toc15963"/>
      <w:r>
        <w:rPr>
          <w:rFonts w:ascii="宋体" w:hAnsi="宋体" w:eastAsia="宋体" w:cs="宋体"/>
          <w:b/>
          <w:bCs/>
          <w:color w:val="auto"/>
          <w:spacing w:val="-4"/>
          <w:sz w:val="24"/>
          <w:szCs w:val="24"/>
        </w:rPr>
        <w:t>电子投标及投标解密失败及突发情况的补救方案</w:t>
      </w:r>
      <w:bookmarkEnd w:id="44"/>
    </w:p>
    <w:p w14:paraId="35BFC7B4">
      <w:pPr>
        <w:spacing w:before="78" w:line="360" w:lineRule="auto"/>
        <w:ind w:firstLine="476" w:firstLineChars="200"/>
        <w:rPr>
          <w:rFonts w:ascii="宋体" w:hAnsi="宋体" w:eastAsia="宋体" w:cs="宋体"/>
          <w:color w:val="auto"/>
          <w:sz w:val="24"/>
          <w:szCs w:val="24"/>
        </w:rPr>
      </w:pPr>
      <w:r>
        <w:rPr>
          <w:rFonts w:ascii="Times New Roman" w:hAnsi="Times New Roman" w:eastAsia="Times New Roman" w:cs="Times New Roman"/>
          <w:b/>
          <w:bCs/>
          <w:color w:val="auto"/>
          <w:spacing w:val="-1"/>
          <w:sz w:val="24"/>
          <w:szCs w:val="24"/>
        </w:rPr>
        <w:t>12.1</w:t>
      </w:r>
      <w:r>
        <w:rPr>
          <w:rFonts w:ascii="宋体" w:hAnsi="宋体" w:eastAsia="宋体" w:cs="宋体"/>
          <w:color w:val="auto"/>
          <w:spacing w:val="-1"/>
          <w:sz w:val="24"/>
          <w:szCs w:val="24"/>
        </w:rPr>
        <w:t>按照交易平台关于全流程电子化项目的相</w:t>
      </w:r>
      <w:r>
        <w:rPr>
          <w:rFonts w:ascii="宋体" w:hAnsi="宋体" w:eastAsia="宋体" w:cs="宋体"/>
          <w:color w:val="auto"/>
          <w:spacing w:val="-2"/>
          <w:sz w:val="24"/>
          <w:szCs w:val="24"/>
        </w:rPr>
        <w:t>关指南进行操作。详见：全国公共</w:t>
      </w:r>
      <w:r>
        <w:rPr>
          <w:rFonts w:ascii="宋体" w:hAnsi="宋体" w:eastAsia="宋体" w:cs="宋体"/>
          <w:color w:val="auto"/>
          <w:spacing w:val="-1"/>
          <w:sz w:val="24"/>
          <w:szCs w:val="24"/>
        </w:rPr>
        <w:t>资源交易平台（广东省·韶关市</w:t>
      </w:r>
      <w:r>
        <w:rPr>
          <w:rFonts w:ascii="宋体" w:hAnsi="宋体" w:eastAsia="宋体" w:cs="宋体"/>
          <w:color w:val="auto"/>
          <w:spacing w:val="-26"/>
          <w:sz w:val="24"/>
          <w:szCs w:val="24"/>
        </w:rPr>
        <w:t>）（</w:t>
      </w:r>
      <w:r>
        <w:rPr>
          <w:rFonts w:ascii="宋体" w:hAnsi="宋体" w:eastAsia="宋体" w:cs="宋体"/>
          <w:color w:val="auto"/>
          <w:spacing w:val="-1"/>
          <w:sz w:val="24"/>
          <w:szCs w:val="24"/>
        </w:rPr>
        <w:t>https://y</w:t>
      </w:r>
      <w:r>
        <w:rPr>
          <w:rFonts w:ascii="宋体" w:hAnsi="宋体" w:eastAsia="宋体" w:cs="宋体"/>
          <w:color w:val="auto"/>
          <w:spacing w:val="-2"/>
          <w:sz w:val="24"/>
          <w:szCs w:val="24"/>
        </w:rPr>
        <w:t>gp.gdzwfw.gov.cn/ggzy-portal/#/44</w:t>
      </w:r>
      <w:r>
        <w:rPr>
          <w:rFonts w:ascii="宋体" w:hAnsi="宋体" w:eastAsia="宋体" w:cs="宋体"/>
          <w:color w:val="auto"/>
          <w:sz w:val="24"/>
          <w:szCs w:val="24"/>
        </w:rPr>
        <w:t xml:space="preserve"> </w:t>
      </w:r>
      <w:r>
        <w:rPr>
          <w:rFonts w:ascii="宋体" w:hAnsi="宋体" w:eastAsia="宋体" w:cs="宋体"/>
          <w:color w:val="auto"/>
          <w:spacing w:val="-1"/>
          <w:sz w:val="24"/>
          <w:szCs w:val="24"/>
        </w:rPr>
        <w:t>0200/index）服务指南栏目发布的最新版操作指引。</w:t>
      </w:r>
    </w:p>
    <w:p w14:paraId="3BE51889">
      <w:pPr>
        <w:spacing w:before="113" w:line="360" w:lineRule="auto"/>
        <w:ind w:left="496"/>
        <w:rPr>
          <w:rFonts w:ascii="宋体" w:hAnsi="宋体" w:eastAsia="宋体" w:cs="宋体"/>
          <w:sz w:val="24"/>
          <w:szCs w:val="24"/>
        </w:rPr>
      </w:pPr>
      <w:r>
        <w:rPr>
          <w:rFonts w:ascii="Times New Roman" w:hAnsi="Times New Roman" w:eastAsia="Times New Roman" w:cs="Times New Roman"/>
          <w:b/>
          <w:bCs/>
          <w:spacing w:val="-2"/>
          <w:sz w:val="24"/>
          <w:szCs w:val="24"/>
        </w:rPr>
        <w:t>12.2</w:t>
      </w:r>
      <w:r>
        <w:rPr>
          <w:rFonts w:ascii="宋体" w:hAnsi="宋体" w:eastAsia="宋体" w:cs="宋体"/>
          <w:spacing w:val="-2"/>
          <w:sz w:val="24"/>
          <w:szCs w:val="24"/>
        </w:rPr>
        <w:t>补救方案：</w:t>
      </w:r>
    </w:p>
    <w:p w14:paraId="00E56AA5">
      <w:pPr>
        <w:spacing w:before="115" w:line="360" w:lineRule="auto"/>
        <w:ind w:left="496"/>
        <w:rPr>
          <w:rFonts w:ascii="宋体" w:hAnsi="宋体" w:eastAsia="宋体" w:cs="宋体"/>
          <w:sz w:val="24"/>
          <w:szCs w:val="24"/>
        </w:rPr>
      </w:pPr>
      <w:r>
        <w:rPr>
          <w:rFonts w:ascii="Times New Roman" w:hAnsi="Times New Roman" w:eastAsia="Times New Roman" w:cs="Times New Roman"/>
          <w:b/>
          <w:bCs/>
          <w:spacing w:val="-1"/>
          <w:sz w:val="24"/>
          <w:szCs w:val="24"/>
        </w:rPr>
        <w:t>12.2.1</w:t>
      </w:r>
      <w:r>
        <w:rPr>
          <w:rFonts w:ascii="宋体" w:hAnsi="宋体" w:eastAsia="宋体" w:cs="宋体"/>
          <w:spacing w:val="-1"/>
          <w:sz w:val="24"/>
          <w:szCs w:val="24"/>
        </w:rPr>
        <w:t>投标文件解密失败的补救方案：</w:t>
      </w:r>
    </w:p>
    <w:p w14:paraId="03A01456">
      <w:pPr>
        <w:spacing w:before="115" w:line="360" w:lineRule="auto"/>
        <w:ind w:left="8" w:right="81" w:firstLine="480"/>
        <w:rPr>
          <w:rFonts w:ascii="宋体" w:hAnsi="宋体" w:eastAsia="宋体" w:cs="宋体"/>
          <w:sz w:val="24"/>
          <w:szCs w:val="24"/>
        </w:rPr>
      </w:pPr>
      <w:r>
        <w:rPr>
          <w:rFonts w:ascii="宋体" w:hAnsi="宋体" w:eastAsia="宋体" w:cs="宋体"/>
          <w:spacing w:val="2"/>
          <w:sz w:val="24"/>
          <w:szCs w:val="24"/>
        </w:rPr>
        <w:t>在规定时间内，因投标人之外原因(指网络瘫痪、服务器损坏、交易系统故障短期无法恢复)等导致的电子投标文件解密失败，在开标现场解密环节由代理授权后，</w:t>
      </w:r>
      <w:r>
        <w:rPr>
          <w:rFonts w:ascii="宋体" w:hAnsi="宋体" w:eastAsia="宋体" w:cs="宋体"/>
          <w:spacing w:val="1"/>
          <w:sz w:val="24"/>
          <w:szCs w:val="24"/>
        </w:rPr>
        <w:t>解密失败投标人可在建设工程交易系统在规定时间（代理机构授权后30分钟内）内</w:t>
      </w:r>
      <w:bookmarkStart w:id="45" w:name="bookmark122"/>
      <w:bookmarkEnd w:id="45"/>
      <w:r>
        <w:rPr>
          <w:rFonts w:ascii="宋体" w:hAnsi="宋体" w:eastAsia="宋体" w:cs="宋体"/>
          <w:spacing w:val="-1"/>
          <w:sz w:val="24"/>
          <w:szCs w:val="24"/>
        </w:rPr>
        <w:t>重新提交投标文件继续开标程序。</w:t>
      </w:r>
    </w:p>
    <w:p w14:paraId="552D23B4">
      <w:pPr>
        <w:spacing w:before="114" w:line="360" w:lineRule="auto"/>
        <w:ind w:left="496"/>
        <w:rPr>
          <w:rFonts w:ascii="宋体" w:hAnsi="宋体" w:eastAsia="宋体" w:cs="宋体"/>
          <w:sz w:val="24"/>
          <w:szCs w:val="24"/>
        </w:rPr>
      </w:pPr>
      <w:r>
        <w:rPr>
          <w:rFonts w:ascii="Times New Roman" w:hAnsi="Times New Roman" w:eastAsia="Times New Roman" w:cs="Times New Roman"/>
          <w:b/>
          <w:bCs/>
          <w:spacing w:val="-1"/>
          <w:sz w:val="24"/>
          <w:szCs w:val="24"/>
        </w:rPr>
        <w:t>12.2.2</w:t>
      </w:r>
      <w:r>
        <w:rPr>
          <w:rFonts w:ascii="宋体" w:hAnsi="宋体" w:eastAsia="宋体" w:cs="宋体"/>
          <w:spacing w:val="-1"/>
          <w:sz w:val="24"/>
          <w:szCs w:val="24"/>
        </w:rPr>
        <w:t>评标时突发情况的补救方案</w:t>
      </w:r>
    </w:p>
    <w:p w14:paraId="5FBF2A28">
      <w:pPr>
        <w:spacing w:before="114" w:line="360" w:lineRule="auto"/>
        <w:ind w:left="10" w:right="81" w:firstLine="478"/>
        <w:rPr>
          <w:rFonts w:ascii="宋体" w:hAnsi="宋体" w:eastAsia="宋体" w:cs="宋体"/>
          <w:sz w:val="24"/>
          <w:szCs w:val="24"/>
        </w:rPr>
      </w:pPr>
      <w:r>
        <w:rPr>
          <w:rFonts w:ascii="宋体" w:hAnsi="宋体" w:eastAsia="宋体" w:cs="宋体"/>
          <w:spacing w:val="-1"/>
          <w:sz w:val="24"/>
          <w:szCs w:val="24"/>
        </w:rPr>
        <w:t>在评标过程中，因主场或副场网络故障、电子设备或者</w:t>
      </w:r>
      <w:r>
        <w:rPr>
          <w:rFonts w:ascii="宋体" w:hAnsi="宋体" w:eastAsia="宋体" w:cs="宋体"/>
          <w:spacing w:val="-2"/>
          <w:sz w:val="24"/>
          <w:szCs w:val="24"/>
        </w:rPr>
        <w:t>评标系统故障，以及其他</w:t>
      </w:r>
      <w:r>
        <w:rPr>
          <w:rFonts w:ascii="宋体" w:hAnsi="宋体" w:eastAsia="宋体" w:cs="宋体"/>
          <w:spacing w:val="-3"/>
          <w:sz w:val="24"/>
          <w:szCs w:val="24"/>
        </w:rPr>
        <w:t>原因导致无法继续进行评标时，在4小时以内解除故障的可继续评标，超过4小时无</w:t>
      </w:r>
      <w:r>
        <w:rPr>
          <w:rFonts w:ascii="宋体" w:hAnsi="宋体" w:eastAsia="宋体" w:cs="宋体"/>
          <w:spacing w:val="-1"/>
          <w:sz w:val="24"/>
          <w:szCs w:val="24"/>
        </w:rPr>
        <w:t>法解除故障的，由招标人确定是否进行评标。如延期评标，</w:t>
      </w:r>
      <w:r>
        <w:rPr>
          <w:rFonts w:ascii="宋体" w:hAnsi="宋体" w:eastAsia="宋体" w:cs="宋体"/>
          <w:spacing w:val="-2"/>
          <w:sz w:val="24"/>
          <w:szCs w:val="24"/>
        </w:rPr>
        <w:t>招标人及参与评标活动的</w:t>
      </w:r>
      <w:r>
        <w:rPr>
          <w:rFonts w:ascii="宋体" w:hAnsi="宋体" w:eastAsia="宋体" w:cs="宋体"/>
          <w:spacing w:val="-1"/>
          <w:sz w:val="24"/>
          <w:szCs w:val="24"/>
        </w:rPr>
        <w:t>各方主体及其有关工作人员应当配合主场、副场做好招投标</w:t>
      </w:r>
      <w:r>
        <w:rPr>
          <w:rFonts w:ascii="宋体" w:hAnsi="宋体" w:eastAsia="宋体" w:cs="宋体"/>
          <w:spacing w:val="-2"/>
          <w:sz w:val="24"/>
          <w:szCs w:val="24"/>
        </w:rPr>
        <w:t>资料的封存和保密工作，</w:t>
      </w:r>
      <w:r>
        <w:rPr>
          <w:rFonts w:ascii="宋体" w:hAnsi="宋体" w:eastAsia="宋体" w:cs="宋体"/>
          <w:spacing w:val="-1"/>
          <w:sz w:val="24"/>
          <w:szCs w:val="24"/>
        </w:rPr>
        <w:t>另行组建评标委员会重新评标。原评标委员会成员应当对评</w:t>
      </w:r>
      <w:r>
        <w:rPr>
          <w:rFonts w:ascii="宋体" w:hAnsi="宋体" w:eastAsia="宋体" w:cs="宋体"/>
          <w:spacing w:val="-2"/>
          <w:sz w:val="24"/>
          <w:szCs w:val="24"/>
        </w:rPr>
        <w:t>标情况保密，不得对外透</w:t>
      </w:r>
      <w:r>
        <w:rPr>
          <w:rFonts w:ascii="宋体" w:hAnsi="宋体" w:eastAsia="宋体" w:cs="宋体"/>
          <w:spacing w:val="-1"/>
          <w:sz w:val="24"/>
          <w:szCs w:val="24"/>
        </w:rPr>
        <w:t>露与评标有关的任何信息与情况。</w:t>
      </w:r>
    </w:p>
    <w:p w14:paraId="7106B1BF">
      <w:pPr>
        <w:spacing w:before="69" w:line="324" w:lineRule="auto"/>
        <w:ind w:left="11" w:right="81" w:firstLine="484"/>
        <w:rPr>
          <w:rFonts w:ascii="宋体" w:hAnsi="宋体" w:eastAsia="宋体" w:cs="宋体"/>
          <w:sz w:val="24"/>
          <w:szCs w:val="24"/>
        </w:rPr>
      </w:pPr>
      <w:r>
        <w:rPr>
          <w:rFonts w:ascii="Times New Roman" w:hAnsi="Times New Roman" w:eastAsia="Times New Roman" w:cs="Times New Roman"/>
          <w:b/>
          <w:bCs/>
          <w:spacing w:val="-1"/>
          <w:sz w:val="24"/>
          <w:szCs w:val="24"/>
        </w:rPr>
        <w:t>12.2.3</w:t>
      </w:r>
      <w:r>
        <w:rPr>
          <w:rFonts w:ascii="宋体" w:hAnsi="宋体" w:eastAsia="宋体" w:cs="宋体"/>
          <w:spacing w:val="-1"/>
          <w:sz w:val="24"/>
          <w:szCs w:val="24"/>
        </w:rPr>
        <w:t>除发生上述情况外，开标评标均以投标人（联合体投标的，由联合体牵头人）通过交易平台网上递交的电子投标文件为准。</w:t>
      </w:r>
    </w:p>
    <w:p w14:paraId="3534BF30">
      <w:pPr>
        <w:pStyle w:val="5"/>
        <w:spacing w:line="396" w:lineRule="auto"/>
      </w:pPr>
    </w:p>
    <w:p w14:paraId="70FEB33E">
      <w:pPr>
        <w:spacing w:before="78" w:line="220" w:lineRule="auto"/>
        <w:ind w:left="496"/>
        <w:outlineLvl w:val="2"/>
        <w:rPr>
          <w:rFonts w:ascii="宋体" w:hAnsi="宋体" w:eastAsia="宋体" w:cs="宋体"/>
          <w:sz w:val="24"/>
          <w:szCs w:val="24"/>
        </w:rPr>
      </w:pPr>
      <w:bookmarkStart w:id="46" w:name="_Toc1005"/>
      <w:r>
        <w:rPr>
          <w:rFonts w:ascii="Times New Roman" w:hAnsi="Times New Roman" w:eastAsia="Times New Roman" w:cs="Times New Roman"/>
          <w:b/>
          <w:bCs/>
          <w:spacing w:val="-7"/>
          <w:sz w:val="24"/>
          <w:szCs w:val="24"/>
        </w:rPr>
        <w:t>13</w:t>
      </w:r>
      <w:r>
        <w:rPr>
          <w:rFonts w:ascii="宋体" w:hAnsi="宋体" w:eastAsia="宋体" w:cs="宋体"/>
          <w:b/>
          <w:bCs/>
          <w:spacing w:val="-7"/>
          <w:sz w:val="24"/>
          <w:szCs w:val="24"/>
        </w:rPr>
        <w:t>．投标文件的提交</w:t>
      </w:r>
      <w:bookmarkEnd w:id="46"/>
    </w:p>
    <w:p w14:paraId="673ED49E">
      <w:pPr>
        <w:spacing w:before="123" w:line="278" w:lineRule="auto"/>
        <w:ind w:left="13" w:right="81" w:firstLine="482"/>
        <w:rPr>
          <w:rFonts w:ascii="宋体" w:hAnsi="宋体" w:eastAsia="宋体" w:cs="宋体"/>
          <w:sz w:val="24"/>
          <w:szCs w:val="24"/>
        </w:rPr>
      </w:pPr>
      <w:r>
        <w:rPr>
          <w:rFonts w:ascii="Times New Roman" w:hAnsi="Times New Roman" w:eastAsia="Times New Roman" w:cs="Times New Roman"/>
          <w:b/>
          <w:bCs/>
          <w:spacing w:val="-11"/>
          <w:sz w:val="24"/>
          <w:szCs w:val="24"/>
        </w:rPr>
        <w:t>13.1</w:t>
      </w:r>
      <w:r>
        <w:rPr>
          <w:rFonts w:ascii="宋体" w:hAnsi="宋体" w:eastAsia="宋体" w:cs="宋体"/>
          <w:spacing w:val="-11"/>
          <w:sz w:val="24"/>
          <w:szCs w:val="24"/>
        </w:rPr>
        <w:t>在投标文件提交截止时间前，投标人通过全国公共资源交易平台（</w:t>
      </w:r>
      <w:r>
        <w:rPr>
          <w:rFonts w:ascii="宋体" w:hAnsi="宋体" w:eastAsia="宋体" w:cs="宋体"/>
          <w:spacing w:val="-12"/>
          <w:sz w:val="24"/>
          <w:szCs w:val="24"/>
        </w:rPr>
        <w:t>广东省·韶</w:t>
      </w:r>
      <w:r>
        <w:rPr>
          <w:rFonts w:ascii="宋体" w:hAnsi="宋体" w:eastAsia="宋体" w:cs="宋体"/>
          <w:spacing w:val="-1"/>
          <w:sz w:val="24"/>
          <w:szCs w:val="24"/>
        </w:rPr>
        <w:t>关市）提交已加密投标文件。逾期提交的电子投标文</w:t>
      </w:r>
      <w:r>
        <w:rPr>
          <w:rFonts w:ascii="宋体" w:hAnsi="宋体" w:eastAsia="宋体" w:cs="宋体"/>
          <w:spacing w:val="-2"/>
          <w:sz w:val="24"/>
          <w:szCs w:val="24"/>
        </w:rPr>
        <w:t>件，全国公共资源交易平台（广</w:t>
      </w:r>
      <w:r>
        <w:rPr>
          <w:rFonts w:ascii="宋体" w:hAnsi="宋体" w:eastAsia="宋体" w:cs="宋体"/>
          <w:spacing w:val="-9"/>
          <w:sz w:val="24"/>
          <w:szCs w:val="24"/>
        </w:rPr>
        <w:t>东省·韶关市）将予以拒收。</w:t>
      </w:r>
    </w:p>
    <w:p w14:paraId="51721BCB">
      <w:pPr>
        <w:spacing w:before="115" w:line="219" w:lineRule="auto"/>
        <w:ind w:left="496"/>
        <w:rPr>
          <w:rFonts w:ascii="宋体" w:hAnsi="宋体" w:eastAsia="宋体" w:cs="宋体"/>
          <w:sz w:val="24"/>
          <w:szCs w:val="24"/>
        </w:rPr>
      </w:pPr>
      <w:r>
        <w:rPr>
          <w:rFonts w:ascii="Times New Roman" w:hAnsi="Times New Roman" w:eastAsia="Times New Roman" w:cs="Times New Roman"/>
          <w:b/>
          <w:bCs/>
          <w:spacing w:val="2"/>
          <w:sz w:val="24"/>
          <w:szCs w:val="24"/>
        </w:rPr>
        <w:t>13.2</w:t>
      </w:r>
      <w:r>
        <w:rPr>
          <w:rFonts w:ascii="宋体" w:hAnsi="宋体" w:eastAsia="宋体" w:cs="宋体"/>
          <w:spacing w:val="2"/>
          <w:sz w:val="24"/>
          <w:szCs w:val="24"/>
        </w:rPr>
        <w:t>提交时间和地点：见本章第二节“重要事项时间地点一览表”</w:t>
      </w:r>
    </w:p>
    <w:p w14:paraId="1C508404">
      <w:pPr>
        <w:spacing w:before="113" w:line="279" w:lineRule="auto"/>
        <w:ind w:left="9" w:right="24" w:firstLine="486"/>
        <w:rPr>
          <w:rFonts w:ascii="宋体" w:hAnsi="宋体" w:eastAsia="宋体" w:cs="宋体"/>
          <w:sz w:val="24"/>
          <w:szCs w:val="24"/>
        </w:rPr>
      </w:pPr>
      <w:r>
        <w:rPr>
          <w:rFonts w:ascii="Times New Roman" w:hAnsi="Times New Roman" w:eastAsia="Times New Roman" w:cs="Times New Roman"/>
          <w:b/>
          <w:bCs/>
          <w:spacing w:val="-1"/>
          <w:sz w:val="24"/>
          <w:szCs w:val="24"/>
        </w:rPr>
        <w:t>13.3</w:t>
      </w:r>
      <w:r>
        <w:rPr>
          <w:rFonts w:ascii="宋体" w:hAnsi="宋体" w:eastAsia="宋体" w:cs="宋体"/>
          <w:spacing w:val="-1"/>
          <w:sz w:val="24"/>
          <w:szCs w:val="24"/>
        </w:rPr>
        <w:t>递交时间和地点：投标人如有招标</w:t>
      </w:r>
      <w:r>
        <w:rPr>
          <w:rFonts w:ascii="宋体" w:hAnsi="宋体" w:eastAsia="宋体" w:cs="宋体"/>
          <w:spacing w:val="-2"/>
          <w:sz w:val="24"/>
          <w:szCs w:val="24"/>
        </w:rPr>
        <w:t>文件要求提交的用于评审的证书、证件、证明原件（附一式两份清单</w:t>
      </w:r>
      <w:r>
        <w:rPr>
          <w:rFonts w:ascii="宋体" w:hAnsi="宋体" w:eastAsia="宋体" w:cs="宋体"/>
          <w:spacing w:val="11"/>
          <w:sz w:val="24"/>
          <w:szCs w:val="24"/>
        </w:rPr>
        <w:t>），</w:t>
      </w:r>
      <w:r>
        <w:rPr>
          <w:rFonts w:ascii="宋体" w:hAnsi="宋体" w:eastAsia="宋体" w:cs="宋体"/>
          <w:spacing w:val="-2"/>
          <w:sz w:val="24"/>
          <w:szCs w:val="24"/>
        </w:rPr>
        <w:t>由投标人法定代表人或其委托代理人在指定的时间和</w:t>
      </w:r>
      <w:r>
        <w:rPr>
          <w:rFonts w:ascii="宋体" w:hAnsi="宋体" w:eastAsia="宋体" w:cs="宋体"/>
          <w:spacing w:val="-1"/>
          <w:sz w:val="24"/>
          <w:szCs w:val="24"/>
        </w:rPr>
        <w:t>地点递交（见“重要事项时间地点一览表”</w:t>
      </w:r>
      <w:r>
        <w:rPr>
          <w:rFonts w:ascii="宋体" w:hAnsi="宋体" w:eastAsia="宋体" w:cs="宋体"/>
          <w:spacing w:val="-2"/>
          <w:sz w:val="24"/>
          <w:szCs w:val="24"/>
        </w:rPr>
        <w:t>）。</w:t>
      </w:r>
    </w:p>
    <w:p w14:paraId="150408B0">
      <w:pPr>
        <w:spacing w:before="112" w:line="219" w:lineRule="auto"/>
        <w:ind w:firstLine="476" w:firstLineChars="200"/>
        <w:jc w:val="both"/>
        <w:rPr>
          <w:rFonts w:ascii="宋体" w:hAnsi="宋体" w:eastAsia="宋体" w:cs="宋体"/>
          <w:sz w:val="24"/>
          <w:szCs w:val="24"/>
        </w:rPr>
      </w:pPr>
      <w:r>
        <w:rPr>
          <w:rFonts w:ascii="Times New Roman" w:hAnsi="Times New Roman" w:eastAsia="Times New Roman" w:cs="Times New Roman"/>
          <w:b/>
          <w:bCs/>
          <w:spacing w:val="-1"/>
          <w:sz w:val="24"/>
          <w:szCs w:val="24"/>
        </w:rPr>
        <w:t>13.4</w:t>
      </w:r>
      <w:r>
        <w:rPr>
          <w:rFonts w:ascii="宋体" w:hAnsi="宋体" w:eastAsia="宋体" w:cs="宋体"/>
          <w:spacing w:val="-1"/>
          <w:sz w:val="24"/>
          <w:szCs w:val="24"/>
        </w:rPr>
        <w:t>代理机构对因不可抗力事件造成的投</w:t>
      </w:r>
      <w:r>
        <w:rPr>
          <w:rFonts w:ascii="宋体" w:hAnsi="宋体" w:eastAsia="宋体" w:cs="宋体"/>
          <w:spacing w:val="-2"/>
          <w:sz w:val="24"/>
          <w:szCs w:val="24"/>
        </w:rPr>
        <w:t>标文件的损坏、丢失的，不承担责任。</w:t>
      </w:r>
    </w:p>
    <w:p w14:paraId="5F18572E">
      <w:pPr>
        <w:spacing w:before="116" w:line="220" w:lineRule="auto"/>
        <w:ind w:left="496"/>
        <w:rPr>
          <w:rFonts w:ascii="宋体" w:hAnsi="宋体" w:eastAsia="宋体" w:cs="宋体"/>
          <w:sz w:val="24"/>
          <w:szCs w:val="24"/>
        </w:rPr>
      </w:pPr>
      <w:r>
        <w:rPr>
          <w:rFonts w:ascii="Times New Roman" w:hAnsi="Times New Roman" w:eastAsia="Times New Roman" w:cs="Times New Roman"/>
          <w:b/>
          <w:bCs/>
          <w:spacing w:val="-1"/>
          <w:sz w:val="24"/>
          <w:szCs w:val="24"/>
        </w:rPr>
        <w:t>13.5</w:t>
      </w:r>
      <w:r>
        <w:rPr>
          <w:rFonts w:ascii="宋体" w:hAnsi="宋体" w:eastAsia="宋体" w:cs="宋体"/>
          <w:spacing w:val="-1"/>
          <w:sz w:val="24"/>
          <w:szCs w:val="24"/>
        </w:rPr>
        <w:t>出现下述情形之一，属于未成功提</w:t>
      </w:r>
      <w:r>
        <w:rPr>
          <w:rFonts w:ascii="宋体" w:hAnsi="宋体" w:eastAsia="宋体" w:cs="宋体"/>
          <w:spacing w:val="-2"/>
          <w:sz w:val="24"/>
          <w:szCs w:val="24"/>
        </w:rPr>
        <w:t>交投标文件，按无效投标处理：</w:t>
      </w:r>
    </w:p>
    <w:p w14:paraId="7BDFB743">
      <w:pPr>
        <w:spacing w:before="115" w:line="219" w:lineRule="auto"/>
        <w:ind w:left="74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）至提交投标文件截止时，投标文件未完整上传及提交标书；</w:t>
      </w:r>
    </w:p>
    <w:p w14:paraId="27A30139">
      <w:pPr>
        <w:spacing w:before="114" w:line="220" w:lineRule="auto"/>
        <w:ind w:left="74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）解密失败且在规定时间内未重新提交投标文件的；</w:t>
      </w:r>
    </w:p>
    <w:p w14:paraId="24FA4359">
      <w:pPr>
        <w:spacing w:before="115" w:line="220" w:lineRule="auto"/>
        <w:ind w:left="74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）投标文件损坏或格式不正确的；</w:t>
      </w:r>
    </w:p>
    <w:p w14:paraId="01982461">
      <w:pPr>
        <w:spacing w:before="115" w:line="219" w:lineRule="auto"/>
        <w:ind w:left="496"/>
        <w:rPr>
          <w:rFonts w:ascii="宋体" w:hAnsi="宋体" w:eastAsia="宋体" w:cs="宋体"/>
          <w:sz w:val="24"/>
          <w:szCs w:val="24"/>
        </w:rPr>
      </w:pPr>
      <w:r>
        <w:rPr>
          <w:rFonts w:ascii="Times New Roman" w:hAnsi="Times New Roman" w:eastAsia="Times New Roman" w:cs="Times New Roman"/>
          <w:b/>
          <w:bCs/>
          <w:spacing w:val="-1"/>
          <w:sz w:val="24"/>
          <w:szCs w:val="24"/>
        </w:rPr>
        <w:t>13.6</w:t>
      </w:r>
      <w:r>
        <w:rPr>
          <w:rFonts w:ascii="宋体" w:hAnsi="宋体" w:eastAsia="宋体" w:cs="宋体"/>
          <w:spacing w:val="-1"/>
          <w:sz w:val="24"/>
          <w:szCs w:val="24"/>
        </w:rPr>
        <w:t>联合体投标的，由联合体牵头人按以上要求递交相关资料。</w:t>
      </w:r>
    </w:p>
    <w:p w14:paraId="6A585BD0">
      <w:pPr>
        <w:spacing w:before="113" w:line="279" w:lineRule="auto"/>
        <w:ind w:left="9" w:right="24" w:firstLine="486"/>
        <w:rPr>
          <w:rFonts w:ascii="宋体" w:hAnsi="宋体" w:eastAsia="宋体" w:cs="宋体"/>
          <w:spacing w:val="-2"/>
          <w:sz w:val="24"/>
          <w:szCs w:val="24"/>
        </w:rPr>
      </w:pPr>
      <w:r>
        <w:rPr>
          <w:rFonts w:ascii="Times New Roman" w:hAnsi="Times New Roman" w:eastAsia="Times New Roman" w:cs="Times New Roman"/>
          <w:b/>
          <w:bCs/>
          <w:spacing w:val="-2"/>
          <w:sz w:val="24"/>
          <w:szCs w:val="24"/>
        </w:rPr>
        <w:t>13.7</w:t>
      </w:r>
      <w:r>
        <w:rPr>
          <w:rFonts w:ascii="宋体" w:hAnsi="宋体" w:eastAsia="宋体" w:cs="宋体"/>
          <w:spacing w:val="-2"/>
          <w:sz w:val="24"/>
          <w:szCs w:val="24"/>
        </w:rPr>
        <w:t>招标人或其授权的招标代理机构核对、接收投标人递交的投标相关资料后，</w:t>
      </w:r>
      <w:r>
        <w:rPr>
          <w:rFonts w:ascii="宋体" w:hAnsi="宋体" w:eastAsia="宋体" w:cs="宋体"/>
          <w:spacing w:val="-1"/>
          <w:sz w:val="24"/>
          <w:szCs w:val="24"/>
        </w:rPr>
        <w:t>应向投标人出具标明签收</w:t>
      </w:r>
      <w:r>
        <w:rPr>
          <w:rFonts w:ascii="宋体" w:hAnsi="宋体" w:eastAsia="宋体" w:cs="宋体"/>
          <w:spacing w:val="-2"/>
          <w:sz w:val="24"/>
          <w:szCs w:val="24"/>
        </w:rPr>
        <w:t>人和签收时间的凭证，并妥善保管。</w:t>
      </w:r>
    </w:p>
    <w:p w14:paraId="2E75790D">
      <w:pPr>
        <w:spacing w:before="113" w:line="279" w:lineRule="auto"/>
        <w:ind w:left="9" w:right="24" w:firstLine="486"/>
        <w:rPr>
          <w:rFonts w:ascii="宋体" w:hAnsi="宋体" w:eastAsia="宋体" w:cs="宋体"/>
          <w:sz w:val="24"/>
          <w:szCs w:val="24"/>
        </w:rPr>
      </w:pPr>
      <w:r>
        <w:rPr>
          <w:rFonts w:ascii="Times New Roman" w:hAnsi="Times New Roman" w:eastAsia="Times New Roman" w:cs="Times New Roman"/>
          <w:b/>
          <w:bCs/>
          <w:spacing w:val="-2"/>
          <w:sz w:val="24"/>
          <w:szCs w:val="24"/>
        </w:rPr>
        <w:t>13.8</w:t>
      </w:r>
      <w:r>
        <w:rPr>
          <w:rFonts w:ascii="宋体" w:hAnsi="宋体" w:eastAsia="宋体" w:cs="宋体"/>
          <w:spacing w:val="-2"/>
          <w:sz w:val="24"/>
          <w:szCs w:val="24"/>
        </w:rPr>
        <w:t>本次招标投标有效期为</w:t>
      </w:r>
      <w:r>
        <w:rPr>
          <w:rFonts w:hint="eastAsia" w:ascii="宋体" w:hAnsi="宋体" w:eastAsia="宋体" w:cs="宋体"/>
          <w:spacing w:val="-2"/>
          <w:sz w:val="24"/>
          <w:szCs w:val="24"/>
          <w:lang w:eastAsia="zh-CN"/>
        </w:rPr>
        <w:t>90</w:t>
      </w:r>
      <w:r>
        <w:rPr>
          <w:rFonts w:ascii="宋体" w:hAnsi="宋体" w:eastAsia="宋体" w:cs="宋体"/>
          <w:spacing w:val="-2"/>
          <w:sz w:val="24"/>
          <w:szCs w:val="24"/>
        </w:rPr>
        <w:t>个日历天，投标有效期从提交投标文件的截止之日起计算。在此期间，投标人不得撤销或修改其</w:t>
      </w:r>
      <w:r>
        <w:rPr>
          <w:rFonts w:ascii="宋体" w:hAnsi="宋体" w:eastAsia="宋体" w:cs="宋体"/>
          <w:spacing w:val="-7"/>
          <w:sz w:val="24"/>
          <w:szCs w:val="24"/>
        </w:rPr>
        <w:t>投标文件，否则其投标保证不予退还。</w:t>
      </w:r>
    </w:p>
    <w:p w14:paraId="3DBD6BBC">
      <w:pPr>
        <w:spacing w:before="145" w:line="221" w:lineRule="auto"/>
        <w:ind w:left="496"/>
        <w:outlineLvl w:val="2"/>
        <w:rPr>
          <w:rFonts w:ascii="宋体" w:hAnsi="宋体" w:eastAsia="宋体" w:cs="宋体"/>
          <w:sz w:val="24"/>
          <w:szCs w:val="24"/>
        </w:rPr>
      </w:pPr>
      <w:bookmarkStart w:id="47" w:name="_Toc7252"/>
      <w:r>
        <w:rPr>
          <w:rFonts w:ascii="Times New Roman" w:hAnsi="Times New Roman" w:eastAsia="Times New Roman" w:cs="Times New Roman"/>
          <w:b/>
          <w:bCs/>
          <w:spacing w:val="-11"/>
          <w:sz w:val="24"/>
          <w:szCs w:val="24"/>
        </w:rPr>
        <w:t>14</w:t>
      </w:r>
      <w:r>
        <w:rPr>
          <w:rFonts w:ascii="宋体" w:hAnsi="宋体" w:eastAsia="宋体" w:cs="宋体"/>
          <w:b/>
          <w:bCs/>
          <w:spacing w:val="-11"/>
          <w:sz w:val="24"/>
          <w:szCs w:val="24"/>
        </w:rPr>
        <w:t>．开标</w:t>
      </w:r>
      <w:bookmarkEnd w:id="47"/>
    </w:p>
    <w:p w14:paraId="1A0FD13A">
      <w:pPr>
        <w:spacing w:before="155" w:line="329" w:lineRule="auto"/>
        <w:ind w:left="10" w:right="81" w:firstLine="485"/>
        <w:jc w:val="both"/>
        <w:rPr>
          <w:rFonts w:ascii="宋体" w:hAnsi="宋体" w:eastAsia="宋体" w:cs="宋体"/>
          <w:sz w:val="24"/>
          <w:szCs w:val="24"/>
        </w:rPr>
      </w:pPr>
      <w:r>
        <w:rPr>
          <w:rFonts w:ascii="Times New Roman" w:hAnsi="Times New Roman" w:eastAsia="Times New Roman" w:cs="Times New Roman"/>
          <w:b/>
          <w:bCs/>
          <w:spacing w:val="-3"/>
          <w:sz w:val="24"/>
          <w:szCs w:val="24"/>
        </w:rPr>
        <w:t>14.1</w:t>
      </w:r>
      <w:r>
        <w:rPr>
          <w:rFonts w:ascii="宋体" w:hAnsi="宋体" w:eastAsia="宋体" w:cs="宋体"/>
          <w:spacing w:val="-3"/>
          <w:sz w:val="24"/>
          <w:szCs w:val="24"/>
        </w:rPr>
        <w:t>招标人邀请所有正确获取招标文件、电子投标、缴纳投标保证的投标人参加</w:t>
      </w:r>
      <w:r>
        <w:rPr>
          <w:rFonts w:ascii="宋体" w:hAnsi="宋体" w:eastAsia="宋体" w:cs="宋体"/>
          <w:spacing w:val="-1"/>
          <w:sz w:val="24"/>
          <w:szCs w:val="24"/>
        </w:rPr>
        <w:t>开标，投标人可自主决定是否参加。投标人可登陆交易平台</w:t>
      </w:r>
      <w:r>
        <w:rPr>
          <w:rFonts w:ascii="宋体" w:hAnsi="宋体" w:eastAsia="宋体" w:cs="宋体"/>
          <w:spacing w:val="-2"/>
          <w:sz w:val="24"/>
          <w:szCs w:val="24"/>
        </w:rPr>
        <w:t>观看开标实况、提出异议</w:t>
      </w:r>
      <w:r>
        <w:rPr>
          <w:rFonts w:ascii="宋体" w:hAnsi="宋体" w:eastAsia="宋体" w:cs="宋体"/>
          <w:spacing w:val="-1"/>
          <w:sz w:val="24"/>
          <w:szCs w:val="24"/>
        </w:rPr>
        <w:t>或进行澄清、确认等操作（具体按招标文件和系统操作手册</w:t>
      </w:r>
      <w:r>
        <w:rPr>
          <w:rFonts w:ascii="宋体" w:hAnsi="宋体" w:eastAsia="宋体" w:cs="宋体"/>
          <w:spacing w:val="-2"/>
          <w:sz w:val="24"/>
          <w:szCs w:val="24"/>
        </w:rPr>
        <w:t>为准）。投标人不参加开</w:t>
      </w:r>
      <w:bookmarkStart w:id="48" w:name="bookmark123"/>
      <w:bookmarkEnd w:id="48"/>
      <w:r>
        <w:rPr>
          <w:rFonts w:ascii="宋体" w:hAnsi="宋体" w:eastAsia="宋体" w:cs="宋体"/>
          <w:sz w:val="24"/>
          <w:szCs w:val="24"/>
        </w:rPr>
        <w:t>标的，视其默认开标结果，以及放弃在开标期间见证、</w:t>
      </w:r>
      <w:r>
        <w:rPr>
          <w:rFonts w:ascii="宋体" w:hAnsi="宋体" w:eastAsia="宋体" w:cs="宋体"/>
          <w:spacing w:val="-1"/>
          <w:sz w:val="24"/>
          <w:szCs w:val="24"/>
        </w:rPr>
        <w:t>监督、投诉、申辩的权利。</w:t>
      </w:r>
    </w:p>
    <w:p w14:paraId="68B64975">
      <w:pPr>
        <w:spacing w:before="156" w:line="219" w:lineRule="auto"/>
        <w:ind w:left="496"/>
        <w:rPr>
          <w:rFonts w:ascii="宋体" w:hAnsi="宋体" w:eastAsia="宋体" w:cs="宋体"/>
          <w:sz w:val="24"/>
          <w:szCs w:val="24"/>
        </w:rPr>
      </w:pPr>
      <w:r>
        <w:rPr>
          <w:rFonts w:ascii="Times New Roman" w:hAnsi="Times New Roman" w:eastAsia="Times New Roman" w:cs="Times New Roman"/>
          <w:b/>
          <w:bCs/>
          <w:sz w:val="24"/>
          <w:szCs w:val="24"/>
        </w:rPr>
        <w:t>14.1.1</w:t>
      </w:r>
      <w:r>
        <w:rPr>
          <w:rFonts w:ascii="宋体" w:hAnsi="宋体" w:eastAsia="宋体" w:cs="宋体"/>
          <w:sz w:val="24"/>
          <w:szCs w:val="24"/>
        </w:rPr>
        <w:t>开标时间和地点：见本章第</w:t>
      </w:r>
      <w:r>
        <w:rPr>
          <w:rFonts w:ascii="宋体" w:hAnsi="宋体" w:eastAsia="宋体" w:cs="宋体"/>
          <w:spacing w:val="-1"/>
          <w:sz w:val="24"/>
          <w:szCs w:val="24"/>
        </w:rPr>
        <w:t>二节“重要事项时间地点一览表”。</w:t>
      </w:r>
    </w:p>
    <w:p w14:paraId="40B37C29">
      <w:pPr>
        <w:spacing w:before="153" w:line="318" w:lineRule="auto"/>
        <w:ind w:left="9" w:firstLine="486"/>
        <w:rPr>
          <w:rFonts w:ascii="宋体" w:hAnsi="宋体" w:eastAsia="宋体" w:cs="宋体"/>
          <w:sz w:val="24"/>
          <w:szCs w:val="24"/>
        </w:rPr>
      </w:pPr>
      <w:r>
        <w:rPr>
          <w:rFonts w:ascii="Times New Roman" w:hAnsi="Times New Roman" w:eastAsia="Times New Roman" w:cs="Times New Roman"/>
          <w:b/>
          <w:bCs/>
          <w:spacing w:val="-7"/>
          <w:sz w:val="24"/>
          <w:szCs w:val="24"/>
        </w:rPr>
        <w:t>14.1.2</w:t>
      </w:r>
      <w:r>
        <w:rPr>
          <w:rFonts w:ascii="宋体" w:hAnsi="宋体" w:eastAsia="宋体" w:cs="宋体"/>
          <w:spacing w:val="-7"/>
          <w:sz w:val="24"/>
          <w:szCs w:val="24"/>
        </w:rPr>
        <w:t>开标前24小时，若建设工程交易系统显示缴</w:t>
      </w:r>
      <w:r>
        <w:rPr>
          <w:rFonts w:ascii="宋体" w:hAnsi="宋体" w:eastAsia="宋体" w:cs="宋体"/>
          <w:spacing w:val="-8"/>
          <w:sz w:val="24"/>
          <w:szCs w:val="24"/>
        </w:rPr>
        <w:t>纳投标保证（包括投标保证金、</w:t>
      </w:r>
      <w:r>
        <w:rPr>
          <w:rFonts w:ascii="宋体" w:hAnsi="宋体" w:eastAsia="宋体" w:cs="宋体"/>
          <w:spacing w:val="-2"/>
          <w:sz w:val="24"/>
          <w:szCs w:val="24"/>
        </w:rPr>
        <w:t>投标保证担保、投标保证保险）的投标人数量不足3个时，招标人将取消原定于次日</w:t>
      </w:r>
      <w:r>
        <w:rPr>
          <w:rFonts w:ascii="宋体" w:hAnsi="宋体" w:eastAsia="宋体" w:cs="宋体"/>
          <w:spacing w:val="-1"/>
          <w:sz w:val="24"/>
          <w:szCs w:val="24"/>
        </w:rPr>
        <w:t>召开的开标活动。投标人可在投标保证缴纳截止时间（见本章</w:t>
      </w:r>
      <w:r>
        <w:rPr>
          <w:rFonts w:ascii="宋体" w:hAnsi="宋体" w:eastAsia="宋体" w:cs="宋体"/>
          <w:spacing w:val="-2"/>
          <w:sz w:val="24"/>
          <w:szCs w:val="24"/>
        </w:rPr>
        <w:t>第二节“重要事项时间</w:t>
      </w:r>
      <w:r>
        <w:rPr>
          <w:rFonts w:ascii="宋体" w:hAnsi="宋体" w:eastAsia="宋体" w:cs="宋体"/>
          <w:spacing w:val="-1"/>
          <w:sz w:val="24"/>
          <w:szCs w:val="24"/>
        </w:rPr>
        <w:t>地点一览表”）至电子投标截止时间（见本章第二节“重要事项时间地点一览</w:t>
      </w:r>
      <w:r>
        <w:rPr>
          <w:rFonts w:ascii="宋体" w:hAnsi="宋体" w:eastAsia="宋体" w:cs="宋体"/>
          <w:spacing w:val="-2"/>
          <w:sz w:val="24"/>
          <w:szCs w:val="24"/>
        </w:rPr>
        <w:t>表”）期间登录全国公共资源交易平台（广东省·韶关市</w:t>
      </w:r>
      <w:r>
        <w:rPr>
          <w:rFonts w:ascii="宋体" w:hAnsi="宋体" w:eastAsia="宋体" w:cs="宋体"/>
          <w:spacing w:val="-22"/>
          <w:sz w:val="24"/>
          <w:szCs w:val="24"/>
        </w:rPr>
        <w:t>）（</w:t>
      </w:r>
      <w:r>
        <w:rPr>
          <w:rFonts w:ascii="宋体" w:hAnsi="宋体" w:eastAsia="宋体" w:cs="宋体"/>
          <w:spacing w:val="-2"/>
          <w:sz w:val="24"/>
          <w:szCs w:val="24"/>
        </w:rPr>
        <w:t>https://ygp.gdzwfw.gov.cn/</w:t>
      </w:r>
      <w:r>
        <w:rPr>
          <w:rFonts w:ascii="宋体" w:hAnsi="宋体" w:eastAsia="宋体" w:cs="宋体"/>
          <w:sz w:val="24"/>
          <w:szCs w:val="24"/>
        </w:rPr>
        <w:t>ggzy-portal/#/440200/index）查询是否发布了取</w:t>
      </w:r>
      <w:r>
        <w:rPr>
          <w:rFonts w:ascii="宋体" w:hAnsi="宋体" w:eastAsia="宋体" w:cs="宋体"/>
          <w:spacing w:val="-1"/>
          <w:sz w:val="24"/>
          <w:szCs w:val="24"/>
        </w:rPr>
        <w:t>消开标活动的相关信息。</w:t>
      </w:r>
    </w:p>
    <w:p w14:paraId="34BB19A8">
      <w:pPr>
        <w:spacing w:before="159" w:line="319" w:lineRule="auto"/>
        <w:ind w:left="10" w:right="80" w:firstLine="496"/>
        <w:rPr>
          <w:rFonts w:ascii="宋体" w:hAnsi="宋体" w:eastAsia="宋体" w:cs="宋体"/>
          <w:sz w:val="24"/>
          <w:szCs w:val="24"/>
        </w:rPr>
      </w:pPr>
      <w:r>
        <w:rPr>
          <w:rFonts w:ascii="宋体" w:hAnsi="宋体" w:eastAsia="宋体" w:cs="宋体"/>
          <w:b/>
          <w:bCs/>
          <w:spacing w:val="-4"/>
          <w:sz w:val="24"/>
          <w:szCs w:val="24"/>
        </w:rPr>
        <w:t>14.1.3</w:t>
      </w:r>
      <w:r>
        <w:rPr>
          <w:rFonts w:ascii="宋体" w:hAnsi="宋体" w:eastAsia="宋体" w:cs="宋体"/>
          <w:spacing w:val="-4"/>
          <w:sz w:val="24"/>
          <w:szCs w:val="24"/>
        </w:rPr>
        <w:t>本项目实行全流程电子化招标投标，投标人在交易平台按要求上传加盖电</w:t>
      </w:r>
      <w:r>
        <w:rPr>
          <w:rFonts w:ascii="宋体" w:hAnsi="宋体" w:eastAsia="宋体" w:cs="宋体"/>
          <w:spacing w:val="-1"/>
          <w:sz w:val="24"/>
          <w:szCs w:val="24"/>
        </w:rPr>
        <w:t>子印章并经加密的电子投标文件，并在交易平台录入准确的</w:t>
      </w:r>
      <w:r>
        <w:rPr>
          <w:rFonts w:ascii="宋体" w:hAnsi="宋体" w:eastAsia="宋体" w:cs="宋体"/>
          <w:spacing w:val="-2"/>
          <w:sz w:val="24"/>
          <w:szCs w:val="24"/>
        </w:rPr>
        <w:t>页码信息即可完成在线投</w:t>
      </w:r>
      <w:r>
        <w:rPr>
          <w:rFonts w:ascii="宋体" w:hAnsi="宋体" w:eastAsia="宋体" w:cs="宋体"/>
          <w:spacing w:val="-1"/>
          <w:sz w:val="24"/>
          <w:szCs w:val="24"/>
        </w:rPr>
        <w:t>标。由于投标人原因导致未按投标截至时限上传完整投标文</w:t>
      </w:r>
      <w:r>
        <w:rPr>
          <w:rFonts w:ascii="宋体" w:hAnsi="宋体" w:eastAsia="宋体" w:cs="宋体"/>
          <w:spacing w:val="-2"/>
          <w:sz w:val="24"/>
          <w:szCs w:val="24"/>
        </w:rPr>
        <w:t>件、在交易平台中上传的</w:t>
      </w:r>
      <w:r>
        <w:rPr>
          <w:rFonts w:ascii="宋体" w:hAnsi="宋体" w:eastAsia="宋体" w:cs="宋体"/>
          <w:spacing w:val="-1"/>
          <w:sz w:val="24"/>
          <w:szCs w:val="24"/>
        </w:rPr>
        <w:t>投标文件无法解密、投标文件损坏或格式不正确、投标文件</w:t>
      </w:r>
      <w:r>
        <w:rPr>
          <w:rFonts w:ascii="宋体" w:hAnsi="宋体" w:eastAsia="宋体" w:cs="宋体"/>
          <w:spacing w:val="-2"/>
          <w:sz w:val="24"/>
          <w:szCs w:val="24"/>
        </w:rPr>
        <w:t>未按招标文件要求加盖电</w:t>
      </w:r>
      <w:r>
        <w:rPr>
          <w:rFonts w:ascii="宋体" w:hAnsi="宋体" w:eastAsia="宋体" w:cs="宋体"/>
          <w:spacing w:val="-1"/>
          <w:sz w:val="24"/>
          <w:szCs w:val="24"/>
        </w:rPr>
        <w:t>子印章或电子印章不完整、电子投标文件解密失败且未按要</w:t>
      </w:r>
      <w:r>
        <w:rPr>
          <w:rFonts w:ascii="宋体" w:hAnsi="宋体" w:eastAsia="宋体" w:cs="宋体"/>
          <w:spacing w:val="-2"/>
          <w:sz w:val="24"/>
          <w:szCs w:val="24"/>
        </w:rPr>
        <w:t>求上传备用投标文件等情</w:t>
      </w:r>
      <w:r>
        <w:rPr>
          <w:rFonts w:ascii="宋体" w:hAnsi="宋体" w:eastAsia="宋体" w:cs="宋体"/>
          <w:spacing w:val="-1"/>
          <w:sz w:val="24"/>
          <w:szCs w:val="24"/>
        </w:rPr>
        <w:t>形导致投标无效的，由投标人自行负责。</w:t>
      </w:r>
    </w:p>
    <w:p w14:paraId="5291CA1F">
      <w:pPr>
        <w:spacing w:before="152" w:line="221" w:lineRule="auto"/>
        <w:ind w:left="496"/>
        <w:rPr>
          <w:rFonts w:ascii="宋体" w:hAnsi="宋体" w:eastAsia="宋体" w:cs="宋体"/>
          <w:sz w:val="24"/>
          <w:szCs w:val="24"/>
        </w:rPr>
      </w:pPr>
      <w:r>
        <w:rPr>
          <w:rFonts w:ascii="Times New Roman" w:hAnsi="Times New Roman" w:eastAsia="Times New Roman" w:cs="Times New Roman"/>
          <w:b/>
          <w:bCs/>
          <w:spacing w:val="-2"/>
          <w:sz w:val="24"/>
          <w:szCs w:val="24"/>
        </w:rPr>
        <w:t>14.2</w:t>
      </w:r>
      <w:r>
        <w:rPr>
          <w:rFonts w:ascii="宋体" w:hAnsi="宋体" w:eastAsia="宋体" w:cs="宋体"/>
          <w:spacing w:val="-2"/>
          <w:sz w:val="24"/>
          <w:szCs w:val="24"/>
        </w:rPr>
        <w:t>开标程序</w:t>
      </w:r>
    </w:p>
    <w:p w14:paraId="76DC3152">
      <w:pPr>
        <w:spacing w:before="42" w:line="219" w:lineRule="auto"/>
        <w:ind w:left="501"/>
        <w:outlineLvl w:val="2"/>
        <w:rPr>
          <w:rFonts w:ascii="宋体" w:hAnsi="宋体" w:eastAsia="宋体" w:cs="宋体"/>
          <w:sz w:val="24"/>
          <w:szCs w:val="24"/>
        </w:rPr>
      </w:pPr>
      <w:bookmarkStart w:id="49" w:name="_Toc10685"/>
      <w:bookmarkStart w:id="50" w:name="_Toc10291"/>
      <w:bookmarkStart w:id="51" w:name="_Toc15587"/>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）主持人（招标人代表或招标人授权的招标代理机构人员）宣读开标纪律。</w:t>
      </w:r>
      <w:bookmarkEnd w:id="49"/>
      <w:bookmarkEnd w:id="50"/>
      <w:bookmarkEnd w:id="51"/>
    </w:p>
    <w:p w14:paraId="58146347">
      <w:pPr>
        <w:spacing w:before="181" w:line="219" w:lineRule="auto"/>
        <w:ind w:left="501"/>
        <w:outlineLvl w:val="2"/>
        <w:rPr>
          <w:rFonts w:ascii="宋体" w:hAnsi="宋体" w:eastAsia="宋体" w:cs="宋体"/>
          <w:sz w:val="24"/>
          <w:szCs w:val="24"/>
        </w:rPr>
      </w:pPr>
      <w:bookmarkStart w:id="52" w:name="_Toc2011"/>
      <w:bookmarkStart w:id="53" w:name="_Toc16292"/>
      <w:bookmarkStart w:id="54" w:name="_Toc20238"/>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）主持人宣布唱标人、记录人、见证人、监督人等有关人员姓名。</w:t>
      </w:r>
      <w:bookmarkEnd w:id="52"/>
      <w:bookmarkEnd w:id="53"/>
      <w:bookmarkEnd w:id="54"/>
    </w:p>
    <w:p w14:paraId="4B9715AC">
      <w:pPr>
        <w:spacing w:before="183" w:line="219" w:lineRule="auto"/>
        <w:ind w:left="501"/>
        <w:outlineLvl w:val="2"/>
        <w:rPr>
          <w:rFonts w:ascii="宋体" w:hAnsi="宋体" w:eastAsia="宋体" w:cs="宋体"/>
          <w:sz w:val="24"/>
          <w:szCs w:val="24"/>
        </w:rPr>
      </w:pPr>
      <w:bookmarkStart w:id="55" w:name="_Toc17462"/>
      <w:bookmarkStart w:id="56" w:name="_Toc1974"/>
      <w:bookmarkStart w:id="57" w:name="_Toc31716"/>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）唱标人公布在投标截止时间前进行投标文件的投标人数量和名称</w:t>
      </w:r>
      <w:bookmarkEnd w:id="55"/>
      <w:bookmarkEnd w:id="56"/>
      <w:bookmarkEnd w:id="57"/>
    </w:p>
    <w:p w14:paraId="3F834303">
      <w:pPr>
        <w:spacing w:before="181" w:line="219" w:lineRule="auto"/>
        <w:ind w:left="501"/>
        <w:outlineLvl w:val="2"/>
        <w:rPr>
          <w:rFonts w:ascii="宋体" w:hAnsi="宋体" w:eastAsia="宋体" w:cs="宋体"/>
          <w:sz w:val="24"/>
          <w:szCs w:val="24"/>
        </w:rPr>
      </w:pPr>
      <w:bookmarkStart w:id="58" w:name="_Toc15860"/>
      <w:bookmarkStart w:id="59" w:name="_Toc27967"/>
      <w:bookmarkStart w:id="60" w:name="_Toc20559"/>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）招标代理机构会同交易场所工作人员对投标人的</w:t>
      </w:r>
      <w:r>
        <w:rPr>
          <w:rFonts w:ascii="宋体" w:hAnsi="宋体" w:eastAsia="宋体" w:cs="宋体"/>
          <w:spacing w:val="1"/>
          <w:sz w:val="24"/>
          <w:szCs w:val="24"/>
        </w:rPr>
        <w:t>电子投标信息进行解密，</w:t>
      </w:r>
      <w:bookmarkEnd w:id="58"/>
      <w:bookmarkEnd w:id="59"/>
      <w:bookmarkEnd w:id="60"/>
    </w:p>
    <w:p w14:paraId="7D5B6C4A">
      <w:pPr>
        <w:spacing w:before="183" w:line="220" w:lineRule="auto"/>
        <w:ind w:left="12"/>
        <w:rPr>
          <w:rFonts w:ascii="宋体" w:hAnsi="宋体" w:eastAsia="宋体" w:cs="宋体"/>
          <w:sz w:val="24"/>
          <w:szCs w:val="24"/>
        </w:rPr>
      </w:pPr>
      <w:r>
        <w:rPr>
          <w:rFonts w:ascii="宋体" w:hAnsi="宋体" w:eastAsia="宋体" w:cs="宋体"/>
          <w:spacing w:val="-1"/>
          <w:sz w:val="24"/>
          <w:szCs w:val="24"/>
        </w:rPr>
        <w:t>建设工程交易系统自动生成《投标保证缴纳情况表》和《开标一览表》。</w:t>
      </w:r>
    </w:p>
    <w:p w14:paraId="1E2528C1">
      <w:pPr>
        <w:spacing w:before="182" w:line="219" w:lineRule="auto"/>
        <w:ind w:left="491"/>
        <w:outlineLvl w:val="2"/>
        <w:rPr>
          <w:rFonts w:ascii="宋体" w:hAnsi="宋体" w:eastAsia="宋体" w:cs="宋体"/>
          <w:b/>
          <w:bCs/>
          <w:spacing w:val="-4"/>
          <w:sz w:val="24"/>
          <w:szCs w:val="24"/>
        </w:rPr>
      </w:pPr>
      <w:bookmarkStart w:id="61" w:name="_Toc28812"/>
      <w:bookmarkStart w:id="62" w:name="_Toc28266"/>
      <w:bookmarkStart w:id="63" w:name="_Toc2199"/>
      <w:r>
        <w:rPr>
          <w:rFonts w:ascii="宋体" w:hAnsi="宋体" w:eastAsia="宋体" w:cs="宋体"/>
          <w:b/>
          <w:bCs/>
          <w:spacing w:val="-4"/>
          <w:sz w:val="24"/>
          <w:szCs w:val="24"/>
        </w:rPr>
        <w:t>温馨提示：因本项目实行全流程电子化招标投标，投标人无须进行现场签到，可</w:t>
      </w:r>
      <w:bookmarkEnd w:id="61"/>
      <w:bookmarkEnd w:id="62"/>
      <w:bookmarkEnd w:id="63"/>
      <w:r>
        <w:rPr>
          <w:rFonts w:ascii="宋体" w:hAnsi="宋体" w:eastAsia="宋体" w:cs="宋体"/>
          <w:b/>
          <w:bCs/>
          <w:spacing w:val="-4"/>
          <w:sz w:val="24"/>
          <w:szCs w:val="24"/>
        </w:rPr>
        <w:t>登录交易平台观</w:t>
      </w:r>
    </w:p>
    <w:p w14:paraId="71633B04">
      <w:pPr>
        <w:spacing w:before="182" w:line="219" w:lineRule="auto"/>
        <w:outlineLvl w:val="2"/>
        <w:rPr>
          <w:rFonts w:hint="eastAsia" w:ascii="宋体" w:hAnsi="宋体" w:eastAsia="宋体" w:cs="宋体"/>
          <w:b/>
          <w:bCs/>
          <w:spacing w:val="-2"/>
          <w:sz w:val="24"/>
          <w:szCs w:val="24"/>
          <w:lang w:eastAsia="zh-CN"/>
        </w:rPr>
      </w:pPr>
      <w:r>
        <w:rPr>
          <w:rFonts w:ascii="宋体" w:hAnsi="宋体" w:eastAsia="宋体" w:cs="宋体"/>
          <w:b/>
          <w:bCs/>
          <w:spacing w:val="-4"/>
          <w:sz w:val="24"/>
          <w:szCs w:val="24"/>
        </w:rPr>
        <w:t>看开标实况、提出异议或进行澄清、确认等操作，对开标事项的异议</w:t>
      </w:r>
      <w:r>
        <w:rPr>
          <w:rFonts w:ascii="宋体" w:hAnsi="宋体" w:eastAsia="宋体" w:cs="宋体"/>
          <w:b/>
          <w:bCs/>
          <w:spacing w:val="-2"/>
          <w:sz w:val="24"/>
          <w:szCs w:val="24"/>
        </w:rPr>
        <w:t>未在开标期间提出的，招标</w:t>
      </w:r>
      <w:r>
        <w:rPr>
          <w:rFonts w:hint="eastAsia" w:ascii="宋体" w:hAnsi="宋体" w:eastAsia="宋体" w:cs="宋体"/>
          <w:b/>
          <w:bCs/>
          <w:spacing w:val="-2"/>
          <w:sz w:val="24"/>
          <w:szCs w:val="24"/>
          <w:lang w:eastAsia="zh-CN"/>
        </w:rPr>
        <w:t>人</w:t>
      </w:r>
    </w:p>
    <w:p w14:paraId="1D3F6104">
      <w:pPr>
        <w:spacing w:before="182" w:line="219" w:lineRule="auto"/>
        <w:outlineLvl w:val="2"/>
        <w:rPr>
          <w:rFonts w:ascii="宋体" w:hAnsi="宋体" w:eastAsia="宋体" w:cs="宋体"/>
          <w:sz w:val="24"/>
          <w:szCs w:val="24"/>
        </w:rPr>
      </w:pPr>
      <w:r>
        <w:rPr>
          <w:rFonts w:hint="eastAsia" w:ascii="宋体" w:hAnsi="宋体" w:eastAsia="宋体" w:cs="宋体"/>
          <w:b/>
          <w:bCs/>
          <w:spacing w:val="-2"/>
          <w:sz w:val="24"/>
          <w:szCs w:val="24"/>
          <w:lang w:eastAsia="zh-CN"/>
        </w:rPr>
        <w:t>不</w:t>
      </w:r>
      <w:r>
        <w:rPr>
          <w:rFonts w:ascii="宋体" w:hAnsi="宋体" w:eastAsia="宋体" w:cs="宋体"/>
          <w:b/>
          <w:bCs/>
          <w:spacing w:val="-2"/>
          <w:sz w:val="24"/>
          <w:szCs w:val="24"/>
        </w:rPr>
        <w:t>予受理。具体按招标文件和系统操作手册为</w:t>
      </w:r>
      <w:r>
        <w:rPr>
          <w:rFonts w:ascii="宋体" w:hAnsi="宋体" w:eastAsia="宋体" w:cs="宋体"/>
          <w:b/>
          <w:bCs/>
          <w:spacing w:val="-3"/>
          <w:sz w:val="24"/>
          <w:szCs w:val="24"/>
        </w:rPr>
        <w:t>准。</w:t>
      </w:r>
    </w:p>
    <w:p w14:paraId="3EDC541D">
      <w:pPr>
        <w:spacing w:before="143" w:line="299" w:lineRule="auto"/>
        <w:ind w:left="11" w:right="80" w:firstLine="484"/>
        <w:rPr>
          <w:rFonts w:ascii="宋体" w:hAnsi="宋体" w:eastAsia="宋体" w:cs="宋体"/>
          <w:sz w:val="24"/>
          <w:szCs w:val="24"/>
        </w:rPr>
      </w:pPr>
      <w:r>
        <w:rPr>
          <w:rFonts w:ascii="Times New Roman" w:hAnsi="Times New Roman" w:eastAsia="Times New Roman" w:cs="Times New Roman"/>
          <w:b/>
          <w:bCs/>
          <w:spacing w:val="-3"/>
          <w:sz w:val="24"/>
          <w:szCs w:val="24"/>
        </w:rPr>
        <w:t>14.3</w:t>
      </w:r>
      <w:r>
        <w:rPr>
          <w:rFonts w:ascii="宋体" w:hAnsi="宋体" w:eastAsia="宋体" w:cs="宋体"/>
          <w:spacing w:val="-3"/>
          <w:sz w:val="24"/>
          <w:szCs w:val="24"/>
        </w:rPr>
        <w:t>投标人对开标相关事项（如开标程序等）有异议的，必须在开标期间和开标</w:t>
      </w:r>
      <w:r>
        <w:rPr>
          <w:rFonts w:ascii="宋体" w:hAnsi="宋体" w:eastAsia="宋体" w:cs="宋体"/>
          <w:spacing w:val="-1"/>
          <w:sz w:val="24"/>
          <w:szCs w:val="24"/>
        </w:rPr>
        <w:t>现场提出，招标人或其授权的招标代理机构应当场作出答</w:t>
      </w:r>
      <w:r>
        <w:rPr>
          <w:rFonts w:ascii="宋体" w:hAnsi="宋体" w:eastAsia="宋体" w:cs="宋体"/>
          <w:spacing w:val="-2"/>
          <w:sz w:val="24"/>
          <w:szCs w:val="24"/>
        </w:rPr>
        <w:t>复，并记录在案。对开标事</w:t>
      </w:r>
      <w:r>
        <w:rPr>
          <w:rFonts w:ascii="宋体" w:hAnsi="宋体" w:eastAsia="宋体" w:cs="宋体"/>
          <w:spacing w:val="-1"/>
          <w:sz w:val="24"/>
          <w:szCs w:val="24"/>
        </w:rPr>
        <w:t>项的异议未在开标期间和开标现场提出的，招标人不予受理。</w:t>
      </w:r>
    </w:p>
    <w:p w14:paraId="35021DD8">
      <w:pPr>
        <w:spacing w:before="155" w:line="279" w:lineRule="auto"/>
        <w:ind w:left="8" w:right="82" w:firstLine="487"/>
      </w:pPr>
      <w:r>
        <w:rPr>
          <w:rFonts w:ascii="Times New Roman" w:hAnsi="Times New Roman" w:eastAsia="Times New Roman" w:cs="Times New Roman"/>
          <w:b/>
          <w:bCs/>
          <w:spacing w:val="-1"/>
          <w:sz w:val="24"/>
          <w:szCs w:val="24"/>
        </w:rPr>
        <w:t>14.4</w:t>
      </w:r>
      <w:r>
        <w:rPr>
          <w:rFonts w:ascii="宋体" w:hAnsi="宋体" w:eastAsia="宋体" w:cs="宋体"/>
          <w:spacing w:val="-1"/>
          <w:sz w:val="24"/>
          <w:szCs w:val="24"/>
        </w:rPr>
        <w:t>招标代理机构将资料原件（如有）</w:t>
      </w:r>
      <w:r>
        <w:rPr>
          <w:rFonts w:ascii="宋体" w:hAnsi="宋体" w:eastAsia="宋体" w:cs="宋体"/>
          <w:spacing w:val="-2"/>
          <w:sz w:val="24"/>
          <w:szCs w:val="24"/>
        </w:rPr>
        <w:t>、《开标一览表》以及其他有关资料移交评标委员会。</w:t>
      </w:r>
    </w:p>
    <w:p w14:paraId="216E9DE8">
      <w:pPr>
        <w:pStyle w:val="5"/>
        <w:spacing w:line="257" w:lineRule="auto"/>
      </w:pPr>
    </w:p>
    <w:p w14:paraId="2542DC09">
      <w:pPr>
        <w:spacing w:before="78" w:line="221" w:lineRule="auto"/>
        <w:ind w:left="496"/>
        <w:outlineLvl w:val="2"/>
      </w:pPr>
      <w:bookmarkStart w:id="64" w:name="_Toc31540"/>
      <w:r>
        <w:rPr>
          <w:rFonts w:ascii="Times New Roman" w:hAnsi="Times New Roman" w:eastAsia="Times New Roman" w:cs="Times New Roman"/>
          <w:b/>
          <w:bCs/>
          <w:spacing w:val="-11"/>
          <w:sz w:val="24"/>
          <w:szCs w:val="24"/>
        </w:rPr>
        <w:t>15</w:t>
      </w:r>
      <w:r>
        <w:rPr>
          <w:rFonts w:ascii="宋体" w:hAnsi="宋体" w:eastAsia="宋体" w:cs="宋体"/>
          <w:b/>
          <w:bCs/>
          <w:spacing w:val="-11"/>
          <w:sz w:val="24"/>
          <w:szCs w:val="24"/>
        </w:rPr>
        <w:t>．评标</w:t>
      </w:r>
      <w:bookmarkEnd w:id="64"/>
    </w:p>
    <w:p w14:paraId="17D47AEF">
      <w:pPr>
        <w:pStyle w:val="5"/>
        <w:spacing w:line="281" w:lineRule="auto"/>
      </w:pPr>
    </w:p>
    <w:p w14:paraId="3BA7E792">
      <w:pPr>
        <w:spacing w:before="78" w:line="331" w:lineRule="auto"/>
        <w:ind w:left="8" w:right="65" w:firstLine="480"/>
        <w:rPr>
          <w:rFonts w:ascii="宋体" w:hAnsi="宋体" w:eastAsia="宋体" w:cs="宋体"/>
          <w:sz w:val="24"/>
          <w:szCs w:val="24"/>
        </w:rPr>
      </w:pPr>
      <w:bookmarkStart w:id="65" w:name="bookmark124"/>
      <w:bookmarkEnd w:id="65"/>
      <w:r>
        <w:rPr>
          <w:rFonts w:ascii="宋体" w:hAnsi="宋体" w:eastAsia="宋体" w:cs="宋体"/>
          <w:spacing w:val="-1"/>
          <w:sz w:val="24"/>
          <w:szCs w:val="24"/>
        </w:rPr>
        <w:t>评标分为初步评审和详细评审两个阶段，由评标委员会</w:t>
      </w:r>
      <w:r>
        <w:rPr>
          <w:rFonts w:ascii="宋体" w:hAnsi="宋体" w:eastAsia="宋体" w:cs="宋体"/>
          <w:spacing w:val="-2"/>
          <w:sz w:val="24"/>
          <w:szCs w:val="24"/>
        </w:rPr>
        <w:t>在有关部门的监督下，严</w:t>
      </w:r>
      <w:r>
        <w:rPr>
          <w:rFonts w:ascii="宋体" w:hAnsi="宋体" w:eastAsia="宋体" w:cs="宋体"/>
          <w:spacing w:val="-1"/>
          <w:sz w:val="24"/>
          <w:szCs w:val="24"/>
        </w:rPr>
        <w:t>格按照本招标文件指定的评标方法，对投标人的投标文件进行审</w:t>
      </w:r>
      <w:r>
        <w:rPr>
          <w:rFonts w:ascii="宋体" w:hAnsi="宋体" w:eastAsia="宋体" w:cs="宋体"/>
          <w:spacing w:val="-2"/>
          <w:sz w:val="24"/>
          <w:szCs w:val="24"/>
        </w:rPr>
        <w:t>查、评审。评标委员</w:t>
      </w:r>
      <w:r>
        <w:rPr>
          <w:rFonts w:ascii="宋体" w:hAnsi="宋体" w:eastAsia="宋体" w:cs="宋体"/>
          <w:spacing w:val="2"/>
          <w:sz w:val="24"/>
          <w:szCs w:val="24"/>
        </w:rPr>
        <w:t>会完成评标后，向招标人推荐</w:t>
      </w:r>
      <w:r>
        <w:rPr>
          <w:rFonts w:ascii="Times New Roman" w:hAnsi="Times New Roman" w:eastAsia="Times New Roman" w:cs="Times New Roman"/>
          <w:spacing w:val="2"/>
          <w:sz w:val="24"/>
          <w:szCs w:val="24"/>
          <w:u w:val="single"/>
        </w:rPr>
        <w:t>3</w:t>
      </w:r>
      <w:r>
        <w:rPr>
          <w:rFonts w:ascii="宋体" w:hAnsi="宋体" w:eastAsia="宋体" w:cs="宋体"/>
          <w:spacing w:val="2"/>
          <w:sz w:val="24"/>
          <w:szCs w:val="24"/>
        </w:rPr>
        <w:t>个中标候选人，并向招标人提交由全</w:t>
      </w:r>
      <w:r>
        <w:rPr>
          <w:rFonts w:ascii="宋体" w:hAnsi="宋体" w:eastAsia="宋体" w:cs="宋体"/>
          <w:spacing w:val="1"/>
          <w:sz w:val="24"/>
          <w:szCs w:val="24"/>
        </w:rPr>
        <w:t>体评标委员会</w:t>
      </w:r>
      <w:r>
        <w:rPr>
          <w:rFonts w:ascii="宋体" w:hAnsi="宋体" w:eastAsia="宋体" w:cs="宋体"/>
          <w:spacing w:val="-1"/>
          <w:sz w:val="24"/>
          <w:szCs w:val="24"/>
        </w:rPr>
        <w:t>成员签字的评标报告。</w:t>
      </w:r>
    </w:p>
    <w:p w14:paraId="4FB6CA05">
      <w:pPr>
        <w:spacing w:before="38" w:line="219" w:lineRule="auto"/>
        <w:ind w:left="496"/>
        <w:rPr>
          <w:rFonts w:ascii="宋体" w:hAnsi="宋体" w:eastAsia="宋体" w:cs="宋体"/>
          <w:sz w:val="24"/>
          <w:szCs w:val="24"/>
        </w:rPr>
      </w:pPr>
      <w:r>
        <w:rPr>
          <w:rFonts w:ascii="Times New Roman" w:hAnsi="Times New Roman" w:eastAsia="Times New Roman" w:cs="Times New Roman"/>
          <w:b/>
          <w:bCs/>
          <w:spacing w:val="-2"/>
          <w:sz w:val="24"/>
          <w:szCs w:val="24"/>
        </w:rPr>
        <w:t>15.1</w:t>
      </w:r>
      <w:r>
        <w:rPr>
          <w:rFonts w:ascii="宋体" w:hAnsi="宋体" w:eastAsia="宋体" w:cs="宋体"/>
          <w:spacing w:val="-2"/>
          <w:sz w:val="24"/>
          <w:szCs w:val="24"/>
        </w:rPr>
        <w:t>评标委员会</w:t>
      </w:r>
    </w:p>
    <w:p w14:paraId="0F91EF7A">
      <w:pPr>
        <w:spacing w:before="155" w:line="324" w:lineRule="auto"/>
        <w:ind w:left="10" w:right="65" w:firstLine="485"/>
        <w:rPr>
          <w:rFonts w:ascii="宋体" w:hAnsi="宋体" w:eastAsia="宋体" w:cs="宋体"/>
          <w:sz w:val="24"/>
          <w:szCs w:val="24"/>
        </w:rPr>
      </w:pPr>
      <w:r>
        <w:rPr>
          <w:rFonts w:ascii="Times New Roman" w:hAnsi="Times New Roman" w:eastAsia="Times New Roman" w:cs="Times New Roman"/>
          <w:b/>
          <w:bCs/>
          <w:spacing w:val="-1"/>
          <w:sz w:val="24"/>
          <w:szCs w:val="24"/>
        </w:rPr>
        <w:t>15.1.1</w:t>
      </w:r>
      <w:r>
        <w:rPr>
          <w:rFonts w:hint="eastAsia" w:ascii="宋体" w:hAnsi="宋体" w:eastAsia="宋体" w:cs="宋体"/>
          <w:sz w:val="24"/>
          <w:szCs w:val="24"/>
        </w:rPr>
        <w:t>评标委员会由</w:t>
      </w:r>
      <w:r>
        <w:rPr>
          <w:rFonts w:hint="eastAsia" w:ascii="宋体" w:hAnsi="宋体" w:eastAsia="宋体" w:cs="宋体"/>
          <w:sz w:val="24"/>
          <w:szCs w:val="24"/>
          <w:u w:val="single"/>
        </w:rPr>
        <w:t>5</w:t>
      </w:r>
      <w:r>
        <w:rPr>
          <w:rFonts w:hint="eastAsia" w:ascii="宋体" w:hAnsi="宋体" w:eastAsia="宋体" w:cs="宋体"/>
          <w:sz w:val="24"/>
          <w:szCs w:val="24"/>
        </w:rPr>
        <w:t>人组成，其中招标人代表</w:t>
      </w:r>
      <w:r>
        <w:rPr>
          <w:rFonts w:hint="eastAsia" w:ascii="宋体" w:hAnsi="宋体" w:eastAsia="宋体" w:cs="宋体"/>
          <w:sz w:val="24"/>
          <w:szCs w:val="24"/>
          <w:u w:val="single"/>
        </w:rPr>
        <w:t>0</w:t>
      </w:r>
      <w:r>
        <w:rPr>
          <w:rFonts w:hint="eastAsia" w:ascii="宋体" w:hAnsi="宋体" w:eastAsia="宋体" w:cs="宋体"/>
          <w:sz w:val="24"/>
          <w:szCs w:val="24"/>
        </w:rPr>
        <w:t>人，专家</w:t>
      </w:r>
      <w:r>
        <w:rPr>
          <w:rFonts w:hint="eastAsia" w:ascii="宋体" w:hAnsi="宋体" w:eastAsia="宋体" w:cs="宋体"/>
          <w:sz w:val="24"/>
          <w:szCs w:val="24"/>
          <w:u w:val="single"/>
        </w:rPr>
        <w:t>5</w:t>
      </w:r>
      <w:r>
        <w:rPr>
          <w:rFonts w:hint="eastAsia" w:ascii="宋体" w:hAnsi="宋体" w:eastAsia="宋体" w:cs="宋体"/>
          <w:sz w:val="24"/>
          <w:szCs w:val="24"/>
        </w:rPr>
        <w:t>人。专家从</w:t>
      </w:r>
      <w:r>
        <w:rPr>
          <w:rFonts w:hint="eastAsia" w:ascii="宋体" w:hAnsi="宋体" w:eastAsia="宋体" w:cs="宋体"/>
          <w:sz w:val="24"/>
          <w:szCs w:val="24"/>
          <w:u w:val="single"/>
        </w:rPr>
        <w:t>广东省综合评标评审专家库-韶关区域</w:t>
      </w:r>
      <w:r>
        <w:rPr>
          <w:rFonts w:hint="eastAsia" w:ascii="宋体" w:hAnsi="宋体" w:eastAsia="宋体" w:cs="宋体"/>
          <w:sz w:val="24"/>
          <w:szCs w:val="24"/>
        </w:rPr>
        <w:t>中随机抽取，其中技术类专家</w:t>
      </w:r>
      <w:r>
        <w:rPr>
          <w:rFonts w:hint="eastAsia" w:ascii="宋体" w:hAnsi="宋体" w:eastAsia="宋体" w:cs="宋体"/>
          <w:sz w:val="24"/>
          <w:szCs w:val="24"/>
          <w:u w:val="single"/>
        </w:rPr>
        <w:t>3</w:t>
      </w:r>
      <w:r>
        <w:rPr>
          <w:rFonts w:hint="eastAsia" w:ascii="宋体" w:hAnsi="宋体" w:eastAsia="宋体" w:cs="宋体"/>
          <w:sz w:val="24"/>
          <w:szCs w:val="24"/>
        </w:rPr>
        <w:t>人，经济类专家</w:t>
      </w:r>
      <w:r>
        <w:rPr>
          <w:rFonts w:hint="eastAsia" w:ascii="宋体" w:hAnsi="宋体" w:eastAsia="宋体" w:cs="宋体"/>
          <w:sz w:val="24"/>
          <w:szCs w:val="24"/>
          <w:u w:val="single"/>
        </w:rPr>
        <w:t>2</w:t>
      </w:r>
      <w:r>
        <w:rPr>
          <w:rFonts w:hint="eastAsia" w:ascii="宋体" w:hAnsi="宋体" w:eastAsia="宋体" w:cs="宋体"/>
          <w:sz w:val="24"/>
          <w:szCs w:val="24"/>
        </w:rPr>
        <w:t>人。</w:t>
      </w:r>
      <w:r>
        <w:rPr>
          <w:rFonts w:ascii="宋体" w:hAnsi="宋体" w:eastAsia="宋体" w:cs="宋体"/>
          <w:spacing w:val="-1"/>
          <w:sz w:val="24"/>
          <w:szCs w:val="24"/>
        </w:rPr>
        <w:t>评标委员会设负责人，由评标委员会成员推举产生</w:t>
      </w:r>
      <w:r>
        <w:rPr>
          <w:rFonts w:ascii="宋体" w:hAnsi="宋体" w:eastAsia="宋体" w:cs="宋体"/>
          <w:spacing w:val="-2"/>
          <w:sz w:val="24"/>
          <w:szCs w:val="24"/>
        </w:rPr>
        <w:t>。评标委员会负责人与评</w:t>
      </w:r>
      <w:r>
        <w:rPr>
          <w:rFonts w:ascii="宋体" w:hAnsi="宋体" w:eastAsia="宋体" w:cs="宋体"/>
          <w:spacing w:val="-1"/>
          <w:sz w:val="24"/>
          <w:szCs w:val="24"/>
        </w:rPr>
        <w:t>标委员会的其他成员有同等的表决权。</w:t>
      </w:r>
    </w:p>
    <w:p w14:paraId="1C26110B">
      <w:pPr>
        <w:spacing w:before="32" w:line="280" w:lineRule="auto"/>
        <w:ind w:left="13" w:right="7" w:firstLine="561"/>
        <w:rPr>
          <w:rFonts w:ascii="宋体" w:hAnsi="宋体" w:eastAsia="宋体" w:cs="宋体"/>
          <w:sz w:val="24"/>
          <w:szCs w:val="24"/>
        </w:rPr>
      </w:pPr>
      <w:r>
        <w:rPr>
          <w:rFonts w:ascii="Times New Roman" w:hAnsi="Times New Roman" w:eastAsia="Times New Roman" w:cs="Times New Roman"/>
          <w:b/>
          <w:bCs/>
          <w:spacing w:val="-2"/>
          <w:sz w:val="24"/>
          <w:szCs w:val="24"/>
        </w:rPr>
        <w:t>15.1.2</w:t>
      </w:r>
      <w:r>
        <w:rPr>
          <w:rFonts w:ascii="宋体" w:hAnsi="宋体" w:eastAsia="宋体" w:cs="宋体"/>
          <w:spacing w:val="-2"/>
          <w:sz w:val="24"/>
          <w:szCs w:val="24"/>
        </w:rPr>
        <w:t>评标委员会应认真、公正、诚实、廉洁地履行职责。有下列情形之一的，不得担任评标委员会成员：</w:t>
      </w:r>
    </w:p>
    <w:p w14:paraId="3B29C927">
      <w:pPr>
        <w:spacing w:before="154" w:line="220" w:lineRule="auto"/>
        <w:ind w:left="58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）投标人或投标人主要负责人的近亲属；</w:t>
      </w:r>
    </w:p>
    <w:p w14:paraId="3591F7AE">
      <w:pPr>
        <w:spacing w:before="153" w:line="220" w:lineRule="auto"/>
        <w:ind w:left="58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）项目主管部门或者行政监督部门的人员；</w:t>
      </w:r>
    </w:p>
    <w:p w14:paraId="76F54533">
      <w:pPr>
        <w:spacing w:before="155" w:line="221" w:lineRule="auto"/>
        <w:ind w:left="58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）与投标人有经济利益关系，可能影响对投标公正评审的；</w:t>
      </w:r>
    </w:p>
    <w:p w14:paraId="0A159E69">
      <w:pPr>
        <w:spacing w:before="153" w:line="279" w:lineRule="auto"/>
        <w:ind w:left="8" w:right="65" w:firstLine="57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）曾因在招标、评标以及其他与招标投标有关活动中从事违法行为而受过行政处罚或刑事处罚的。</w:t>
      </w:r>
    </w:p>
    <w:p w14:paraId="5E30278C">
      <w:pPr>
        <w:spacing w:before="155" w:line="219" w:lineRule="auto"/>
        <w:ind w:left="488"/>
        <w:rPr>
          <w:rFonts w:ascii="宋体" w:hAnsi="宋体" w:eastAsia="宋体" w:cs="宋体"/>
          <w:sz w:val="24"/>
          <w:szCs w:val="24"/>
        </w:rPr>
      </w:pPr>
      <w:r>
        <w:rPr>
          <w:rFonts w:ascii="宋体" w:hAnsi="宋体" w:eastAsia="宋体" w:cs="宋体"/>
          <w:spacing w:val="-1"/>
          <w:sz w:val="24"/>
          <w:szCs w:val="24"/>
        </w:rPr>
        <w:t>评标委员会成员有以上情形之一的，应主动提出回避。</w:t>
      </w:r>
    </w:p>
    <w:p w14:paraId="19399119">
      <w:pPr>
        <w:spacing w:before="154" w:line="279" w:lineRule="auto"/>
        <w:ind w:left="8" w:right="65" w:firstLine="487"/>
        <w:rPr>
          <w:rFonts w:ascii="宋体" w:hAnsi="宋体" w:eastAsia="宋体" w:cs="宋体"/>
          <w:sz w:val="24"/>
          <w:szCs w:val="24"/>
        </w:rPr>
      </w:pPr>
      <w:r>
        <w:rPr>
          <w:rFonts w:ascii="Times New Roman" w:hAnsi="Times New Roman" w:eastAsia="Times New Roman" w:cs="Times New Roman"/>
          <w:b/>
          <w:bCs/>
          <w:spacing w:val="-1"/>
          <w:sz w:val="24"/>
          <w:szCs w:val="24"/>
        </w:rPr>
        <w:t>15.1.3</w:t>
      </w:r>
      <w:r>
        <w:rPr>
          <w:rFonts w:ascii="宋体" w:hAnsi="宋体" w:eastAsia="宋体" w:cs="宋体"/>
          <w:spacing w:val="-1"/>
          <w:sz w:val="24"/>
          <w:szCs w:val="24"/>
        </w:rPr>
        <w:t>评标全过程实行封闭式管理，在中标结果公</w:t>
      </w:r>
      <w:r>
        <w:rPr>
          <w:rFonts w:ascii="宋体" w:hAnsi="宋体" w:eastAsia="宋体" w:cs="宋体"/>
          <w:spacing w:val="-2"/>
          <w:sz w:val="24"/>
          <w:szCs w:val="24"/>
        </w:rPr>
        <w:t>布前，禁止评标委员会成员以</w:t>
      </w:r>
      <w:r>
        <w:rPr>
          <w:rFonts w:ascii="宋体" w:hAnsi="宋体" w:eastAsia="宋体" w:cs="宋体"/>
          <w:spacing w:val="-1"/>
          <w:sz w:val="24"/>
          <w:szCs w:val="24"/>
        </w:rPr>
        <w:t>任何方式私下接触投标人。</w:t>
      </w:r>
    </w:p>
    <w:p w14:paraId="58630E39">
      <w:pPr>
        <w:spacing w:before="157" w:line="298" w:lineRule="auto"/>
        <w:ind w:left="11" w:right="65" w:firstLine="484"/>
        <w:rPr>
          <w:rFonts w:ascii="宋体" w:hAnsi="宋体" w:eastAsia="宋体" w:cs="宋体"/>
          <w:sz w:val="24"/>
          <w:szCs w:val="24"/>
        </w:rPr>
      </w:pPr>
      <w:r>
        <w:rPr>
          <w:rFonts w:ascii="Times New Roman" w:hAnsi="Times New Roman" w:eastAsia="Times New Roman" w:cs="Times New Roman"/>
          <w:b/>
          <w:bCs/>
          <w:spacing w:val="-1"/>
          <w:sz w:val="24"/>
          <w:szCs w:val="24"/>
        </w:rPr>
        <w:t>15.1.4</w:t>
      </w:r>
      <w:r>
        <w:rPr>
          <w:rFonts w:ascii="宋体" w:hAnsi="宋体" w:eastAsia="宋体" w:cs="宋体"/>
          <w:spacing w:val="-1"/>
          <w:sz w:val="24"/>
          <w:szCs w:val="24"/>
        </w:rPr>
        <w:t>在评标过程中，评标委员会可以书面形式要</w:t>
      </w:r>
      <w:r>
        <w:rPr>
          <w:rFonts w:ascii="宋体" w:hAnsi="宋体" w:eastAsia="宋体" w:cs="宋体"/>
          <w:spacing w:val="-2"/>
          <w:sz w:val="24"/>
          <w:szCs w:val="24"/>
        </w:rPr>
        <w:t>求投标人对所提交的投标文件</w:t>
      </w:r>
      <w:r>
        <w:rPr>
          <w:rFonts w:ascii="宋体" w:hAnsi="宋体" w:eastAsia="宋体" w:cs="宋体"/>
          <w:spacing w:val="-1"/>
          <w:sz w:val="24"/>
          <w:szCs w:val="24"/>
        </w:rPr>
        <w:t>中不明确的内容进行书面澄清或说明，但不接受投标人主</w:t>
      </w:r>
      <w:r>
        <w:rPr>
          <w:rFonts w:ascii="宋体" w:hAnsi="宋体" w:eastAsia="宋体" w:cs="宋体"/>
          <w:spacing w:val="-2"/>
          <w:sz w:val="24"/>
          <w:szCs w:val="24"/>
        </w:rPr>
        <w:t>动提出的澄清或说明。投标</w:t>
      </w:r>
      <w:r>
        <w:rPr>
          <w:rFonts w:ascii="宋体" w:hAnsi="宋体" w:eastAsia="宋体" w:cs="宋体"/>
          <w:spacing w:val="-1"/>
          <w:sz w:val="24"/>
          <w:szCs w:val="24"/>
        </w:rPr>
        <w:t>人的书面澄清或说明不得改变投标文件的实质性内容，并</w:t>
      </w:r>
      <w:r>
        <w:rPr>
          <w:rFonts w:ascii="宋体" w:hAnsi="宋体" w:eastAsia="宋体" w:cs="宋体"/>
          <w:spacing w:val="-2"/>
          <w:sz w:val="24"/>
          <w:szCs w:val="24"/>
        </w:rPr>
        <w:t>作为投标文件的组成部分。</w:t>
      </w:r>
    </w:p>
    <w:p w14:paraId="396B6811">
      <w:pPr>
        <w:spacing w:before="156" w:line="309" w:lineRule="auto"/>
        <w:ind w:left="8" w:right="65" w:firstLine="569"/>
        <w:rPr>
          <w:rFonts w:ascii="宋体" w:hAnsi="宋体" w:eastAsia="宋体" w:cs="宋体"/>
          <w:sz w:val="24"/>
          <w:szCs w:val="24"/>
        </w:rPr>
      </w:pPr>
      <w:r>
        <w:rPr>
          <w:rFonts w:ascii="Times New Roman" w:hAnsi="Times New Roman" w:eastAsia="Times New Roman" w:cs="Times New Roman"/>
          <w:b/>
          <w:bCs/>
          <w:spacing w:val="-3"/>
          <w:sz w:val="24"/>
          <w:szCs w:val="24"/>
        </w:rPr>
        <w:t>15.1.5</w:t>
      </w:r>
      <w:r>
        <w:rPr>
          <w:rFonts w:ascii="宋体" w:hAnsi="宋体" w:eastAsia="宋体" w:cs="宋体"/>
          <w:spacing w:val="-3"/>
          <w:sz w:val="24"/>
          <w:szCs w:val="24"/>
        </w:rPr>
        <w:t>在任何评标环节中，当评标委员会就某</w:t>
      </w:r>
      <w:r>
        <w:rPr>
          <w:rFonts w:ascii="宋体" w:hAnsi="宋体" w:eastAsia="宋体" w:cs="宋体"/>
          <w:spacing w:val="-4"/>
          <w:sz w:val="24"/>
          <w:szCs w:val="24"/>
        </w:rPr>
        <w:t>项定性的评审结论不统一、需要做</w:t>
      </w:r>
      <w:r>
        <w:rPr>
          <w:rFonts w:ascii="宋体" w:hAnsi="宋体" w:eastAsia="宋体" w:cs="宋体"/>
          <w:spacing w:val="-1"/>
          <w:sz w:val="24"/>
          <w:szCs w:val="24"/>
        </w:rPr>
        <w:t>出表决时，由评标委员会全体成员按照少数服从多数的原则，以</w:t>
      </w:r>
      <w:r>
        <w:rPr>
          <w:rFonts w:ascii="宋体" w:hAnsi="宋体" w:eastAsia="宋体" w:cs="宋体"/>
          <w:spacing w:val="-2"/>
          <w:sz w:val="24"/>
          <w:szCs w:val="24"/>
        </w:rPr>
        <w:t>记名投票方式表决。</w:t>
      </w:r>
      <w:r>
        <w:rPr>
          <w:rFonts w:ascii="宋体" w:hAnsi="宋体" w:eastAsia="宋体" w:cs="宋体"/>
          <w:spacing w:val="-1"/>
          <w:sz w:val="24"/>
          <w:szCs w:val="24"/>
        </w:rPr>
        <w:t>评标委员会全体成员应共同遵守和执行表决结果，严禁评标委员</w:t>
      </w:r>
      <w:r>
        <w:rPr>
          <w:rFonts w:ascii="宋体" w:hAnsi="宋体" w:eastAsia="宋体" w:cs="宋体"/>
          <w:spacing w:val="-2"/>
          <w:sz w:val="24"/>
          <w:szCs w:val="24"/>
        </w:rPr>
        <w:t>会任何成员将个人意</w:t>
      </w:r>
      <w:r>
        <w:rPr>
          <w:rFonts w:ascii="宋体" w:hAnsi="宋体" w:eastAsia="宋体" w:cs="宋体"/>
          <w:spacing w:val="-1"/>
          <w:sz w:val="24"/>
          <w:szCs w:val="24"/>
        </w:rPr>
        <w:t>见强加给他人、影响评标正常秩序和妨碍评审结论的公正性。</w:t>
      </w:r>
    </w:p>
    <w:p w14:paraId="40C963D7">
      <w:pPr>
        <w:spacing w:before="79" w:line="221" w:lineRule="auto"/>
        <w:ind w:left="577"/>
      </w:pPr>
      <w:r>
        <w:rPr>
          <w:rFonts w:ascii="Times New Roman" w:hAnsi="Times New Roman" w:eastAsia="Times New Roman" w:cs="Times New Roman"/>
          <w:b/>
          <w:bCs/>
          <w:spacing w:val="-2"/>
          <w:sz w:val="24"/>
          <w:szCs w:val="24"/>
        </w:rPr>
        <w:t>15.2</w:t>
      </w:r>
      <w:r>
        <w:rPr>
          <w:rFonts w:ascii="宋体" w:hAnsi="宋体" w:eastAsia="宋体" w:cs="宋体"/>
          <w:spacing w:val="-2"/>
          <w:sz w:val="24"/>
          <w:szCs w:val="24"/>
        </w:rPr>
        <w:t>评标方法</w:t>
      </w:r>
    </w:p>
    <w:p w14:paraId="1080D71F">
      <w:pPr>
        <w:pStyle w:val="5"/>
        <w:spacing w:line="272" w:lineRule="auto"/>
      </w:pPr>
    </w:p>
    <w:p w14:paraId="06EF7ED8">
      <w:pPr>
        <w:spacing w:before="78" w:line="326" w:lineRule="auto"/>
        <w:ind w:left="231" w:right="181" w:firstLine="560"/>
      </w:pPr>
      <w:bookmarkStart w:id="66" w:name="bookmark125"/>
      <w:bookmarkEnd w:id="66"/>
      <w:r>
        <w:rPr>
          <w:rFonts w:ascii="宋体" w:hAnsi="宋体" w:eastAsia="宋体" w:cs="宋体"/>
          <w:spacing w:val="-4"/>
          <w:sz w:val="24"/>
          <w:szCs w:val="24"/>
        </w:rPr>
        <w:t>根据有关法律、法规的相关规定，结合本招标项目资金来源和规模特点，本次招</w:t>
      </w:r>
      <w:r>
        <w:rPr>
          <w:rFonts w:ascii="宋体" w:hAnsi="宋体" w:eastAsia="宋体" w:cs="宋体"/>
          <w:spacing w:val="-1"/>
          <w:sz w:val="24"/>
          <w:szCs w:val="24"/>
        </w:rPr>
        <w:t>标采用</w:t>
      </w:r>
      <w:r>
        <w:rPr>
          <w:rFonts w:ascii="宋体" w:hAnsi="宋体" w:eastAsia="宋体" w:cs="宋体"/>
          <w:b/>
          <w:bCs/>
          <w:spacing w:val="-4"/>
          <w:sz w:val="24"/>
          <w:szCs w:val="24"/>
          <w:u w:val="single"/>
        </w:rPr>
        <w:t>综合评估法</w:t>
      </w:r>
      <w:r>
        <w:rPr>
          <w:rFonts w:ascii="宋体" w:hAnsi="宋体" w:eastAsia="宋体" w:cs="宋体"/>
          <w:spacing w:val="-4"/>
          <w:sz w:val="24"/>
          <w:szCs w:val="24"/>
          <w:u w:val="single"/>
        </w:rPr>
        <w:t>（</w:t>
      </w:r>
      <w:r>
        <w:rPr>
          <w:rFonts w:ascii="宋体" w:hAnsi="宋体" w:eastAsia="宋体" w:cs="宋体"/>
          <w:spacing w:val="-1"/>
          <w:sz w:val="24"/>
          <w:szCs w:val="24"/>
        </w:rPr>
        <w:t>评标方法名称）进行评标。</w:t>
      </w:r>
    </w:p>
    <w:p w14:paraId="16C57787">
      <w:pPr>
        <w:spacing w:before="154" w:line="269" w:lineRule="auto"/>
        <w:ind w:left="220" w:right="33" w:firstLine="496"/>
        <w:rPr>
          <w:rFonts w:ascii="宋体" w:hAnsi="宋体" w:eastAsia="宋体" w:cs="宋体"/>
          <w:sz w:val="25"/>
          <w:szCs w:val="25"/>
        </w:rPr>
      </w:pPr>
      <w:r>
        <w:rPr>
          <w:rFonts w:ascii="Times New Roman" w:hAnsi="Times New Roman" w:eastAsia="Times New Roman" w:cs="Times New Roman"/>
          <w:b/>
          <w:bCs/>
          <w:spacing w:val="-3"/>
          <w:sz w:val="24"/>
          <w:szCs w:val="24"/>
        </w:rPr>
        <w:t>15.3</w:t>
      </w:r>
      <w:r>
        <w:rPr>
          <w:rFonts w:ascii="宋体" w:hAnsi="宋体" w:eastAsia="宋体" w:cs="宋体"/>
          <w:spacing w:val="-3"/>
          <w:sz w:val="24"/>
          <w:szCs w:val="24"/>
        </w:rPr>
        <w:t>评审范围：评标委员会应对所有投标人的投标文件进行评审。</w:t>
      </w:r>
    </w:p>
    <w:p w14:paraId="7697279F">
      <w:pPr>
        <w:spacing w:before="153" w:line="220" w:lineRule="auto"/>
        <w:ind w:left="716"/>
        <w:rPr>
          <w:rFonts w:ascii="宋体" w:hAnsi="宋体" w:eastAsia="宋体" w:cs="宋体"/>
          <w:sz w:val="24"/>
          <w:szCs w:val="24"/>
        </w:rPr>
      </w:pPr>
      <w:r>
        <w:rPr>
          <w:rFonts w:ascii="Times New Roman" w:hAnsi="Times New Roman" w:eastAsia="Times New Roman" w:cs="Times New Roman"/>
          <w:b/>
          <w:bCs/>
          <w:spacing w:val="-2"/>
          <w:sz w:val="24"/>
          <w:szCs w:val="24"/>
        </w:rPr>
        <w:t>15.4</w:t>
      </w:r>
      <w:r>
        <w:rPr>
          <w:rFonts w:ascii="宋体" w:hAnsi="宋体" w:eastAsia="宋体" w:cs="宋体"/>
          <w:spacing w:val="-2"/>
          <w:sz w:val="24"/>
          <w:szCs w:val="24"/>
        </w:rPr>
        <w:t>初步评审阶段</w:t>
      </w:r>
    </w:p>
    <w:p w14:paraId="063C7B90">
      <w:pPr>
        <w:spacing w:before="153" w:line="220" w:lineRule="auto"/>
        <w:ind w:left="709"/>
        <w:rPr>
          <w:rFonts w:ascii="宋体" w:hAnsi="宋体" w:eastAsia="宋体" w:cs="宋体"/>
          <w:sz w:val="24"/>
          <w:szCs w:val="24"/>
        </w:rPr>
      </w:pPr>
      <w:r>
        <w:rPr>
          <w:rFonts w:ascii="宋体" w:hAnsi="宋体" w:eastAsia="宋体" w:cs="宋体"/>
          <w:spacing w:val="-1"/>
          <w:sz w:val="24"/>
          <w:szCs w:val="24"/>
        </w:rPr>
        <w:t>初步评审阶段分为资格评审、形式评审和响应性评审三个环节。</w:t>
      </w:r>
    </w:p>
    <w:p w14:paraId="614389AE">
      <w:pPr>
        <w:spacing w:before="155" w:line="279" w:lineRule="auto"/>
        <w:ind w:left="719" w:right="6303" w:hanging="3"/>
        <w:rPr>
          <w:rFonts w:ascii="宋体" w:hAnsi="宋体" w:eastAsia="宋体" w:cs="宋体"/>
          <w:sz w:val="24"/>
          <w:szCs w:val="24"/>
        </w:rPr>
      </w:pPr>
      <w:r>
        <w:rPr>
          <w:rFonts w:ascii="Times New Roman" w:hAnsi="Times New Roman" w:eastAsia="Times New Roman" w:cs="Times New Roman"/>
          <w:b/>
          <w:bCs/>
          <w:spacing w:val="-3"/>
          <w:sz w:val="24"/>
          <w:szCs w:val="24"/>
        </w:rPr>
        <w:t>15.4.1</w:t>
      </w:r>
      <w:r>
        <w:rPr>
          <w:rFonts w:ascii="宋体" w:hAnsi="宋体" w:eastAsia="宋体" w:cs="宋体"/>
          <w:spacing w:val="-3"/>
          <w:sz w:val="24"/>
          <w:szCs w:val="24"/>
        </w:rPr>
        <w:t>资格评审环节资格评审事项包括：</w:t>
      </w:r>
    </w:p>
    <w:p w14:paraId="24E7DDB0">
      <w:pPr>
        <w:spacing w:before="152" w:line="315" w:lineRule="auto"/>
        <w:ind w:left="231" w:firstLine="490"/>
        <w:rPr>
          <w:rFonts w:ascii="宋体" w:hAnsi="宋体" w:eastAsia="宋体" w:cs="宋体"/>
          <w:color w:val="auto"/>
          <w:sz w:val="24"/>
          <w:szCs w:val="24"/>
        </w:rPr>
      </w:pPr>
      <w:r>
        <w:rPr>
          <w:rFonts w:ascii="宋体" w:hAnsi="宋体" w:eastAsia="宋体" w:cs="宋体"/>
          <w:color w:val="auto"/>
          <w:spacing w:val="-4"/>
          <w:sz w:val="24"/>
          <w:szCs w:val="24"/>
        </w:rPr>
        <w:t>（</w:t>
      </w:r>
      <w:r>
        <w:rPr>
          <w:rFonts w:ascii="Times New Roman" w:hAnsi="Times New Roman" w:eastAsia="Times New Roman" w:cs="Times New Roman"/>
          <w:color w:val="auto"/>
          <w:spacing w:val="-4"/>
          <w:sz w:val="24"/>
          <w:szCs w:val="24"/>
        </w:rPr>
        <w:t>1</w:t>
      </w:r>
      <w:r>
        <w:rPr>
          <w:rFonts w:ascii="宋体" w:hAnsi="宋体" w:eastAsia="宋体" w:cs="宋体"/>
          <w:color w:val="auto"/>
          <w:spacing w:val="-4"/>
          <w:sz w:val="24"/>
          <w:szCs w:val="24"/>
        </w:rPr>
        <w:t>）投标人是否符合本章第三节第</w:t>
      </w:r>
      <w:r>
        <w:rPr>
          <w:rFonts w:ascii="Times New Roman" w:hAnsi="Times New Roman" w:eastAsia="Times New Roman" w:cs="Times New Roman"/>
          <w:b/>
          <w:bCs/>
          <w:color w:val="auto"/>
          <w:spacing w:val="-4"/>
          <w:sz w:val="24"/>
          <w:szCs w:val="24"/>
        </w:rPr>
        <w:t>2.4</w:t>
      </w:r>
      <w:r>
        <w:rPr>
          <w:rFonts w:ascii="宋体" w:hAnsi="宋体" w:eastAsia="宋体" w:cs="宋体"/>
          <w:color w:val="auto"/>
          <w:spacing w:val="-4"/>
          <w:sz w:val="24"/>
          <w:szCs w:val="24"/>
        </w:rPr>
        <w:t>条“禁止投标条款”规定。</w:t>
      </w:r>
      <w:r>
        <w:rPr>
          <w:rFonts w:ascii="宋体" w:hAnsi="宋体" w:eastAsia="宋体" w:cs="宋体"/>
          <w:color w:val="auto"/>
          <w:spacing w:val="-5"/>
          <w:sz w:val="24"/>
          <w:szCs w:val="24"/>
        </w:rPr>
        <w:t>如果“禁止投</w:t>
      </w:r>
      <w:r>
        <w:rPr>
          <w:rFonts w:ascii="宋体" w:hAnsi="宋体" w:eastAsia="宋体" w:cs="宋体"/>
          <w:color w:val="auto"/>
          <w:spacing w:val="-2"/>
          <w:sz w:val="24"/>
          <w:szCs w:val="24"/>
        </w:rPr>
        <w:t>标条款”包括失信惩戒的，投标人信用信息的获取采用现场实时查询的</w:t>
      </w:r>
      <w:r>
        <w:rPr>
          <w:rFonts w:ascii="宋体" w:hAnsi="宋体" w:eastAsia="宋体" w:cs="宋体"/>
          <w:color w:val="auto"/>
          <w:spacing w:val="-3"/>
          <w:sz w:val="24"/>
          <w:szCs w:val="24"/>
        </w:rPr>
        <w:t>方式实施。由</w:t>
      </w:r>
      <w:r>
        <w:rPr>
          <w:rFonts w:ascii="宋体" w:hAnsi="宋体" w:eastAsia="宋体" w:cs="宋体"/>
          <w:color w:val="auto"/>
          <w:spacing w:val="-1"/>
          <w:sz w:val="24"/>
          <w:szCs w:val="24"/>
        </w:rPr>
        <w:t>招标代理机构工作人员在评标委员会成员、交易场所工作人</w:t>
      </w:r>
      <w:r>
        <w:rPr>
          <w:rFonts w:ascii="宋体" w:hAnsi="宋体" w:eastAsia="宋体" w:cs="宋体"/>
          <w:color w:val="auto"/>
          <w:spacing w:val="-2"/>
          <w:sz w:val="24"/>
          <w:szCs w:val="24"/>
        </w:rPr>
        <w:t>员共同见证下，登录信用</w:t>
      </w:r>
      <w:r>
        <w:rPr>
          <w:rFonts w:ascii="宋体" w:hAnsi="宋体" w:eastAsia="宋体" w:cs="宋体"/>
          <w:color w:val="auto"/>
          <w:spacing w:val="1"/>
          <w:sz w:val="24"/>
          <w:szCs w:val="24"/>
        </w:rPr>
        <w:t>中国网站（</w:t>
      </w:r>
      <w:r>
        <w:rPr>
          <w:rFonts w:ascii="Times New Roman" w:hAnsi="Times New Roman" w:eastAsia="Times New Roman" w:cs="Times New Roman"/>
          <w:color w:val="auto"/>
          <w:sz w:val="24"/>
          <w:szCs w:val="24"/>
        </w:rPr>
        <w:t>https</w:t>
      </w:r>
      <w:r>
        <w:rPr>
          <w:rFonts w:ascii="Times New Roman" w:hAnsi="Times New Roman" w:eastAsia="Times New Roman" w:cs="Times New Roman"/>
          <w:color w:val="auto"/>
          <w:spacing w:val="1"/>
          <w:sz w:val="24"/>
          <w:szCs w:val="24"/>
        </w:rPr>
        <w:t>://</w:t>
      </w:r>
      <w:r>
        <w:rPr>
          <w:rFonts w:ascii="Times New Roman" w:hAnsi="Times New Roman" w:eastAsia="Times New Roman" w:cs="Times New Roman"/>
          <w:color w:val="auto"/>
          <w:sz w:val="24"/>
          <w:szCs w:val="24"/>
        </w:rPr>
        <w:t>www</w:t>
      </w:r>
      <w:r>
        <w:rPr>
          <w:rFonts w:ascii="Times New Roman" w:hAnsi="Times New Roman" w:eastAsia="Times New Roman" w:cs="Times New Roman"/>
          <w:color w:val="auto"/>
          <w:spacing w:val="1"/>
          <w:sz w:val="24"/>
          <w:szCs w:val="24"/>
        </w:rPr>
        <w:t>.</w:t>
      </w:r>
      <w:r>
        <w:rPr>
          <w:rFonts w:ascii="Times New Roman" w:hAnsi="Times New Roman" w:eastAsia="Times New Roman" w:cs="Times New Roman"/>
          <w:color w:val="auto"/>
          <w:sz w:val="24"/>
          <w:szCs w:val="24"/>
        </w:rPr>
        <w:t>creditchina</w:t>
      </w:r>
      <w:r>
        <w:rPr>
          <w:rFonts w:ascii="Times New Roman" w:hAnsi="Times New Roman" w:eastAsia="Times New Roman" w:cs="Times New Roman"/>
          <w:color w:val="auto"/>
          <w:spacing w:val="1"/>
          <w:sz w:val="24"/>
          <w:szCs w:val="24"/>
        </w:rPr>
        <w:t>.</w:t>
      </w:r>
      <w:r>
        <w:rPr>
          <w:rFonts w:ascii="Times New Roman" w:hAnsi="Times New Roman" w:eastAsia="Times New Roman" w:cs="Times New Roman"/>
          <w:color w:val="auto"/>
          <w:sz w:val="24"/>
          <w:szCs w:val="24"/>
        </w:rPr>
        <w:t>gov</w:t>
      </w:r>
      <w:r>
        <w:rPr>
          <w:rFonts w:ascii="Times New Roman" w:hAnsi="Times New Roman" w:eastAsia="Times New Roman" w:cs="Times New Roman"/>
          <w:color w:val="auto"/>
          <w:spacing w:val="1"/>
          <w:sz w:val="24"/>
          <w:szCs w:val="24"/>
        </w:rPr>
        <w:t>.</w:t>
      </w:r>
      <w:r>
        <w:rPr>
          <w:rFonts w:ascii="Times New Roman" w:hAnsi="Times New Roman" w:eastAsia="Times New Roman" w:cs="Times New Roman"/>
          <w:color w:val="auto"/>
          <w:sz w:val="24"/>
          <w:szCs w:val="24"/>
        </w:rPr>
        <w:t>cn</w:t>
      </w:r>
      <w:r>
        <w:rPr>
          <w:rFonts w:ascii="宋体" w:hAnsi="宋体" w:eastAsia="宋体" w:cs="宋体"/>
          <w:color w:val="auto"/>
          <w:spacing w:val="12"/>
          <w:sz w:val="24"/>
          <w:szCs w:val="24"/>
        </w:rPr>
        <w:t>），</w:t>
      </w:r>
      <w:r>
        <w:rPr>
          <w:rFonts w:ascii="宋体" w:hAnsi="宋体" w:eastAsia="宋体" w:cs="宋体"/>
          <w:color w:val="auto"/>
          <w:spacing w:val="1"/>
          <w:sz w:val="24"/>
          <w:szCs w:val="24"/>
        </w:rPr>
        <w:t>在企业查询界面下载和打印《法人和非</w:t>
      </w:r>
      <w:r>
        <w:rPr>
          <w:rFonts w:ascii="宋体" w:hAnsi="宋体" w:eastAsia="宋体" w:cs="宋体"/>
          <w:color w:val="auto"/>
          <w:spacing w:val="-2"/>
          <w:sz w:val="24"/>
          <w:szCs w:val="24"/>
        </w:rPr>
        <w:t>法人组织公共信用信息报告》，作为评审依据移交评标委员会。</w:t>
      </w:r>
    </w:p>
    <w:p w14:paraId="59A70AF3">
      <w:pPr>
        <w:spacing w:before="155" w:line="219" w:lineRule="auto"/>
        <w:ind w:left="721"/>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2</w:t>
      </w:r>
      <w:r>
        <w:rPr>
          <w:rFonts w:ascii="宋体" w:hAnsi="宋体" w:eastAsia="宋体" w:cs="宋体"/>
          <w:color w:val="auto"/>
          <w:spacing w:val="-1"/>
          <w:sz w:val="24"/>
          <w:szCs w:val="24"/>
        </w:rPr>
        <w:t>）投标人名称是否与营业执照、资质证书、安全生产许可证一致。</w:t>
      </w:r>
    </w:p>
    <w:p w14:paraId="222A5914">
      <w:pPr>
        <w:keepNext w:val="0"/>
        <w:keepLines w:val="0"/>
        <w:pageBreakBefore w:val="0"/>
        <w:widowControl/>
        <w:kinsoku w:val="0"/>
        <w:wordWrap w:val="0"/>
        <w:overflowPunct/>
        <w:topLinePunct w:val="0"/>
        <w:autoSpaceDE w:val="0"/>
        <w:autoSpaceDN w:val="0"/>
        <w:bidi w:val="0"/>
        <w:adjustRightInd w:val="0"/>
        <w:snapToGrid w:val="0"/>
        <w:spacing w:before="155" w:line="284" w:lineRule="auto"/>
        <w:ind w:left="232" w:right="96" w:firstLine="488"/>
        <w:textAlignment w:val="baseline"/>
        <w:rPr>
          <w:rFonts w:ascii="宋体" w:hAnsi="宋体" w:eastAsia="宋体" w:cs="宋体"/>
          <w:color w:val="auto"/>
          <w:spacing w:val="-1"/>
          <w:position w:val="3"/>
          <w:sz w:val="24"/>
          <w:szCs w:val="24"/>
        </w:rPr>
      </w:pPr>
      <w:r>
        <w:rPr>
          <w:rFonts w:ascii="宋体" w:hAnsi="宋体" w:eastAsia="宋体" w:cs="宋体"/>
          <w:color w:val="auto"/>
          <w:spacing w:val="2"/>
          <w:sz w:val="24"/>
          <w:szCs w:val="24"/>
        </w:rPr>
        <w:t>（</w:t>
      </w:r>
      <w:r>
        <w:rPr>
          <w:rFonts w:ascii="Times New Roman" w:hAnsi="Times New Roman" w:eastAsia="Times New Roman" w:cs="Times New Roman"/>
          <w:color w:val="auto"/>
          <w:spacing w:val="2"/>
          <w:sz w:val="24"/>
          <w:szCs w:val="24"/>
        </w:rPr>
        <w:t>3</w:t>
      </w:r>
      <w:r>
        <w:rPr>
          <w:rFonts w:ascii="宋体" w:hAnsi="宋体" w:eastAsia="宋体" w:cs="宋体"/>
          <w:color w:val="auto"/>
          <w:spacing w:val="2"/>
          <w:sz w:val="24"/>
          <w:szCs w:val="24"/>
        </w:rPr>
        <w:t>）投标人的资质是否符合招标文件规定；其营业执照、</w:t>
      </w:r>
      <w:r>
        <w:rPr>
          <w:rFonts w:ascii="宋体" w:hAnsi="宋体" w:eastAsia="宋体" w:cs="宋体"/>
          <w:color w:val="auto"/>
          <w:spacing w:val="1"/>
          <w:sz w:val="24"/>
          <w:szCs w:val="24"/>
        </w:rPr>
        <w:t>资质证书、安全生产</w:t>
      </w:r>
      <w:r>
        <w:rPr>
          <w:rFonts w:ascii="宋体" w:hAnsi="宋体" w:eastAsia="宋体" w:cs="宋体"/>
          <w:color w:val="auto"/>
          <w:sz w:val="24"/>
          <w:szCs w:val="24"/>
        </w:rPr>
        <w:t>许可证（含实时网页查询页，可参考网址</w:t>
      </w:r>
      <w:r>
        <w:rPr>
          <w:rFonts w:ascii="Times New Roman" w:hAnsi="Times New Roman" w:eastAsia="Times New Roman" w:cs="Times New Roman"/>
          <w:color w:val="auto"/>
          <w:sz w:val="24"/>
          <w:szCs w:val="24"/>
        </w:rPr>
        <w:t>https://zlaq.mohurd.gov.cn/fwmh/bjxcjgl/fwm</w:t>
      </w:r>
      <w:bookmarkStart w:id="67" w:name="bookmark126"/>
      <w:bookmarkEnd w:id="67"/>
      <w:r>
        <w:rPr>
          <w:rFonts w:ascii="Times New Roman" w:hAnsi="Times New Roman" w:eastAsia="Times New Roman" w:cs="Times New Roman"/>
          <w:color w:val="auto"/>
          <w:position w:val="3"/>
          <w:sz w:val="24"/>
          <w:szCs w:val="24"/>
        </w:rPr>
        <w:t>h/pages/construction_safety/qyaqscxkz/qyaqscxkz</w:t>
      </w:r>
      <w:r>
        <w:rPr>
          <w:rFonts w:ascii="宋体" w:hAnsi="宋体" w:eastAsia="宋体" w:cs="宋体"/>
          <w:color w:val="auto"/>
          <w:position w:val="3"/>
          <w:sz w:val="24"/>
          <w:szCs w:val="24"/>
        </w:rPr>
        <w:t>）是否合法、有效、</w:t>
      </w:r>
      <w:r>
        <w:rPr>
          <w:rFonts w:ascii="宋体" w:hAnsi="宋体" w:eastAsia="宋体" w:cs="宋体"/>
          <w:color w:val="auto"/>
          <w:spacing w:val="-1"/>
          <w:position w:val="3"/>
          <w:sz w:val="24"/>
          <w:szCs w:val="24"/>
        </w:rPr>
        <w:t>准确。</w:t>
      </w:r>
    </w:p>
    <w:p w14:paraId="5C1F4FA4">
      <w:pPr>
        <w:keepNext w:val="0"/>
        <w:keepLines w:val="0"/>
        <w:pageBreakBefore w:val="0"/>
        <w:widowControl/>
        <w:kinsoku w:val="0"/>
        <w:wordWrap w:val="0"/>
        <w:overflowPunct/>
        <w:topLinePunct w:val="0"/>
        <w:autoSpaceDE w:val="0"/>
        <w:autoSpaceDN w:val="0"/>
        <w:bidi w:val="0"/>
        <w:adjustRightInd w:val="0"/>
        <w:snapToGrid w:val="0"/>
        <w:spacing w:before="155" w:line="284" w:lineRule="auto"/>
        <w:ind w:left="232" w:right="96" w:firstLine="488"/>
        <w:textAlignment w:val="baseline"/>
        <w:rPr>
          <w:rFonts w:ascii="宋体" w:hAnsi="宋体" w:eastAsia="宋体" w:cs="宋体"/>
          <w:spacing w:val="-1"/>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4</w:t>
      </w:r>
      <w:r>
        <w:rPr>
          <w:rFonts w:ascii="宋体" w:hAnsi="宋体" w:eastAsia="宋体" w:cs="宋体"/>
          <w:color w:val="auto"/>
          <w:spacing w:val="-1"/>
          <w:sz w:val="24"/>
          <w:szCs w:val="24"/>
        </w:rPr>
        <w:t>）《项目经理简历表》中拟派项目经理是否与《开标一览表》一致</w:t>
      </w:r>
      <w:r>
        <w:rPr>
          <w:rFonts w:ascii="宋体" w:hAnsi="宋体" w:eastAsia="宋体" w:cs="宋体"/>
          <w:spacing w:val="-1"/>
          <w:sz w:val="24"/>
          <w:szCs w:val="24"/>
        </w:rPr>
        <w:t>。</w:t>
      </w:r>
    </w:p>
    <w:p w14:paraId="1C6A8982">
      <w:pPr>
        <w:keepNext w:val="0"/>
        <w:keepLines w:val="0"/>
        <w:pageBreakBefore w:val="0"/>
        <w:widowControl/>
        <w:kinsoku w:val="0"/>
        <w:wordWrap w:val="0"/>
        <w:overflowPunct/>
        <w:topLinePunct w:val="0"/>
        <w:autoSpaceDE w:val="0"/>
        <w:autoSpaceDN w:val="0"/>
        <w:bidi w:val="0"/>
        <w:adjustRightInd w:val="0"/>
        <w:snapToGrid w:val="0"/>
        <w:spacing w:before="155" w:line="284" w:lineRule="auto"/>
        <w:ind w:left="232" w:right="96" w:firstLine="488"/>
        <w:textAlignment w:val="baseline"/>
        <w:rPr>
          <w:rFonts w:ascii="宋体" w:hAnsi="宋体" w:eastAsia="宋体" w:cs="宋体"/>
          <w:color w:val="auto"/>
          <w:spacing w:val="-1"/>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）拟派项目经理、项目技术负责人、专职安全员的条件</w:t>
      </w:r>
      <w:r>
        <w:rPr>
          <w:rFonts w:ascii="宋体" w:hAnsi="宋体" w:eastAsia="宋体" w:cs="宋体"/>
          <w:spacing w:val="1"/>
          <w:sz w:val="24"/>
          <w:szCs w:val="24"/>
        </w:rPr>
        <w:t>是否符合招标文件规</w:t>
      </w:r>
      <w:r>
        <w:rPr>
          <w:rFonts w:ascii="宋体" w:hAnsi="宋体" w:eastAsia="宋体" w:cs="宋体"/>
          <w:spacing w:val="-1"/>
          <w:sz w:val="24"/>
          <w:szCs w:val="24"/>
        </w:rPr>
        <w:t>定；</w:t>
      </w:r>
      <w:r>
        <w:rPr>
          <w:rFonts w:ascii="宋体" w:hAnsi="宋体" w:eastAsia="宋体" w:cs="宋体"/>
          <w:color w:val="auto"/>
          <w:spacing w:val="-1"/>
          <w:sz w:val="24"/>
          <w:szCs w:val="24"/>
        </w:rPr>
        <w:t>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03E22A8D">
      <w:pPr>
        <w:spacing w:before="156" w:line="298" w:lineRule="auto"/>
        <w:ind w:left="9" w:firstLine="49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6</w:t>
      </w:r>
      <w:r>
        <w:rPr>
          <w:rFonts w:ascii="宋体" w:hAnsi="宋体" w:eastAsia="宋体" w:cs="宋体"/>
          <w:spacing w:val="2"/>
          <w:sz w:val="24"/>
          <w:szCs w:val="24"/>
        </w:rPr>
        <w:t>）联合体投标的，是否提交《联合体协议书》；是否擅</w:t>
      </w:r>
      <w:r>
        <w:rPr>
          <w:rFonts w:ascii="宋体" w:hAnsi="宋体" w:eastAsia="宋体" w:cs="宋体"/>
          <w:spacing w:val="1"/>
          <w:sz w:val="24"/>
          <w:szCs w:val="24"/>
        </w:rPr>
        <w:t>自修改、遗漏《联合</w:t>
      </w:r>
      <w:r>
        <w:rPr>
          <w:rFonts w:ascii="宋体" w:hAnsi="宋体" w:eastAsia="宋体" w:cs="宋体"/>
          <w:spacing w:val="-1"/>
          <w:sz w:val="24"/>
          <w:szCs w:val="24"/>
        </w:rPr>
        <w:t>体协议书》的实质性内容；联合体成员的数量、资质是否符合</w:t>
      </w:r>
      <w:r>
        <w:rPr>
          <w:rFonts w:ascii="宋体" w:hAnsi="宋体" w:eastAsia="宋体" w:cs="宋体"/>
          <w:spacing w:val="-2"/>
          <w:sz w:val="24"/>
          <w:szCs w:val="24"/>
        </w:rPr>
        <w:t>招标文件规定；联合体</w:t>
      </w:r>
      <w:r>
        <w:rPr>
          <w:rFonts w:ascii="宋体" w:hAnsi="宋体" w:eastAsia="宋体" w:cs="宋体"/>
          <w:sz w:val="24"/>
          <w:szCs w:val="24"/>
        </w:rPr>
        <w:t>成员是否以自己名义单独或者参加其他联合</w:t>
      </w:r>
      <w:r>
        <w:rPr>
          <w:rFonts w:ascii="宋体" w:hAnsi="宋体" w:eastAsia="宋体" w:cs="宋体"/>
          <w:spacing w:val="-1"/>
          <w:sz w:val="24"/>
          <w:szCs w:val="24"/>
        </w:rPr>
        <w:t>体参与本招标项目投标。</w:t>
      </w:r>
    </w:p>
    <w:p w14:paraId="4FD7B391">
      <w:pPr>
        <w:spacing w:before="155" w:line="360" w:lineRule="auto"/>
        <w:ind w:left="8" w:right="2" w:firstLine="492"/>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7</w:t>
      </w:r>
      <w:r>
        <w:rPr>
          <w:rFonts w:ascii="宋体" w:hAnsi="宋体" w:eastAsia="宋体" w:cs="宋体"/>
          <w:spacing w:val="2"/>
          <w:sz w:val="24"/>
          <w:szCs w:val="24"/>
        </w:rPr>
        <w:t>）投标人为外省建筑企业的，是否按规定在“进粤</w:t>
      </w:r>
      <w:r>
        <w:rPr>
          <w:rFonts w:ascii="宋体" w:hAnsi="宋体" w:eastAsia="宋体" w:cs="宋体"/>
          <w:spacing w:val="1"/>
          <w:sz w:val="24"/>
          <w:szCs w:val="24"/>
        </w:rPr>
        <w:t>企业和人员诚信信息登记</w:t>
      </w:r>
      <w:r>
        <w:rPr>
          <w:rFonts w:ascii="宋体" w:hAnsi="宋体" w:eastAsia="宋体" w:cs="宋体"/>
          <w:spacing w:val="-2"/>
          <w:sz w:val="24"/>
          <w:szCs w:val="24"/>
        </w:rPr>
        <w:t>平台”录入企业及其拟派人员有关信息并通过数据规范检查。</w:t>
      </w:r>
    </w:p>
    <w:p w14:paraId="3116310B">
      <w:pPr>
        <w:spacing w:before="15" w:line="360" w:lineRule="auto"/>
        <w:ind w:right="2" w:firstLine="472" w:firstLineChars="200"/>
        <w:jc w:val="both"/>
        <w:outlineLvl w:val="2"/>
        <w:rPr>
          <w:rFonts w:ascii="宋体" w:hAnsi="宋体" w:eastAsia="宋体" w:cs="宋体"/>
          <w:color w:val="auto"/>
          <w:spacing w:val="1"/>
          <w:sz w:val="24"/>
          <w:szCs w:val="24"/>
          <w:lang w:eastAsia="zh-CN"/>
        </w:rPr>
      </w:pPr>
      <w:r>
        <w:rPr>
          <w:rFonts w:ascii="Times New Roman" w:hAnsi="Times New Roman" w:eastAsia="Times New Roman" w:cs="Times New Roman"/>
          <w:b/>
          <w:bCs/>
          <w:spacing w:val="-2"/>
          <w:sz w:val="24"/>
          <w:szCs w:val="24"/>
        </w:rPr>
        <w:t>15.4.2</w:t>
      </w:r>
      <w:r>
        <w:rPr>
          <w:rFonts w:ascii="宋体" w:hAnsi="宋体" w:eastAsia="宋体" w:cs="宋体"/>
          <w:color w:val="auto"/>
          <w:spacing w:val="1"/>
          <w:sz w:val="24"/>
          <w:szCs w:val="24"/>
        </w:rPr>
        <w:t>形式评审环节形式评审事</w:t>
      </w:r>
      <w:r>
        <w:rPr>
          <w:rFonts w:hint="eastAsia" w:ascii="宋体" w:hAnsi="宋体" w:eastAsia="宋体" w:cs="宋体"/>
          <w:color w:val="auto"/>
          <w:spacing w:val="1"/>
          <w:sz w:val="24"/>
          <w:szCs w:val="24"/>
          <w:lang w:eastAsia="zh-CN"/>
        </w:rPr>
        <w:t>项包括</w:t>
      </w:r>
    </w:p>
    <w:p w14:paraId="707E95D9">
      <w:pPr>
        <w:spacing w:before="40" w:line="360" w:lineRule="auto"/>
        <w:ind w:left="501"/>
        <w:outlineLvl w:val="0"/>
        <w:rPr>
          <w:rFonts w:ascii="宋体" w:hAnsi="宋体" w:eastAsia="宋体" w:cs="宋体"/>
          <w:color w:val="auto"/>
          <w:sz w:val="24"/>
          <w:szCs w:val="24"/>
        </w:rPr>
      </w:pPr>
      <w:bookmarkStart w:id="68" w:name="_Toc13304"/>
      <w:bookmarkStart w:id="69" w:name="_Toc20481"/>
      <w:bookmarkStart w:id="70" w:name="_Toc23632"/>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1</w:t>
      </w:r>
      <w:r>
        <w:rPr>
          <w:rFonts w:ascii="宋体" w:hAnsi="宋体" w:eastAsia="宋体" w:cs="宋体"/>
          <w:color w:val="auto"/>
          <w:spacing w:val="-1"/>
          <w:sz w:val="24"/>
          <w:szCs w:val="24"/>
        </w:rPr>
        <w:t>）各分册是否按招标文件规定加盖电子印章。</w:t>
      </w:r>
      <w:bookmarkEnd w:id="68"/>
      <w:bookmarkEnd w:id="69"/>
      <w:bookmarkEnd w:id="70"/>
    </w:p>
    <w:p w14:paraId="0F13A460">
      <w:pPr>
        <w:spacing w:before="15" w:line="360" w:lineRule="auto"/>
        <w:ind w:firstLine="464" w:firstLineChars="200"/>
        <w:outlineLvl w:val="2"/>
        <w:rPr>
          <w:rFonts w:ascii="Times New Roman" w:hAnsi="Times New Roman" w:eastAsia="Times New Roman" w:cs="Times New Roman"/>
          <w:color w:val="auto"/>
          <w:spacing w:val="-1"/>
          <w:sz w:val="24"/>
          <w:szCs w:val="24"/>
        </w:rPr>
      </w:pPr>
      <w:bookmarkStart w:id="71" w:name="_Toc28409"/>
      <w:bookmarkStart w:id="72" w:name="_Toc27432"/>
      <w:bookmarkStart w:id="73" w:name="_Toc10806"/>
      <w:r>
        <w:rPr>
          <w:rFonts w:ascii="宋体" w:hAnsi="宋体" w:eastAsia="宋体" w:cs="宋体"/>
          <w:color w:val="auto"/>
          <w:spacing w:val="-4"/>
          <w:sz w:val="24"/>
          <w:szCs w:val="24"/>
        </w:rPr>
        <w:t>（</w:t>
      </w:r>
      <w:r>
        <w:rPr>
          <w:rFonts w:ascii="Times New Roman" w:hAnsi="Times New Roman" w:eastAsia="Times New Roman" w:cs="Times New Roman"/>
          <w:color w:val="auto"/>
          <w:spacing w:val="-4"/>
          <w:sz w:val="24"/>
          <w:szCs w:val="24"/>
        </w:rPr>
        <w:t>2</w:t>
      </w:r>
      <w:r>
        <w:rPr>
          <w:rFonts w:ascii="宋体" w:hAnsi="宋体" w:eastAsia="宋体" w:cs="宋体"/>
          <w:color w:val="auto"/>
          <w:spacing w:val="-4"/>
          <w:sz w:val="24"/>
          <w:szCs w:val="24"/>
        </w:rPr>
        <w:t>）本节第</w:t>
      </w:r>
      <w:r>
        <w:rPr>
          <w:rFonts w:ascii="Times New Roman" w:hAnsi="Times New Roman" w:eastAsia="Times New Roman" w:cs="Times New Roman"/>
          <w:color w:val="auto"/>
          <w:spacing w:val="-4"/>
          <w:sz w:val="24"/>
          <w:szCs w:val="24"/>
        </w:rPr>
        <w:t>10.2.2</w:t>
      </w:r>
      <w:r>
        <w:rPr>
          <w:rFonts w:ascii="宋体" w:hAnsi="宋体" w:eastAsia="宋体" w:cs="宋体"/>
          <w:color w:val="auto"/>
          <w:spacing w:val="-4"/>
          <w:sz w:val="24"/>
          <w:szCs w:val="24"/>
        </w:rPr>
        <w:t>目、第</w:t>
      </w:r>
      <w:r>
        <w:rPr>
          <w:rFonts w:ascii="Times New Roman" w:hAnsi="Times New Roman" w:eastAsia="Times New Roman" w:cs="Times New Roman"/>
          <w:color w:val="auto"/>
          <w:spacing w:val="-4"/>
          <w:sz w:val="24"/>
          <w:szCs w:val="24"/>
        </w:rPr>
        <w:t>10.3.2</w:t>
      </w:r>
      <w:r>
        <w:rPr>
          <w:rFonts w:ascii="宋体" w:hAnsi="宋体" w:eastAsia="宋体" w:cs="宋体"/>
          <w:color w:val="auto"/>
          <w:spacing w:val="-4"/>
          <w:sz w:val="24"/>
          <w:szCs w:val="24"/>
        </w:rPr>
        <w:t>目、第</w:t>
      </w:r>
      <w:r>
        <w:rPr>
          <w:rFonts w:ascii="Times New Roman" w:hAnsi="Times New Roman" w:eastAsia="Times New Roman" w:cs="Times New Roman"/>
          <w:color w:val="auto"/>
          <w:spacing w:val="-4"/>
          <w:sz w:val="24"/>
          <w:szCs w:val="24"/>
        </w:rPr>
        <w:t>10.4.3</w:t>
      </w:r>
      <w:r>
        <w:rPr>
          <w:rFonts w:ascii="宋体" w:hAnsi="宋体" w:eastAsia="宋体" w:cs="宋体"/>
          <w:color w:val="auto"/>
          <w:spacing w:val="-4"/>
          <w:sz w:val="24"/>
          <w:szCs w:val="24"/>
        </w:rPr>
        <w:t>目中规定</w:t>
      </w:r>
      <w:r>
        <w:rPr>
          <w:rFonts w:ascii="宋体" w:hAnsi="宋体" w:eastAsia="宋体" w:cs="宋体"/>
          <w:color w:val="auto"/>
          <w:spacing w:val="-5"/>
          <w:sz w:val="24"/>
          <w:szCs w:val="24"/>
        </w:rPr>
        <w:t>的“所有投标人均应提</w:t>
      </w:r>
      <w:bookmarkEnd w:id="71"/>
      <w:bookmarkEnd w:id="72"/>
      <w:bookmarkEnd w:id="73"/>
      <w:r>
        <w:rPr>
          <w:rFonts w:ascii="宋体" w:hAnsi="宋体" w:eastAsia="宋体" w:cs="宋体"/>
          <w:color w:val="auto"/>
          <w:spacing w:val="-1"/>
          <w:sz w:val="24"/>
          <w:szCs w:val="24"/>
        </w:rPr>
        <w:t>供”的组成内容（包括该组成内容的所附资料）是否完整、齐全</w:t>
      </w:r>
      <w:r>
        <w:rPr>
          <w:rFonts w:ascii="Times New Roman" w:hAnsi="Times New Roman" w:eastAsia="Times New Roman" w:cs="Times New Roman"/>
          <w:color w:val="auto"/>
          <w:spacing w:val="-1"/>
          <w:sz w:val="24"/>
          <w:szCs w:val="24"/>
        </w:rPr>
        <w:t>.</w:t>
      </w:r>
    </w:p>
    <w:p w14:paraId="659A71C2">
      <w:pPr>
        <w:spacing w:before="15" w:line="360" w:lineRule="auto"/>
        <w:ind w:right="2" w:firstLine="484" w:firstLineChars="200"/>
        <w:jc w:val="both"/>
        <w:outlineLvl w:val="2"/>
        <w:rPr>
          <w:rFonts w:ascii="宋体" w:hAnsi="宋体" w:eastAsia="宋体" w:cs="宋体"/>
          <w:color w:val="auto"/>
          <w:sz w:val="24"/>
          <w:szCs w:val="24"/>
        </w:rPr>
      </w:pPr>
      <w:bookmarkStart w:id="74" w:name="_Toc17918"/>
      <w:bookmarkStart w:id="75" w:name="_Toc22691"/>
      <w:bookmarkStart w:id="76" w:name="_Toc9581"/>
      <w:r>
        <w:rPr>
          <w:rFonts w:hint="eastAsia" w:ascii="宋体" w:hAnsi="宋体" w:eastAsia="宋体" w:cs="宋体"/>
          <w:color w:val="auto"/>
          <w:spacing w:val="1"/>
          <w:sz w:val="24"/>
          <w:szCs w:val="24"/>
          <w:lang w:eastAsia="zh-CN"/>
        </w:rPr>
        <w:t>（3）</w:t>
      </w:r>
      <w:r>
        <w:rPr>
          <w:rFonts w:ascii="宋体" w:hAnsi="宋体" w:eastAsia="宋体" w:cs="宋体"/>
          <w:color w:val="auto"/>
          <w:spacing w:val="1"/>
          <w:sz w:val="24"/>
          <w:szCs w:val="24"/>
        </w:rPr>
        <w:t>施工组织设计采用“暗标”方式进行评审的，施工</w:t>
      </w:r>
      <w:r>
        <w:rPr>
          <w:rFonts w:ascii="宋体" w:hAnsi="宋体" w:eastAsia="宋体" w:cs="宋体"/>
          <w:color w:val="auto"/>
          <w:sz w:val="24"/>
          <w:szCs w:val="24"/>
        </w:rPr>
        <w:t>组织设计的规格颜色、</w:t>
      </w:r>
      <w:r>
        <w:rPr>
          <w:rFonts w:ascii="宋体" w:hAnsi="宋体" w:eastAsia="宋体" w:cs="宋体"/>
          <w:color w:val="auto"/>
          <w:spacing w:val="-1"/>
          <w:sz w:val="24"/>
          <w:szCs w:val="24"/>
        </w:rPr>
        <w:t>文字排版、正文篇幅（若有）是否符合规定；其任何</w:t>
      </w:r>
      <w:r>
        <w:rPr>
          <w:rFonts w:ascii="宋体" w:hAnsi="宋体" w:eastAsia="宋体" w:cs="宋体"/>
          <w:color w:val="auto"/>
          <w:spacing w:val="-2"/>
          <w:sz w:val="24"/>
          <w:szCs w:val="24"/>
        </w:rPr>
        <w:t>部位是否出现手写以及涂改、行</w:t>
      </w:r>
      <w:r>
        <w:rPr>
          <w:rFonts w:ascii="宋体" w:hAnsi="宋体" w:eastAsia="宋体" w:cs="宋体"/>
          <w:color w:val="auto"/>
          <w:spacing w:val="-1"/>
          <w:sz w:val="24"/>
          <w:szCs w:val="24"/>
        </w:rPr>
        <w:t>间插字或删除痕迹；其任何部位是否出现投标人的名称和</w:t>
      </w:r>
      <w:r>
        <w:rPr>
          <w:rFonts w:ascii="宋体" w:hAnsi="宋体" w:eastAsia="宋体" w:cs="宋体"/>
          <w:color w:val="auto"/>
          <w:spacing w:val="-2"/>
          <w:sz w:val="24"/>
          <w:szCs w:val="24"/>
        </w:rPr>
        <w:t>其它可识别投标人身份的字</w:t>
      </w:r>
      <w:r>
        <w:rPr>
          <w:rFonts w:ascii="宋体" w:hAnsi="宋体" w:eastAsia="宋体" w:cs="宋体"/>
          <w:color w:val="auto"/>
          <w:spacing w:val="-1"/>
          <w:sz w:val="24"/>
          <w:szCs w:val="24"/>
        </w:rPr>
        <w:t>符、徽标、人员名称以及其他特殊标记。</w:t>
      </w:r>
      <w:bookmarkEnd w:id="74"/>
      <w:bookmarkEnd w:id="75"/>
      <w:bookmarkEnd w:id="76"/>
    </w:p>
    <w:p w14:paraId="65A30772">
      <w:pPr>
        <w:spacing w:before="15" w:line="360" w:lineRule="auto"/>
        <w:ind w:right="2" w:firstLine="472" w:firstLineChars="200"/>
        <w:jc w:val="both"/>
        <w:outlineLvl w:val="2"/>
        <w:rPr>
          <w:rFonts w:ascii="宋体" w:hAnsi="宋体" w:eastAsia="宋体" w:cs="宋体"/>
          <w:color w:val="auto"/>
          <w:spacing w:val="1"/>
          <w:sz w:val="24"/>
          <w:szCs w:val="24"/>
        </w:rPr>
      </w:pPr>
      <w:bookmarkStart w:id="77" w:name="_Toc22642"/>
      <w:bookmarkStart w:id="78" w:name="_Toc16645"/>
      <w:bookmarkStart w:id="79" w:name="_Toc22562"/>
      <w:r>
        <w:rPr>
          <w:rFonts w:ascii="Times New Roman" w:hAnsi="Times New Roman" w:eastAsia="Times New Roman" w:cs="Times New Roman"/>
          <w:b/>
          <w:bCs/>
          <w:spacing w:val="-2"/>
          <w:sz w:val="24"/>
          <w:szCs w:val="24"/>
        </w:rPr>
        <w:t>15.4.3</w:t>
      </w:r>
      <w:r>
        <w:rPr>
          <w:rFonts w:ascii="宋体" w:hAnsi="宋体" w:eastAsia="宋体" w:cs="宋体"/>
          <w:spacing w:val="2"/>
          <w:sz w:val="24"/>
          <w:szCs w:val="24"/>
        </w:rPr>
        <w:t>响应性评审环节响应性评项包括：</w:t>
      </w:r>
      <w:bookmarkEnd w:id="77"/>
      <w:bookmarkEnd w:id="78"/>
      <w:bookmarkEnd w:id="79"/>
    </w:p>
    <w:p w14:paraId="6F93FDAC">
      <w:pPr>
        <w:spacing w:before="155" w:line="360" w:lineRule="auto"/>
        <w:ind w:left="9" w:firstLine="49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）投标有效期、质量标准、工期等是否响应招标文件实</w:t>
      </w:r>
      <w:r>
        <w:rPr>
          <w:rFonts w:ascii="宋体" w:hAnsi="宋体" w:eastAsia="宋体" w:cs="宋体"/>
          <w:spacing w:val="1"/>
          <w:sz w:val="24"/>
          <w:szCs w:val="24"/>
        </w:rPr>
        <w:t>质性要求；是否擅自</w:t>
      </w:r>
      <w:r>
        <w:rPr>
          <w:rFonts w:ascii="宋体" w:hAnsi="宋体" w:eastAsia="宋体" w:cs="宋体"/>
          <w:spacing w:val="-1"/>
          <w:sz w:val="24"/>
          <w:szCs w:val="24"/>
        </w:rPr>
        <w:t>修改、遗漏《投标函》《各项承诺一览表》的实质性内容。</w:t>
      </w:r>
    </w:p>
    <w:p w14:paraId="51A84BDC">
      <w:pPr>
        <w:spacing w:before="152" w:line="360" w:lineRule="auto"/>
        <w:ind w:left="50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）编制《投标总价》的造价工程师，其注册证书是否合法、有效。</w:t>
      </w:r>
    </w:p>
    <w:p w14:paraId="15BEED1B">
      <w:pPr>
        <w:spacing w:before="158" w:line="360" w:lineRule="auto"/>
        <w:ind w:left="21" w:right="2" w:firstLine="48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）投标人委托造价咨询单位编制《投标总价》的，是否在《投标总价扉页》（即扉—</w:t>
      </w:r>
      <w:r>
        <w:rPr>
          <w:rFonts w:ascii="Times New Roman" w:hAnsi="Times New Roman" w:eastAsia="Times New Roman" w:cs="Times New Roman"/>
          <w:spacing w:val="1"/>
          <w:sz w:val="24"/>
          <w:szCs w:val="24"/>
        </w:rPr>
        <w:t>3</w:t>
      </w:r>
      <w:r>
        <w:rPr>
          <w:rFonts w:ascii="宋体" w:hAnsi="宋体" w:eastAsia="宋体" w:cs="宋体"/>
          <w:spacing w:val="1"/>
          <w:sz w:val="24"/>
          <w:szCs w:val="24"/>
        </w:rPr>
        <w:t>）“投标人”栏目加盖造价咨询人公章；是否提供</w:t>
      </w:r>
      <w:r>
        <w:rPr>
          <w:rFonts w:ascii="宋体" w:hAnsi="宋体" w:eastAsia="宋体" w:cs="宋体"/>
          <w:sz w:val="24"/>
          <w:szCs w:val="24"/>
        </w:rPr>
        <w:t>造价咨询人的营业执照</w:t>
      </w:r>
      <w:r>
        <w:rPr>
          <w:rFonts w:ascii="宋体" w:hAnsi="宋体" w:eastAsia="宋体" w:cs="宋体"/>
          <w:spacing w:val="-2"/>
          <w:sz w:val="24"/>
          <w:szCs w:val="24"/>
        </w:rPr>
        <w:t>副本彩色扫描件；</w:t>
      </w:r>
    </w:p>
    <w:p w14:paraId="295A9B2D">
      <w:pPr>
        <w:spacing w:before="158" w:line="328" w:lineRule="auto"/>
        <w:ind w:left="9" w:firstLine="491"/>
        <w:jc w:val="both"/>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）投标总价是否唯一；投标总价是否超出</w:t>
      </w:r>
      <w:r>
        <w:rPr>
          <w:rFonts w:ascii="宋体" w:hAnsi="宋体" w:eastAsia="宋体" w:cs="宋体"/>
          <w:b/>
          <w:bCs/>
          <w:spacing w:val="1"/>
          <w:sz w:val="24"/>
          <w:szCs w:val="24"/>
        </w:rPr>
        <w:t>最高投标限价</w:t>
      </w:r>
      <w:r>
        <w:rPr>
          <w:rFonts w:ascii="宋体" w:hAnsi="宋体" w:eastAsia="宋体" w:cs="宋体"/>
          <w:spacing w:val="1"/>
          <w:sz w:val="24"/>
          <w:szCs w:val="24"/>
        </w:rPr>
        <w:t>；绿色施工安全防护</w:t>
      </w:r>
      <w:r>
        <w:rPr>
          <w:rFonts w:ascii="宋体" w:hAnsi="宋体" w:eastAsia="宋体" w:cs="宋体"/>
          <w:spacing w:val="-1"/>
          <w:sz w:val="24"/>
          <w:szCs w:val="24"/>
        </w:rPr>
        <w:t>措施费是否达到最低要求；暂列金额、暂估价是否按照招标工</w:t>
      </w:r>
      <w:r>
        <w:rPr>
          <w:rFonts w:ascii="宋体" w:hAnsi="宋体" w:eastAsia="宋体" w:cs="宋体"/>
          <w:spacing w:val="-2"/>
          <w:sz w:val="24"/>
          <w:szCs w:val="24"/>
        </w:rPr>
        <w:t>程量清单统一报价；投</w:t>
      </w:r>
      <w:r>
        <w:rPr>
          <w:rFonts w:ascii="宋体" w:hAnsi="宋体" w:eastAsia="宋体" w:cs="宋体"/>
          <w:spacing w:val="-1"/>
          <w:sz w:val="24"/>
          <w:szCs w:val="24"/>
        </w:rPr>
        <w:t>标人是否以低于成本的价格竞标。</w:t>
      </w:r>
    </w:p>
    <w:p w14:paraId="3FB34FE7">
      <w:pPr>
        <w:spacing w:before="38" w:line="360" w:lineRule="auto"/>
        <w:ind w:right="2" w:firstLine="474" w:firstLineChars="200"/>
        <w:jc w:val="both"/>
        <w:rPr>
          <w:position w:val="-8"/>
          <w:sz w:val="24"/>
          <w:szCs w:val="24"/>
        </w:rPr>
      </w:pPr>
      <w:r>
        <w:rPr>
          <w:rFonts w:ascii="宋体" w:hAnsi="宋体" w:eastAsia="宋体" w:cs="宋体"/>
          <w:b/>
          <w:bCs/>
          <w:spacing w:val="-2"/>
          <w:sz w:val="24"/>
          <w:szCs w:val="24"/>
        </w:rPr>
        <w:t>注：如果某投标人的投标总价下浮率超过</w:t>
      </w:r>
      <w:r>
        <w:rPr>
          <w:rFonts w:ascii="Times New Roman" w:hAnsi="Times New Roman" w:eastAsia="Times New Roman" w:cs="Times New Roman"/>
          <w:b/>
          <w:bCs/>
          <w:spacing w:val="-2"/>
          <w:sz w:val="24"/>
          <w:szCs w:val="24"/>
        </w:rPr>
        <w:t>15%</w:t>
      </w:r>
      <w:r>
        <w:rPr>
          <w:rFonts w:ascii="宋体" w:hAnsi="宋体" w:eastAsia="宋体" w:cs="宋体"/>
          <w:b/>
          <w:bCs/>
          <w:spacing w:val="-2"/>
          <w:sz w:val="24"/>
          <w:szCs w:val="24"/>
        </w:rPr>
        <w:t>，又未提供</w:t>
      </w:r>
      <w:r>
        <w:rPr>
          <w:rFonts w:ascii="宋体" w:hAnsi="宋体" w:eastAsia="宋体" w:cs="宋体"/>
          <w:b/>
          <w:bCs/>
          <w:spacing w:val="-3"/>
          <w:sz w:val="24"/>
          <w:szCs w:val="24"/>
        </w:rPr>
        <w:t>相应书面说明和佐证</w:t>
      </w:r>
      <w:bookmarkStart w:id="80" w:name="bookmark127"/>
      <w:bookmarkEnd w:id="80"/>
      <w:r>
        <w:rPr>
          <w:rFonts w:ascii="宋体" w:hAnsi="宋体" w:eastAsia="宋体" w:cs="宋体"/>
          <w:b/>
          <w:bCs/>
          <w:spacing w:val="-4"/>
          <w:sz w:val="24"/>
          <w:szCs w:val="24"/>
        </w:rPr>
        <w:t>材料或提供的书面说明和佐证材料不能令人信服的，评标委员会应认定其以低于成本</w:t>
      </w:r>
      <w:r>
        <w:rPr>
          <w:rFonts w:ascii="宋体" w:hAnsi="宋体" w:eastAsia="宋体" w:cs="宋体"/>
          <w:b/>
          <w:bCs/>
          <w:spacing w:val="-9"/>
          <w:sz w:val="24"/>
          <w:szCs w:val="24"/>
        </w:rPr>
        <w:t>的价格竞标，并否决其投标。评</w:t>
      </w:r>
      <w:r>
        <w:rPr>
          <w:rFonts w:ascii="宋体" w:hAnsi="宋体" w:eastAsia="宋体" w:cs="宋体"/>
          <w:b/>
          <w:bCs/>
          <w:spacing w:val="-4"/>
          <w:sz w:val="24"/>
          <w:szCs w:val="24"/>
        </w:rPr>
        <w:t>标委员会接受该投标人的投标总价而未否决其投标的，应在评标报告中说明判断理由。投标总价下浮率＝（1－投标总价÷招标控制价）×100%。</w:t>
      </w:r>
    </w:p>
    <w:p w14:paraId="6D33FA24">
      <w:pPr>
        <w:spacing w:before="157" w:line="360" w:lineRule="auto"/>
        <w:ind w:left="11" w:right="114" w:firstLine="505" w:firstLineChars="209"/>
        <w:jc w:val="both"/>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）施工组织设计的质量、进度保障措施是否符合国</w:t>
      </w:r>
      <w:r>
        <w:rPr>
          <w:rFonts w:ascii="宋体" w:hAnsi="宋体" w:eastAsia="宋体" w:cs="宋体"/>
          <w:sz w:val="24"/>
          <w:szCs w:val="24"/>
        </w:rPr>
        <w:t>家和省市现行有关规</w:t>
      </w:r>
      <w:r>
        <w:rPr>
          <w:rFonts w:ascii="宋体" w:hAnsi="宋体" w:eastAsia="宋体" w:cs="宋体"/>
          <w:spacing w:val="-1"/>
          <w:sz w:val="24"/>
          <w:szCs w:val="24"/>
        </w:rPr>
        <w:t>范、规定、标准，是否能实现工程质量、进度管理目标。</w:t>
      </w:r>
    </w:p>
    <w:p w14:paraId="2F74DCEA">
      <w:pPr>
        <w:spacing w:before="82" w:line="211" w:lineRule="auto"/>
        <w:ind w:left="580"/>
        <w:outlineLvl w:val="1"/>
        <w:rPr>
          <w:rFonts w:ascii="宋体" w:hAnsi="宋体" w:eastAsia="宋体" w:cs="宋体"/>
          <w:sz w:val="25"/>
          <w:szCs w:val="25"/>
        </w:rPr>
      </w:pPr>
      <w:bookmarkStart w:id="81" w:name="_Toc18204"/>
      <w:bookmarkStart w:id="82" w:name="_Toc19814"/>
      <w:bookmarkStart w:id="83" w:name="_Toc32114"/>
      <w:r>
        <w:rPr>
          <w:rFonts w:ascii="Times New Roman" w:hAnsi="Times New Roman" w:eastAsia="Times New Roman" w:cs="Times New Roman"/>
          <w:b/>
          <w:bCs/>
          <w:spacing w:val="-3"/>
          <w:sz w:val="24"/>
          <w:szCs w:val="24"/>
        </w:rPr>
        <w:t>15.4.4</w:t>
      </w:r>
      <w:r>
        <w:rPr>
          <w:rFonts w:ascii="宋体" w:hAnsi="宋体" w:eastAsia="宋体" w:cs="宋体"/>
          <w:spacing w:val="-3"/>
          <w:sz w:val="24"/>
          <w:szCs w:val="24"/>
        </w:rPr>
        <w:t>否决投标说明</w:t>
      </w:r>
      <w:bookmarkEnd w:id="81"/>
      <w:bookmarkEnd w:id="82"/>
      <w:bookmarkEnd w:id="83"/>
    </w:p>
    <w:p w14:paraId="446E590D">
      <w:pPr>
        <w:spacing w:before="152" w:line="333" w:lineRule="auto"/>
        <w:ind w:left="11" w:right="175" w:firstLine="561"/>
        <w:rPr>
          <w:rFonts w:ascii="宋体" w:hAnsi="宋体" w:eastAsia="宋体" w:cs="宋体"/>
          <w:sz w:val="24"/>
          <w:szCs w:val="24"/>
        </w:rPr>
      </w:pPr>
      <w:r>
        <w:rPr>
          <w:rFonts w:ascii="宋体" w:hAnsi="宋体" w:eastAsia="宋体" w:cs="宋体"/>
          <w:spacing w:val="-5"/>
          <w:sz w:val="24"/>
          <w:szCs w:val="24"/>
        </w:rPr>
        <w:t>初步评审阶段各个环节否决投标的全部条件，在本章第四节“否决投标条件”第</w:t>
      </w:r>
      <w:r>
        <w:rPr>
          <w:rFonts w:ascii="Times New Roman" w:hAnsi="Times New Roman" w:eastAsia="Times New Roman" w:cs="Times New Roman"/>
          <w:b/>
          <w:bCs/>
          <w:sz w:val="24"/>
          <w:szCs w:val="24"/>
        </w:rPr>
        <w:t>1</w:t>
      </w:r>
      <w:r>
        <w:rPr>
          <w:rFonts w:ascii="宋体" w:hAnsi="宋体" w:eastAsia="宋体" w:cs="宋体"/>
          <w:sz w:val="24"/>
          <w:szCs w:val="24"/>
        </w:rPr>
        <w:t>条至第</w:t>
      </w:r>
      <w:r>
        <w:rPr>
          <w:rFonts w:ascii="Times New Roman" w:hAnsi="Times New Roman" w:eastAsia="Times New Roman" w:cs="Times New Roman"/>
          <w:b/>
          <w:bCs/>
          <w:sz w:val="24"/>
          <w:szCs w:val="24"/>
        </w:rPr>
        <w:t>4</w:t>
      </w:r>
      <w:r>
        <w:rPr>
          <w:rFonts w:ascii="宋体" w:hAnsi="宋体" w:eastAsia="宋体" w:cs="宋体"/>
          <w:sz w:val="24"/>
          <w:szCs w:val="24"/>
        </w:rPr>
        <w:t>条中集中列示。投标人有其中所列任何一种情形的，由评标委员会否决其</w:t>
      </w:r>
      <w:r>
        <w:rPr>
          <w:rFonts w:ascii="宋体" w:hAnsi="宋体" w:eastAsia="宋体" w:cs="宋体"/>
          <w:spacing w:val="-1"/>
          <w:sz w:val="24"/>
          <w:szCs w:val="24"/>
        </w:rPr>
        <w:t>投标。在初步评审阶段任何环节被否决的投标人，不进入下一环</w:t>
      </w:r>
      <w:r>
        <w:rPr>
          <w:rFonts w:ascii="宋体" w:hAnsi="宋体" w:eastAsia="宋体" w:cs="宋体"/>
          <w:spacing w:val="-2"/>
          <w:sz w:val="24"/>
          <w:szCs w:val="24"/>
        </w:rPr>
        <w:t>节（或阶段）评审。</w:t>
      </w:r>
      <w:r>
        <w:rPr>
          <w:rFonts w:ascii="宋体" w:hAnsi="宋体" w:eastAsia="宋体" w:cs="宋体"/>
          <w:spacing w:val="-1"/>
          <w:sz w:val="24"/>
          <w:szCs w:val="24"/>
        </w:rPr>
        <w:t>在初步评审阶段任何环节。</w:t>
      </w:r>
      <w:r>
        <w:rPr>
          <w:rFonts w:ascii="宋体" w:hAnsi="宋体" w:eastAsia="宋体" w:cs="宋体"/>
          <w:sz w:val="24"/>
          <w:szCs w:val="24"/>
        </w:rPr>
        <w:t>评标委员会经评审，认为所有投标都不符合招标文件要求的，可否决所有投标，项目的所有投标被否决的，招标人应依法重新组织招标。</w:t>
      </w:r>
    </w:p>
    <w:p w14:paraId="43A1FE12">
      <w:pPr>
        <w:pStyle w:val="5"/>
        <w:spacing w:line="280" w:lineRule="auto"/>
      </w:pPr>
    </w:p>
    <w:p w14:paraId="439E6F24">
      <w:pPr>
        <w:spacing w:before="78" w:line="221" w:lineRule="auto"/>
        <w:ind w:left="577"/>
        <w:rPr>
          <w:rFonts w:ascii="宋体" w:hAnsi="宋体" w:eastAsia="宋体" w:cs="宋体"/>
          <w:sz w:val="24"/>
          <w:szCs w:val="24"/>
        </w:rPr>
      </w:pPr>
      <w:r>
        <w:drawing>
          <wp:anchor distT="0" distB="0" distL="0" distR="0" simplePos="0" relativeHeight="251659264"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1" name="IM 46"/>
            <wp:cNvGraphicFramePr/>
            <a:graphic xmlns:a="http://schemas.openxmlformats.org/drawingml/2006/main">
              <a:graphicData uri="http://schemas.openxmlformats.org/drawingml/2006/picture">
                <pic:pic xmlns:pic="http://schemas.openxmlformats.org/drawingml/2006/picture">
                  <pic:nvPicPr>
                    <pic:cNvPr id="1" name="IM 46"/>
                    <pic:cNvPicPr/>
                  </pic:nvPicPr>
                  <pic:blipFill>
                    <a:blip r:embed="rId33"/>
                    <a:stretch>
                      <a:fillRect/>
                    </a:stretch>
                  </pic:blipFill>
                  <pic:spPr>
                    <a:xfrm>
                      <a:off x="0" y="0"/>
                      <a:ext cx="6350" cy="279400"/>
                    </a:xfrm>
                    <a:prstGeom prst="rect">
                      <a:avLst/>
                    </a:prstGeom>
                    <a:noFill/>
                    <a:ln>
                      <a:noFill/>
                    </a:ln>
                  </pic:spPr>
                </pic:pic>
              </a:graphicData>
            </a:graphic>
          </wp:anchor>
        </w:drawing>
      </w:r>
      <w:bookmarkStart w:id="84" w:name="bookmark128"/>
      <w:bookmarkEnd w:id="84"/>
      <w:r>
        <w:rPr>
          <w:rFonts w:ascii="Times New Roman" w:hAnsi="Times New Roman" w:eastAsia="Times New Roman" w:cs="Times New Roman"/>
          <w:b/>
          <w:bCs/>
          <w:spacing w:val="-2"/>
          <w:sz w:val="24"/>
          <w:szCs w:val="24"/>
        </w:rPr>
        <w:t>15.5</w:t>
      </w:r>
      <w:r>
        <w:rPr>
          <w:rFonts w:ascii="宋体" w:hAnsi="宋体" w:eastAsia="宋体" w:cs="宋体"/>
          <w:spacing w:val="-2"/>
          <w:sz w:val="24"/>
          <w:szCs w:val="24"/>
        </w:rPr>
        <w:t>详细评审阶段</w:t>
      </w:r>
    </w:p>
    <w:p w14:paraId="4CB2D920">
      <w:pPr>
        <w:spacing w:before="81" w:line="211" w:lineRule="auto"/>
        <w:ind w:left="498"/>
        <w:outlineLvl w:val="1"/>
        <w:rPr>
          <w:rFonts w:ascii="宋体" w:hAnsi="宋体" w:eastAsia="宋体" w:cs="宋体"/>
          <w:sz w:val="25"/>
          <w:szCs w:val="25"/>
        </w:rPr>
      </w:pPr>
      <w:bookmarkStart w:id="85" w:name="_Toc4119"/>
      <w:bookmarkStart w:id="86" w:name="_Toc10503"/>
      <w:bookmarkStart w:id="87" w:name="_Toc28572"/>
      <w:r>
        <w:rPr>
          <w:rFonts w:ascii="Times New Roman" w:hAnsi="Times New Roman" w:eastAsia="Times New Roman" w:cs="Times New Roman"/>
          <w:b/>
          <w:bCs/>
          <w:spacing w:val="-3"/>
          <w:sz w:val="24"/>
          <w:szCs w:val="24"/>
        </w:rPr>
        <w:t>15.5.1</w:t>
      </w:r>
      <w:r>
        <w:rPr>
          <w:rFonts w:ascii="宋体" w:hAnsi="宋体" w:eastAsia="宋体" w:cs="宋体"/>
          <w:spacing w:val="-3"/>
          <w:sz w:val="24"/>
          <w:szCs w:val="24"/>
        </w:rPr>
        <w:t>“综合评估法”评审程序</w:t>
      </w:r>
      <w:bookmarkEnd w:id="85"/>
      <w:bookmarkEnd w:id="86"/>
      <w:bookmarkEnd w:id="87"/>
    </w:p>
    <w:p w14:paraId="3C7202AC">
      <w:pPr>
        <w:spacing w:before="152" w:line="329" w:lineRule="auto"/>
        <w:ind w:left="14" w:right="81" w:firstLine="476"/>
        <w:rPr>
          <w:rFonts w:ascii="宋体" w:hAnsi="宋体" w:eastAsia="宋体" w:cs="宋体"/>
          <w:sz w:val="24"/>
          <w:szCs w:val="24"/>
        </w:rPr>
      </w:pPr>
      <w:r>
        <w:rPr>
          <w:rFonts w:ascii="宋体" w:hAnsi="宋体" w:eastAsia="宋体" w:cs="宋体"/>
          <w:spacing w:val="-1"/>
          <w:sz w:val="24"/>
          <w:szCs w:val="24"/>
        </w:rPr>
        <w:t>评审内容分为商务技术和投标报价两大部分。其中，商</w:t>
      </w:r>
      <w:r>
        <w:rPr>
          <w:rFonts w:ascii="宋体" w:hAnsi="宋体" w:eastAsia="宋体" w:cs="宋体"/>
          <w:spacing w:val="-2"/>
          <w:sz w:val="24"/>
          <w:szCs w:val="24"/>
        </w:rPr>
        <w:t>务技术合计满分</w:t>
      </w:r>
      <w:r>
        <w:rPr>
          <w:rFonts w:hint="eastAsia" w:ascii="宋体" w:hAnsi="宋体" w:eastAsia="宋体" w:cs="宋体"/>
          <w:spacing w:val="-2"/>
          <w:sz w:val="24"/>
          <w:szCs w:val="24"/>
          <w:lang w:eastAsia="zh-CN"/>
        </w:rPr>
        <w:t>100</w:t>
      </w:r>
      <w:r>
        <w:rPr>
          <w:rFonts w:ascii="宋体" w:hAnsi="宋体" w:eastAsia="宋体" w:cs="宋体"/>
          <w:spacing w:val="-2"/>
          <w:sz w:val="24"/>
          <w:szCs w:val="24"/>
        </w:rPr>
        <w:t>分，权重</w:t>
      </w:r>
      <w:r>
        <w:rPr>
          <w:rFonts w:ascii="宋体" w:hAnsi="宋体" w:eastAsia="宋体" w:cs="宋体"/>
          <w:spacing w:val="-3"/>
          <w:sz w:val="24"/>
          <w:szCs w:val="24"/>
        </w:rPr>
        <w:t>为</w:t>
      </w:r>
      <w:r>
        <w:rPr>
          <w:rFonts w:hint="eastAsia" w:ascii="宋体" w:hAnsi="宋体" w:eastAsia="宋体" w:cs="宋体"/>
          <w:spacing w:val="-3"/>
          <w:sz w:val="24"/>
          <w:szCs w:val="24"/>
          <w:lang w:eastAsia="zh-CN"/>
        </w:rPr>
        <w:t>40</w:t>
      </w:r>
      <w:r>
        <w:rPr>
          <w:rFonts w:ascii="Times New Roman" w:hAnsi="Times New Roman" w:eastAsia="Times New Roman" w:cs="Times New Roman"/>
          <w:spacing w:val="-3"/>
          <w:sz w:val="24"/>
          <w:szCs w:val="24"/>
        </w:rPr>
        <w:t>%</w:t>
      </w:r>
      <w:r>
        <w:rPr>
          <w:rFonts w:ascii="宋体" w:hAnsi="宋体" w:eastAsia="宋体" w:cs="宋体"/>
          <w:spacing w:val="-3"/>
          <w:sz w:val="24"/>
          <w:szCs w:val="24"/>
        </w:rPr>
        <w:t>；投标报价满分</w:t>
      </w:r>
      <w:r>
        <w:rPr>
          <w:rFonts w:ascii="Times New Roman" w:hAnsi="Times New Roman" w:eastAsia="Times New Roman" w:cs="Times New Roman"/>
          <w:spacing w:val="-3"/>
          <w:sz w:val="24"/>
          <w:szCs w:val="24"/>
        </w:rPr>
        <w:t>100</w:t>
      </w:r>
      <w:r>
        <w:rPr>
          <w:rFonts w:ascii="宋体" w:hAnsi="宋体" w:eastAsia="宋体" w:cs="宋体"/>
          <w:spacing w:val="-3"/>
          <w:sz w:val="24"/>
          <w:szCs w:val="24"/>
        </w:rPr>
        <w:t>分，权重为</w:t>
      </w:r>
      <w:r>
        <w:rPr>
          <w:rFonts w:hint="eastAsia" w:ascii="宋体" w:hAnsi="宋体" w:eastAsia="宋体" w:cs="宋体"/>
          <w:spacing w:val="-3"/>
          <w:sz w:val="24"/>
          <w:szCs w:val="24"/>
          <w:lang w:eastAsia="zh-CN"/>
        </w:rPr>
        <w:t>60</w:t>
      </w:r>
      <w:r>
        <w:rPr>
          <w:rFonts w:ascii="Times New Roman" w:hAnsi="Times New Roman" w:eastAsia="Times New Roman" w:cs="Times New Roman"/>
          <w:spacing w:val="-3"/>
          <w:sz w:val="24"/>
          <w:szCs w:val="24"/>
        </w:rPr>
        <w:t>%</w:t>
      </w:r>
      <w:r>
        <w:rPr>
          <w:rFonts w:ascii="宋体" w:hAnsi="宋体" w:eastAsia="宋体" w:cs="宋体"/>
          <w:spacing w:val="-3"/>
          <w:sz w:val="24"/>
          <w:szCs w:val="24"/>
        </w:rPr>
        <w:t>。两大部分权重之和应为</w:t>
      </w:r>
      <w:r>
        <w:rPr>
          <w:rFonts w:ascii="Times New Roman" w:hAnsi="Times New Roman" w:eastAsia="Times New Roman" w:cs="Times New Roman"/>
          <w:spacing w:val="-3"/>
          <w:sz w:val="24"/>
          <w:szCs w:val="24"/>
        </w:rPr>
        <w:t>100%</w:t>
      </w:r>
      <w:r>
        <w:rPr>
          <w:rFonts w:ascii="宋体" w:hAnsi="宋体" w:eastAsia="宋体" w:cs="宋体"/>
          <w:spacing w:val="-3"/>
          <w:sz w:val="24"/>
          <w:szCs w:val="24"/>
        </w:rPr>
        <w:t>。</w:t>
      </w:r>
    </w:p>
    <w:p w14:paraId="330936B8">
      <w:pPr>
        <w:spacing w:before="153" w:line="324" w:lineRule="auto"/>
        <w:ind w:left="14" w:right="81" w:firstLine="491"/>
        <w:rPr>
          <w:rFonts w:ascii="宋体" w:hAnsi="宋体" w:eastAsia="宋体" w:cs="宋体"/>
          <w:sz w:val="24"/>
          <w:szCs w:val="24"/>
        </w:rPr>
      </w:pPr>
      <w:r>
        <w:rPr>
          <w:rFonts w:ascii="宋体" w:hAnsi="宋体" w:eastAsia="宋体" w:cs="宋体"/>
          <w:spacing w:val="-2"/>
          <w:sz w:val="24"/>
          <w:szCs w:val="24"/>
        </w:rPr>
        <w:t>除特别注明外，综合得分以及商务技术得分、投标报价得分的中间过程计算值和</w:t>
      </w:r>
      <w:r>
        <w:rPr>
          <w:rFonts w:ascii="宋体" w:hAnsi="宋体" w:eastAsia="宋体" w:cs="宋体"/>
          <w:spacing w:val="-4"/>
          <w:sz w:val="24"/>
          <w:szCs w:val="24"/>
        </w:rPr>
        <w:t>最终值，均按“四舍五入”原则精确到两位小数。</w:t>
      </w:r>
    </w:p>
    <w:p w14:paraId="3616A62C">
      <w:pPr>
        <w:spacing w:before="38" w:line="220" w:lineRule="auto"/>
        <w:ind w:left="503"/>
        <w:outlineLvl w:val="2"/>
        <w:rPr>
          <w:rFonts w:ascii="Times New Roman" w:hAnsi="Times New Roman" w:eastAsia="Times New Roman" w:cs="Times New Roman"/>
          <w:sz w:val="24"/>
          <w:szCs w:val="24"/>
        </w:rPr>
      </w:pPr>
      <w:bookmarkStart w:id="88" w:name="_Toc18029"/>
      <w:bookmarkStart w:id="89" w:name="_Toc22949"/>
      <w:bookmarkStart w:id="90" w:name="_Toc17510"/>
      <w:r>
        <w:rPr>
          <w:rFonts w:ascii="宋体" w:hAnsi="宋体" w:eastAsia="宋体" w:cs="宋体"/>
          <w:spacing w:val="-3"/>
          <w:sz w:val="24"/>
          <w:szCs w:val="24"/>
        </w:rPr>
        <w:t>（</w:t>
      </w:r>
      <w:r>
        <w:rPr>
          <w:rFonts w:ascii="Times New Roman" w:hAnsi="Times New Roman" w:eastAsia="Times New Roman" w:cs="Times New Roman"/>
          <w:spacing w:val="-3"/>
          <w:sz w:val="24"/>
          <w:szCs w:val="24"/>
        </w:rPr>
        <w:t>1</w:t>
      </w:r>
      <w:r>
        <w:rPr>
          <w:rFonts w:ascii="宋体" w:hAnsi="宋体" w:eastAsia="宋体" w:cs="宋体"/>
          <w:spacing w:val="-3"/>
          <w:sz w:val="24"/>
          <w:szCs w:val="24"/>
        </w:rPr>
        <w:t>）商务技术得分</w:t>
      </w:r>
      <w:r>
        <w:rPr>
          <w:rFonts w:ascii="Times New Roman" w:hAnsi="Times New Roman" w:eastAsia="Times New Roman" w:cs="Times New Roman"/>
          <w:spacing w:val="-3"/>
          <w:sz w:val="24"/>
          <w:szCs w:val="24"/>
        </w:rPr>
        <w:t>M</w:t>
      </w:r>
      <w:bookmarkEnd w:id="88"/>
      <w:bookmarkEnd w:id="89"/>
      <w:bookmarkEnd w:id="90"/>
    </w:p>
    <w:p w14:paraId="269C1A6A">
      <w:pPr>
        <w:spacing w:before="153" w:line="279" w:lineRule="auto"/>
        <w:ind w:left="15" w:right="81" w:firstLine="477"/>
        <w:rPr>
          <w:rFonts w:ascii="宋体" w:hAnsi="宋体" w:eastAsia="宋体" w:cs="宋体"/>
          <w:sz w:val="24"/>
          <w:szCs w:val="24"/>
        </w:rPr>
      </w:pPr>
      <w:r>
        <w:rPr>
          <w:rFonts w:ascii="Times New Roman" w:hAnsi="Times New Roman" w:eastAsia="Times New Roman" w:cs="Times New Roman"/>
          <w:b/>
          <w:bCs/>
          <w:spacing w:val="1"/>
          <w:sz w:val="24"/>
          <w:szCs w:val="24"/>
        </w:rPr>
        <w:t>a</w:t>
      </w:r>
      <w:r>
        <w:rPr>
          <w:rFonts w:ascii="宋体" w:hAnsi="宋体" w:eastAsia="宋体" w:cs="宋体"/>
          <w:spacing w:val="1"/>
          <w:sz w:val="24"/>
          <w:szCs w:val="24"/>
        </w:rPr>
        <w:t>．评标委员会按照《综合评分表》商务部分指定的评分标准对各评分因素进行</w:t>
      </w:r>
      <w:r>
        <w:rPr>
          <w:rFonts w:ascii="宋体" w:hAnsi="宋体" w:eastAsia="宋体" w:cs="宋体"/>
          <w:spacing w:val="-1"/>
          <w:sz w:val="24"/>
          <w:szCs w:val="24"/>
        </w:rPr>
        <w:t>打分。各评分因素得分之和即为某投标人的商务得分</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1"/>
          <w:position w:val="-1"/>
          <w:sz w:val="15"/>
          <w:szCs w:val="15"/>
        </w:rPr>
        <w:t>1</w:t>
      </w:r>
      <w:r>
        <w:rPr>
          <w:rFonts w:ascii="宋体" w:hAnsi="宋体" w:eastAsia="宋体" w:cs="宋体"/>
          <w:spacing w:val="-1"/>
          <w:sz w:val="24"/>
          <w:szCs w:val="24"/>
        </w:rPr>
        <w:t>。</w:t>
      </w:r>
    </w:p>
    <w:p w14:paraId="35BAC635">
      <w:pPr>
        <w:spacing w:before="154" w:line="299" w:lineRule="auto"/>
        <w:ind w:left="12" w:right="81" w:firstLine="474"/>
        <w:rPr>
          <w:rFonts w:ascii="宋体" w:hAnsi="宋体" w:eastAsia="宋体" w:cs="宋体"/>
          <w:sz w:val="24"/>
          <w:szCs w:val="24"/>
        </w:rPr>
      </w:pPr>
      <w:r>
        <w:rPr>
          <w:rFonts w:ascii="Times New Roman" w:hAnsi="Times New Roman" w:eastAsia="Times New Roman" w:cs="Times New Roman"/>
          <w:b/>
          <w:bCs/>
          <w:spacing w:val="1"/>
          <w:sz w:val="24"/>
          <w:szCs w:val="24"/>
        </w:rPr>
        <w:t>b</w:t>
      </w:r>
      <w:r>
        <w:rPr>
          <w:rFonts w:ascii="宋体" w:hAnsi="宋体" w:eastAsia="宋体" w:cs="宋体"/>
          <w:spacing w:val="1"/>
          <w:sz w:val="24"/>
          <w:szCs w:val="24"/>
        </w:rPr>
        <w:t>．评标委员会各成员独立按照《综合评分表》技术部分（施工组织设</w:t>
      </w:r>
      <w:r>
        <w:rPr>
          <w:rFonts w:ascii="宋体" w:hAnsi="宋体" w:eastAsia="宋体" w:cs="宋体"/>
          <w:sz w:val="24"/>
          <w:szCs w:val="24"/>
        </w:rPr>
        <w:t>计）指定</w:t>
      </w:r>
      <w:r>
        <w:rPr>
          <w:rFonts w:ascii="宋体" w:hAnsi="宋体" w:eastAsia="宋体" w:cs="宋体"/>
          <w:spacing w:val="-1"/>
          <w:sz w:val="24"/>
          <w:szCs w:val="24"/>
        </w:rPr>
        <w:t>的评分标准对各评分因素进行打分，累加后得出技术评分。</w:t>
      </w:r>
      <w:r>
        <w:rPr>
          <w:rFonts w:ascii="宋体" w:hAnsi="宋体" w:eastAsia="宋体" w:cs="宋体"/>
          <w:spacing w:val="-2"/>
          <w:sz w:val="24"/>
          <w:szCs w:val="24"/>
        </w:rPr>
        <w:t>将评标委员会所有成员的</w:t>
      </w:r>
      <w:r>
        <w:rPr>
          <w:rFonts w:ascii="宋体" w:hAnsi="宋体" w:eastAsia="宋体" w:cs="宋体"/>
          <w:sz w:val="24"/>
          <w:szCs w:val="24"/>
        </w:rPr>
        <w:t>技术评分去掉最高分和最低分后，取算术平均值，即</w:t>
      </w:r>
      <w:r>
        <w:rPr>
          <w:rFonts w:ascii="宋体" w:hAnsi="宋体" w:eastAsia="宋体" w:cs="宋体"/>
          <w:spacing w:val="-1"/>
          <w:sz w:val="24"/>
          <w:szCs w:val="24"/>
        </w:rPr>
        <w:t>为某投标人的技术得分</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1"/>
          <w:position w:val="-1"/>
          <w:sz w:val="15"/>
          <w:szCs w:val="15"/>
        </w:rPr>
        <w:t>2</w:t>
      </w:r>
      <w:r>
        <w:rPr>
          <w:rFonts w:ascii="宋体" w:hAnsi="宋体" w:eastAsia="宋体" w:cs="宋体"/>
          <w:spacing w:val="-1"/>
          <w:sz w:val="24"/>
          <w:szCs w:val="24"/>
        </w:rPr>
        <w:t>。</w:t>
      </w:r>
    </w:p>
    <w:p w14:paraId="5B941ED9">
      <w:pPr>
        <w:spacing w:before="155" w:line="231" w:lineRule="auto"/>
        <w:ind w:left="491"/>
        <w:rPr>
          <w:rFonts w:ascii="Times New Roman" w:hAnsi="Times New Roman" w:eastAsia="Times New Roman" w:cs="Times New Roman"/>
          <w:sz w:val="15"/>
          <w:szCs w:val="15"/>
        </w:rPr>
      </w:pPr>
      <w:r>
        <w:rPr>
          <w:rFonts w:ascii="Times New Roman" w:hAnsi="Times New Roman" w:eastAsia="Times New Roman" w:cs="Times New Roman"/>
          <w:b/>
          <w:bCs/>
          <w:spacing w:val="-12"/>
          <w:sz w:val="24"/>
          <w:szCs w:val="24"/>
        </w:rPr>
        <w:t>c</w:t>
      </w:r>
      <w:r>
        <w:rPr>
          <w:rFonts w:ascii="宋体" w:hAnsi="宋体" w:eastAsia="宋体" w:cs="宋体"/>
          <w:spacing w:val="-12"/>
          <w:sz w:val="24"/>
          <w:szCs w:val="24"/>
        </w:rPr>
        <w:t>．</w:t>
      </w:r>
      <w:r>
        <w:rPr>
          <w:rFonts w:ascii="Times New Roman" w:hAnsi="Times New Roman" w:eastAsia="Times New Roman" w:cs="Times New Roman"/>
          <w:spacing w:val="-12"/>
          <w:sz w:val="24"/>
          <w:szCs w:val="24"/>
        </w:rPr>
        <w:t>M</w:t>
      </w:r>
      <w:r>
        <w:rPr>
          <w:rFonts w:ascii="宋体" w:hAnsi="宋体" w:eastAsia="宋体" w:cs="宋体"/>
          <w:spacing w:val="-12"/>
          <w:sz w:val="24"/>
          <w:szCs w:val="24"/>
        </w:rPr>
        <w:t>＝</w:t>
      </w:r>
      <w:r>
        <w:rPr>
          <w:rFonts w:ascii="Times New Roman" w:hAnsi="Times New Roman" w:eastAsia="Times New Roman" w:cs="Times New Roman"/>
          <w:spacing w:val="-12"/>
          <w:sz w:val="24"/>
          <w:szCs w:val="24"/>
        </w:rPr>
        <w:t>M</w:t>
      </w:r>
      <w:r>
        <w:rPr>
          <w:rFonts w:ascii="Times New Roman" w:hAnsi="Times New Roman" w:eastAsia="Times New Roman" w:cs="Times New Roman"/>
          <w:spacing w:val="-12"/>
          <w:position w:val="-1"/>
          <w:sz w:val="15"/>
          <w:szCs w:val="15"/>
        </w:rPr>
        <w:t>1</w:t>
      </w:r>
      <w:r>
        <w:rPr>
          <w:rFonts w:ascii="宋体" w:hAnsi="宋体" w:eastAsia="宋体" w:cs="宋体"/>
          <w:sz w:val="24"/>
          <w:szCs w:val="24"/>
        </w:rPr>
        <w:t>＋</w:t>
      </w:r>
      <w:r>
        <w:rPr>
          <w:rFonts w:ascii="Times New Roman" w:hAnsi="Times New Roman" w:eastAsia="Times New Roman" w:cs="Times New Roman"/>
          <w:sz w:val="24"/>
          <w:szCs w:val="24"/>
        </w:rPr>
        <w:t>M</w:t>
      </w:r>
      <w:r>
        <w:rPr>
          <w:rFonts w:ascii="Times New Roman" w:hAnsi="Times New Roman" w:eastAsia="Times New Roman" w:cs="Times New Roman"/>
          <w:position w:val="-1"/>
          <w:sz w:val="15"/>
          <w:szCs w:val="15"/>
        </w:rPr>
        <w:t>2</w:t>
      </w:r>
    </w:p>
    <w:p w14:paraId="08C4A3A1">
      <w:pPr>
        <w:spacing w:before="139" w:line="220" w:lineRule="auto"/>
        <w:ind w:left="496"/>
        <w:rPr>
          <w:rFonts w:ascii="宋体" w:hAnsi="宋体" w:eastAsia="宋体" w:cs="宋体"/>
          <w:sz w:val="24"/>
          <w:szCs w:val="24"/>
        </w:rPr>
      </w:pPr>
      <w:r>
        <w:rPr>
          <w:rFonts w:ascii="宋体" w:hAnsi="宋体" w:eastAsia="宋体" w:cs="宋体"/>
          <w:spacing w:val="-1"/>
          <w:sz w:val="24"/>
          <w:szCs w:val="24"/>
        </w:rPr>
        <w:t>式中：</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1"/>
          <w:position w:val="-1"/>
          <w:sz w:val="15"/>
          <w:szCs w:val="15"/>
        </w:rPr>
        <w:t>1</w:t>
      </w:r>
      <w:r>
        <w:rPr>
          <w:rFonts w:ascii="宋体" w:hAnsi="宋体" w:eastAsia="宋体" w:cs="宋体"/>
          <w:spacing w:val="-1"/>
          <w:sz w:val="24"/>
          <w:szCs w:val="24"/>
        </w:rPr>
        <w:t>为某投标人的商务得分，</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1"/>
          <w:position w:val="-1"/>
          <w:sz w:val="15"/>
          <w:szCs w:val="15"/>
        </w:rPr>
        <w:t>2</w:t>
      </w:r>
      <w:r>
        <w:rPr>
          <w:rFonts w:ascii="宋体" w:hAnsi="宋体" w:eastAsia="宋体" w:cs="宋体"/>
          <w:spacing w:val="-1"/>
          <w:sz w:val="24"/>
          <w:szCs w:val="24"/>
        </w:rPr>
        <w:t>为某投标人的</w:t>
      </w:r>
      <w:r>
        <w:rPr>
          <w:rFonts w:ascii="宋体" w:hAnsi="宋体" w:eastAsia="宋体" w:cs="宋体"/>
          <w:spacing w:val="-2"/>
          <w:sz w:val="24"/>
          <w:szCs w:val="24"/>
        </w:rPr>
        <w:t>技术得分。</w:t>
      </w:r>
    </w:p>
    <w:p w14:paraId="5BC8AF48">
      <w:pPr>
        <w:spacing w:before="153" w:line="219" w:lineRule="auto"/>
        <w:ind w:left="503"/>
        <w:outlineLvl w:val="2"/>
        <w:rPr>
          <w:rFonts w:ascii="Times New Roman" w:hAnsi="Times New Roman" w:eastAsia="Times New Roman" w:cs="Times New Roman"/>
          <w:sz w:val="24"/>
          <w:szCs w:val="24"/>
        </w:rPr>
      </w:pPr>
      <w:bookmarkStart w:id="91" w:name="_Toc27609"/>
      <w:bookmarkStart w:id="92" w:name="_Toc16136"/>
      <w:bookmarkStart w:id="93" w:name="_Toc3958"/>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）投标报价得分</w:t>
      </w:r>
      <w:r>
        <w:rPr>
          <w:rFonts w:ascii="Times New Roman" w:hAnsi="Times New Roman" w:eastAsia="Times New Roman" w:cs="Times New Roman"/>
          <w:spacing w:val="-2"/>
          <w:sz w:val="24"/>
          <w:szCs w:val="24"/>
        </w:rPr>
        <w:t>N</w:t>
      </w:r>
      <w:bookmarkEnd w:id="91"/>
      <w:bookmarkEnd w:id="92"/>
      <w:bookmarkEnd w:id="93"/>
    </w:p>
    <w:p w14:paraId="54218D58">
      <w:pPr>
        <w:spacing w:before="157" w:line="219" w:lineRule="auto"/>
        <w:jc w:val="right"/>
        <w:rPr>
          <w:rFonts w:ascii="宋体" w:hAnsi="宋体" w:eastAsia="宋体" w:cs="宋体"/>
          <w:sz w:val="24"/>
          <w:szCs w:val="24"/>
        </w:rPr>
      </w:pPr>
      <w:r>
        <w:rPr>
          <w:rFonts w:ascii="Times New Roman" w:hAnsi="Times New Roman" w:eastAsia="Times New Roman" w:cs="Times New Roman"/>
          <w:b/>
          <w:bCs/>
          <w:spacing w:val="-3"/>
          <w:sz w:val="24"/>
          <w:szCs w:val="24"/>
        </w:rPr>
        <w:t>a</w:t>
      </w:r>
      <w:r>
        <w:rPr>
          <w:rFonts w:ascii="宋体" w:hAnsi="宋体" w:eastAsia="宋体" w:cs="宋体"/>
          <w:spacing w:val="-3"/>
          <w:sz w:val="24"/>
          <w:szCs w:val="24"/>
        </w:rPr>
        <w:t>．评标委员会按照《综合评分表》投标报价部分指定的方法计</w:t>
      </w:r>
      <w:r>
        <w:rPr>
          <w:rFonts w:ascii="宋体" w:hAnsi="宋体" w:eastAsia="宋体" w:cs="宋体"/>
          <w:spacing w:val="-4"/>
          <w:sz w:val="24"/>
          <w:szCs w:val="24"/>
        </w:rPr>
        <w:t>算评标基准价</w:t>
      </w:r>
      <w:r>
        <w:rPr>
          <w:rFonts w:ascii="Times New Roman" w:hAnsi="Times New Roman" w:eastAsia="Times New Roman" w:cs="Times New Roman"/>
          <w:spacing w:val="-4"/>
          <w:sz w:val="24"/>
          <w:szCs w:val="24"/>
        </w:rPr>
        <w:t>D</w:t>
      </w:r>
      <w:r>
        <w:rPr>
          <w:rFonts w:ascii="宋体" w:hAnsi="宋体" w:eastAsia="宋体" w:cs="宋体"/>
          <w:spacing w:val="-4"/>
          <w:sz w:val="24"/>
          <w:szCs w:val="24"/>
        </w:rPr>
        <w:t>。</w:t>
      </w:r>
    </w:p>
    <w:p w14:paraId="3C07CBC7">
      <w:pPr>
        <w:spacing w:before="155" w:line="299" w:lineRule="auto"/>
        <w:ind w:left="12" w:right="83" w:firstLine="474"/>
        <w:rPr>
          <w:rFonts w:ascii="宋体" w:hAnsi="宋体" w:eastAsia="宋体" w:cs="宋体"/>
          <w:color w:val="auto"/>
          <w:sz w:val="24"/>
          <w:szCs w:val="24"/>
        </w:rPr>
      </w:pPr>
      <w:r>
        <w:rPr>
          <w:rFonts w:ascii="Times New Roman" w:hAnsi="Times New Roman" w:eastAsia="Times New Roman" w:cs="Times New Roman"/>
          <w:b/>
          <w:bCs/>
          <w:sz w:val="24"/>
          <w:szCs w:val="24"/>
        </w:rPr>
        <w:t>b</w:t>
      </w:r>
      <w:r>
        <w:rPr>
          <w:rFonts w:ascii="宋体" w:hAnsi="宋体" w:eastAsia="宋体" w:cs="宋体"/>
          <w:sz w:val="24"/>
          <w:szCs w:val="24"/>
        </w:rPr>
        <w:t>．</w:t>
      </w:r>
      <w:r>
        <w:rPr>
          <w:rFonts w:ascii="宋体" w:hAnsi="宋体" w:eastAsia="宋体" w:cs="宋体"/>
          <w:color w:val="auto"/>
          <w:sz w:val="24"/>
          <w:szCs w:val="24"/>
        </w:rPr>
        <w:t>采用内插法计算某投标人的投标报价得分</w:t>
      </w:r>
      <w:r>
        <w:rPr>
          <w:rFonts w:ascii="Times New Roman" w:hAnsi="Times New Roman" w:eastAsia="Times New Roman" w:cs="Times New Roman"/>
          <w:color w:val="auto"/>
          <w:sz w:val="24"/>
          <w:szCs w:val="24"/>
        </w:rPr>
        <w:t>N</w:t>
      </w:r>
      <w:r>
        <w:rPr>
          <w:rFonts w:ascii="宋体" w:hAnsi="宋体" w:eastAsia="宋体" w:cs="宋体"/>
          <w:color w:val="auto"/>
          <w:sz w:val="24"/>
          <w:szCs w:val="24"/>
        </w:rPr>
        <w:t>，即当投标人的投标总价等于评</w:t>
      </w:r>
      <w:r>
        <w:rPr>
          <w:rFonts w:ascii="宋体" w:hAnsi="宋体" w:eastAsia="宋体" w:cs="宋体"/>
          <w:color w:val="auto"/>
          <w:spacing w:val="-1"/>
          <w:sz w:val="24"/>
          <w:szCs w:val="24"/>
        </w:rPr>
        <w:t>标基准价时得</w:t>
      </w:r>
      <w:r>
        <w:rPr>
          <w:rFonts w:ascii="Times New Roman" w:hAnsi="Times New Roman" w:eastAsia="Times New Roman" w:cs="Times New Roman"/>
          <w:color w:val="auto"/>
          <w:spacing w:val="-1"/>
          <w:sz w:val="24"/>
          <w:szCs w:val="24"/>
        </w:rPr>
        <w:t>100</w:t>
      </w:r>
      <w:r>
        <w:rPr>
          <w:rFonts w:ascii="宋体" w:hAnsi="宋体" w:eastAsia="宋体" w:cs="宋体"/>
          <w:color w:val="auto"/>
          <w:spacing w:val="-1"/>
          <w:sz w:val="24"/>
          <w:szCs w:val="24"/>
        </w:rPr>
        <w:t>分，每高于评标基准价一个百分点扣</w:t>
      </w:r>
      <w:r>
        <w:rPr>
          <w:rFonts w:hint="eastAsia" w:ascii="Times New Roman" w:hAnsi="Times New Roman" w:eastAsia="宋体" w:cs="Times New Roman"/>
          <w:b/>
          <w:bCs/>
          <w:color w:val="auto"/>
          <w:spacing w:val="-1"/>
          <w:sz w:val="24"/>
          <w:szCs w:val="24"/>
          <w:lang w:val="en-US" w:eastAsia="zh-CN"/>
        </w:rPr>
        <w:t>0</w:t>
      </w:r>
      <w:r>
        <w:rPr>
          <w:rFonts w:hint="eastAsia" w:ascii="Times New Roman" w:hAnsi="Times New Roman" w:eastAsia="宋体" w:cs="Times New Roman"/>
          <w:b/>
          <w:bCs/>
          <w:color w:val="auto"/>
          <w:spacing w:val="-1"/>
          <w:sz w:val="24"/>
          <w:szCs w:val="24"/>
          <w:lang w:val="en-US" w:eastAsia="zh-CN"/>
        </w:rPr>
        <w:t>.5</w:t>
      </w:r>
      <w:r>
        <w:rPr>
          <w:rFonts w:ascii="宋体" w:hAnsi="宋体" w:eastAsia="宋体" w:cs="宋体"/>
          <w:b/>
          <w:bCs/>
          <w:color w:val="auto"/>
          <w:spacing w:val="-1"/>
          <w:sz w:val="24"/>
          <w:szCs w:val="24"/>
        </w:rPr>
        <w:t>分</w:t>
      </w:r>
      <w:r>
        <w:rPr>
          <w:rFonts w:ascii="Times New Roman" w:hAnsi="Times New Roman" w:eastAsia="Times New Roman" w:cs="Times New Roman"/>
          <w:b/>
          <w:bCs/>
          <w:color w:val="auto"/>
          <w:spacing w:val="-1"/>
          <w:sz w:val="24"/>
          <w:szCs w:val="24"/>
        </w:rPr>
        <w:t>,</w:t>
      </w:r>
      <w:r>
        <w:rPr>
          <w:rFonts w:ascii="宋体" w:hAnsi="宋体" w:eastAsia="宋体" w:cs="宋体"/>
          <w:color w:val="auto"/>
          <w:spacing w:val="-2"/>
          <w:sz w:val="24"/>
          <w:szCs w:val="24"/>
        </w:rPr>
        <w:t>每低于评标基准价一个百分点扣</w:t>
      </w:r>
      <w:r>
        <w:rPr>
          <w:rFonts w:hint="eastAsia" w:ascii="Times New Roman" w:hAnsi="Times New Roman" w:eastAsia="宋体" w:cs="Times New Roman"/>
          <w:b/>
          <w:bCs/>
          <w:color w:val="auto"/>
          <w:spacing w:val="-1"/>
          <w:sz w:val="24"/>
          <w:szCs w:val="24"/>
          <w:lang w:val="en-US" w:eastAsia="zh-CN"/>
        </w:rPr>
        <w:t>0.3</w:t>
      </w:r>
      <w:r>
        <w:rPr>
          <w:rFonts w:ascii="宋体" w:hAnsi="宋体" w:eastAsia="宋体" w:cs="宋体"/>
          <w:b/>
          <w:bCs/>
          <w:color w:val="auto"/>
          <w:spacing w:val="-2"/>
          <w:sz w:val="24"/>
          <w:szCs w:val="24"/>
        </w:rPr>
        <w:t>分</w:t>
      </w:r>
      <w:r>
        <w:rPr>
          <w:rFonts w:ascii="宋体" w:hAnsi="宋体" w:eastAsia="宋体" w:cs="宋体"/>
          <w:color w:val="auto"/>
          <w:spacing w:val="-2"/>
          <w:sz w:val="24"/>
          <w:szCs w:val="24"/>
        </w:rPr>
        <w:t>，扣完为止。公式如下：</w:t>
      </w:r>
    </w:p>
    <w:p w14:paraId="646EDA65">
      <w:pPr>
        <w:spacing w:before="118" w:line="333" w:lineRule="exact"/>
        <w:ind w:left="2418"/>
        <w:rPr>
          <w:rFonts w:ascii="Times New Roman" w:hAnsi="Times New Roman" w:eastAsia="Times New Roman" w:cs="Times New Roman"/>
          <w:color w:val="auto"/>
          <w:sz w:val="24"/>
          <w:szCs w:val="24"/>
        </w:rPr>
      </w:pPr>
      <w:r>
        <w:rPr>
          <w:rFonts w:ascii="Times New Roman" w:hAnsi="Times New Roman" w:eastAsia="Times New Roman" w:cs="Times New Roman"/>
          <w:color w:val="auto"/>
          <w:spacing w:val="-6"/>
          <w:position w:val="3"/>
          <w:sz w:val="24"/>
          <w:szCs w:val="24"/>
        </w:rPr>
        <w:t>N</w:t>
      </w:r>
      <w:r>
        <w:rPr>
          <w:rFonts w:ascii="宋体" w:hAnsi="宋体" w:eastAsia="宋体" w:cs="宋体"/>
          <w:color w:val="auto"/>
          <w:spacing w:val="-6"/>
          <w:position w:val="3"/>
          <w:sz w:val="24"/>
          <w:szCs w:val="24"/>
        </w:rPr>
        <w:t>＝</w:t>
      </w:r>
      <w:r>
        <w:rPr>
          <w:rFonts w:ascii="Times New Roman" w:hAnsi="Times New Roman" w:eastAsia="Times New Roman" w:cs="Times New Roman"/>
          <w:color w:val="auto"/>
          <w:spacing w:val="-6"/>
          <w:position w:val="3"/>
          <w:sz w:val="24"/>
          <w:szCs w:val="24"/>
        </w:rPr>
        <w:t>100</w:t>
      </w:r>
      <w:r>
        <w:rPr>
          <w:rFonts w:ascii="宋体" w:hAnsi="宋体" w:eastAsia="宋体" w:cs="宋体"/>
          <w:color w:val="auto"/>
          <w:spacing w:val="-12"/>
          <w:position w:val="3"/>
          <w:sz w:val="24"/>
          <w:szCs w:val="24"/>
        </w:rPr>
        <w:t>－（</w:t>
      </w:r>
      <w:r>
        <w:rPr>
          <w:rFonts w:ascii="Times New Roman" w:hAnsi="Times New Roman" w:eastAsia="Times New Roman" w:cs="Times New Roman"/>
          <w:color w:val="auto"/>
          <w:spacing w:val="-6"/>
          <w:position w:val="3"/>
          <w:sz w:val="24"/>
          <w:szCs w:val="24"/>
        </w:rPr>
        <w:t>|Di</w:t>
      </w:r>
      <w:r>
        <w:rPr>
          <w:rFonts w:ascii="宋体" w:hAnsi="宋体" w:eastAsia="宋体" w:cs="宋体"/>
          <w:color w:val="auto"/>
          <w:spacing w:val="-6"/>
          <w:position w:val="3"/>
          <w:sz w:val="24"/>
          <w:szCs w:val="24"/>
        </w:rPr>
        <w:t>－</w:t>
      </w:r>
      <w:r>
        <w:rPr>
          <w:rFonts w:ascii="Times New Roman" w:hAnsi="Times New Roman" w:eastAsia="Times New Roman" w:cs="Times New Roman"/>
          <w:color w:val="auto"/>
          <w:spacing w:val="-6"/>
          <w:position w:val="3"/>
          <w:sz w:val="24"/>
          <w:szCs w:val="24"/>
        </w:rPr>
        <w:t>D|</w:t>
      </w:r>
      <w:r>
        <w:rPr>
          <w:rFonts w:ascii="宋体" w:hAnsi="宋体" w:eastAsia="宋体" w:cs="宋体"/>
          <w:color w:val="auto"/>
          <w:spacing w:val="-6"/>
          <w:position w:val="3"/>
          <w:sz w:val="24"/>
          <w:szCs w:val="24"/>
        </w:rPr>
        <w:t>÷</w:t>
      </w:r>
      <w:r>
        <w:rPr>
          <w:rFonts w:ascii="Times New Roman" w:hAnsi="Times New Roman" w:eastAsia="Times New Roman" w:cs="Times New Roman"/>
          <w:color w:val="auto"/>
          <w:spacing w:val="-6"/>
          <w:position w:val="3"/>
          <w:sz w:val="24"/>
          <w:szCs w:val="24"/>
        </w:rPr>
        <w:t>D</w:t>
      </w:r>
      <w:r>
        <w:rPr>
          <w:rFonts w:ascii="宋体" w:hAnsi="宋体" w:eastAsia="宋体" w:cs="宋体"/>
          <w:color w:val="auto"/>
          <w:spacing w:val="-6"/>
          <w:position w:val="3"/>
          <w:sz w:val="24"/>
          <w:szCs w:val="24"/>
        </w:rPr>
        <w:t>）×</w:t>
      </w:r>
      <w:r>
        <w:rPr>
          <w:rFonts w:ascii="Times New Roman" w:hAnsi="Times New Roman" w:eastAsia="Times New Roman" w:cs="Times New Roman"/>
          <w:color w:val="auto"/>
          <w:spacing w:val="-6"/>
          <w:position w:val="3"/>
          <w:sz w:val="24"/>
          <w:szCs w:val="24"/>
        </w:rPr>
        <w:t>100</w:t>
      </w:r>
      <w:r>
        <w:rPr>
          <w:rFonts w:ascii="宋体" w:hAnsi="宋体" w:eastAsia="宋体" w:cs="宋体"/>
          <w:color w:val="auto"/>
          <w:spacing w:val="-6"/>
          <w:position w:val="3"/>
          <w:sz w:val="24"/>
          <w:szCs w:val="24"/>
        </w:rPr>
        <w:t>×</w:t>
      </w:r>
      <w:r>
        <w:rPr>
          <w:rFonts w:ascii="Times New Roman" w:hAnsi="Times New Roman" w:eastAsia="Times New Roman" w:cs="Times New Roman"/>
          <w:color w:val="auto"/>
          <w:spacing w:val="-6"/>
          <w:position w:val="3"/>
          <w:sz w:val="24"/>
          <w:szCs w:val="24"/>
        </w:rPr>
        <w:t>E</w:t>
      </w:r>
    </w:p>
    <w:p w14:paraId="46727515">
      <w:pPr>
        <w:spacing w:before="106" w:line="316" w:lineRule="auto"/>
        <w:ind w:left="7" w:right="17" w:firstLine="489"/>
        <w:rPr>
          <w:rFonts w:ascii="宋体" w:hAnsi="宋体" w:eastAsia="宋体" w:cs="宋体"/>
          <w:color w:val="auto"/>
          <w:sz w:val="24"/>
          <w:szCs w:val="24"/>
        </w:rPr>
      </w:pPr>
      <w:r>
        <w:rPr>
          <w:rFonts w:ascii="宋体" w:hAnsi="宋体" w:eastAsia="宋体" w:cs="宋体"/>
          <w:color w:val="auto"/>
          <w:spacing w:val="-9"/>
          <w:sz w:val="24"/>
          <w:szCs w:val="24"/>
        </w:rPr>
        <w:t>式中：</w:t>
      </w:r>
      <w:r>
        <w:rPr>
          <w:rFonts w:ascii="Times New Roman" w:hAnsi="Times New Roman" w:eastAsia="Times New Roman" w:cs="Times New Roman"/>
          <w:color w:val="auto"/>
          <w:spacing w:val="-9"/>
          <w:sz w:val="24"/>
          <w:szCs w:val="24"/>
        </w:rPr>
        <w:t>D</w:t>
      </w:r>
      <w:r>
        <w:rPr>
          <w:rFonts w:ascii="宋体" w:hAnsi="宋体" w:eastAsia="宋体" w:cs="宋体"/>
          <w:color w:val="auto"/>
          <w:spacing w:val="-9"/>
          <w:sz w:val="24"/>
          <w:szCs w:val="24"/>
        </w:rPr>
        <w:t>为评标基准价；</w:t>
      </w:r>
      <w:r>
        <w:rPr>
          <w:rFonts w:ascii="Times New Roman" w:hAnsi="Times New Roman" w:eastAsia="Times New Roman" w:cs="Times New Roman"/>
          <w:color w:val="auto"/>
          <w:spacing w:val="-9"/>
          <w:sz w:val="24"/>
          <w:szCs w:val="24"/>
        </w:rPr>
        <w:t>Di</w:t>
      </w:r>
      <w:r>
        <w:rPr>
          <w:rFonts w:ascii="宋体" w:hAnsi="宋体" w:eastAsia="宋体" w:cs="宋体"/>
          <w:color w:val="auto"/>
          <w:spacing w:val="-9"/>
          <w:sz w:val="24"/>
          <w:szCs w:val="24"/>
        </w:rPr>
        <w:t>为某投标人的投标总价；</w:t>
      </w:r>
      <w:r>
        <w:rPr>
          <w:rFonts w:ascii="Times New Roman" w:hAnsi="Times New Roman" w:eastAsia="Times New Roman" w:cs="Times New Roman"/>
          <w:color w:val="auto"/>
          <w:spacing w:val="-9"/>
          <w:sz w:val="24"/>
          <w:szCs w:val="24"/>
        </w:rPr>
        <w:t>E</w:t>
      </w:r>
      <w:r>
        <w:rPr>
          <w:rFonts w:ascii="宋体" w:hAnsi="宋体" w:eastAsia="宋体" w:cs="宋体"/>
          <w:color w:val="auto"/>
          <w:spacing w:val="-9"/>
          <w:sz w:val="24"/>
          <w:szCs w:val="24"/>
        </w:rPr>
        <w:t>为扣分因子，当</w:t>
      </w:r>
      <w:r>
        <w:rPr>
          <w:rFonts w:ascii="Times New Roman" w:hAnsi="Times New Roman" w:eastAsia="Times New Roman" w:cs="Times New Roman"/>
          <w:color w:val="auto"/>
          <w:spacing w:val="-9"/>
          <w:sz w:val="24"/>
          <w:szCs w:val="24"/>
        </w:rPr>
        <w:t>Di</w:t>
      </w:r>
      <w:r>
        <w:rPr>
          <w:rFonts w:ascii="宋体" w:hAnsi="宋体" w:eastAsia="宋体" w:cs="宋体"/>
          <w:color w:val="auto"/>
          <w:spacing w:val="-9"/>
          <w:sz w:val="24"/>
          <w:szCs w:val="24"/>
        </w:rPr>
        <w:t>＞</w:t>
      </w:r>
      <w:r>
        <w:rPr>
          <w:rFonts w:ascii="Times New Roman" w:hAnsi="Times New Roman" w:eastAsia="Times New Roman" w:cs="Times New Roman"/>
          <w:color w:val="auto"/>
          <w:spacing w:val="-9"/>
          <w:sz w:val="24"/>
          <w:szCs w:val="24"/>
        </w:rPr>
        <w:t>D</w:t>
      </w:r>
      <w:r>
        <w:rPr>
          <w:rFonts w:ascii="宋体" w:hAnsi="宋体" w:eastAsia="宋体" w:cs="宋体"/>
          <w:color w:val="auto"/>
          <w:spacing w:val="-10"/>
          <w:sz w:val="24"/>
          <w:szCs w:val="24"/>
        </w:rPr>
        <w:t>时，</w:t>
      </w:r>
      <w:r>
        <w:rPr>
          <w:rFonts w:ascii="Times New Roman" w:hAnsi="Times New Roman" w:eastAsia="Times New Roman" w:cs="Times New Roman"/>
          <w:color w:val="auto"/>
          <w:spacing w:val="-8"/>
          <w:sz w:val="24"/>
          <w:szCs w:val="24"/>
        </w:rPr>
        <w:t>E</w:t>
      </w:r>
      <w:r>
        <w:rPr>
          <w:rFonts w:ascii="宋体" w:hAnsi="宋体" w:eastAsia="宋体" w:cs="宋体"/>
          <w:color w:val="auto"/>
          <w:spacing w:val="-8"/>
          <w:sz w:val="24"/>
          <w:szCs w:val="24"/>
        </w:rPr>
        <w:t>＝</w:t>
      </w:r>
      <w:r>
        <w:rPr>
          <w:rFonts w:hint="eastAsia" w:ascii="Times New Roman" w:hAnsi="Times New Roman" w:eastAsia="宋体" w:cs="Times New Roman"/>
          <w:b/>
          <w:bCs/>
          <w:color w:val="auto"/>
          <w:spacing w:val="-8"/>
          <w:sz w:val="24"/>
          <w:szCs w:val="24"/>
          <w:lang w:val="en-US" w:eastAsia="zh-CN"/>
        </w:rPr>
        <w:t>0</w:t>
      </w:r>
      <w:r>
        <w:rPr>
          <w:rFonts w:hint="eastAsia" w:ascii="Times New Roman" w:hAnsi="Times New Roman" w:eastAsia="宋体" w:cs="Times New Roman"/>
          <w:b/>
          <w:bCs/>
          <w:color w:val="auto"/>
          <w:spacing w:val="-8"/>
          <w:sz w:val="24"/>
          <w:szCs w:val="24"/>
          <w:lang w:val="en-US" w:eastAsia="zh-CN"/>
        </w:rPr>
        <w:t>.5</w:t>
      </w:r>
      <w:r>
        <w:rPr>
          <w:rFonts w:ascii="宋体" w:hAnsi="宋体" w:eastAsia="宋体" w:cs="宋体"/>
          <w:b/>
          <w:bCs/>
          <w:color w:val="auto"/>
          <w:spacing w:val="-8"/>
          <w:sz w:val="24"/>
          <w:szCs w:val="24"/>
        </w:rPr>
        <w:t>；</w:t>
      </w:r>
      <w:r>
        <w:rPr>
          <w:rFonts w:ascii="宋体" w:hAnsi="宋体" w:eastAsia="宋体" w:cs="宋体"/>
          <w:color w:val="auto"/>
          <w:spacing w:val="-8"/>
          <w:sz w:val="24"/>
          <w:szCs w:val="24"/>
        </w:rPr>
        <w:t>当</w:t>
      </w:r>
      <w:r>
        <w:rPr>
          <w:rFonts w:ascii="Times New Roman" w:hAnsi="Times New Roman" w:eastAsia="Times New Roman" w:cs="Times New Roman"/>
          <w:color w:val="auto"/>
          <w:spacing w:val="-8"/>
          <w:sz w:val="24"/>
          <w:szCs w:val="24"/>
        </w:rPr>
        <w:t>Di</w:t>
      </w:r>
      <w:r>
        <w:rPr>
          <w:rFonts w:ascii="宋体" w:hAnsi="宋体" w:eastAsia="宋体" w:cs="宋体"/>
          <w:color w:val="auto"/>
          <w:spacing w:val="-8"/>
          <w:sz w:val="24"/>
          <w:szCs w:val="24"/>
        </w:rPr>
        <w:t>＜</w:t>
      </w:r>
      <w:r>
        <w:rPr>
          <w:rFonts w:ascii="Times New Roman" w:hAnsi="Times New Roman" w:eastAsia="Times New Roman" w:cs="Times New Roman"/>
          <w:color w:val="auto"/>
          <w:spacing w:val="-8"/>
          <w:sz w:val="24"/>
          <w:szCs w:val="24"/>
        </w:rPr>
        <w:t>D</w:t>
      </w:r>
      <w:r>
        <w:rPr>
          <w:rFonts w:ascii="宋体" w:hAnsi="宋体" w:eastAsia="宋体" w:cs="宋体"/>
          <w:color w:val="auto"/>
          <w:spacing w:val="-8"/>
          <w:sz w:val="24"/>
          <w:szCs w:val="24"/>
        </w:rPr>
        <w:t>时，</w:t>
      </w:r>
      <w:r>
        <w:rPr>
          <w:rFonts w:ascii="Times New Roman" w:hAnsi="Times New Roman" w:eastAsia="Times New Roman" w:cs="Times New Roman"/>
          <w:color w:val="auto"/>
          <w:spacing w:val="-8"/>
          <w:sz w:val="24"/>
          <w:szCs w:val="24"/>
        </w:rPr>
        <w:t>E</w:t>
      </w:r>
      <w:r>
        <w:rPr>
          <w:rFonts w:ascii="宋体" w:hAnsi="宋体" w:eastAsia="宋体" w:cs="宋体"/>
          <w:b/>
          <w:bCs/>
          <w:color w:val="auto"/>
          <w:spacing w:val="-8"/>
          <w:sz w:val="24"/>
          <w:szCs w:val="24"/>
        </w:rPr>
        <w:t>＝</w:t>
      </w:r>
      <w:r>
        <w:rPr>
          <w:rFonts w:hint="eastAsia" w:ascii="Times New Roman" w:hAnsi="Times New Roman" w:eastAsia="宋体" w:cs="Times New Roman"/>
          <w:b/>
          <w:bCs/>
          <w:color w:val="auto"/>
          <w:spacing w:val="-8"/>
          <w:sz w:val="24"/>
          <w:szCs w:val="24"/>
          <w:lang w:val="en-US" w:eastAsia="zh-CN"/>
        </w:rPr>
        <w:t>0</w:t>
      </w:r>
      <w:r>
        <w:rPr>
          <w:rFonts w:hint="eastAsia" w:ascii="Times New Roman" w:hAnsi="Times New Roman" w:eastAsia="宋体" w:cs="Times New Roman"/>
          <w:b/>
          <w:bCs/>
          <w:color w:val="auto"/>
          <w:spacing w:val="-8"/>
          <w:sz w:val="24"/>
          <w:szCs w:val="24"/>
          <w:lang w:val="en-US" w:eastAsia="zh-CN"/>
        </w:rPr>
        <w:t>.3</w:t>
      </w:r>
      <w:r>
        <w:rPr>
          <w:rFonts w:ascii="宋体" w:hAnsi="宋体" w:eastAsia="宋体" w:cs="宋体"/>
          <w:b/>
          <w:bCs/>
          <w:color w:val="auto"/>
          <w:spacing w:val="-8"/>
          <w:sz w:val="24"/>
          <w:szCs w:val="24"/>
        </w:rPr>
        <w:t>。</w:t>
      </w:r>
    </w:p>
    <w:p w14:paraId="5194EA21">
      <w:pPr>
        <w:spacing w:before="95" w:line="220" w:lineRule="auto"/>
        <w:ind w:left="503"/>
        <w:outlineLvl w:val="2"/>
        <w:rPr>
          <w:rFonts w:ascii="宋体" w:hAnsi="宋体" w:eastAsia="宋体" w:cs="宋体"/>
          <w:sz w:val="24"/>
          <w:szCs w:val="24"/>
        </w:rPr>
      </w:pPr>
      <w:bookmarkStart w:id="94" w:name="_Toc7915"/>
      <w:bookmarkStart w:id="95" w:name="_Toc4990"/>
      <w:bookmarkStart w:id="96" w:name="_Toc3861"/>
      <w:r>
        <w:rPr>
          <w:rFonts w:ascii="宋体" w:hAnsi="宋体" w:eastAsia="宋体" w:cs="宋体"/>
          <w:spacing w:val="-3"/>
          <w:sz w:val="24"/>
          <w:szCs w:val="24"/>
        </w:rPr>
        <w:t>（</w:t>
      </w:r>
      <w:r>
        <w:rPr>
          <w:rFonts w:ascii="Times New Roman" w:hAnsi="Times New Roman" w:eastAsia="Times New Roman" w:cs="Times New Roman"/>
          <w:spacing w:val="-3"/>
          <w:sz w:val="24"/>
          <w:szCs w:val="24"/>
        </w:rPr>
        <w:t>3</w:t>
      </w:r>
      <w:r>
        <w:rPr>
          <w:rFonts w:ascii="宋体" w:hAnsi="宋体" w:eastAsia="宋体" w:cs="宋体"/>
          <w:spacing w:val="-3"/>
          <w:sz w:val="24"/>
          <w:szCs w:val="24"/>
        </w:rPr>
        <w:t>）综合得分</w:t>
      </w:r>
      <w:bookmarkEnd w:id="94"/>
      <w:bookmarkEnd w:id="95"/>
      <w:bookmarkEnd w:id="96"/>
    </w:p>
    <w:p w14:paraId="6B8A10A9">
      <w:pPr>
        <w:spacing w:before="153" w:line="220" w:lineRule="auto"/>
        <w:ind w:left="494"/>
        <w:rPr>
          <w:rFonts w:ascii="宋体" w:hAnsi="宋体" w:eastAsia="宋体" w:cs="宋体"/>
          <w:sz w:val="24"/>
          <w:szCs w:val="24"/>
        </w:rPr>
      </w:pPr>
      <w:r>
        <w:rPr>
          <w:rFonts w:ascii="宋体" w:hAnsi="宋体" w:eastAsia="宋体" w:cs="宋体"/>
          <w:spacing w:val="-2"/>
          <w:sz w:val="24"/>
          <w:szCs w:val="24"/>
        </w:rPr>
        <w:t>综合得分换算为百分制，满分</w:t>
      </w:r>
      <w:r>
        <w:rPr>
          <w:rFonts w:ascii="Times New Roman" w:hAnsi="Times New Roman" w:eastAsia="Times New Roman" w:cs="Times New Roman"/>
          <w:spacing w:val="-2"/>
          <w:sz w:val="24"/>
          <w:szCs w:val="24"/>
        </w:rPr>
        <w:t>100</w:t>
      </w:r>
      <w:r>
        <w:rPr>
          <w:rFonts w:ascii="宋体" w:hAnsi="宋体" w:eastAsia="宋体" w:cs="宋体"/>
          <w:spacing w:val="-2"/>
          <w:sz w:val="24"/>
          <w:szCs w:val="24"/>
        </w:rPr>
        <w:t>分，公式如下：</w:t>
      </w:r>
    </w:p>
    <w:p w14:paraId="416F4CCB">
      <w:pPr>
        <w:spacing w:before="155" w:line="324" w:lineRule="auto"/>
        <w:ind w:left="496" w:right="532" w:hanging="33"/>
        <w:rPr>
          <w:rFonts w:ascii="宋体" w:hAnsi="宋体" w:eastAsia="宋体" w:cs="宋体"/>
          <w:sz w:val="24"/>
          <w:szCs w:val="24"/>
        </w:rPr>
      </w:pPr>
      <w:r>
        <w:rPr>
          <w:rFonts w:ascii="宋体" w:hAnsi="宋体" w:eastAsia="宋体" w:cs="宋体"/>
          <w:sz w:val="24"/>
          <w:szCs w:val="24"/>
        </w:rPr>
        <w:t>综合得分＝</w:t>
      </w:r>
      <w:r>
        <w:rPr>
          <w:rFonts w:ascii="Times New Roman" w:hAnsi="Times New Roman" w:eastAsia="Times New Roman" w:cs="Times New Roman"/>
          <w:sz w:val="24"/>
          <w:szCs w:val="24"/>
        </w:rPr>
        <w:t>M</w:t>
      </w:r>
      <w:r>
        <w:rPr>
          <w:rFonts w:ascii="宋体" w:hAnsi="宋体" w:eastAsia="宋体" w:cs="宋体"/>
          <w:sz w:val="24"/>
          <w:szCs w:val="24"/>
        </w:rPr>
        <w:t>÷商务技术合计满分×</w:t>
      </w:r>
      <w:r>
        <w:rPr>
          <w:rFonts w:ascii="Times New Roman" w:hAnsi="Times New Roman" w:eastAsia="Times New Roman" w:cs="Times New Roman"/>
          <w:sz w:val="24"/>
          <w:szCs w:val="24"/>
        </w:rPr>
        <w:t>100</w:t>
      </w:r>
      <w:r>
        <w:rPr>
          <w:rFonts w:ascii="宋体" w:hAnsi="宋体" w:eastAsia="宋体" w:cs="宋体"/>
          <w:spacing w:val="-1"/>
          <w:sz w:val="24"/>
          <w:szCs w:val="24"/>
        </w:rPr>
        <w:t>×商务技术权重＋</w:t>
      </w:r>
      <w:r>
        <w:rPr>
          <w:rFonts w:ascii="Times New Roman" w:hAnsi="Times New Roman" w:eastAsia="Times New Roman" w:cs="Times New Roman"/>
          <w:spacing w:val="-1"/>
          <w:sz w:val="24"/>
          <w:szCs w:val="24"/>
        </w:rPr>
        <w:t>N</w:t>
      </w:r>
      <w:r>
        <w:rPr>
          <w:rFonts w:ascii="宋体" w:hAnsi="宋体" w:eastAsia="宋体" w:cs="宋体"/>
          <w:spacing w:val="-1"/>
          <w:sz w:val="24"/>
          <w:szCs w:val="24"/>
        </w:rPr>
        <w:t>×投标报价权重式中：</w:t>
      </w:r>
      <w:r>
        <w:rPr>
          <w:rFonts w:ascii="Times New Roman" w:hAnsi="Times New Roman" w:eastAsia="Times New Roman" w:cs="Times New Roman"/>
          <w:spacing w:val="-1"/>
          <w:sz w:val="24"/>
          <w:szCs w:val="24"/>
        </w:rPr>
        <w:t>M</w:t>
      </w:r>
      <w:r>
        <w:rPr>
          <w:rFonts w:ascii="宋体" w:hAnsi="宋体" w:eastAsia="宋体" w:cs="宋体"/>
          <w:spacing w:val="-1"/>
          <w:sz w:val="24"/>
          <w:szCs w:val="24"/>
        </w:rPr>
        <w:t>为商务技术得分，</w:t>
      </w:r>
      <w:r>
        <w:rPr>
          <w:rFonts w:ascii="Times New Roman" w:hAnsi="Times New Roman" w:eastAsia="Times New Roman" w:cs="Times New Roman"/>
          <w:spacing w:val="-1"/>
          <w:sz w:val="24"/>
          <w:szCs w:val="24"/>
        </w:rPr>
        <w:t>N</w:t>
      </w:r>
      <w:r>
        <w:rPr>
          <w:rFonts w:ascii="宋体" w:hAnsi="宋体" w:eastAsia="宋体" w:cs="宋体"/>
          <w:spacing w:val="-1"/>
          <w:sz w:val="24"/>
          <w:szCs w:val="24"/>
        </w:rPr>
        <w:t>为投标报价得分。</w:t>
      </w:r>
    </w:p>
    <w:p w14:paraId="2136DEA2">
      <w:pPr>
        <w:spacing w:before="37" w:line="219" w:lineRule="auto"/>
        <w:ind w:left="503"/>
        <w:outlineLvl w:val="2"/>
      </w:pPr>
      <w:bookmarkStart w:id="97" w:name="_Toc30671"/>
      <w:bookmarkStart w:id="98" w:name="_Toc2885"/>
      <w:bookmarkStart w:id="99" w:name="_Toc25214"/>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）评标委员会汇总、比较所有投标人的综合得分后，取</w:t>
      </w:r>
      <w:r>
        <w:rPr>
          <w:rFonts w:ascii="宋体" w:hAnsi="宋体" w:eastAsia="宋体" w:cs="宋体"/>
          <w:spacing w:val="1"/>
          <w:sz w:val="24"/>
          <w:szCs w:val="24"/>
        </w:rPr>
        <w:t>综合得分最高的投标</w:t>
      </w:r>
      <w:bookmarkEnd w:id="97"/>
      <w:bookmarkEnd w:id="98"/>
      <w:bookmarkEnd w:id="99"/>
    </w:p>
    <w:p w14:paraId="631C93E2">
      <w:pPr>
        <w:spacing w:before="78" w:line="329" w:lineRule="auto"/>
        <w:ind w:left="276" w:right="263" w:hanging="1"/>
        <w:jc w:val="both"/>
        <w:rPr>
          <w:rFonts w:ascii="宋体" w:hAnsi="宋体" w:eastAsia="宋体" w:cs="宋体"/>
          <w:sz w:val="24"/>
          <w:szCs w:val="24"/>
        </w:rPr>
      </w:pPr>
      <w:r>
        <w:rPr>
          <w:rFonts w:ascii="宋体" w:hAnsi="宋体" w:eastAsia="宋体" w:cs="宋体"/>
          <w:spacing w:val="-1"/>
          <w:sz w:val="24"/>
          <w:szCs w:val="24"/>
        </w:rPr>
        <w:t>人为第一中标候选人，取综合得分第二、第三高的投标人</w:t>
      </w:r>
      <w:r>
        <w:rPr>
          <w:rFonts w:ascii="宋体" w:hAnsi="宋体" w:eastAsia="宋体" w:cs="宋体"/>
          <w:spacing w:val="-2"/>
          <w:sz w:val="24"/>
          <w:szCs w:val="24"/>
        </w:rPr>
        <w:t>为第二、第三中标候选人。</w:t>
      </w:r>
      <w:r>
        <w:rPr>
          <w:rFonts w:ascii="宋体" w:hAnsi="宋体" w:eastAsia="宋体" w:cs="宋体"/>
          <w:spacing w:val="-1"/>
          <w:sz w:val="24"/>
          <w:szCs w:val="24"/>
        </w:rPr>
        <w:t>如果最高综合得分相同，取投标总价低者为第一中标</w:t>
      </w:r>
      <w:r>
        <w:rPr>
          <w:rFonts w:ascii="宋体" w:hAnsi="宋体" w:eastAsia="宋体" w:cs="宋体"/>
          <w:spacing w:val="-2"/>
          <w:sz w:val="24"/>
          <w:szCs w:val="24"/>
        </w:rPr>
        <w:t>候选人，并依此确定第二、第三</w:t>
      </w:r>
      <w:r>
        <w:rPr>
          <w:rFonts w:ascii="宋体" w:hAnsi="宋体" w:eastAsia="宋体" w:cs="宋体"/>
          <w:sz w:val="24"/>
          <w:szCs w:val="24"/>
        </w:rPr>
        <w:t>中标候选人。如果最高综合得分相同，投标总价</w:t>
      </w:r>
      <w:r>
        <w:rPr>
          <w:rFonts w:ascii="宋体" w:hAnsi="宋体" w:eastAsia="宋体" w:cs="宋体"/>
          <w:spacing w:val="-1"/>
          <w:sz w:val="24"/>
          <w:szCs w:val="24"/>
        </w:rPr>
        <w:t>也相同，由评标委员会投票确定。</w:t>
      </w:r>
    </w:p>
    <w:p w14:paraId="365CE0BA">
      <w:pPr>
        <w:spacing w:before="98" w:line="221" w:lineRule="auto"/>
        <w:ind w:left="4248"/>
        <w:outlineLvl w:val="1"/>
        <w:rPr>
          <w:rFonts w:ascii="宋体" w:hAnsi="宋体" w:eastAsia="宋体" w:cs="宋体"/>
          <w:sz w:val="30"/>
          <w:szCs w:val="30"/>
        </w:rPr>
      </w:pPr>
      <w:bookmarkStart w:id="100" w:name="_Toc3020"/>
      <w:bookmarkStart w:id="101" w:name="_Toc17375"/>
      <w:bookmarkStart w:id="102" w:name="_Toc16801"/>
      <w:r>
        <w:rPr>
          <w:rFonts w:ascii="宋体" w:hAnsi="宋体" w:eastAsia="宋体" w:cs="宋体"/>
          <w:b/>
          <w:bCs/>
          <w:spacing w:val="-6"/>
          <w:sz w:val="30"/>
          <w:szCs w:val="30"/>
        </w:rPr>
        <w:br w:type="page"/>
      </w:r>
      <w:r>
        <w:rPr>
          <w:rFonts w:ascii="宋体" w:hAnsi="宋体" w:eastAsia="宋体" w:cs="宋体"/>
          <w:b/>
          <w:bCs/>
          <w:spacing w:val="-6"/>
          <w:sz w:val="30"/>
          <w:szCs w:val="30"/>
        </w:rPr>
        <w:t>综合评分表</w:t>
      </w:r>
      <w:bookmarkEnd w:id="100"/>
      <w:bookmarkEnd w:id="101"/>
      <w:bookmarkEnd w:id="102"/>
    </w:p>
    <w:p w14:paraId="180CB54E">
      <w:pPr>
        <w:spacing w:before="5"/>
      </w:pPr>
    </w:p>
    <w:tbl>
      <w:tblPr>
        <w:tblStyle w:val="14"/>
        <w:tblW w:w="10102" w:type="dxa"/>
        <w:jc w:val="center"/>
        <w:tblLayout w:type="fixed"/>
        <w:tblCellMar>
          <w:top w:w="0" w:type="dxa"/>
          <w:left w:w="108" w:type="dxa"/>
          <w:bottom w:w="0" w:type="dxa"/>
          <w:right w:w="108" w:type="dxa"/>
        </w:tblCellMar>
      </w:tblPr>
      <w:tblGrid>
        <w:gridCol w:w="1154"/>
        <w:gridCol w:w="3580"/>
        <w:gridCol w:w="5368"/>
      </w:tblGrid>
      <w:tr w14:paraId="76C27F16">
        <w:tblPrEx>
          <w:tblCellMar>
            <w:top w:w="0" w:type="dxa"/>
            <w:left w:w="108" w:type="dxa"/>
            <w:bottom w:w="0" w:type="dxa"/>
            <w:right w:w="108" w:type="dxa"/>
          </w:tblCellMar>
        </w:tblPrEx>
        <w:trPr>
          <w:jc w:val="center"/>
        </w:trPr>
        <w:tc>
          <w:tcPr>
            <w:tcW w:w="10102"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73A7AA2A">
            <w:pPr>
              <w:widowControl w:val="0"/>
              <w:tabs>
                <w:tab w:val="left" w:pos="1354"/>
                <w:tab w:val="left" w:pos="1459"/>
                <w:tab w:val="center" w:pos="3902"/>
                <w:tab w:val="right" w:pos="7805"/>
              </w:tabs>
              <w:wordWrap w:val="0"/>
              <w:adjustRightInd w:val="0"/>
              <w:snapToGrid w:val="0"/>
              <w:spacing w:after="0" w:afterLines="0" w:afterAutospacing="0" w:line="440" w:lineRule="exact"/>
              <w:jc w:val="both"/>
              <w:rPr>
                <w:rFonts w:hint="eastAsia" w:ascii="宋体" w:hAnsi="宋体" w:eastAsia="宋体" w:cs="宋体"/>
                <w:snapToGrid w:val="0"/>
                <w:color w:val="auto"/>
                <w:kern w:val="0"/>
                <w:sz w:val="24"/>
                <w:szCs w:val="24"/>
                <w:highlight w:val="none"/>
                <w:lang w:val="en-US" w:eastAsia="zh-CN" w:bidi="ar-SA"/>
              </w:rPr>
            </w:pPr>
            <w:bookmarkStart w:id="103" w:name="_Toc9725"/>
            <w:bookmarkStart w:id="104" w:name="_Toc5769"/>
            <w:bookmarkStart w:id="105" w:name="_Toc31744"/>
            <w:r>
              <w:rPr>
                <w:rFonts w:hint="eastAsia" w:ascii="宋体" w:hAnsi="宋体" w:eastAsia="宋体" w:cs="宋体"/>
                <w:snapToGrid w:val="0"/>
                <w:color w:val="auto"/>
                <w:kern w:val="0"/>
                <w:sz w:val="24"/>
                <w:szCs w:val="24"/>
                <w:highlight w:val="none"/>
                <w:lang w:val="en-US" w:eastAsia="zh-CN" w:bidi="ar-SA"/>
              </w:rPr>
              <w:t>商务部分，满分：</w:t>
            </w:r>
            <w:r>
              <w:rPr>
                <w:rFonts w:hint="eastAsia" w:ascii="宋体" w:hAnsi="宋体" w:eastAsia="宋体" w:cs="宋体"/>
                <w:snapToGrid w:val="0"/>
                <w:color w:val="auto"/>
                <w:kern w:val="0"/>
                <w:sz w:val="24"/>
                <w:szCs w:val="24"/>
                <w:highlight w:val="none"/>
                <w:u w:val="single"/>
                <w:lang w:val="en-US" w:eastAsia="zh-CN" w:bidi="ar-SA"/>
              </w:rPr>
              <w:t>80</w:t>
            </w:r>
            <w:r>
              <w:rPr>
                <w:rFonts w:hint="eastAsia" w:ascii="宋体" w:hAnsi="宋体" w:eastAsia="宋体" w:cs="宋体"/>
                <w:snapToGrid w:val="0"/>
                <w:color w:val="auto"/>
                <w:kern w:val="0"/>
                <w:sz w:val="24"/>
                <w:szCs w:val="24"/>
                <w:highlight w:val="none"/>
                <w:lang w:val="en-US" w:eastAsia="zh-CN" w:bidi="ar-SA"/>
              </w:rPr>
              <w:t>分。</w:t>
            </w:r>
          </w:p>
        </w:tc>
      </w:tr>
      <w:tr w14:paraId="1D0FC929">
        <w:tblPrEx>
          <w:tblCellMar>
            <w:top w:w="0" w:type="dxa"/>
            <w:left w:w="108" w:type="dxa"/>
            <w:bottom w:w="0" w:type="dxa"/>
            <w:right w:w="108" w:type="dxa"/>
          </w:tblCellMar>
        </w:tblPrEx>
        <w:trPr>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24556194">
            <w:pPr>
              <w:widowControl w:val="0"/>
              <w:tabs>
                <w:tab w:val="left" w:pos="1354"/>
                <w:tab w:val="left" w:pos="1459"/>
                <w:tab w:val="center" w:pos="3902"/>
                <w:tab w:val="right" w:pos="7805"/>
              </w:tabs>
              <w:wordWrap w:val="0"/>
              <w:adjustRightInd w:val="0"/>
              <w:snapToGrid w:val="0"/>
              <w:spacing w:after="0" w:afterLines="0" w:afterAutospacing="0" w:line="4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评分因素</w:t>
            </w:r>
          </w:p>
        </w:tc>
        <w:tc>
          <w:tcPr>
            <w:tcW w:w="3580" w:type="dxa"/>
            <w:tcBorders>
              <w:top w:val="single" w:color="auto" w:sz="4" w:space="0"/>
              <w:left w:val="single" w:color="auto" w:sz="4" w:space="0"/>
              <w:bottom w:val="single" w:color="auto" w:sz="4" w:space="0"/>
              <w:right w:val="single" w:color="auto" w:sz="4" w:space="0"/>
            </w:tcBorders>
            <w:noWrap w:val="0"/>
            <w:vAlign w:val="center"/>
          </w:tcPr>
          <w:p w14:paraId="09A87638">
            <w:pPr>
              <w:widowControl w:val="0"/>
              <w:tabs>
                <w:tab w:val="left" w:pos="1354"/>
                <w:tab w:val="left" w:pos="1459"/>
                <w:tab w:val="center" w:pos="3902"/>
                <w:tab w:val="right" w:pos="7805"/>
              </w:tabs>
              <w:wordWrap w:val="0"/>
              <w:adjustRightInd w:val="0"/>
              <w:snapToGrid w:val="0"/>
              <w:spacing w:after="0" w:afterLines="0" w:afterAutospacing="0" w:line="4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评分标准</w:t>
            </w:r>
          </w:p>
        </w:tc>
        <w:tc>
          <w:tcPr>
            <w:tcW w:w="5368" w:type="dxa"/>
            <w:tcBorders>
              <w:top w:val="single" w:color="auto" w:sz="4" w:space="0"/>
              <w:left w:val="single" w:color="auto" w:sz="4" w:space="0"/>
              <w:bottom w:val="single" w:color="auto" w:sz="4" w:space="0"/>
              <w:right w:val="single" w:color="auto" w:sz="4" w:space="0"/>
            </w:tcBorders>
            <w:noWrap w:val="0"/>
            <w:vAlign w:val="center"/>
          </w:tcPr>
          <w:p w14:paraId="361C2427">
            <w:pPr>
              <w:widowControl w:val="0"/>
              <w:tabs>
                <w:tab w:val="left" w:pos="1354"/>
                <w:tab w:val="left" w:pos="1459"/>
                <w:tab w:val="center" w:pos="3902"/>
                <w:tab w:val="right" w:pos="7805"/>
              </w:tabs>
              <w:wordWrap w:val="0"/>
              <w:adjustRightInd w:val="0"/>
              <w:snapToGrid w:val="0"/>
              <w:spacing w:after="0" w:afterLines="0" w:afterAutospacing="0" w:line="4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备注</w:t>
            </w:r>
          </w:p>
        </w:tc>
      </w:tr>
      <w:tr w14:paraId="5B1E0FDF">
        <w:tblPrEx>
          <w:tblCellMar>
            <w:top w:w="0" w:type="dxa"/>
            <w:left w:w="108" w:type="dxa"/>
            <w:bottom w:w="0" w:type="dxa"/>
            <w:right w:w="108" w:type="dxa"/>
          </w:tblCellMar>
        </w:tblPrEx>
        <w:trPr>
          <w:trHeight w:val="3399"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214B87C7">
            <w:pPr>
              <w:keepNext w:val="0"/>
              <w:keepLines w:val="0"/>
              <w:pageBreakBefore w:val="0"/>
              <w:widowControl w:val="0"/>
              <w:kinsoku/>
              <w:overflowPunct/>
              <w:topLinePunct w:val="0"/>
              <w:autoSpaceDE/>
              <w:autoSpaceDN/>
              <w:bidi w:val="0"/>
              <w:snapToGrid w:val="0"/>
              <w:spacing w:line="400" w:lineRule="exact"/>
              <w:jc w:val="center"/>
              <w:textAlignment w:val="auto"/>
              <w:rPr>
                <w:rFonts w:hint="eastAsia" w:ascii="宋体" w:hAnsi="宋体" w:eastAsia="宋体" w:cs="宋体"/>
                <w:strike/>
                <w:color w:val="auto"/>
                <w:sz w:val="24"/>
                <w:szCs w:val="24"/>
                <w:highlight w:val="none"/>
              </w:rPr>
            </w:pPr>
            <w:r>
              <w:rPr>
                <w:rFonts w:hint="eastAsia" w:ascii="宋体" w:hAnsi="宋体" w:eastAsia="宋体" w:cs="宋体"/>
                <w:color w:val="auto"/>
                <w:sz w:val="24"/>
                <w:szCs w:val="24"/>
                <w:highlight w:val="none"/>
                <w:lang w:val="en-US" w:eastAsia="zh-CN"/>
              </w:rPr>
              <w:t>企业获得</w:t>
            </w:r>
            <w:r>
              <w:rPr>
                <w:rFonts w:hint="eastAsia" w:ascii="宋体" w:hAnsi="宋体" w:eastAsia="宋体" w:cs="宋体"/>
                <w:color w:val="auto"/>
                <w:sz w:val="24"/>
                <w:szCs w:val="24"/>
                <w:highlight w:val="none"/>
              </w:rPr>
              <w:t>业绩</w:t>
            </w:r>
          </w:p>
          <w:p w14:paraId="79FB07C0">
            <w:pPr>
              <w:keepNext w:val="0"/>
              <w:keepLines w:val="0"/>
              <w:pageBreakBefore w:val="0"/>
              <w:widowControl w:val="0"/>
              <w:kinsoku/>
              <w:overflowPunct/>
              <w:topLinePunct w:val="0"/>
              <w:autoSpaceDE/>
              <w:autoSpaceDN/>
              <w:bidi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tc>
        <w:tc>
          <w:tcPr>
            <w:tcW w:w="3580" w:type="dxa"/>
            <w:tcBorders>
              <w:top w:val="single" w:color="auto" w:sz="4" w:space="0"/>
              <w:left w:val="single" w:color="auto" w:sz="4" w:space="0"/>
              <w:right w:val="single" w:color="auto" w:sz="4" w:space="0"/>
            </w:tcBorders>
            <w:noWrap w:val="0"/>
            <w:vAlign w:val="center"/>
          </w:tcPr>
          <w:p w14:paraId="21FA7C14">
            <w:pPr>
              <w:pStyle w:val="30"/>
              <w:keepNext w:val="0"/>
              <w:keepLines w:val="0"/>
              <w:pageBreakBefore w:val="0"/>
              <w:widowControl w:val="0"/>
              <w:numPr>
                <w:ilvl w:val="0"/>
                <w:numId w:val="0"/>
              </w:numPr>
              <w:kinsoku/>
              <w:overflowPunct/>
              <w:topLinePunct w:val="0"/>
              <w:autoSpaceDE/>
              <w:autoSpaceDN/>
              <w:bidi w:val="0"/>
              <w:snapToGrid w:val="0"/>
              <w:spacing w:line="4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1、企业近5年来（2020年1月1日至今），承接过类似工程的，每提供一个得5分。</w:t>
            </w:r>
          </w:p>
          <w:p w14:paraId="35D0047D">
            <w:pPr>
              <w:pStyle w:val="30"/>
              <w:keepNext w:val="0"/>
              <w:keepLines w:val="0"/>
              <w:pageBreakBefore w:val="0"/>
              <w:widowControl w:val="0"/>
              <w:numPr>
                <w:ilvl w:val="0"/>
                <w:numId w:val="0"/>
              </w:numPr>
              <w:kinsoku/>
              <w:overflowPunct/>
              <w:topLinePunct w:val="0"/>
              <w:autoSpaceDE/>
              <w:autoSpaceDN/>
              <w:bidi w:val="0"/>
              <w:snapToGrid w:val="0"/>
              <w:spacing w:line="4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2、企业近年来（2020年1月1日至今），未承接过类似工程或无效业绩的，不予计分。</w:t>
            </w:r>
          </w:p>
          <w:p w14:paraId="6FB30584">
            <w:pPr>
              <w:pStyle w:val="30"/>
              <w:keepNext w:val="0"/>
              <w:keepLines w:val="0"/>
              <w:pageBreakBefore w:val="0"/>
              <w:widowControl w:val="0"/>
              <w:kinsoku/>
              <w:overflowPunct/>
              <w:topLinePunct w:val="0"/>
              <w:autoSpaceDE/>
              <w:autoSpaceDN/>
              <w:bidi w:val="0"/>
              <w:snapToGrid w:val="0"/>
              <w:spacing w:line="400" w:lineRule="exact"/>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rPr>
              <w:t>本项最高得20分。</w:t>
            </w:r>
          </w:p>
        </w:tc>
        <w:tc>
          <w:tcPr>
            <w:tcW w:w="5368" w:type="dxa"/>
            <w:tcBorders>
              <w:top w:val="single" w:color="auto" w:sz="4" w:space="0"/>
              <w:left w:val="single" w:color="auto" w:sz="4" w:space="0"/>
              <w:bottom w:val="single" w:color="auto" w:sz="4" w:space="0"/>
              <w:right w:val="single" w:color="auto" w:sz="4" w:space="0"/>
            </w:tcBorders>
            <w:noWrap w:val="0"/>
            <w:vAlign w:val="center"/>
          </w:tcPr>
          <w:p w14:paraId="0EF44DF5">
            <w:pPr>
              <w:pStyle w:val="30"/>
              <w:keepNext w:val="0"/>
              <w:keepLines w:val="0"/>
              <w:pageBreakBefore w:val="0"/>
              <w:widowControl w:val="0"/>
              <w:numPr>
                <w:ilvl w:val="0"/>
                <w:numId w:val="0"/>
              </w:numPr>
              <w:kinsoku/>
              <w:overflowPunct/>
              <w:topLinePunct w:val="0"/>
              <w:autoSpaceDE/>
              <w:autoSpaceDN/>
              <w:bidi w:val="0"/>
              <w:snapToGrid w:val="0"/>
              <w:spacing w:line="4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1.类似工程指：房建或市政类工程；</w:t>
            </w:r>
          </w:p>
          <w:p w14:paraId="029705D7">
            <w:pPr>
              <w:pStyle w:val="30"/>
              <w:keepNext w:val="0"/>
              <w:keepLines w:val="0"/>
              <w:pageBreakBefore w:val="0"/>
              <w:widowControl w:val="0"/>
              <w:numPr>
                <w:ilvl w:val="0"/>
                <w:numId w:val="0"/>
              </w:numPr>
              <w:kinsoku/>
              <w:overflowPunct/>
              <w:topLinePunct w:val="0"/>
              <w:autoSpaceDE/>
              <w:autoSpaceDN/>
              <w:bidi w:val="0"/>
              <w:snapToGrid w:val="0"/>
              <w:spacing w:line="4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2.时间以合同签订时间为准；</w:t>
            </w:r>
          </w:p>
          <w:p w14:paraId="5760E2E2">
            <w:pPr>
              <w:pStyle w:val="30"/>
              <w:keepNext w:val="0"/>
              <w:keepLines w:val="0"/>
              <w:pageBreakBefore w:val="0"/>
              <w:widowControl w:val="0"/>
              <w:numPr>
                <w:ilvl w:val="0"/>
                <w:numId w:val="0"/>
              </w:numPr>
              <w:kinsoku/>
              <w:overflowPunct/>
              <w:topLinePunct w:val="0"/>
              <w:autoSpaceDE/>
              <w:autoSpaceDN/>
              <w:bidi w:val="0"/>
              <w:snapToGrid w:val="0"/>
              <w:spacing w:line="400" w:lineRule="exact"/>
              <w:ind w:left="0"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rPr>
              <w:t>3.须提供业绩原件核查。</w:t>
            </w:r>
          </w:p>
        </w:tc>
      </w:tr>
      <w:tr w14:paraId="224C1233">
        <w:tblPrEx>
          <w:tblCellMar>
            <w:top w:w="0" w:type="dxa"/>
            <w:left w:w="108" w:type="dxa"/>
            <w:bottom w:w="0" w:type="dxa"/>
            <w:right w:w="108" w:type="dxa"/>
          </w:tblCellMar>
        </w:tblPrEx>
        <w:trPr>
          <w:trHeight w:val="4540"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3311210E">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企业财务状况</w:t>
            </w:r>
          </w:p>
          <w:p w14:paraId="7E72D4EC">
            <w:pP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tc>
        <w:tc>
          <w:tcPr>
            <w:tcW w:w="3580" w:type="dxa"/>
            <w:tcBorders>
              <w:top w:val="single" w:color="auto" w:sz="4" w:space="0"/>
              <w:left w:val="single" w:color="auto" w:sz="4" w:space="0"/>
              <w:bottom w:val="single" w:color="auto" w:sz="4" w:space="0"/>
              <w:right w:val="single" w:color="auto" w:sz="4" w:space="0"/>
            </w:tcBorders>
            <w:noWrap w:val="0"/>
            <w:vAlign w:val="center"/>
          </w:tcPr>
          <w:p w14:paraId="1AFEF14E">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1．提供不少于150万元银行授信证明的，得10分。</w:t>
            </w:r>
          </w:p>
          <w:p w14:paraId="732FFD94">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提供投标人基本账户在本项目招标公告发布之日起至投标截止时间期间出现过至少连续</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日不少于</w:t>
            </w:r>
            <w:r>
              <w:rPr>
                <w:rFonts w:hint="eastAsia" w:ascii="宋体" w:hAnsi="宋体" w:eastAsia="宋体" w:cs="宋体"/>
                <w:color w:val="auto"/>
                <w:sz w:val="24"/>
                <w:szCs w:val="24"/>
                <w:highlight w:val="none"/>
                <w:lang w:val="en-US" w:eastAsia="zh-CN"/>
              </w:rPr>
              <w:t>150</w:t>
            </w:r>
            <w:r>
              <w:rPr>
                <w:rFonts w:hint="eastAsia" w:ascii="宋体" w:hAnsi="宋体" w:eastAsia="宋体" w:cs="宋体"/>
                <w:color w:val="auto"/>
                <w:sz w:val="24"/>
                <w:szCs w:val="24"/>
                <w:highlight w:val="none"/>
              </w:rPr>
              <w:t>万元存款余额资金流水证明的，得</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p w14:paraId="0AC9666F">
            <w:pPr>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b/>
                <w:bCs/>
                <w:color w:val="auto"/>
                <w:kern w:val="0"/>
                <w:sz w:val="24"/>
                <w:szCs w:val="24"/>
                <w:highlight w:val="none"/>
                <w:lang w:val="en-US" w:eastAsia="zh-CN"/>
              </w:rPr>
              <w:t>本项最高得20分。</w:t>
            </w:r>
          </w:p>
        </w:tc>
        <w:tc>
          <w:tcPr>
            <w:tcW w:w="5368" w:type="dxa"/>
            <w:tcBorders>
              <w:top w:val="single" w:color="auto" w:sz="4" w:space="0"/>
              <w:left w:val="single" w:color="auto" w:sz="4" w:space="0"/>
              <w:bottom w:val="single" w:color="auto" w:sz="4" w:space="0"/>
              <w:right w:val="single" w:color="auto" w:sz="4" w:space="0"/>
            </w:tcBorders>
            <w:noWrap w:val="0"/>
            <w:vAlign w:val="center"/>
          </w:tcPr>
          <w:p w14:paraId="6AA806AD">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snapToGrid w:val="0"/>
                <w:color w:val="auto"/>
                <w:kern w:val="0"/>
                <w:sz w:val="24"/>
                <w:szCs w:val="24"/>
                <w:highlight w:val="none"/>
              </w:rPr>
              <w:t>．需附在有效期内的有关证明复印件（或打印件）。</w:t>
            </w:r>
          </w:p>
          <w:p w14:paraId="33CB01E8">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2．银行授信证明有以下情形之一的，视为无效，不予计分：</w:t>
            </w:r>
          </w:p>
          <w:p w14:paraId="34244FCF">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①授信证明不在有效期内的；</w:t>
            </w:r>
          </w:p>
          <w:p w14:paraId="36DE97D6">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②授信额度不符合要求的；</w:t>
            </w:r>
          </w:p>
          <w:p w14:paraId="242EBB50">
            <w:pPr>
              <w:pStyle w:val="6"/>
              <w:rPr>
                <w:rFonts w:hint="eastAsia"/>
              </w:rPr>
            </w:pPr>
            <w:r>
              <w:rPr>
                <w:rFonts w:hint="default" w:ascii="Calibri" w:hAnsi="Calibri" w:cs="Calibri"/>
                <w:lang w:val="en-US" w:eastAsia="zh-CN"/>
              </w:rPr>
              <w:t>③</w:t>
            </w:r>
            <w:r>
              <w:rPr>
                <w:rFonts w:hint="eastAsia" w:ascii="宋体" w:hAnsi="宋体" w:eastAsia="宋体" w:cs="宋体"/>
                <w:snapToGrid w:val="0"/>
                <w:color w:val="auto"/>
                <w:kern w:val="0"/>
                <w:sz w:val="24"/>
                <w:szCs w:val="24"/>
                <w:highlight w:val="none"/>
                <w:lang w:val="en-US" w:eastAsia="zh-CN"/>
              </w:rPr>
              <w:t>未提供原件的</w:t>
            </w:r>
            <w:r>
              <w:rPr>
                <w:rFonts w:hint="eastAsia" w:ascii="宋体" w:hAnsi="宋体" w:eastAsia="宋体" w:cs="宋体"/>
                <w:snapToGrid w:val="0"/>
                <w:color w:val="auto"/>
                <w:kern w:val="0"/>
                <w:sz w:val="24"/>
                <w:szCs w:val="24"/>
                <w:highlight w:val="none"/>
              </w:rPr>
              <w:t>。</w:t>
            </w:r>
          </w:p>
          <w:p w14:paraId="27A7F794">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．存款余额资金流水证明有以下情形之一的，视为无效，不予计分：</w:t>
            </w:r>
          </w:p>
          <w:p w14:paraId="06E76587">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①</w:t>
            </w:r>
            <w:r>
              <w:rPr>
                <w:rFonts w:hint="eastAsia" w:ascii="宋体" w:hAnsi="宋体" w:eastAsia="宋体" w:cs="宋体"/>
                <w:snapToGrid w:val="0"/>
                <w:color w:val="auto"/>
                <w:kern w:val="0"/>
                <w:sz w:val="24"/>
                <w:szCs w:val="24"/>
                <w:highlight w:val="none"/>
              </w:rPr>
              <w:t>存款时间不符合要求的；</w:t>
            </w:r>
          </w:p>
          <w:p w14:paraId="57855BE2">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②</w:t>
            </w:r>
            <w:r>
              <w:rPr>
                <w:rFonts w:hint="eastAsia" w:ascii="宋体" w:hAnsi="宋体" w:eastAsia="宋体" w:cs="宋体"/>
                <w:snapToGrid w:val="0"/>
                <w:color w:val="auto"/>
                <w:kern w:val="0"/>
                <w:sz w:val="24"/>
                <w:szCs w:val="24"/>
                <w:highlight w:val="none"/>
              </w:rPr>
              <w:t>存款额度不符合要求的</w:t>
            </w:r>
            <w:r>
              <w:rPr>
                <w:rFonts w:hint="eastAsia" w:ascii="宋体" w:hAnsi="宋体" w:eastAsia="宋体" w:cs="宋体"/>
                <w:snapToGrid w:val="0"/>
                <w:color w:val="auto"/>
                <w:kern w:val="0"/>
                <w:sz w:val="24"/>
                <w:szCs w:val="24"/>
                <w:highlight w:val="none"/>
                <w:lang w:val="en-US" w:eastAsia="zh-CN"/>
              </w:rPr>
              <w:t>；</w:t>
            </w:r>
          </w:p>
          <w:p w14:paraId="737CD862">
            <w:pPr>
              <w:pStyle w:val="6"/>
              <w:rPr>
                <w:rFonts w:hint="eastAsia"/>
                <w:lang w:val="en-US" w:eastAsia="zh-CN"/>
              </w:rPr>
            </w:pPr>
            <w:r>
              <w:rPr>
                <w:rFonts w:hint="default" w:ascii="Calibri" w:hAnsi="Calibri" w:cs="Calibri"/>
                <w:lang w:val="en-US" w:eastAsia="zh-CN"/>
              </w:rPr>
              <w:t>③</w:t>
            </w:r>
            <w:r>
              <w:rPr>
                <w:rFonts w:hint="eastAsia" w:ascii="宋体" w:hAnsi="宋体" w:eastAsia="宋体" w:cs="宋体"/>
                <w:snapToGrid w:val="0"/>
                <w:color w:val="auto"/>
                <w:kern w:val="0"/>
                <w:sz w:val="24"/>
                <w:szCs w:val="24"/>
                <w:highlight w:val="none"/>
                <w:lang w:val="en-US" w:eastAsia="zh-CN"/>
              </w:rPr>
              <w:t>未提供原件的</w:t>
            </w:r>
            <w:r>
              <w:rPr>
                <w:rFonts w:hint="eastAsia" w:ascii="宋体" w:hAnsi="宋体" w:eastAsia="宋体" w:cs="宋体"/>
                <w:snapToGrid w:val="0"/>
                <w:color w:val="auto"/>
                <w:kern w:val="0"/>
                <w:sz w:val="24"/>
                <w:szCs w:val="24"/>
                <w:highlight w:val="none"/>
              </w:rPr>
              <w:t>。</w:t>
            </w:r>
          </w:p>
        </w:tc>
      </w:tr>
      <w:tr w14:paraId="3F2C4CA1">
        <w:tblPrEx>
          <w:tblCellMar>
            <w:top w:w="0" w:type="dxa"/>
            <w:left w:w="108" w:type="dxa"/>
            <w:bottom w:w="0" w:type="dxa"/>
            <w:right w:w="108" w:type="dxa"/>
          </w:tblCellMar>
        </w:tblPrEx>
        <w:trPr>
          <w:trHeight w:val="2619"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18573CE6">
            <w:pPr>
              <w:pStyle w:val="5"/>
              <w:wordWrap w:val="0"/>
              <w:adjustRightInd w:val="0"/>
              <w:snapToGrid w:val="0"/>
              <w:spacing w:after="0"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企业管理</w:t>
            </w:r>
          </w:p>
          <w:p w14:paraId="113EB9FB">
            <w:pPr>
              <w:pStyle w:val="5"/>
              <w:wordWrap w:val="0"/>
              <w:adjustRightInd w:val="0"/>
              <w:snapToGrid w:val="0"/>
              <w:spacing w:after="0"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体系认证</w:t>
            </w:r>
          </w:p>
          <w:p w14:paraId="3DC14084">
            <w:pPr>
              <w:pStyle w:val="5"/>
              <w:wordWrap w:val="0"/>
              <w:adjustRightInd w:val="0"/>
              <w:snapToGrid w:val="0"/>
              <w:spacing w:after="0"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bidi="ar"/>
              </w:rPr>
              <w:t>（</w:t>
            </w:r>
            <w:r>
              <w:rPr>
                <w:rFonts w:hint="eastAsia" w:ascii="宋体" w:hAnsi="宋体" w:eastAsia="宋体" w:cs="宋体"/>
                <w:snapToGrid w:val="0"/>
                <w:color w:val="auto"/>
                <w:kern w:val="0"/>
                <w:sz w:val="24"/>
                <w:szCs w:val="24"/>
                <w:highlight w:val="none"/>
                <w:lang w:val="en-US" w:eastAsia="zh-CN" w:bidi="ar"/>
              </w:rPr>
              <w:t>10</w:t>
            </w:r>
            <w:r>
              <w:rPr>
                <w:rFonts w:hint="eastAsia" w:ascii="宋体" w:hAnsi="宋体" w:eastAsia="宋体" w:cs="宋体"/>
                <w:snapToGrid w:val="0"/>
                <w:color w:val="auto"/>
                <w:kern w:val="0"/>
                <w:sz w:val="24"/>
                <w:szCs w:val="24"/>
                <w:highlight w:val="none"/>
                <w:lang w:bidi="ar"/>
              </w:rPr>
              <w:t>分）</w:t>
            </w:r>
          </w:p>
        </w:tc>
        <w:tc>
          <w:tcPr>
            <w:tcW w:w="3580" w:type="dxa"/>
            <w:tcBorders>
              <w:top w:val="single" w:color="auto" w:sz="4" w:space="0"/>
              <w:left w:val="single" w:color="auto" w:sz="4" w:space="0"/>
              <w:bottom w:val="single" w:color="auto" w:sz="4" w:space="0"/>
              <w:right w:val="single" w:color="auto" w:sz="4" w:space="0"/>
            </w:tcBorders>
            <w:noWrap w:val="0"/>
            <w:vAlign w:val="center"/>
          </w:tcPr>
          <w:p w14:paraId="67AC09AB">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具有</w:t>
            </w:r>
            <w:r>
              <w:rPr>
                <w:rFonts w:hint="eastAsia" w:ascii="宋体" w:hAnsi="宋体" w:eastAsia="宋体" w:cs="宋体"/>
                <w:snapToGrid w:val="0"/>
                <w:color w:val="auto"/>
                <w:kern w:val="0"/>
                <w:sz w:val="24"/>
                <w:szCs w:val="24"/>
                <w:highlight w:val="none"/>
              </w:rPr>
              <w:t>质量管理体系认证</w:t>
            </w:r>
            <w:r>
              <w:rPr>
                <w:rFonts w:hint="eastAsia" w:ascii="宋体" w:hAnsi="宋体" w:eastAsia="宋体" w:cs="宋体"/>
                <w:snapToGrid w:val="0"/>
                <w:color w:val="auto"/>
                <w:kern w:val="0"/>
                <w:sz w:val="24"/>
                <w:szCs w:val="24"/>
                <w:highlight w:val="none"/>
                <w:lang w:bidi="ar"/>
              </w:rPr>
              <w:t>、</w:t>
            </w:r>
            <w:r>
              <w:rPr>
                <w:rFonts w:hint="eastAsia" w:ascii="宋体" w:hAnsi="宋体" w:eastAsia="宋体" w:cs="宋体"/>
                <w:snapToGrid w:val="0"/>
                <w:color w:val="auto"/>
                <w:kern w:val="0"/>
                <w:sz w:val="24"/>
                <w:szCs w:val="24"/>
                <w:highlight w:val="none"/>
              </w:rPr>
              <w:t>职业健康安全管理体系认证</w:t>
            </w:r>
            <w:r>
              <w:rPr>
                <w:rFonts w:hint="eastAsia" w:ascii="宋体" w:hAnsi="宋体" w:eastAsia="宋体" w:cs="宋体"/>
                <w:snapToGrid w:val="0"/>
                <w:color w:val="auto"/>
                <w:kern w:val="0"/>
                <w:sz w:val="24"/>
                <w:szCs w:val="24"/>
                <w:highlight w:val="none"/>
                <w:lang w:bidi="ar"/>
              </w:rPr>
              <w:t>、</w:t>
            </w:r>
            <w:r>
              <w:rPr>
                <w:rFonts w:hint="eastAsia" w:ascii="宋体" w:hAnsi="宋体" w:eastAsia="宋体" w:cs="宋体"/>
                <w:snapToGrid w:val="0"/>
                <w:color w:val="auto"/>
                <w:kern w:val="0"/>
                <w:sz w:val="24"/>
                <w:szCs w:val="24"/>
                <w:highlight w:val="none"/>
              </w:rPr>
              <w:t>环境管理体系认证</w:t>
            </w:r>
            <w:r>
              <w:rPr>
                <w:rFonts w:hint="eastAsia" w:ascii="宋体" w:hAnsi="宋体" w:eastAsia="宋体" w:cs="宋体"/>
                <w:snapToGrid w:val="0"/>
                <w:color w:val="auto"/>
                <w:kern w:val="0"/>
                <w:sz w:val="24"/>
                <w:szCs w:val="24"/>
                <w:highlight w:val="none"/>
                <w:lang w:val="en-US" w:eastAsia="zh-CN"/>
              </w:rPr>
              <w:t>的得10分，其中每缺少一项认证扣4分，直至扣完为止。</w:t>
            </w:r>
          </w:p>
          <w:p w14:paraId="5C91BDCF">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2．未获得以上认证的，不予计分</w:t>
            </w:r>
          </w:p>
          <w:p w14:paraId="39DAFB29">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rPr>
              <w:t>本项最高得10分。</w:t>
            </w:r>
          </w:p>
        </w:tc>
        <w:tc>
          <w:tcPr>
            <w:tcW w:w="5368" w:type="dxa"/>
            <w:tcBorders>
              <w:top w:val="single" w:color="auto" w:sz="4" w:space="0"/>
              <w:left w:val="single" w:color="auto" w:sz="4" w:space="0"/>
              <w:bottom w:val="single" w:color="auto" w:sz="4" w:space="0"/>
              <w:right w:val="single" w:color="auto" w:sz="4" w:space="0"/>
            </w:tcBorders>
            <w:noWrap w:val="0"/>
            <w:vAlign w:val="center"/>
          </w:tcPr>
          <w:p w14:paraId="188F756C">
            <w:pPr>
              <w:keepNext w:val="0"/>
              <w:keepLines w:val="0"/>
              <w:pageBreakBefore w:val="0"/>
              <w:kinsoku/>
              <w:wordWrap w:val="0"/>
              <w:overflowPunct/>
              <w:topLinePunct w:val="0"/>
              <w:autoSpaceDE/>
              <w:autoSpaceDN/>
              <w:bidi w:val="0"/>
              <w:adjustRightInd w:val="0"/>
              <w:snapToGrid w:val="0"/>
              <w:spacing w:line="32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1．需附在有效期内的认证证书</w:t>
            </w:r>
            <w:r>
              <w:rPr>
                <w:rFonts w:hint="eastAsia" w:ascii="宋体" w:hAnsi="宋体" w:eastAsia="宋体" w:cs="宋体"/>
                <w:b/>
                <w:bCs/>
                <w:snapToGrid w:val="0"/>
                <w:color w:val="auto"/>
                <w:kern w:val="0"/>
                <w:sz w:val="24"/>
                <w:szCs w:val="24"/>
                <w:highlight w:val="none"/>
              </w:rPr>
              <w:t>彩色扫描件</w:t>
            </w:r>
            <w:r>
              <w:rPr>
                <w:rFonts w:hint="eastAsia" w:ascii="宋体" w:hAnsi="宋体" w:eastAsia="宋体" w:cs="宋体"/>
                <w:snapToGrid w:val="0"/>
                <w:color w:val="auto"/>
                <w:kern w:val="0"/>
                <w:sz w:val="24"/>
                <w:szCs w:val="24"/>
                <w:highlight w:val="none"/>
              </w:rPr>
              <w:t>，</w:t>
            </w:r>
          </w:p>
          <w:p w14:paraId="60786348">
            <w:pPr>
              <w:keepNext w:val="0"/>
              <w:keepLines w:val="0"/>
              <w:pageBreakBefore w:val="0"/>
              <w:kinsoku/>
              <w:wordWrap w:val="0"/>
              <w:overflowPunct/>
              <w:topLinePunct w:val="0"/>
              <w:autoSpaceDE/>
              <w:autoSpaceDN/>
              <w:bidi w:val="0"/>
              <w:adjustRightInd w:val="0"/>
              <w:snapToGrid w:val="0"/>
              <w:spacing w:line="32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2．任一认证证书有以下情形之一的，该认证证书视为无效，不予计分：</w:t>
            </w:r>
          </w:p>
          <w:p w14:paraId="56055BDC">
            <w:pPr>
              <w:keepNext w:val="0"/>
              <w:keepLines w:val="0"/>
              <w:pageBreakBefore w:val="0"/>
              <w:kinsoku/>
              <w:wordWrap w:val="0"/>
              <w:overflowPunct/>
              <w:topLinePunct w:val="0"/>
              <w:autoSpaceDE/>
              <w:autoSpaceDN/>
              <w:bidi w:val="0"/>
              <w:adjustRightInd w:val="0"/>
              <w:snapToGrid w:val="0"/>
              <w:spacing w:line="32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①未提供认证证书原件的；</w:t>
            </w:r>
          </w:p>
          <w:p w14:paraId="52E6035D">
            <w:pPr>
              <w:keepNext w:val="0"/>
              <w:keepLines w:val="0"/>
              <w:pageBreakBefore w:val="0"/>
              <w:kinsoku/>
              <w:wordWrap w:val="0"/>
              <w:overflowPunct/>
              <w:topLinePunct w:val="0"/>
              <w:autoSpaceDE/>
              <w:autoSpaceDN/>
              <w:bidi w:val="0"/>
              <w:adjustRightInd w:val="0"/>
              <w:snapToGrid w:val="0"/>
              <w:spacing w:line="3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②认证证书不在有效期内的。</w:t>
            </w:r>
          </w:p>
        </w:tc>
      </w:tr>
      <w:tr w14:paraId="05BC9F6B">
        <w:tblPrEx>
          <w:tblCellMar>
            <w:top w:w="0" w:type="dxa"/>
            <w:left w:w="108" w:type="dxa"/>
            <w:bottom w:w="0" w:type="dxa"/>
            <w:right w:w="108" w:type="dxa"/>
          </w:tblCellMar>
        </w:tblPrEx>
        <w:trPr>
          <w:trHeight w:val="3047"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1C8C91B0">
            <w:pP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企业纳税（15分）</w:t>
            </w:r>
          </w:p>
        </w:tc>
        <w:tc>
          <w:tcPr>
            <w:tcW w:w="3580" w:type="dxa"/>
            <w:tcBorders>
              <w:top w:val="single" w:color="auto" w:sz="4" w:space="0"/>
              <w:left w:val="single" w:color="auto" w:sz="4" w:space="0"/>
              <w:bottom w:val="single" w:color="auto" w:sz="4" w:space="0"/>
              <w:right w:val="single" w:color="auto" w:sz="4" w:space="0"/>
            </w:tcBorders>
            <w:noWrap w:val="0"/>
            <w:vAlign w:val="center"/>
          </w:tcPr>
          <w:p w14:paraId="53E7B534">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1企业近5年来（2020年1月1日至今）获得过纳税信用A级纳税人的，得15分。</w:t>
            </w:r>
          </w:p>
          <w:p w14:paraId="1B8325AF">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rPr>
              <w:t>本项最高得15分。</w:t>
            </w:r>
          </w:p>
        </w:tc>
        <w:tc>
          <w:tcPr>
            <w:tcW w:w="5368" w:type="dxa"/>
            <w:tcBorders>
              <w:top w:val="single" w:color="auto" w:sz="4" w:space="0"/>
              <w:left w:val="single" w:color="auto" w:sz="4" w:space="0"/>
              <w:bottom w:val="single" w:color="auto" w:sz="4" w:space="0"/>
              <w:right w:val="single" w:color="auto" w:sz="4" w:space="0"/>
            </w:tcBorders>
            <w:noWrap w:val="0"/>
            <w:vAlign w:val="center"/>
          </w:tcPr>
          <w:p w14:paraId="43181941">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1.必须提供企业纳税信用A级纳税人证明材料（或证书）复印件（或打印件）或国家税务总局（或省级电子税务局）网上查询截图打印件，否则不得分。</w:t>
            </w:r>
          </w:p>
          <w:p w14:paraId="0375F629">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2.只计算投标人自身（不计算投标人的分公司、子公司及分支机构）</w:t>
            </w:r>
          </w:p>
        </w:tc>
      </w:tr>
      <w:tr w14:paraId="48A2A258">
        <w:tblPrEx>
          <w:tblCellMar>
            <w:top w:w="0" w:type="dxa"/>
            <w:left w:w="108" w:type="dxa"/>
            <w:bottom w:w="0" w:type="dxa"/>
            <w:right w:w="108" w:type="dxa"/>
          </w:tblCellMar>
        </w:tblPrEx>
        <w:trPr>
          <w:trHeight w:val="2962" w:hRule="atLeast"/>
          <w:jc w:val="center"/>
        </w:trPr>
        <w:tc>
          <w:tcPr>
            <w:tcW w:w="1154" w:type="dxa"/>
            <w:tcBorders>
              <w:top w:val="single" w:color="auto" w:sz="4" w:space="0"/>
              <w:left w:val="single" w:color="auto" w:sz="4" w:space="0"/>
              <w:right w:val="single" w:color="auto" w:sz="4" w:space="0"/>
            </w:tcBorders>
            <w:noWrap w:val="0"/>
            <w:vAlign w:val="center"/>
          </w:tcPr>
          <w:p w14:paraId="2E605298">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工程质量事故承诺书</w:t>
            </w:r>
          </w:p>
          <w:p w14:paraId="13A6EA0A">
            <w:pPr>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color w:val="auto"/>
                <w:sz w:val="24"/>
                <w:szCs w:val="24"/>
                <w:highlight w:val="none"/>
                <w:lang w:val="en-US" w:eastAsia="zh-CN"/>
              </w:rPr>
              <w:t>（15分）</w:t>
            </w:r>
          </w:p>
        </w:tc>
        <w:tc>
          <w:tcPr>
            <w:tcW w:w="3580" w:type="dxa"/>
            <w:tcBorders>
              <w:top w:val="single" w:color="auto" w:sz="4" w:space="0"/>
              <w:left w:val="single" w:color="auto" w:sz="4" w:space="0"/>
              <w:right w:val="single" w:color="auto" w:sz="4" w:space="0"/>
            </w:tcBorders>
            <w:noWrap w:val="0"/>
            <w:vAlign w:val="center"/>
          </w:tcPr>
          <w:p w14:paraId="6F530F90">
            <w:pPr>
              <w:pStyle w:val="5"/>
              <w:numPr>
                <w:ilvl w:val="0"/>
                <w:numId w:val="2"/>
              </w:numPr>
              <w:wordWrap w:val="0"/>
              <w:adjustRightInd w:val="0"/>
              <w:snapToGrid w:val="0"/>
              <w:spacing w:after="0"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2020</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日至今投标人未发生事故等级为一般事故及以上的生产安全事故、一般质量事故及以上的工程质量事故的，得</w:t>
            </w:r>
            <w:r>
              <w:rPr>
                <w:rFonts w:hint="eastAsia" w:ascii="宋体" w:hAnsi="宋体" w:eastAsia="宋体" w:cs="宋体"/>
                <w:snapToGrid w:val="0"/>
                <w:color w:val="auto"/>
                <w:kern w:val="0"/>
                <w:sz w:val="24"/>
                <w:szCs w:val="24"/>
                <w:highlight w:val="none"/>
                <w:u w:val="single"/>
                <w:lang w:val="en-US" w:eastAsia="zh-CN"/>
              </w:rPr>
              <w:t>15</w:t>
            </w:r>
            <w:r>
              <w:rPr>
                <w:rFonts w:hint="eastAsia" w:ascii="宋体" w:hAnsi="宋体" w:eastAsia="宋体" w:cs="宋体"/>
                <w:snapToGrid w:val="0"/>
                <w:color w:val="auto"/>
                <w:kern w:val="0"/>
                <w:sz w:val="24"/>
                <w:szCs w:val="24"/>
                <w:highlight w:val="none"/>
              </w:rPr>
              <w:t>分；</w:t>
            </w:r>
          </w:p>
          <w:p w14:paraId="46307A7B">
            <w:pP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2.其他情形的，不予计分。</w:t>
            </w:r>
          </w:p>
        </w:tc>
        <w:tc>
          <w:tcPr>
            <w:tcW w:w="5368" w:type="dxa"/>
            <w:tcBorders>
              <w:top w:val="single" w:color="auto" w:sz="4" w:space="0"/>
              <w:left w:val="single" w:color="auto" w:sz="4" w:space="0"/>
              <w:bottom w:val="single" w:color="auto" w:sz="4" w:space="0"/>
              <w:right w:val="single" w:color="auto" w:sz="4" w:space="0"/>
            </w:tcBorders>
            <w:noWrap w:val="0"/>
            <w:vAlign w:val="center"/>
          </w:tcPr>
          <w:p w14:paraId="7CFD9727">
            <w:pPr>
              <w:pStyle w:val="30"/>
              <w:numPr>
                <w:ilvl w:val="0"/>
                <w:numId w:val="0"/>
              </w:numPr>
              <w:wordWrap w:val="0"/>
              <w:adjustRightInd w:val="0"/>
              <w:snapToGrid w:val="0"/>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需提供本单位承诺书（格式自定）并加盖本单位公章。</w:t>
            </w:r>
          </w:p>
          <w:p w14:paraId="3C1DC878">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未提供本单位承诺书并加盖本单位公章的，不予计分。</w:t>
            </w:r>
          </w:p>
        </w:tc>
      </w:tr>
      <w:tr w14:paraId="303A5B92">
        <w:tblPrEx>
          <w:tblCellMar>
            <w:top w:w="0" w:type="dxa"/>
            <w:left w:w="108" w:type="dxa"/>
            <w:bottom w:w="0" w:type="dxa"/>
            <w:right w:w="108" w:type="dxa"/>
          </w:tblCellMar>
        </w:tblPrEx>
        <w:trPr>
          <w:jc w:val="center"/>
        </w:trPr>
        <w:tc>
          <w:tcPr>
            <w:tcW w:w="10102"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73EF3178">
            <w:pPr>
              <w:widowControl w:val="0"/>
              <w:wordWrap w:val="0"/>
              <w:adjustRightInd w:val="0"/>
              <w:snapToGrid w:val="0"/>
              <w:spacing w:after="0" w:afterLines="0" w:afterAutospacing="0" w:line="440" w:lineRule="exact"/>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技术部分（施工组织设计），满分：</w:t>
            </w:r>
            <w:r>
              <w:rPr>
                <w:rFonts w:hint="eastAsia" w:ascii="宋体" w:hAnsi="宋体" w:eastAsia="宋体" w:cs="宋体"/>
                <w:snapToGrid w:val="0"/>
                <w:color w:val="auto"/>
                <w:kern w:val="0"/>
                <w:sz w:val="24"/>
                <w:szCs w:val="24"/>
                <w:highlight w:val="none"/>
                <w:u w:val="single"/>
                <w:lang w:val="en-US" w:eastAsia="zh-CN" w:bidi="ar-SA"/>
              </w:rPr>
              <w:t>20</w:t>
            </w:r>
            <w:r>
              <w:rPr>
                <w:rFonts w:hint="eastAsia" w:ascii="宋体" w:hAnsi="宋体" w:eastAsia="宋体" w:cs="宋体"/>
                <w:snapToGrid w:val="0"/>
                <w:color w:val="auto"/>
                <w:kern w:val="0"/>
                <w:sz w:val="24"/>
                <w:szCs w:val="24"/>
                <w:highlight w:val="none"/>
                <w:lang w:val="en-US" w:eastAsia="zh-CN" w:bidi="ar-SA"/>
              </w:rPr>
              <w:t>分。</w:t>
            </w:r>
          </w:p>
        </w:tc>
      </w:tr>
      <w:tr w14:paraId="19ACA9AE">
        <w:tblPrEx>
          <w:tblCellMar>
            <w:top w:w="0" w:type="dxa"/>
            <w:left w:w="108" w:type="dxa"/>
            <w:bottom w:w="0" w:type="dxa"/>
            <w:right w:w="108" w:type="dxa"/>
          </w:tblCellMar>
        </w:tblPrEx>
        <w:trPr>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52D4B99D">
            <w:pPr>
              <w:widowControl w:val="0"/>
              <w:wordWrap w:val="0"/>
              <w:adjustRightInd w:val="0"/>
              <w:snapToGrid w:val="0"/>
              <w:spacing w:after="0" w:afterLines="0" w:afterAutospacing="0" w:line="4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评分因素</w:t>
            </w:r>
          </w:p>
        </w:tc>
        <w:tc>
          <w:tcPr>
            <w:tcW w:w="3580" w:type="dxa"/>
            <w:tcBorders>
              <w:top w:val="single" w:color="auto" w:sz="4" w:space="0"/>
              <w:left w:val="single" w:color="auto" w:sz="4" w:space="0"/>
              <w:bottom w:val="single" w:color="auto" w:sz="4" w:space="0"/>
              <w:right w:val="single" w:color="auto" w:sz="4" w:space="0"/>
            </w:tcBorders>
            <w:noWrap w:val="0"/>
            <w:vAlign w:val="center"/>
          </w:tcPr>
          <w:p w14:paraId="69222EAE">
            <w:pPr>
              <w:widowControl w:val="0"/>
              <w:wordWrap w:val="0"/>
              <w:adjustRightInd w:val="0"/>
              <w:snapToGrid w:val="0"/>
              <w:spacing w:after="0" w:afterLines="0" w:afterAutospacing="0" w:line="4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评分标准</w:t>
            </w:r>
          </w:p>
        </w:tc>
        <w:tc>
          <w:tcPr>
            <w:tcW w:w="5368" w:type="dxa"/>
            <w:tcBorders>
              <w:top w:val="single" w:color="auto" w:sz="4" w:space="0"/>
              <w:left w:val="single" w:color="auto" w:sz="4" w:space="0"/>
              <w:bottom w:val="single" w:color="auto" w:sz="4" w:space="0"/>
              <w:right w:val="single" w:color="auto" w:sz="4" w:space="0"/>
            </w:tcBorders>
            <w:noWrap w:val="0"/>
            <w:vAlign w:val="center"/>
          </w:tcPr>
          <w:p w14:paraId="460B40CE">
            <w:pPr>
              <w:widowControl w:val="0"/>
              <w:wordWrap w:val="0"/>
              <w:adjustRightInd w:val="0"/>
              <w:snapToGrid w:val="0"/>
              <w:spacing w:after="0" w:afterLines="0" w:afterAutospacing="0" w:line="4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备注</w:t>
            </w:r>
          </w:p>
        </w:tc>
      </w:tr>
      <w:tr w14:paraId="255A4588">
        <w:tblPrEx>
          <w:tblCellMar>
            <w:top w:w="0" w:type="dxa"/>
            <w:left w:w="108" w:type="dxa"/>
            <w:bottom w:w="0" w:type="dxa"/>
            <w:right w:w="108" w:type="dxa"/>
          </w:tblCellMar>
        </w:tblPrEx>
        <w:trPr>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410FAA20">
            <w:pPr>
              <w:pStyle w:val="37"/>
              <w:wordWrap w:val="0"/>
              <w:spacing w:line="40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总体概述</w:t>
            </w:r>
          </w:p>
          <w:p w14:paraId="4B32296D">
            <w:pPr>
              <w:pStyle w:val="5"/>
              <w:wordWrap w:val="0"/>
              <w:spacing w:after="0"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u w:val="single"/>
              </w:rPr>
              <w:t>3</w:t>
            </w:r>
            <w:r>
              <w:rPr>
                <w:rFonts w:hint="eastAsia" w:ascii="宋体" w:hAnsi="宋体" w:eastAsia="宋体" w:cs="宋体"/>
                <w:color w:val="000000"/>
                <w:kern w:val="0"/>
                <w:sz w:val="24"/>
                <w:szCs w:val="24"/>
              </w:rPr>
              <w:t>分）</w:t>
            </w:r>
          </w:p>
        </w:tc>
        <w:tc>
          <w:tcPr>
            <w:tcW w:w="3580" w:type="dxa"/>
            <w:tcBorders>
              <w:top w:val="single" w:color="auto" w:sz="4" w:space="0"/>
              <w:left w:val="single" w:color="auto" w:sz="4" w:space="0"/>
              <w:bottom w:val="single" w:color="auto" w:sz="4" w:space="0"/>
              <w:right w:val="single" w:color="auto" w:sz="4" w:space="0"/>
            </w:tcBorders>
            <w:noWrap w:val="0"/>
            <w:vAlign w:val="center"/>
          </w:tcPr>
          <w:p w14:paraId="50718564">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【优】得该项评分因素分值的90%～100%（含90%）。</w:t>
            </w:r>
          </w:p>
          <w:p w14:paraId="13429C24">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【良】得该项评分因素分值的80%～90%（含80%）。</w:t>
            </w:r>
          </w:p>
          <w:p w14:paraId="77EA819E">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【中】得该项评分因素分值的70%～80%（含70%）。</w:t>
            </w:r>
          </w:p>
          <w:p w14:paraId="4F188ABE">
            <w:pPr>
              <w:pStyle w:val="5"/>
              <w:wordWrap w:val="0"/>
              <w:spacing w:after="0" w:line="400" w:lineRule="exact"/>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【差】得该项评分因素分值的60～70%（含60%）。</w:t>
            </w:r>
          </w:p>
        </w:tc>
        <w:tc>
          <w:tcPr>
            <w:tcW w:w="5368" w:type="dxa"/>
            <w:tcBorders>
              <w:top w:val="single" w:color="auto" w:sz="4" w:space="0"/>
              <w:left w:val="single" w:color="auto" w:sz="4" w:space="0"/>
              <w:bottom w:val="single" w:color="auto" w:sz="4" w:space="0"/>
              <w:right w:val="single" w:color="auto" w:sz="4" w:space="0"/>
            </w:tcBorders>
            <w:noWrap w:val="0"/>
            <w:vAlign w:val="center"/>
          </w:tcPr>
          <w:p w14:paraId="54F2F904">
            <w:pPr>
              <w:pStyle w:val="5"/>
              <w:wordWrap w:val="0"/>
              <w:spacing w:after="0" w:line="40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【优】对项目总体有深刻认识，表述清晰、完整、严谨、合理，措施先进、具体、有效、成熟，采用了新技术、新工艺、新材料、新设备；施工段划分呼应总体表述，划分清晰、合理，符合规范要求。</w:t>
            </w:r>
          </w:p>
          <w:p w14:paraId="5454C514">
            <w:pPr>
              <w:pStyle w:val="5"/>
              <w:wordWrap w:val="0"/>
              <w:spacing w:after="0" w:line="40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【良】对项目总体有一定认识，表述清晰、完整，措施具体有效；施工段划分呼应总体表述，划分清晰，符合规范要求。</w:t>
            </w:r>
          </w:p>
          <w:p w14:paraId="7C925063">
            <w:pPr>
              <w:pStyle w:val="5"/>
              <w:wordWrap w:val="0"/>
              <w:spacing w:after="0" w:line="40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【中】对项目总体有认识，有一定的措施但部分不具体；施工段划分较合理，符合规范要求。</w:t>
            </w:r>
          </w:p>
          <w:p w14:paraId="629776B0">
            <w:pPr>
              <w:pStyle w:val="5"/>
              <w:wordWrap w:val="0"/>
              <w:spacing w:after="0" w:line="400" w:lineRule="exact"/>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【差】对项目认识不足，表述不清晰，措施不具体；施工段划分不合理。</w:t>
            </w:r>
          </w:p>
        </w:tc>
      </w:tr>
      <w:tr w14:paraId="16E1151C">
        <w:tblPrEx>
          <w:tblCellMar>
            <w:top w:w="0" w:type="dxa"/>
            <w:left w:w="108" w:type="dxa"/>
            <w:bottom w:w="0" w:type="dxa"/>
            <w:right w:w="108" w:type="dxa"/>
          </w:tblCellMar>
        </w:tblPrEx>
        <w:trPr>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7990E710">
            <w:pPr>
              <w:pStyle w:val="23"/>
              <w:wordWrap w:val="0"/>
              <w:spacing w:line="40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施工总进</w:t>
            </w:r>
          </w:p>
          <w:p w14:paraId="6A49B14C">
            <w:pPr>
              <w:pStyle w:val="23"/>
              <w:wordWrap w:val="0"/>
              <w:spacing w:line="40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度计划及</w:t>
            </w:r>
          </w:p>
          <w:p w14:paraId="6AD70F52">
            <w:pPr>
              <w:pStyle w:val="23"/>
              <w:wordWrap w:val="0"/>
              <w:spacing w:line="40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保证措施</w:t>
            </w:r>
          </w:p>
          <w:p w14:paraId="192E8877">
            <w:pPr>
              <w:pStyle w:val="23"/>
              <w:wordWrap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u w:val="single"/>
              </w:rPr>
              <w:t>3</w:t>
            </w:r>
            <w:r>
              <w:rPr>
                <w:rFonts w:hint="eastAsia" w:ascii="宋体" w:hAnsi="宋体" w:eastAsia="宋体" w:cs="宋体"/>
                <w:color w:val="000000"/>
                <w:kern w:val="0"/>
                <w:sz w:val="24"/>
                <w:szCs w:val="24"/>
              </w:rPr>
              <w:t>分）</w:t>
            </w:r>
          </w:p>
        </w:tc>
        <w:tc>
          <w:tcPr>
            <w:tcW w:w="3580" w:type="dxa"/>
            <w:tcBorders>
              <w:top w:val="single" w:color="auto" w:sz="4" w:space="0"/>
              <w:left w:val="single" w:color="auto" w:sz="4" w:space="0"/>
              <w:bottom w:val="single" w:color="auto" w:sz="4" w:space="0"/>
              <w:right w:val="single" w:color="auto" w:sz="4" w:space="0"/>
            </w:tcBorders>
            <w:noWrap w:val="0"/>
            <w:vAlign w:val="center"/>
          </w:tcPr>
          <w:p w14:paraId="283A164F">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【优】得该项评分因素分值的90%～100%（含90%）。</w:t>
            </w:r>
          </w:p>
          <w:p w14:paraId="34E69FF8">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【良】得该项评分因素分值的80%～90%（含80%）。</w:t>
            </w:r>
          </w:p>
          <w:p w14:paraId="52F2CFA5">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【中】得该项评分因素分值的70%～80%（含70%）。</w:t>
            </w:r>
          </w:p>
          <w:p w14:paraId="67ADB120">
            <w:pPr>
              <w:pStyle w:val="32"/>
              <w:wordWrap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【差】得该项评分因素分值的60～70%（含60%）。</w:t>
            </w:r>
          </w:p>
        </w:tc>
        <w:tc>
          <w:tcPr>
            <w:tcW w:w="5368" w:type="dxa"/>
            <w:tcBorders>
              <w:top w:val="single" w:color="auto" w:sz="4" w:space="0"/>
              <w:left w:val="single" w:color="auto" w:sz="4" w:space="0"/>
              <w:bottom w:val="single" w:color="auto" w:sz="4" w:space="0"/>
              <w:right w:val="single" w:color="auto" w:sz="4" w:space="0"/>
            </w:tcBorders>
            <w:noWrap w:val="0"/>
            <w:vAlign w:val="center"/>
          </w:tcPr>
          <w:p w14:paraId="1A6A880A">
            <w:pPr>
              <w:pStyle w:val="32"/>
              <w:wordWrap w:val="0"/>
              <w:spacing w:line="400" w:lineRule="exact"/>
              <w:rPr>
                <w:rFonts w:hint="eastAsia" w:ascii="宋体" w:hAnsi="宋体" w:eastAsia="宋体" w:cs="宋体"/>
                <w:b/>
                <w:bCs/>
                <w:color w:val="000000"/>
                <w:kern w:val="0"/>
                <w:sz w:val="24"/>
                <w:szCs w:val="24"/>
              </w:rPr>
            </w:pPr>
            <w:r>
              <w:rPr>
                <w:rFonts w:hint="eastAsia" w:ascii="宋体" w:hAnsi="宋体" w:eastAsia="宋体" w:cs="宋体"/>
                <w:color w:val="000000"/>
                <w:kern w:val="0"/>
                <w:sz w:val="24"/>
                <w:szCs w:val="24"/>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color w:val="000000"/>
                <w:kern w:val="0"/>
                <w:sz w:val="24"/>
                <w:szCs w:val="24"/>
              </w:rPr>
              <w:t>。</w:t>
            </w:r>
          </w:p>
          <w:p w14:paraId="1CE8EBD4">
            <w:pPr>
              <w:pStyle w:val="32"/>
              <w:wordWrap w:val="0"/>
              <w:spacing w:line="400" w:lineRule="exact"/>
              <w:rPr>
                <w:rFonts w:hint="eastAsia" w:ascii="宋体" w:hAnsi="宋体" w:eastAsia="宋体" w:cs="宋体"/>
                <w:b/>
                <w:bCs/>
                <w:color w:val="000000"/>
                <w:kern w:val="0"/>
                <w:sz w:val="24"/>
                <w:szCs w:val="24"/>
              </w:rPr>
            </w:pPr>
            <w:r>
              <w:rPr>
                <w:rFonts w:hint="eastAsia" w:ascii="宋体" w:hAnsi="宋体" w:eastAsia="宋体" w:cs="宋体"/>
                <w:color w:val="000000"/>
                <w:kern w:val="0"/>
                <w:sz w:val="24"/>
                <w:szCs w:val="24"/>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color w:val="000000"/>
                <w:kern w:val="0"/>
                <w:sz w:val="24"/>
                <w:szCs w:val="24"/>
              </w:rPr>
              <w:t>。</w:t>
            </w:r>
          </w:p>
          <w:p w14:paraId="51CB3768">
            <w:pPr>
              <w:pStyle w:val="32"/>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【中】关键线路基本准确，计划编制基本合理。关键节点的控制措施基本可行。人、材、机需求和进场计划与进度计划相呼应，基本满足施工需要，调配投入计划基本合理。进度违约责任承诺具体。</w:t>
            </w:r>
          </w:p>
          <w:p w14:paraId="521F0C69">
            <w:pPr>
              <w:pStyle w:val="32"/>
              <w:wordWrap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【差】关键线路不准确，计划编制不合理。关键节点的控制不可行。人、材、机需求和进场计划与进度计划不相呼应，不能满足施工需要。没有违约责任承诺。</w:t>
            </w:r>
          </w:p>
        </w:tc>
      </w:tr>
      <w:tr w14:paraId="7ED13974">
        <w:tblPrEx>
          <w:tblCellMar>
            <w:top w:w="0" w:type="dxa"/>
            <w:left w:w="108" w:type="dxa"/>
            <w:bottom w:w="0" w:type="dxa"/>
            <w:right w:w="108" w:type="dxa"/>
          </w:tblCellMar>
        </w:tblPrEx>
        <w:trPr>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79EE475D">
            <w:pPr>
              <w:pStyle w:val="23"/>
              <w:wordWrap w:val="0"/>
              <w:spacing w:line="40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质量</w:t>
            </w:r>
          </w:p>
          <w:p w14:paraId="04E1448A">
            <w:pPr>
              <w:pStyle w:val="23"/>
              <w:wordWrap w:val="0"/>
              <w:spacing w:line="40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保证措施</w:t>
            </w:r>
          </w:p>
          <w:p w14:paraId="6BD12489">
            <w:pPr>
              <w:pStyle w:val="23"/>
              <w:wordWrap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（4分）</w:t>
            </w:r>
          </w:p>
        </w:tc>
        <w:tc>
          <w:tcPr>
            <w:tcW w:w="3580" w:type="dxa"/>
            <w:tcBorders>
              <w:top w:val="single" w:color="auto" w:sz="4" w:space="0"/>
              <w:left w:val="single" w:color="auto" w:sz="4" w:space="0"/>
              <w:bottom w:val="single" w:color="auto" w:sz="4" w:space="0"/>
              <w:right w:val="single" w:color="auto" w:sz="4" w:space="0"/>
            </w:tcBorders>
            <w:noWrap w:val="0"/>
            <w:vAlign w:val="center"/>
          </w:tcPr>
          <w:p w14:paraId="6C720EB5">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【优】得该项评分因素分值的90%～100%（含90%）。</w:t>
            </w:r>
          </w:p>
          <w:p w14:paraId="4D0803B3">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【良】得该项评分因素分值的80%～90%（含80%）。</w:t>
            </w:r>
          </w:p>
          <w:p w14:paraId="0BB88223">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【中】得该项评分因素分值的70%～80%（含70%）。</w:t>
            </w:r>
          </w:p>
          <w:p w14:paraId="16445837">
            <w:pPr>
              <w:pStyle w:val="32"/>
              <w:wordWrap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【差】得该项评分因素分值的60～70%（含60%）。</w:t>
            </w:r>
          </w:p>
        </w:tc>
        <w:tc>
          <w:tcPr>
            <w:tcW w:w="5368" w:type="dxa"/>
            <w:tcBorders>
              <w:top w:val="single" w:color="auto" w:sz="4" w:space="0"/>
              <w:left w:val="single" w:color="auto" w:sz="4" w:space="0"/>
              <w:bottom w:val="single" w:color="auto" w:sz="4" w:space="0"/>
              <w:right w:val="single" w:color="auto" w:sz="4" w:space="0"/>
            </w:tcBorders>
            <w:noWrap w:val="0"/>
            <w:vAlign w:val="center"/>
          </w:tcPr>
          <w:p w14:paraId="178D0221">
            <w:pPr>
              <w:pStyle w:val="5"/>
              <w:wordWrap w:val="0"/>
              <w:spacing w:after="0"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【优】应用新技术、新工艺、新材料、新设备，针对项目实际提出先进、可行、具体的保证措施。超过招标文件的质量要求。</w:t>
            </w:r>
            <w:r>
              <w:rPr>
                <w:rFonts w:hint="eastAsia" w:ascii="宋体" w:hAnsi="宋体" w:eastAsia="宋体" w:cs="宋体"/>
                <w:b/>
                <w:bCs/>
                <w:color w:val="000000"/>
                <w:sz w:val="24"/>
                <w:szCs w:val="24"/>
              </w:rPr>
              <w:t>投标人企业注册地或分支机构所在地与项目所在地的距离或全资子公司与项目所在地距离100公里内、投标人在相同地质条件业绩情况等相关证明资料。</w:t>
            </w:r>
          </w:p>
          <w:p w14:paraId="2339D03F">
            <w:pPr>
              <w:pStyle w:val="5"/>
              <w:wordWrap w:val="0"/>
              <w:spacing w:after="0" w:line="400" w:lineRule="exact"/>
              <w:rPr>
                <w:rFonts w:hint="eastAsia" w:ascii="宋体" w:hAnsi="宋体" w:eastAsia="宋体" w:cs="宋体"/>
                <w:b/>
                <w:bCs/>
                <w:color w:val="000000"/>
                <w:kern w:val="0"/>
                <w:sz w:val="24"/>
                <w:szCs w:val="24"/>
              </w:rPr>
            </w:pPr>
            <w:r>
              <w:rPr>
                <w:rFonts w:hint="eastAsia" w:ascii="宋体" w:hAnsi="宋体" w:eastAsia="宋体" w:cs="宋体"/>
                <w:color w:val="000000"/>
                <w:kern w:val="0"/>
                <w:sz w:val="24"/>
                <w:szCs w:val="24"/>
              </w:rPr>
              <w:t>【良】针对项目实际提出先进、可行、具体的保证措施。满足招标文件的质量要求。</w:t>
            </w:r>
            <w:r>
              <w:rPr>
                <w:rFonts w:hint="eastAsia" w:ascii="宋体" w:hAnsi="宋体" w:eastAsia="宋体" w:cs="宋体"/>
                <w:b/>
                <w:bCs/>
                <w:color w:val="000000"/>
                <w:sz w:val="24"/>
                <w:szCs w:val="24"/>
              </w:rPr>
              <w:t>投标人企业注册地或分支机构所在地与项目所在地的距离或全资子公司与项目所在地距离200公里内、投标人在相同地质条件业绩情况等相关证明资料。</w:t>
            </w:r>
          </w:p>
          <w:p w14:paraId="26B6AFE6">
            <w:pPr>
              <w:pStyle w:val="5"/>
              <w:wordWrap w:val="0"/>
              <w:spacing w:after="0"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【中】具体措施可行。满足招标文件的质量要求。</w:t>
            </w:r>
            <w:r>
              <w:rPr>
                <w:rFonts w:hint="eastAsia" w:ascii="宋体" w:hAnsi="宋体" w:eastAsia="宋体" w:cs="宋体"/>
                <w:b/>
                <w:bCs/>
                <w:color w:val="000000"/>
                <w:sz w:val="24"/>
                <w:szCs w:val="24"/>
              </w:rPr>
              <w:t>投标人企业注册地或分支机构所在地与项目所在地的距离或全资子公司与项目所在地距离300公里内、投标人在相同地质条件业绩情况等相关证明资料。</w:t>
            </w:r>
          </w:p>
          <w:p w14:paraId="6BE7682B">
            <w:pPr>
              <w:pStyle w:val="32"/>
              <w:wordWrap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【差】措施不可行，没有质量违约责任承诺。</w:t>
            </w:r>
          </w:p>
        </w:tc>
      </w:tr>
      <w:tr w14:paraId="2C94EC37">
        <w:tblPrEx>
          <w:tblCellMar>
            <w:top w:w="0" w:type="dxa"/>
            <w:left w:w="108" w:type="dxa"/>
            <w:bottom w:w="0" w:type="dxa"/>
            <w:right w:w="108" w:type="dxa"/>
          </w:tblCellMar>
        </w:tblPrEx>
        <w:trPr>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55B9FF56">
            <w:pPr>
              <w:pStyle w:val="23"/>
              <w:wordWrap w:val="0"/>
              <w:spacing w:line="40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施工</w:t>
            </w:r>
          </w:p>
          <w:p w14:paraId="473FD735">
            <w:pPr>
              <w:pStyle w:val="23"/>
              <w:wordWrap w:val="0"/>
              <w:spacing w:line="40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技术措施</w:t>
            </w:r>
          </w:p>
          <w:p w14:paraId="7F35C6F0">
            <w:pPr>
              <w:pStyle w:val="23"/>
              <w:wordWrap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u w:val="single"/>
              </w:rPr>
              <w:t>2</w:t>
            </w:r>
            <w:r>
              <w:rPr>
                <w:rFonts w:hint="eastAsia" w:ascii="宋体" w:hAnsi="宋体" w:eastAsia="宋体" w:cs="宋体"/>
                <w:color w:val="000000"/>
                <w:kern w:val="0"/>
                <w:sz w:val="24"/>
                <w:szCs w:val="24"/>
              </w:rPr>
              <w:t>分）</w:t>
            </w:r>
          </w:p>
        </w:tc>
        <w:tc>
          <w:tcPr>
            <w:tcW w:w="3580" w:type="dxa"/>
            <w:tcBorders>
              <w:top w:val="single" w:color="auto" w:sz="4" w:space="0"/>
              <w:left w:val="single" w:color="auto" w:sz="4" w:space="0"/>
              <w:bottom w:val="single" w:color="auto" w:sz="4" w:space="0"/>
              <w:right w:val="single" w:color="auto" w:sz="4" w:space="0"/>
            </w:tcBorders>
            <w:noWrap w:val="0"/>
            <w:vAlign w:val="center"/>
          </w:tcPr>
          <w:p w14:paraId="654BA518">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【优】得该项评分因素分值的90%～100%（含90%）。</w:t>
            </w:r>
          </w:p>
          <w:p w14:paraId="43F3BB02">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【良】得该项评分因素分值的80%～90%（含80%）。</w:t>
            </w:r>
          </w:p>
          <w:p w14:paraId="5E90A0B7">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【中】得该项评分因素分值的70%～80%（含70%）。</w:t>
            </w:r>
          </w:p>
          <w:p w14:paraId="6E8B4E68">
            <w:pPr>
              <w:pStyle w:val="32"/>
              <w:wordWrap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【差】得该项评分因素分值的60～70%（含60%）。</w:t>
            </w:r>
          </w:p>
        </w:tc>
        <w:tc>
          <w:tcPr>
            <w:tcW w:w="5368" w:type="dxa"/>
            <w:tcBorders>
              <w:top w:val="single" w:color="auto" w:sz="4" w:space="0"/>
              <w:left w:val="single" w:color="auto" w:sz="4" w:space="0"/>
              <w:bottom w:val="single" w:color="auto" w:sz="4" w:space="0"/>
              <w:right w:val="single" w:color="auto" w:sz="4" w:space="0"/>
            </w:tcBorders>
            <w:noWrap w:val="0"/>
            <w:vAlign w:val="center"/>
          </w:tcPr>
          <w:p w14:paraId="5149140F">
            <w:pPr>
              <w:pStyle w:val="32"/>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color w:val="000000"/>
                <w:kern w:val="0"/>
                <w:sz w:val="24"/>
                <w:szCs w:val="24"/>
              </w:rPr>
              <w:t>。</w:t>
            </w:r>
          </w:p>
          <w:p w14:paraId="40B37106">
            <w:pPr>
              <w:pStyle w:val="32"/>
              <w:wordWrap w:val="0"/>
              <w:spacing w:line="400" w:lineRule="exact"/>
              <w:rPr>
                <w:rFonts w:hint="eastAsia" w:ascii="宋体" w:hAnsi="宋体" w:eastAsia="宋体" w:cs="宋体"/>
                <w:b/>
                <w:bCs/>
                <w:color w:val="000000"/>
                <w:kern w:val="0"/>
                <w:sz w:val="24"/>
                <w:szCs w:val="24"/>
              </w:rPr>
            </w:pPr>
            <w:r>
              <w:rPr>
                <w:rFonts w:hint="eastAsia" w:ascii="宋体" w:hAnsi="宋体" w:eastAsia="宋体" w:cs="宋体"/>
                <w:color w:val="000000"/>
                <w:kern w:val="0"/>
                <w:sz w:val="24"/>
                <w:szCs w:val="24"/>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color w:val="000000"/>
                <w:kern w:val="0"/>
                <w:sz w:val="24"/>
                <w:szCs w:val="24"/>
              </w:rPr>
              <w:t>。</w:t>
            </w:r>
          </w:p>
          <w:p w14:paraId="2CD2CD0A">
            <w:pPr>
              <w:pStyle w:val="32"/>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29FB6F66">
            <w:pPr>
              <w:pStyle w:val="32"/>
              <w:wordWrap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【差】对项目关键技术有表述，对重点、难点有建议，解决方案不可行。采用的新技术针对性不强或验证材料不可靠，对节约投资、工期没有具体收益。无违约责任承诺。</w:t>
            </w:r>
          </w:p>
        </w:tc>
      </w:tr>
      <w:tr w14:paraId="1D836092">
        <w:tblPrEx>
          <w:tblCellMar>
            <w:top w:w="0" w:type="dxa"/>
            <w:left w:w="108" w:type="dxa"/>
            <w:bottom w:w="0" w:type="dxa"/>
            <w:right w:w="108" w:type="dxa"/>
          </w:tblCellMar>
        </w:tblPrEx>
        <w:trPr>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267BE2F6">
            <w:pPr>
              <w:pStyle w:val="23"/>
              <w:wordWrap w:val="0"/>
              <w:spacing w:line="40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绿色施工、</w:t>
            </w:r>
          </w:p>
          <w:p w14:paraId="5FE7313A">
            <w:pPr>
              <w:pStyle w:val="23"/>
              <w:wordWrap w:val="0"/>
              <w:spacing w:line="40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安全防护、</w:t>
            </w:r>
          </w:p>
          <w:p w14:paraId="6D93EF67">
            <w:pPr>
              <w:pStyle w:val="23"/>
              <w:wordWrap w:val="0"/>
              <w:spacing w:line="40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文明施工</w:t>
            </w:r>
          </w:p>
          <w:p w14:paraId="0C8B3A61">
            <w:pPr>
              <w:pStyle w:val="23"/>
              <w:wordWrap w:val="0"/>
              <w:spacing w:line="40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措施计划</w:t>
            </w:r>
          </w:p>
          <w:p w14:paraId="6497A71F">
            <w:pPr>
              <w:pStyle w:val="23"/>
              <w:wordWrap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u w:val="single"/>
              </w:rPr>
              <w:t>3</w:t>
            </w:r>
            <w:r>
              <w:rPr>
                <w:rFonts w:hint="eastAsia" w:ascii="宋体" w:hAnsi="宋体" w:eastAsia="宋体" w:cs="宋体"/>
                <w:color w:val="000000"/>
                <w:kern w:val="0"/>
                <w:sz w:val="24"/>
                <w:szCs w:val="24"/>
              </w:rPr>
              <w:t>分）</w:t>
            </w:r>
          </w:p>
        </w:tc>
        <w:tc>
          <w:tcPr>
            <w:tcW w:w="3580" w:type="dxa"/>
            <w:tcBorders>
              <w:top w:val="single" w:color="auto" w:sz="4" w:space="0"/>
              <w:left w:val="single" w:color="auto" w:sz="4" w:space="0"/>
              <w:bottom w:val="single" w:color="auto" w:sz="4" w:space="0"/>
              <w:right w:val="single" w:color="auto" w:sz="4" w:space="0"/>
            </w:tcBorders>
            <w:noWrap w:val="0"/>
            <w:vAlign w:val="center"/>
          </w:tcPr>
          <w:p w14:paraId="5E442AE9">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【优】得该项评分因素分值的90%～100%（含90%）。</w:t>
            </w:r>
          </w:p>
          <w:p w14:paraId="6E604098">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【良】得该项评分因素分值的80%～90%（含80%）。</w:t>
            </w:r>
          </w:p>
          <w:p w14:paraId="5ACF7842">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【中】得该项评分因素分值的70%～80%（含70%）。</w:t>
            </w:r>
          </w:p>
          <w:p w14:paraId="3ADE71C2">
            <w:pPr>
              <w:pStyle w:val="32"/>
              <w:wordWrap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【差】得该项评分因素分值的60～70%（含60%）。</w:t>
            </w:r>
          </w:p>
        </w:tc>
        <w:tc>
          <w:tcPr>
            <w:tcW w:w="5368" w:type="dxa"/>
            <w:tcBorders>
              <w:top w:val="single" w:color="auto" w:sz="4" w:space="0"/>
              <w:left w:val="single" w:color="auto" w:sz="4" w:space="0"/>
              <w:bottom w:val="single" w:color="auto" w:sz="4" w:space="0"/>
              <w:right w:val="single" w:color="auto" w:sz="4" w:space="0"/>
            </w:tcBorders>
            <w:noWrap w:val="0"/>
            <w:vAlign w:val="center"/>
          </w:tcPr>
          <w:p w14:paraId="5F3C9477">
            <w:pPr>
              <w:pStyle w:val="32"/>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【优】针对项目实际情况，有先进、具体、完整、可行的措施，采用规范准确、清晰。</w:t>
            </w:r>
          </w:p>
          <w:p w14:paraId="5FFAC0F2">
            <w:pPr>
              <w:pStyle w:val="32"/>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【良】针对项目实际情况，有合理的措施且具体、完整，采用规范准确。</w:t>
            </w:r>
          </w:p>
          <w:p w14:paraId="47828519">
            <w:pPr>
              <w:pStyle w:val="32"/>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【中】有基本合理的措施，采用规范准确。</w:t>
            </w:r>
          </w:p>
          <w:p w14:paraId="0D7961C9">
            <w:pPr>
              <w:pStyle w:val="32"/>
              <w:wordWrap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【差】措施不力，采用规范不正确。</w:t>
            </w:r>
          </w:p>
        </w:tc>
      </w:tr>
      <w:tr w14:paraId="13E54E8E">
        <w:tblPrEx>
          <w:tblCellMar>
            <w:top w:w="0" w:type="dxa"/>
            <w:left w:w="108" w:type="dxa"/>
            <w:bottom w:w="0" w:type="dxa"/>
            <w:right w:w="108" w:type="dxa"/>
          </w:tblCellMar>
        </w:tblPrEx>
        <w:trPr>
          <w:trHeight w:val="3339"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7780A5BE">
            <w:pPr>
              <w:pStyle w:val="23"/>
              <w:wordWrap w:val="0"/>
              <w:spacing w:line="40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施工平面</w:t>
            </w:r>
          </w:p>
          <w:p w14:paraId="53FCEDFA">
            <w:pPr>
              <w:pStyle w:val="23"/>
              <w:wordWrap w:val="0"/>
              <w:spacing w:line="40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布置和临时设施布置</w:t>
            </w:r>
          </w:p>
          <w:p w14:paraId="0B5CABC5">
            <w:pPr>
              <w:pStyle w:val="23"/>
              <w:wordWrap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u w:val="single"/>
              </w:rPr>
              <w:t>2</w:t>
            </w:r>
            <w:r>
              <w:rPr>
                <w:rFonts w:hint="eastAsia" w:ascii="宋体" w:hAnsi="宋体" w:eastAsia="宋体" w:cs="宋体"/>
                <w:color w:val="000000"/>
                <w:kern w:val="0"/>
                <w:sz w:val="24"/>
                <w:szCs w:val="24"/>
              </w:rPr>
              <w:t>分）</w:t>
            </w:r>
          </w:p>
        </w:tc>
        <w:tc>
          <w:tcPr>
            <w:tcW w:w="3580" w:type="dxa"/>
            <w:tcBorders>
              <w:top w:val="single" w:color="auto" w:sz="4" w:space="0"/>
              <w:left w:val="single" w:color="auto" w:sz="4" w:space="0"/>
              <w:bottom w:val="single" w:color="auto" w:sz="4" w:space="0"/>
              <w:right w:val="single" w:color="auto" w:sz="4" w:space="0"/>
            </w:tcBorders>
            <w:noWrap w:val="0"/>
            <w:vAlign w:val="center"/>
          </w:tcPr>
          <w:p w14:paraId="122833FA">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【优】得该项评分因素分值的90%～100%（含90%）。</w:t>
            </w:r>
          </w:p>
          <w:p w14:paraId="102E8B7D">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【良】得该项评分因素分值的80%～90%（含80%）。</w:t>
            </w:r>
          </w:p>
          <w:p w14:paraId="3C873C83">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【中】得该项评分因素分值的70%～80%（含70%）。</w:t>
            </w:r>
          </w:p>
          <w:p w14:paraId="4C39C3A1">
            <w:pPr>
              <w:pStyle w:val="32"/>
              <w:wordWrap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【差】得该项评分因素分值的60～70%（含60%）。</w:t>
            </w:r>
          </w:p>
        </w:tc>
        <w:tc>
          <w:tcPr>
            <w:tcW w:w="5368" w:type="dxa"/>
            <w:tcBorders>
              <w:top w:val="single" w:color="auto" w:sz="4" w:space="0"/>
              <w:left w:val="single" w:color="auto" w:sz="4" w:space="0"/>
              <w:bottom w:val="single" w:color="auto" w:sz="4" w:space="0"/>
              <w:right w:val="single" w:color="auto" w:sz="4" w:space="0"/>
            </w:tcBorders>
            <w:noWrap w:val="0"/>
            <w:vAlign w:val="center"/>
          </w:tcPr>
          <w:p w14:paraId="5895224F">
            <w:pPr>
              <w:pStyle w:val="32"/>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【优】总体布置有针对性、合理，较好满足施工需要，符合绿色施工、安全防护、文明施工要求。</w:t>
            </w:r>
          </w:p>
          <w:p w14:paraId="799156B5">
            <w:pPr>
              <w:pStyle w:val="32"/>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【良】总体布置合理，能满足施工需要，基本符合绿色施工、安全防护、文明施工要求。</w:t>
            </w:r>
          </w:p>
          <w:p w14:paraId="405BD57C">
            <w:pPr>
              <w:pStyle w:val="32"/>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【中】总体布置基本合理，基本满足施工需要。</w:t>
            </w:r>
          </w:p>
          <w:p w14:paraId="5DF61776">
            <w:pPr>
              <w:pStyle w:val="32"/>
              <w:wordWrap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【差】总体布置不合理，不符合绿色施工、安全防护、文明施工要求。</w:t>
            </w:r>
          </w:p>
        </w:tc>
      </w:tr>
      <w:tr w14:paraId="5A286567">
        <w:tblPrEx>
          <w:tblCellMar>
            <w:top w:w="0" w:type="dxa"/>
            <w:left w:w="108" w:type="dxa"/>
            <w:bottom w:w="0" w:type="dxa"/>
            <w:right w:w="108" w:type="dxa"/>
          </w:tblCellMar>
        </w:tblPrEx>
        <w:trPr>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4AC13AAB">
            <w:pPr>
              <w:pStyle w:val="23"/>
              <w:wordWrap w:val="0"/>
              <w:spacing w:line="40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项目</w:t>
            </w:r>
          </w:p>
          <w:p w14:paraId="2BA63292">
            <w:pPr>
              <w:pStyle w:val="23"/>
              <w:wordWrap w:val="0"/>
              <w:spacing w:line="40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管理机构</w:t>
            </w:r>
          </w:p>
          <w:p w14:paraId="6721E042">
            <w:pPr>
              <w:pStyle w:val="23"/>
              <w:wordWrap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u w:val="single"/>
              </w:rPr>
              <w:t>3</w:t>
            </w:r>
            <w:r>
              <w:rPr>
                <w:rFonts w:hint="eastAsia" w:ascii="宋体" w:hAnsi="宋体" w:eastAsia="宋体" w:cs="宋体"/>
                <w:color w:val="000000"/>
                <w:kern w:val="0"/>
                <w:sz w:val="24"/>
                <w:szCs w:val="24"/>
              </w:rPr>
              <w:t>分）</w:t>
            </w:r>
          </w:p>
        </w:tc>
        <w:tc>
          <w:tcPr>
            <w:tcW w:w="3580" w:type="dxa"/>
            <w:tcBorders>
              <w:top w:val="single" w:color="auto" w:sz="4" w:space="0"/>
              <w:left w:val="single" w:color="auto" w:sz="4" w:space="0"/>
              <w:bottom w:val="single" w:color="auto" w:sz="4" w:space="0"/>
              <w:right w:val="single" w:color="auto" w:sz="4" w:space="0"/>
            </w:tcBorders>
            <w:noWrap w:val="0"/>
            <w:vAlign w:val="center"/>
          </w:tcPr>
          <w:p w14:paraId="7525F3C5">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【优】得该项评分因素分值的90%～100%（含90%）。</w:t>
            </w:r>
          </w:p>
          <w:p w14:paraId="5A56B7F8">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【良】得该项评分因素分值的80%～90%（含80%）。</w:t>
            </w:r>
          </w:p>
          <w:p w14:paraId="1C43D51F">
            <w:pPr>
              <w:pStyle w:val="31"/>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【中】得该项评分因素分值的70%～80%（含70%）。</w:t>
            </w:r>
          </w:p>
          <w:p w14:paraId="17B0DE2A">
            <w:pPr>
              <w:pStyle w:val="32"/>
              <w:wordWrap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【差】得该项评分因素分值的60～70%（含60%）。</w:t>
            </w:r>
          </w:p>
        </w:tc>
        <w:tc>
          <w:tcPr>
            <w:tcW w:w="5368" w:type="dxa"/>
            <w:tcBorders>
              <w:top w:val="single" w:color="auto" w:sz="4" w:space="0"/>
              <w:left w:val="single" w:color="auto" w:sz="4" w:space="0"/>
              <w:bottom w:val="single" w:color="auto" w:sz="4" w:space="0"/>
              <w:right w:val="single" w:color="auto" w:sz="4" w:space="0"/>
            </w:tcBorders>
            <w:noWrap w:val="0"/>
            <w:vAlign w:val="center"/>
          </w:tcPr>
          <w:p w14:paraId="653A5B88">
            <w:pPr>
              <w:pStyle w:val="32"/>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【优】组织机构形式合理，有完善的指挥系统，生产及质量、绿色施工、安全、文明施工、创优达标监控系统、联络协调系统，项目管理人员内高级职称人员20%（含20%）以上、中级职称人员</w:t>
            </w:r>
            <w:r>
              <w:rPr>
                <w:rFonts w:hint="eastAsia" w:ascii="宋体" w:hAnsi="宋体" w:eastAsia="宋体" w:cs="宋体"/>
                <w:b/>
                <w:bCs/>
                <w:color w:val="000000"/>
                <w:kern w:val="0"/>
                <w:sz w:val="24"/>
                <w:szCs w:val="24"/>
              </w:rPr>
              <w:t>及以上职称</w:t>
            </w:r>
            <w:r>
              <w:rPr>
                <w:rFonts w:hint="eastAsia" w:ascii="宋体" w:hAnsi="宋体" w:eastAsia="宋体" w:cs="宋体"/>
                <w:color w:val="000000"/>
                <w:kern w:val="0"/>
                <w:sz w:val="24"/>
                <w:szCs w:val="24"/>
              </w:rPr>
              <w:t>60%（含60%）以上。</w:t>
            </w:r>
          </w:p>
          <w:p w14:paraId="3E008B77">
            <w:pPr>
              <w:pStyle w:val="32"/>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【良】组织机构形式合理，指挥系统，生产及质量、绿色施工、安全、文明施工、创优达标监控系统、联络协调系统齐全，项目管理人员内高级职称人员15%～20%（含15%）、中级职称</w:t>
            </w:r>
            <w:r>
              <w:rPr>
                <w:rFonts w:hint="eastAsia" w:ascii="宋体" w:hAnsi="宋体" w:eastAsia="宋体" w:cs="宋体"/>
                <w:b/>
                <w:bCs/>
                <w:color w:val="000000"/>
                <w:kern w:val="0"/>
                <w:sz w:val="24"/>
                <w:szCs w:val="24"/>
              </w:rPr>
              <w:t>及以上职称</w:t>
            </w:r>
            <w:r>
              <w:rPr>
                <w:rFonts w:hint="eastAsia" w:ascii="宋体" w:hAnsi="宋体" w:eastAsia="宋体" w:cs="宋体"/>
                <w:color w:val="000000"/>
                <w:kern w:val="0"/>
                <w:sz w:val="24"/>
                <w:szCs w:val="24"/>
              </w:rPr>
              <w:t>人员50%～60%（含50%）。</w:t>
            </w:r>
          </w:p>
          <w:p w14:paraId="568CE3ED">
            <w:pPr>
              <w:pStyle w:val="32"/>
              <w:wordWrap w:val="0"/>
              <w:spacing w:line="400" w:lineRule="exac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【中】组织机构形式基本合理，有指挥系统，生产及质量、绿色施工、安全、文明施工、创优达标监控系统、联络协调系统，项目管理人员内高级职称人员10%～15%（含10%）、中级职称人员</w:t>
            </w:r>
            <w:r>
              <w:rPr>
                <w:rFonts w:hint="eastAsia" w:ascii="宋体" w:hAnsi="宋体" w:eastAsia="宋体" w:cs="宋体"/>
                <w:b/>
                <w:bCs/>
                <w:color w:val="000000"/>
                <w:kern w:val="0"/>
                <w:sz w:val="24"/>
                <w:szCs w:val="24"/>
              </w:rPr>
              <w:t>及以上职称</w:t>
            </w:r>
            <w:r>
              <w:rPr>
                <w:rFonts w:hint="eastAsia" w:ascii="宋体" w:hAnsi="宋体" w:eastAsia="宋体" w:cs="宋体"/>
                <w:color w:val="000000"/>
                <w:kern w:val="0"/>
                <w:sz w:val="24"/>
                <w:szCs w:val="24"/>
              </w:rPr>
              <w:t>40%～50%（含40%）。</w:t>
            </w:r>
          </w:p>
          <w:p w14:paraId="4F6D361F">
            <w:pPr>
              <w:pStyle w:val="32"/>
              <w:wordWrap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000000"/>
                <w:kern w:val="0"/>
                <w:sz w:val="24"/>
                <w:szCs w:val="24"/>
              </w:rPr>
              <w:t>【差】组织机构形式合理，指挥系统，生产及质量、绿色施工、安全、文明施工、创优达标监控系统、联络协调系统不齐全，项目管理人员内高级职称人员10%以下、中级职称人员</w:t>
            </w:r>
            <w:r>
              <w:rPr>
                <w:rFonts w:hint="eastAsia" w:ascii="宋体" w:hAnsi="宋体" w:eastAsia="宋体" w:cs="宋体"/>
                <w:b/>
                <w:bCs/>
                <w:color w:val="000000"/>
                <w:kern w:val="0"/>
                <w:sz w:val="24"/>
                <w:szCs w:val="24"/>
              </w:rPr>
              <w:t>及以上职称</w:t>
            </w:r>
            <w:r>
              <w:rPr>
                <w:rFonts w:hint="eastAsia" w:ascii="宋体" w:hAnsi="宋体" w:eastAsia="宋体" w:cs="宋体"/>
                <w:color w:val="000000"/>
                <w:kern w:val="0"/>
                <w:sz w:val="24"/>
                <w:szCs w:val="24"/>
              </w:rPr>
              <w:t>40%以下。</w:t>
            </w:r>
          </w:p>
        </w:tc>
      </w:tr>
      <w:tr w14:paraId="19A41CDF">
        <w:tblPrEx>
          <w:tblCellMar>
            <w:top w:w="0" w:type="dxa"/>
            <w:left w:w="108" w:type="dxa"/>
            <w:bottom w:w="0" w:type="dxa"/>
            <w:right w:w="108" w:type="dxa"/>
          </w:tblCellMar>
        </w:tblPrEx>
        <w:trPr>
          <w:jc w:val="center"/>
        </w:trPr>
        <w:tc>
          <w:tcPr>
            <w:tcW w:w="10102"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3C37FFD6">
            <w:pPr>
              <w:widowControl w:val="0"/>
              <w:wordWrap w:val="0"/>
              <w:adjustRightInd w:val="0"/>
              <w:snapToGrid w:val="0"/>
              <w:spacing w:line="400" w:lineRule="exact"/>
              <w:jc w:val="both"/>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投标报价部分，满分：100分。</w:t>
            </w:r>
          </w:p>
        </w:tc>
      </w:tr>
      <w:tr w14:paraId="66AFAAD9">
        <w:tblPrEx>
          <w:tblCellMar>
            <w:top w:w="0" w:type="dxa"/>
            <w:left w:w="108" w:type="dxa"/>
            <w:bottom w:w="0" w:type="dxa"/>
            <w:right w:w="108" w:type="dxa"/>
          </w:tblCellMar>
        </w:tblPrEx>
        <w:trPr>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29EA36A0">
            <w:pPr>
              <w:widowControl w:val="0"/>
              <w:wordWrap w:val="0"/>
              <w:adjustRightInd w:val="0"/>
              <w:snapToGrid w:val="0"/>
              <w:spacing w:after="0" w:afterLines="0" w:afterAutospacing="0" w:line="4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评分事项</w:t>
            </w:r>
          </w:p>
        </w:tc>
        <w:tc>
          <w:tcPr>
            <w:tcW w:w="8948" w:type="dxa"/>
            <w:gridSpan w:val="2"/>
            <w:tcBorders>
              <w:top w:val="single" w:color="auto" w:sz="4" w:space="0"/>
              <w:left w:val="single" w:color="auto" w:sz="4" w:space="0"/>
              <w:bottom w:val="single" w:color="auto" w:sz="4" w:space="0"/>
              <w:right w:val="single" w:color="auto" w:sz="4" w:space="0"/>
            </w:tcBorders>
            <w:noWrap w:val="0"/>
            <w:vAlign w:val="center"/>
          </w:tcPr>
          <w:p w14:paraId="12ADFAF9">
            <w:pPr>
              <w:widowControl w:val="0"/>
              <w:wordWrap w:val="0"/>
              <w:adjustRightInd w:val="0"/>
              <w:snapToGrid w:val="0"/>
              <w:spacing w:after="0" w:afterLines="0" w:afterAutospacing="0" w:line="4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评分方法</w:t>
            </w:r>
          </w:p>
        </w:tc>
      </w:tr>
      <w:tr w14:paraId="6134645E">
        <w:tblPrEx>
          <w:tblCellMar>
            <w:top w:w="0" w:type="dxa"/>
            <w:left w:w="108" w:type="dxa"/>
            <w:bottom w:w="0" w:type="dxa"/>
            <w:right w:w="108" w:type="dxa"/>
          </w:tblCellMar>
        </w:tblPrEx>
        <w:trPr>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6652FC2C">
            <w:pPr>
              <w:widowControl w:val="0"/>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评标基准价D</w:t>
            </w:r>
          </w:p>
        </w:tc>
        <w:tc>
          <w:tcPr>
            <w:tcW w:w="8948" w:type="dxa"/>
            <w:gridSpan w:val="2"/>
            <w:tcBorders>
              <w:top w:val="single" w:color="auto" w:sz="4" w:space="0"/>
              <w:left w:val="single" w:color="auto" w:sz="4" w:space="0"/>
              <w:bottom w:val="single" w:color="auto" w:sz="4" w:space="0"/>
              <w:right w:val="single" w:color="auto" w:sz="4" w:space="0"/>
            </w:tcBorders>
            <w:noWrap w:val="0"/>
            <w:vAlign w:val="center"/>
          </w:tcPr>
          <w:p w14:paraId="605953D7">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（1）确定</w:t>
            </w:r>
            <w:r>
              <w:rPr>
                <w:rFonts w:hint="eastAsia" w:ascii="宋体" w:hAnsi="宋体" w:eastAsia="宋体" w:cs="宋体"/>
                <w:snapToGrid w:val="0"/>
                <w:color w:val="auto"/>
                <w:kern w:val="0"/>
                <w:sz w:val="24"/>
                <w:szCs w:val="24"/>
                <w:highlight w:val="none"/>
                <w:lang w:eastAsia="zh-CN"/>
              </w:rPr>
              <w:t>招标控制价</w:t>
            </w:r>
            <w:r>
              <w:rPr>
                <w:rFonts w:hint="eastAsia" w:ascii="宋体" w:hAnsi="宋体" w:eastAsia="宋体" w:cs="宋体"/>
                <w:snapToGrid w:val="0"/>
                <w:color w:val="auto"/>
                <w:kern w:val="0"/>
                <w:sz w:val="24"/>
                <w:szCs w:val="24"/>
                <w:highlight w:val="none"/>
              </w:rPr>
              <w:t>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rPr>
              <w:t>3</w:t>
            </w:r>
            <w:r>
              <w:rPr>
                <w:rFonts w:hint="eastAsia" w:ascii="宋体" w:hAnsi="宋体" w:eastAsia="宋体" w:cs="宋体"/>
                <w:snapToGrid w:val="0"/>
                <w:color w:val="auto"/>
                <w:kern w:val="0"/>
                <w:sz w:val="24"/>
                <w:szCs w:val="24"/>
                <w:highlight w:val="none"/>
              </w:rPr>
              <w:t>次，每次抽取1个号码，抽出的号球不参与下次抽取。所抽取的3个号码对应下浮系数的算术平均值作为</w:t>
            </w:r>
            <w:r>
              <w:rPr>
                <w:rFonts w:hint="eastAsia" w:ascii="宋体" w:hAnsi="宋体" w:eastAsia="宋体" w:cs="宋体"/>
                <w:snapToGrid w:val="0"/>
                <w:color w:val="auto"/>
                <w:kern w:val="0"/>
                <w:sz w:val="24"/>
                <w:szCs w:val="24"/>
                <w:highlight w:val="none"/>
                <w:lang w:eastAsia="zh-CN"/>
              </w:rPr>
              <w:t>招标控制价</w:t>
            </w:r>
            <w:r>
              <w:rPr>
                <w:rFonts w:hint="eastAsia" w:ascii="宋体" w:hAnsi="宋体" w:eastAsia="宋体" w:cs="宋体"/>
                <w:snapToGrid w:val="0"/>
                <w:color w:val="auto"/>
                <w:kern w:val="0"/>
                <w:sz w:val="24"/>
                <w:szCs w:val="24"/>
                <w:highlight w:val="none"/>
              </w:rPr>
              <w:t>下浮系数n。具体号码对应的下浮系数可参考下表。</w:t>
            </w:r>
          </w:p>
          <w:tbl>
            <w:tblPr>
              <w:tblStyle w:val="1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06"/>
              <w:gridCol w:w="870"/>
              <w:gridCol w:w="910"/>
              <w:gridCol w:w="947"/>
              <w:gridCol w:w="930"/>
              <w:gridCol w:w="967"/>
              <w:gridCol w:w="909"/>
              <w:gridCol w:w="898"/>
            </w:tblGrid>
            <w:tr w14:paraId="55018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 w:hRule="atLeast"/>
              </w:trPr>
              <w:tc>
                <w:tcPr>
                  <w:tcW w:w="1606" w:type="dxa"/>
                  <w:tcBorders>
                    <w:top w:val="single" w:color="000000" w:sz="4" w:space="0"/>
                    <w:left w:val="single" w:color="000000" w:sz="4" w:space="0"/>
                    <w:bottom w:val="single" w:color="000000" w:sz="4" w:space="0"/>
                    <w:right w:val="single" w:color="000000" w:sz="4" w:space="0"/>
                  </w:tcBorders>
                  <w:noWrap w:val="0"/>
                  <w:vAlign w:val="center"/>
                </w:tcPr>
                <w:p w14:paraId="34F0EB0E">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bCs/>
                      <w:snapToGrid w:val="0"/>
                      <w:color w:val="000000"/>
                      <w:kern w:val="0"/>
                      <w:sz w:val="24"/>
                      <w:szCs w:val="24"/>
                      <w:highlight w:val="none"/>
                      <w:lang w:val="en-US" w:eastAsia="zh-CN" w:bidi="ar"/>
                    </w:rPr>
                    <w:t>号球</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69AEBAC">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14:paraId="3EE7F871">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2</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76074879">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6DF25EB7">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4</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6C9F033B">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5</w:t>
                  </w:r>
                </w:p>
              </w:tc>
              <w:tc>
                <w:tcPr>
                  <w:tcW w:w="909" w:type="dxa"/>
                  <w:tcBorders>
                    <w:top w:val="single" w:color="000000" w:sz="4" w:space="0"/>
                    <w:left w:val="single" w:color="000000" w:sz="4" w:space="0"/>
                    <w:bottom w:val="single" w:color="000000" w:sz="4" w:space="0"/>
                    <w:right w:val="single" w:color="000000" w:sz="4" w:space="0"/>
                  </w:tcBorders>
                  <w:noWrap w:val="0"/>
                  <w:vAlign w:val="center"/>
                </w:tcPr>
                <w:p w14:paraId="6C9176F5">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6</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28B1799A">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7</w:t>
                  </w:r>
                </w:p>
              </w:tc>
            </w:tr>
            <w:tr w14:paraId="2EC76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606" w:type="dxa"/>
                  <w:tcBorders>
                    <w:top w:val="single" w:color="000000" w:sz="4" w:space="0"/>
                    <w:left w:val="single" w:color="000000" w:sz="4" w:space="0"/>
                    <w:bottom w:val="single" w:color="000000" w:sz="4" w:space="0"/>
                    <w:right w:val="single" w:color="000000" w:sz="4" w:space="0"/>
                  </w:tcBorders>
                  <w:noWrap w:val="0"/>
                  <w:vAlign w:val="center"/>
                </w:tcPr>
                <w:p w14:paraId="0609BFAD">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下浮系数（</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snapToGrid w:val="0"/>
                      <w:color w:val="000000"/>
                      <w:kern w:val="0"/>
                      <w:sz w:val="24"/>
                      <w:szCs w:val="24"/>
                      <w:highlight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D6A8977">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0.1</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14:paraId="07E62BD2">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0.2</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1CFF02FB">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0.3</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40F1F3F1">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0.4</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339F8188">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0.5</w:t>
                  </w:r>
                </w:p>
              </w:tc>
              <w:tc>
                <w:tcPr>
                  <w:tcW w:w="909" w:type="dxa"/>
                  <w:tcBorders>
                    <w:top w:val="single" w:color="000000" w:sz="4" w:space="0"/>
                    <w:left w:val="single" w:color="000000" w:sz="4" w:space="0"/>
                    <w:bottom w:val="single" w:color="000000" w:sz="4" w:space="0"/>
                    <w:right w:val="single" w:color="000000" w:sz="4" w:space="0"/>
                  </w:tcBorders>
                  <w:noWrap w:val="0"/>
                  <w:vAlign w:val="center"/>
                </w:tcPr>
                <w:p w14:paraId="51776A23">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0.6</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5AF96EEA">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0.7</w:t>
                  </w:r>
                </w:p>
              </w:tc>
            </w:tr>
            <w:tr w14:paraId="46358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606" w:type="dxa"/>
                  <w:tcBorders>
                    <w:top w:val="single" w:color="000000" w:sz="4" w:space="0"/>
                    <w:left w:val="single" w:color="000000" w:sz="4" w:space="0"/>
                    <w:bottom w:val="single" w:color="000000" w:sz="4" w:space="0"/>
                    <w:right w:val="single" w:color="000000" w:sz="4" w:space="0"/>
                  </w:tcBorders>
                  <w:noWrap w:val="0"/>
                  <w:vAlign w:val="center"/>
                </w:tcPr>
                <w:p w14:paraId="1927DA78">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bCs/>
                      <w:snapToGrid w:val="0"/>
                      <w:color w:val="000000"/>
                      <w:kern w:val="0"/>
                      <w:sz w:val="24"/>
                      <w:szCs w:val="24"/>
                      <w:highlight w:val="none"/>
                      <w:lang w:val="en-US" w:eastAsia="zh-CN" w:bidi="ar"/>
                    </w:rPr>
                    <w:t>号球</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F4355F2">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8</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14:paraId="7209B1EE">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9</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06A088A0">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5FF03094">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11</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2A057115">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12</w:t>
                  </w:r>
                </w:p>
              </w:tc>
              <w:tc>
                <w:tcPr>
                  <w:tcW w:w="909" w:type="dxa"/>
                  <w:tcBorders>
                    <w:top w:val="single" w:color="000000" w:sz="4" w:space="0"/>
                    <w:left w:val="single" w:color="000000" w:sz="4" w:space="0"/>
                    <w:bottom w:val="single" w:color="000000" w:sz="4" w:space="0"/>
                    <w:right w:val="single" w:color="000000" w:sz="4" w:space="0"/>
                  </w:tcBorders>
                  <w:noWrap w:val="0"/>
                  <w:vAlign w:val="center"/>
                </w:tcPr>
                <w:p w14:paraId="07B7DC30">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13</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3D16560A">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14</w:t>
                  </w:r>
                </w:p>
              </w:tc>
            </w:tr>
            <w:tr w14:paraId="49F2F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606" w:type="dxa"/>
                  <w:tcBorders>
                    <w:top w:val="single" w:color="000000" w:sz="4" w:space="0"/>
                    <w:left w:val="single" w:color="000000" w:sz="4" w:space="0"/>
                    <w:bottom w:val="single" w:color="000000" w:sz="4" w:space="0"/>
                    <w:right w:val="single" w:color="000000" w:sz="4" w:space="0"/>
                  </w:tcBorders>
                  <w:noWrap w:val="0"/>
                  <w:vAlign w:val="center"/>
                </w:tcPr>
                <w:p w14:paraId="7F37128A">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下浮系数（</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snapToGrid w:val="0"/>
                      <w:color w:val="000000"/>
                      <w:kern w:val="0"/>
                      <w:sz w:val="24"/>
                      <w:szCs w:val="24"/>
                      <w:highlight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6C2DA752">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0.8</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14:paraId="124939A3">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0.9</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1C616975">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60BEAFA7">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1.1</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2C8D10FC">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1.2</w:t>
                  </w:r>
                </w:p>
              </w:tc>
              <w:tc>
                <w:tcPr>
                  <w:tcW w:w="909" w:type="dxa"/>
                  <w:tcBorders>
                    <w:top w:val="single" w:color="000000" w:sz="4" w:space="0"/>
                    <w:left w:val="single" w:color="000000" w:sz="4" w:space="0"/>
                    <w:bottom w:val="single" w:color="000000" w:sz="4" w:space="0"/>
                    <w:right w:val="single" w:color="000000" w:sz="4" w:space="0"/>
                  </w:tcBorders>
                  <w:noWrap w:val="0"/>
                  <w:vAlign w:val="center"/>
                </w:tcPr>
                <w:p w14:paraId="704FDD88">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1.3</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0F50DFCF">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1.4</w:t>
                  </w:r>
                </w:p>
              </w:tc>
            </w:tr>
            <w:tr w14:paraId="6E3F0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606" w:type="dxa"/>
                  <w:tcBorders>
                    <w:top w:val="single" w:color="000000" w:sz="4" w:space="0"/>
                    <w:left w:val="single" w:color="000000" w:sz="4" w:space="0"/>
                    <w:bottom w:val="single" w:color="000000" w:sz="4" w:space="0"/>
                    <w:right w:val="single" w:color="000000" w:sz="4" w:space="0"/>
                  </w:tcBorders>
                  <w:noWrap w:val="0"/>
                  <w:vAlign w:val="center"/>
                </w:tcPr>
                <w:p w14:paraId="7ED2EFBC">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bCs/>
                      <w:snapToGrid w:val="0"/>
                      <w:color w:val="000000"/>
                      <w:kern w:val="0"/>
                      <w:sz w:val="24"/>
                      <w:szCs w:val="24"/>
                      <w:highlight w:val="none"/>
                      <w:lang w:val="en-US" w:eastAsia="zh-CN" w:bidi="ar"/>
                    </w:rPr>
                    <w:t>号球</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2E5A8650">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15</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14:paraId="1F26ABC3">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16</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704D326E">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17</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72E51BFC">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18</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5BF74C95">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19</w:t>
                  </w:r>
                </w:p>
              </w:tc>
              <w:tc>
                <w:tcPr>
                  <w:tcW w:w="909" w:type="dxa"/>
                  <w:tcBorders>
                    <w:top w:val="single" w:color="000000" w:sz="4" w:space="0"/>
                    <w:left w:val="single" w:color="000000" w:sz="4" w:space="0"/>
                    <w:bottom w:val="single" w:color="000000" w:sz="4" w:space="0"/>
                    <w:right w:val="single" w:color="000000" w:sz="4" w:space="0"/>
                  </w:tcBorders>
                  <w:noWrap w:val="0"/>
                  <w:vAlign w:val="center"/>
                </w:tcPr>
                <w:p w14:paraId="5D7459BE">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20</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630B4C9B">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default"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21</w:t>
                  </w:r>
                </w:p>
              </w:tc>
            </w:tr>
            <w:tr w14:paraId="0522E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06" w:type="dxa"/>
                  <w:tcBorders>
                    <w:top w:val="single" w:color="000000" w:sz="4" w:space="0"/>
                    <w:left w:val="single" w:color="000000" w:sz="4" w:space="0"/>
                    <w:bottom w:val="single" w:color="000000" w:sz="4" w:space="0"/>
                    <w:right w:val="single" w:color="000000" w:sz="4" w:space="0"/>
                  </w:tcBorders>
                  <w:noWrap w:val="0"/>
                  <w:vAlign w:val="center"/>
                </w:tcPr>
                <w:p w14:paraId="568157C5">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下浮系数（</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snapToGrid w:val="0"/>
                      <w:color w:val="000000"/>
                      <w:kern w:val="0"/>
                      <w:sz w:val="24"/>
                      <w:szCs w:val="24"/>
                      <w:highlight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09E1107">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1.5</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14:paraId="6254BE0C">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1.6</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19F796AE">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1.7</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5BDBF202">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1.8</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62AF13D9">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snapToGrid w:val="0"/>
                      <w:color w:val="000000"/>
                      <w:kern w:val="0"/>
                      <w:sz w:val="24"/>
                      <w:szCs w:val="24"/>
                      <w:highlight w:val="none"/>
                      <w:lang w:val="en-US" w:eastAsia="zh-CN" w:bidi="ar"/>
                    </w:rPr>
                    <w:t>1.9</w:t>
                  </w:r>
                </w:p>
              </w:tc>
              <w:tc>
                <w:tcPr>
                  <w:tcW w:w="909" w:type="dxa"/>
                  <w:tcBorders>
                    <w:top w:val="single" w:color="000000" w:sz="4" w:space="0"/>
                    <w:left w:val="single" w:color="000000" w:sz="4" w:space="0"/>
                    <w:bottom w:val="single" w:color="000000" w:sz="4" w:space="0"/>
                    <w:right w:val="single" w:color="000000" w:sz="4" w:space="0"/>
                  </w:tcBorders>
                  <w:noWrap w:val="0"/>
                  <w:vAlign w:val="center"/>
                </w:tcPr>
                <w:p w14:paraId="694F670E">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eastAsia" w:ascii="宋体" w:hAnsi="宋体" w:eastAsia="宋体" w:cs="宋体"/>
                      <w:snapToGrid w:val="0"/>
                      <w:color w:val="000000"/>
                      <w:kern w:val="0"/>
                      <w:sz w:val="24"/>
                      <w:szCs w:val="24"/>
                      <w:highlight w:val="none"/>
                      <w:lang w:val="en-US"/>
                    </w:rPr>
                  </w:pPr>
                  <w:r>
                    <w:rPr>
                      <w:rFonts w:hint="eastAsia" w:ascii="宋体" w:hAnsi="宋体" w:eastAsia="宋体" w:cs="宋体"/>
                      <w:color w:val="000000"/>
                      <w:kern w:val="2"/>
                      <w:sz w:val="24"/>
                      <w:szCs w:val="24"/>
                      <w:highlight w:val="none"/>
                      <w:lang w:val="en-US" w:eastAsia="zh-CN" w:bidi="ar"/>
                    </w:rPr>
                    <w:t>2.0</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18D08654">
                  <w:pPr>
                    <w:keepNext w:val="0"/>
                    <w:keepLines w:val="0"/>
                    <w:widowControl w:val="0"/>
                    <w:suppressLineNumbers w:val="0"/>
                    <w:wordWrap w:val="0"/>
                    <w:adjustRightInd w:val="0"/>
                    <w:snapToGrid w:val="0"/>
                    <w:spacing w:before="0" w:beforeAutospacing="0" w:after="0" w:afterAutospacing="0" w:line="400" w:lineRule="exact"/>
                    <w:ind w:left="0" w:leftChars="0" w:right="0" w:rightChars="0"/>
                    <w:jc w:val="center"/>
                    <w:rPr>
                      <w:rFonts w:hint="default"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2.1</w:t>
                  </w:r>
                </w:p>
              </w:tc>
            </w:tr>
          </w:tbl>
          <w:p w14:paraId="4B0B0611">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（2）评标基准价D＝</w:t>
            </w:r>
            <w:r>
              <w:rPr>
                <w:rFonts w:hint="eastAsia" w:ascii="宋体" w:hAnsi="宋体" w:eastAsia="宋体" w:cs="宋体"/>
                <w:snapToGrid w:val="0"/>
                <w:color w:val="auto"/>
                <w:kern w:val="0"/>
                <w:sz w:val="24"/>
                <w:szCs w:val="24"/>
                <w:highlight w:val="none"/>
                <w:lang w:eastAsia="zh-CN"/>
              </w:rPr>
              <w:t>招标控制价</w:t>
            </w:r>
            <w:r>
              <w:rPr>
                <w:rFonts w:hint="eastAsia" w:ascii="宋体" w:hAnsi="宋体" w:eastAsia="宋体" w:cs="宋体"/>
                <w:snapToGrid w:val="0"/>
                <w:color w:val="auto"/>
                <w:kern w:val="0"/>
                <w:sz w:val="24"/>
                <w:szCs w:val="24"/>
                <w:highlight w:val="none"/>
              </w:rPr>
              <w:t>×（1－n）</w:t>
            </w:r>
          </w:p>
        </w:tc>
      </w:tr>
      <w:tr w14:paraId="27AC6863">
        <w:tblPrEx>
          <w:tblCellMar>
            <w:top w:w="0" w:type="dxa"/>
            <w:left w:w="108" w:type="dxa"/>
            <w:bottom w:w="0" w:type="dxa"/>
            <w:right w:w="108" w:type="dxa"/>
          </w:tblCellMar>
        </w:tblPrEx>
        <w:trPr>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763306D6">
            <w:pPr>
              <w:widowControl w:val="0"/>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投标报价</w:t>
            </w:r>
          </w:p>
          <w:p w14:paraId="4106DC5A">
            <w:pPr>
              <w:widowControl w:val="0"/>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得分N</w:t>
            </w:r>
          </w:p>
        </w:tc>
        <w:tc>
          <w:tcPr>
            <w:tcW w:w="8948" w:type="dxa"/>
            <w:gridSpan w:val="2"/>
            <w:tcBorders>
              <w:top w:val="single" w:color="auto" w:sz="4" w:space="0"/>
              <w:left w:val="single" w:color="auto" w:sz="4" w:space="0"/>
              <w:bottom w:val="single" w:color="auto" w:sz="4" w:space="0"/>
              <w:right w:val="single" w:color="auto" w:sz="4" w:space="0"/>
            </w:tcBorders>
            <w:noWrap w:val="0"/>
            <w:vAlign w:val="center"/>
          </w:tcPr>
          <w:p w14:paraId="23CABC2F">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采用内插法计算某投标人的投标报价得分N，即当投标人的投标总价等于评标基准价时得100分，每高于评标基准价一个百分点扣0.5分,每低于评标基准价一个百分点扣0.</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分，扣完为止。公式如下：</w:t>
            </w:r>
          </w:p>
          <w:p w14:paraId="5CDAE054">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N＝100－（|Di－D|÷D）×100×E</w:t>
            </w:r>
          </w:p>
          <w:p w14:paraId="41DCE334">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w:t>
            </w:r>
            <w:r>
              <w:rPr>
                <w:rFonts w:hint="eastAsia" w:ascii="宋体" w:hAnsi="宋体" w:eastAsia="宋体" w:cs="宋体"/>
                <w:snapToGrid w:val="0"/>
                <w:color w:val="auto"/>
                <w:kern w:val="0"/>
                <w:sz w:val="24"/>
                <w:szCs w:val="24"/>
                <w:highlight w:val="none"/>
              </w:rPr>
              <w:t>0.5</w:t>
            </w:r>
            <w:r>
              <w:rPr>
                <w:rFonts w:hint="eastAsia" w:ascii="宋体" w:hAnsi="宋体" w:eastAsia="宋体" w:cs="宋体"/>
                <w:snapToGrid w:val="0"/>
                <w:color w:val="auto"/>
                <w:kern w:val="0"/>
                <w:sz w:val="24"/>
                <w:szCs w:val="24"/>
                <w:highlight w:val="none"/>
              </w:rPr>
              <w:t>；当Di＜D时，E＝0.</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w:t>
            </w:r>
          </w:p>
        </w:tc>
      </w:tr>
    </w:tbl>
    <w:p w14:paraId="2A40799B">
      <w:pPr>
        <w:spacing w:before="155" w:line="211" w:lineRule="auto"/>
        <w:ind w:left="496"/>
        <w:outlineLvl w:val="1"/>
        <w:rPr>
          <w:rFonts w:ascii="宋体" w:hAnsi="宋体" w:eastAsia="宋体" w:cs="宋体"/>
          <w:sz w:val="25"/>
          <w:szCs w:val="25"/>
        </w:rPr>
      </w:pPr>
      <w:r>
        <w:rPr>
          <w:rFonts w:ascii="Times New Roman" w:hAnsi="Times New Roman" w:eastAsia="Times New Roman" w:cs="Times New Roman"/>
          <w:b/>
          <w:bCs/>
          <w:spacing w:val="-3"/>
          <w:sz w:val="24"/>
          <w:szCs w:val="24"/>
        </w:rPr>
        <w:br w:type="page"/>
      </w:r>
      <w:r>
        <w:rPr>
          <w:rFonts w:ascii="Times New Roman" w:hAnsi="Times New Roman" w:eastAsia="Times New Roman" w:cs="Times New Roman"/>
          <w:b/>
          <w:bCs/>
          <w:spacing w:val="-3"/>
          <w:sz w:val="24"/>
          <w:szCs w:val="24"/>
        </w:rPr>
        <w:t>15.5.2</w:t>
      </w:r>
      <w:r>
        <w:rPr>
          <w:rFonts w:ascii="宋体" w:hAnsi="宋体" w:eastAsia="宋体" w:cs="宋体"/>
          <w:spacing w:val="-3"/>
          <w:sz w:val="24"/>
          <w:szCs w:val="24"/>
        </w:rPr>
        <w:t>否决投标说明</w:t>
      </w:r>
      <w:bookmarkEnd w:id="103"/>
      <w:bookmarkEnd w:id="104"/>
      <w:bookmarkEnd w:id="105"/>
    </w:p>
    <w:p w14:paraId="0D4696DA">
      <w:pPr>
        <w:spacing w:before="150" w:line="332" w:lineRule="auto"/>
        <w:ind w:left="10" w:right="195" w:firstLine="564"/>
        <w:rPr>
          <w:rFonts w:ascii="宋体" w:hAnsi="宋体" w:eastAsia="宋体" w:cs="宋体"/>
          <w:sz w:val="24"/>
          <w:szCs w:val="24"/>
        </w:rPr>
      </w:pPr>
      <w:r>
        <w:rPr>
          <w:rFonts w:ascii="宋体" w:hAnsi="宋体" w:eastAsia="宋体" w:cs="宋体"/>
          <w:spacing w:val="-5"/>
          <w:sz w:val="24"/>
          <w:szCs w:val="24"/>
        </w:rPr>
        <w:t>详细评审阶段否决投标的全部条件，在本章第四节“否决投标条件”第</w:t>
      </w:r>
      <w:r>
        <w:rPr>
          <w:rFonts w:ascii="Times New Roman" w:hAnsi="Times New Roman" w:eastAsia="Times New Roman" w:cs="Times New Roman"/>
          <w:b/>
          <w:bCs/>
          <w:spacing w:val="-5"/>
          <w:sz w:val="24"/>
          <w:szCs w:val="24"/>
        </w:rPr>
        <w:t>4</w:t>
      </w:r>
      <w:r>
        <w:rPr>
          <w:rFonts w:ascii="宋体" w:hAnsi="宋体" w:eastAsia="宋体" w:cs="宋体"/>
          <w:spacing w:val="-5"/>
          <w:sz w:val="24"/>
          <w:szCs w:val="24"/>
        </w:rPr>
        <w:t>条中集</w:t>
      </w:r>
      <w:r>
        <w:rPr>
          <w:rFonts w:ascii="宋体" w:hAnsi="宋体" w:eastAsia="宋体" w:cs="宋体"/>
          <w:spacing w:val="-1"/>
          <w:sz w:val="24"/>
          <w:szCs w:val="24"/>
        </w:rPr>
        <w:t>中列示。投标人有其中所列任何一种情形的，由评标委员会</w:t>
      </w:r>
      <w:r>
        <w:rPr>
          <w:rFonts w:ascii="宋体" w:hAnsi="宋体" w:eastAsia="宋体" w:cs="宋体"/>
          <w:spacing w:val="-5"/>
          <w:sz w:val="24"/>
          <w:szCs w:val="24"/>
        </w:rPr>
        <w:t>否决其投标。评标委员会经评审，认为所有投标都不符合招标文件要求的，可否决所有投标，项目的所有投标被否决的，招标人应依法重新组织招标。</w:t>
      </w:r>
    </w:p>
    <w:p w14:paraId="37CC945F">
      <w:pPr>
        <w:spacing w:before="59" w:line="330" w:lineRule="auto"/>
        <w:ind w:left="10" w:right="195" w:firstLine="480"/>
        <w:jc w:val="both"/>
        <w:rPr>
          <w:rFonts w:ascii="宋体" w:hAnsi="宋体" w:eastAsia="宋体" w:cs="宋体"/>
          <w:sz w:val="24"/>
          <w:szCs w:val="24"/>
        </w:rPr>
      </w:pPr>
      <w:r>
        <w:rPr>
          <w:rFonts w:ascii="宋体" w:hAnsi="宋体" w:eastAsia="宋体" w:cs="宋体"/>
          <w:b/>
          <w:bCs/>
          <w:spacing w:val="-4"/>
          <w:sz w:val="24"/>
          <w:szCs w:val="24"/>
        </w:rPr>
        <w:t>注：投标人在详细评审阶段根据评分方法提供的佐证材料，其合法性、有效性和准确性不符合要求的，有关量化因素（或评分因素）的折算、调整（或评分）按相应</w:t>
      </w:r>
      <w:r>
        <w:rPr>
          <w:rFonts w:ascii="宋体" w:hAnsi="宋体" w:eastAsia="宋体" w:cs="宋体"/>
          <w:b/>
          <w:bCs/>
          <w:spacing w:val="-3"/>
          <w:sz w:val="24"/>
          <w:szCs w:val="24"/>
        </w:rPr>
        <w:t>量化标准（或评分标准）处理，但不否决投标。</w:t>
      </w:r>
    </w:p>
    <w:p w14:paraId="458702D3">
      <w:pPr>
        <w:spacing w:before="78" w:line="220" w:lineRule="auto"/>
        <w:ind w:left="496"/>
        <w:outlineLvl w:val="1"/>
        <w:rPr>
          <w:rFonts w:ascii="宋体" w:hAnsi="宋体" w:eastAsia="宋体" w:cs="宋体"/>
          <w:sz w:val="24"/>
          <w:szCs w:val="24"/>
        </w:rPr>
      </w:pPr>
      <w:bookmarkStart w:id="106" w:name="bookmark137"/>
      <w:bookmarkEnd w:id="106"/>
      <w:bookmarkStart w:id="107" w:name="_Toc269"/>
      <w:r>
        <w:rPr>
          <w:rFonts w:ascii="Times New Roman" w:hAnsi="Times New Roman" w:eastAsia="Times New Roman" w:cs="Times New Roman"/>
          <w:b/>
          <w:bCs/>
          <w:spacing w:val="-7"/>
          <w:sz w:val="24"/>
          <w:szCs w:val="24"/>
        </w:rPr>
        <w:t>16</w:t>
      </w:r>
      <w:r>
        <w:rPr>
          <w:rFonts w:ascii="宋体" w:hAnsi="宋体" w:eastAsia="宋体" w:cs="宋体"/>
          <w:b/>
          <w:bCs/>
          <w:spacing w:val="-7"/>
          <w:sz w:val="24"/>
          <w:szCs w:val="24"/>
        </w:rPr>
        <w:t>．中标候选人公示</w:t>
      </w:r>
      <w:bookmarkEnd w:id="107"/>
    </w:p>
    <w:p w14:paraId="19AC6299">
      <w:pPr>
        <w:spacing w:before="135" w:line="316" w:lineRule="auto"/>
        <w:ind w:left="2" w:right="105" w:firstLine="494"/>
        <w:jc w:val="both"/>
        <w:rPr>
          <w:rFonts w:ascii="宋体" w:hAnsi="宋体" w:eastAsia="宋体" w:cs="宋体"/>
          <w:sz w:val="24"/>
          <w:szCs w:val="24"/>
        </w:rPr>
      </w:pPr>
      <w:r>
        <w:rPr>
          <w:rFonts w:ascii="Times New Roman" w:hAnsi="Times New Roman" w:eastAsia="Times New Roman" w:cs="Times New Roman"/>
          <w:b/>
          <w:bCs/>
          <w:spacing w:val="1"/>
          <w:sz w:val="24"/>
          <w:szCs w:val="24"/>
        </w:rPr>
        <w:t>16.1</w:t>
      </w:r>
      <w:r>
        <w:rPr>
          <w:rFonts w:ascii="宋体" w:hAnsi="宋体" w:eastAsia="宋体" w:cs="宋体"/>
          <w:spacing w:val="1"/>
          <w:sz w:val="24"/>
          <w:szCs w:val="24"/>
        </w:rPr>
        <w:t>招标人自收到评标委员会提交的书面评标报告和中标候选人名单之日起</w:t>
      </w:r>
      <w:r>
        <w:rPr>
          <w:rFonts w:ascii="Times New Roman" w:hAnsi="Times New Roman" w:eastAsia="Times New Roman" w:cs="Times New Roman"/>
          <w:spacing w:val="1"/>
          <w:sz w:val="24"/>
          <w:szCs w:val="24"/>
        </w:rPr>
        <w:t>3</w:t>
      </w:r>
      <w:r>
        <w:rPr>
          <w:rFonts w:ascii="宋体" w:hAnsi="宋体" w:eastAsia="宋体" w:cs="宋体"/>
          <w:spacing w:val="1"/>
          <w:sz w:val="24"/>
          <w:szCs w:val="24"/>
        </w:rPr>
        <w:t>日</w:t>
      </w:r>
      <w:r>
        <w:rPr>
          <w:rFonts w:ascii="宋体" w:hAnsi="宋体" w:eastAsia="宋体" w:cs="宋体"/>
          <w:spacing w:val="-1"/>
          <w:sz w:val="24"/>
          <w:szCs w:val="24"/>
        </w:rPr>
        <w:t>内，将评标结果（即中标候选人名单）、中标候选人投标</w:t>
      </w:r>
      <w:r>
        <w:rPr>
          <w:rFonts w:ascii="宋体" w:hAnsi="宋体" w:eastAsia="宋体" w:cs="宋体"/>
          <w:spacing w:val="-2"/>
          <w:sz w:val="24"/>
          <w:szCs w:val="24"/>
        </w:rPr>
        <w:t>文件（指商务标书分册）、评</w:t>
      </w:r>
      <w:r>
        <w:rPr>
          <w:rFonts w:ascii="宋体" w:hAnsi="宋体" w:eastAsia="宋体" w:cs="宋体"/>
          <w:sz w:val="24"/>
          <w:szCs w:val="24"/>
        </w:rPr>
        <w:t>标过程（评标专家姓名用代码标记）一并在广东省招标投标监管网（</w:t>
      </w:r>
      <w:r>
        <w:rPr>
          <w:rFonts w:ascii="Times New Roman" w:hAnsi="Times New Roman" w:eastAsia="Times New Roman" w:cs="Times New Roman"/>
          <w:sz w:val="24"/>
          <w:szCs w:val="24"/>
        </w:rPr>
        <w:t>http://zbtb.gd</w:t>
      </w:r>
      <w:r>
        <w:rPr>
          <w:rFonts w:ascii="Times New Roman" w:hAnsi="Times New Roman" w:eastAsia="Times New Roman" w:cs="Times New Roman"/>
          <w:spacing w:val="-1"/>
          <w:sz w:val="24"/>
          <w:szCs w:val="24"/>
        </w:rPr>
        <w:t>.gov.c</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n</w:t>
      </w:r>
      <w:r>
        <w:rPr>
          <w:rFonts w:ascii="宋体" w:hAnsi="宋体" w:eastAsia="宋体" w:cs="宋体"/>
          <w:spacing w:val="-1"/>
          <w:sz w:val="24"/>
          <w:szCs w:val="24"/>
        </w:rPr>
        <w:t>）、全国公共资源交易平台（广东省·韶关市</w:t>
      </w:r>
      <w:r>
        <w:rPr>
          <w:rFonts w:ascii="宋体" w:hAnsi="宋体" w:eastAsia="宋体" w:cs="宋体"/>
          <w:spacing w:val="-18"/>
          <w:sz w:val="24"/>
          <w:szCs w:val="24"/>
        </w:rPr>
        <w:t>）（</w:t>
      </w:r>
      <w:r>
        <w:rPr>
          <w:rFonts w:ascii="Times New Roman" w:hAnsi="Times New Roman" w:eastAsia="Times New Roman" w:cs="Times New Roman"/>
          <w:spacing w:val="-1"/>
          <w:sz w:val="24"/>
          <w:szCs w:val="24"/>
        </w:rPr>
        <w:t>https://ygp.gdzwfw.gov.cn/ggzy-po</w:t>
      </w:r>
      <w:r>
        <w:rPr>
          <w:rFonts w:ascii="Times New Roman" w:hAnsi="Times New Roman" w:eastAsia="Times New Roman" w:cs="Times New Roman"/>
          <w:spacing w:val="-2"/>
          <w:sz w:val="24"/>
          <w:szCs w:val="24"/>
        </w:rPr>
        <w:t>rta</w:t>
      </w:r>
      <w:r>
        <w:rPr>
          <w:rFonts w:ascii="Times New Roman" w:hAnsi="Times New Roman" w:eastAsia="Times New Roman" w:cs="Times New Roman"/>
          <w:sz w:val="24"/>
          <w:szCs w:val="24"/>
        </w:rPr>
        <w:t xml:space="preserve"> l/#/440200/index</w:t>
      </w:r>
      <w:r>
        <w:rPr>
          <w:rFonts w:ascii="宋体" w:hAnsi="宋体" w:eastAsia="宋体" w:cs="宋体"/>
          <w:sz w:val="24"/>
          <w:szCs w:val="24"/>
        </w:rPr>
        <w:t>）进行</w:t>
      </w:r>
      <w:r>
        <w:rPr>
          <w:rFonts w:ascii="宋体" w:hAnsi="宋体" w:eastAsia="宋体" w:cs="宋体"/>
          <w:spacing w:val="-1"/>
          <w:sz w:val="24"/>
          <w:szCs w:val="24"/>
        </w:rPr>
        <w:t>公示，公示期不得少于</w:t>
      </w:r>
      <w:r>
        <w:rPr>
          <w:rFonts w:ascii="Times New Roman" w:hAnsi="Times New Roman" w:eastAsia="Times New Roman" w:cs="Times New Roman"/>
          <w:spacing w:val="-1"/>
          <w:sz w:val="24"/>
          <w:szCs w:val="24"/>
        </w:rPr>
        <w:t>3</w:t>
      </w:r>
      <w:r>
        <w:rPr>
          <w:rFonts w:ascii="宋体" w:hAnsi="宋体" w:eastAsia="宋体" w:cs="宋体"/>
          <w:spacing w:val="-1"/>
          <w:sz w:val="24"/>
          <w:szCs w:val="24"/>
        </w:rPr>
        <w:t>天。</w:t>
      </w:r>
    </w:p>
    <w:p w14:paraId="635640AD">
      <w:pPr>
        <w:spacing w:before="78" w:line="299" w:lineRule="auto"/>
        <w:ind w:left="11" w:firstLine="485"/>
        <w:rPr>
          <w:rFonts w:ascii="宋体" w:hAnsi="宋体" w:eastAsia="宋体" w:cs="宋体"/>
          <w:sz w:val="24"/>
          <w:szCs w:val="24"/>
        </w:rPr>
      </w:pPr>
      <w:r>
        <w:rPr>
          <w:rFonts w:ascii="Times New Roman" w:hAnsi="Times New Roman" w:eastAsia="Times New Roman" w:cs="Times New Roman"/>
          <w:b/>
          <w:bCs/>
          <w:spacing w:val="-2"/>
          <w:sz w:val="24"/>
          <w:szCs w:val="24"/>
        </w:rPr>
        <w:t>16.2</w:t>
      </w:r>
      <w:r>
        <w:rPr>
          <w:rFonts w:ascii="宋体" w:hAnsi="宋体" w:eastAsia="宋体" w:cs="宋体"/>
          <w:spacing w:val="-2"/>
          <w:sz w:val="24"/>
          <w:szCs w:val="24"/>
        </w:rPr>
        <w:t>投标人对评标结果、中标候选人投标文件、评标过程有异议的，必须在以上内容公示期间向招标人提出</w:t>
      </w:r>
      <w:r>
        <w:rPr>
          <w:rFonts w:ascii="宋体" w:hAnsi="宋体" w:eastAsia="宋体" w:cs="宋体"/>
          <w:b/>
          <w:bCs/>
          <w:spacing w:val="-2"/>
          <w:sz w:val="24"/>
          <w:szCs w:val="24"/>
        </w:rPr>
        <w:t>书面异议</w:t>
      </w:r>
      <w:r>
        <w:rPr>
          <w:rFonts w:ascii="宋体" w:hAnsi="宋体" w:eastAsia="宋体" w:cs="宋体"/>
          <w:spacing w:val="-2"/>
          <w:sz w:val="24"/>
          <w:szCs w:val="24"/>
        </w:rPr>
        <w:t>，否则招标人不予受理。经招标人书面答复，异议人</w:t>
      </w:r>
      <w:r>
        <w:rPr>
          <w:rFonts w:ascii="宋体" w:hAnsi="宋体" w:eastAsia="宋体" w:cs="宋体"/>
          <w:spacing w:val="-5"/>
          <w:sz w:val="24"/>
          <w:szCs w:val="24"/>
        </w:rPr>
        <w:t>仍不满意的，可在法律规定的时限内向行政监督部门提出书面投诉。异议（投诉）提出、处理的具体办法和要求，按照《韶关市工程建设项目招标投标活动异议和投诉处理办法》</w:t>
      </w:r>
      <w:r>
        <w:rPr>
          <w:rFonts w:ascii="宋体" w:hAnsi="宋体" w:eastAsia="宋体" w:cs="宋体"/>
          <w:spacing w:val="-3"/>
          <w:sz w:val="24"/>
          <w:szCs w:val="24"/>
        </w:rPr>
        <w:t>（韶法审〔2020〕19号）执行。如通过交易服务平台提出异</w:t>
      </w:r>
      <w:r>
        <w:rPr>
          <w:rFonts w:ascii="宋体" w:hAnsi="宋体" w:eastAsia="宋体" w:cs="宋体"/>
          <w:spacing w:val="-4"/>
          <w:sz w:val="24"/>
          <w:szCs w:val="24"/>
        </w:rPr>
        <w:t>议，投标人必须上传提交异</w:t>
      </w:r>
      <w:r>
        <w:rPr>
          <w:rFonts w:ascii="宋体" w:hAnsi="宋体" w:eastAsia="宋体" w:cs="宋体"/>
          <w:spacing w:val="-1"/>
          <w:sz w:val="24"/>
          <w:szCs w:val="24"/>
        </w:rPr>
        <w:t>议书扫描件（作为附件</w:t>
      </w:r>
      <w:r>
        <w:rPr>
          <w:rFonts w:ascii="宋体" w:hAnsi="宋体" w:eastAsia="宋体" w:cs="宋体"/>
          <w:spacing w:val="-6"/>
          <w:sz w:val="24"/>
          <w:szCs w:val="24"/>
        </w:rPr>
        <w:t>），</w:t>
      </w:r>
      <w:r>
        <w:rPr>
          <w:rFonts w:ascii="宋体" w:hAnsi="宋体" w:eastAsia="宋体" w:cs="宋体"/>
          <w:spacing w:val="-1"/>
          <w:sz w:val="24"/>
          <w:szCs w:val="24"/>
        </w:rPr>
        <w:t>异议书格式内容按照《韶关市工</w:t>
      </w:r>
      <w:r>
        <w:rPr>
          <w:rFonts w:ascii="宋体" w:hAnsi="宋体" w:eastAsia="宋体" w:cs="宋体"/>
          <w:spacing w:val="-2"/>
          <w:sz w:val="24"/>
          <w:szCs w:val="24"/>
        </w:rPr>
        <w:t>程建设项目招标投标活动异</w:t>
      </w:r>
      <w:r>
        <w:rPr>
          <w:rFonts w:ascii="宋体" w:hAnsi="宋体" w:eastAsia="宋体" w:cs="宋体"/>
          <w:spacing w:val="-3"/>
          <w:sz w:val="24"/>
          <w:szCs w:val="24"/>
        </w:rPr>
        <w:t>议和投诉处理办法》（韶法审〔2020〕19号）执行，否则招</w:t>
      </w:r>
      <w:r>
        <w:rPr>
          <w:rFonts w:ascii="宋体" w:hAnsi="宋体" w:eastAsia="宋体" w:cs="宋体"/>
          <w:spacing w:val="-4"/>
          <w:sz w:val="24"/>
          <w:szCs w:val="24"/>
        </w:rPr>
        <w:t>标人不予受理。投标人提出</w:t>
      </w:r>
      <w:r>
        <w:rPr>
          <w:rFonts w:ascii="宋体" w:hAnsi="宋体" w:eastAsia="宋体" w:cs="宋体"/>
          <w:spacing w:val="-2"/>
          <w:sz w:val="24"/>
          <w:szCs w:val="24"/>
        </w:rPr>
        <w:t>异议后，必须及时通知招标人查收，否则，由此造成的超出法律规定时限的后果，由投标人自行承担。招标人受理异议后，投标人须及时向招标人提交书面异议。项目如收到</w:t>
      </w:r>
      <w:r>
        <w:rPr>
          <w:rFonts w:ascii="宋体" w:hAnsi="宋体" w:eastAsia="宋体" w:cs="宋体"/>
          <w:spacing w:val="-1"/>
          <w:sz w:val="24"/>
          <w:szCs w:val="24"/>
        </w:rPr>
        <w:t>异议、投诉等情形，可以根据需要从交易中心处调取纸质档案。</w:t>
      </w:r>
    </w:p>
    <w:p w14:paraId="2D9A37CF">
      <w:pPr>
        <w:pStyle w:val="5"/>
        <w:spacing w:line="253" w:lineRule="auto"/>
      </w:pPr>
    </w:p>
    <w:p w14:paraId="38D1DAD2">
      <w:pPr>
        <w:spacing w:before="79" w:line="309" w:lineRule="auto"/>
        <w:ind w:left="12" w:right="42" w:firstLine="483"/>
        <w:rPr>
          <w:rFonts w:ascii="宋体" w:hAnsi="宋体" w:eastAsia="宋体" w:cs="宋体"/>
          <w:sz w:val="24"/>
          <w:szCs w:val="24"/>
        </w:rPr>
      </w:pPr>
      <w:r>
        <w:rPr>
          <w:rFonts w:ascii="Times New Roman" w:hAnsi="Times New Roman" w:eastAsia="Times New Roman" w:cs="Times New Roman"/>
          <w:b/>
          <w:bCs/>
          <w:spacing w:val="-9"/>
          <w:sz w:val="24"/>
          <w:szCs w:val="24"/>
        </w:rPr>
        <w:t>16.3</w:t>
      </w:r>
      <w:r>
        <w:rPr>
          <w:rFonts w:ascii="宋体" w:hAnsi="宋体" w:eastAsia="宋体" w:cs="宋体"/>
          <w:spacing w:val="-9"/>
          <w:sz w:val="24"/>
          <w:szCs w:val="24"/>
        </w:rPr>
        <w:t>中标候选人公示期满无异议（投诉）后，招标人确定第一中标候选人为中标人，</w:t>
      </w:r>
      <w:r>
        <w:rPr>
          <w:rFonts w:ascii="宋体" w:hAnsi="宋体" w:eastAsia="宋体" w:cs="宋体"/>
          <w:spacing w:val="-2"/>
          <w:sz w:val="24"/>
          <w:szCs w:val="24"/>
        </w:rPr>
        <w:t>并在中标人确定之日起</w:t>
      </w:r>
      <w:r>
        <w:rPr>
          <w:rFonts w:ascii="Times New Roman" w:hAnsi="Times New Roman" w:eastAsia="Times New Roman" w:cs="Times New Roman"/>
          <w:spacing w:val="-2"/>
          <w:sz w:val="24"/>
          <w:szCs w:val="24"/>
        </w:rPr>
        <w:t>7</w:t>
      </w:r>
      <w:r>
        <w:rPr>
          <w:rFonts w:ascii="宋体" w:hAnsi="宋体" w:eastAsia="宋体" w:cs="宋体"/>
          <w:spacing w:val="-2"/>
          <w:sz w:val="24"/>
          <w:szCs w:val="24"/>
        </w:rPr>
        <w:t>日内向中标人发出中标通知书。在中标通知书发出后</w:t>
      </w:r>
      <w:r>
        <w:rPr>
          <w:rFonts w:ascii="Times New Roman" w:hAnsi="Times New Roman" w:eastAsia="Times New Roman" w:cs="Times New Roman"/>
          <w:spacing w:val="-2"/>
          <w:sz w:val="24"/>
          <w:szCs w:val="24"/>
        </w:rPr>
        <w:t>5</w:t>
      </w:r>
      <w:r>
        <w:rPr>
          <w:rFonts w:ascii="宋体" w:hAnsi="宋体" w:eastAsia="宋体" w:cs="宋体"/>
          <w:spacing w:val="-2"/>
          <w:sz w:val="24"/>
          <w:szCs w:val="24"/>
        </w:rPr>
        <w:t>个工作日内，</w:t>
      </w:r>
      <w:r>
        <w:rPr>
          <w:rFonts w:hint="eastAsia" w:ascii="宋体" w:hAnsi="宋体" w:eastAsia="宋体" w:cs="宋体"/>
          <w:spacing w:val="-2"/>
          <w:sz w:val="24"/>
          <w:szCs w:val="24"/>
          <w:lang w:eastAsia="zh-CN"/>
        </w:rPr>
        <w:t>韶关市公共资源交易中心</w:t>
      </w:r>
      <w:r>
        <w:rPr>
          <w:rFonts w:ascii="宋体" w:hAnsi="宋体" w:eastAsia="宋体" w:cs="宋体"/>
          <w:spacing w:val="-2"/>
          <w:sz w:val="24"/>
          <w:szCs w:val="24"/>
        </w:rPr>
        <w:t>将投标保证金（或银行保函）退还给中标候选人以外的</w:t>
      </w:r>
      <w:r>
        <w:rPr>
          <w:rFonts w:ascii="宋体" w:hAnsi="宋体" w:eastAsia="宋体" w:cs="宋体"/>
          <w:spacing w:val="-4"/>
          <w:sz w:val="24"/>
          <w:szCs w:val="24"/>
        </w:rPr>
        <w:t>投标人。</w:t>
      </w:r>
    </w:p>
    <w:p w14:paraId="039AE0CA">
      <w:pPr>
        <w:spacing w:line="309" w:lineRule="auto"/>
        <w:rPr>
          <w:rFonts w:ascii="宋体" w:hAnsi="宋体" w:eastAsia="宋体" w:cs="宋体"/>
          <w:sz w:val="24"/>
          <w:szCs w:val="24"/>
        </w:rPr>
        <w:sectPr>
          <w:headerReference r:id="rId9" w:type="default"/>
          <w:footerReference r:id="rId10" w:type="default"/>
          <w:pgSz w:w="11906" w:h="16839"/>
          <w:pgMar w:top="720" w:right="720" w:bottom="720" w:left="720" w:header="0" w:footer="1023" w:gutter="0"/>
          <w:cols w:space="720" w:num="1"/>
        </w:sectPr>
      </w:pPr>
    </w:p>
    <w:p w14:paraId="5E515605">
      <w:pPr>
        <w:spacing w:before="78" w:line="220" w:lineRule="auto"/>
        <w:ind w:left="9"/>
        <w:jc w:val="center"/>
        <w:outlineLvl w:val="1"/>
        <w:rPr>
          <w:rFonts w:ascii="宋体" w:hAnsi="宋体" w:eastAsia="宋体" w:cs="宋体"/>
          <w:sz w:val="24"/>
          <w:szCs w:val="24"/>
        </w:rPr>
      </w:pPr>
      <w:bookmarkStart w:id="108" w:name="bookmark138"/>
      <w:bookmarkEnd w:id="108"/>
      <w:bookmarkStart w:id="109" w:name="_Toc28455"/>
      <w:r>
        <w:rPr>
          <w:rFonts w:ascii="宋体" w:hAnsi="宋体" w:eastAsia="宋体" w:cs="宋体"/>
          <w:b/>
          <w:bCs/>
          <w:spacing w:val="-3"/>
          <w:sz w:val="24"/>
          <w:szCs w:val="24"/>
        </w:rPr>
        <w:t>第四节否决投标条件</w:t>
      </w:r>
      <w:bookmarkEnd w:id="109"/>
    </w:p>
    <w:p w14:paraId="656AC017">
      <w:pPr>
        <w:pStyle w:val="5"/>
        <w:spacing w:line="255" w:lineRule="auto"/>
      </w:pPr>
    </w:p>
    <w:p w14:paraId="2C7E90C4">
      <w:pPr>
        <w:pStyle w:val="5"/>
        <w:spacing w:line="256" w:lineRule="auto"/>
      </w:pPr>
    </w:p>
    <w:p w14:paraId="7EE61F2C">
      <w:pPr>
        <w:spacing w:before="78" w:line="330" w:lineRule="auto"/>
        <w:ind w:left="10" w:right="65" w:firstLine="480"/>
        <w:rPr>
          <w:rFonts w:ascii="宋体" w:hAnsi="宋体" w:eastAsia="宋体" w:cs="宋体"/>
          <w:sz w:val="24"/>
          <w:szCs w:val="24"/>
        </w:rPr>
      </w:pPr>
      <w:r>
        <w:rPr>
          <w:rFonts w:ascii="宋体" w:hAnsi="宋体" w:eastAsia="宋体" w:cs="宋体"/>
          <w:spacing w:val="-3"/>
          <w:sz w:val="24"/>
          <w:szCs w:val="24"/>
        </w:rPr>
        <w:t>本节所集中列示的否决投标条件，是本章第三节“投标人须知正文”的组成部分，</w:t>
      </w:r>
      <w:r>
        <w:rPr>
          <w:rFonts w:ascii="宋体" w:hAnsi="宋体" w:eastAsia="宋体" w:cs="宋体"/>
          <w:spacing w:val="-2"/>
          <w:sz w:val="24"/>
          <w:szCs w:val="24"/>
        </w:rPr>
        <w:t>是对本章第三节所规定的否决投标条件的总</w:t>
      </w:r>
      <w:r>
        <w:rPr>
          <w:rFonts w:ascii="宋体" w:hAnsi="宋体" w:eastAsia="宋体" w:cs="宋体"/>
          <w:spacing w:val="-3"/>
          <w:sz w:val="24"/>
          <w:szCs w:val="24"/>
        </w:rPr>
        <w:t>结和补充。</w:t>
      </w:r>
      <w:r>
        <w:rPr>
          <w:rFonts w:ascii="宋体" w:hAnsi="宋体" w:eastAsia="宋体" w:cs="宋体"/>
          <w:b/>
          <w:bCs/>
          <w:spacing w:val="-3"/>
          <w:sz w:val="24"/>
          <w:szCs w:val="24"/>
        </w:rPr>
        <w:t>投标人未有列入本节情形的，评</w:t>
      </w:r>
      <w:r>
        <w:rPr>
          <w:rFonts w:ascii="宋体" w:hAnsi="宋体" w:eastAsia="宋体" w:cs="宋体"/>
          <w:b/>
          <w:bCs/>
          <w:spacing w:val="-2"/>
          <w:sz w:val="24"/>
          <w:szCs w:val="24"/>
        </w:rPr>
        <w:t>标时一律不得否决其投标。</w:t>
      </w:r>
      <w:r>
        <w:rPr>
          <w:rFonts w:ascii="宋体" w:hAnsi="宋体" w:eastAsia="宋体" w:cs="宋体"/>
          <w:spacing w:val="-2"/>
          <w:sz w:val="24"/>
          <w:szCs w:val="24"/>
        </w:rPr>
        <w:t>本节所称“规定”均指招标文件的规</w:t>
      </w:r>
      <w:r>
        <w:rPr>
          <w:rFonts w:ascii="宋体" w:hAnsi="宋体" w:eastAsia="宋体" w:cs="宋体"/>
          <w:spacing w:val="-3"/>
          <w:sz w:val="24"/>
          <w:szCs w:val="24"/>
        </w:rPr>
        <w:t>定。</w:t>
      </w:r>
    </w:p>
    <w:p w14:paraId="083CE896">
      <w:pPr>
        <w:spacing w:before="34" w:line="220" w:lineRule="auto"/>
        <w:ind w:left="495"/>
        <w:outlineLvl w:val="2"/>
        <w:rPr>
          <w:rFonts w:ascii="宋体" w:hAnsi="宋体" w:eastAsia="宋体" w:cs="宋体"/>
          <w:sz w:val="24"/>
          <w:szCs w:val="24"/>
        </w:rPr>
      </w:pPr>
      <w:bookmarkStart w:id="110" w:name="_Toc8173"/>
      <w:r>
        <w:rPr>
          <w:rFonts w:ascii="Times New Roman" w:hAnsi="Times New Roman" w:eastAsia="Times New Roman" w:cs="Times New Roman"/>
          <w:b/>
          <w:bCs/>
          <w:spacing w:val="-8"/>
          <w:sz w:val="24"/>
          <w:szCs w:val="24"/>
        </w:rPr>
        <w:t>1</w:t>
      </w:r>
      <w:r>
        <w:rPr>
          <w:rFonts w:ascii="宋体" w:hAnsi="宋体" w:eastAsia="宋体" w:cs="宋体"/>
          <w:b/>
          <w:bCs/>
          <w:spacing w:val="-8"/>
          <w:sz w:val="24"/>
          <w:szCs w:val="24"/>
        </w:rPr>
        <w:t>．资格评审环节</w:t>
      </w:r>
      <w:bookmarkEnd w:id="110"/>
    </w:p>
    <w:p w14:paraId="468F2B32">
      <w:pPr>
        <w:spacing w:before="152" w:line="327" w:lineRule="auto"/>
        <w:ind w:left="13" w:right="65" w:firstLine="478"/>
        <w:rPr>
          <w:rFonts w:ascii="宋体" w:hAnsi="宋体" w:eastAsia="宋体" w:cs="宋体"/>
          <w:sz w:val="24"/>
          <w:szCs w:val="24"/>
        </w:rPr>
      </w:pPr>
      <w:r>
        <w:rPr>
          <w:rFonts w:ascii="宋体" w:hAnsi="宋体" w:eastAsia="宋体" w:cs="宋体"/>
          <w:spacing w:val="-2"/>
          <w:sz w:val="24"/>
          <w:szCs w:val="24"/>
        </w:rPr>
        <w:t>投标人有下列情形之一的，评标委员会应否决其投标。被否决的投标人，不进入形</w:t>
      </w:r>
      <w:r>
        <w:rPr>
          <w:rFonts w:ascii="宋体" w:hAnsi="宋体" w:eastAsia="宋体" w:cs="宋体"/>
          <w:spacing w:val="-3"/>
          <w:sz w:val="24"/>
          <w:szCs w:val="24"/>
        </w:rPr>
        <w:t>式评审环节。</w:t>
      </w:r>
    </w:p>
    <w:p w14:paraId="4EB37679">
      <w:pPr>
        <w:spacing w:before="32"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）有本章第三节第</w:t>
      </w:r>
      <w:r>
        <w:rPr>
          <w:rFonts w:ascii="Times New Roman" w:hAnsi="Times New Roman" w:eastAsia="Times New Roman" w:cs="Times New Roman"/>
          <w:b/>
          <w:bCs/>
          <w:spacing w:val="-2"/>
          <w:sz w:val="24"/>
          <w:szCs w:val="24"/>
        </w:rPr>
        <w:t>2.4</w:t>
      </w:r>
      <w:r>
        <w:rPr>
          <w:rFonts w:ascii="宋体" w:hAnsi="宋体" w:eastAsia="宋体" w:cs="宋体"/>
          <w:spacing w:val="-2"/>
          <w:sz w:val="24"/>
          <w:szCs w:val="24"/>
        </w:rPr>
        <w:t>条“禁止投标条款”规定的任何一种情形；</w:t>
      </w:r>
    </w:p>
    <w:p w14:paraId="56087DEE">
      <w:pPr>
        <w:spacing w:before="154" w:line="220"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）投标人资质不符合规定的；</w:t>
      </w:r>
    </w:p>
    <w:p w14:paraId="750F9F13">
      <w:pPr>
        <w:keepNext w:val="0"/>
        <w:keepLines w:val="0"/>
        <w:pageBreakBefore w:val="0"/>
        <w:widowControl/>
        <w:kinsoku w:val="0"/>
        <w:wordWrap w:val="0"/>
        <w:overflowPunct/>
        <w:topLinePunct w:val="0"/>
        <w:autoSpaceDE w:val="0"/>
        <w:autoSpaceDN w:val="0"/>
        <w:bidi w:val="0"/>
        <w:adjustRightInd w:val="0"/>
        <w:snapToGrid w:val="0"/>
        <w:spacing w:before="153" w:line="315" w:lineRule="auto"/>
        <w:ind w:right="57" w:firstLine="499"/>
        <w:textAlignment w:val="baseline"/>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）投标人名称与营业执照、资质证书、安全生产许可证上的企业名称相互不一</w:t>
      </w:r>
      <w:r>
        <w:rPr>
          <w:rFonts w:ascii="宋体" w:hAnsi="宋体" w:eastAsia="宋体" w:cs="宋体"/>
          <w:spacing w:val="-1"/>
          <w:sz w:val="24"/>
          <w:szCs w:val="24"/>
        </w:rPr>
        <w:t>致的；其资质证书、安全生产许可证不是由住房城乡建设主管部门颁发的；营业执照、资质证书、安全生产许可证（含实时网页查询页，可参考网址https://zlaq.mohurd.gov.cnfwmh/bjxcjgl/fwmh/pages/construction_safety/qyaqscxkz/qyaqscxk）被吊销、暂扣或不在有效期内的；</w:t>
      </w:r>
    </w:p>
    <w:p w14:paraId="774BA544">
      <w:pPr>
        <w:spacing w:before="153" w:line="330" w:lineRule="auto"/>
        <w:ind w:left="9" w:right="66" w:firstLine="480"/>
        <w:jc w:val="both"/>
        <w:rPr>
          <w:rFonts w:ascii="宋体" w:hAnsi="宋体" w:eastAsia="宋体" w:cs="宋体"/>
          <w:sz w:val="24"/>
          <w:szCs w:val="24"/>
        </w:rPr>
      </w:pPr>
      <w:r>
        <w:rPr>
          <w:rFonts w:ascii="宋体" w:hAnsi="宋体" w:eastAsia="宋体" w:cs="宋体"/>
          <w:b/>
          <w:bCs/>
          <w:spacing w:val="-4"/>
          <w:sz w:val="24"/>
          <w:szCs w:val="24"/>
        </w:rPr>
        <w:t>注：投标人已经工商变更，但其企业资质证书、安全生产许可证</w:t>
      </w:r>
      <w:r>
        <w:rPr>
          <w:rFonts w:ascii="宋体" w:hAnsi="宋体" w:eastAsia="宋体" w:cs="宋体"/>
          <w:b/>
          <w:bCs/>
          <w:spacing w:val="-5"/>
          <w:sz w:val="24"/>
          <w:szCs w:val="24"/>
        </w:rPr>
        <w:t>的企业名称未完成</w:t>
      </w:r>
      <w:r>
        <w:rPr>
          <w:rFonts w:ascii="宋体" w:hAnsi="宋体" w:eastAsia="宋体" w:cs="宋体"/>
          <w:b/>
          <w:bCs/>
          <w:spacing w:val="-4"/>
          <w:sz w:val="24"/>
          <w:szCs w:val="24"/>
        </w:rPr>
        <w:t>变更的，不得否决其投标；投标人营业执照、资质证书、安全生产许可证之间登</w:t>
      </w:r>
      <w:r>
        <w:rPr>
          <w:rFonts w:ascii="宋体" w:hAnsi="宋体" w:eastAsia="宋体" w:cs="宋体"/>
          <w:b/>
          <w:bCs/>
          <w:spacing w:val="-5"/>
          <w:sz w:val="24"/>
          <w:szCs w:val="24"/>
        </w:rPr>
        <w:t>记的信</w:t>
      </w:r>
      <w:r>
        <w:rPr>
          <w:rFonts w:ascii="宋体" w:hAnsi="宋体" w:eastAsia="宋体" w:cs="宋体"/>
          <w:b/>
          <w:bCs/>
          <w:spacing w:val="-2"/>
          <w:sz w:val="24"/>
          <w:szCs w:val="24"/>
        </w:rPr>
        <w:t>息不一致，应当允许投标人澄清，不得直接否决其投</w:t>
      </w:r>
      <w:r>
        <w:rPr>
          <w:rFonts w:ascii="宋体" w:hAnsi="宋体" w:eastAsia="宋体" w:cs="宋体"/>
          <w:b/>
          <w:bCs/>
          <w:spacing w:val="-3"/>
          <w:sz w:val="24"/>
          <w:szCs w:val="24"/>
        </w:rPr>
        <w:t>标。</w:t>
      </w:r>
    </w:p>
    <w:p w14:paraId="57424575">
      <w:pPr>
        <w:spacing w:before="32" w:line="325" w:lineRule="auto"/>
        <w:ind w:left="10" w:right="65" w:firstLine="490"/>
        <w:rPr>
          <w:rFonts w:ascii="宋体" w:hAnsi="宋体" w:eastAsia="宋体" w:cs="宋体"/>
          <w:spacing w:val="1"/>
          <w:sz w:val="24"/>
          <w:szCs w:val="24"/>
          <w:lang w:eastAsia="zh-CN"/>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）拟派项目经理、项目技术负责人、专职安全员的条件不符合规定的；拟派专</w:t>
      </w:r>
      <w:r>
        <w:rPr>
          <w:rFonts w:ascii="宋体" w:hAnsi="宋体" w:eastAsia="宋体" w:cs="宋体"/>
          <w:spacing w:val="-2"/>
          <w:sz w:val="24"/>
          <w:szCs w:val="24"/>
        </w:rPr>
        <w:t>职安全员数量不符合规</w:t>
      </w:r>
      <w:r>
        <w:rPr>
          <w:rFonts w:ascii="宋体" w:hAnsi="宋体" w:eastAsia="宋体" w:cs="宋体"/>
          <w:spacing w:val="1"/>
          <w:sz w:val="24"/>
          <w:szCs w:val="24"/>
        </w:rPr>
        <w:t>定的；技术负责人未在投标文件《项目技术负责人简历表》中签</w:t>
      </w:r>
      <w:r>
        <w:rPr>
          <w:rFonts w:hint="eastAsia" w:ascii="宋体" w:hAnsi="宋体" w:eastAsia="宋体" w:cs="宋体"/>
          <w:spacing w:val="1"/>
          <w:sz w:val="24"/>
          <w:szCs w:val="24"/>
          <w:lang w:eastAsia="zh-CN"/>
        </w:rPr>
        <w:t>字确认。</w:t>
      </w:r>
    </w:p>
    <w:p w14:paraId="5E8093F0">
      <w:pPr>
        <w:spacing w:before="34" w:line="334" w:lineRule="auto"/>
        <w:ind w:left="8" w:right="65" w:firstLine="492"/>
        <w:jc w:val="both"/>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）《项目经理简历表》中拟派项目经理与</w:t>
      </w:r>
      <w:r>
        <w:rPr>
          <w:rFonts w:ascii="宋体" w:hAnsi="宋体" w:eastAsia="宋体" w:cs="宋体"/>
          <w:spacing w:val="-2"/>
          <w:sz w:val="24"/>
          <w:szCs w:val="24"/>
        </w:rPr>
        <w:t>《开标一览表》不一致的；拟派的项目经理未在投标文件《项目经理简历表》中签字确认；一级建造师的注册证书不是国家住建部颁发的；二级建造师的电子注册证书不是省级住建厅颁发的；建造师的注册单位</w:t>
      </w:r>
      <w:r>
        <w:rPr>
          <w:rFonts w:ascii="宋体" w:hAnsi="宋体" w:eastAsia="宋体" w:cs="宋体"/>
          <w:spacing w:val="-8"/>
          <w:sz w:val="24"/>
          <w:szCs w:val="24"/>
        </w:rPr>
        <w:t>与投标人不一致的；项目管理班子组成人员的各类证书、证件、证明不在有效期内的（建造师注册证书不在使用有效期内的）；擅</w:t>
      </w:r>
      <w:r>
        <w:rPr>
          <w:rFonts w:ascii="宋体" w:hAnsi="宋体" w:eastAsia="宋体" w:cs="宋体"/>
          <w:spacing w:val="-2"/>
          <w:sz w:val="24"/>
          <w:szCs w:val="24"/>
        </w:rPr>
        <w:t>自修改、遗漏《项</w:t>
      </w:r>
      <w:r>
        <w:rPr>
          <w:rFonts w:ascii="宋体" w:hAnsi="宋体" w:eastAsia="宋体" w:cs="宋体"/>
          <w:spacing w:val="-3"/>
          <w:sz w:val="24"/>
          <w:szCs w:val="24"/>
        </w:rPr>
        <w:t>目经理任职声明》实质性内容的；</w:t>
      </w:r>
    </w:p>
    <w:p w14:paraId="49922074">
      <w:pPr>
        <w:spacing w:before="1" w:line="293" w:lineRule="auto"/>
        <w:ind w:left="28" w:right="66" w:firstLine="462"/>
        <w:rPr>
          <w:rFonts w:ascii="宋体" w:hAnsi="宋体" w:eastAsia="宋体" w:cs="宋体"/>
          <w:sz w:val="24"/>
          <w:szCs w:val="24"/>
        </w:rPr>
      </w:pPr>
      <w:r>
        <w:rPr>
          <w:rFonts w:ascii="宋体" w:hAnsi="宋体" w:eastAsia="宋体" w:cs="宋体"/>
          <w:b/>
          <w:bCs/>
          <w:spacing w:val="-4"/>
          <w:sz w:val="24"/>
          <w:szCs w:val="24"/>
        </w:rPr>
        <w:t>注：投标人已经工商变更，但其员工执业资格注册证书的注册单</w:t>
      </w:r>
      <w:r>
        <w:rPr>
          <w:rFonts w:ascii="宋体" w:hAnsi="宋体" w:eastAsia="宋体" w:cs="宋体"/>
          <w:b/>
          <w:bCs/>
          <w:spacing w:val="-5"/>
          <w:sz w:val="24"/>
          <w:szCs w:val="24"/>
        </w:rPr>
        <w:t>位名称未完成变更的，不得否决其投标。</w:t>
      </w:r>
      <w:r>
        <w:rPr>
          <w:rFonts w:ascii="宋体" w:hAnsi="宋体" w:eastAsia="宋体" w:cs="宋体"/>
          <w:b/>
          <w:bCs/>
          <w:spacing w:val="-4"/>
          <w:sz w:val="24"/>
          <w:szCs w:val="24"/>
        </w:rPr>
        <w:t>鉴于目前继续教育开展的实际情况，建筑和市政工程施工现场专</w:t>
      </w:r>
      <w:r>
        <w:rPr>
          <w:rFonts w:ascii="宋体" w:hAnsi="宋体" w:eastAsia="宋体" w:cs="宋体"/>
          <w:b/>
          <w:bCs/>
          <w:spacing w:val="-5"/>
          <w:sz w:val="24"/>
          <w:szCs w:val="24"/>
        </w:rPr>
        <w:t>业人员（例如：施</w:t>
      </w:r>
      <w:bookmarkStart w:id="111" w:name="bookmark139"/>
      <w:bookmarkEnd w:id="111"/>
      <w:r>
        <w:rPr>
          <w:rFonts w:ascii="宋体" w:hAnsi="宋体" w:eastAsia="宋体" w:cs="宋体"/>
          <w:b/>
          <w:bCs/>
          <w:spacing w:val="-2"/>
          <w:sz w:val="24"/>
          <w:szCs w:val="24"/>
        </w:rPr>
        <w:t>工员、质量员、材料员、资料员）的岗位证书或培训证书不审查其证书的有效期。</w:t>
      </w:r>
    </w:p>
    <w:p w14:paraId="3973FFA4">
      <w:pPr>
        <w:spacing w:before="146" w:line="220" w:lineRule="auto"/>
        <w:ind w:left="492"/>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6</w:t>
      </w:r>
      <w:r>
        <w:rPr>
          <w:rFonts w:ascii="宋体" w:hAnsi="宋体" w:eastAsia="宋体" w:cs="宋体"/>
          <w:spacing w:val="-1"/>
          <w:sz w:val="24"/>
          <w:szCs w:val="24"/>
        </w:rPr>
        <w:t>）招标文件规定不接受联合体投标，但以联合体投标的；</w:t>
      </w:r>
    </w:p>
    <w:p w14:paraId="61049415">
      <w:pPr>
        <w:spacing w:before="154" w:line="299" w:lineRule="auto"/>
        <w:ind w:right="94" w:firstLine="49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7</w:t>
      </w:r>
      <w:r>
        <w:rPr>
          <w:rFonts w:ascii="宋体" w:hAnsi="宋体" w:eastAsia="宋体" w:cs="宋体"/>
          <w:spacing w:val="-2"/>
          <w:sz w:val="24"/>
          <w:szCs w:val="24"/>
        </w:rPr>
        <w:t>）联合体投标，未提交《联合体协议书》的；擅自修改</w:t>
      </w:r>
      <w:r>
        <w:rPr>
          <w:rFonts w:ascii="宋体" w:hAnsi="宋体" w:eastAsia="宋体" w:cs="宋体"/>
          <w:spacing w:val="-3"/>
          <w:sz w:val="24"/>
          <w:szCs w:val="24"/>
        </w:rPr>
        <w:t>、遗漏《联合体协议书》</w:t>
      </w:r>
      <w:r>
        <w:rPr>
          <w:rFonts w:ascii="宋体" w:hAnsi="宋体" w:eastAsia="宋体" w:cs="宋体"/>
          <w:spacing w:val="-2"/>
          <w:sz w:val="24"/>
          <w:szCs w:val="24"/>
        </w:rPr>
        <w:t>实质性内容的；联合体成员的数量、资质不符合规定的；联合体成员同时以自己名义单</w:t>
      </w:r>
      <w:r>
        <w:rPr>
          <w:rFonts w:ascii="宋体" w:hAnsi="宋体" w:eastAsia="宋体" w:cs="宋体"/>
          <w:spacing w:val="-1"/>
          <w:sz w:val="24"/>
          <w:szCs w:val="24"/>
        </w:rPr>
        <w:t>独投标或者参加其他联合体投标的；</w:t>
      </w:r>
    </w:p>
    <w:p w14:paraId="769C7F88">
      <w:pPr>
        <w:spacing w:before="150" w:line="280" w:lineRule="auto"/>
        <w:ind w:right="200" w:firstLine="492"/>
        <w:rPr>
          <w:rFonts w:ascii="宋体" w:hAnsi="宋体" w:eastAsia="宋体" w:cs="宋体"/>
          <w:sz w:val="24"/>
          <w:szCs w:val="24"/>
        </w:rPr>
      </w:pPr>
      <w:r>
        <w:rPr>
          <w:rFonts w:ascii="宋体" w:hAnsi="宋体" w:eastAsia="宋体" w:cs="宋体"/>
          <w:sz w:val="24"/>
          <w:szCs w:val="24"/>
        </w:rPr>
        <w:t>（</w:t>
      </w:r>
      <w:r>
        <w:rPr>
          <w:rFonts w:ascii="Times New Roman" w:hAnsi="Times New Roman" w:eastAsia="Times New Roman" w:cs="Times New Roman"/>
          <w:sz w:val="24"/>
          <w:szCs w:val="24"/>
        </w:rPr>
        <w:t>8</w:t>
      </w:r>
      <w:r>
        <w:rPr>
          <w:rFonts w:ascii="宋体" w:hAnsi="宋体" w:eastAsia="宋体" w:cs="宋体"/>
          <w:sz w:val="24"/>
          <w:szCs w:val="24"/>
        </w:rPr>
        <w:t>）投标人为外省建筑企业，但未提供“进粤企业和人员诚信信息登记平台”企</w:t>
      </w:r>
      <w:r>
        <w:rPr>
          <w:rFonts w:ascii="宋体" w:hAnsi="宋体" w:eastAsia="宋体" w:cs="宋体"/>
          <w:spacing w:val="-1"/>
          <w:sz w:val="24"/>
          <w:szCs w:val="24"/>
        </w:rPr>
        <w:t>业和拟派人员信息情况打印页或网页截图的。</w:t>
      </w:r>
    </w:p>
    <w:p w14:paraId="75CA40F4">
      <w:pPr>
        <w:spacing w:before="154" w:line="221" w:lineRule="auto"/>
        <w:ind w:left="477"/>
        <w:outlineLvl w:val="2"/>
        <w:rPr>
          <w:rFonts w:ascii="宋体" w:hAnsi="宋体" w:eastAsia="宋体" w:cs="宋体"/>
          <w:sz w:val="24"/>
          <w:szCs w:val="24"/>
        </w:rPr>
      </w:pPr>
      <w:bookmarkStart w:id="112" w:name="_Toc29071"/>
      <w:r>
        <w:rPr>
          <w:rFonts w:ascii="Times New Roman" w:hAnsi="Times New Roman" w:eastAsia="Times New Roman" w:cs="Times New Roman"/>
          <w:b/>
          <w:bCs/>
          <w:spacing w:val="-7"/>
          <w:sz w:val="24"/>
          <w:szCs w:val="24"/>
        </w:rPr>
        <w:t>2</w:t>
      </w:r>
      <w:r>
        <w:rPr>
          <w:rFonts w:ascii="宋体" w:hAnsi="宋体" w:eastAsia="宋体" w:cs="宋体"/>
          <w:b/>
          <w:bCs/>
          <w:spacing w:val="-7"/>
          <w:sz w:val="24"/>
          <w:szCs w:val="24"/>
        </w:rPr>
        <w:t>．形式评审环节</w:t>
      </w:r>
      <w:bookmarkEnd w:id="112"/>
    </w:p>
    <w:p w14:paraId="20C28BA2">
      <w:pPr>
        <w:spacing w:before="151" w:line="327" w:lineRule="auto"/>
        <w:ind w:right="200" w:firstLine="482"/>
        <w:rPr>
          <w:rFonts w:ascii="宋体" w:hAnsi="宋体" w:eastAsia="宋体" w:cs="宋体"/>
          <w:sz w:val="24"/>
          <w:szCs w:val="24"/>
        </w:rPr>
      </w:pPr>
      <w:r>
        <w:rPr>
          <w:rFonts w:ascii="宋体" w:hAnsi="宋体" w:eastAsia="宋体" w:cs="宋体"/>
          <w:spacing w:val="-2"/>
          <w:sz w:val="24"/>
          <w:szCs w:val="24"/>
        </w:rPr>
        <w:t>投标人有下列情形之一的，评标委员会应否决其投标。被否决的投标人，不进入响应性评审环节。</w:t>
      </w:r>
    </w:p>
    <w:p w14:paraId="2C0A3174">
      <w:pPr>
        <w:spacing w:before="32" w:line="219" w:lineRule="auto"/>
        <w:ind w:left="492"/>
        <w:rPr>
          <w:rFonts w:ascii="宋体" w:hAnsi="宋体" w:eastAsia="宋体" w:cs="宋体"/>
          <w:sz w:val="24"/>
          <w:szCs w:val="24"/>
        </w:rPr>
      </w:pPr>
      <w:r>
        <w:rPr>
          <w:rFonts w:ascii="宋体" w:hAnsi="宋体" w:eastAsia="宋体" w:cs="宋体"/>
          <w:spacing w:val="-1"/>
          <w:sz w:val="24"/>
          <w:szCs w:val="24"/>
        </w:rPr>
        <w:t>（1）各分册没按招标文件规定加盖电子印章；</w:t>
      </w:r>
    </w:p>
    <w:p w14:paraId="15DDDD8E">
      <w:pPr>
        <w:spacing w:before="153" w:line="280" w:lineRule="auto"/>
        <w:ind w:left="1" w:right="200" w:firstLine="490"/>
        <w:rPr>
          <w:rFonts w:ascii="宋体" w:hAnsi="宋体" w:eastAsia="宋体" w:cs="宋体"/>
          <w:sz w:val="24"/>
          <w:szCs w:val="24"/>
        </w:rPr>
      </w:pPr>
      <w:r>
        <w:rPr>
          <w:rFonts w:ascii="宋体" w:hAnsi="宋体" w:eastAsia="宋体" w:cs="宋体"/>
          <w:spacing w:val="-8"/>
          <w:sz w:val="24"/>
          <w:szCs w:val="24"/>
        </w:rPr>
        <w:t>（2）本章第三节第</w:t>
      </w:r>
      <w:r>
        <w:rPr>
          <w:rFonts w:ascii="宋体" w:hAnsi="宋体" w:eastAsia="宋体" w:cs="宋体"/>
          <w:b/>
          <w:bCs/>
          <w:spacing w:val="-8"/>
          <w:sz w:val="24"/>
          <w:szCs w:val="24"/>
        </w:rPr>
        <w:t>10.2.2</w:t>
      </w:r>
      <w:r>
        <w:rPr>
          <w:rFonts w:ascii="宋体" w:hAnsi="宋体" w:eastAsia="宋体" w:cs="宋体"/>
          <w:spacing w:val="-8"/>
          <w:sz w:val="24"/>
          <w:szCs w:val="24"/>
        </w:rPr>
        <w:t>目、第</w:t>
      </w:r>
      <w:r>
        <w:rPr>
          <w:rFonts w:ascii="宋体" w:hAnsi="宋体" w:eastAsia="宋体" w:cs="宋体"/>
          <w:b/>
          <w:bCs/>
          <w:spacing w:val="-8"/>
          <w:sz w:val="24"/>
          <w:szCs w:val="24"/>
        </w:rPr>
        <w:t>10.3.2</w:t>
      </w:r>
      <w:r>
        <w:rPr>
          <w:rFonts w:ascii="宋体" w:hAnsi="宋体" w:eastAsia="宋体" w:cs="宋体"/>
          <w:spacing w:val="-8"/>
          <w:sz w:val="24"/>
          <w:szCs w:val="24"/>
        </w:rPr>
        <w:t>目、第</w:t>
      </w:r>
      <w:r>
        <w:rPr>
          <w:rFonts w:ascii="宋体" w:hAnsi="宋体" w:eastAsia="宋体" w:cs="宋体"/>
          <w:b/>
          <w:bCs/>
          <w:spacing w:val="-8"/>
          <w:sz w:val="24"/>
          <w:szCs w:val="24"/>
        </w:rPr>
        <w:t>10.4.3</w:t>
      </w:r>
      <w:r>
        <w:rPr>
          <w:rFonts w:ascii="宋体" w:hAnsi="宋体" w:eastAsia="宋体" w:cs="宋体"/>
          <w:spacing w:val="-8"/>
          <w:sz w:val="24"/>
          <w:szCs w:val="24"/>
        </w:rPr>
        <w:t>目中规定的“所有投标人</w:t>
      </w:r>
      <w:r>
        <w:rPr>
          <w:rFonts w:ascii="宋体" w:hAnsi="宋体" w:eastAsia="宋体" w:cs="宋体"/>
          <w:spacing w:val="-1"/>
          <w:sz w:val="24"/>
          <w:szCs w:val="24"/>
        </w:rPr>
        <w:t>均应提供”的组成内容（包括该组成内容的所附资料）中，</w:t>
      </w:r>
      <w:r>
        <w:rPr>
          <w:rFonts w:ascii="宋体" w:hAnsi="宋体" w:eastAsia="宋体" w:cs="宋体"/>
          <w:spacing w:val="-2"/>
          <w:sz w:val="24"/>
          <w:szCs w:val="24"/>
        </w:rPr>
        <w:t>任何一项有缺漏的；</w:t>
      </w:r>
    </w:p>
    <w:p w14:paraId="47E53404">
      <w:pPr>
        <w:spacing w:before="136" w:line="326" w:lineRule="auto"/>
        <w:ind w:left="8" w:right="200" w:firstLine="426"/>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3</w:t>
      </w:r>
      <w:r>
        <w:rPr>
          <w:rFonts w:ascii="宋体" w:hAnsi="宋体" w:eastAsia="宋体" w:cs="宋体"/>
          <w:spacing w:val="-4"/>
          <w:sz w:val="24"/>
          <w:szCs w:val="24"/>
        </w:rPr>
        <w:t>）关键字迹模糊、无法辨认，且该种过错将导致评标委员会无法判断投标文件是</w:t>
      </w:r>
      <w:r>
        <w:rPr>
          <w:rFonts w:ascii="宋体" w:hAnsi="宋体" w:eastAsia="宋体" w:cs="宋体"/>
          <w:spacing w:val="-2"/>
          <w:sz w:val="24"/>
          <w:szCs w:val="24"/>
        </w:rPr>
        <w:t>否响应招标文件实质性要求的；有涂改、行间插字或删除，但未加盖单位章或由投标人</w:t>
      </w:r>
      <w:r>
        <w:rPr>
          <w:rFonts w:ascii="宋体" w:hAnsi="宋体" w:eastAsia="宋体" w:cs="宋体"/>
          <w:spacing w:val="-1"/>
          <w:sz w:val="24"/>
          <w:szCs w:val="24"/>
        </w:rPr>
        <w:t>的法定代表人或其委托代理人签字确认的；</w:t>
      </w:r>
    </w:p>
    <w:p w14:paraId="2F28875A">
      <w:pPr>
        <w:spacing w:before="209" w:line="219" w:lineRule="auto"/>
        <w:ind w:left="434"/>
        <w:rPr>
          <w:rFonts w:ascii="宋体" w:hAnsi="宋体" w:eastAsia="宋体" w:cs="宋体"/>
          <w:sz w:val="24"/>
          <w:szCs w:val="24"/>
        </w:rPr>
      </w:pPr>
      <w:r>
        <w:rPr>
          <w:rFonts w:ascii="宋体" w:hAnsi="宋体" w:eastAsia="宋体" w:cs="宋体"/>
          <w:spacing w:val="-2"/>
          <w:sz w:val="24"/>
          <w:szCs w:val="24"/>
        </w:rPr>
        <w:t>（4）投标文件未按规定签字、盖章的。</w:t>
      </w:r>
    </w:p>
    <w:p w14:paraId="53291275">
      <w:pPr>
        <w:spacing w:before="206" w:line="340" w:lineRule="auto"/>
        <w:ind w:left="1" w:firstLine="490"/>
        <w:rPr>
          <w:rFonts w:ascii="宋体" w:hAnsi="宋体" w:eastAsia="宋体" w:cs="宋体"/>
          <w:sz w:val="24"/>
          <w:szCs w:val="24"/>
        </w:rPr>
      </w:pPr>
      <w:r>
        <w:rPr>
          <w:rFonts w:ascii="宋体" w:hAnsi="宋体" w:eastAsia="宋体" w:cs="宋体"/>
          <w:sz w:val="24"/>
          <w:szCs w:val="24"/>
        </w:rPr>
        <w:t>（5）招标文件规定施工组织设计采用“暗标”方式进行评审，但施工组织设计的</w:t>
      </w:r>
      <w:r>
        <w:rPr>
          <w:rFonts w:ascii="宋体" w:hAnsi="宋体" w:eastAsia="宋体" w:cs="宋体"/>
          <w:spacing w:val="-4"/>
          <w:sz w:val="24"/>
          <w:szCs w:val="24"/>
        </w:rPr>
        <w:t>规格颜色、文字排版、正文篇幅（若有）不符合规定的；其任何部位出现手写以及涂改、</w:t>
      </w:r>
      <w:r>
        <w:rPr>
          <w:rFonts w:ascii="宋体" w:hAnsi="宋体" w:eastAsia="宋体" w:cs="宋体"/>
          <w:spacing w:val="-3"/>
          <w:sz w:val="24"/>
          <w:szCs w:val="24"/>
        </w:rPr>
        <w:t>行间插字或删除痕迹的；其任何部位出现投标人的名称和其它可识别投标人身份的字符、</w:t>
      </w:r>
      <w:r>
        <w:rPr>
          <w:rFonts w:ascii="宋体" w:hAnsi="宋体" w:eastAsia="宋体" w:cs="宋体"/>
          <w:spacing w:val="-1"/>
          <w:sz w:val="24"/>
          <w:szCs w:val="24"/>
        </w:rPr>
        <w:t>徽标、人员名称以及其他特殊标记的。</w:t>
      </w:r>
    </w:p>
    <w:p w14:paraId="4537D75E">
      <w:pPr>
        <w:spacing w:before="227" w:line="221" w:lineRule="auto"/>
        <w:ind w:left="475"/>
        <w:outlineLvl w:val="2"/>
        <w:rPr>
          <w:rFonts w:ascii="宋体" w:hAnsi="宋体" w:eastAsia="宋体" w:cs="宋体"/>
          <w:sz w:val="24"/>
          <w:szCs w:val="24"/>
        </w:rPr>
      </w:pPr>
      <w:bookmarkStart w:id="113" w:name="_Toc4409"/>
      <w:r>
        <w:rPr>
          <w:rFonts w:ascii="Times New Roman" w:hAnsi="Times New Roman" w:eastAsia="Times New Roman" w:cs="Times New Roman"/>
          <w:b/>
          <w:bCs/>
          <w:spacing w:val="-6"/>
          <w:sz w:val="24"/>
          <w:szCs w:val="24"/>
        </w:rPr>
        <w:t>3</w:t>
      </w:r>
      <w:r>
        <w:rPr>
          <w:rFonts w:ascii="宋体" w:hAnsi="宋体" w:eastAsia="宋体" w:cs="宋体"/>
          <w:b/>
          <w:bCs/>
          <w:spacing w:val="-6"/>
          <w:sz w:val="24"/>
          <w:szCs w:val="24"/>
        </w:rPr>
        <w:t>．响应性评审环节</w:t>
      </w:r>
      <w:bookmarkEnd w:id="113"/>
    </w:p>
    <w:p w14:paraId="3FB0D921">
      <w:pPr>
        <w:spacing w:before="151" w:line="327" w:lineRule="auto"/>
        <w:ind w:left="1" w:right="200" w:firstLine="481"/>
        <w:rPr>
          <w:rFonts w:ascii="宋体" w:hAnsi="宋体" w:eastAsia="宋体" w:cs="宋体"/>
          <w:sz w:val="24"/>
          <w:szCs w:val="24"/>
        </w:rPr>
      </w:pPr>
      <w:r>
        <w:rPr>
          <w:rFonts w:ascii="宋体" w:hAnsi="宋体" w:eastAsia="宋体" w:cs="宋体"/>
          <w:spacing w:val="-2"/>
          <w:sz w:val="24"/>
          <w:szCs w:val="24"/>
        </w:rPr>
        <w:t>投标人有下列情形之一的，评标委员会应否决其投标。被否决的投标人，不进入详细评审阶段。</w:t>
      </w:r>
    </w:p>
    <w:p w14:paraId="7082F382">
      <w:pPr>
        <w:spacing w:before="31" w:line="279" w:lineRule="auto"/>
        <w:ind w:left="40" w:right="200" w:firstLine="452"/>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）承诺的投标有效期短于规定的；质量标准低于规定的；工期超出规定的；擅</w:t>
      </w:r>
      <w:r>
        <w:rPr>
          <w:rFonts w:ascii="宋体" w:hAnsi="宋体" w:eastAsia="宋体" w:cs="宋体"/>
          <w:spacing w:val="-2"/>
          <w:sz w:val="24"/>
          <w:szCs w:val="24"/>
        </w:rPr>
        <w:t>自修改、遗漏《投标函》《各项承诺一览表》实质性内容的；</w:t>
      </w:r>
    </w:p>
    <w:p w14:paraId="238F709D">
      <w:pPr>
        <w:spacing w:before="157" w:line="278" w:lineRule="auto"/>
        <w:ind w:left="2" w:right="200" w:firstLine="48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）编制《投标总价》的造价工程师，其注册证书不是住建部门颁发的；其注册</w:t>
      </w:r>
      <w:r>
        <w:rPr>
          <w:rFonts w:ascii="宋体" w:hAnsi="宋体" w:eastAsia="宋体" w:cs="宋体"/>
          <w:sz w:val="24"/>
          <w:szCs w:val="24"/>
        </w:rPr>
        <w:t>单位与投标人（或造价咨询人）不一致的；</w:t>
      </w:r>
      <w:r>
        <w:rPr>
          <w:rFonts w:ascii="宋体" w:hAnsi="宋体" w:eastAsia="宋体" w:cs="宋体"/>
          <w:spacing w:val="-1"/>
          <w:sz w:val="24"/>
          <w:szCs w:val="24"/>
        </w:rPr>
        <w:t>其注册证书不在有效期内的。</w:t>
      </w:r>
    </w:p>
    <w:p w14:paraId="5265956B">
      <w:pPr>
        <w:spacing w:before="156" w:line="329" w:lineRule="auto"/>
        <w:ind w:right="200" w:firstLine="480"/>
        <w:jc w:val="both"/>
      </w:pPr>
      <w:r>
        <w:rPr>
          <w:rFonts w:ascii="宋体" w:hAnsi="宋体" w:eastAsia="宋体" w:cs="宋体"/>
          <w:b/>
          <w:bCs/>
          <w:spacing w:val="-4"/>
          <w:sz w:val="24"/>
          <w:szCs w:val="24"/>
        </w:rPr>
        <w:t>注：投标人（或造价咨询人）已经工商变更，但其员工的执业资格注</w:t>
      </w:r>
      <w:r>
        <w:rPr>
          <w:rFonts w:ascii="宋体" w:hAnsi="宋体" w:eastAsia="宋体" w:cs="宋体"/>
          <w:b/>
          <w:bCs/>
          <w:spacing w:val="-5"/>
          <w:sz w:val="24"/>
          <w:szCs w:val="24"/>
        </w:rPr>
        <w:t>册证书的注册单位名称未完成变更的，不得否决其投标。此条与10.3.1中的造价工程师执业（含二级造价工程师）指引相一致。</w:t>
      </w:r>
    </w:p>
    <w:p w14:paraId="4580C606">
      <w:pPr>
        <w:spacing w:before="78" w:line="299" w:lineRule="auto"/>
        <w:ind w:left="2" w:right="81" w:firstLine="488"/>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）投标人委托造价咨询单位编制《投标总价》，但未在《投标总价扉页》（即扉—</w:t>
      </w:r>
      <w:r>
        <w:rPr>
          <w:rFonts w:ascii="Times New Roman" w:hAnsi="Times New Roman" w:eastAsia="Times New Roman" w:cs="Times New Roman"/>
          <w:spacing w:val="1"/>
          <w:sz w:val="24"/>
          <w:szCs w:val="24"/>
        </w:rPr>
        <w:t>3</w:t>
      </w:r>
      <w:r>
        <w:rPr>
          <w:rFonts w:ascii="宋体" w:hAnsi="宋体" w:eastAsia="宋体" w:cs="宋体"/>
          <w:spacing w:val="1"/>
          <w:sz w:val="24"/>
          <w:szCs w:val="24"/>
        </w:rPr>
        <w:t>）“投标人”栏目加盖造价咨询人公章的；未提</w:t>
      </w:r>
      <w:r>
        <w:rPr>
          <w:rFonts w:ascii="宋体" w:hAnsi="宋体" w:eastAsia="宋体" w:cs="宋体"/>
          <w:sz w:val="24"/>
          <w:szCs w:val="24"/>
        </w:rPr>
        <w:t>供造价咨询人的营业执照副本彩</w:t>
      </w:r>
      <w:r>
        <w:rPr>
          <w:rFonts w:ascii="宋体" w:hAnsi="宋体" w:eastAsia="宋体" w:cs="宋体"/>
          <w:spacing w:val="-3"/>
          <w:sz w:val="24"/>
          <w:szCs w:val="24"/>
        </w:rPr>
        <w:t>色扫描件；</w:t>
      </w:r>
    </w:p>
    <w:p w14:paraId="3D412C3A">
      <w:pPr>
        <w:spacing w:before="151" w:line="315" w:lineRule="auto"/>
        <w:ind w:right="21" w:firstLine="49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）出现两个或两个以上投标总价的（同一个投标总价大、小写不一致的除外</w:t>
      </w:r>
      <w:r>
        <w:rPr>
          <w:rFonts w:ascii="宋体" w:hAnsi="宋体" w:eastAsia="宋体" w:cs="宋体"/>
          <w:spacing w:val="-31"/>
          <w:sz w:val="24"/>
          <w:szCs w:val="24"/>
        </w:rPr>
        <w:t>）；</w:t>
      </w:r>
      <w:r>
        <w:rPr>
          <w:rFonts w:ascii="宋体" w:hAnsi="宋体" w:eastAsia="宋体" w:cs="宋体"/>
          <w:spacing w:val="-2"/>
          <w:sz w:val="24"/>
          <w:szCs w:val="24"/>
        </w:rPr>
        <w:t>投标总价超出</w:t>
      </w:r>
      <w:r>
        <w:rPr>
          <w:rFonts w:ascii="宋体" w:hAnsi="宋体" w:eastAsia="宋体" w:cs="宋体"/>
          <w:b/>
          <w:bCs/>
          <w:spacing w:val="-2"/>
          <w:sz w:val="24"/>
          <w:szCs w:val="24"/>
        </w:rPr>
        <w:t>最高投标限价</w:t>
      </w:r>
      <w:r>
        <w:rPr>
          <w:rFonts w:ascii="宋体" w:hAnsi="宋体" w:eastAsia="宋体" w:cs="宋体"/>
          <w:spacing w:val="-2"/>
          <w:sz w:val="24"/>
          <w:szCs w:val="24"/>
        </w:rPr>
        <w:t>的；绿色施工安全防护措施费少于规定的；暂列金额、暂估</w:t>
      </w:r>
      <w:r>
        <w:rPr>
          <w:rFonts w:ascii="宋体" w:hAnsi="宋体" w:eastAsia="宋体" w:cs="宋体"/>
          <w:spacing w:val="-3"/>
          <w:sz w:val="24"/>
          <w:szCs w:val="24"/>
        </w:rPr>
        <w:t>价未按照招标工程量清单统一报价的；投标总价下浮率超过</w:t>
      </w:r>
      <w:r>
        <w:rPr>
          <w:rFonts w:ascii="Times New Roman" w:hAnsi="Times New Roman" w:eastAsia="Times New Roman" w:cs="Times New Roman"/>
          <w:spacing w:val="-3"/>
          <w:sz w:val="24"/>
          <w:szCs w:val="24"/>
        </w:rPr>
        <w:t>15%</w:t>
      </w:r>
      <w:r>
        <w:rPr>
          <w:rFonts w:ascii="宋体" w:hAnsi="宋体" w:eastAsia="宋体" w:cs="宋体"/>
          <w:spacing w:val="-3"/>
          <w:sz w:val="24"/>
          <w:szCs w:val="24"/>
        </w:rPr>
        <w:t>，又未提供相应书面说</w:t>
      </w:r>
      <w:r>
        <w:rPr>
          <w:rFonts w:ascii="宋体" w:hAnsi="宋体" w:eastAsia="宋体" w:cs="宋体"/>
          <w:spacing w:val="-2"/>
          <w:sz w:val="24"/>
          <w:szCs w:val="24"/>
        </w:rPr>
        <w:t>明和佐证材料或提供的书面说明和佐证材料不能令人信服，被评标委员会认定以低于成</w:t>
      </w:r>
      <w:r>
        <w:rPr>
          <w:rFonts w:ascii="宋体" w:hAnsi="宋体" w:eastAsia="宋体" w:cs="宋体"/>
          <w:sz w:val="24"/>
          <w:szCs w:val="24"/>
        </w:rPr>
        <w:t>本报价竞标的；擅自修改、增减招标工程量清单</w:t>
      </w:r>
      <w:r>
        <w:rPr>
          <w:rFonts w:ascii="宋体" w:hAnsi="宋体" w:eastAsia="宋体" w:cs="宋体"/>
          <w:spacing w:val="-1"/>
          <w:sz w:val="24"/>
          <w:szCs w:val="24"/>
        </w:rPr>
        <w:t>项目（包括措施项目）的；</w:t>
      </w:r>
    </w:p>
    <w:p w14:paraId="59AE7500">
      <w:pPr>
        <w:spacing w:before="156" w:line="299" w:lineRule="auto"/>
        <w:ind w:right="81" w:firstLine="49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）在施工组织设计评审中，评标委员会认定质量、进度保障措施与国家和省市</w:t>
      </w:r>
      <w:r>
        <w:rPr>
          <w:rFonts w:ascii="宋体" w:hAnsi="宋体" w:eastAsia="宋体" w:cs="宋体"/>
          <w:spacing w:val="-3"/>
          <w:sz w:val="24"/>
          <w:szCs w:val="24"/>
        </w:rPr>
        <w:t>现行有关规范、规定、标准有重大偏差，</w:t>
      </w:r>
      <w:r>
        <w:rPr>
          <w:rFonts w:ascii="宋体" w:hAnsi="宋体" w:eastAsia="宋体" w:cs="宋体"/>
          <w:b/>
          <w:bCs/>
          <w:spacing w:val="-3"/>
          <w:sz w:val="24"/>
          <w:szCs w:val="24"/>
        </w:rPr>
        <w:t>且该种过错将导致工程质量、进度管理目标无</w:t>
      </w:r>
      <w:r>
        <w:rPr>
          <w:rFonts w:ascii="宋体" w:hAnsi="宋体" w:eastAsia="宋体" w:cs="宋体"/>
          <w:b/>
          <w:bCs/>
          <w:spacing w:val="-4"/>
          <w:sz w:val="24"/>
          <w:szCs w:val="24"/>
        </w:rPr>
        <w:t>法实现的</w:t>
      </w:r>
      <w:r>
        <w:rPr>
          <w:rFonts w:ascii="宋体" w:hAnsi="宋体" w:eastAsia="宋体" w:cs="宋体"/>
          <w:spacing w:val="-4"/>
          <w:sz w:val="24"/>
          <w:szCs w:val="24"/>
        </w:rPr>
        <w:t>。</w:t>
      </w:r>
    </w:p>
    <w:p w14:paraId="0EAB961D">
      <w:pPr>
        <w:spacing w:before="151" w:line="221" w:lineRule="auto"/>
        <w:ind w:left="476"/>
        <w:outlineLvl w:val="2"/>
        <w:rPr>
          <w:rFonts w:ascii="宋体" w:hAnsi="宋体" w:eastAsia="宋体" w:cs="宋体"/>
          <w:sz w:val="24"/>
          <w:szCs w:val="24"/>
        </w:rPr>
      </w:pPr>
      <w:bookmarkStart w:id="114" w:name="_Toc29500"/>
      <w:r>
        <w:rPr>
          <w:rFonts w:ascii="Times New Roman" w:hAnsi="Times New Roman" w:eastAsia="Times New Roman" w:cs="Times New Roman"/>
          <w:b/>
          <w:bCs/>
          <w:spacing w:val="-11"/>
          <w:sz w:val="24"/>
          <w:szCs w:val="24"/>
        </w:rPr>
        <w:t>4</w:t>
      </w:r>
      <w:r>
        <w:rPr>
          <w:rFonts w:ascii="宋体" w:hAnsi="宋体" w:eastAsia="宋体" w:cs="宋体"/>
          <w:b/>
          <w:bCs/>
          <w:spacing w:val="-11"/>
          <w:sz w:val="24"/>
          <w:szCs w:val="24"/>
        </w:rPr>
        <w:t>．其他</w:t>
      </w:r>
      <w:bookmarkEnd w:id="114"/>
    </w:p>
    <w:p w14:paraId="4F4A8CE4">
      <w:pPr>
        <w:spacing w:before="153" w:line="326" w:lineRule="auto"/>
        <w:ind w:firstLine="479"/>
        <w:rPr>
          <w:rFonts w:ascii="宋体" w:hAnsi="宋体" w:eastAsia="宋体" w:cs="宋体"/>
          <w:sz w:val="24"/>
          <w:szCs w:val="24"/>
        </w:rPr>
      </w:pPr>
      <w:r>
        <w:rPr>
          <w:rFonts w:ascii="宋体" w:hAnsi="宋体" w:eastAsia="宋体" w:cs="宋体"/>
          <w:spacing w:val="-4"/>
          <w:sz w:val="24"/>
          <w:szCs w:val="24"/>
        </w:rPr>
        <w:t>在任何评标环节（或阶段</w:t>
      </w:r>
      <w:r>
        <w:rPr>
          <w:rFonts w:ascii="宋体" w:hAnsi="宋体" w:eastAsia="宋体" w:cs="宋体"/>
          <w:spacing w:val="-36"/>
          <w:sz w:val="24"/>
          <w:szCs w:val="24"/>
        </w:rPr>
        <w:t>），</w:t>
      </w:r>
      <w:r>
        <w:rPr>
          <w:rFonts w:ascii="宋体" w:hAnsi="宋体" w:eastAsia="宋体" w:cs="宋体"/>
          <w:spacing w:val="-4"/>
          <w:sz w:val="24"/>
          <w:szCs w:val="24"/>
        </w:rPr>
        <w:t>投标人有下列情形之一的，评标委员会应否</w:t>
      </w:r>
      <w:r>
        <w:rPr>
          <w:rFonts w:ascii="宋体" w:hAnsi="宋体" w:eastAsia="宋体" w:cs="宋体"/>
          <w:spacing w:val="-5"/>
          <w:sz w:val="24"/>
          <w:szCs w:val="24"/>
        </w:rPr>
        <w:t>决其投标。</w:t>
      </w:r>
      <w:r>
        <w:rPr>
          <w:rFonts w:ascii="宋体" w:hAnsi="宋体" w:eastAsia="宋体" w:cs="宋体"/>
          <w:spacing w:val="-1"/>
          <w:sz w:val="24"/>
          <w:szCs w:val="24"/>
        </w:rPr>
        <w:t>被否决的投标人，不进入下一环节（或阶段）。</w:t>
      </w:r>
    </w:p>
    <w:p w14:paraId="72C8D108">
      <w:pPr>
        <w:spacing w:before="33" w:line="219" w:lineRule="auto"/>
        <w:ind w:left="49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）不按评标委员会要求澄清、说明或补正的；</w:t>
      </w:r>
    </w:p>
    <w:p w14:paraId="2B498F02">
      <w:pPr>
        <w:spacing w:before="154" w:line="219" w:lineRule="auto"/>
        <w:ind w:left="49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）有下列情形之一，被评标委员会认定属于串通投标的：</w:t>
      </w:r>
    </w:p>
    <w:p w14:paraId="53940D26">
      <w:pPr>
        <w:spacing w:before="157" w:line="218" w:lineRule="auto"/>
        <w:ind w:left="479"/>
        <w:rPr>
          <w:rFonts w:ascii="宋体" w:hAnsi="宋体" w:eastAsia="宋体" w:cs="宋体"/>
          <w:sz w:val="24"/>
          <w:szCs w:val="24"/>
        </w:rPr>
      </w:pPr>
      <w:r>
        <w:rPr>
          <w:rFonts w:ascii="宋体" w:hAnsi="宋体" w:eastAsia="宋体" w:cs="宋体"/>
          <w:spacing w:val="-1"/>
          <w:sz w:val="24"/>
          <w:szCs w:val="24"/>
        </w:rPr>
        <w:t>①不同投标人的投标文件两处以上（含两处）错、漏一致；</w:t>
      </w:r>
    </w:p>
    <w:p w14:paraId="44682E53">
      <w:pPr>
        <w:spacing w:before="156" w:line="278" w:lineRule="auto"/>
        <w:ind w:right="21" w:firstLine="478"/>
        <w:rPr>
          <w:rFonts w:ascii="宋体" w:hAnsi="宋体" w:eastAsia="宋体" w:cs="宋体"/>
          <w:sz w:val="24"/>
          <w:szCs w:val="24"/>
        </w:rPr>
      </w:pPr>
      <w:r>
        <w:rPr>
          <w:rFonts w:ascii="宋体" w:hAnsi="宋体" w:eastAsia="宋体" w:cs="宋体"/>
          <w:spacing w:val="-2"/>
          <w:sz w:val="24"/>
          <w:szCs w:val="24"/>
        </w:rPr>
        <w:t>②不同投标人的投标总价相近且各分项报价、综合单价分析表内容混乱不能相互对</w:t>
      </w:r>
      <w:r>
        <w:rPr>
          <w:rFonts w:ascii="宋体" w:hAnsi="宋体" w:eastAsia="宋体" w:cs="宋体"/>
          <w:spacing w:val="-6"/>
          <w:sz w:val="24"/>
          <w:szCs w:val="24"/>
        </w:rPr>
        <w:t>应、乱调乱压或乱抬的，而在询标时没有合理的解释或者不能提供计算依据和</w:t>
      </w:r>
      <w:r>
        <w:rPr>
          <w:rFonts w:ascii="宋体" w:hAnsi="宋体" w:eastAsia="宋体" w:cs="宋体"/>
          <w:spacing w:val="-7"/>
          <w:sz w:val="24"/>
          <w:szCs w:val="24"/>
        </w:rPr>
        <w:t>报价依据；</w:t>
      </w:r>
    </w:p>
    <w:p w14:paraId="03511C4A">
      <w:pPr>
        <w:spacing w:before="157" w:line="218" w:lineRule="auto"/>
        <w:ind w:left="478"/>
        <w:rPr>
          <w:rFonts w:ascii="宋体" w:hAnsi="宋体" w:eastAsia="宋体" w:cs="宋体"/>
          <w:sz w:val="24"/>
          <w:szCs w:val="24"/>
        </w:rPr>
      </w:pPr>
      <w:r>
        <w:rPr>
          <w:rFonts w:ascii="宋体" w:hAnsi="宋体" w:eastAsia="宋体" w:cs="宋体"/>
          <w:sz w:val="24"/>
          <w:szCs w:val="24"/>
        </w:rPr>
        <w:t>③不同投标人的投标各项报价存在异常一致</w:t>
      </w:r>
      <w:r>
        <w:rPr>
          <w:rFonts w:ascii="宋体" w:hAnsi="宋体" w:eastAsia="宋体" w:cs="宋体"/>
          <w:spacing w:val="-1"/>
          <w:sz w:val="24"/>
          <w:szCs w:val="24"/>
        </w:rPr>
        <w:t>或者呈规律性变化；</w:t>
      </w:r>
    </w:p>
    <w:p w14:paraId="12012953">
      <w:pPr>
        <w:spacing w:before="156" w:line="218" w:lineRule="auto"/>
        <w:ind w:left="478"/>
        <w:rPr>
          <w:rFonts w:ascii="宋体" w:hAnsi="宋体" w:eastAsia="宋体" w:cs="宋体"/>
          <w:sz w:val="24"/>
          <w:szCs w:val="24"/>
        </w:rPr>
      </w:pPr>
      <w:r>
        <w:rPr>
          <w:rFonts w:ascii="宋体" w:hAnsi="宋体" w:eastAsia="宋体" w:cs="宋体"/>
          <w:spacing w:val="-1"/>
          <w:sz w:val="24"/>
          <w:szCs w:val="24"/>
        </w:rPr>
        <w:t>④不同投标人的投标文件由同一单位或者同一个人编制；</w:t>
      </w:r>
    </w:p>
    <w:p w14:paraId="663C905C">
      <w:pPr>
        <w:spacing w:before="157" w:line="280" w:lineRule="auto"/>
        <w:ind w:left="1" w:right="81" w:firstLine="476"/>
        <w:rPr>
          <w:rFonts w:ascii="宋体" w:hAnsi="宋体" w:eastAsia="宋体" w:cs="宋体"/>
          <w:sz w:val="24"/>
          <w:szCs w:val="24"/>
        </w:rPr>
      </w:pPr>
      <w:r>
        <w:rPr>
          <w:rFonts w:ascii="宋体" w:hAnsi="宋体" w:eastAsia="宋体" w:cs="宋体"/>
          <w:spacing w:val="-2"/>
          <w:sz w:val="24"/>
          <w:szCs w:val="24"/>
        </w:rPr>
        <w:t>⑤不同投标人的投标文件中投标资料（包括电子资料）相互混装或项目班子成员出</w:t>
      </w:r>
      <w:r>
        <w:rPr>
          <w:rFonts w:ascii="宋体" w:hAnsi="宋体" w:eastAsia="宋体" w:cs="宋体"/>
          <w:spacing w:val="-3"/>
          <w:sz w:val="24"/>
          <w:szCs w:val="24"/>
        </w:rPr>
        <w:t>现同一人；</w:t>
      </w:r>
    </w:p>
    <w:p w14:paraId="00385E35">
      <w:pPr>
        <w:spacing w:before="152" w:line="279" w:lineRule="auto"/>
        <w:ind w:left="3" w:right="81" w:firstLine="474"/>
        <w:rPr>
          <w:rFonts w:ascii="宋体" w:hAnsi="宋体" w:eastAsia="宋体" w:cs="宋体"/>
          <w:sz w:val="24"/>
          <w:szCs w:val="24"/>
        </w:rPr>
      </w:pPr>
      <w:r>
        <w:rPr>
          <w:rFonts w:ascii="宋体" w:hAnsi="宋体" w:eastAsia="宋体" w:cs="宋体"/>
          <w:spacing w:val="-2"/>
          <w:sz w:val="24"/>
          <w:szCs w:val="24"/>
        </w:rPr>
        <w:t>⑥不同投标人的投标文件由同一电脑编制或同一台附属设备打印，或投标报价用同</w:t>
      </w:r>
      <w:r>
        <w:rPr>
          <w:rFonts w:ascii="宋体" w:hAnsi="宋体" w:eastAsia="宋体" w:cs="宋体"/>
          <w:spacing w:val="-1"/>
          <w:sz w:val="24"/>
          <w:szCs w:val="24"/>
        </w:rPr>
        <w:t>一个预算编制软件密码锁制作或出自同一电子文档；</w:t>
      </w:r>
    </w:p>
    <w:p w14:paraId="4730C660">
      <w:pPr>
        <w:spacing w:before="155" w:line="218" w:lineRule="auto"/>
        <w:ind w:left="478"/>
        <w:rPr>
          <w:rFonts w:ascii="宋体" w:hAnsi="宋体" w:eastAsia="宋体" w:cs="宋体"/>
          <w:sz w:val="24"/>
          <w:szCs w:val="24"/>
        </w:rPr>
      </w:pPr>
      <w:r>
        <w:rPr>
          <w:rFonts w:ascii="宋体" w:hAnsi="宋体" w:eastAsia="宋体" w:cs="宋体"/>
          <w:spacing w:val="-1"/>
          <w:sz w:val="24"/>
          <w:szCs w:val="24"/>
        </w:rPr>
        <w:t>⑦不同投标人的投标保证由同一企业或同一账户资金缴纳；</w:t>
      </w:r>
    </w:p>
    <w:p w14:paraId="2EEEEB16">
      <w:pPr>
        <w:spacing w:before="157" w:line="299" w:lineRule="auto"/>
        <w:ind w:right="81" w:firstLine="477"/>
        <w:rPr>
          <w:rFonts w:ascii="宋体" w:hAnsi="宋体" w:eastAsia="宋体" w:cs="宋体"/>
          <w:sz w:val="24"/>
          <w:szCs w:val="24"/>
        </w:rPr>
      </w:pPr>
      <w:r>
        <w:rPr>
          <w:rFonts w:ascii="宋体" w:hAnsi="宋体" w:eastAsia="宋体" w:cs="宋体"/>
          <w:spacing w:val="5"/>
          <w:sz w:val="24"/>
          <w:szCs w:val="24"/>
        </w:rPr>
        <w:t>⑧不同投标人委托同一个人或注册在同一家企业的注册人员或同一家企业为其投</w:t>
      </w:r>
      <w:r>
        <w:rPr>
          <w:rFonts w:ascii="宋体" w:hAnsi="宋体" w:eastAsia="宋体" w:cs="宋体"/>
          <w:spacing w:val="-2"/>
          <w:sz w:val="24"/>
          <w:szCs w:val="24"/>
        </w:rPr>
        <w:t>标提供投标咨询、商务报价、技术咨询（招标项目本身要求采用专有技术的除外）等服</w:t>
      </w:r>
      <w:r>
        <w:rPr>
          <w:rFonts w:ascii="宋体" w:hAnsi="宋体" w:eastAsia="宋体" w:cs="宋体"/>
          <w:spacing w:val="-6"/>
          <w:sz w:val="24"/>
          <w:szCs w:val="24"/>
        </w:rPr>
        <w:t>务。</w:t>
      </w:r>
    </w:p>
    <w:p w14:paraId="6CC48855">
      <w:pPr>
        <w:spacing w:line="299" w:lineRule="auto"/>
        <w:rPr>
          <w:rFonts w:ascii="宋体" w:hAnsi="宋体" w:eastAsia="宋体" w:cs="宋体"/>
          <w:sz w:val="24"/>
          <w:szCs w:val="24"/>
        </w:rPr>
        <w:sectPr>
          <w:footerReference r:id="rId11" w:type="default"/>
          <w:pgSz w:w="11906" w:h="16839"/>
          <w:pgMar w:top="720" w:right="720" w:bottom="720" w:left="720" w:header="0" w:footer="1023" w:gutter="0"/>
          <w:cols w:space="720" w:num="1"/>
        </w:sectPr>
      </w:pPr>
    </w:p>
    <w:p w14:paraId="63C32544">
      <w:pPr>
        <w:spacing w:before="78" w:line="219" w:lineRule="auto"/>
        <w:ind w:left="3525"/>
        <w:outlineLvl w:val="1"/>
        <w:rPr>
          <w:rFonts w:ascii="宋体" w:hAnsi="宋体" w:eastAsia="宋体" w:cs="宋体"/>
          <w:sz w:val="24"/>
          <w:szCs w:val="24"/>
        </w:rPr>
      </w:pPr>
      <w:bookmarkStart w:id="115" w:name="bookmark57"/>
      <w:bookmarkEnd w:id="115"/>
      <w:bookmarkStart w:id="116" w:name="_Toc20000"/>
      <w:r>
        <w:rPr>
          <w:rFonts w:ascii="宋体" w:hAnsi="宋体" w:eastAsia="宋体" w:cs="宋体"/>
          <w:b/>
          <w:bCs/>
          <w:spacing w:val="-7"/>
          <w:sz w:val="24"/>
          <w:szCs w:val="24"/>
        </w:rPr>
        <w:t>第二章中标人须知</w:t>
      </w:r>
      <w:bookmarkEnd w:id="116"/>
    </w:p>
    <w:p w14:paraId="1A15976C">
      <w:pPr>
        <w:pStyle w:val="5"/>
        <w:spacing w:line="257" w:lineRule="auto"/>
      </w:pPr>
    </w:p>
    <w:p w14:paraId="019D2667">
      <w:pPr>
        <w:pStyle w:val="5"/>
        <w:spacing w:line="257" w:lineRule="auto"/>
      </w:pPr>
    </w:p>
    <w:p w14:paraId="293E59BA">
      <w:pPr>
        <w:spacing w:before="78" w:line="219" w:lineRule="auto"/>
        <w:ind w:left="582"/>
        <w:outlineLvl w:val="2"/>
        <w:rPr>
          <w:rFonts w:ascii="宋体" w:hAnsi="宋体" w:eastAsia="宋体" w:cs="宋体"/>
          <w:sz w:val="24"/>
          <w:szCs w:val="24"/>
        </w:rPr>
      </w:pPr>
      <w:bookmarkStart w:id="117" w:name="_Toc11992"/>
      <w:r>
        <w:rPr>
          <w:rFonts w:ascii="Times New Roman" w:hAnsi="Times New Roman" w:eastAsia="Times New Roman" w:cs="Times New Roman"/>
          <w:b/>
          <w:bCs/>
          <w:spacing w:val="-9"/>
          <w:sz w:val="24"/>
          <w:szCs w:val="24"/>
        </w:rPr>
        <w:t>1</w:t>
      </w:r>
      <w:r>
        <w:rPr>
          <w:rFonts w:ascii="宋体" w:hAnsi="宋体" w:eastAsia="宋体" w:cs="宋体"/>
          <w:b/>
          <w:bCs/>
          <w:spacing w:val="-9"/>
          <w:sz w:val="24"/>
          <w:szCs w:val="24"/>
        </w:rPr>
        <w:t>．中标通知书</w:t>
      </w:r>
      <w:bookmarkEnd w:id="117"/>
    </w:p>
    <w:p w14:paraId="4806B324">
      <w:pPr>
        <w:spacing w:before="152" w:line="332" w:lineRule="auto"/>
        <w:ind w:left="17" w:firstLine="559"/>
        <w:jc w:val="both"/>
        <w:rPr>
          <w:rFonts w:ascii="宋体" w:hAnsi="宋体" w:eastAsia="宋体" w:cs="宋体"/>
          <w:sz w:val="24"/>
          <w:szCs w:val="24"/>
        </w:rPr>
      </w:pPr>
      <w:r>
        <w:rPr>
          <w:rFonts w:ascii="宋体" w:hAnsi="宋体" w:eastAsia="宋体" w:cs="宋体"/>
          <w:spacing w:val="1"/>
          <w:sz w:val="24"/>
          <w:szCs w:val="24"/>
        </w:rPr>
        <w:t>招标人确定第一中标候选人为中标人，并在中标人确定之日起</w:t>
      </w:r>
      <w:r>
        <w:rPr>
          <w:rFonts w:ascii="Times New Roman" w:hAnsi="Times New Roman" w:eastAsia="Times New Roman" w:cs="Times New Roman"/>
          <w:spacing w:val="1"/>
          <w:sz w:val="24"/>
          <w:szCs w:val="24"/>
        </w:rPr>
        <w:t>7</w:t>
      </w:r>
      <w:r>
        <w:rPr>
          <w:rFonts w:ascii="宋体" w:hAnsi="宋体" w:eastAsia="宋体" w:cs="宋体"/>
          <w:spacing w:val="1"/>
          <w:sz w:val="24"/>
          <w:szCs w:val="24"/>
        </w:rPr>
        <w:t>日内向中</w:t>
      </w:r>
      <w:r>
        <w:rPr>
          <w:rFonts w:ascii="宋体" w:hAnsi="宋体" w:eastAsia="宋体" w:cs="宋体"/>
          <w:sz w:val="24"/>
          <w:szCs w:val="24"/>
        </w:rPr>
        <w:t>标人发</w:t>
      </w:r>
      <w:r>
        <w:rPr>
          <w:rFonts w:ascii="宋体" w:hAnsi="宋体" w:eastAsia="宋体" w:cs="宋体"/>
          <w:spacing w:val="-3"/>
          <w:sz w:val="24"/>
          <w:szCs w:val="24"/>
        </w:rPr>
        <w:t>出中标通知书，中标人必须按</w:t>
      </w:r>
      <w:r>
        <w:rPr>
          <w:rFonts w:hint="eastAsia" w:ascii="宋体" w:hAnsi="宋体" w:eastAsia="宋体" w:cs="宋体"/>
          <w:spacing w:val="-3"/>
          <w:sz w:val="24"/>
          <w:szCs w:val="24"/>
          <w:lang w:eastAsia="zh-CN"/>
        </w:rPr>
        <w:t>韶关市公共资源交易中心</w:t>
      </w:r>
      <w:r>
        <w:rPr>
          <w:rFonts w:ascii="宋体" w:hAnsi="宋体" w:eastAsia="宋体" w:cs="宋体"/>
          <w:spacing w:val="-3"/>
          <w:sz w:val="24"/>
          <w:szCs w:val="24"/>
        </w:rPr>
        <w:t>的规定办理相关手续后方可领取。</w:t>
      </w:r>
      <w:r>
        <w:rPr>
          <w:rFonts w:ascii="宋体" w:hAnsi="宋体" w:eastAsia="宋体" w:cs="宋体"/>
          <w:spacing w:val="-2"/>
          <w:sz w:val="24"/>
          <w:szCs w:val="24"/>
        </w:rPr>
        <w:t>中标通知书对招标人和中标人均具有法律约束力。中标通知书发出后，招标人改变中标</w:t>
      </w:r>
      <w:r>
        <w:rPr>
          <w:rFonts w:ascii="宋体" w:hAnsi="宋体" w:eastAsia="宋体" w:cs="宋体"/>
          <w:spacing w:val="-1"/>
          <w:sz w:val="24"/>
          <w:szCs w:val="24"/>
        </w:rPr>
        <w:t>结果和中标人放弃中标的，应当承担法律责任。</w:t>
      </w:r>
    </w:p>
    <w:p w14:paraId="7C1C5054">
      <w:pPr>
        <w:pStyle w:val="5"/>
        <w:spacing w:line="394" w:lineRule="auto"/>
      </w:pPr>
    </w:p>
    <w:p w14:paraId="75F50140">
      <w:pPr>
        <w:spacing w:before="78" w:line="221" w:lineRule="auto"/>
        <w:ind w:left="572"/>
        <w:outlineLvl w:val="2"/>
        <w:rPr>
          <w:rFonts w:ascii="宋体" w:hAnsi="宋体" w:eastAsia="宋体" w:cs="宋体"/>
          <w:sz w:val="24"/>
          <w:szCs w:val="24"/>
        </w:rPr>
      </w:pPr>
      <w:bookmarkStart w:id="118" w:name="_Toc7161"/>
      <w:r>
        <w:rPr>
          <w:rFonts w:ascii="Times New Roman" w:hAnsi="Times New Roman" w:eastAsia="Times New Roman" w:cs="Times New Roman"/>
          <w:b/>
          <w:bCs/>
          <w:spacing w:val="-7"/>
          <w:sz w:val="24"/>
          <w:szCs w:val="24"/>
        </w:rPr>
        <w:t>2</w:t>
      </w:r>
      <w:r>
        <w:rPr>
          <w:rFonts w:ascii="宋体" w:hAnsi="宋体" w:eastAsia="宋体" w:cs="宋体"/>
          <w:b/>
          <w:bCs/>
          <w:spacing w:val="-7"/>
          <w:sz w:val="24"/>
          <w:szCs w:val="24"/>
        </w:rPr>
        <w:t>．中标结果公示</w:t>
      </w:r>
      <w:bookmarkEnd w:id="118"/>
    </w:p>
    <w:p w14:paraId="1ECA912B">
      <w:pPr>
        <w:spacing w:before="115" w:line="316" w:lineRule="auto"/>
        <w:ind w:left="2" w:right="203" w:firstLine="595"/>
        <w:jc w:val="both"/>
        <w:rPr>
          <w:rFonts w:ascii="宋体" w:hAnsi="宋体" w:eastAsia="宋体" w:cs="宋体"/>
          <w:sz w:val="24"/>
          <w:szCs w:val="24"/>
        </w:rPr>
      </w:pPr>
      <w:r>
        <w:rPr>
          <w:rFonts w:ascii="宋体" w:hAnsi="宋体" w:eastAsia="宋体" w:cs="宋体"/>
          <w:spacing w:val="-2"/>
          <w:sz w:val="24"/>
          <w:szCs w:val="24"/>
        </w:rPr>
        <w:t>中标通知书发出后</w:t>
      </w:r>
      <w:r>
        <w:rPr>
          <w:rFonts w:ascii="Times New Roman" w:hAnsi="Times New Roman" w:eastAsia="Times New Roman" w:cs="Times New Roman"/>
          <w:spacing w:val="-2"/>
          <w:sz w:val="24"/>
          <w:szCs w:val="24"/>
        </w:rPr>
        <w:t>15</w:t>
      </w:r>
      <w:r>
        <w:rPr>
          <w:rFonts w:ascii="宋体" w:hAnsi="宋体" w:eastAsia="宋体" w:cs="宋体"/>
          <w:spacing w:val="-2"/>
          <w:sz w:val="24"/>
          <w:szCs w:val="24"/>
        </w:rPr>
        <w:t>日内，招标人应将中标结果在广东省招标投标</w:t>
      </w:r>
      <w:r>
        <w:rPr>
          <w:rFonts w:ascii="宋体" w:hAnsi="宋体" w:eastAsia="宋体" w:cs="宋体"/>
          <w:spacing w:val="-3"/>
          <w:sz w:val="24"/>
          <w:szCs w:val="24"/>
        </w:rPr>
        <w:t>监管网（</w:t>
      </w:r>
      <w:r>
        <w:rPr>
          <w:rFonts w:ascii="Times New Roman" w:hAnsi="Times New Roman" w:eastAsia="Times New Roman" w:cs="Times New Roman"/>
          <w:spacing w:val="-3"/>
          <w:sz w:val="24"/>
          <w:szCs w:val="24"/>
        </w:rPr>
        <w:t>http:</w:t>
      </w:r>
      <w:r>
        <w:rPr>
          <w:rFonts w:ascii="Times New Roman" w:hAnsi="Times New Roman" w:eastAsia="Times New Roman" w:cs="Times New Roman"/>
          <w:spacing w:val="-2"/>
          <w:sz w:val="24"/>
          <w:szCs w:val="24"/>
        </w:rPr>
        <w:t>//zbtb.gd.gov.cn</w:t>
      </w:r>
      <w:r>
        <w:rPr>
          <w:rFonts w:ascii="宋体" w:hAnsi="宋体" w:eastAsia="宋体" w:cs="宋体"/>
          <w:spacing w:val="-2"/>
          <w:sz w:val="24"/>
          <w:szCs w:val="24"/>
        </w:rPr>
        <w:t>）、全国公共资源交易平台（广东省·韶关市</w:t>
      </w:r>
      <w:r>
        <w:rPr>
          <w:rFonts w:ascii="宋体" w:hAnsi="宋体" w:eastAsia="宋体" w:cs="宋体"/>
          <w:spacing w:val="-34"/>
          <w:sz w:val="24"/>
          <w:szCs w:val="24"/>
        </w:rPr>
        <w:t>）（</w:t>
      </w:r>
      <w:r>
        <w:rPr>
          <w:rFonts w:ascii="Times New Roman" w:hAnsi="Times New Roman" w:eastAsia="Times New Roman" w:cs="Times New Roman"/>
          <w:spacing w:val="-2"/>
          <w:sz w:val="24"/>
          <w:szCs w:val="24"/>
        </w:rPr>
        <w:t>https://ygp.</w:t>
      </w:r>
      <w:r>
        <w:rPr>
          <w:rFonts w:ascii="Times New Roman" w:hAnsi="Times New Roman" w:eastAsia="Times New Roman" w:cs="Times New Roman"/>
          <w:spacing w:val="-3"/>
          <w:sz w:val="24"/>
          <w:szCs w:val="24"/>
        </w:rPr>
        <w:t>gdzwfw.gov.</w:t>
      </w:r>
      <w:r>
        <w:rPr>
          <w:rFonts w:ascii="Times New Roman" w:hAnsi="Times New Roman" w:eastAsia="Times New Roman" w:cs="Times New Roman"/>
          <w:sz w:val="24"/>
          <w:szCs w:val="24"/>
        </w:rPr>
        <w:t>cn/ggzy-portal/#/440200/index</w:t>
      </w:r>
      <w:r>
        <w:rPr>
          <w:rFonts w:ascii="宋体" w:hAnsi="宋体" w:eastAsia="宋体" w:cs="宋体"/>
          <w:sz w:val="24"/>
          <w:szCs w:val="24"/>
        </w:rPr>
        <w:t>）进行公示。</w:t>
      </w:r>
    </w:p>
    <w:p w14:paraId="78411BDE">
      <w:pPr>
        <w:pStyle w:val="5"/>
        <w:spacing w:line="475" w:lineRule="auto"/>
      </w:pPr>
    </w:p>
    <w:p w14:paraId="0EBD564F">
      <w:pPr>
        <w:spacing w:before="79" w:line="221" w:lineRule="auto"/>
        <w:ind w:left="570"/>
        <w:outlineLvl w:val="2"/>
        <w:rPr>
          <w:rFonts w:ascii="宋体" w:hAnsi="宋体" w:eastAsia="宋体" w:cs="宋体"/>
          <w:b/>
          <w:bCs/>
          <w:spacing w:val="-8"/>
          <w:sz w:val="24"/>
          <w:szCs w:val="24"/>
        </w:rPr>
      </w:pPr>
      <w:bookmarkStart w:id="119" w:name="_Toc15464"/>
      <w:r>
        <w:rPr>
          <w:rFonts w:ascii="Times New Roman" w:hAnsi="Times New Roman" w:eastAsia="Times New Roman" w:cs="Times New Roman"/>
          <w:b/>
          <w:bCs/>
          <w:spacing w:val="-8"/>
          <w:sz w:val="24"/>
          <w:szCs w:val="24"/>
        </w:rPr>
        <w:t>3</w:t>
      </w:r>
      <w:r>
        <w:rPr>
          <w:rFonts w:ascii="宋体" w:hAnsi="宋体" w:eastAsia="宋体" w:cs="宋体"/>
          <w:b/>
          <w:bCs/>
          <w:spacing w:val="-8"/>
          <w:sz w:val="24"/>
          <w:szCs w:val="24"/>
        </w:rPr>
        <w:t>．履约保证</w:t>
      </w:r>
      <w:bookmarkEnd w:id="119"/>
    </w:p>
    <w:p w14:paraId="07E43BC5">
      <w:pPr>
        <w:spacing w:before="89" w:line="286" w:lineRule="auto"/>
        <w:ind w:left="12" w:right="108" w:firstLine="473"/>
        <w:rPr>
          <w:rFonts w:ascii="Times New Roman" w:hAnsi="Times New Roman" w:eastAsia="Times New Roman" w:cs="Times New Roman"/>
          <w:b/>
          <w:bCs/>
          <w:color w:val="auto"/>
          <w:spacing w:val="1"/>
          <w:sz w:val="24"/>
          <w:szCs w:val="24"/>
        </w:rPr>
      </w:pPr>
      <w:r>
        <w:rPr>
          <w:rFonts w:ascii="Times New Roman" w:hAnsi="Times New Roman" w:eastAsia="Times New Roman" w:cs="Times New Roman"/>
          <w:b/>
          <w:bCs/>
          <w:color w:val="auto"/>
          <w:spacing w:val="1"/>
          <w:sz w:val="24"/>
          <w:szCs w:val="24"/>
        </w:rPr>
        <w:t>3.1</w:t>
      </w:r>
      <w:r>
        <w:rPr>
          <w:rFonts w:ascii="Times New Roman" w:hAnsi="Times New Roman" w:eastAsia="Times New Roman" w:cs="Times New Roman"/>
          <w:b w:val="0"/>
          <w:bCs w:val="0"/>
          <w:color w:val="auto"/>
          <w:spacing w:val="1"/>
          <w:sz w:val="24"/>
          <w:szCs w:val="24"/>
        </w:rPr>
        <w:t>中标人须在领取中标通知书之日起个工作日内、签订合同前向招标人提交金额为中标价</w:t>
      </w:r>
      <w:r>
        <w:rPr>
          <w:rFonts w:hint="eastAsia" w:ascii="Times New Roman" w:hAnsi="Times New Roman" w:eastAsia="Times New Roman" w:cs="Times New Roman"/>
          <w:b w:val="0"/>
          <w:bCs w:val="0"/>
          <w:color w:val="auto"/>
          <w:spacing w:val="1"/>
          <w:sz w:val="24"/>
          <w:szCs w:val="24"/>
          <w:lang w:eastAsia="zh-CN"/>
        </w:rPr>
        <w:t>3%</w:t>
      </w:r>
      <w:r>
        <w:rPr>
          <w:rFonts w:ascii="Times New Roman" w:hAnsi="Times New Roman" w:eastAsia="Times New Roman" w:cs="Times New Roman"/>
          <w:b w:val="0"/>
          <w:bCs w:val="0"/>
          <w:color w:val="auto"/>
          <w:spacing w:val="1"/>
          <w:sz w:val="24"/>
          <w:szCs w:val="24"/>
        </w:rPr>
        <w:t>的履约保证。联合体中标的，由联合体牵头人提交。</w:t>
      </w:r>
    </w:p>
    <w:p w14:paraId="5A1E2782">
      <w:pPr>
        <w:spacing w:before="89" w:line="286" w:lineRule="auto"/>
        <w:ind w:left="12" w:right="108" w:firstLine="473"/>
        <w:rPr>
          <w:rFonts w:ascii="宋体" w:hAnsi="宋体" w:eastAsia="宋体" w:cs="宋体"/>
          <w:color w:val="auto"/>
          <w:spacing w:val="-1"/>
          <w:sz w:val="24"/>
          <w:szCs w:val="24"/>
        </w:rPr>
      </w:pPr>
      <w:r>
        <w:rPr>
          <w:rFonts w:ascii="Times New Roman" w:hAnsi="Times New Roman" w:eastAsia="Times New Roman" w:cs="Times New Roman"/>
          <w:b/>
          <w:bCs/>
          <w:color w:val="auto"/>
          <w:spacing w:val="1"/>
          <w:sz w:val="24"/>
          <w:szCs w:val="24"/>
        </w:rPr>
        <w:t>3.2</w:t>
      </w:r>
      <w:r>
        <w:rPr>
          <w:rFonts w:ascii="宋体" w:hAnsi="宋体" w:eastAsia="宋体" w:cs="宋体"/>
          <w:color w:val="auto"/>
          <w:spacing w:val="-1"/>
          <w:position w:val="2"/>
          <w:sz w:val="24"/>
          <w:szCs w:val="24"/>
        </w:rPr>
        <w:t>中标人根据《关于统一在市公共资源交易一体化服务平台缴退工程建设项目履约保证金的通知》办理相关手续，履约保证的形式包括履约保证金、履约保证担保、履约保证保险三种，由中标人自主选择</w:t>
      </w:r>
      <w:r>
        <w:rPr>
          <w:rFonts w:ascii="宋体" w:hAnsi="宋体" w:eastAsia="宋体" w:cs="宋体"/>
          <w:color w:val="auto"/>
          <w:spacing w:val="-2"/>
          <w:sz w:val="24"/>
          <w:szCs w:val="24"/>
        </w:rPr>
        <w:t>。商业保函、银行保函或保险合同（或保险单）的</w:t>
      </w:r>
      <w:r>
        <w:rPr>
          <w:rFonts w:ascii="宋体" w:hAnsi="宋体" w:eastAsia="宋体" w:cs="宋体"/>
          <w:color w:val="auto"/>
          <w:spacing w:val="-1"/>
          <w:sz w:val="24"/>
          <w:szCs w:val="24"/>
        </w:rPr>
        <w:t>有效期应当自合同生效之日起至项目通过竣工验收之日后</w:t>
      </w:r>
      <w:r>
        <w:rPr>
          <w:rFonts w:ascii="Times New Roman" w:hAnsi="Times New Roman" w:eastAsia="Times New Roman" w:cs="Times New Roman"/>
          <w:color w:val="auto"/>
          <w:spacing w:val="-1"/>
          <w:sz w:val="24"/>
          <w:szCs w:val="24"/>
        </w:rPr>
        <w:t>28</w:t>
      </w:r>
      <w:r>
        <w:rPr>
          <w:rFonts w:ascii="宋体" w:hAnsi="宋体" w:eastAsia="宋体" w:cs="宋体"/>
          <w:color w:val="auto"/>
          <w:spacing w:val="-1"/>
          <w:sz w:val="24"/>
          <w:szCs w:val="24"/>
        </w:rPr>
        <w:t>天止。</w:t>
      </w:r>
    </w:p>
    <w:p w14:paraId="1FEFBCD0">
      <w:pPr>
        <w:wordWrap w:val="0"/>
        <w:spacing w:line="440" w:lineRule="exact"/>
        <w:ind w:firstLine="562"/>
        <w:rPr>
          <w:rFonts w:ascii="宋体" w:hAnsi="宋体" w:eastAsia="宋体" w:cs="宋体"/>
          <w:color w:val="auto"/>
          <w:lang w:eastAsia="zh-CN"/>
        </w:rPr>
      </w:pP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1"/>
          <w:position w:val="2"/>
          <w:sz w:val="24"/>
          <w:szCs w:val="24"/>
          <w:lang w:eastAsia="zh-CN"/>
        </w:rPr>
        <w:t>注：中标通知书发出时，招标人发起收缴履约保证金并填写保证金金额、缴交时限和项目工期；由中标人在建设工程交易系统中自主选择一种进行缴交。项目竣工后，由招标人发起退保。）</w:t>
      </w:r>
    </w:p>
    <w:p w14:paraId="58C38C9A">
      <w:pPr>
        <w:spacing w:before="145" w:line="319" w:lineRule="auto"/>
        <w:ind w:left="12" w:right="108" w:firstLine="473"/>
        <w:rPr>
          <w:rFonts w:ascii="宋体" w:hAnsi="宋体" w:eastAsia="宋体" w:cs="宋体"/>
          <w:sz w:val="24"/>
          <w:szCs w:val="24"/>
        </w:rPr>
      </w:pPr>
      <w:r>
        <w:rPr>
          <w:rFonts w:ascii="Times New Roman" w:hAnsi="Times New Roman" w:eastAsia="Times New Roman" w:cs="Times New Roman"/>
          <w:b/>
          <w:bCs/>
          <w:color w:val="auto"/>
          <w:spacing w:val="-4"/>
          <w:sz w:val="24"/>
          <w:szCs w:val="24"/>
        </w:rPr>
        <w:t>3.3</w:t>
      </w:r>
      <w:r>
        <w:rPr>
          <w:rFonts w:ascii="宋体" w:hAnsi="宋体" w:eastAsia="宋体" w:cs="宋体"/>
          <w:color w:val="auto"/>
          <w:spacing w:val="-4"/>
          <w:sz w:val="24"/>
          <w:szCs w:val="24"/>
        </w:rPr>
        <w:t>中标人在领取中标通知书之日起</w:t>
      </w:r>
      <w:r>
        <w:rPr>
          <w:rFonts w:ascii="Times New Roman" w:hAnsi="Times New Roman" w:eastAsia="Times New Roman" w:cs="Times New Roman"/>
          <w:color w:val="auto"/>
          <w:spacing w:val="-4"/>
          <w:sz w:val="24"/>
          <w:szCs w:val="24"/>
        </w:rPr>
        <w:t>10</w:t>
      </w:r>
      <w:r>
        <w:rPr>
          <w:rFonts w:ascii="宋体" w:hAnsi="宋体" w:eastAsia="宋体" w:cs="宋体"/>
          <w:color w:val="auto"/>
          <w:spacing w:val="-4"/>
          <w:sz w:val="24"/>
          <w:szCs w:val="24"/>
        </w:rPr>
        <w:t>个工</w:t>
      </w:r>
      <w:r>
        <w:rPr>
          <w:rFonts w:ascii="宋体" w:hAnsi="宋体" w:eastAsia="宋体" w:cs="宋体"/>
          <w:color w:val="auto"/>
          <w:spacing w:val="-5"/>
          <w:sz w:val="24"/>
          <w:szCs w:val="24"/>
        </w:rPr>
        <w:t>作日内仍未提交履约保证的，招标人发</w:t>
      </w:r>
      <w:r>
        <w:rPr>
          <w:rFonts w:ascii="宋体" w:hAnsi="宋体" w:eastAsia="宋体" w:cs="宋体"/>
          <w:color w:val="auto"/>
          <w:spacing w:val="1"/>
          <w:sz w:val="24"/>
          <w:szCs w:val="24"/>
        </w:rPr>
        <w:t>出第一次提醒函；在领取中标通知书之日起</w:t>
      </w:r>
      <w:r>
        <w:rPr>
          <w:rFonts w:ascii="Times New Roman" w:hAnsi="Times New Roman" w:eastAsia="Times New Roman" w:cs="Times New Roman"/>
          <w:color w:val="auto"/>
          <w:spacing w:val="1"/>
          <w:sz w:val="24"/>
          <w:szCs w:val="24"/>
        </w:rPr>
        <w:t>15</w:t>
      </w:r>
      <w:r>
        <w:rPr>
          <w:rFonts w:ascii="宋体" w:hAnsi="宋体" w:eastAsia="宋体" w:cs="宋体"/>
          <w:color w:val="auto"/>
          <w:spacing w:val="1"/>
          <w:sz w:val="24"/>
          <w:szCs w:val="24"/>
        </w:rPr>
        <w:t>个工作日内仍未提交的</w:t>
      </w:r>
      <w:r>
        <w:rPr>
          <w:rFonts w:ascii="宋体" w:hAnsi="宋体" w:eastAsia="宋体" w:cs="宋体"/>
          <w:color w:val="auto"/>
          <w:sz w:val="24"/>
          <w:szCs w:val="24"/>
        </w:rPr>
        <w:t>，招标人发出第</w:t>
      </w:r>
      <w:r>
        <w:rPr>
          <w:rFonts w:ascii="宋体" w:hAnsi="宋体" w:eastAsia="宋体" w:cs="宋体"/>
          <w:color w:val="auto"/>
          <w:spacing w:val="1"/>
          <w:sz w:val="24"/>
          <w:szCs w:val="24"/>
        </w:rPr>
        <w:t>二次提醒函；在领取中标通知书之日起</w:t>
      </w:r>
      <w:r>
        <w:rPr>
          <w:rFonts w:ascii="Times New Roman" w:hAnsi="Times New Roman" w:eastAsia="Times New Roman" w:cs="Times New Roman"/>
          <w:color w:val="auto"/>
          <w:spacing w:val="1"/>
          <w:sz w:val="24"/>
          <w:szCs w:val="24"/>
        </w:rPr>
        <w:t>20</w:t>
      </w:r>
      <w:r>
        <w:rPr>
          <w:rFonts w:ascii="宋体" w:hAnsi="宋体" w:eastAsia="宋体" w:cs="宋体"/>
          <w:color w:val="auto"/>
          <w:spacing w:val="1"/>
          <w:sz w:val="24"/>
          <w:szCs w:val="24"/>
        </w:rPr>
        <w:t>个工作日内仍未提交的，视其放弃中标。并</w:t>
      </w:r>
      <w:r>
        <w:rPr>
          <w:rFonts w:ascii="宋体" w:hAnsi="宋体" w:eastAsia="宋体" w:cs="宋体"/>
          <w:color w:val="auto"/>
          <w:spacing w:val="-2"/>
          <w:sz w:val="24"/>
          <w:szCs w:val="24"/>
        </w:rPr>
        <w:t>由招标</w:t>
      </w:r>
      <w:r>
        <w:rPr>
          <w:rFonts w:ascii="宋体" w:hAnsi="宋体" w:eastAsia="宋体" w:cs="宋体"/>
          <w:spacing w:val="-2"/>
          <w:sz w:val="24"/>
          <w:szCs w:val="24"/>
        </w:rPr>
        <w:t>人通报建设行政管理部门。如采用商业保函、银行保函或保险合同方式缴纳履约保证金，在保函或保险合同到期前一个月，中标人须主动办理续期手续或提交新的商业</w:t>
      </w:r>
      <w:r>
        <w:rPr>
          <w:rFonts w:ascii="宋体" w:hAnsi="宋体" w:eastAsia="宋体" w:cs="宋体"/>
          <w:spacing w:val="-1"/>
          <w:sz w:val="24"/>
          <w:szCs w:val="24"/>
        </w:rPr>
        <w:t>保函、银行保函或保险合同。</w:t>
      </w:r>
    </w:p>
    <w:p w14:paraId="20BE5E30">
      <w:pPr>
        <w:spacing w:before="152" w:line="299" w:lineRule="auto"/>
        <w:ind w:left="12" w:right="108" w:firstLine="474"/>
        <w:rPr>
          <w:rFonts w:ascii="宋体" w:hAnsi="宋体" w:eastAsia="宋体" w:cs="宋体"/>
          <w:sz w:val="24"/>
          <w:szCs w:val="24"/>
        </w:rPr>
      </w:pPr>
      <w:r>
        <w:rPr>
          <w:rFonts w:ascii="Times New Roman" w:hAnsi="Times New Roman" w:eastAsia="Times New Roman" w:cs="Times New Roman"/>
          <w:b/>
          <w:bCs/>
          <w:sz w:val="24"/>
          <w:szCs w:val="24"/>
        </w:rPr>
        <w:t>3.4</w:t>
      </w:r>
      <w:r>
        <w:rPr>
          <w:rFonts w:ascii="宋体" w:hAnsi="宋体" w:eastAsia="宋体" w:cs="宋体"/>
          <w:sz w:val="24"/>
          <w:szCs w:val="24"/>
        </w:rPr>
        <w:t>在工程实施过程中，如果承包人（即招标阶段的中标人，下同）由于自身的资</w:t>
      </w:r>
      <w:r>
        <w:rPr>
          <w:rFonts w:ascii="宋体" w:hAnsi="宋体" w:eastAsia="宋体" w:cs="宋体"/>
          <w:spacing w:val="-2"/>
          <w:sz w:val="24"/>
          <w:szCs w:val="24"/>
        </w:rPr>
        <w:t>金、技术、质量、非不可抗力等原因给发包人（即招标阶段的招标人，下同）造成经济</w:t>
      </w:r>
      <w:r>
        <w:rPr>
          <w:rFonts w:ascii="宋体" w:hAnsi="宋体" w:eastAsia="宋体" w:cs="宋体"/>
          <w:spacing w:val="-1"/>
          <w:sz w:val="24"/>
          <w:szCs w:val="24"/>
        </w:rPr>
        <w:t>损失，发包人有权扣划相应金额的履约保证。</w:t>
      </w:r>
    </w:p>
    <w:p w14:paraId="248F1D39">
      <w:pPr>
        <w:spacing w:before="154" w:line="220" w:lineRule="auto"/>
        <w:ind w:left="486"/>
        <w:rPr>
          <w:rFonts w:ascii="宋体" w:hAnsi="宋体" w:eastAsia="宋体" w:cs="宋体"/>
          <w:sz w:val="24"/>
          <w:szCs w:val="24"/>
        </w:rPr>
      </w:pPr>
      <w:r>
        <w:rPr>
          <w:rFonts w:ascii="Times New Roman" w:hAnsi="Times New Roman" w:eastAsia="Times New Roman" w:cs="Times New Roman"/>
          <w:b/>
          <w:bCs/>
          <w:sz w:val="24"/>
          <w:szCs w:val="24"/>
        </w:rPr>
        <w:t>3.5</w:t>
      </w:r>
      <w:r>
        <w:rPr>
          <w:rFonts w:ascii="宋体" w:hAnsi="宋体" w:eastAsia="宋体" w:cs="宋体"/>
          <w:sz w:val="24"/>
          <w:szCs w:val="24"/>
        </w:rPr>
        <w:t>项目通过竣工验收之日后</w:t>
      </w:r>
      <w:r>
        <w:rPr>
          <w:rFonts w:ascii="Times New Roman" w:hAnsi="Times New Roman" w:eastAsia="Times New Roman" w:cs="Times New Roman"/>
          <w:sz w:val="24"/>
          <w:szCs w:val="24"/>
        </w:rPr>
        <w:t>28</w:t>
      </w:r>
      <w:r>
        <w:rPr>
          <w:rFonts w:ascii="宋体" w:hAnsi="宋体" w:eastAsia="宋体" w:cs="宋体"/>
          <w:sz w:val="24"/>
          <w:szCs w:val="24"/>
        </w:rPr>
        <w:t>天内，发包人将履</w:t>
      </w:r>
      <w:r>
        <w:rPr>
          <w:rFonts w:ascii="宋体" w:hAnsi="宋体" w:eastAsia="宋体" w:cs="宋体"/>
          <w:spacing w:val="-1"/>
          <w:sz w:val="24"/>
          <w:szCs w:val="24"/>
        </w:rPr>
        <w:t>约保证退还给承包人。</w:t>
      </w:r>
    </w:p>
    <w:p w14:paraId="4FDAB776">
      <w:pPr>
        <w:pStyle w:val="5"/>
        <w:spacing w:line="256" w:lineRule="auto"/>
      </w:pPr>
    </w:p>
    <w:p w14:paraId="1413945F">
      <w:pPr>
        <w:pStyle w:val="5"/>
        <w:spacing w:line="257" w:lineRule="auto"/>
      </w:pPr>
    </w:p>
    <w:p w14:paraId="5A41001A">
      <w:pPr>
        <w:spacing w:before="78" w:line="222" w:lineRule="auto"/>
        <w:ind w:left="488"/>
        <w:outlineLvl w:val="2"/>
        <w:rPr>
          <w:rFonts w:ascii="宋体" w:hAnsi="宋体" w:eastAsia="宋体" w:cs="宋体"/>
          <w:sz w:val="24"/>
          <w:szCs w:val="24"/>
        </w:rPr>
      </w:pPr>
      <w:bookmarkStart w:id="120" w:name="_Toc8851"/>
      <w:r>
        <w:rPr>
          <w:rFonts w:ascii="Times New Roman" w:hAnsi="Times New Roman" w:eastAsia="Times New Roman" w:cs="Times New Roman"/>
          <w:b/>
          <w:bCs/>
          <w:spacing w:val="-8"/>
          <w:sz w:val="24"/>
          <w:szCs w:val="24"/>
        </w:rPr>
        <w:t>4</w:t>
      </w:r>
      <w:r>
        <w:rPr>
          <w:rFonts w:ascii="宋体" w:hAnsi="宋体" w:eastAsia="宋体" w:cs="宋体"/>
          <w:b/>
          <w:bCs/>
          <w:spacing w:val="-8"/>
          <w:sz w:val="24"/>
          <w:szCs w:val="24"/>
        </w:rPr>
        <w:t>．合同订立</w:t>
      </w:r>
      <w:bookmarkEnd w:id="120"/>
    </w:p>
    <w:p w14:paraId="2A5D3BDE">
      <w:pPr>
        <w:spacing w:before="150" w:line="279" w:lineRule="auto"/>
        <w:ind w:left="13" w:right="108" w:firstLine="474"/>
        <w:rPr>
          <w:rFonts w:ascii="宋体" w:hAnsi="宋体" w:eastAsia="宋体" w:cs="宋体"/>
          <w:sz w:val="24"/>
          <w:szCs w:val="24"/>
        </w:rPr>
      </w:pPr>
      <w:r>
        <w:rPr>
          <w:rFonts w:ascii="Times New Roman" w:hAnsi="Times New Roman" w:eastAsia="Times New Roman" w:cs="Times New Roman"/>
          <w:b/>
          <w:bCs/>
          <w:sz w:val="24"/>
          <w:szCs w:val="24"/>
        </w:rPr>
        <w:t>4.1</w:t>
      </w:r>
      <w:r>
        <w:rPr>
          <w:rFonts w:ascii="宋体" w:hAnsi="宋体" w:eastAsia="宋体" w:cs="宋体"/>
          <w:sz w:val="24"/>
          <w:szCs w:val="24"/>
        </w:rPr>
        <w:t>招标人应当自中标通知书发出之日起</w:t>
      </w:r>
      <w:r>
        <w:rPr>
          <w:rFonts w:ascii="宋体" w:hAnsi="宋体" w:eastAsia="宋体" w:cs="宋体"/>
          <w:sz w:val="24"/>
          <w:szCs w:val="24"/>
          <w:u w:val="single"/>
        </w:rPr>
        <w:t>三十</w:t>
      </w:r>
      <w:r>
        <w:rPr>
          <w:rFonts w:ascii="宋体" w:hAnsi="宋体" w:eastAsia="宋体" w:cs="宋体"/>
          <w:sz w:val="24"/>
          <w:szCs w:val="24"/>
        </w:rPr>
        <w:t>日内，按照招标文件、中标人的投标</w:t>
      </w:r>
      <w:r>
        <w:rPr>
          <w:rFonts w:ascii="宋体" w:hAnsi="宋体" w:eastAsia="宋体" w:cs="宋体"/>
          <w:spacing w:val="-1"/>
          <w:sz w:val="24"/>
          <w:szCs w:val="24"/>
        </w:rPr>
        <w:t>文件与中标人订立书面合同。</w:t>
      </w:r>
    </w:p>
    <w:p w14:paraId="187627C5">
      <w:pPr>
        <w:spacing w:before="156" w:line="219" w:lineRule="auto"/>
        <w:ind w:left="488"/>
        <w:rPr>
          <w:rFonts w:ascii="宋体" w:hAnsi="宋体" w:eastAsia="宋体" w:cs="宋体"/>
          <w:sz w:val="24"/>
          <w:szCs w:val="24"/>
        </w:rPr>
      </w:pPr>
      <w:r>
        <w:rPr>
          <w:rFonts w:ascii="Times New Roman" w:hAnsi="Times New Roman" w:eastAsia="Times New Roman" w:cs="Times New Roman"/>
          <w:b/>
          <w:bCs/>
          <w:spacing w:val="-1"/>
          <w:sz w:val="24"/>
          <w:szCs w:val="24"/>
        </w:rPr>
        <w:t>4.2</w:t>
      </w:r>
      <w:r>
        <w:rPr>
          <w:rFonts w:ascii="宋体" w:hAnsi="宋体" w:eastAsia="宋体" w:cs="宋体"/>
          <w:spacing w:val="-1"/>
          <w:sz w:val="24"/>
          <w:szCs w:val="24"/>
        </w:rPr>
        <w:t>不正常报价的梳理和确认</w:t>
      </w:r>
    </w:p>
    <w:p w14:paraId="01F29323">
      <w:pPr>
        <w:spacing w:before="154" w:line="299" w:lineRule="auto"/>
        <w:ind w:left="14" w:right="64" w:firstLine="473"/>
        <w:rPr>
          <w:rFonts w:ascii="宋体" w:hAnsi="宋体" w:eastAsia="宋体" w:cs="宋体"/>
          <w:sz w:val="24"/>
          <w:szCs w:val="24"/>
        </w:rPr>
      </w:pPr>
      <w:r>
        <w:rPr>
          <w:rFonts w:ascii="Times New Roman" w:hAnsi="Times New Roman" w:eastAsia="Times New Roman" w:cs="Times New Roman"/>
          <w:b/>
          <w:bCs/>
          <w:spacing w:val="1"/>
          <w:sz w:val="24"/>
          <w:szCs w:val="24"/>
        </w:rPr>
        <w:t>4.2.1</w:t>
      </w:r>
      <w:r>
        <w:rPr>
          <w:rFonts w:ascii="宋体" w:hAnsi="宋体" w:eastAsia="宋体" w:cs="宋体"/>
          <w:b/>
          <w:bCs/>
          <w:spacing w:val="1"/>
          <w:sz w:val="24"/>
          <w:szCs w:val="24"/>
        </w:rPr>
        <w:t>合同订立期间，在不改变中标人的投标总价的前提下，招标人应对中标人的</w:t>
      </w:r>
      <w:r>
        <w:rPr>
          <w:rFonts w:ascii="宋体" w:hAnsi="宋体" w:eastAsia="宋体" w:cs="宋体"/>
          <w:b/>
          <w:bCs/>
          <w:spacing w:val="-3"/>
          <w:sz w:val="24"/>
          <w:szCs w:val="24"/>
        </w:rPr>
        <w:t>投标报价进行全面分析和整理，从而发现并提取其中可能存在的算术性错误、错漏项、不平衡报价等不正常报价，并修正其中的算术性错误。</w:t>
      </w:r>
      <w:r>
        <w:rPr>
          <w:rFonts w:ascii="宋体" w:hAnsi="宋体" w:eastAsia="宋体" w:cs="宋体"/>
          <w:spacing w:val="-3"/>
          <w:sz w:val="24"/>
          <w:szCs w:val="24"/>
        </w:rPr>
        <w:t>招标人不具备</w:t>
      </w:r>
      <w:r>
        <w:rPr>
          <w:rFonts w:ascii="宋体" w:hAnsi="宋体" w:eastAsia="宋体" w:cs="宋体"/>
          <w:spacing w:val="-4"/>
          <w:sz w:val="24"/>
          <w:szCs w:val="24"/>
        </w:rPr>
        <w:t>以上能力的，可授</w:t>
      </w:r>
      <w:r>
        <w:rPr>
          <w:rFonts w:ascii="宋体" w:hAnsi="宋体" w:eastAsia="宋体" w:cs="宋体"/>
          <w:spacing w:val="-1"/>
          <w:sz w:val="24"/>
          <w:szCs w:val="24"/>
        </w:rPr>
        <w:t>权编制本项目招标控制价的造价咨询单位实施。</w:t>
      </w:r>
    </w:p>
    <w:p w14:paraId="3EA6BD15">
      <w:pPr>
        <w:spacing w:before="121" w:line="309" w:lineRule="auto"/>
        <w:ind w:left="14" w:right="65" w:firstLine="473"/>
        <w:rPr>
          <w:rFonts w:ascii="宋体" w:hAnsi="宋体" w:eastAsia="宋体" w:cs="宋体"/>
          <w:sz w:val="24"/>
          <w:szCs w:val="24"/>
        </w:rPr>
      </w:pPr>
      <w:r>
        <w:rPr>
          <w:rFonts w:ascii="Times New Roman" w:hAnsi="Times New Roman" w:eastAsia="Times New Roman" w:cs="Times New Roman"/>
          <w:b/>
          <w:bCs/>
          <w:spacing w:val="2"/>
          <w:sz w:val="24"/>
          <w:szCs w:val="24"/>
        </w:rPr>
        <w:t>4.2.2</w:t>
      </w:r>
      <w:r>
        <w:rPr>
          <w:rFonts w:ascii="宋体" w:hAnsi="宋体" w:eastAsia="宋体" w:cs="宋体"/>
          <w:spacing w:val="2"/>
          <w:sz w:val="24"/>
          <w:szCs w:val="24"/>
        </w:rPr>
        <w:t>算术性错误的分析和修正。投标报价汇</w:t>
      </w:r>
      <w:r>
        <w:rPr>
          <w:rFonts w:ascii="宋体" w:hAnsi="宋体" w:eastAsia="宋体" w:cs="宋体"/>
          <w:spacing w:val="1"/>
          <w:sz w:val="24"/>
          <w:szCs w:val="24"/>
        </w:rPr>
        <w:t>总表中，投标总价与各分项费用之和</w:t>
      </w:r>
      <w:r>
        <w:rPr>
          <w:rFonts w:ascii="宋体" w:hAnsi="宋体" w:eastAsia="宋体" w:cs="宋体"/>
          <w:spacing w:val="-2"/>
          <w:sz w:val="24"/>
          <w:szCs w:val="24"/>
        </w:rPr>
        <w:t>不一致的，以投标总价为准修正分项费用；投标报价汇总表的各分项费用与对应分项表中的费用不一致的，以投标报价汇总表中的分项费用为准修正对应分项表中的费用；各</w:t>
      </w:r>
      <w:r>
        <w:rPr>
          <w:rFonts w:ascii="宋体" w:hAnsi="宋体" w:eastAsia="宋体" w:cs="宋体"/>
          <w:sz w:val="24"/>
          <w:szCs w:val="24"/>
        </w:rPr>
        <w:t>分项表中总价金额与依据单价计算出的结果不</w:t>
      </w:r>
      <w:r>
        <w:rPr>
          <w:rFonts w:ascii="宋体" w:hAnsi="宋体" w:eastAsia="宋体" w:cs="宋体"/>
          <w:spacing w:val="-1"/>
          <w:sz w:val="24"/>
          <w:szCs w:val="24"/>
        </w:rPr>
        <w:t>一致的，以总价为准修正单价。</w:t>
      </w:r>
    </w:p>
    <w:p w14:paraId="7A0E1158">
      <w:pPr>
        <w:spacing w:before="157" w:line="279" w:lineRule="auto"/>
        <w:ind w:left="12" w:right="66" w:firstLine="476"/>
        <w:rPr>
          <w:rFonts w:ascii="宋体" w:hAnsi="宋体" w:eastAsia="宋体" w:cs="宋体"/>
          <w:sz w:val="24"/>
          <w:szCs w:val="24"/>
        </w:rPr>
      </w:pPr>
      <w:r>
        <w:rPr>
          <w:rFonts w:ascii="Times New Roman" w:hAnsi="Times New Roman" w:eastAsia="Times New Roman" w:cs="Times New Roman"/>
          <w:b/>
          <w:bCs/>
          <w:spacing w:val="2"/>
          <w:sz w:val="24"/>
          <w:szCs w:val="24"/>
        </w:rPr>
        <w:t>4.2.3</w:t>
      </w:r>
      <w:r>
        <w:rPr>
          <w:rFonts w:ascii="宋体" w:hAnsi="宋体" w:eastAsia="宋体" w:cs="宋体"/>
          <w:spacing w:val="2"/>
          <w:sz w:val="24"/>
          <w:szCs w:val="24"/>
        </w:rPr>
        <w:t>错漏项的认定。中标人已标价工程量清</w:t>
      </w:r>
      <w:r>
        <w:rPr>
          <w:rFonts w:ascii="宋体" w:hAnsi="宋体" w:eastAsia="宋体" w:cs="宋体"/>
          <w:spacing w:val="1"/>
          <w:sz w:val="24"/>
          <w:szCs w:val="24"/>
        </w:rPr>
        <w:t>单中，任一清单项目未填报价格或价</w:t>
      </w:r>
      <w:r>
        <w:rPr>
          <w:rFonts w:ascii="宋体" w:hAnsi="宋体" w:eastAsia="宋体" w:cs="宋体"/>
          <w:spacing w:val="-1"/>
          <w:sz w:val="24"/>
          <w:szCs w:val="24"/>
        </w:rPr>
        <w:t>格为零的，视为错漏项。</w:t>
      </w:r>
    </w:p>
    <w:p w14:paraId="30216516">
      <w:pPr>
        <w:keepNext w:val="0"/>
        <w:keepLines w:val="0"/>
        <w:pageBreakBefore w:val="0"/>
        <w:widowControl/>
        <w:kinsoku w:val="0"/>
        <w:wordWrap w:val="0"/>
        <w:overflowPunct/>
        <w:topLinePunct w:val="0"/>
        <w:autoSpaceDE w:val="0"/>
        <w:autoSpaceDN w:val="0"/>
        <w:bidi w:val="0"/>
        <w:adjustRightInd w:val="0"/>
        <w:snapToGrid w:val="0"/>
        <w:spacing w:before="121" w:line="360" w:lineRule="auto"/>
        <w:ind w:left="488"/>
        <w:textAlignment w:val="baseline"/>
        <w:rPr>
          <w:rFonts w:ascii="宋体" w:hAnsi="宋体" w:eastAsia="宋体" w:cs="宋体"/>
          <w:spacing w:val="2"/>
          <w:sz w:val="24"/>
          <w:szCs w:val="24"/>
        </w:rPr>
      </w:pPr>
      <w:r>
        <w:rPr>
          <w:rFonts w:ascii="Times New Roman" w:hAnsi="Times New Roman" w:eastAsia="Times New Roman" w:cs="Times New Roman"/>
          <w:b/>
          <w:bCs/>
          <w:spacing w:val="2"/>
          <w:sz w:val="24"/>
          <w:szCs w:val="24"/>
        </w:rPr>
        <w:t>4.2.4</w:t>
      </w:r>
      <w:r>
        <w:rPr>
          <w:rFonts w:ascii="宋体" w:hAnsi="宋体" w:eastAsia="宋体" w:cs="宋体"/>
          <w:spacing w:val="2"/>
          <w:sz w:val="24"/>
          <w:szCs w:val="24"/>
        </w:rPr>
        <w:t>不平衡报价的认定。经修正算术性错误后的中标人已标价工程量清单中，对于投标报价</w:t>
      </w:r>
    </w:p>
    <w:p w14:paraId="133EC964">
      <w:pPr>
        <w:keepNext w:val="0"/>
        <w:keepLines w:val="0"/>
        <w:pageBreakBefore w:val="0"/>
        <w:widowControl/>
        <w:kinsoku w:val="0"/>
        <w:wordWrap w:val="0"/>
        <w:overflowPunct/>
        <w:topLinePunct w:val="0"/>
        <w:autoSpaceDE w:val="0"/>
        <w:autoSpaceDN w:val="0"/>
        <w:bidi w:val="0"/>
        <w:adjustRightInd w:val="0"/>
        <w:snapToGrid w:val="0"/>
        <w:spacing w:before="121" w:line="360" w:lineRule="auto"/>
        <w:textAlignment w:val="baseline"/>
        <w:rPr>
          <w:rFonts w:ascii="宋体" w:hAnsi="宋体" w:eastAsia="宋体" w:cs="宋体"/>
          <w:sz w:val="24"/>
          <w:szCs w:val="24"/>
        </w:rPr>
      </w:pPr>
      <w:r>
        <w:rPr>
          <w:rFonts w:ascii="宋体" w:hAnsi="宋体" w:eastAsia="宋体" w:cs="宋体"/>
          <w:spacing w:val="2"/>
          <w:sz w:val="24"/>
          <w:szCs w:val="24"/>
        </w:rPr>
        <w:t>中综合单价相对招标控制价《分部分项工程和单价措施项目清单与计价表》中对应综合单价的偏差大于±15%的清</w:t>
      </w:r>
      <w:r>
        <w:rPr>
          <w:rFonts w:ascii="宋体" w:hAnsi="宋体" w:eastAsia="宋体" w:cs="宋体"/>
          <w:spacing w:val="-3"/>
          <w:sz w:val="24"/>
          <w:szCs w:val="24"/>
        </w:rPr>
        <w:t>单项目，视为不平衡报价项目。</w:t>
      </w:r>
    </w:p>
    <w:p w14:paraId="5D84BB29">
      <w:pPr>
        <w:spacing w:before="146" w:line="330" w:lineRule="auto"/>
        <w:ind w:left="10" w:right="65" w:firstLine="478"/>
        <w:jc w:val="both"/>
        <w:rPr>
          <w:rFonts w:ascii="宋体" w:hAnsi="宋体" w:eastAsia="宋体" w:cs="宋体"/>
          <w:sz w:val="24"/>
          <w:szCs w:val="24"/>
        </w:rPr>
      </w:pPr>
      <w:r>
        <w:rPr>
          <w:rFonts w:ascii="Times New Roman" w:hAnsi="Times New Roman" w:eastAsia="Times New Roman" w:cs="Times New Roman"/>
          <w:b/>
          <w:bCs/>
          <w:spacing w:val="-3"/>
          <w:sz w:val="24"/>
          <w:szCs w:val="24"/>
        </w:rPr>
        <w:t>4.2.5</w:t>
      </w:r>
      <w:r>
        <w:rPr>
          <w:rFonts w:ascii="宋体" w:hAnsi="宋体" w:eastAsia="宋体" w:cs="宋体"/>
          <w:spacing w:val="-3"/>
          <w:sz w:val="24"/>
          <w:szCs w:val="24"/>
        </w:rPr>
        <w:t>施工合同签订前，招标人或其授权的造价咨询单位应就发现的以上所有不平衡报价进行修正，形成《不平衡报价修正报告》，并由招标人和中标人共同签章确认，构成施工合同的组成部分。</w:t>
      </w:r>
    </w:p>
    <w:p w14:paraId="50839027">
      <w:pPr>
        <w:spacing w:before="34" w:line="326" w:lineRule="auto"/>
        <w:ind w:left="12" w:right="65" w:firstLine="475"/>
        <w:rPr>
          <w:rFonts w:ascii="宋体" w:hAnsi="宋体" w:eastAsia="宋体" w:cs="宋体"/>
          <w:sz w:val="24"/>
          <w:szCs w:val="24"/>
        </w:rPr>
      </w:pPr>
      <w:r>
        <w:rPr>
          <w:rFonts w:ascii="Times New Roman" w:hAnsi="Times New Roman" w:eastAsia="Times New Roman" w:cs="Times New Roman"/>
          <w:b/>
          <w:bCs/>
          <w:spacing w:val="1"/>
          <w:sz w:val="24"/>
          <w:szCs w:val="24"/>
        </w:rPr>
        <w:t>4.2.6</w:t>
      </w:r>
      <w:r>
        <w:rPr>
          <w:rFonts w:ascii="宋体" w:hAnsi="宋体" w:eastAsia="宋体" w:cs="宋体"/>
          <w:b/>
          <w:bCs/>
          <w:spacing w:val="1"/>
          <w:sz w:val="24"/>
          <w:szCs w:val="24"/>
        </w:rPr>
        <w:t>合同履行过程中，被认定为错漏项的清单项目，结算时按照第三章“拟签订</w:t>
      </w:r>
      <w:r>
        <w:rPr>
          <w:rFonts w:ascii="宋体" w:hAnsi="宋体" w:eastAsia="宋体" w:cs="宋体"/>
          <w:b/>
          <w:bCs/>
          <w:spacing w:val="-6"/>
          <w:sz w:val="24"/>
          <w:szCs w:val="24"/>
        </w:rPr>
        <w:t>合同的主要条款”规定处理。</w:t>
      </w:r>
    </w:p>
    <w:p w14:paraId="579D0941">
      <w:pPr>
        <w:spacing w:before="33" w:line="317" w:lineRule="auto"/>
        <w:ind w:left="12" w:right="38" w:firstLine="476"/>
        <w:jc w:val="both"/>
        <w:rPr>
          <w:rFonts w:ascii="宋体" w:hAnsi="宋体" w:eastAsia="宋体" w:cs="宋体"/>
          <w:sz w:val="24"/>
          <w:szCs w:val="24"/>
        </w:rPr>
      </w:pPr>
      <w:r>
        <w:rPr>
          <w:rFonts w:ascii="Times New Roman" w:hAnsi="Times New Roman" w:eastAsia="Times New Roman" w:cs="Times New Roman"/>
          <w:b/>
          <w:bCs/>
          <w:sz w:val="24"/>
          <w:szCs w:val="24"/>
        </w:rPr>
        <w:t>4.2.7</w:t>
      </w:r>
      <w:r>
        <w:rPr>
          <w:rFonts w:ascii="宋体" w:hAnsi="宋体" w:eastAsia="宋体" w:cs="宋体"/>
          <w:b/>
          <w:bCs/>
          <w:sz w:val="24"/>
          <w:szCs w:val="24"/>
        </w:rPr>
        <w:t>合同履行过程中，合同约定的调</w:t>
      </w:r>
      <w:r>
        <w:rPr>
          <w:rFonts w:ascii="宋体" w:hAnsi="宋体" w:eastAsia="宋体" w:cs="宋体"/>
          <w:b/>
          <w:bCs/>
          <w:spacing w:val="-1"/>
          <w:sz w:val="24"/>
          <w:szCs w:val="24"/>
        </w:rPr>
        <w:t>整因素（如工程量偏差、工程变更、项目特</w:t>
      </w:r>
      <w:r>
        <w:rPr>
          <w:rFonts w:ascii="宋体" w:hAnsi="宋体" w:eastAsia="宋体" w:cs="宋体"/>
          <w:b/>
          <w:bCs/>
          <w:spacing w:val="-4"/>
          <w:sz w:val="24"/>
          <w:szCs w:val="24"/>
        </w:rPr>
        <w:t>征不符、招标工程量清单缺项等）出现时，被认定为不平衡报价的清单项目以及</w:t>
      </w:r>
      <w:r>
        <w:rPr>
          <w:rFonts w:ascii="宋体" w:hAnsi="宋体" w:eastAsia="宋体" w:cs="宋体"/>
          <w:b/>
          <w:bCs/>
          <w:spacing w:val="-5"/>
          <w:sz w:val="24"/>
          <w:szCs w:val="24"/>
        </w:rPr>
        <w:t>采用被</w:t>
      </w:r>
      <w:r>
        <w:rPr>
          <w:rFonts w:ascii="宋体" w:hAnsi="宋体" w:eastAsia="宋体" w:cs="宋体"/>
          <w:b/>
          <w:bCs/>
          <w:spacing w:val="-3"/>
          <w:sz w:val="24"/>
          <w:szCs w:val="24"/>
        </w:rPr>
        <w:t>认定为不平衡报价的清单项目的价格作为取价（或参照取</w:t>
      </w:r>
      <w:r>
        <w:rPr>
          <w:rFonts w:ascii="宋体" w:hAnsi="宋体" w:eastAsia="宋体" w:cs="宋体"/>
          <w:b/>
          <w:bCs/>
          <w:spacing w:val="-4"/>
          <w:sz w:val="24"/>
          <w:szCs w:val="24"/>
        </w:rPr>
        <w:t>价）依据的变更、新增项目，</w:t>
      </w:r>
      <w:r>
        <w:rPr>
          <w:rFonts w:ascii="宋体" w:hAnsi="宋体" w:eastAsia="宋体" w:cs="宋体"/>
          <w:b/>
          <w:bCs/>
          <w:spacing w:val="-3"/>
          <w:sz w:val="24"/>
          <w:szCs w:val="24"/>
        </w:rPr>
        <w:t>按照第三章“拟签订合同的主要条款”有关规定调整</w:t>
      </w:r>
      <w:r>
        <w:rPr>
          <w:rFonts w:ascii="宋体" w:hAnsi="宋体" w:eastAsia="宋体" w:cs="宋体"/>
          <w:b/>
          <w:bCs/>
          <w:spacing w:val="-4"/>
          <w:sz w:val="24"/>
          <w:szCs w:val="24"/>
        </w:rPr>
        <w:t>合同价款。</w:t>
      </w:r>
    </w:p>
    <w:p w14:paraId="475422AE">
      <w:pPr>
        <w:spacing w:before="87" w:line="276" w:lineRule="auto"/>
        <w:ind w:left="487"/>
        <w:rPr>
          <w:rFonts w:ascii="宋体" w:hAnsi="宋体" w:eastAsia="宋体" w:cs="宋体"/>
          <w:sz w:val="24"/>
          <w:szCs w:val="24"/>
        </w:rPr>
      </w:pPr>
      <w:r>
        <w:rPr>
          <w:rFonts w:ascii="Times New Roman" w:hAnsi="Times New Roman" w:eastAsia="Times New Roman" w:cs="Times New Roman"/>
          <w:b/>
          <w:bCs/>
          <w:sz w:val="24"/>
          <w:szCs w:val="24"/>
        </w:rPr>
        <w:t>4.3</w:t>
      </w:r>
      <w:r>
        <w:rPr>
          <w:rFonts w:ascii="宋体" w:hAnsi="宋体" w:eastAsia="宋体" w:cs="宋体"/>
          <w:sz w:val="24"/>
          <w:szCs w:val="24"/>
        </w:rPr>
        <w:t>本招标项目合同计价方式为：</w:t>
      </w:r>
      <w:r>
        <w:rPr>
          <w:rFonts w:ascii="宋体" w:hAnsi="宋体" w:eastAsia="宋体" w:cs="宋体"/>
          <w:sz w:val="24"/>
          <w:szCs w:val="24"/>
          <w:u w:val="single"/>
        </w:rPr>
        <w:t>单价</w:t>
      </w:r>
      <w:r>
        <w:rPr>
          <w:rFonts w:ascii="宋体" w:hAnsi="宋体" w:eastAsia="宋体" w:cs="宋体"/>
          <w:spacing w:val="-1"/>
          <w:sz w:val="24"/>
          <w:szCs w:val="24"/>
        </w:rPr>
        <w:t>合同。</w:t>
      </w:r>
    </w:p>
    <w:p w14:paraId="517BE637">
      <w:pPr>
        <w:spacing w:before="120" w:line="298" w:lineRule="auto"/>
        <w:ind w:left="11" w:right="28" w:firstLine="476"/>
        <w:rPr>
          <w:rFonts w:ascii="宋体" w:hAnsi="宋体" w:eastAsia="宋体" w:cs="宋体"/>
          <w:sz w:val="24"/>
          <w:szCs w:val="24"/>
        </w:rPr>
      </w:pPr>
      <w:r>
        <w:rPr>
          <w:rFonts w:ascii="Times New Roman" w:hAnsi="Times New Roman" w:eastAsia="Times New Roman" w:cs="Times New Roman"/>
          <w:b/>
          <w:bCs/>
          <w:spacing w:val="-4"/>
          <w:sz w:val="24"/>
          <w:szCs w:val="24"/>
        </w:rPr>
        <w:t>4.4</w:t>
      </w:r>
      <w:r>
        <w:rPr>
          <w:rFonts w:ascii="宋体" w:hAnsi="宋体" w:eastAsia="宋体" w:cs="宋体"/>
          <w:spacing w:val="-4"/>
          <w:sz w:val="24"/>
          <w:szCs w:val="24"/>
        </w:rPr>
        <w:t>合同的标的、质量、履行期限条款和合同的价款、单</w:t>
      </w:r>
      <w:r>
        <w:rPr>
          <w:rFonts w:ascii="宋体" w:hAnsi="宋体" w:eastAsia="宋体" w:cs="宋体"/>
          <w:spacing w:val="-5"/>
          <w:sz w:val="24"/>
          <w:szCs w:val="24"/>
        </w:rPr>
        <w:t>价、比例条款等主要条款，</w:t>
      </w:r>
      <w:r>
        <w:rPr>
          <w:rFonts w:ascii="宋体" w:hAnsi="宋体" w:eastAsia="宋体" w:cs="宋体"/>
          <w:spacing w:val="-2"/>
          <w:sz w:val="24"/>
          <w:szCs w:val="24"/>
        </w:rPr>
        <w:t>应当与招标文件、中标人的投标文件的内容一致。中标人在签订合同时不得向招标人提出附加条件。</w:t>
      </w:r>
    </w:p>
    <w:p w14:paraId="07B11ACF">
      <w:pPr>
        <w:spacing w:before="158" w:line="298" w:lineRule="auto"/>
        <w:ind w:left="12" w:right="91" w:firstLine="474"/>
        <w:rPr>
          <w:rFonts w:ascii="宋体" w:hAnsi="宋体" w:eastAsia="宋体" w:cs="宋体"/>
          <w:sz w:val="24"/>
          <w:szCs w:val="24"/>
        </w:rPr>
      </w:pPr>
      <w:r>
        <w:rPr>
          <w:rFonts w:ascii="Times New Roman" w:hAnsi="Times New Roman" w:eastAsia="Times New Roman" w:cs="Times New Roman"/>
          <w:b/>
          <w:bCs/>
          <w:spacing w:val="-3"/>
          <w:sz w:val="24"/>
          <w:szCs w:val="24"/>
        </w:rPr>
        <w:t>4.5</w:t>
      </w:r>
      <w:r>
        <w:rPr>
          <w:rFonts w:ascii="宋体" w:hAnsi="宋体" w:eastAsia="宋体" w:cs="宋体"/>
          <w:spacing w:val="-3"/>
          <w:sz w:val="24"/>
          <w:szCs w:val="24"/>
        </w:rPr>
        <w:t>若中标人在领取中标通知书之日起</w:t>
      </w:r>
      <w:r>
        <w:rPr>
          <w:rFonts w:ascii="Times New Roman" w:hAnsi="Times New Roman" w:eastAsia="Times New Roman" w:cs="Times New Roman"/>
          <w:spacing w:val="-4"/>
          <w:sz w:val="24"/>
          <w:szCs w:val="24"/>
        </w:rPr>
        <w:t>30</w:t>
      </w:r>
      <w:r>
        <w:rPr>
          <w:rFonts w:ascii="宋体" w:hAnsi="宋体" w:eastAsia="宋体" w:cs="宋体"/>
          <w:spacing w:val="-4"/>
          <w:sz w:val="24"/>
          <w:szCs w:val="24"/>
        </w:rPr>
        <w:t>天内仍未签订合同，招标人发出第一次提</w:t>
      </w:r>
      <w:r>
        <w:rPr>
          <w:rFonts w:ascii="宋体" w:hAnsi="宋体" w:eastAsia="宋体" w:cs="宋体"/>
          <w:spacing w:val="1"/>
          <w:sz w:val="24"/>
          <w:szCs w:val="24"/>
        </w:rPr>
        <w:t>醒函；在领取中标通知书之日起</w:t>
      </w:r>
      <w:r>
        <w:rPr>
          <w:rFonts w:ascii="Times New Roman" w:hAnsi="Times New Roman" w:eastAsia="Times New Roman" w:cs="Times New Roman"/>
          <w:spacing w:val="1"/>
          <w:sz w:val="24"/>
          <w:szCs w:val="24"/>
        </w:rPr>
        <w:t>40</w:t>
      </w:r>
      <w:r>
        <w:rPr>
          <w:rFonts w:ascii="宋体" w:hAnsi="宋体" w:eastAsia="宋体" w:cs="宋体"/>
          <w:spacing w:val="1"/>
          <w:sz w:val="24"/>
          <w:szCs w:val="24"/>
        </w:rPr>
        <w:t>天内仍未签订，招标人发出第二次提醒函；在</w:t>
      </w:r>
      <w:r>
        <w:rPr>
          <w:rFonts w:ascii="宋体" w:hAnsi="宋体" w:eastAsia="宋体" w:cs="宋体"/>
          <w:sz w:val="24"/>
          <w:szCs w:val="24"/>
        </w:rPr>
        <w:t>领取</w:t>
      </w:r>
      <w:r>
        <w:rPr>
          <w:rFonts w:ascii="宋体" w:hAnsi="宋体" w:eastAsia="宋体" w:cs="宋体"/>
          <w:spacing w:val="-1"/>
          <w:sz w:val="24"/>
          <w:szCs w:val="24"/>
        </w:rPr>
        <w:t>中标通知书之日起</w:t>
      </w:r>
      <w:r>
        <w:rPr>
          <w:rFonts w:ascii="Times New Roman" w:hAnsi="Times New Roman" w:eastAsia="Times New Roman" w:cs="Times New Roman"/>
          <w:spacing w:val="-1"/>
          <w:sz w:val="24"/>
          <w:szCs w:val="24"/>
        </w:rPr>
        <w:t>45</w:t>
      </w:r>
      <w:r>
        <w:rPr>
          <w:rFonts w:ascii="宋体" w:hAnsi="宋体" w:eastAsia="宋体" w:cs="宋体"/>
          <w:spacing w:val="-1"/>
          <w:sz w:val="24"/>
          <w:szCs w:val="24"/>
        </w:rPr>
        <w:t>天内仍未签订，视其放弃中标。</w:t>
      </w:r>
    </w:p>
    <w:p w14:paraId="13614183">
      <w:pPr>
        <w:spacing w:before="155" w:line="299" w:lineRule="auto"/>
        <w:ind w:left="12" w:right="82" w:firstLine="474"/>
        <w:rPr>
          <w:rFonts w:ascii="宋体" w:hAnsi="宋体" w:eastAsia="宋体" w:cs="宋体"/>
          <w:sz w:val="24"/>
          <w:szCs w:val="24"/>
        </w:rPr>
      </w:pPr>
      <w:r>
        <w:rPr>
          <w:rFonts w:ascii="Times New Roman" w:hAnsi="Times New Roman" w:eastAsia="Times New Roman" w:cs="Times New Roman"/>
          <w:b/>
          <w:bCs/>
          <w:sz w:val="24"/>
          <w:szCs w:val="24"/>
        </w:rPr>
        <w:t>4.6</w:t>
      </w:r>
      <w:r>
        <w:rPr>
          <w:rFonts w:ascii="宋体" w:hAnsi="宋体" w:eastAsia="宋体" w:cs="宋体"/>
          <w:sz w:val="24"/>
          <w:szCs w:val="24"/>
        </w:rPr>
        <w:t>在书面合同订立之日起</w:t>
      </w:r>
      <w:r>
        <w:rPr>
          <w:rFonts w:ascii="Times New Roman" w:hAnsi="Times New Roman" w:eastAsia="Times New Roman" w:cs="Times New Roman"/>
          <w:sz w:val="24"/>
          <w:szCs w:val="24"/>
        </w:rPr>
        <w:t>2</w:t>
      </w:r>
      <w:r>
        <w:rPr>
          <w:rFonts w:ascii="宋体" w:hAnsi="宋体" w:eastAsia="宋体" w:cs="宋体"/>
          <w:sz w:val="24"/>
          <w:szCs w:val="24"/>
        </w:rPr>
        <w:t>个工作日内，由中标人或招标代理机构将合同上传至</w:t>
      </w:r>
      <w:r>
        <w:rPr>
          <w:rFonts w:ascii="宋体" w:hAnsi="宋体" w:eastAsia="宋体" w:cs="宋体"/>
          <w:spacing w:val="-2"/>
          <w:sz w:val="24"/>
          <w:szCs w:val="24"/>
        </w:rPr>
        <w:t>建设工程交易系统，并发起退还投标保证的申请。</w:t>
      </w:r>
      <w:r>
        <w:rPr>
          <w:rFonts w:hint="eastAsia" w:ascii="宋体" w:hAnsi="宋体" w:eastAsia="宋体" w:cs="宋体"/>
          <w:spacing w:val="-2"/>
          <w:sz w:val="24"/>
          <w:szCs w:val="24"/>
          <w:lang w:eastAsia="zh-CN"/>
        </w:rPr>
        <w:t>韶关市公共资源交易中心</w:t>
      </w:r>
      <w:r>
        <w:rPr>
          <w:rFonts w:ascii="宋体" w:hAnsi="宋体" w:eastAsia="宋体" w:cs="宋体"/>
          <w:spacing w:val="-2"/>
          <w:sz w:val="24"/>
          <w:szCs w:val="24"/>
        </w:rPr>
        <w:t>在收到申请之日起</w:t>
      </w:r>
      <w:r>
        <w:rPr>
          <w:rFonts w:ascii="Times New Roman" w:hAnsi="Times New Roman" w:eastAsia="Times New Roman" w:cs="Times New Roman"/>
          <w:spacing w:val="-2"/>
          <w:sz w:val="24"/>
          <w:szCs w:val="24"/>
        </w:rPr>
        <w:t>3</w:t>
      </w:r>
      <w:r>
        <w:rPr>
          <w:rFonts w:ascii="宋体" w:hAnsi="宋体" w:eastAsia="宋体" w:cs="宋体"/>
          <w:spacing w:val="-2"/>
          <w:sz w:val="24"/>
          <w:szCs w:val="24"/>
        </w:rPr>
        <w:t>个工作日内，将投标保证金（或银行保函）退还给中标人和其他中标候选人。</w:t>
      </w:r>
    </w:p>
    <w:p w14:paraId="382D1B67">
      <w:pPr>
        <w:pStyle w:val="5"/>
        <w:spacing w:line="256" w:lineRule="auto"/>
      </w:pPr>
    </w:p>
    <w:p w14:paraId="70A853BE">
      <w:pPr>
        <w:pStyle w:val="5"/>
        <w:spacing w:line="257" w:lineRule="auto"/>
      </w:pPr>
    </w:p>
    <w:p w14:paraId="04ACBB89">
      <w:pPr>
        <w:spacing w:before="78" w:line="220" w:lineRule="auto"/>
        <w:ind w:left="489"/>
        <w:outlineLvl w:val="2"/>
        <w:rPr>
          <w:rFonts w:ascii="宋体" w:hAnsi="宋体" w:eastAsia="宋体" w:cs="宋体"/>
          <w:sz w:val="24"/>
          <w:szCs w:val="24"/>
        </w:rPr>
      </w:pPr>
      <w:bookmarkStart w:id="121" w:name="_Toc23772"/>
      <w:r>
        <w:rPr>
          <w:rFonts w:ascii="Times New Roman" w:hAnsi="Times New Roman" w:eastAsia="Times New Roman" w:cs="Times New Roman"/>
          <w:b/>
          <w:bCs/>
          <w:spacing w:val="-6"/>
          <w:sz w:val="24"/>
          <w:szCs w:val="24"/>
        </w:rPr>
        <w:t>5</w:t>
      </w:r>
      <w:r>
        <w:rPr>
          <w:rFonts w:ascii="宋体" w:hAnsi="宋体" w:eastAsia="宋体" w:cs="宋体"/>
          <w:b/>
          <w:bCs/>
          <w:spacing w:val="-6"/>
          <w:sz w:val="24"/>
          <w:szCs w:val="24"/>
        </w:rPr>
        <w:t>．放弃中标的处理</w:t>
      </w:r>
      <w:bookmarkEnd w:id="121"/>
    </w:p>
    <w:p w14:paraId="31D48C11">
      <w:pPr>
        <w:spacing w:before="150" w:line="319" w:lineRule="auto"/>
        <w:ind w:left="12" w:right="91" w:firstLine="477"/>
        <w:rPr>
          <w:rFonts w:ascii="宋体" w:hAnsi="宋体" w:eastAsia="宋体" w:cs="宋体"/>
          <w:sz w:val="24"/>
          <w:szCs w:val="24"/>
        </w:rPr>
      </w:pPr>
      <w:r>
        <w:rPr>
          <w:rFonts w:ascii="Times New Roman" w:hAnsi="Times New Roman" w:eastAsia="Times New Roman" w:cs="Times New Roman"/>
          <w:b/>
          <w:bCs/>
          <w:spacing w:val="-1"/>
          <w:sz w:val="24"/>
          <w:szCs w:val="24"/>
        </w:rPr>
        <w:t>5.1</w:t>
      </w:r>
      <w:r>
        <w:rPr>
          <w:rFonts w:ascii="宋体" w:hAnsi="宋体" w:eastAsia="宋体" w:cs="宋体"/>
          <w:spacing w:val="-1"/>
          <w:sz w:val="24"/>
          <w:szCs w:val="24"/>
        </w:rPr>
        <w:t>中标人无正当理由放弃中标的，取消其中标资格，其投标保证不予退还，给招</w:t>
      </w:r>
      <w:r>
        <w:rPr>
          <w:rFonts w:ascii="宋体" w:hAnsi="宋体" w:eastAsia="宋体" w:cs="宋体"/>
          <w:spacing w:val="-2"/>
          <w:sz w:val="24"/>
          <w:szCs w:val="24"/>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ascii="宋体" w:hAnsi="宋体" w:eastAsia="宋体" w:cs="宋体"/>
          <w:b/>
          <w:bCs/>
          <w:spacing w:val="-2"/>
          <w:sz w:val="24"/>
          <w:szCs w:val="24"/>
        </w:rPr>
        <w:t>招</w:t>
      </w:r>
      <w:r>
        <w:rPr>
          <w:rFonts w:ascii="宋体" w:hAnsi="宋体" w:eastAsia="宋体" w:cs="宋体"/>
          <w:b/>
          <w:bCs/>
          <w:spacing w:val="-3"/>
          <w:sz w:val="24"/>
          <w:szCs w:val="24"/>
        </w:rPr>
        <w:t>标人应将该弃标人的失信行为向行政监督部门报告。</w:t>
      </w:r>
    </w:p>
    <w:p w14:paraId="64F5DF52">
      <w:pPr>
        <w:pStyle w:val="5"/>
        <w:spacing w:line="258" w:lineRule="auto"/>
      </w:pPr>
    </w:p>
    <w:p w14:paraId="11BB2C3C">
      <w:pPr>
        <w:pStyle w:val="5"/>
        <w:spacing w:line="258" w:lineRule="auto"/>
      </w:pPr>
    </w:p>
    <w:p w14:paraId="513A7218">
      <w:pPr>
        <w:spacing w:before="79" w:line="298" w:lineRule="auto"/>
        <w:ind w:left="10" w:right="91" w:firstLine="479"/>
        <w:rPr>
          <w:rFonts w:ascii="宋体" w:hAnsi="宋体" w:eastAsia="宋体" w:cs="宋体"/>
          <w:sz w:val="24"/>
          <w:szCs w:val="24"/>
        </w:rPr>
      </w:pPr>
      <w:r>
        <w:rPr>
          <w:rFonts w:ascii="Times New Roman" w:hAnsi="Times New Roman" w:eastAsia="Times New Roman" w:cs="Times New Roman"/>
          <w:b/>
          <w:bCs/>
          <w:spacing w:val="-5"/>
          <w:sz w:val="24"/>
          <w:szCs w:val="24"/>
        </w:rPr>
        <w:t>5.2</w:t>
      </w:r>
      <w:r>
        <w:rPr>
          <w:rFonts w:ascii="宋体" w:hAnsi="宋体" w:eastAsia="宋体" w:cs="宋体"/>
          <w:spacing w:val="-5"/>
          <w:sz w:val="24"/>
          <w:szCs w:val="24"/>
        </w:rPr>
        <w:t>中标人因不可抗力提出不能履行合同的，须在领取中标通知书之日起</w:t>
      </w:r>
      <w:r>
        <w:rPr>
          <w:rFonts w:ascii="Times New Roman" w:hAnsi="Times New Roman" w:eastAsia="Times New Roman" w:cs="Times New Roman"/>
          <w:spacing w:val="-5"/>
          <w:sz w:val="24"/>
          <w:szCs w:val="24"/>
        </w:rPr>
        <w:t>10</w:t>
      </w:r>
      <w:r>
        <w:rPr>
          <w:rFonts w:ascii="宋体" w:hAnsi="宋体" w:eastAsia="宋体" w:cs="宋体"/>
          <w:spacing w:val="-5"/>
          <w:sz w:val="24"/>
          <w:szCs w:val="24"/>
        </w:rPr>
        <w:t>天</w:t>
      </w:r>
      <w:r>
        <w:rPr>
          <w:rFonts w:ascii="宋体" w:hAnsi="宋体" w:eastAsia="宋体" w:cs="宋体"/>
          <w:spacing w:val="-6"/>
          <w:sz w:val="24"/>
          <w:szCs w:val="24"/>
        </w:rPr>
        <w:t>内提</w:t>
      </w:r>
      <w:r>
        <w:rPr>
          <w:rFonts w:ascii="宋体" w:hAnsi="宋体" w:eastAsia="宋体" w:cs="宋体"/>
          <w:spacing w:val="-2"/>
          <w:sz w:val="24"/>
          <w:szCs w:val="24"/>
        </w:rPr>
        <w:t>供有关证明文件或资料，其投标保证予以退还，招标人可按照评标委员会提出的中标候选人名单排序依次确定其他中标候选人为中标人。如果招标人认为其他中标候选人的条</w:t>
      </w:r>
      <w:bookmarkStart w:id="122" w:name="bookmark84"/>
      <w:bookmarkEnd w:id="122"/>
      <w:r>
        <w:rPr>
          <w:rFonts w:ascii="宋体" w:hAnsi="宋体" w:eastAsia="宋体" w:cs="宋体"/>
          <w:spacing w:val="-2"/>
          <w:sz w:val="24"/>
          <w:szCs w:val="24"/>
        </w:rPr>
        <w:t>件明显不利于招标人的，也可以重新招标</w:t>
      </w:r>
      <w:r>
        <w:rPr>
          <w:rFonts w:ascii="宋体" w:hAnsi="宋体" w:eastAsia="宋体" w:cs="宋体"/>
          <w:spacing w:val="-1"/>
          <w:sz w:val="24"/>
          <w:szCs w:val="24"/>
        </w:rPr>
        <w:t>。</w:t>
      </w:r>
    </w:p>
    <w:p w14:paraId="02CBCD5C">
      <w:pPr>
        <w:spacing w:line="220" w:lineRule="auto"/>
        <w:rPr>
          <w:rFonts w:ascii="宋体" w:hAnsi="宋体" w:eastAsia="宋体" w:cs="宋体"/>
          <w:sz w:val="24"/>
          <w:szCs w:val="24"/>
        </w:rPr>
        <w:sectPr>
          <w:footerReference r:id="rId12" w:type="default"/>
          <w:pgSz w:w="11906" w:h="16839"/>
          <w:pgMar w:top="720" w:right="720" w:bottom="720" w:left="720" w:header="0" w:footer="1023" w:gutter="0"/>
          <w:cols w:space="720" w:num="1"/>
        </w:sectPr>
      </w:pPr>
    </w:p>
    <w:p w14:paraId="61923CB4">
      <w:pPr>
        <w:pStyle w:val="5"/>
        <w:spacing w:line="304" w:lineRule="auto"/>
      </w:pPr>
    </w:p>
    <w:p w14:paraId="331663C2">
      <w:pPr>
        <w:spacing w:before="78" w:line="219" w:lineRule="auto"/>
        <w:ind w:left="2923"/>
        <w:outlineLvl w:val="1"/>
        <w:rPr>
          <w:rFonts w:ascii="宋体" w:hAnsi="宋体" w:eastAsia="宋体" w:cs="宋体"/>
          <w:sz w:val="24"/>
          <w:szCs w:val="24"/>
        </w:rPr>
      </w:pPr>
      <w:bookmarkStart w:id="123" w:name="bookmark86"/>
      <w:bookmarkEnd w:id="123"/>
      <w:bookmarkStart w:id="124" w:name="_Toc24083"/>
      <w:r>
        <w:rPr>
          <w:rFonts w:ascii="宋体" w:hAnsi="宋体" w:eastAsia="宋体" w:cs="宋体"/>
          <w:b/>
          <w:bCs/>
          <w:spacing w:val="-3"/>
          <w:sz w:val="24"/>
          <w:szCs w:val="24"/>
        </w:rPr>
        <w:t>第三章拟签订合同的主要条款</w:t>
      </w:r>
      <w:bookmarkEnd w:id="124"/>
    </w:p>
    <w:p w14:paraId="0E102187">
      <w:pPr>
        <w:pStyle w:val="5"/>
        <w:spacing w:line="257" w:lineRule="auto"/>
      </w:pPr>
    </w:p>
    <w:p w14:paraId="4DD8DB7B">
      <w:pPr>
        <w:pStyle w:val="5"/>
        <w:spacing w:line="257" w:lineRule="auto"/>
      </w:pPr>
    </w:p>
    <w:p w14:paraId="0FB999A8">
      <w:pPr>
        <w:spacing w:before="78" w:line="220" w:lineRule="auto"/>
        <w:ind w:left="498"/>
        <w:outlineLvl w:val="2"/>
        <w:rPr>
          <w:rFonts w:ascii="宋体" w:hAnsi="宋体" w:eastAsia="宋体" w:cs="宋体"/>
          <w:sz w:val="24"/>
          <w:szCs w:val="24"/>
        </w:rPr>
      </w:pPr>
      <w:bookmarkStart w:id="125" w:name="_Toc9967"/>
      <w:r>
        <w:rPr>
          <w:rFonts w:ascii="Times New Roman" w:hAnsi="Times New Roman" w:eastAsia="Times New Roman" w:cs="Times New Roman"/>
          <w:b/>
          <w:bCs/>
          <w:spacing w:val="-8"/>
          <w:sz w:val="24"/>
          <w:szCs w:val="24"/>
        </w:rPr>
        <w:t>1</w:t>
      </w:r>
      <w:r>
        <w:rPr>
          <w:rFonts w:ascii="宋体" w:hAnsi="宋体" w:eastAsia="宋体" w:cs="宋体"/>
          <w:b/>
          <w:bCs/>
          <w:spacing w:val="-8"/>
          <w:sz w:val="24"/>
          <w:szCs w:val="24"/>
        </w:rPr>
        <w:t>．工程承包方式</w:t>
      </w:r>
      <w:bookmarkEnd w:id="125"/>
    </w:p>
    <w:p w14:paraId="351C0A0E">
      <w:pPr>
        <w:spacing w:before="153" w:line="299" w:lineRule="auto"/>
        <w:ind w:left="11" w:right="295" w:firstLine="487"/>
        <w:rPr>
          <w:rFonts w:ascii="宋体" w:hAnsi="宋体" w:eastAsia="宋体" w:cs="宋体"/>
          <w:sz w:val="24"/>
          <w:szCs w:val="24"/>
        </w:rPr>
      </w:pPr>
      <w:r>
        <w:rPr>
          <w:rFonts w:ascii="Times New Roman" w:hAnsi="Times New Roman" w:eastAsia="Times New Roman" w:cs="Times New Roman"/>
          <w:b/>
          <w:bCs/>
          <w:sz w:val="24"/>
          <w:szCs w:val="24"/>
        </w:rPr>
        <w:t>1.1</w:t>
      </w:r>
      <w:r>
        <w:rPr>
          <w:rFonts w:ascii="宋体" w:hAnsi="宋体" w:eastAsia="宋体" w:cs="宋体"/>
          <w:sz w:val="24"/>
          <w:szCs w:val="24"/>
        </w:rPr>
        <w:t>承包人以中标价按包工包料、包质量、包安全包文明施工、包工期</w:t>
      </w:r>
      <w:r>
        <w:rPr>
          <w:rFonts w:ascii="宋体" w:hAnsi="宋体" w:eastAsia="宋体" w:cs="宋体"/>
          <w:spacing w:val="-1"/>
          <w:sz w:val="24"/>
          <w:szCs w:val="24"/>
        </w:rPr>
        <w:t>方式总承包</w:t>
      </w:r>
      <w:r>
        <w:rPr>
          <w:rFonts w:ascii="宋体" w:hAnsi="宋体" w:eastAsia="宋体" w:cs="宋体"/>
          <w:spacing w:val="-2"/>
          <w:sz w:val="24"/>
          <w:szCs w:val="24"/>
        </w:rPr>
        <w:t>施工，不允许转包和违法分包，如果确需分包须与发包人协商，在得到发包人和监理单</w:t>
      </w:r>
      <w:r>
        <w:rPr>
          <w:rFonts w:ascii="宋体" w:hAnsi="宋体" w:eastAsia="宋体" w:cs="宋体"/>
          <w:spacing w:val="-1"/>
          <w:sz w:val="24"/>
          <w:szCs w:val="24"/>
        </w:rPr>
        <w:t>位同意后报建设行政主管部门备案。</w:t>
      </w:r>
    </w:p>
    <w:p w14:paraId="487DF550">
      <w:pPr>
        <w:spacing w:before="153" w:line="219" w:lineRule="auto"/>
        <w:ind w:left="580"/>
        <w:rPr>
          <w:rFonts w:ascii="宋体" w:hAnsi="宋体" w:eastAsia="宋体" w:cs="宋体"/>
          <w:sz w:val="24"/>
          <w:szCs w:val="24"/>
        </w:rPr>
      </w:pPr>
      <w:r>
        <w:rPr>
          <w:rFonts w:ascii="Times New Roman" w:hAnsi="Times New Roman" w:eastAsia="Times New Roman" w:cs="Times New Roman"/>
          <w:b/>
          <w:bCs/>
          <w:spacing w:val="-1"/>
          <w:sz w:val="24"/>
          <w:szCs w:val="24"/>
        </w:rPr>
        <w:t>1.1.1</w:t>
      </w:r>
      <w:r>
        <w:rPr>
          <w:rFonts w:ascii="宋体" w:hAnsi="宋体" w:eastAsia="宋体" w:cs="宋体"/>
          <w:spacing w:val="-1"/>
          <w:sz w:val="24"/>
          <w:szCs w:val="24"/>
        </w:rPr>
        <w:t>包工包料：材料符合招标文件要求并报验使用；办理用工保险。</w:t>
      </w:r>
    </w:p>
    <w:p w14:paraId="025DE7FA">
      <w:pPr>
        <w:spacing w:before="156" w:line="220" w:lineRule="auto"/>
        <w:ind w:left="580"/>
        <w:rPr>
          <w:rFonts w:ascii="宋体" w:hAnsi="宋体" w:eastAsia="宋体" w:cs="宋体"/>
          <w:sz w:val="24"/>
          <w:szCs w:val="24"/>
        </w:rPr>
      </w:pPr>
      <w:r>
        <w:rPr>
          <w:rFonts w:ascii="Times New Roman" w:hAnsi="Times New Roman" w:eastAsia="Times New Roman" w:cs="Times New Roman"/>
          <w:b/>
          <w:bCs/>
          <w:spacing w:val="-1"/>
          <w:sz w:val="24"/>
          <w:szCs w:val="24"/>
        </w:rPr>
        <w:t>1.1.2</w:t>
      </w:r>
      <w:r>
        <w:rPr>
          <w:rFonts w:ascii="宋体" w:hAnsi="宋体" w:eastAsia="宋体" w:cs="宋体"/>
          <w:spacing w:val="-1"/>
          <w:sz w:val="24"/>
          <w:szCs w:val="24"/>
        </w:rPr>
        <w:t>包质量：符合招标文件要求。</w:t>
      </w:r>
    </w:p>
    <w:p w14:paraId="4E7D8F54">
      <w:pPr>
        <w:spacing w:before="153" w:line="220" w:lineRule="auto"/>
        <w:ind w:left="580"/>
        <w:rPr>
          <w:rFonts w:ascii="宋体" w:hAnsi="宋体" w:eastAsia="宋体" w:cs="宋体"/>
          <w:sz w:val="24"/>
          <w:szCs w:val="24"/>
        </w:rPr>
      </w:pPr>
      <w:r>
        <w:rPr>
          <w:rFonts w:ascii="Times New Roman" w:hAnsi="Times New Roman" w:eastAsia="Times New Roman" w:cs="Times New Roman"/>
          <w:b/>
          <w:bCs/>
          <w:spacing w:val="-1"/>
          <w:sz w:val="24"/>
          <w:szCs w:val="24"/>
        </w:rPr>
        <w:t>1.1.3</w:t>
      </w:r>
      <w:r>
        <w:rPr>
          <w:rFonts w:ascii="宋体" w:hAnsi="宋体" w:eastAsia="宋体" w:cs="宋体"/>
          <w:spacing w:val="-1"/>
          <w:sz w:val="24"/>
          <w:szCs w:val="24"/>
        </w:rPr>
        <w:t>包安全包文明施工：符合招标文件要求。</w:t>
      </w:r>
    </w:p>
    <w:p w14:paraId="6EFCD5BB">
      <w:pPr>
        <w:spacing w:before="154" w:line="219" w:lineRule="auto"/>
        <w:ind w:left="580"/>
        <w:rPr>
          <w:rFonts w:ascii="宋体" w:hAnsi="宋体" w:eastAsia="宋体" w:cs="宋体"/>
          <w:sz w:val="24"/>
          <w:szCs w:val="24"/>
        </w:rPr>
      </w:pPr>
      <w:r>
        <w:rPr>
          <w:rFonts w:ascii="Times New Roman" w:hAnsi="Times New Roman" w:eastAsia="Times New Roman" w:cs="Times New Roman"/>
          <w:b/>
          <w:bCs/>
          <w:spacing w:val="-1"/>
          <w:sz w:val="24"/>
          <w:szCs w:val="24"/>
        </w:rPr>
        <w:t>1.1.4</w:t>
      </w:r>
      <w:r>
        <w:rPr>
          <w:rFonts w:ascii="宋体" w:hAnsi="宋体" w:eastAsia="宋体" w:cs="宋体"/>
          <w:spacing w:val="-1"/>
          <w:sz w:val="24"/>
          <w:szCs w:val="24"/>
        </w:rPr>
        <w:t>包工期：本招标项目施工必须在招标工期内完成。</w:t>
      </w:r>
    </w:p>
    <w:p w14:paraId="2AE4B9E2">
      <w:pPr>
        <w:pStyle w:val="5"/>
        <w:spacing w:line="257" w:lineRule="auto"/>
      </w:pPr>
    </w:p>
    <w:p w14:paraId="4A9CEB5F">
      <w:pPr>
        <w:pStyle w:val="5"/>
        <w:spacing w:line="257" w:lineRule="auto"/>
      </w:pPr>
    </w:p>
    <w:p w14:paraId="586E6C01">
      <w:pPr>
        <w:spacing w:before="78" w:line="220" w:lineRule="auto"/>
        <w:ind w:left="488"/>
        <w:outlineLvl w:val="2"/>
        <w:rPr>
          <w:rFonts w:ascii="宋体" w:hAnsi="宋体" w:eastAsia="宋体" w:cs="宋体"/>
          <w:sz w:val="24"/>
          <w:szCs w:val="24"/>
        </w:rPr>
      </w:pPr>
      <w:bookmarkStart w:id="126" w:name="bookmark88"/>
      <w:bookmarkEnd w:id="126"/>
      <w:bookmarkStart w:id="127" w:name="_Toc4294"/>
      <w:r>
        <w:rPr>
          <w:rFonts w:ascii="Times New Roman" w:hAnsi="Times New Roman" w:eastAsia="Times New Roman" w:cs="Times New Roman"/>
          <w:b/>
          <w:bCs/>
          <w:spacing w:val="-7"/>
          <w:sz w:val="24"/>
          <w:szCs w:val="24"/>
        </w:rPr>
        <w:t>2</w:t>
      </w:r>
      <w:r>
        <w:rPr>
          <w:rFonts w:ascii="宋体" w:hAnsi="宋体" w:eastAsia="宋体" w:cs="宋体"/>
          <w:b/>
          <w:bCs/>
          <w:spacing w:val="-7"/>
          <w:sz w:val="24"/>
          <w:szCs w:val="24"/>
        </w:rPr>
        <w:t>．工程结算原则</w:t>
      </w:r>
      <w:bookmarkEnd w:id="127"/>
    </w:p>
    <w:p w14:paraId="0F272A5D">
      <w:pPr>
        <w:spacing w:before="153" w:line="219" w:lineRule="auto"/>
        <w:ind w:left="488"/>
        <w:rPr>
          <w:rFonts w:ascii="宋体" w:hAnsi="宋体" w:eastAsia="宋体" w:cs="宋体"/>
          <w:sz w:val="24"/>
          <w:szCs w:val="24"/>
        </w:rPr>
      </w:pPr>
      <w:r>
        <w:rPr>
          <w:rFonts w:ascii="Times New Roman" w:hAnsi="Times New Roman" w:eastAsia="Times New Roman" w:cs="Times New Roman"/>
          <w:b/>
          <w:bCs/>
          <w:spacing w:val="-1"/>
          <w:sz w:val="24"/>
          <w:szCs w:val="24"/>
        </w:rPr>
        <w:t>2.1</w:t>
      </w:r>
      <w:r>
        <w:rPr>
          <w:rFonts w:ascii="宋体" w:hAnsi="宋体" w:eastAsia="宋体" w:cs="宋体"/>
          <w:spacing w:val="-1"/>
          <w:sz w:val="24"/>
          <w:szCs w:val="24"/>
        </w:rPr>
        <w:t>承包人的投标总价为中标价，即为签约合同价。</w:t>
      </w:r>
    </w:p>
    <w:p w14:paraId="0DA9D194">
      <w:pPr>
        <w:spacing w:before="155" w:line="319" w:lineRule="auto"/>
        <w:ind w:left="12" w:right="231" w:firstLine="476"/>
        <w:rPr>
          <w:rFonts w:ascii="宋体" w:hAnsi="宋体" w:eastAsia="宋体" w:cs="宋体"/>
          <w:color w:val="auto"/>
          <w:sz w:val="24"/>
          <w:szCs w:val="24"/>
        </w:rPr>
      </w:pPr>
      <w:r>
        <w:rPr>
          <w:rFonts w:ascii="Times New Roman" w:hAnsi="Times New Roman" w:eastAsia="Times New Roman" w:cs="Times New Roman"/>
          <w:b/>
          <w:bCs/>
          <w:spacing w:val="2"/>
          <w:sz w:val="24"/>
          <w:szCs w:val="24"/>
        </w:rPr>
        <w:t>2.2</w:t>
      </w:r>
      <w:r>
        <w:rPr>
          <w:rFonts w:ascii="宋体" w:hAnsi="宋体" w:eastAsia="宋体" w:cs="宋体"/>
          <w:color w:val="auto"/>
          <w:spacing w:val="2"/>
          <w:sz w:val="24"/>
          <w:szCs w:val="24"/>
        </w:rPr>
        <w:t>招标工程量清单标明的工程量是投标人投标报价的</w:t>
      </w:r>
      <w:r>
        <w:rPr>
          <w:rFonts w:ascii="宋体" w:hAnsi="宋体" w:eastAsia="宋体" w:cs="宋体"/>
          <w:color w:val="auto"/>
          <w:spacing w:val="1"/>
          <w:sz w:val="24"/>
          <w:szCs w:val="24"/>
        </w:rPr>
        <w:t>共同基础，竣工结算的工程</w:t>
      </w:r>
      <w:r>
        <w:rPr>
          <w:rFonts w:ascii="宋体" w:hAnsi="宋体" w:eastAsia="宋体" w:cs="宋体"/>
          <w:color w:val="auto"/>
          <w:spacing w:val="-5"/>
          <w:sz w:val="24"/>
          <w:szCs w:val="24"/>
        </w:rPr>
        <w:t>量按</w:t>
      </w:r>
      <w:r>
        <w:rPr>
          <w:rFonts w:hint="eastAsia" w:ascii="宋体" w:hAnsi="宋体" w:eastAsia="宋体" w:cs="宋体"/>
          <w:color w:val="auto"/>
          <w:spacing w:val="-5"/>
          <w:sz w:val="24"/>
          <w:szCs w:val="24"/>
          <w:lang w:eastAsia="zh-CN"/>
        </w:rPr>
        <w:t>《建设工程工程量清单计价标准》（GB/T50500-2024）</w:t>
      </w:r>
      <w:r>
        <w:rPr>
          <w:rFonts w:ascii="宋体" w:hAnsi="宋体" w:eastAsia="宋体" w:cs="宋体"/>
          <w:color w:val="auto"/>
          <w:spacing w:val="-5"/>
          <w:sz w:val="24"/>
          <w:szCs w:val="24"/>
        </w:rPr>
        <w:t>对工程计量的规定进行计量，</w:t>
      </w:r>
      <w:r>
        <w:rPr>
          <w:rFonts w:ascii="宋体" w:hAnsi="宋体" w:eastAsia="宋体" w:cs="宋体"/>
          <w:color w:val="auto"/>
          <w:spacing w:val="-2"/>
          <w:sz w:val="24"/>
          <w:szCs w:val="24"/>
        </w:rPr>
        <w:t>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w:t>
      </w:r>
      <w:r>
        <w:rPr>
          <w:rFonts w:ascii="宋体" w:hAnsi="宋体" w:eastAsia="宋体" w:cs="宋体"/>
          <w:color w:val="auto"/>
          <w:spacing w:val="-1"/>
          <w:sz w:val="24"/>
          <w:szCs w:val="24"/>
        </w:rPr>
        <w:t>的工程量，发包人不予计量。</w:t>
      </w:r>
    </w:p>
    <w:p w14:paraId="0283681D">
      <w:pPr>
        <w:spacing w:before="38" w:line="299" w:lineRule="auto"/>
        <w:ind w:left="12" w:right="183" w:firstLine="475"/>
        <w:rPr>
          <w:rFonts w:ascii="宋体" w:hAnsi="宋体" w:eastAsia="宋体" w:cs="宋体"/>
          <w:sz w:val="24"/>
          <w:szCs w:val="24"/>
        </w:rPr>
      </w:pPr>
      <w:r>
        <w:rPr>
          <w:rFonts w:ascii="Times New Roman" w:hAnsi="Times New Roman" w:eastAsia="Times New Roman" w:cs="Times New Roman"/>
          <w:b/>
          <w:bCs/>
          <w:sz w:val="24"/>
          <w:szCs w:val="24"/>
        </w:rPr>
        <w:t>2.3</w:t>
      </w:r>
      <w:r>
        <w:rPr>
          <w:rFonts w:ascii="宋体" w:hAnsi="宋体" w:eastAsia="宋体" w:cs="宋体"/>
          <w:sz w:val="24"/>
          <w:szCs w:val="24"/>
        </w:rPr>
        <w:t>施工合同履行期间，若出现下列情形的，发、承包双方应当按照以下规定调整</w:t>
      </w:r>
      <w:r>
        <w:rPr>
          <w:rFonts w:ascii="宋体" w:hAnsi="宋体" w:eastAsia="宋体" w:cs="宋体"/>
          <w:spacing w:val="-3"/>
          <w:sz w:val="24"/>
          <w:szCs w:val="24"/>
        </w:rPr>
        <w:t>合同价款：</w:t>
      </w:r>
    </w:p>
    <w:p w14:paraId="1F42D528">
      <w:pPr>
        <w:spacing w:before="227" w:line="220" w:lineRule="auto"/>
        <w:ind w:left="487"/>
        <w:rPr>
          <w:rFonts w:ascii="宋体" w:hAnsi="宋体" w:eastAsia="宋体" w:cs="宋体"/>
          <w:sz w:val="24"/>
          <w:szCs w:val="24"/>
        </w:rPr>
      </w:pPr>
      <w:r>
        <w:rPr>
          <w:rFonts w:ascii="Times New Roman" w:hAnsi="Times New Roman" w:eastAsia="Times New Roman" w:cs="Times New Roman"/>
          <w:b/>
          <w:bCs/>
          <w:spacing w:val="-1"/>
          <w:sz w:val="24"/>
          <w:szCs w:val="24"/>
        </w:rPr>
        <w:t>2.3.1</w:t>
      </w:r>
      <w:r>
        <w:rPr>
          <w:rFonts w:ascii="宋体" w:hAnsi="宋体" w:eastAsia="宋体" w:cs="宋体"/>
          <w:spacing w:val="-1"/>
          <w:sz w:val="24"/>
          <w:szCs w:val="24"/>
        </w:rPr>
        <w:t>法律法规变化</w:t>
      </w:r>
    </w:p>
    <w:p w14:paraId="4CDC5AAD">
      <w:pPr>
        <w:spacing w:before="156" w:line="298" w:lineRule="auto"/>
        <w:ind w:left="10" w:right="183" w:firstLine="477"/>
        <w:rPr>
          <w:rFonts w:ascii="宋体" w:hAnsi="宋体" w:eastAsia="宋体" w:cs="宋体"/>
          <w:sz w:val="24"/>
          <w:szCs w:val="24"/>
        </w:rPr>
      </w:pPr>
      <w:r>
        <w:fldChar w:fldCharType="begin"/>
      </w:r>
      <w:r>
        <w:instrText xml:space="preserve">HYPERLINK"2.3.1.1"</w:instrText>
      </w:r>
      <w:r>
        <w:fldChar w:fldCharType="separate"/>
      </w:r>
      <w:r>
        <w:rPr>
          <w:rFonts w:ascii="Times New Roman" w:hAnsi="Times New Roman" w:eastAsia="Times New Roman" w:cs="Times New Roman"/>
          <w:b/>
          <w:bCs/>
          <w:spacing w:val="-3"/>
          <w:sz w:val="24"/>
          <w:szCs w:val="24"/>
        </w:rPr>
        <w:t>2.3.1.1</w:t>
      </w:r>
      <w:r>
        <w:rPr>
          <w:rFonts w:ascii="Times New Roman" w:hAnsi="Times New Roman" w:eastAsia="Times New Roman" w:cs="Times New Roman"/>
          <w:b/>
          <w:bCs/>
          <w:spacing w:val="-3"/>
          <w:sz w:val="24"/>
          <w:szCs w:val="24"/>
        </w:rPr>
        <w:fldChar w:fldCharType="end"/>
      </w:r>
      <w:r>
        <w:rPr>
          <w:rFonts w:ascii="宋体" w:hAnsi="宋体" w:eastAsia="宋体" w:cs="宋体"/>
          <w:spacing w:val="-3"/>
          <w:sz w:val="24"/>
          <w:szCs w:val="24"/>
        </w:rPr>
        <w:t>基准日之后，因国家法律、法规、规章和政策发生变化引起工程造价增减变</w:t>
      </w:r>
      <w:r>
        <w:rPr>
          <w:rFonts w:ascii="宋体" w:hAnsi="宋体" w:eastAsia="宋体" w:cs="宋体"/>
          <w:spacing w:val="-2"/>
          <w:sz w:val="24"/>
          <w:szCs w:val="24"/>
        </w:rPr>
        <w:t>化时，发、承包双方应按照省级建设主管部门（或省级行业主管部门）或其授权的工程</w:t>
      </w:r>
      <w:r>
        <w:rPr>
          <w:rFonts w:ascii="宋体" w:hAnsi="宋体" w:eastAsia="宋体" w:cs="宋体"/>
          <w:spacing w:val="-1"/>
          <w:sz w:val="24"/>
          <w:szCs w:val="24"/>
        </w:rPr>
        <w:t>造价管理机构据此发布的最新规定调整合同价款。</w:t>
      </w:r>
    </w:p>
    <w:p w14:paraId="3999189A">
      <w:pPr>
        <w:spacing w:before="157" w:line="325" w:lineRule="auto"/>
        <w:ind w:left="12" w:right="183" w:firstLine="479"/>
        <w:rPr>
          <w:rFonts w:ascii="宋体" w:hAnsi="宋体" w:eastAsia="宋体" w:cs="宋体"/>
          <w:sz w:val="24"/>
          <w:szCs w:val="24"/>
        </w:rPr>
      </w:pPr>
      <w:r>
        <w:rPr>
          <w:rFonts w:ascii="宋体" w:hAnsi="宋体" w:eastAsia="宋体" w:cs="宋体"/>
          <w:b/>
          <w:bCs/>
          <w:spacing w:val="-11"/>
          <w:sz w:val="24"/>
          <w:szCs w:val="24"/>
        </w:rPr>
        <w:t>注：本招标文件所称“基准日”，均指投标文</w:t>
      </w:r>
      <w:r>
        <w:rPr>
          <w:rFonts w:ascii="宋体" w:hAnsi="宋体" w:eastAsia="宋体" w:cs="宋体"/>
          <w:b/>
          <w:bCs/>
          <w:spacing w:val="-12"/>
          <w:sz w:val="24"/>
          <w:szCs w:val="24"/>
        </w:rPr>
        <w:t>件递交截止时间（见第一章第二节“重</w:t>
      </w:r>
      <w:r>
        <w:rPr>
          <w:rFonts w:ascii="宋体" w:hAnsi="宋体" w:eastAsia="宋体" w:cs="宋体"/>
          <w:b/>
          <w:bCs/>
          <w:spacing w:val="-5"/>
          <w:sz w:val="24"/>
          <w:szCs w:val="24"/>
        </w:rPr>
        <w:t>要事项时间地点一览表”）前</w:t>
      </w:r>
      <w:r>
        <w:rPr>
          <w:rFonts w:ascii="Times New Roman" w:hAnsi="Times New Roman" w:eastAsia="Times New Roman" w:cs="Times New Roman"/>
          <w:b/>
          <w:bCs/>
          <w:spacing w:val="-5"/>
          <w:sz w:val="24"/>
          <w:szCs w:val="24"/>
        </w:rPr>
        <w:t>28</w:t>
      </w:r>
      <w:r>
        <w:rPr>
          <w:rFonts w:ascii="宋体" w:hAnsi="宋体" w:eastAsia="宋体" w:cs="宋体"/>
          <w:b/>
          <w:bCs/>
          <w:spacing w:val="-5"/>
          <w:sz w:val="24"/>
          <w:szCs w:val="24"/>
        </w:rPr>
        <w:t>天。</w:t>
      </w:r>
    </w:p>
    <w:p w14:paraId="6E3EA935">
      <w:pPr>
        <w:spacing w:before="33" w:line="299" w:lineRule="auto"/>
        <w:ind w:left="11" w:firstLine="476"/>
        <w:rPr>
          <w:rFonts w:ascii="宋体" w:hAnsi="宋体" w:eastAsia="宋体" w:cs="宋体"/>
          <w:sz w:val="24"/>
          <w:szCs w:val="24"/>
        </w:rPr>
      </w:pPr>
      <w:r>
        <w:fldChar w:fldCharType="begin"/>
      </w:r>
      <w:r>
        <w:instrText xml:space="preserve">HYPERLINK"2.3.1.2"</w:instrText>
      </w:r>
      <w:r>
        <w:fldChar w:fldCharType="separate"/>
      </w:r>
      <w:r>
        <w:rPr>
          <w:rFonts w:ascii="Times New Roman" w:hAnsi="Times New Roman" w:eastAsia="Times New Roman" w:cs="Times New Roman"/>
          <w:b/>
          <w:bCs/>
          <w:spacing w:val="1"/>
          <w:sz w:val="24"/>
          <w:szCs w:val="24"/>
        </w:rPr>
        <w:t>2.3.1.2</w:t>
      </w:r>
      <w:r>
        <w:rPr>
          <w:rFonts w:ascii="Times New Roman" w:hAnsi="Times New Roman" w:eastAsia="Times New Roman" w:cs="Times New Roman"/>
          <w:b/>
          <w:bCs/>
          <w:spacing w:val="1"/>
          <w:sz w:val="24"/>
          <w:szCs w:val="24"/>
        </w:rPr>
        <w:fldChar w:fldCharType="end"/>
      </w:r>
      <w:r>
        <w:rPr>
          <w:rFonts w:ascii="宋体" w:hAnsi="宋体" w:eastAsia="宋体" w:cs="宋体"/>
          <w:spacing w:val="1"/>
          <w:sz w:val="24"/>
          <w:szCs w:val="24"/>
        </w:rPr>
        <w:t>因承包人原因导致工程延误，本章第</w:t>
      </w:r>
      <w:r>
        <w:rPr>
          <w:rFonts w:ascii="Times New Roman" w:hAnsi="Times New Roman" w:eastAsia="Times New Roman" w:cs="Times New Roman"/>
          <w:b/>
          <w:bCs/>
          <w:spacing w:val="1"/>
          <w:sz w:val="24"/>
          <w:szCs w:val="24"/>
        </w:rPr>
        <w:t>2</w:t>
      </w:r>
      <w:r>
        <w:rPr>
          <w:rFonts w:ascii="Times New Roman" w:hAnsi="Times New Roman" w:eastAsia="Times New Roman" w:cs="Times New Roman"/>
          <w:b/>
          <w:bCs/>
          <w:sz w:val="24"/>
          <w:szCs w:val="24"/>
        </w:rPr>
        <w:t>.3.1.1</w:t>
      </w:r>
      <w:r>
        <w:rPr>
          <w:rFonts w:ascii="宋体" w:hAnsi="宋体" w:eastAsia="宋体" w:cs="宋体"/>
          <w:sz w:val="24"/>
          <w:szCs w:val="24"/>
        </w:rPr>
        <w:t>子目中的法定机构根据国家法</w:t>
      </w:r>
      <w:r>
        <w:rPr>
          <w:rFonts w:ascii="宋体" w:hAnsi="宋体" w:eastAsia="宋体" w:cs="宋体"/>
          <w:spacing w:val="-3"/>
          <w:sz w:val="24"/>
          <w:szCs w:val="24"/>
        </w:rPr>
        <w:t>律法规变化发布新规的时间在合同工程原定竣工时间之后的，合同价款调增的不予调整，</w:t>
      </w:r>
      <w:r>
        <w:rPr>
          <w:rFonts w:ascii="宋体" w:hAnsi="宋体" w:eastAsia="宋体" w:cs="宋体"/>
          <w:spacing w:val="-1"/>
          <w:sz w:val="24"/>
          <w:szCs w:val="24"/>
        </w:rPr>
        <w:t>合同价款调减的予以调整。</w:t>
      </w:r>
    </w:p>
    <w:p w14:paraId="1D9D1DBD">
      <w:pPr>
        <w:spacing w:before="155" w:line="220" w:lineRule="auto"/>
        <w:ind w:left="487"/>
        <w:rPr>
          <w:rFonts w:ascii="宋体" w:hAnsi="宋体" w:eastAsia="宋体" w:cs="宋体"/>
          <w:sz w:val="24"/>
          <w:szCs w:val="24"/>
        </w:rPr>
      </w:pPr>
      <w:r>
        <w:rPr>
          <w:rFonts w:ascii="Times New Roman" w:hAnsi="Times New Roman" w:eastAsia="Times New Roman" w:cs="Times New Roman"/>
          <w:b/>
          <w:bCs/>
          <w:spacing w:val="-1"/>
          <w:sz w:val="24"/>
          <w:szCs w:val="24"/>
        </w:rPr>
        <w:t>2.3.2</w:t>
      </w:r>
      <w:r>
        <w:rPr>
          <w:rFonts w:ascii="宋体" w:hAnsi="宋体" w:eastAsia="宋体" w:cs="宋体"/>
          <w:spacing w:val="-1"/>
          <w:sz w:val="24"/>
          <w:szCs w:val="24"/>
        </w:rPr>
        <w:t>工程量偏差或变化</w:t>
      </w:r>
    </w:p>
    <w:p w14:paraId="57DA3FC1">
      <w:pPr>
        <w:spacing w:before="158" w:line="309" w:lineRule="auto"/>
        <w:ind w:left="10" w:right="183" w:firstLine="477"/>
        <w:rPr>
          <w:rFonts w:ascii="宋体" w:hAnsi="宋体" w:eastAsia="宋体" w:cs="宋体"/>
          <w:sz w:val="24"/>
          <w:szCs w:val="24"/>
        </w:rPr>
      </w:pPr>
      <w:r>
        <w:fldChar w:fldCharType="begin"/>
      </w:r>
      <w:r>
        <w:instrText xml:space="preserve">HYPERLINK"2.3.2.1"</w:instrText>
      </w:r>
      <w:r>
        <w:fldChar w:fldCharType="separate"/>
      </w:r>
      <w:r>
        <w:rPr>
          <w:rFonts w:ascii="Times New Roman" w:hAnsi="Times New Roman" w:eastAsia="Times New Roman" w:cs="Times New Roman"/>
          <w:b/>
          <w:bCs/>
          <w:spacing w:val="-3"/>
          <w:sz w:val="24"/>
          <w:szCs w:val="24"/>
        </w:rPr>
        <w:t>2.3.2.1</w:t>
      </w:r>
      <w:r>
        <w:rPr>
          <w:rFonts w:ascii="Times New Roman" w:hAnsi="Times New Roman" w:eastAsia="Times New Roman" w:cs="Times New Roman"/>
          <w:b/>
          <w:bCs/>
          <w:spacing w:val="-3"/>
          <w:sz w:val="24"/>
          <w:szCs w:val="24"/>
        </w:rPr>
        <w:fldChar w:fldCharType="end"/>
      </w:r>
      <w:r>
        <w:rPr>
          <w:rFonts w:ascii="宋体" w:hAnsi="宋体" w:eastAsia="宋体" w:cs="宋体"/>
          <w:spacing w:val="-3"/>
          <w:sz w:val="24"/>
          <w:szCs w:val="24"/>
        </w:rPr>
        <w:t>合同履行期间，当应予计算的实际工程量与招标工程量清单出现偏差或因工程变更引起已标价工程量清单项目的工程数量发生变化时，工程量偏差或变化在</w:t>
      </w:r>
      <w:r>
        <w:rPr>
          <w:rFonts w:ascii="Times New Roman" w:hAnsi="Times New Roman" w:eastAsia="Times New Roman" w:cs="Times New Roman"/>
          <w:spacing w:val="-3"/>
          <w:sz w:val="24"/>
          <w:szCs w:val="24"/>
        </w:rPr>
        <w:t>15%</w:t>
      </w:r>
      <w:r>
        <w:rPr>
          <w:rFonts w:ascii="宋体" w:hAnsi="宋体" w:eastAsia="宋体" w:cs="宋体"/>
          <w:spacing w:val="-3"/>
          <w:sz w:val="24"/>
          <w:szCs w:val="24"/>
        </w:rPr>
        <w:t>以</w:t>
      </w:r>
      <w:r>
        <w:rPr>
          <w:rFonts w:ascii="宋体" w:hAnsi="宋体" w:eastAsia="宋体" w:cs="宋体"/>
          <w:spacing w:val="-4"/>
          <w:sz w:val="24"/>
          <w:szCs w:val="24"/>
        </w:rPr>
        <w:t>内（含</w:t>
      </w:r>
      <w:r>
        <w:rPr>
          <w:rFonts w:ascii="Times New Roman" w:hAnsi="Times New Roman" w:eastAsia="Times New Roman" w:cs="Times New Roman"/>
          <w:spacing w:val="-4"/>
          <w:sz w:val="24"/>
          <w:szCs w:val="24"/>
        </w:rPr>
        <w:t>15%</w:t>
      </w:r>
      <w:r>
        <w:rPr>
          <w:rFonts w:ascii="宋体" w:hAnsi="宋体" w:eastAsia="宋体" w:cs="宋体"/>
          <w:spacing w:val="-4"/>
          <w:sz w:val="24"/>
          <w:szCs w:val="24"/>
        </w:rPr>
        <w:t>）的，其综合单价不予调整；工程量偏差或变化超过</w:t>
      </w:r>
      <w:r>
        <w:rPr>
          <w:rFonts w:ascii="Times New Roman" w:hAnsi="Times New Roman" w:eastAsia="Times New Roman" w:cs="Times New Roman"/>
          <w:spacing w:val="-4"/>
          <w:sz w:val="24"/>
          <w:szCs w:val="24"/>
        </w:rPr>
        <w:t>15%</w:t>
      </w:r>
      <w:r>
        <w:rPr>
          <w:rFonts w:ascii="宋体" w:hAnsi="宋体" w:eastAsia="宋体" w:cs="宋体"/>
          <w:spacing w:val="-4"/>
          <w:sz w:val="24"/>
          <w:szCs w:val="24"/>
        </w:rPr>
        <w:t>的，按照以下规定</w:t>
      </w:r>
      <w:r>
        <w:rPr>
          <w:rFonts w:ascii="宋体" w:hAnsi="宋体" w:eastAsia="宋体" w:cs="宋体"/>
          <w:spacing w:val="-3"/>
          <w:sz w:val="24"/>
          <w:szCs w:val="24"/>
        </w:rPr>
        <w:t>调整：</w:t>
      </w:r>
    </w:p>
    <w:p w14:paraId="7BF490CF">
      <w:pPr>
        <w:spacing w:before="78" w:line="327" w:lineRule="auto"/>
        <w:ind w:left="12" w:firstLine="478"/>
        <w:jc w:val="both"/>
        <w:rPr>
          <w:rFonts w:ascii="宋体" w:hAnsi="宋体" w:eastAsia="宋体" w:cs="宋体"/>
          <w:sz w:val="24"/>
          <w:szCs w:val="24"/>
        </w:rPr>
      </w:pPr>
      <w:bookmarkStart w:id="128" w:name="bookmark142"/>
      <w:bookmarkEnd w:id="128"/>
      <w:r>
        <w:rPr>
          <w:rFonts w:ascii="宋体" w:hAnsi="宋体" w:eastAsia="宋体" w:cs="宋体"/>
          <w:spacing w:val="-3"/>
          <w:sz w:val="24"/>
          <w:szCs w:val="24"/>
        </w:rPr>
        <w:t>对于合理报价的清单项目，当工程量增加超过</w:t>
      </w:r>
      <w:r>
        <w:rPr>
          <w:rFonts w:ascii="Times New Roman" w:hAnsi="Times New Roman" w:eastAsia="Times New Roman" w:cs="Times New Roman"/>
          <w:spacing w:val="-3"/>
          <w:sz w:val="24"/>
          <w:szCs w:val="24"/>
        </w:rPr>
        <w:t>15%</w:t>
      </w:r>
      <w:r>
        <w:rPr>
          <w:rFonts w:ascii="宋体" w:hAnsi="宋体" w:eastAsia="宋体" w:cs="宋体"/>
          <w:spacing w:val="-3"/>
          <w:sz w:val="24"/>
          <w:szCs w:val="24"/>
        </w:rPr>
        <w:t>时，增加部分的工程量的综合单</w:t>
      </w:r>
      <w:r>
        <w:rPr>
          <w:rFonts w:ascii="宋体" w:hAnsi="宋体" w:eastAsia="宋体" w:cs="宋体"/>
          <w:spacing w:val="-7"/>
          <w:sz w:val="24"/>
          <w:szCs w:val="24"/>
        </w:rPr>
        <w:t>价以</w:t>
      </w:r>
      <w:r>
        <w:rPr>
          <w:rFonts w:ascii="宋体" w:hAnsi="宋体" w:eastAsia="宋体" w:cs="宋体"/>
          <w:spacing w:val="-3"/>
          <w:sz w:val="24"/>
          <w:szCs w:val="24"/>
        </w:rPr>
        <w:t>投标报价《分部分项工程和单价措施项目清单与计价表》中综合单价为基价调低3%；当工程量减少超过15%时，减少后剩余部分的工程量的综合单价以投标报价《分部分项工程和单价措施项目清单与计价表》中综合单价为基价调高3%</w:t>
      </w:r>
      <w:r>
        <w:rPr>
          <w:rFonts w:ascii="宋体" w:hAnsi="宋体" w:eastAsia="宋体" w:cs="宋体"/>
          <w:spacing w:val="-1"/>
          <w:sz w:val="24"/>
          <w:szCs w:val="24"/>
        </w:rPr>
        <w:t>。</w:t>
      </w:r>
    </w:p>
    <w:p w14:paraId="19D29D3A">
      <w:pPr>
        <w:spacing w:before="97" w:line="324" w:lineRule="auto"/>
        <w:ind w:left="13" w:right="179" w:firstLine="477"/>
        <w:rPr>
          <w:rFonts w:ascii="宋体" w:hAnsi="宋体" w:eastAsia="宋体" w:cs="宋体"/>
          <w:sz w:val="24"/>
          <w:szCs w:val="24"/>
        </w:rPr>
      </w:pPr>
      <w:r>
        <w:rPr>
          <w:rFonts w:ascii="宋体" w:hAnsi="宋体" w:eastAsia="宋体" w:cs="宋体"/>
          <w:b/>
          <w:bCs/>
          <w:spacing w:val="-4"/>
          <w:sz w:val="24"/>
          <w:szCs w:val="24"/>
        </w:rPr>
        <w:t>对于按照第二章“中标人须知”第</w:t>
      </w:r>
      <w:r>
        <w:rPr>
          <w:rFonts w:ascii="Times New Roman" w:hAnsi="Times New Roman" w:eastAsia="Times New Roman" w:cs="Times New Roman"/>
          <w:b/>
          <w:bCs/>
          <w:spacing w:val="-4"/>
          <w:sz w:val="24"/>
          <w:szCs w:val="24"/>
        </w:rPr>
        <w:t>4.2</w:t>
      </w:r>
      <w:r>
        <w:rPr>
          <w:rFonts w:ascii="宋体" w:hAnsi="宋体" w:eastAsia="宋体" w:cs="宋体"/>
          <w:b/>
          <w:bCs/>
          <w:spacing w:val="-4"/>
          <w:sz w:val="24"/>
          <w:szCs w:val="24"/>
        </w:rPr>
        <w:t>条被认定为不平衡报价的清单项目，其综合</w:t>
      </w:r>
      <w:r>
        <w:rPr>
          <w:rFonts w:ascii="宋体" w:hAnsi="宋体" w:eastAsia="宋体" w:cs="宋体"/>
          <w:b/>
          <w:bCs/>
          <w:spacing w:val="-3"/>
          <w:sz w:val="24"/>
          <w:szCs w:val="24"/>
        </w:rPr>
        <w:t>单价按照以下方法调整：</w:t>
      </w:r>
    </w:p>
    <w:p w14:paraId="7F6F4FAE">
      <w:pPr>
        <w:keepNext w:val="0"/>
        <w:keepLines w:val="0"/>
        <w:pageBreakBefore w:val="0"/>
        <w:widowControl/>
        <w:kinsoku w:val="0"/>
        <w:wordWrap w:val="0"/>
        <w:overflowPunct/>
        <w:topLinePunct w:val="0"/>
        <w:autoSpaceDE w:val="0"/>
        <w:autoSpaceDN w:val="0"/>
        <w:bidi w:val="0"/>
        <w:adjustRightInd w:val="0"/>
        <w:snapToGrid w:val="0"/>
        <w:spacing w:before="36" w:line="219" w:lineRule="auto"/>
        <w:ind w:firstLine="462" w:firstLineChars="200"/>
        <w:textAlignment w:val="baseline"/>
        <w:rPr>
          <w:rFonts w:ascii="宋体" w:hAnsi="宋体" w:eastAsia="宋体" w:cs="宋体"/>
          <w:sz w:val="24"/>
          <w:szCs w:val="24"/>
        </w:rPr>
      </w:pPr>
      <w:r>
        <w:rPr>
          <w:rFonts w:ascii="宋体" w:hAnsi="宋体" w:eastAsia="宋体" w:cs="宋体"/>
          <w:b/>
          <w:bCs/>
          <w:spacing w:val="-5"/>
          <w:sz w:val="24"/>
          <w:szCs w:val="24"/>
        </w:rPr>
        <w:t>以招标控制价中《分部分项工程和单价措施项目清单与计价表》子目相对应综合单</w:t>
      </w:r>
      <w:r>
        <w:rPr>
          <w:rFonts w:ascii="宋体" w:hAnsi="宋体" w:eastAsia="宋体" w:cs="宋体"/>
          <w:b/>
          <w:bCs/>
          <w:spacing w:val="-3"/>
          <w:sz w:val="24"/>
          <w:szCs w:val="24"/>
        </w:rPr>
        <w:t>价×（</w:t>
      </w:r>
      <w:r>
        <w:rPr>
          <w:rFonts w:ascii="Times New Roman" w:hAnsi="Times New Roman" w:eastAsia="Times New Roman" w:cs="Times New Roman"/>
          <w:b/>
          <w:bCs/>
          <w:spacing w:val="-3"/>
          <w:sz w:val="24"/>
          <w:szCs w:val="24"/>
        </w:rPr>
        <w:t>1-</w:t>
      </w:r>
      <w:r>
        <w:rPr>
          <w:rFonts w:ascii="宋体" w:hAnsi="宋体" w:eastAsia="宋体" w:cs="宋体"/>
          <w:b/>
          <w:bCs/>
          <w:spacing w:val="-3"/>
          <w:sz w:val="24"/>
          <w:szCs w:val="24"/>
        </w:rPr>
        <w:t>中标下浮率）。</w:t>
      </w:r>
    </w:p>
    <w:p w14:paraId="3CAAE3B5">
      <w:pPr>
        <w:keepNext w:val="0"/>
        <w:keepLines w:val="0"/>
        <w:pageBreakBefore w:val="0"/>
        <w:widowControl/>
        <w:kinsoku w:val="0"/>
        <w:wordWrap w:val="0"/>
        <w:overflowPunct/>
        <w:topLinePunct w:val="0"/>
        <w:autoSpaceDE w:val="0"/>
        <w:autoSpaceDN w:val="0"/>
        <w:bidi w:val="0"/>
        <w:adjustRightInd w:val="0"/>
        <w:snapToGrid w:val="0"/>
        <w:spacing w:before="113" w:line="319" w:lineRule="exact"/>
        <w:ind w:left="516"/>
        <w:textAlignment w:val="baseline"/>
        <w:outlineLvl w:val="2"/>
        <w:rPr>
          <w:rFonts w:ascii="宋体" w:hAnsi="宋体" w:eastAsia="宋体" w:cs="宋体"/>
          <w:b/>
          <w:bCs/>
          <w:spacing w:val="-3"/>
          <w:sz w:val="24"/>
          <w:szCs w:val="24"/>
        </w:rPr>
      </w:pPr>
      <w:bookmarkStart w:id="129" w:name="_Toc12035"/>
      <w:bookmarkStart w:id="130" w:name="_Toc18478"/>
      <w:r>
        <w:rPr>
          <w:rFonts w:ascii="宋体" w:hAnsi="宋体" w:eastAsia="宋体" w:cs="宋体"/>
          <w:b/>
          <w:bCs/>
          <w:position w:val="1"/>
          <w:sz w:val="24"/>
          <w:szCs w:val="24"/>
        </w:rPr>
        <w:t>中标下浮率</w:t>
      </w:r>
      <w:r>
        <w:rPr>
          <w:rFonts w:ascii="Times New Roman" w:hAnsi="Times New Roman" w:eastAsia="Times New Roman" w:cs="Times New Roman"/>
          <w:b/>
          <w:bCs/>
          <w:position w:val="1"/>
          <w:sz w:val="24"/>
          <w:szCs w:val="24"/>
        </w:rPr>
        <w:t>=</w:t>
      </w:r>
      <w:r>
        <w:rPr>
          <w:rFonts w:ascii="宋体" w:hAnsi="宋体" w:eastAsia="宋体" w:cs="宋体"/>
          <w:b/>
          <w:bCs/>
          <w:position w:val="1"/>
          <w:sz w:val="24"/>
          <w:szCs w:val="24"/>
        </w:rPr>
        <w:t>[</w:t>
      </w:r>
      <w:r>
        <w:rPr>
          <w:rFonts w:ascii="Times New Roman" w:hAnsi="Times New Roman" w:eastAsia="Times New Roman" w:cs="Times New Roman"/>
          <w:b/>
          <w:bCs/>
          <w:position w:val="1"/>
          <w:sz w:val="24"/>
          <w:szCs w:val="24"/>
        </w:rPr>
        <w:t>1-</w:t>
      </w:r>
      <w:r>
        <w:rPr>
          <w:rFonts w:ascii="宋体" w:hAnsi="宋体" w:eastAsia="宋体" w:cs="宋体"/>
          <w:b/>
          <w:bCs/>
          <w:position w:val="1"/>
          <w:sz w:val="24"/>
          <w:szCs w:val="24"/>
        </w:rPr>
        <w:t>（中标价</w:t>
      </w:r>
      <w:r>
        <w:rPr>
          <w:rFonts w:ascii="Times New Roman" w:hAnsi="Times New Roman" w:eastAsia="Times New Roman" w:cs="Times New Roman"/>
          <w:b/>
          <w:bCs/>
          <w:position w:val="1"/>
          <w:sz w:val="24"/>
          <w:szCs w:val="24"/>
        </w:rPr>
        <w:t>-</w:t>
      </w:r>
      <w:r>
        <w:rPr>
          <w:rFonts w:ascii="宋体" w:hAnsi="宋体" w:eastAsia="宋体" w:cs="宋体"/>
          <w:b/>
          <w:bCs/>
          <w:position w:val="1"/>
          <w:sz w:val="24"/>
          <w:szCs w:val="24"/>
        </w:rPr>
        <w:t>中标绿色施工安全防护措施费</w:t>
      </w:r>
      <w:r>
        <w:rPr>
          <w:rFonts w:ascii="Times New Roman" w:hAnsi="Times New Roman" w:eastAsia="Times New Roman" w:cs="Times New Roman"/>
          <w:b/>
          <w:bCs/>
          <w:spacing w:val="-1"/>
          <w:position w:val="1"/>
          <w:sz w:val="24"/>
          <w:szCs w:val="24"/>
        </w:rPr>
        <w:t>-</w:t>
      </w:r>
      <w:r>
        <w:rPr>
          <w:rFonts w:ascii="宋体" w:hAnsi="宋体" w:eastAsia="宋体" w:cs="宋体"/>
          <w:b/>
          <w:bCs/>
          <w:spacing w:val="-1"/>
          <w:position w:val="1"/>
          <w:sz w:val="24"/>
          <w:szCs w:val="24"/>
        </w:rPr>
        <w:t>暂列金额-暂估价）</w:t>
      </w:r>
      <w:r>
        <w:rPr>
          <w:rFonts w:ascii="Times New Roman" w:hAnsi="Times New Roman" w:eastAsia="Times New Roman" w:cs="Times New Roman"/>
          <w:b/>
          <w:bCs/>
          <w:spacing w:val="-1"/>
          <w:position w:val="1"/>
          <w:sz w:val="24"/>
          <w:szCs w:val="24"/>
        </w:rPr>
        <w:t>/</w:t>
      </w:r>
      <w:r>
        <w:rPr>
          <w:rFonts w:ascii="宋体" w:hAnsi="宋体" w:eastAsia="宋体" w:cs="宋体"/>
          <w:b/>
          <w:bCs/>
          <w:spacing w:val="-1"/>
          <w:position w:val="1"/>
          <w:sz w:val="24"/>
          <w:szCs w:val="24"/>
        </w:rPr>
        <w:t>（</w:t>
      </w:r>
      <w:bookmarkEnd w:id="129"/>
      <w:bookmarkEnd w:id="130"/>
      <w:bookmarkStart w:id="131" w:name="_Toc15512"/>
      <w:bookmarkStart w:id="132" w:name="_Toc13602"/>
      <w:r>
        <w:rPr>
          <w:rFonts w:ascii="宋体" w:hAnsi="宋体" w:eastAsia="宋体" w:cs="宋体"/>
          <w:b/>
          <w:bCs/>
          <w:spacing w:val="-1"/>
          <w:position w:val="1"/>
          <w:sz w:val="24"/>
          <w:szCs w:val="24"/>
        </w:rPr>
        <w:t>招</w:t>
      </w:r>
      <w:r>
        <w:rPr>
          <w:rFonts w:ascii="宋体" w:hAnsi="宋体" w:eastAsia="宋体" w:cs="宋体"/>
          <w:b/>
          <w:bCs/>
          <w:spacing w:val="-3"/>
          <w:sz w:val="24"/>
          <w:szCs w:val="24"/>
        </w:rPr>
        <w:t>标控制价</w:t>
      </w:r>
      <w:r>
        <w:rPr>
          <w:rFonts w:ascii="Times New Roman" w:hAnsi="Times New Roman" w:eastAsia="Times New Roman" w:cs="Times New Roman"/>
          <w:b/>
          <w:bCs/>
          <w:spacing w:val="-3"/>
          <w:sz w:val="24"/>
          <w:szCs w:val="24"/>
        </w:rPr>
        <w:t>-</w:t>
      </w:r>
      <w:r>
        <w:rPr>
          <w:rFonts w:ascii="宋体" w:hAnsi="宋体" w:eastAsia="宋体" w:cs="宋体"/>
          <w:b/>
          <w:bCs/>
          <w:spacing w:val="-3"/>
          <w:sz w:val="24"/>
          <w:szCs w:val="24"/>
        </w:rPr>
        <w:t>控</w:t>
      </w:r>
    </w:p>
    <w:p w14:paraId="7375E2A3">
      <w:pPr>
        <w:keepNext w:val="0"/>
        <w:keepLines w:val="0"/>
        <w:pageBreakBefore w:val="0"/>
        <w:widowControl/>
        <w:kinsoku w:val="0"/>
        <w:wordWrap w:val="0"/>
        <w:overflowPunct/>
        <w:topLinePunct w:val="0"/>
        <w:autoSpaceDE w:val="0"/>
        <w:autoSpaceDN w:val="0"/>
        <w:bidi w:val="0"/>
        <w:adjustRightInd w:val="0"/>
        <w:snapToGrid w:val="0"/>
        <w:spacing w:before="113" w:line="319" w:lineRule="exact"/>
        <w:textAlignment w:val="baseline"/>
        <w:outlineLvl w:val="2"/>
        <w:rPr>
          <w:rFonts w:ascii="Times New Roman" w:hAnsi="Times New Roman" w:eastAsia="Times New Roman" w:cs="Times New Roman"/>
          <w:sz w:val="24"/>
          <w:szCs w:val="24"/>
        </w:rPr>
      </w:pPr>
      <w:r>
        <w:rPr>
          <w:rFonts w:ascii="宋体" w:hAnsi="宋体" w:eastAsia="宋体" w:cs="宋体"/>
          <w:b/>
          <w:bCs/>
          <w:spacing w:val="-3"/>
          <w:sz w:val="24"/>
          <w:szCs w:val="24"/>
        </w:rPr>
        <w:t>制价绿色施工安全防护措施费</w:t>
      </w:r>
      <w:r>
        <w:rPr>
          <w:rFonts w:ascii="Times New Roman" w:hAnsi="Times New Roman" w:eastAsia="Times New Roman" w:cs="Times New Roman"/>
          <w:b/>
          <w:bCs/>
          <w:spacing w:val="-3"/>
          <w:sz w:val="24"/>
          <w:szCs w:val="24"/>
        </w:rPr>
        <w:t>-</w:t>
      </w:r>
      <w:r>
        <w:rPr>
          <w:rFonts w:ascii="宋体" w:hAnsi="宋体" w:eastAsia="宋体" w:cs="宋体"/>
          <w:b/>
          <w:bCs/>
          <w:spacing w:val="-3"/>
          <w:sz w:val="24"/>
          <w:szCs w:val="24"/>
        </w:rPr>
        <w:t>暂列金额-暂估价）]×</w:t>
      </w:r>
      <w:r>
        <w:rPr>
          <w:rFonts w:ascii="Times New Roman" w:hAnsi="Times New Roman" w:eastAsia="Times New Roman" w:cs="Times New Roman"/>
          <w:b/>
          <w:bCs/>
          <w:spacing w:val="-3"/>
          <w:sz w:val="24"/>
          <w:szCs w:val="24"/>
        </w:rPr>
        <w:t>100%</w:t>
      </w:r>
      <w:bookmarkEnd w:id="131"/>
      <w:bookmarkEnd w:id="132"/>
    </w:p>
    <w:p w14:paraId="658B37B7">
      <w:pPr>
        <w:spacing w:before="123" w:line="301" w:lineRule="auto"/>
        <w:ind w:left="10" w:right="116" w:firstLine="482"/>
        <w:jc w:val="both"/>
        <w:rPr>
          <w:rFonts w:ascii="宋体" w:hAnsi="宋体" w:eastAsia="宋体" w:cs="宋体"/>
          <w:sz w:val="24"/>
          <w:szCs w:val="24"/>
        </w:rPr>
      </w:pPr>
      <w:r>
        <w:rPr>
          <w:rFonts w:ascii="宋体" w:hAnsi="宋体" w:eastAsia="宋体" w:cs="宋体"/>
          <w:spacing w:val="-2"/>
          <w:sz w:val="24"/>
          <w:szCs w:val="24"/>
        </w:rPr>
        <w:t>若修正后的该部分《分部分项工程和单价措施项目清单与计价表》总金额大于原投</w:t>
      </w:r>
      <w:r>
        <w:rPr>
          <w:rFonts w:ascii="宋体" w:hAnsi="宋体" w:eastAsia="宋体" w:cs="宋体"/>
          <w:spacing w:val="-1"/>
          <w:sz w:val="24"/>
          <w:szCs w:val="24"/>
        </w:rPr>
        <w:t>标报价中的该部分总金额，则从投标报价需</w:t>
      </w:r>
      <w:r>
        <w:rPr>
          <w:rFonts w:ascii="宋体" w:hAnsi="宋体" w:eastAsia="宋体" w:cs="宋体"/>
          <w:spacing w:val="-2"/>
          <w:sz w:val="24"/>
          <w:szCs w:val="24"/>
        </w:rPr>
        <w:t>调高的综合单价中选择偏离最大的清单开始</w:t>
      </w:r>
      <w:r>
        <w:rPr>
          <w:rFonts w:ascii="宋体" w:hAnsi="宋体" w:eastAsia="宋体" w:cs="宋体"/>
          <w:spacing w:val="-1"/>
          <w:sz w:val="24"/>
          <w:szCs w:val="24"/>
        </w:rPr>
        <w:t>调整，调整幅度逐步减少，直至修正后的该</w:t>
      </w:r>
      <w:r>
        <w:rPr>
          <w:rFonts w:ascii="宋体" w:hAnsi="宋体" w:eastAsia="宋体" w:cs="宋体"/>
          <w:spacing w:val="-2"/>
          <w:sz w:val="24"/>
          <w:szCs w:val="24"/>
        </w:rPr>
        <w:t>部分《分部分项工程和单价措施项目清单与</w:t>
      </w:r>
      <w:r>
        <w:rPr>
          <w:rFonts w:ascii="宋体" w:hAnsi="宋体" w:eastAsia="宋体" w:cs="宋体"/>
          <w:spacing w:val="-1"/>
          <w:sz w:val="24"/>
          <w:szCs w:val="24"/>
        </w:rPr>
        <w:t>计价表》总金额与原投标报价中的该部分总</w:t>
      </w:r>
      <w:r>
        <w:rPr>
          <w:rFonts w:ascii="宋体" w:hAnsi="宋体" w:eastAsia="宋体" w:cs="宋体"/>
          <w:spacing w:val="-2"/>
          <w:sz w:val="24"/>
          <w:szCs w:val="24"/>
        </w:rPr>
        <w:t>金额一致；若修正后的该部分《分部分项工</w:t>
      </w:r>
      <w:r>
        <w:rPr>
          <w:rFonts w:ascii="宋体" w:hAnsi="宋体" w:eastAsia="宋体" w:cs="宋体"/>
          <w:spacing w:val="-1"/>
          <w:sz w:val="24"/>
          <w:szCs w:val="24"/>
        </w:rPr>
        <w:t>程和单价措施项目清单与计价表》总金额小</w:t>
      </w:r>
      <w:r>
        <w:rPr>
          <w:rFonts w:ascii="宋体" w:hAnsi="宋体" w:eastAsia="宋体" w:cs="宋体"/>
          <w:spacing w:val="-2"/>
          <w:sz w:val="24"/>
          <w:szCs w:val="24"/>
        </w:rPr>
        <w:t>于原投标报价中的该部分总金额，则从投标</w:t>
      </w:r>
      <w:r>
        <w:rPr>
          <w:rFonts w:ascii="宋体" w:hAnsi="宋体" w:eastAsia="宋体" w:cs="宋体"/>
          <w:spacing w:val="-1"/>
          <w:sz w:val="24"/>
          <w:szCs w:val="24"/>
        </w:rPr>
        <w:t>报价需调低的综合单价中选择偏离最大的清</w:t>
      </w:r>
      <w:r>
        <w:rPr>
          <w:rFonts w:ascii="宋体" w:hAnsi="宋体" w:eastAsia="宋体" w:cs="宋体"/>
          <w:spacing w:val="-2"/>
          <w:sz w:val="24"/>
          <w:szCs w:val="24"/>
        </w:rPr>
        <w:t>单开始调整，调整幅度逐步减少，直至修正</w:t>
      </w:r>
      <w:r>
        <w:rPr>
          <w:rFonts w:ascii="宋体" w:hAnsi="宋体" w:eastAsia="宋体" w:cs="宋体"/>
          <w:spacing w:val="-1"/>
          <w:sz w:val="24"/>
          <w:szCs w:val="24"/>
        </w:rPr>
        <w:t>后的该部分《分部分项工程和单价措施项目</w:t>
      </w:r>
      <w:r>
        <w:rPr>
          <w:rFonts w:ascii="宋体" w:hAnsi="宋体" w:eastAsia="宋体" w:cs="宋体"/>
          <w:spacing w:val="-2"/>
          <w:sz w:val="24"/>
          <w:szCs w:val="24"/>
        </w:rPr>
        <w:t>清单与计价表》总金额与原投标报价中的该</w:t>
      </w:r>
      <w:r>
        <w:rPr>
          <w:rFonts w:ascii="宋体" w:hAnsi="宋体" w:eastAsia="宋体" w:cs="宋体"/>
          <w:spacing w:val="-12"/>
          <w:sz w:val="24"/>
          <w:szCs w:val="24"/>
        </w:rPr>
        <w:t>部分总金额一致。修正后的总造价应与总中标价保持一致，形成《不平衡报价修正报告》，</w:t>
      </w:r>
      <w:r>
        <w:rPr>
          <w:rFonts w:ascii="宋体" w:hAnsi="宋体" w:eastAsia="宋体" w:cs="宋体"/>
          <w:spacing w:val="-1"/>
          <w:sz w:val="24"/>
          <w:szCs w:val="24"/>
        </w:rPr>
        <w:t>并由招标人和中标人共同签章确认。</w:t>
      </w:r>
    </w:p>
    <w:p w14:paraId="21A1FA33">
      <w:pPr>
        <w:spacing w:before="129" w:line="299" w:lineRule="auto"/>
        <w:ind w:left="12" w:right="179" w:firstLine="476"/>
        <w:rPr>
          <w:rFonts w:ascii="宋体" w:hAnsi="宋体" w:eastAsia="宋体" w:cs="宋体"/>
          <w:sz w:val="24"/>
          <w:szCs w:val="24"/>
        </w:rPr>
      </w:pPr>
      <w:r>
        <w:fldChar w:fldCharType="begin"/>
      </w:r>
      <w:r>
        <w:instrText xml:space="preserve">HYPERLINK"2.3.2.2"</w:instrText>
      </w:r>
      <w:r>
        <w:fldChar w:fldCharType="separate"/>
      </w:r>
      <w:r>
        <w:rPr>
          <w:rFonts w:ascii="Times New Roman" w:hAnsi="Times New Roman" w:eastAsia="Times New Roman" w:cs="Times New Roman"/>
          <w:b/>
          <w:bCs/>
          <w:spacing w:val="1"/>
          <w:sz w:val="24"/>
          <w:szCs w:val="24"/>
        </w:rPr>
        <w:t>2.3.2.2</w:t>
      </w:r>
      <w:r>
        <w:rPr>
          <w:rFonts w:ascii="Times New Roman" w:hAnsi="Times New Roman" w:eastAsia="Times New Roman" w:cs="Times New Roman"/>
          <w:b/>
          <w:bCs/>
          <w:spacing w:val="1"/>
          <w:sz w:val="24"/>
          <w:szCs w:val="24"/>
        </w:rPr>
        <w:fldChar w:fldCharType="end"/>
      </w:r>
      <w:r>
        <w:rPr>
          <w:rFonts w:ascii="宋体" w:hAnsi="宋体" w:eastAsia="宋体" w:cs="宋体"/>
          <w:spacing w:val="1"/>
          <w:sz w:val="24"/>
          <w:szCs w:val="24"/>
        </w:rPr>
        <w:t>如果工程量出现本章第</w:t>
      </w:r>
      <w:r>
        <w:rPr>
          <w:rFonts w:ascii="Times New Roman" w:hAnsi="Times New Roman" w:eastAsia="Times New Roman" w:cs="Times New Roman"/>
          <w:b/>
          <w:bCs/>
          <w:spacing w:val="1"/>
          <w:sz w:val="24"/>
          <w:szCs w:val="24"/>
        </w:rPr>
        <w:t>2.3.2.1</w:t>
      </w:r>
      <w:r>
        <w:rPr>
          <w:rFonts w:ascii="宋体" w:hAnsi="宋体" w:eastAsia="宋体" w:cs="宋体"/>
          <w:spacing w:val="1"/>
          <w:sz w:val="24"/>
          <w:szCs w:val="24"/>
        </w:rPr>
        <w:t>子目的变化，且该变化引起相关措施项目相</w:t>
      </w:r>
      <w:r>
        <w:rPr>
          <w:rFonts w:ascii="宋体" w:hAnsi="宋体" w:eastAsia="宋体" w:cs="宋体"/>
          <w:spacing w:val="-2"/>
          <w:sz w:val="24"/>
          <w:szCs w:val="24"/>
        </w:rPr>
        <w:t>应发生变化时，按系数或单一总价方式计价的，工程量增加的措施项目费调增，工程量</w:t>
      </w:r>
      <w:r>
        <w:rPr>
          <w:rFonts w:ascii="宋体" w:hAnsi="宋体" w:eastAsia="宋体" w:cs="宋体"/>
          <w:spacing w:val="-1"/>
          <w:sz w:val="24"/>
          <w:szCs w:val="24"/>
        </w:rPr>
        <w:t>减少的措施项目费调减。</w:t>
      </w:r>
    </w:p>
    <w:p w14:paraId="0AF92644">
      <w:pPr>
        <w:spacing w:before="154" w:line="221" w:lineRule="auto"/>
        <w:ind w:left="488"/>
        <w:rPr>
          <w:rFonts w:ascii="宋体" w:hAnsi="宋体" w:eastAsia="宋体" w:cs="宋体"/>
          <w:sz w:val="24"/>
          <w:szCs w:val="24"/>
        </w:rPr>
      </w:pPr>
      <w:r>
        <w:rPr>
          <w:rFonts w:ascii="Times New Roman" w:hAnsi="Times New Roman" w:eastAsia="Times New Roman" w:cs="Times New Roman"/>
          <w:b/>
          <w:bCs/>
          <w:spacing w:val="-1"/>
          <w:sz w:val="24"/>
          <w:szCs w:val="24"/>
        </w:rPr>
        <w:t>2.3.3</w:t>
      </w:r>
      <w:r>
        <w:rPr>
          <w:rFonts w:ascii="宋体" w:hAnsi="宋体" w:eastAsia="宋体" w:cs="宋体"/>
          <w:spacing w:val="-1"/>
          <w:sz w:val="24"/>
          <w:szCs w:val="24"/>
        </w:rPr>
        <w:t>工程变更</w:t>
      </w:r>
    </w:p>
    <w:p w14:paraId="00866E15">
      <w:pPr>
        <w:spacing w:before="153" w:line="279" w:lineRule="auto"/>
        <w:ind w:left="19" w:right="179" w:firstLine="468"/>
        <w:rPr>
          <w:rFonts w:ascii="宋体" w:hAnsi="宋体" w:eastAsia="宋体" w:cs="宋体"/>
          <w:sz w:val="24"/>
          <w:szCs w:val="24"/>
        </w:rPr>
      </w:pPr>
      <w:r>
        <w:fldChar w:fldCharType="begin"/>
      </w:r>
      <w:r>
        <w:instrText xml:space="preserve">HYPERLINK"2.3.3.1"</w:instrText>
      </w:r>
      <w:r>
        <w:fldChar w:fldCharType="separate"/>
      </w:r>
      <w:r>
        <w:rPr>
          <w:rFonts w:ascii="Times New Roman" w:hAnsi="Times New Roman" w:eastAsia="Times New Roman" w:cs="Times New Roman"/>
          <w:b/>
          <w:bCs/>
          <w:spacing w:val="-3"/>
          <w:sz w:val="24"/>
          <w:szCs w:val="24"/>
        </w:rPr>
        <w:t>2.3.3.1</w:t>
      </w:r>
      <w:r>
        <w:rPr>
          <w:rFonts w:ascii="Times New Roman" w:hAnsi="Times New Roman" w:eastAsia="Times New Roman" w:cs="Times New Roman"/>
          <w:b/>
          <w:bCs/>
          <w:spacing w:val="-3"/>
          <w:sz w:val="24"/>
          <w:szCs w:val="24"/>
        </w:rPr>
        <w:fldChar w:fldCharType="end"/>
      </w:r>
      <w:r>
        <w:rPr>
          <w:rFonts w:ascii="宋体" w:hAnsi="宋体" w:eastAsia="宋体" w:cs="宋体"/>
          <w:spacing w:val="-3"/>
          <w:sz w:val="24"/>
          <w:szCs w:val="24"/>
        </w:rPr>
        <w:t>合同履行期间，因工程变更引起已标价工程量清单项目发生变化时，按照以下规定调整：</w:t>
      </w:r>
    </w:p>
    <w:p w14:paraId="3EF8860C">
      <w:pPr>
        <w:keepNext w:val="0"/>
        <w:keepLines w:val="0"/>
        <w:pageBreakBefore w:val="0"/>
        <w:widowControl/>
        <w:numPr>
          <w:ilvl w:val="0"/>
          <w:numId w:val="3"/>
        </w:numPr>
        <w:kinsoku w:val="0"/>
        <w:wordWrap w:val="0"/>
        <w:overflowPunct/>
        <w:topLinePunct w:val="0"/>
        <w:autoSpaceDE w:val="0"/>
        <w:autoSpaceDN w:val="0"/>
        <w:bidi w:val="0"/>
        <w:adjustRightInd w:val="0"/>
        <w:snapToGrid w:val="0"/>
        <w:spacing w:before="78" w:line="219" w:lineRule="auto"/>
        <w:ind w:left="499"/>
        <w:textAlignment w:val="baseline"/>
        <w:rPr>
          <w:rFonts w:ascii="宋体" w:hAnsi="宋体" w:eastAsia="宋体" w:cs="宋体"/>
          <w:b/>
          <w:bCs/>
          <w:spacing w:val="-7"/>
          <w:sz w:val="24"/>
          <w:szCs w:val="24"/>
        </w:rPr>
      </w:pPr>
      <w:r>
        <w:rPr>
          <w:rFonts w:ascii="宋体" w:hAnsi="宋体" w:eastAsia="宋体" w:cs="宋体"/>
          <w:spacing w:val="1"/>
          <w:sz w:val="24"/>
          <w:szCs w:val="24"/>
        </w:rPr>
        <w:t>已标价工程量清单中有适用于变更工程项目的，采用该项目的单价。</w:t>
      </w:r>
      <w:r>
        <w:rPr>
          <w:rFonts w:ascii="宋体" w:hAnsi="宋体" w:eastAsia="宋体" w:cs="宋体"/>
          <w:b/>
          <w:bCs/>
          <w:spacing w:val="1"/>
          <w:sz w:val="24"/>
          <w:szCs w:val="24"/>
        </w:rPr>
        <w:t>但如果</w:t>
      </w:r>
      <w:bookmarkStart w:id="133" w:name="bookmark143"/>
      <w:bookmarkEnd w:id="133"/>
      <w:r>
        <w:rPr>
          <w:rFonts w:ascii="宋体" w:hAnsi="宋体" w:eastAsia="宋体" w:cs="宋体"/>
          <w:b/>
          <w:bCs/>
          <w:spacing w:val="-7"/>
          <w:sz w:val="24"/>
          <w:szCs w:val="24"/>
        </w:rPr>
        <w:t>被采用的项目</w:t>
      </w:r>
    </w:p>
    <w:p w14:paraId="177841C0">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78" w:line="219" w:lineRule="auto"/>
        <w:textAlignment w:val="baseline"/>
        <w:rPr>
          <w:rFonts w:ascii="宋体" w:hAnsi="宋体" w:eastAsia="宋体" w:cs="宋体"/>
          <w:sz w:val="24"/>
          <w:szCs w:val="24"/>
        </w:rPr>
      </w:pPr>
      <w:r>
        <w:rPr>
          <w:rFonts w:ascii="宋体" w:hAnsi="宋体" w:eastAsia="宋体" w:cs="宋体"/>
          <w:b/>
          <w:bCs/>
          <w:spacing w:val="-7"/>
          <w:sz w:val="24"/>
          <w:szCs w:val="24"/>
        </w:rPr>
        <w:t>属于按照第二章“中标人须知”第</w:t>
      </w:r>
      <w:r>
        <w:rPr>
          <w:rFonts w:ascii="Times New Roman" w:hAnsi="Times New Roman" w:eastAsia="Times New Roman" w:cs="Times New Roman"/>
          <w:b/>
          <w:bCs/>
          <w:spacing w:val="-8"/>
          <w:sz w:val="24"/>
          <w:szCs w:val="24"/>
        </w:rPr>
        <w:t>4.2</w:t>
      </w:r>
      <w:r>
        <w:rPr>
          <w:rFonts w:ascii="宋体" w:hAnsi="宋体" w:eastAsia="宋体" w:cs="宋体"/>
          <w:b/>
          <w:bCs/>
          <w:spacing w:val="-8"/>
          <w:sz w:val="24"/>
          <w:szCs w:val="24"/>
        </w:rPr>
        <w:t>条被认定为不平衡报价的清单项目，</w:t>
      </w:r>
      <w:r>
        <w:rPr>
          <w:rFonts w:ascii="宋体" w:hAnsi="宋体" w:eastAsia="宋体" w:cs="宋体"/>
          <w:b/>
          <w:bCs/>
          <w:spacing w:val="-2"/>
          <w:sz w:val="24"/>
          <w:szCs w:val="24"/>
        </w:rPr>
        <w:t>变更工程项目的单价按照</w:t>
      </w:r>
      <w:r>
        <w:rPr>
          <w:rFonts w:ascii="宋体" w:hAnsi="宋体" w:eastAsia="宋体" w:cs="宋体"/>
          <w:b/>
          <w:bCs/>
          <w:spacing w:val="-7"/>
          <w:sz w:val="24"/>
          <w:szCs w:val="24"/>
        </w:rPr>
        <w:t>本章2.3.2.1的</w:t>
      </w:r>
      <w:r>
        <w:rPr>
          <w:rFonts w:ascii="宋体" w:hAnsi="宋体" w:eastAsia="宋体" w:cs="宋体"/>
          <w:b/>
          <w:bCs/>
          <w:spacing w:val="-2"/>
          <w:sz w:val="24"/>
          <w:szCs w:val="24"/>
        </w:rPr>
        <w:t>方法调整。】</w:t>
      </w:r>
    </w:p>
    <w:p w14:paraId="72686925">
      <w:pPr>
        <w:keepNext w:val="0"/>
        <w:keepLines w:val="0"/>
        <w:pageBreakBefore w:val="0"/>
        <w:widowControl/>
        <w:numPr>
          <w:ilvl w:val="0"/>
          <w:numId w:val="4"/>
        </w:numPr>
        <w:kinsoku w:val="0"/>
        <w:wordWrap w:val="0"/>
        <w:overflowPunct/>
        <w:topLinePunct w:val="0"/>
        <w:autoSpaceDE w:val="0"/>
        <w:autoSpaceDN w:val="0"/>
        <w:bidi w:val="0"/>
        <w:adjustRightInd w:val="0"/>
        <w:snapToGrid w:val="0"/>
        <w:spacing w:before="36" w:line="360" w:lineRule="auto"/>
        <w:ind w:left="499"/>
        <w:textAlignment w:val="baseline"/>
        <w:rPr>
          <w:rFonts w:ascii="宋体" w:hAnsi="宋体" w:eastAsia="宋体" w:cs="宋体"/>
          <w:sz w:val="24"/>
          <w:szCs w:val="24"/>
        </w:rPr>
      </w:pPr>
      <w:r>
        <w:rPr>
          <w:rFonts w:ascii="宋体" w:hAnsi="宋体" w:eastAsia="宋体" w:cs="宋体"/>
          <w:spacing w:val="1"/>
          <w:sz w:val="24"/>
          <w:szCs w:val="24"/>
        </w:rPr>
        <w:t>已标价工程量清单中没有适用但有类似于变更工程项目的，可在合理范围内</w:t>
      </w:r>
      <w:r>
        <w:rPr>
          <w:rFonts w:ascii="宋体" w:hAnsi="宋体" w:eastAsia="宋体" w:cs="宋体"/>
          <w:spacing w:val="-3"/>
          <w:sz w:val="24"/>
          <w:szCs w:val="24"/>
        </w:rPr>
        <w:t>参照类似项</w:t>
      </w:r>
    </w:p>
    <w:p w14:paraId="3908107A">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36" w:line="360" w:lineRule="auto"/>
        <w:textAlignment w:val="baseline"/>
        <w:rPr>
          <w:rFonts w:ascii="宋体" w:hAnsi="宋体" w:eastAsia="宋体" w:cs="宋体"/>
          <w:sz w:val="24"/>
          <w:szCs w:val="24"/>
        </w:rPr>
      </w:pPr>
      <w:r>
        <w:rPr>
          <w:rFonts w:ascii="宋体" w:hAnsi="宋体" w:eastAsia="宋体" w:cs="宋体"/>
          <w:spacing w:val="-3"/>
          <w:sz w:val="24"/>
          <w:szCs w:val="24"/>
        </w:rPr>
        <w:t>目的单价。</w:t>
      </w:r>
      <w:r>
        <w:rPr>
          <w:rFonts w:ascii="宋体" w:hAnsi="宋体" w:eastAsia="宋体" w:cs="宋体"/>
          <w:b/>
          <w:bCs/>
          <w:spacing w:val="-3"/>
          <w:sz w:val="24"/>
          <w:szCs w:val="24"/>
        </w:rPr>
        <w:t>但如果被参考的类似项目属于按照第二章“</w:t>
      </w:r>
      <w:r>
        <w:rPr>
          <w:rFonts w:ascii="宋体" w:hAnsi="宋体" w:eastAsia="宋体" w:cs="宋体"/>
          <w:b/>
          <w:bCs/>
          <w:spacing w:val="-4"/>
          <w:sz w:val="24"/>
          <w:szCs w:val="24"/>
        </w:rPr>
        <w:t>中标人须知”第</w:t>
      </w:r>
      <w:r>
        <w:rPr>
          <w:rFonts w:ascii="Times New Roman" w:hAnsi="Times New Roman" w:eastAsia="Times New Roman" w:cs="Times New Roman"/>
          <w:b/>
          <w:bCs/>
          <w:spacing w:val="-4"/>
          <w:sz w:val="24"/>
          <w:szCs w:val="24"/>
        </w:rPr>
        <w:t>4.2</w:t>
      </w:r>
      <w:r>
        <w:rPr>
          <w:rFonts w:ascii="宋体" w:hAnsi="宋体" w:eastAsia="宋体" w:cs="宋体"/>
          <w:b/>
          <w:bCs/>
          <w:spacing w:val="-4"/>
          <w:sz w:val="24"/>
          <w:szCs w:val="24"/>
        </w:rPr>
        <w:t>条被认定为不平衡报价的清单项目，变更工程项目的单价按照本章2.3.2.1的方法调整。</w:t>
      </w:r>
    </w:p>
    <w:p w14:paraId="546659E7">
      <w:pPr>
        <w:numPr>
          <w:ilvl w:val="0"/>
          <w:numId w:val="4"/>
        </w:numPr>
        <w:spacing w:before="38" w:line="310" w:lineRule="auto"/>
        <w:ind w:left="499" w:right="81"/>
        <w:jc w:val="both"/>
        <w:rPr>
          <w:rFonts w:ascii="宋体" w:hAnsi="宋体" w:eastAsia="宋体" w:cs="宋体"/>
          <w:spacing w:val="-2"/>
          <w:sz w:val="24"/>
          <w:szCs w:val="24"/>
        </w:rPr>
      </w:pPr>
      <w:r>
        <w:rPr>
          <w:rFonts w:ascii="宋体" w:hAnsi="宋体" w:eastAsia="宋体" w:cs="宋体"/>
          <w:spacing w:val="1"/>
          <w:sz w:val="24"/>
          <w:szCs w:val="24"/>
        </w:rPr>
        <w:t>已标价工程量清单中没有适用也没有类似于变更工程项目的，由承包人根据</w:t>
      </w:r>
      <w:r>
        <w:rPr>
          <w:rFonts w:ascii="宋体" w:hAnsi="宋体" w:eastAsia="宋体" w:cs="宋体"/>
          <w:spacing w:val="-2"/>
          <w:sz w:val="24"/>
          <w:szCs w:val="24"/>
        </w:rPr>
        <w:t>变更工程资</w:t>
      </w:r>
    </w:p>
    <w:p w14:paraId="135BF9F3">
      <w:pPr>
        <w:numPr>
          <w:ilvl w:val="0"/>
          <w:numId w:val="0"/>
        </w:numPr>
        <w:spacing w:before="38" w:line="310" w:lineRule="auto"/>
        <w:ind w:right="81" w:rightChars="0"/>
        <w:jc w:val="both"/>
        <w:rPr>
          <w:rFonts w:ascii="宋体" w:hAnsi="宋体" w:eastAsia="宋体" w:cs="宋体"/>
          <w:spacing w:val="-2"/>
          <w:sz w:val="24"/>
          <w:szCs w:val="24"/>
        </w:rPr>
      </w:pPr>
      <w:r>
        <w:rPr>
          <w:rFonts w:ascii="宋体" w:hAnsi="宋体" w:eastAsia="宋体" w:cs="宋体"/>
          <w:spacing w:val="-2"/>
          <w:sz w:val="24"/>
          <w:szCs w:val="24"/>
        </w:rPr>
        <w:t>料、计量规则、计价办法、施工当月项目所在地工程造价管理机构发布的价格信息和中标下浮率提出变更工程项目的单价，报发包人确认后调整。中标下浮率的计算公式如下：</w:t>
      </w:r>
    </w:p>
    <w:p w14:paraId="082A0792">
      <w:pPr>
        <w:spacing w:before="126" w:line="314" w:lineRule="auto"/>
        <w:ind w:left="29" w:right="21" w:firstLine="503"/>
        <w:rPr>
          <w:rFonts w:ascii="Times New Roman" w:hAnsi="Times New Roman" w:eastAsia="Times New Roman" w:cs="Times New Roman"/>
          <w:sz w:val="24"/>
          <w:szCs w:val="24"/>
        </w:rPr>
      </w:pPr>
      <w:r>
        <w:rPr>
          <w:rFonts w:ascii="宋体" w:hAnsi="宋体" w:eastAsia="宋体" w:cs="宋体"/>
          <w:b/>
          <w:bCs/>
          <w:spacing w:val="-2"/>
          <w:sz w:val="24"/>
          <w:szCs w:val="24"/>
        </w:rPr>
        <w:t>中标下浮率</w:t>
      </w:r>
      <w:r>
        <w:rPr>
          <w:rFonts w:ascii="Times New Roman" w:hAnsi="Times New Roman" w:eastAsia="Times New Roman" w:cs="Times New Roman"/>
          <w:b/>
          <w:bCs/>
          <w:spacing w:val="-2"/>
          <w:sz w:val="24"/>
          <w:szCs w:val="24"/>
        </w:rPr>
        <w:t>=</w:t>
      </w:r>
      <w:r>
        <w:rPr>
          <w:rFonts w:ascii="宋体" w:hAnsi="宋体" w:eastAsia="宋体" w:cs="宋体"/>
          <w:b/>
          <w:bCs/>
          <w:spacing w:val="-2"/>
          <w:sz w:val="24"/>
          <w:szCs w:val="24"/>
        </w:rPr>
        <w:t>[</w:t>
      </w:r>
      <w:r>
        <w:rPr>
          <w:rFonts w:ascii="Times New Roman" w:hAnsi="Times New Roman" w:eastAsia="Times New Roman" w:cs="Times New Roman"/>
          <w:b/>
          <w:bCs/>
          <w:spacing w:val="-2"/>
          <w:sz w:val="24"/>
          <w:szCs w:val="24"/>
        </w:rPr>
        <w:t>1-</w:t>
      </w:r>
      <w:r>
        <w:rPr>
          <w:rFonts w:ascii="宋体" w:hAnsi="宋体" w:eastAsia="宋体" w:cs="宋体"/>
          <w:b/>
          <w:bCs/>
          <w:spacing w:val="-2"/>
          <w:sz w:val="24"/>
          <w:szCs w:val="24"/>
        </w:rPr>
        <w:t>（中标价</w:t>
      </w:r>
      <w:r>
        <w:rPr>
          <w:rFonts w:ascii="Times New Roman" w:hAnsi="Times New Roman" w:eastAsia="Times New Roman" w:cs="Times New Roman"/>
          <w:b/>
          <w:bCs/>
          <w:spacing w:val="-2"/>
          <w:sz w:val="24"/>
          <w:szCs w:val="24"/>
        </w:rPr>
        <w:t>-</w:t>
      </w:r>
      <w:r>
        <w:rPr>
          <w:rFonts w:ascii="宋体" w:hAnsi="宋体" w:eastAsia="宋体" w:cs="宋体"/>
          <w:b/>
          <w:bCs/>
          <w:spacing w:val="-2"/>
          <w:sz w:val="24"/>
          <w:szCs w:val="24"/>
        </w:rPr>
        <w:t>中标绿色施工安全防护措施费</w:t>
      </w:r>
      <w:r>
        <w:rPr>
          <w:rFonts w:ascii="Times New Roman" w:hAnsi="Times New Roman" w:eastAsia="Times New Roman" w:cs="Times New Roman"/>
          <w:b/>
          <w:bCs/>
          <w:spacing w:val="-2"/>
          <w:sz w:val="24"/>
          <w:szCs w:val="24"/>
        </w:rPr>
        <w:t>-</w:t>
      </w:r>
      <w:r>
        <w:rPr>
          <w:rFonts w:ascii="宋体" w:hAnsi="宋体" w:eastAsia="宋体" w:cs="宋体"/>
          <w:b/>
          <w:bCs/>
          <w:spacing w:val="-2"/>
          <w:sz w:val="24"/>
          <w:szCs w:val="24"/>
        </w:rPr>
        <w:t>暂列</w:t>
      </w:r>
      <w:r>
        <w:rPr>
          <w:rFonts w:ascii="宋体" w:hAnsi="宋体" w:eastAsia="宋体" w:cs="宋体"/>
          <w:b/>
          <w:bCs/>
          <w:spacing w:val="-3"/>
          <w:sz w:val="24"/>
          <w:szCs w:val="24"/>
        </w:rPr>
        <w:t>金额-暂估价）</w:t>
      </w:r>
      <w:r>
        <w:rPr>
          <w:rFonts w:ascii="Times New Roman" w:hAnsi="Times New Roman" w:eastAsia="Times New Roman" w:cs="Times New Roman"/>
          <w:b/>
          <w:bCs/>
          <w:spacing w:val="-3"/>
          <w:sz w:val="24"/>
          <w:szCs w:val="24"/>
        </w:rPr>
        <w:t>/</w:t>
      </w:r>
      <w:r>
        <w:rPr>
          <w:rFonts w:ascii="宋体" w:hAnsi="宋体" w:eastAsia="宋体" w:cs="宋体"/>
          <w:b/>
          <w:bCs/>
          <w:spacing w:val="-3"/>
          <w:sz w:val="24"/>
          <w:szCs w:val="24"/>
        </w:rPr>
        <w:t>（招标控制价</w:t>
      </w:r>
      <w:r>
        <w:rPr>
          <w:rFonts w:ascii="Times New Roman" w:hAnsi="Times New Roman" w:eastAsia="Times New Roman" w:cs="Times New Roman"/>
          <w:b/>
          <w:bCs/>
          <w:spacing w:val="-3"/>
          <w:sz w:val="24"/>
          <w:szCs w:val="24"/>
        </w:rPr>
        <w:t>-</w:t>
      </w:r>
      <w:r>
        <w:rPr>
          <w:rFonts w:ascii="宋体" w:hAnsi="宋体" w:eastAsia="宋体" w:cs="宋体"/>
          <w:b/>
          <w:bCs/>
          <w:spacing w:val="-3"/>
          <w:sz w:val="24"/>
          <w:szCs w:val="24"/>
        </w:rPr>
        <w:t>控制价绿色施工安全防护措施费</w:t>
      </w:r>
      <w:r>
        <w:rPr>
          <w:rFonts w:ascii="Times New Roman" w:hAnsi="Times New Roman" w:eastAsia="Times New Roman" w:cs="Times New Roman"/>
          <w:b/>
          <w:bCs/>
          <w:spacing w:val="-3"/>
          <w:sz w:val="24"/>
          <w:szCs w:val="24"/>
        </w:rPr>
        <w:t>-</w:t>
      </w:r>
      <w:r>
        <w:rPr>
          <w:rFonts w:ascii="宋体" w:hAnsi="宋体" w:eastAsia="宋体" w:cs="宋体"/>
          <w:b/>
          <w:bCs/>
          <w:spacing w:val="-3"/>
          <w:sz w:val="24"/>
          <w:szCs w:val="24"/>
        </w:rPr>
        <w:t>暂列金额-暂估价）]×</w:t>
      </w:r>
      <w:r>
        <w:rPr>
          <w:rFonts w:ascii="Times New Roman" w:hAnsi="Times New Roman" w:eastAsia="Times New Roman" w:cs="Times New Roman"/>
          <w:b/>
          <w:bCs/>
          <w:spacing w:val="-3"/>
          <w:sz w:val="24"/>
          <w:szCs w:val="24"/>
        </w:rPr>
        <w:t>100%</w:t>
      </w:r>
    </w:p>
    <w:p w14:paraId="4E68C177">
      <w:pPr>
        <w:spacing w:before="145" w:line="309" w:lineRule="auto"/>
        <w:ind w:left="6" w:right="81" w:firstLine="493"/>
        <w:rPr>
          <w:rFonts w:ascii="宋体" w:hAnsi="宋体" w:eastAsia="宋体" w:cs="宋体"/>
          <w:sz w:val="24"/>
          <w:szCs w:val="24"/>
        </w:rPr>
      </w:pPr>
      <w:r>
        <w:rPr>
          <w:rFonts w:hint="eastAsia" w:ascii="Times New Roman" w:hAnsi="Times New Roman" w:eastAsia="宋体" w:cs="Times New Roman"/>
          <w:spacing w:val="1"/>
          <w:sz w:val="24"/>
          <w:szCs w:val="24"/>
          <w:lang w:eastAsia="zh-CN"/>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）已标价工程量清单中没有适用也没有类似于变更工程项目，且施工当月项目</w:t>
      </w:r>
      <w:r>
        <w:rPr>
          <w:rFonts w:ascii="宋体" w:hAnsi="宋体" w:eastAsia="宋体" w:cs="宋体"/>
          <w:spacing w:val="-1"/>
          <w:sz w:val="24"/>
          <w:szCs w:val="24"/>
        </w:rPr>
        <w:t>所在地工程造价管理机构发布的价格信息缺</w:t>
      </w:r>
      <w:r>
        <w:rPr>
          <w:rFonts w:ascii="宋体" w:hAnsi="宋体" w:eastAsia="宋体" w:cs="宋体"/>
          <w:spacing w:val="-2"/>
          <w:sz w:val="24"/>
          <w:szCs w:val="24"/>
        </w:rPr>
        <w:t>项的，由承包人根据变更工程资料、计量规</w:t>
      </w:r>
      <w:r>
        <w:rPr>
          <w:rFonts w:ascii="宋体" w:hAnsi="宋体" w:eastAsia="宋体" w:cs="宋体"/>
          <w:spacing w:val="-1"/>
          <w:sz w:val="24"/>
          <w:szCs w:val="24"/>
        </w:rPr>
        <w:t>则、计价办法和通过市场调查等取得有合法</w:t>
      </w:r>
      <w:r>
        <w:rPr>
          <w:rFonts w:ascii="宋体" w:hAnsi="宋体" w:eastAsia="宋体" w:cs="宋体"/>
          <w:spacing w:val="-2"/>
          <w:sz w:val="24"/>
          <w:szCs w:val="24"/>
        </w:rPr>
        <w:t>依据的市场价格提出变更工程项目的单价，</w:t>
      </w:r>
      <w:r>
        <w:rPr>
          <w:rFonts w:ascii="宋体" w:hAnsi="宋体" w:eastAsia="宋体" w:cs="宋体"/>
          <w:spacing w:val="-1"/>
          <w:sz w:val="24"/>
          <w:szCs w:val="24"/>
        </w:rPr>
        <w:t>报发包人确认后调整。</w:t>
      </w:r>
    </w:p>
    <w:p w14:paraId="3A314303">
      <w:pPr>
        <w:spacing w:before="156" w:line="309" w:lineRule="auto"/>
        <w:ind w:left="7" w:right="81" w:firstLine="477"/>
        <w:rPr>
          <w:rFonts w:ascii="宋体" w:hAnsi="宋体" w:eastAsia="宋体" w:cs="宋体"/>
          <w:sz w:val="24"/>
          <w:szCs w:val="24"/>
        </w:rPr>
      </w:pPr>
      <w:r>
        <w:fldChar w:fldCharType="begin"/>
      </w:r>
      <w:r>
        <w:instrText xml:space="preserve">HYPERLINK"2.3.3.2"</w:instrText>
      </w:r>
      <w:r>
        <w:fldChar w:fldCharType="separate"/>
      </w:r>
      <w:r>
        <w:rPr>
          <w:rFonts w:ascii="Times New Roman" w:hAnsi="Times New Roman" w:eastAsia="Times New Roman" w:cs="Times New Roman"/>
          <w:b/>
          <w:bCs/>
          <w:spacing w:val="-3"/>
          <w:sz w:val="24"/>
          <w:szCs w:val="24"/>
        </w:rPr>
        <w:t>2.3.3.2</w:t>
      </w:r>
      <w:r>
        <w:rPr>
          <w:rFonts w:ascii="Times New Roman" w:hAnsi="Times New Roman" w:eastAsia="Times New Roman" w:cs="Times New Roman"/>
          <w:b/>
          <w:bCs/>
          <w:spacing w:val="-3"/>
          <w:sz w:val="24"/>
          <w:szCs w:val="24"/>
        </w:rPr>
        <w:fldChar w:fldCharType="end"/>
      </w:r>
      <w:r>
        <w:rPr>
          <w:rFonts w:ascii="宋体" w:hAnsi="宋体" w:eastAsia="宋体" w:cs="宋体"/>
          <w:spacing w:val="-3"/>
          <w:sz w:val="24"/>
          <w:szCs w:val="24"/>
        </w:rPr>
        <w:t>工程变更引起施工方案改变并使措施项目发生变化时，承包人提出调整措施</w:t>
      </w:r>
      <w:r>
        <w:rPr>
          <w:rFonts w:ascii="宋体" w:hAnsi="宋体" w:eastAsia="宋体" w:cs="宋体"/>
          <w:spacing w:val="-2"/>
          <w:sz w:val="24"/>
          <w:szCs w:val="24"/>
        </w:rPr>
        <w:t>项目费的，应事先将拟实施的方案提交发包人确认，并应详细说明与原方案措施项目相比的变化情况。拟实施的方案经发、承包双方确认后执行，并按照本章下列规定调整措施项目费：</w:t>
      </w:r>
    </w:p>
    <w:p w14:paraId="0120481C">
      <w:pPr>
        <w:spacing w:before="152" w:line="220" w:lineRule="auto"/>
        <w:ind w:left="49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）绿色施工安全防护措施费应按照实际发生变化的措施项目计算。</w:t>
      </w:r>
    </w:p>
    <w:p w14:paraId="4F3E4AB2">
      <w:pPr>
        <w:keepNext w:val="0"/>
        <w:keepLines w:val="0"/>
        <w:pageBreakBefore w:val="0"/>
        <w:widowControl/>
        <w:kinsoku w:val="0"/>
        <w:wordWrap w:val="0"/>
        <w:overflowPunct/>
        <w:topLinePunct w:val="0"/>
        <w:autoSpaceDE w:val="0"/>
        <w:autoSpaceDN w:val="0"/>
        <w:bidi w:val="0"/>
        <w:adjustRightInd w:val="0"/>
        <w:snapToGrid w:val="0"/>
        <w:spacing w:before="153" w:line="219" w:lineRule="auto"/>
        <w:ind w:left="499"/>
        <w:textAlignment w:val="baseline"/>
        <w:rPr>
          <w:rFonts w:ascii="宋体" w:hAnsi="宋体" w:eastAsia="宋体" w:cs="宋体"/>
          <w:spacing w:val="-1"/>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）采用单价计算的措施项目费，应按照实际发生变化的措施项目，按本章第</w:t>
      </w:r>
      <w:r>
        <w:rPr>
          <w:rFonts w:ascii="Times New Roman" w:hAnsi="Times New Roman" w:eastAsia="Times New Roman" w:cs="Times New Roman"/>
          <w:b/>
          <w:bCs/>
          <w:spacing w:val="1"/>
          <w:sz w:val="24"/>
          <w:szCs w:val="24"/>
        </w:rPr>
        <w:t>2.</w:t>
      </w:r>
      <w:r>
        <w:rPr>
          <w:rFonts w:ascii="Times New Roman" w:hAnsi="Times New Roman" w:eastAsia="Times New Roman" w:cs="Times New Roman"/>
          <w:b/>
          <w:bCs/>
          <w:spacing w:val="-1"/>
          <w:sz w:val="24"/>
          <w:szCs w:val="24"/>
        </w:rPr>
        <w:t>3.3.1</w:t>
      </w:r>
      <w:r>
        <w:rPr>
          <w:rFonts w:ascii="宋体" w:hAnsi="宋体" w:eastAsia="宋体" w:cs="宋体"/>
          <w:spacing w:val="-1"/>
          <w:sz w:val="24"/>
          <w:szCs w:val="24"/>
        </w:rPr>
        <w:t>子目的</w:t>
      </w:r>
    </w:p>
    <w:p w14:paraId="5F7A6BF2">
      <w:pPr>
        <w:keepNext w:val="0"/>
        <w:keepLines w:val="0"/>
        <w:pageBreakBefore w:val="0"/>
        <w:widowControl/>
        <w:kinsoku w:val="0"/>
        <w:wordWrap w:val="0"/>
        <w:overflowPunct/>
        <w:topLinePunct w:val="0"/>
        <w:autoSpaceDE w:val="0"/>
        <w:autoSpaceDN w:val="0"/>
        <w:bidi w:val="0"/>
        <w:adjustRightInd w:val="0"/>
        <w:snapToGrid w:val="0"/>
        <w:spacing w:before="153" w:line="219" w:lineRule="auto"/>
        <w:textAlignment w:val="baseline"/>
        <w:rPr>
          <w:rFonts w:ascii="宋体" w:hAnsi="宋体" w:eastAsia="宋体" w:cs="宋体"/>
          <w:sz w:val="24"/>
          <w:szCs w:val="24"/>
        </w:rPr>
      </w:pPr>
      <w:r>
        <w:rPr>
          <w:rFonts w:ascii="宋体" w:hAnsi="宋体" w:eastAsia="宋体" w:cs="宋体"/>
          <w:spacing w:val="-1"/>
          <w:sz w:val="24"/>
          <w:szCs w:val="24"/>
        </w:rPr>
        <w:t>规定确定单价。</w:t>
      </w:r>
    </w:p>
    <w:p w14:paraId="5593E002">
      <w:pPr>
        <w:spacing w:before="154" w:line="360" w:lineRule="auto"/>
        <w:ind w:left="8" w:right="81" w:firstLine="49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）按总价或系数计算的措施项目费，应按照实际发生变化的措施项目费调整并</w:t>
      </w:r>
      <w:r>
        <w:rPr>
          <w:rFonts w:ascii="宋体" w:hAnsi="宋体" w:eastAsia="宋体" w:cs="宋体"/>
          <w:spacing w:val="-3"/>
          <w:sz w:val="24"/>
          <w:szCs w:val="24"/>
        </w:rPr>
        <w:t>考虑中标下浮率因素，即调整金额＝按照实际变化调整后的金额×（1-中标下浮率）。</w:t>
      </w:r>
    </w:p>
    <w:p w14:paraId="374B5CFE">
      <w:pPr>
        <w:spacing w:before="157" w:line="324" w:lineRule="auto"/>
        <w:ind w:left="21" w:right="81" w:firstLine="470"/>
        <w:rPr>
          <w:rFonts w:ascii="宋体" w:hAnsi="宋体" w:eastAsia="宋体" w:cs="宋体"/>
          <w:sz w:val="24"/>
          <w:szCs w:val="24"/>
        </w:rPr>
      </w:pPr>
      <w:r>
        <w:rPr>
          <w:rFonts w:ascii="宋体" w:hAnsi="宋体" w:eastAsia="宋体" w:cs="宋体"/>
          <w:spacing w:val="-2"/>
          <w:sz w:val="24"/>
          <w:szCs w:val="24"/>
        </w:rPr>
        <w:t>如果承包人未事先将拟实施的方案提交发包人确认，视为工程变更不引起措施项目费的调整或承包人放弃调整措施项目费的权利。</w:t>
      </w:r>
    </w:p>
    <w:p w14:paraId="5D81685A">
      <w:pPr>
        <w:spacing w:before="35" w:line="309" w:lineRule="auto"/>
        <w:ind w:left="10" w:right="81" w:firstLine="474"/>
        <w:rPr>
          <w:rFonts w:ascii="宋体" w:hAnsi="宋体" w:eastAsia="宋体" w:cs="宋体"/>
          <w:sz w:val="24"/>
          <w:szCs w:val="24"/>
        </w:rPr>
      </w:pPr>
      <w:r>
        <w:fldChar w:fldCharType="begin"/>
      </w:r>
      <w:r>
        <w:instrText xml:space="preserve">HYPERLINK"2.3.3.3"</w:instrText>
      </w:r>
      <w:r>
        <w:fldChar w:fldCharType="separate"/>
      </w:r>
      <w:r>
        <w:rPr>
          <w:rFonts w:ascii="Times New Roman" w:hAnsi="Times New Roman" w:eastAsia="Times New Roman" w:cs="Times New Roman"/>
          <w:b/>
          <w:bCs/>
          <w:spacing w:val="-3"/>
          <w:sz w:val="24"/>
          <w:szCs w:val="24"/>
        </w:rPr>
        <w:t>2.3.3.3</w:t>
      </w:r>
      <w:r>
        <w:rPr>
          <w:rFonts w:ascii="Times New Roman" w:hAnsi="Times New Roman" w:eastAsia="Times New Roman" w:cs="Times New Roman"/>
          <w:b/>
          <w:bCs/>
          <w:spacing w:val="-3"/>
          <w:sz w:val="24"/>
          <w:szCs w:val="24"/>
        </w:rPr>
        <w:fldChar w:fldCharType="end"/>
      </w:r>
      <w:r>
        <w:rPr>
          <w:rFonts w:ascii="宋体" w:hAnsi="宋体" w:eastAsia="宋体" w:cs="宋体"/>
          <w:spacing w:val="-3"/>
          <w:sz w:val="24"/>
          <w:szCs w:val="24"/>
        </w:rPr>
        <w:t>当因非承包人原因，发包人提出的工程变更删减了合同中的某项原定工作或</w:t>
      </w:r>
      <w:r>
        <w:rPr>
          <w:rFonts w:ascii="宋体" w:hAnsi="宋体" w:eastAsia="宋体" w:cs="宋体"/>
          <w:spacing w:val="-2"/>
          <w:sz w:val="24"/>
          <w:szCs w:val="24"/>
        </w:rPr>
        <w:t>工程，致使承包人发生的费用或（和）得到的收益不能被包括在其他已支付或应支付的项目中，也未被包含在任何替代的工作或工程中时，承包人有权提出并应得到合理的费用及利润补偿。</w:t>
      </w:r>
    </w:p>
    <w:p w14:paraId="53C32206">
      <w:pPr>
        <w:spacing w:before="155" w:line="220" w:lineRule="auto"/>
        <w:ind w:left="484"/>
        <w:rPr>
          <w:rFonts w:ascii="宋体" w:hAnsi="宋体" w:eastAsia="宋体" w:cs="宋体"/>
          <w:sz w:val="24"/>
          <w:szCs w:val="24"/>
        </w:rPr>
      </w:pPr>
      <w:r>
        <w:rPr>
          <w:rFonts w:ascii="Times New Roman" w:hAnsi="Times New Roman" w:eastAsia="Times New Roman" w:cs="Times New Roman"/>
          <w:b/>
          <w:bCs/>
          <w:spacing w:val="-1"/>
          <w:sz w:val="24"/>
          <w:szCs w:val="24"/>
        </w:rPr>
        <w:t>2.3.4</w:t>
      </w:r>
      <w:r>
        <w:rPr>
          <w:rFonts w:ascii="宋体" w:hAnsi="宋体" w:eastAsia="宋体" w:cs="宋体"/>
          <w:spacing w:val="-1"/>
          <w:sz w:val="24"/>
          <w:szCs w:val="24"/>
        </w:rPr>
        <w:t>项目特征不符</w:t>
      </w:r>
    </w:p>
    <w:p w14:paraId="5DE78594">
      <w:pPr>
        <w:spacing w:before="78" w:line="331" w:lineRule="auto"/>
        <w:ind w:left="8" w:right="108" w:firstLine="480"/>
        <w:jc w:val="both"/>
        <w:rPr>
          <w:rFonts w:ascii="宋体" w:hAnsi="宋体" w:eastAsia="宋体" w:cs="宋体"/>
          <w:color w:val="auto"/>
          <w:sz w:val="24"/>
          <w:szCs w:val="24"/>
        </w:rPr>
      </w:pPr>
      <w:bookmarkStart w:id="134" w:name="bookmark144"/>
      <w:bookmarkEnd w:id="134"/>
      <w:r>
        <w:rPr>
          <w:rFonts w:ascii="宋体" w:hAnsi="宋体" w:eastAsia="宋体" w:cs="宋体"/>
          <w:spacing w:val="-2"/>
          <w:sz w:val="24"/>
          <w:szCs w:val="24"/>
        </w:rPr>
        <w:t>承包</w:t>
      </w:r>
      <w:r>
        <w:rPr>
          <w:rFonts w:ascii="宋体" w:hAnsi="宋体" w:eastAsia="宋体" w:cs="宋体"/>
          <w:color w:val="auto"/>
          <w:spacing w:val="-2"/>
          <w:sz w:val="24"/>
          <w:szCs w:val="24"/>
        </w:rPr>
        <w:t>人应按照发包人提供的设计图纸实施合同工程，若在合同履行期间出现设计图纸（含设计变更）与招标工程量清单任一项目的特征描述不符，且该变化引起该项目工</w:t>
      </w:r>
      <w:r>
        <w:rPr>
          <w:rFonts w:ascii="宋体" w:hAnsi="宋体" w:eastAsia="宋体" w:cs="宋体"/>
          <w:color w:val="auto"/>
          <w:sz w:val="24"/>
          <w:szCs w:val="24"/>
        </w:rPr>
        <w:t>程造价增减变化的，应按照实际施工的项目特征，并按本章第</w:t>
      </w:r>
      <w:r>
        <w:rPr>
          <w:rFonts w:ascii="Times New Roman" w:hAnsi="Times New Roman" w:eastAsia="Times New Roman" w:cs="Times New Roman"/>
          <w:b/>
          <w:bCs/>
          <w:color w:val="auto"/>
          <w:sz w:val="24"/>
          <w:szCs w:val="24"/>
        </w:rPr>
        <w:t>2.3.3</w:t>
      </w:r>
      <w:r>
        <w:rPr>
          <w:rFonts w:ascii="宋体" w:hAnsi="宋体" w:eastAsia="宋体" w:cs="宋体"/>
          <w:color w:val="auto"/>
          <w:sz w:val="24"/>
          <w:szCs w:val="24"/>
        </w:rPr>
        <w:t>目相</w:t>
      </w:r>
      <w:r>
        <w:rPr>
          <w:rFonts w:ascii="宋体" w:hAnsi="宋体" w:eastAsia="宋体" w:cs="宋体"/>
          <w:color w:val="auto"/>
          <w:spacing w:val="-1"/>
          <w:sz w:val="24"/>
          <w:szCs w:val="24"/>
        </w:rPr>
        <w:t>关条款的规定重新确定相应工程量清单项目的综合单价，并调整合同价款。</w:t>
      </w:r>
    </w:p>
    <w:p w14:paraId="26B2550F">
      <w:pPr>
        <w:spacing w:before="38" w:line="221" w:lineRule="auto"/>
        <w:ind w:left="485"/>
        <w:rPr>
          <w:rFonts w:ascii="宋体" w:hAnsi="宋体" w:eastAsia="宋体" w:cs="宋体"/>
          <w:color w:val="auto"/>
          <w:sz w:val="24"/>
          <w:szCs w:val="24"/>
        </w:rPr>
      </w:pPr>
      <w:r>
        <w:rPr>
          <w:rFonts w:ascii="Times New Roman" w:hAnsi="Times New Roman" w:eastAsia="Times New Roman" w:cs="Times New Roman"/>
          <w:b/>
          <w:bCs/>
          <w:color w:val="auto"/>
          <w:spacing w:val="-1"/>
          <w:sz w:val="24"/>
          <w:szCs w:val="24"/>
        </w:rPr>
        <w:t>2.3.5</w:t>
      </w:r>
      <w:r>
        <w:rPr>
          <w:rFonts w:ascii="宋体" w:hAnsi="宋体" w:eastAsia="宋体" w:cs="宋体"/>
          <w:color w:val="auto"/>
          <w:spacing w:val="-1"/>
          <w:sz w:val="24"/>
          <w:szCs w:val="24"/>
        </w:rPr>
        <w:t>招标工程量清单缺项</w:t>
      </w:r>
    </w:p>
    <w:p w14:paraId="6ABA502C">
      <w:pPr>
        <w:spacing w:before="152" w:line="278" w:lineRule="auto"/>
        <w:ind w:left="9" w:right="56" w:firstLine="476"/>
        <w:rPr>
          <w:rFonts w:ascii="宋体" w:hAnsi="宋体" w:eastAsia="宋体" w:cs="宋体"/>
          <w:color w:val="auto"/>
          <w:sz w:val="24"/>
          <w:szCs w:val="24"/>
        </w:rPr>
      </w:pPr>
      <w:r>
        <w:rPr>
          <w:color w:val="auto"/>
        </w:rPr>
        <w:fldChar w:fldCharType="begin"/>
      </w:r>
      <w:r>
        <w:rPr>
          <w:color w:val="auto"/>
        </w:rPr>
        <w:instrText xml:space="preserve">HYPERLINK"2.3.5.1"</w:instrText>
      </w:r>
      <w:r>
        <w:rPr>
          <w:color w:val="auto"/>
        </w:rPr>
        <w:fldChar w:fldCharType="separate"/>
      </w:r>
      <w:r>
        <w:rPr>
          <w:rFonts w:ascii="Times New Roman" w:hAnsi="Times New Roman" w:eastAsia="Times New Roman" w:cs="Times New Roman"/>
          <w:b/>
          <w:bCs/>
          <w:color w:val="auto"/>
          <w:spacing w:val="-1"/>
          <w:sz w:val="24"/>
          <w:szCs w:val="24"/>
        </w:rPr>
        <w:t>2.3.5.1</w:t>
      </w:r>
      <w:r>
        <w:rPr>
          <w:rFonts w:ascii="Times New Roman" w:hAnsi="Times New Roman" w:eastAsia="Times New Roman" w:cs="Times New Roman"/>
          <w:b/>
          <w:bCs/>
          <w:color w:val="auto"/>
          <w:spacing w:val="-1"/>
          <w:sz w:val="24"/>
          <w:szCs w:val="24"/>
        </w:rPr>
        <w:fldChar w:fldCharType="end"/>
      </w:r>
      <w:r>
        <w:rPr>
          <w:rFonts w:ascii="宋体" w:hAnsi="宋体" w:eastAsia="宋体" w:cs="宋体"/>
          <w:color w:val="auto"/>
          <w:spacing w:val="-1"/>
          <w:sz w:val="24"/>
          <w:szCs w:val="24"/>
        </w:rPr>
        <w:t>合同履行期间，由于招标</w:t>
      </w:r>
      <w:r>
        <w:rPr>
          <w:rFonts w:ascii="宋体" w:hAnsi="宋体" w:eastAsia="宋体" w:cs="宋体"/>
          <w:color w:val="auto"/>
          <w:spacing w:val="-2"/>
          <w:sz w:val="24"/>
          <w:szCs w:val="24"/>
        </w:rPr>
        <w:t>工程量清单中缺项，新增分部分项工程清单项目，</w:t>
      </w:r>
      <w:r>
        <w:rPr>
          <w:rFonts w:ascii="宋体" w:hAnsi="宋体" w:eastAsia="宋体" w:cs="宋体"/>
          <w:color w:val="auto"/>
          <w:spacing w:val="-1"/>
          <w:sz w:val="24"/>
          <w:szCs w:val="24"/>
        </w:rPr>
        <w:t>应按照本章第</w:t>
      </w:r>
      <w:r>
        <w:rPr>
          <w:rFonts w:ascii="Times New Roman" w:hAnsi="Times New Roman" w:eastAsia="Times New Roman" w:cs="Times New Roman"/>
          <w:b/>
          <w:bCs/>
          <w:color w:val="auto"/>
          <w:spacing w:val="-1"/>
          <w:sz w:val="24"/>
          <w:szCs w:val="24"/>
        </w:rPr>
        <w:t>2.3.3.1</w:t>
      </w:r>
      <w:r>
        <w:rPr>
          <w:rFonts w:ascii="宋体" w:hAnsi="宋体" w:eastAsia="宋体" w:cs="宋体"/>
          <w:color w:val="auto"/>
          <w:spacing w:val="-1"/>
          <w:sz w:val="24"/>
          <w:szCs w:val="24"/>
        </w:rPr>
        <w:t>子目的规定确定单价，并调整合同价款。</w:t>
      </w:r>
    </w:p>
    <w:p w14:paraId="61CF792E">
      <w:pPr>
        <w:spacing w:before="157" w:line="219" w:lineRule="auto"/>
        <w:ind w:left="485"/>
        <w:rPr>
          <w:rFonts w:ascii="宋体" w:hAnsi="宋体" w:eastAsia="宋体" w:cs="宋体"/>
          <w:color w:val="auto"/>
          <w:sz w:val="24"/>
          <w:szCs w:val="24"/>
        </w:rPr>
      </w:pPr>
      <w:r>
        <w:rPr>
          <w:color w:val="auto"/>
        </w:rPr>
        <w:fldChar w:fldCharType="begin"/>
      </w:r>
      <w:r>
        <w:rPr>
          <w:color w:val="auto"/>
        </w:rPr>
        <w:instrText xml:space="preserve">HYPERLINK"2.3.5.2"</w:instrText>
      </w:r>
      <w:r>
        <w:rPr>
          <w:color w:val="auto"/>
        </w:rPr>
        <w:fldChar w:fldCharType="separate"/>
      </w:r>
      <w:r>
        <w:rPr>
          <w:rFonts w:ascii="Times New Roman" w:hAnsi="Times New Roman" w:eastAsia="Times New Roman" w:cs="Times New Roman"/>
          <w:b/>
          <w:bCs/>
          <w:color w:val="auto"/>
          <w:spacing w:val="-1"/>
          <w:sz w:val="24"/>
          <w:szCs w:val="24"/>
        </w:rPr>
        <w:t>2.3.5.2</w:t>
      </w:r>
      <w:r>
        <w:rPr>
          <w:rFonts w:ascii="Times New Roman" w:hAnsi="Times New Roman" w:eastAsia="Times New Roman" w:cs="Times New Roman"/>
          <w:b/>
          <w:bCs/>
          <w:color w:val="auto"/>
          <w:spacing w:val="-1"/>
          <w:sz w:val="24"/>
          <w:szCs w:val="24"/>
        </w:rPr>
        <w:fldChar w:fldCharType="end"/>
      </w:r>
      <w:r>
        <w:rPr>
          <w:rFonts w:ascii="宋体" w:hAnsi="宋体" w:eastAsia="宋体" w:cs="宋体"/>
          <w:color w:val="auto"/>
          <w:spacing w:val="-1"/>
          <w:sz w:val="24"/>
          <w:szCs w:val="24"/>
        </w:rPr>
        <w:t>新增分部分项工程清单项目后，引起</w:t>
      </w:r>
      <w:r>
        <w:rPr>
          <w:rFonts w:ascii="宋体" w:hAnsi="宋体" w:eastAsia="宋体" w:cs="宋体"/>
          <w:color w:val="auto"/>
          <w:spacing w:val="-2"/>
          <w:sz w:val="24"/>
          <w:szCs w:val="24"/>
        </w:rPr>
        <w:t>措施项目发生变化的，应按照本章第</w:t>
      </w:r>
      <w:r>
        <w:rPr>
          <w:rFonts w:ascii="Times New Roman" w:hAnsi="Times New Roman" w:eastAsia="Times New Roman" w:cs="Times New Roman"/>
          <w:b/>
          <w:bCs/>
          <w:color w:val="auto"/>
          <w:spacing w:val="-2"/>
          <w:sz w:val="24"/>
          <w:szCs w:val="24"/>
        </w:rPr>
        <w:t>2.</w:t>
      </w:r>
      <w:r>
        <w:rPr>
          <w:rFonts w:ascii="Times New Roman" w:hAnsi="Times New Roman" w:eastAsia="Times New Roman" w:cs="Times New Roman"/>
          <w:b/>
          <w:bCs/>
          <w:color w:val="auto"/>
          <w:sz w:val="24"/>
          <w:szCs w:val="24"/>
        </w:rPr>
        <w:t>3.3.2</w:t>
      </w:r>
      <w:r>
        <w:rPr>
          <w:rFonts w:ascii="宋体" w:hAnsi="宋体" w:eastAsia="宋体" w:cs="宋体"/>
          <w:color w:val="auto"/>
          <w:sz w:val="24"/>
          <w:szCs w:val="24"/>
        </w:rPr>
        <w:t>子目的规定，在承包人提交的实施方案被发包人批准后调整</w:t>
      </w:r>
      <w:r>
        <w:rPr>
          <w:rFonts w:ascii="宋体" w:hAnsi="宋体" w:eastAsia="宋体" w:cs="宋体"/>
          <w:color w:val="auto"/>
          <w:spacing w:val="-1"/>
          <w:sz w:val="24"/>
          <w:szCs w:val="24"/>
        </w:rPr>
        <w:t>合同价款。</w:t>
      </w:r>
    </w:p>
    <w:p w14:paraId="323B6546">
      <w:pPr>
        <w:spacing w:before="156" w:line="279" w:lineRule="auto"/>
        <w:ind w:left="13" w:right="108" w:firstLine="471"/>
        <w:rPr>
          <w:rFonts w:ascii="宋体" w:hAnsi="宋体" w:eastAsia="宋体" w:cs="宋体"/>
          <w:color w:val="auto"/>
          <w:sz w:val="24"/>
          <w:szCs w:val="24"/>
        </w:rPr>
      </w:pPr>
      <w:r>
        <w:rPr>
          <w:color w:val="auto"/>
        </w:rPr>
        <w:fldChar w:fldCharType="begin"/>
      </w:r>
      <w:r>
        <w:rPr>
          <w:color w:val="auto"/>
        </w:rPr>
        <w:instrText xml:space="preserve">HYPERLINK"2.3.5.3"</w:instrText>
      </w:r>
      <w:r>
        <w:rPr>
          <w:color w:val="auto"/>
        </w:rPr>
        <w:fldChar w:fldCharType="separate"/>
      </w:r>
      <w:r>
        <w:rPr>
          <w:rFonts w:ascii="Times New Roman" w:hAnsi="Times New Roman" w:eastAsia="Times New Roman" w:cs="Times New Roman"/>
          <w:b/>
          <w:bCs/>
          <w:color w:val="auto"/>
          <w:spacing w:val="-4"/>
          <w:sz w:val="24"/>
          <w:szCs w:val="24"/>
        </w:rPr>
        <w:t>2.3.5.3</w:t>
      </w:r>
      <w:r>
        <w:rPr>
          <w:rFonts w:ascii="Times New Roman" w:hAnsi="Times New Roman" w:eastAsia="Times New Roman" w:cs="Times New Roman"/>
          <w:b/>
          <w:bCs/>
          <w:color w:val="auto"/>
          <w:spacing w:val="-4"/>
          <w:sz w:val="24"/>
          <w:szCs w:val="24"/>
        </w:rPr>
        <w:fldChar w:fldCharType="end"/>
      </w:r>
      <w:r>
        <w:rPr>
          <w:rFonts w:ascii="宋体" w:hAnsi="宋体" w:eastAsia="宋体" w:cs="宋体"/>
          <w:color w:val="auto"/>
          <w:spacing w:val="-4"/>
          <w:sz w:val="24"/>
          <w:szCs w:val="24"/>
        </w:rPr>
        <w:t>由于招标工程量清单中措施项目缺项，承包人应将新增措施项目实施方案提</w:t>
      </w:r>
      <w:r>
        <w:rPr>
          <w:rFonts w:ascii="宋体" w:hAnsi="宋体" w:eastAsia="宋体" w:cs="宋体"/>
          <w:color w:val="auto"/>
          <w:spacing w:val="-1"/>
          <w:sz w:val="24"/>
          <w:szCs w:val="24"/>
        </w:rPr>
        <w:t>交发包人批准后，按照本章第</w:t>
      </w:r>
      <w:r>
        <w:rPr>
          <w:rFonts w:ascii="Times New Roman" w:hAnsi="Times New Roman" w:eastAsia="Times New Roman" w:cs="Times New Roman"/>
          <w:b/>
          <w:bCs/>
          <w:color w:val="auto"/>
          <w:spacing w:val="-1"/>
          <w:sz w:val="24"/>
          <w:szCs w:val="24"/>
        </w:rPr>
        <w:t>2.3.3.1</w:t>
      </w:r>
      <w:r>
        <w:rPr>
          <w:rFonts w:ascii="宋体" w:hAnsi="宋体" w:eastAsia="宋体" w:cs="宋体"/>
          <w:color w:val="auto"/>
          <w:spacing w:val="-1"/>
          <w:sz w:val="24"/>
          <w:szCs w:val="24"/>
        </w:rPr>
        <w:t>子目、第</w:t>
      </w:r>
      <w:r>
        <w:rPr>
          <w:rFonts w:ascii="Times New Roman" w:hAnsi="Times New Roman" w:eastAsia="Times New Roman" w:cs="Times New Roman"/>
          <w:b/>
          <w:bCs/>
          <w:color w:val="auto"/>
          <w:spacing w:val="-1"/>
          <w:sz w:val="24"/>
          <w:szCs w:val="24"/>
        </w:rPr>
        <w:t>2.3.3.2</w:t>
      </w:r>
      <w:r>
        <w:rPr>
          <w:rFonts w:ascii="宋体" w:hAnsi="宋体" w:eastAsia="宋体" w:cs="宋体"/>
          <w:color w:val="auto"/>
          <w:spacing w:val="-1"/>
          <w:sz w:val="24"/>
          <w:szCs w:val="24"/>
        </w:rPr>
        <w:t>子目的规定调整合同价款。</w:t>
      </w:r>
    </w:p>
    <w:p w14:paraId="7C7BFB0D">
      <w:pPr>
        <w:spacing w:before="154" w:line="219" w:lineRule="auto"/>
        <w:ind w:left="485"/>
        <w:rPr>
          <w:rFonts w:ascii="宋体" w:hAnsi="宋体" w:eastAsia="宋体" w:cs="宋体"/>
          <w:color w:val="auto"/>
          <w:sz w:val="24"/>
          <w:szCs w:val="24"/>
        </w:rPr>
      </w:pPr>
      <w:r>
        <w:rPr>
          <w:rFonts w:ascii="Times New Roman" w:hAnsi="Times New Roman" w:eastAsia="Times New Roman" w:cs="Times New Roman"/>
          <w:b/>
          <w:bCs/>
          <w:color w:val="auto"/>
          <w:spacing w:val="-1"/>
          <w:sz w:val="24"/>
          <w:szCs w:val="24"/>
        </w:rPr>
        <w:t>2.3.6</w:t>
      </w:r>
      <w:r>
        <w:rPr>
          <w:rFonts w:ascii="宋体" w:hAnsi="宋体" w:eastAsia="宋体" w:cs="宋体"/>
          <w:color w:val="auto"/>
          <w:spacing w:val="-1"/>
          <w:sz w:val="24"/>
          <w:szCs w:val="24"/>
        </w:rPr>
        <w:t>物价变化</w:t>
      </w:r>
    </w:p>
    <w:p w14:paraId="090485C0">
      <w:pPr>
        <w:spacing w:before="156" w:line="315" w:lineRule="auto"/>
        <w:ind w:left="8" w:right="108" w:firstLine="477"/>
        <w:rPr>
          <w:rFonts w:ascii="宋体" w:hAnsi="宋体" w:eastAsia="宋体" w:cs="宋体"/>
          <w:color w:val="auto"/>
          <w:sz w:val="24"/>
          <w:szCs w:val="24"/>
        </w:rPr>
      </w:pPr>
      <w:r>
        <w:rPr>
          <w:color w:val="auto"/>
        </w:rPr>
        <w:fldChar w:fldCharType="begin"/>
      </w:r>
      <w:r>
        <w:rPr>
          <w:color w:val="auto"/>
        </w:rPr>
        <w:instrText xml:space="preserve">HYPERLINK"2.3.6.1"</w:instrText>
      </w:r>
      <w:r>
        <w:rPr>
          <w:color w:val="auto"/>
        </w:rPr>
        <w:fldChar w:fldCharType="separate"/>
      </w:r>
      <w:r>
        <w:rPr>
          <w:rFonts w:ascii="Times New Roman" w:hAnsi="Times New Roman" w:eastAsia="Times New Roman" w:cs="Times New Roman"/>
          <w:b/>
          <w:bCs/>
          <w:color w:val="auto"/>
          <w:spacing w:val="-3"/>
          <w:sz w:val="24"/>
          <w:szCs w:val="24"/>
        </w:rPr>
        <w:t>2.3.6.1</w:t>
      </w:r>
      <w:r>
        <w:rPr>
          <w:rFonts w:ascii="Times New Roman" w:hAnsi="Times New Roman" w:eastAsia="Times New Roman" w:cs="Times New Roman"/>
          <w:b/>
          <w:bCs/>
          <w:color w:val="auto"/>
          <w:spacing w:val="-3"/>
          <w:sz w:val="24"/>
          <w:szCs w:val="24"/>
        </w:rPr>
        <w:fldChar w:fldCharType="end"/>
      </w:r>
      <w:r>
        <w:rPr>
          <w:rFonts w:ascii="宋体" w:hAnsi="宋体" w:eastAsia="宋体" w:cs="宋体"/>
          <w:color w:val="auto"/>
          <w:spacing w:val="-3"/>
          <w:sz w:val="24"/>
          <w:szCs w:val="24"/>
        </w:rPr>
        <w:t>合同履行期间，项目所在地工程造价管理机构发布的动态人工调整系数发生变化时，如果承包人投标报价中人工费（以下简称“中标人工费”）</w:t>
      </w:r>
      <w:r>
        <w:rPr>
          <w:rFonts w:ascii="宋体" w:hAnsi="宋体" w:eastAsia="宋体" w:cs="宋体"/>
          <w:color w:val="auto"/>
          <w:spacing w:val="-4"/>
          <w:sz w:val="24"/>
          <w:szCs w:val="24"/>
        </w:rPr>
        <w:t>等于或超过施工当</w:t>
      </w:r>
      <w:r>
        <w:rPr>
          <w:rFonts w:ascii="宋体" w:hAnsi="宋体" w:eastAsia="宋体" w:cs="宋体"/>
          <w:color w:val="auto"/>
          <w:spacing w:val="-2"/>
          <w:sz w:val="24"/>
          <w:szCs w:val="24"/>
        </w:rPr>
        <w:t>月经动态调整后的定额人工费，该清单项目中标人工费不予调整；如果中标人工费低于施工当月经动态调整后的定额人工费，该清单项目中标人工费可以调整，相关费用按有</w:t>
      </w:r>
      <w:r>
        <w:rPr>
          <w:rFonts w:ascii="宋体" w:hAnsi="宋体" w:eastAsia="宋体" w:cs="宋体"/>
          <w:color w:val="auto"/>
          <w:spacing w:val="-1"/>
          <w:sz w:val="24"/>
          <w:szCs w:val="24"/>
        </w:rPr>
        <w:t>关规定进行相应调整。结算人工费调整公式为：</w:t>
      </w:r>
    </w:p>
    <w:p w14:paraId="5A5B5F18">
      <w:pPr>
        <w:spacing w:before="153" w:line="220" w:lineRule="auto"/>
        <w:ind w:left="494"/>
        <w:rPr>
          <w:rFonts w:ascii="Times New Roman" w:hAnsi="Times New Roman" w:eastAsia="Times New Roman" w:cs="Times New Roman"/>
          <w:color w:val="auto"/>
          <w:sz w:val="15"/>
          <w:szCs w:val="15"/>
        </w:rPr>
      </w:pPr>
      <w:r>
        <w:rPr>
          <w:rFonts w:ascii="宋体" w:hAnsi="宋体" w:eastAsia="宋体" w:cs="宋体"/>
          <w:color w:val="auto"/>
          <w:spacing w:val="-1"/>
          <w:sz w:val="24"/>
          <w:szCs w:val="24"/>
        </w:rPr>
        <w:t>结算人工费＝中标人工费×</w:t>
      </w:r>
      <w:r>
        <w:rPr>
          <w:rFonts w:ascii="Times New Roman" w:hAnsi="Times New Roman" w:eastAsia="Times New Roman" w:cs="Times New Roman"/>
          <w:color w:val="auto"/>
          <w:spacing w:val="-1"/>
          <w:sz w:val="24"/>
          <w:szCs w:val="24"/>
        </w:rPr>
        <w:t>F</w:t>
      </w:r>
      <w:r>
        <w:rPr>
          <w:rFonts w:ascii="Times New Roman" w:hAnsi="Times New Roman" w:eastAsia="Times New Roman" w:cs="Times New Roman"/>
          <w:color w:val="auto"/>
          <w:spacing w:val="-1"/>
          <w:position w:val="-1"/>
          <w:sz w:val="15"/>
          <w:szCs w:val="15"/>
        </w:rPr>
        <w:t>1</w:t>
      </w:r>
    </w:p>
    <w:p w14:paraId="53001205">
      <w:pPr>
        <w:spacing w:before="152" w:line="219" w:lineRule="auto"/>
        <w:ind w:left="493"/>
        <w:rPr>
          <w:rFonts w:ascii="宋体" w:hAnsi="宋体" w:eastAsia="宋体" w:cs="宋体"/>
          <w:color w:val="auto"/>
          <w:sz w:val="24"/>
          <w:szCs w:val="24"/>
        </w:rPr>
      </w:pPr>
      <w:r>
        <w:rPr>
          <w:rFonts w:ascii="宋体" w:hAnsi="宋体" w:eastAsia="宋体" w:cs="宋体"/>
          <w:color w:val="auto"/>
          <w:spacing w:val="-1"/>
          <w:sz w:val="24"/>
          <w:szCs w:val="24"/>
        </w:rPr>
        <w:t>式中，</w:t>
      </w:r>
      <w:r>
        <w:rPr>
          <w:rFonts w:ascii="Times New Roman" w:hAnsi="Times New Roman" w:eastAsia="Times New Roman" w:cs="Times New Roman"/>
          <w:color w:val="auto"/>
          <w:spacing w:val="-1"/>
          <w:sz w:val="24"/>
          <w:szCs w:val="24"/>
        </w:rPr>
        <w:t>F</w:t>
      </w:r>
      <w:r>
        <w:rPr>
          <w:rFonts w:ascii="Times New Roman" w:hAnsi="Times New Roman" w:eastAsia="Times New Roman" w:cs="Times New Roman"/>
          <w:color w:val="auto"/>
          <w:spacing w:val="-1"/>
          <w:position w:val="-1"/>
          <w:sz w:val="15"/>
          <w:szCs w:val="15"/>
        </w:rPr>
        <w:t>1</w:t>
      </w:r>
      <w:r>
        <w:rPr>
          <w:rFonts w:ascii="宋体" w:hAnsi="宋体" w:eastAsia="宋体" w:cs="宋体"/>
          <w:color w:val="auto"/>
          <w:spacing w:val="-1"/>
          <w:sz w:val="24"/>
          <w:szCs w:val="24"/>
        </w:rPr>
        <w:t>为施工当月项目所在地工程造价管理机构发布的动态人工调整系数。</w:t>
      </w:r>
    </w:p>
    <w:p w14:paraId="558D7C33">
      <w:pPr>
        <w:spacing w:before="119" w:line="324" w:lineRule="auto"/>
        <w:ind w:left="1" w:right="108" w:firstLine="483"/>
        <w:rPr>
          <w:rFonts w:ascii="宋体" w:hAnsi="宋体" w:eastAsia="宋体" w:cs="宋体"/>
          <w:color w:val="auto"/>
          <w:sz w:val="24"/>
          <w:szCs w:val="24"/>
        </w:rPr>
      </w:pPr>
      <w:r>
        <w:rPr>
          <w:rFonts w:ascii="Times New Roman" w:hAnsi="Times New Roman" w:eastAsia="Times New Roman" w:cs="Times New Roman"/>
          <w:b/>
          <w:bCs/>
          <w:color w:val="auto"/>
          <w:spacing w:val="-1"/>
          <w:sz w:val="24"/>
          <w:szCs w:val="24"/>
        </w:rPr>
        <w:fldChar w:fldCharType="begin"/>
      </w:r>
      <w:r>
        <w:rPr>
          <w:rFonts w:ascii="Times New Roman" w:hAnsi="Times New Roman" w:eastAsia="Times New Roman" w:cs="Times New Roman"/>
          <w:b/>
          <w:bCs/>
          <w:color w:val="auto"/>
          <w:spacing w:val="-1"/>
          <w:sz w:val="24"/>
          <w:szCs w:val="24"/>
        </w:rPr>
        <w:instrText xml:space="preserve">HYPERLINK"2.3.6.2"</w:instrText>
      </w:r>
      <w:r>
        <w:rPr>
          <w:rFonts w:ascii="Times New Roman" w:hAnsi="Times New Roman" w:eastAsia="Times New Roman" w:cs="Times New Roman"/>
          <w:b/>
          <w:bCs/>
          <w:color w:val="auto"/>
          <w:spacing w:val="-1"/>
          <w:sz w:val="24"/>
          <w:szCs w:val="24"/>
        </w:rPr>
        <w:fldChar w:fldCharType="separate"/>
      </w:r>
      <w:r>
        <w:rPr>
          <w:rFonts w:ascii="Times New Roman" w:hAnsi="Times New Roman" w:eastAsia="Times New Roman" w:cs="Times New Roman"/>
          <w:b/>
          <w:bCs/>
          <w:color w:val="auto"/>
          <w:spacing w:val="-1"/>
          <w:sz w:val="24"/>
          <w:szCs w:val="24"/>
        </w:rPr>
        <w:t>2.3.6.2</w:t>
      </w:r>
      <w:r>
        <w:rPr>
          <w:rFonts w:ascii="Times New Roman" w:hAnsi="Times New Roman" w:eastAsia="Times New Roman" w:cs="Times New Roman"/>
          <w:b/>
          <w:bCs/>
          <w:color w:val="auto"/>
          <w:spacing w:val="-1"/>
          <w:sz w:val="24"/>
          <w:szCs w:val="24"/>
        </w:rPr>
        <w:fldChar w:fldCharType="end"/>
      </w:r>
      <w:r>
        <w:rPr>
          <w:rFonts w:ascii="宋体" w:hAnsi="宋体" w:eastAsia="宋体" w:cs="宋体"/>
          <w:color w:val="auto"/>
          <w:spacing w:val="-1"/>
          <w:sz w:val="24"/>
          <w:szCs w:val="24"/>
        </w:rPr>
        <w:t>本招标项目约定，材料、工程设备</w:t>
      </w:r>
      <w:r>
        <w:rPr>
          <w:rFonts w:ascii="宋体" w:hAnsi="宋体" w:eastAsia="宋体" w:cs="宋体"/>
          <w:color w:val="auto"/>
          <w:spacing w:val="-2"/>
          <w:sz w:val="24"/>
          <w:szCs w:val="24"/>
        </w:rPr>
        <w:t>单价涨跌风险幅度值</w:t>
      </w:r>
      <w:r>
        <w:rPr>
          <w:rFonts w:ascii="Times New Roman" w:hAnsi="Times New Roman" w:eastAsia="Times New Roman" w:cs="Times New Roman"/>
          <w:color w:val="auto"/>
          <w:spacing w:val="-2"/>
          <w:sz w:val="24"/>
          <w:szCs w:val="24"/>
        </w:rPr>
        <w:t>A</w:t>
      </w:r>
      <w:r>
        <w:rPr>
          <w:rFonts w:ascii="宋体" w:hAnsi="宋体" w:eastAsia="宋体" w:cs="宋体"/>
          <w:color w:val="auto"/>
          <w:spacing w:val="-2"/>
          <w:sz w:val="24"/>
          <w:szCs w:val="24"/>
        </w:rPr>
        <w:t>为</w:t>
      </w:r>
      <w:r>
        <w:rPr>
          <w:rFonts w:ascii="Times New Roman" w:hAnsi="Times New Roman" w:eastAsia="Times New Roman" w:cs="Times New Roman"/>
          <w:color w:val="auto"/>
          <w:spacing w:val="-2"/>
          <w:sz w:val="24"/>
          <w:szCs w:val="24"/>
          <w:u w:val="single"/>
        </w:rPr>
        <w:t>5%</w:t>
      </w:r>
      <w:r>
        <w:rPr>
          <w:rFonts w:ascii="宋体" w:hAnsi="宋体" w:eastAsia="宋体" w:cs="宋体"/>
          <w:color w:val="auto"/>
          <w:spacing w:val="-2"/>
          <w:sz w:val="24"/>
          <w:szCs w:val="24"/>
        </w:rPr>
        <w:t>。合同履</w:t>
      </w:r>
      <w:r>
        <w:rPr>
          <w:rFonts w:ascii="宋体" w:hAnsi="宋体" w:eastAsia="宋体" w:cs="宋体"/>
          <w:color w:val="auto"/>
          <w:spacing w:val="-1"/>
          <w:sz w:val="24"/>
          <w:szCs w:val="24"/>
        </w:rPr>
        <w:t>行期间，当《承包人提供主要材料和工程设备一览表》（</w:t>
      </w:r>
      <w:r>
        <w:rPr>
          <w:rFonts w:ascii="宋体" w:hAnsi="宋体" w:eastAsia="宋体" w:cs="宋体"/>
          <w:color w:val="auto"/>
          <w:spacing w:val="-2"/>
          <w:sz w:val="24"/>
          <w:szCs w:val="24"/>
        </w:rPr>
        <w:t>详见招标工程量清单）中的材</w:t>
      </w:r>
      <w:r>
        <w:rPr>
          <w:rFonts w:ascii="宋体" w:hAnsi="宋体" w:eastAsia="宋体" w:cs="宋体"/>
          <w:color w:val="auto"/>
          <w:spacing w:val="-3"/>
          <w:sz w:val="24"/>
          <w:szCs w:val="24"/>
        </w:rPr>
        <w:t>料、工程设备单价涨跌幅度等于或低于</w:t>
      </w:r>
      <w:r>
        <w:rPr>
          <w:rFonts w:ascii="Times New Roman" w:hAnsi="Times New Roman" w:eastAsia="Times New Roman" w:cs="Times New Roman"/>
          <w:color w:val="auto"/>
          <w:spacing w:val="-3"/>
          <w:sz w:val="24"/>
          <w:szCs w:val="24"/>
        </w:rPr>
        <w:t>A</w:t>
      </w:r>
      <w:r>
        <w:rPr>
          <w:rFonts w:ascii="宋体" w:hAnsi="宋体" w:eastAsia="宋体" w:cs="宋体"/>
          <w:color w:val="auto"/>
          <w:spacing w:val="-3"/>
          <w:sz w:val="24"/>
          <w:szCs w:val="24"/>
        </w:rPr>
        <w:t>值时，该材料、工程设备单价不予调整；超过</w:t>
      </w:r>
      <w:r>
        <w:rPr>
          <w:rFonts w:ascii="Times New Roman" w:hAnsi="Times New Roman" w:eastAsia="Times New Roman" w:cs="Times New Roman"/>
          <w:color w:val="auto"/>
          <w:sz w:val="24"/>
          <w:szCs w:val="24"/>
        </w:rPr>
        <w:t>A</w:t>
      </w:r>
      <w:r>
        <w:rPr>
          <w:rFonts w:ascii="宋体" w:hAnsi="宋体" w:eastAsia="宋体" w:cs="宋体"/>
          <w:color w:val="auto"/>
          <w:sz w:val="24"/>
          <w:szCs w:val="24"/>
        </w:rPr>
        <w:t>值时，其超过部分可以调整。相关费用按有关规定进行相</w:t>
      </w:r>
      <w:r>
        <w:rPr>
          <w:rFonts w:ascii="宋体" w:hAnsi="宋体" w:eastAsia="宋体" w:cs="宋体"/>
          <w:color w:val="auto"/>
          <w:spacing w:val="-1"/>
          <w:sz w:val="24"/>
          <w:szCs w:val="24"/>
        </w:rPr>
        <w:t>应调整。</w:t>
      </w:r>
    </w:p>
    <w:p w14:paraId="22B8B93C">
      <w:pPr>
        <w:spacing w:before="126" w:line="295" w:lineRule="auto"/>
        <w:ind w:left="11" w:right="108" w:firstLine="477"/>
        <w:jc w:val="both"/>
        <w:rPr>
          <w:rFonts w:ascii="宋体" w:hAnsi="宋体" w:eastAsia="宋体" w:cs="宋体"/>
          <w:color w:val="auto"/>
          <w:sz w:val="24"/>
          <w:szCs w:val="24"/>
        </w:rPr>
      </w:pPr>
      <w:r>
        <w:rPr>
          <w:rFonts w:ascii="Times New Roman" w:hAnsi="Times New Roman" w:eastAsia="Times New Roman" w:cs="Times New Roman"/>
          <w:color w:val="auto"/>
          <w:spacing w:val="-1"/>
          <w:sz w:val="24"/>
          <w:szCs w:val="24"/>
        </w:rPr>
        <w:t>a</w:t>
      </w:r>
      <w:r>
        <w:rPr>
          <w:rFonts w:ascii="宋体" w:hAnsi="宋体" w:eastAsia="宋体" w:cs="宋体"/>
          <w:color w:val="auto"/>
          <w:spacing w:val="-1"/>
          <w:sz w:val="24"/>
          <w:szCs w:val="24"/>
        </w:rPr>
        <w:t>．如果承包人投标报价中材料、工程设备单价（以下简称“中标单价”）低于基</w:t>
      </w:r>
      <w:r>
        <w:rPr>
          <w:rFonts w:ascii="宋体" w:hAnsi="宋体" w:eastAsia="宋体" w:cs="宋体"/>
          <w:color w:val="auto"/>
          <w:spacing w:val="-2"/>
          <w:sz w:val="24"/>
          <w:szCs w:val="24"/>
        </w:rPr>
        <w:t>准日当月项目所在地工程造价管理机构发布的对应材料、工程设备单价（以下简称“基</w:t>
      </w:r>
      <w:r>
        <w:rPr>
          <w:rFonts w:ascii="宋体" w:hAnsi="宋体" w:eastAsia="宋体" w:cs="宋体"/>
          <w:color w:val="auto"/>
          <w:spacing w:val="-1"/>
          <w:sz w:val="24"/>
          <w:szCs w:val="24"/>
        </w:rPr>
        <w:t>准单价”</w:t>
      </w:r>
      <w:r>
        <w:rPr>
          <w:rFonts w:ascii="宋体" w:hAnsi="宋体" w:eastAsia="宋体" w:cs="宋体"/>
          <w:color w:val="auto"/>
          <w:spacing w:val="-11"/>
          <w:sz w:val="24"/>
          <w:szCs w:val="24"/>
        </w:rPr>
        <w:t>），</w:t>
      </w:r>
      <w:r>
        <w:rPr>
          <w:rFonts w:ascii="宋体" w:hAnsi="宋体" w:eastAsia="宋体" w:cs="宋体"/>
          <w:color w:val="auto"/>
          <w:spacing w:val="-1"/>
          <w:sz w:val="24"/>
          <w:szCs w:val="24"/>
        </w:rPr>
        <w:t>该材料、工程设备的结算单价调整公式为：</w:t>
      </w:r>
    </w:p>
    <w:p w14:paraId="743C7EDE">
      <w:pPr>
        <w:pStyle w:val="5"/>
        <w:spacing w:before="1" w:line="254" w:lineRule="auto"/>
        <w:ind w:left="127"/>
        <w:rPr>
          <w:rFonts w:ascii="宋体" w:hAnsi="宋体" w:eastAsia="宋体" w:cs="宋体"/>
          <w:color w:val="auto"/>
          <w:sz w:val="24"/>
          <w:szCs w:val="24"/>
        </w:rPr>
      </w:pPr>
      <w:r>
        <w:rPr>
          <w:rFonts w:ascii="Times New Roman" w:hAnsi="Times New Roman" w:eastAsia="Times New Roman" w:cs="Times New Roman"/>
          <w:color w:val="auto"/>
          <w:spacing w:val="-5"/>
          <w:position w:val="-1"/>
          <w:sz w:val="20"/>
          <w:szCs w:val="20"/>
        </w:rPr>
        <w:t>a.</w:t>
      </w:r>
      <w:r>
        <w:rPr>
          <w:rFonts w:ascii="宋体" w:hAnsi="宋体" w:eastAsia="宋体" w:cs="宋体"/>
          <w:color w:val="auto"/>
          <w:spacing w:val="-5"/>
          <w:position w:val="-1"/>
          <w:sz w:val="20"/>
          <w:szCs w:val="20"/>
        </w:rPr>
        <w:t>涨价时，</w:t>
      </w:r>
      <w:r>
        <w:rPr>
          <w:rFonts w:ascii="宋体" w:hAnsi="宋体" w:eastAsia="宋体" w:cs="宋体"/>
          <w:color w:val="auto"/>
          <w:spacing w:val="-5"/>
          <w:position w:val="-1"/>
          <w:sz w:val="24"/>
          <w:szCs w:val="24"/>
        </w:rPr>
        <w:t>结算单价＝</w:t>
      </w:r>
      <w:r>
        <w:rPr>
          <w:rFonts w:ascii="Times New Roman" w:hAnsi="Times New Roman" w:eastAsia="Times New Roman" w:cs="Times New Roman"/>
          <w:color w:val="auto"/>
          <w:spacing w:val="-5"/>
          <w:position w:val="-1"/>
          <w:sz w:val="28"/>
          <w:szCs w:val="28"/>
        </w:rPr>
        <w:t>F</w:t>
      </w:r>
      <w:r>
        <w:rPr>
          <w:rFonts w:ascii="宋体" w:hAnsi="宋体" w:eastAsia="宋体" w:cs="宋体"/>
          <w:color w:val="auto"/>
          <w:spacing w:val="-5"/>
          <w:position w:val="-1"/>
          <w:sz w:val="24"/>
          <w:szCs w:val="24"/>
        </w:rPr>
        <w:t>＋</w:t>
      </w:r>
      <w:r>
        <w:rPr>
          <w:rFonts w:ascii="Times New Roman" w:hAnsi="Times New Roman" w:eastAsia="Times New Roman" w:cs="Times New Roman"/>
          <w:color w:val="auto"/>
          <w:spacing w:val="-5"/>
          <w:position w:val="-1"/>
          <w:sz w:val="28"/>
          <w:szCs w:val="28"/>
        </w:rPr>
        <w:t>F</w:t>
      </w:r>
      <w:r>
        <w:rPr>
          <w:color w:val="auto"/>
          <w:spacing w:val="-5"/>
          <w:position w:val="-1"/>
          <w:sz w:val="24"/>
          <w:szCs w:val="24"/>
        </w:rPr>
        <w:t>×</w:t>
      </w:r>
      <w:r>
        <w:rPr>
          <w:rFonts w:ascii="宋体" w:hAnsi="宋体" w:eastAsia="宋体" w:cs="宋体"/>
          <w:color w:val="auto"/>
          <w:spacing w:val="-5"/>
          <w:position w:val="-1"/>
          <w:sz w:val="24"/>
          <w:szCs w:val="24"/>
        </w:rPr>
        <w:t>（</w:t>
      </w:r>
      <w:r>
        <w:rPr>
          <w:rFonts w:ascii="Times New Roman" w:hAnsi="Times New Roman" w:eastAsia="Times New Roman" w:cs="Times New Roman"/>
          <w:color w:val="auto"/>
          <w:spacing w:val="-5"/>
          <w:position w:val="13"/>
          <w:sz w:val="24"/>
          <w:szCs w:val="24"/>
          <w:u w:val="single"/>
        </w:rPr>
        <w:t>F</w:t>
      </w:r>
      <w:r>
        <w:rPr>
          <w:rFonts w:ascii="Times New Roman" w:hAnsi="Times New Roman" w:eastAsia="Times New Roman" w:cs="Times New Roman"/>
          <w:color w:val="auto"/>
          <w:spacing w:val="-5"/>
          <w:position w:val="7"/>
          <w:sz w:val="13"/>
          <w:szCs w:val="13"/>
          <w:u w:val="single"/>
        </w:rPr>
        <w:t>2</w:t>
      </w:r>
      <w:r>
        <w:rPr>
          <w:rFonts w:ascii="宋体" w:hAnsi="宋体" w:eastAsia="宋体" w:cs="宋体"/>
          <w:color w:val="auto"/>
          <w:spacing w:val="-5"/>
          <w:position w:val="13"/>
          <w:sz w:val="24"/>
          <w:szCs w:val="24"/>
          <w:u w:val="single"/>
        </w:rPr>
        <w:t>－</w:t>
      </w:r>
      <w:r>
        <w:rPr>
          <w:rFonts w:ascii="Times New Roman" w:hAnsi="Times New Roman" w:eastAsia="Times New Roman" w:cs="Times New Roman"/>
          <w:color w:val="auto"/>
          <w:spacing w:val="-5"/>
          <w:position w:val="13"/>
          <w:sz w:val="24"/>
          <w:szCs w:val="24"/>
          <w:u w:val="single"/>
        </w:rPr>
        <w:t>F</w:t>
      </w:r>
      <w:r>
        <w:rPr>
          <w:rFonts w:ascii="Times New Roman" w:hAnsi="Times New Roman" w:eastAsia="Times New Roman" w:cs="Times New Roman"/>
          <w:color w:val="auto"/>
          <w:spacing w:val="-5"/>
          <w:position w:val="7"/>
          <w:sz w:val="13"/>
          <w:szCs w:val="13"/>
          <w:u w:val="single"/>
        </w:rPr>
        <w:t>0</w:t>
      </w:r>
      <w:r>
        <w:rPr>
          <w:color w:val="auto"/>
          <w:spacing w:val="-5"/>
          <w:position w:val="-1"/>
          <w:sz w:val="24"/>
          <w:szCs w:val="24"/>
        </w:rPr>
        <w:t>×</w:t>
      </w:r>
      <w:r>
        <w:rPr>
          <w:rFonts w:ascii="Times New Roman" w:hAnsi="Times New Roman" w:eastAsia="Times New Roman" w:cs="Times New Roman"/>
          <w:color w:val="auto"/>
          <w:spacing w:val="-5"/>
          <w:position w:val="-1"/>
          <w:sz w:val="24"/>
          <w:szCs w:val="24"/>
        </w:rPr>
        <w:t>100%</w:t>
      </w:r>
      <w:r>
        <w:rPr>
          <w:rFonts w:ascii="宋体" w:hAnsi="宋体" w:eastAsia="宋体" w:cs="宋体"/>
          <w:color w:val="auto"/>
          <w:spacing w:val="-5"/>
          <w:position w:val="-1"/>
          <w:sz w:val="24"/>
          <w:szCs w:val="24"/>
        </w:rPr>
        <w:t>－</w:t>
      </w:r>
      <w:r>
        <w:rPr>
          <w:rFonts w:ascii="Times New Roman" w:hAnsi="Times New Roman" w:eastAsia="Times New Roman" w:cs="Times New Roman"/>
          <w:color w:val="auto"/>
          <w:spacing w:val="-6"/>
          <w:position w:val="-1"/>
          <w:sz w:val="24"/>
          <w:szCs w:val="24"/>
        </w:rPr>
        <w:t>A</w:t>
      </w:r>
      <w:r>
        <w:rPr>
          <w:rFonts w:ascii="宋体" w:hAnsi="宋体" w:eastAsia="宋体" w:cs="宋体"/>
          <w:color w:val="auto"/>
          <w:spacing w:val="-6"/>
          <w:position w:val="-1"/>
          <w:sz w:val="24"/>
          <w:szCs w:val="24"/>
        </w:rPr>
        <w:t>）</w:t>
      </w:r>
    </w:p>
    <w:p w14:paraId="251A81C9">
      <w:pPr>
        <w:spacing w:before="23" w:line="192" w:lineRule="auto"/>
        <w:ind w:left="2443"/>
        <w:rPr>
          <w:rFonts w:ascii="宋体" w:hAnsi="宋体" w:eastAsia="宋体" w:cs="宋体"/>
          <w:color w:val="auto"/>
          <w:sz w:val="14"/>
          <w:szCs w:val="14"/>
        </w:rPr>
      </w:pPr>
      <w:r>
        <w:rPr>
          <w:rFonts w:ascii="宋体" w:hAnsi="宋体" w:eastAsia="宋体" w:cs="宋体"/>
          <w:color w:val="auto"/>
          <w:spacing w:val="-7"/>
          <w:sz w:val="14"/>
          <w:szCs w:val="14"/>
        </w:rPr>
        <w:t>1</w:t>
      </w:r>
      <w:r>
        <w:rPr>
          <w:rFonts w:ascii="宋体" w:hAnsi="宋体" w:eastAsia="宋体" w:cs="宋体"/>
          <w:color w:val="auto"/>
          <w:spacing w:val="11"/>
          <w:sz w:val="14"/>
          <w:szCs w:val="14"/>
        </w:rPr>
        <w:t xml:space="preserve"> </w:t>
      </w:r>
      <w:r>
        <w:rPr>
          <w:rFonts w:ascii="宋体" w:hAnsi="宋体" w:eastAsia="宋体" w:cs="宋体"/>
          <w:color w:val="auto"/>
          <w:spacing w:val="-7"/>
          <w:sz w:val="14"/>
          <w:szCs w:val="14"/>
        </w:rPr>
        <w:t>0</w:t>
      </w:r>
    </w:p>
    <w:p w14:paraId="4BEF1ACF">
      <w:pPr>
        <w:spacing w:before="51" w:line="194" w:lineRule="auto"/>
        <w:ind w:left="3699"/>
        <w:rPr>
          <w:rFonts w:ascii="Times New Roman" w:hAnsi="Times New Roman" w:eastAsia="Times New Roman" w:cs="Times New Roman"/>
          <w:color w:val="auto"/>
          <w:sz w:val="13"/>
          <w:szCs w:val="13"/>
        </w:rPr>
      </w:pPr>
      <w:r>
        <w:rPr>
          <w:rFonts w:ascii="Times New Roman" w:hAnsi="Times New Roman" w:eastAsia="Times New Roman" w:cs="Times New Roman"/>
          <w:color w:val="auto"/>
          <w:spacing w:val="-2"/>
          <w:position w:val="1"/>
          <w:sz w:val="24"/>
          <w:szCs w:val="24"/>
        </w:rPr>
        <w:t>F</w:t>
      </w:r>
      <w:r>
        <w:rPr>
          <w:rFonts w:ascii="Times New Roman" w:hAnsi="Times New Roman" w:eastAsia="Times New Roman" w:cs="Times New Roman"/>
          <w:color w:val="auto"/>
          <w:spacing w:val="-2"/>
          <w:position w:val="-4"/>
          <w:sz w:val="13"/>
          <w:szCs w:val="13"/>
        </w:rPr>
        <w:t>0</w:t>
      </w:r>
    </w:p>
    <w:p w14:paraId="3A234F9E">
      <w:pPr>
        <w:spacing w:before="80"/>
        <w:ind w:left="338"/>
        <w:rPr>
          <w:color w:val="auto"/>
        </w:rPr>
      </w:pPr>
      <w:r>
        <w:rPr>
          <w:rFonts w:ascii="宋体" w:hAnsi="宋体" w:eastAsia="宋体" w:cs="宋体"/>
          <w:color w:val="auto"/>
          <w:spacing w:val="3"/>
          <w:position w:val="-1"/>
          <w:sz w:val="20"/>
          <w:szCs w:val="20"/>
        </w:rPr>
        <w:t>跌价时，</w:t>
      </w:r>
      <w:r>
        <w:rPr>
          <w:rFonts w:ascii="宋体" w:hAnsi="宋体" w:eastAsia="宋体" w:cs="宋体"/>
          <w:color w:val="auto"/>
          <w:spacing w:val="3"/>
          <w:position w:val="-1"/>
          <w:sz w:val="24"/>
          <w:szCs w:val="24"/>
        </w:rPr>
        <w:t>结算单价</w:t>
      </w:r>
      <w:r>
        <w:rPr>
          <w:color w:val="auto"/>
          <w:position w:val="-20"/>
          <w:sz w:val="24"/>
          <w:szCs w:val="24"/>
        </w:rPr>
        <w:drawing>
          <wp:inline distT="0" distB="0" distL="114300" distR="114300">
            <wp:extent cx="2032000" cy="347345"/>
            <wp:effectExtent l="0" t="0" r="6350" b="14605"/>
            <wp:docPr id="7" name="IM 84"/>
            <wp:cNvGraphicFramePr/>
            <a:graphic xmlns:a="http://schemas.openxmlformats.org/drawingml/2006/main">
              <a:graphicData uri="http://schemas.openxmlformats.org/drawingml/2006/picture">
                <pic:pic xmlns:pic="http://schemas.openxmlformats.org/drawingml/2006/picture">
                  <pic:nvPicPr>
                    <pic:cNvPr id="7" name="IM 84"/>
                    <pic:cNvPicPr/>
                  </pic:nvPicPr>
                  <pic:blipFill>
                    <a:blip r:embed="rId34"/>
                    <a:stretch>
                      <a:fillRect/>
                    </a:stretch>
                  </pic:blipFill>
                  <pic:spPr>
                    <a:xfrm>
                      <a:off x="0" y="0"/>
                      <a:ext cx="2032000" cy="347345"/>
                    </a:xfrm>
                    <a:prstGeom prst="rect">
                      <a:avLst/>
                    </a:prstGeom>
                    <a:noFill/>
                    <a:ln>
                      <a:noFill/>
                    </a:ln>
                  </pic:spPr>
                </pic:pic>
              </a:graphicData>
            </a:graphic>
          </wp:inline>
        </w:drawing>
      </w:r>
    </w:p>
    <w:p w14:paraId="0858DFE5">
      <w:pPr>
        <w:spacing w:before="78"/>
        <w:ind w:left="111"/>
        <w:rPr>
          <w:color w:val="auto"/>
          <w:sz w:val="24"/>
          <w:szCs w:val="24"/>
        </w:rPr>
      </w:pPr>
      <w:bookmarkStart w:id="135" w:name="bookmark145"/>
      <w:bookmarkEnd w:id="135"/>
      <w:r>
        <w:rPr>
          <w:rFonts w:ascii="Times New Roman" w:hAnsi="Times New Roman" w:eastAsia="Times New Roman" w:cs="Times New Roman"/>
          <w:color w:val="auto"/>
          <w:spacing w:val="4"/>
          <w:position w:val="-1"/>
          <w:sz w:val="20"/>
          <w:szCs w:val="20"/>
        </w:rPr>
        <w:t>b.</w:t>
      </w:r>
      <w:r>
        <w:rPr>
          <w:rFonts w:ascii="宋体" w:hAnsi="宋体" w:eastAsia="宋体" w:cs="宋体"/>
          <w:color w:val="auto"/>
          <w:spacing w:val="4"/>
          <w:position w:val="-1"/>
          <w:sz w:val="20"/>
          <w:szCs w:val="20"/>
        </w:rPr>
        <w:t>涨价时，</w:t>
      </w:r>
      <w:r>
        <w:rPr>
          <w:rFonts w:ascii="宋体" w:hAnsi="宋体" w:eastAsia="宋体" w:cs="宋体"/>
          <w:color w:val="auto"/>
          <w:spacing w:val="4"/>
          <w:position w:val="-1"/>
          <w:sz w:val="24"/>
          <w:szCs w:val="24"/>
        </w:rPr>
        <w:t>结算单价</w:t>
      </w:r>
      <w:r>
        <w:rPr>
          <w:color w:val="auto"/>
          <w:position w:val="-20"/>
          <w:sz w:val="24"/>
          <w:szCs w:val="24"/>
        </w:rPr>
        <w:drawing>
          <wp:inline distT="0" distB="0" distL="114300" distR="114300">
            <wp:extent cx="1963420" cy="347345"/>
            <wp:effectExtent l="0" t="0" r="17780" b="14605"/>
            <wp:docPr id="8" name="IM 86"/>
            <wp:cNvGraphicFramePr/>
            <a:graphic xmlns:a="http://schemas.openxmlformats.org/drawingml/2006/main">
              <a:graphicData uri="http://schemas.openxmlformats.org/drawingml/2006/picture">
                <pic:pic xmlns:pic="http://schemas.openxmlformats.org/drawingml/2006/picture">
                  <pic:nvPicPr>
                    <pic:cNvPr id="8" name="IM 86"/>
                    <pic:cNvPicPr/>
                  </pic:nvPicPr>
                  <pic:blipFill>
                    <a:blip r:embed="rId35"/>
                    <a:stretch>
                      <a:fillRect/>
                    </a:stretch>
                  </pic:blipFill>
                  <pic:spPr>
                    <a:xfrm>
                      <a:off x="0" y="0"/>
                      <a:ext cx="1963420" cy="347345"/>
                    </a:xfrm>
                    <a:prstGeom prst="rect">
                      <a:avLst/>
                    </a:prstGeom>
                    <a:noFill/>
                    <a:ln>
                      <a:noFill/>
                    </a:ln>
                  </pic:spPr>
                </pic:pic>
              </a:graphicData>
            </a:graphic>
          </wp:inline>
        </w:drawing>
      </w:r>
    </w:p>
    <w:p w14:paraId="4769A9C7">
      <w:pPr>
        <w:spacing w:before="141" w:line="194" w:lineRule="auto"/>
        <w:ind w:left="3679"/>
        <w:rPr>
          <w:rFonts w:ascii="Times New Roman" w:hAnsi="Times New Roman" w:eastAsia="Times New Roman" w:cs="Times New Roman"/>
          <w:color w:val="auto"/>
          <w:sz w:val="13"/>
          <w:szCs w:val="13"/>
        </w:rPr>
      </w:pPr>
      <w:r>
        <w:rPr>
          <w:rFonts w:ascii="Times New Roman" w:hAnsi="Times New Roman" w:eastAsia="Times New Roman" w:cs="Times New Roman"/>
          <w:color w:val="auto"/>
          <w:spacing w:val="-2"/>
          <w:position w:val="1"/>
          <w:sz w:val="24"/>
          <w:szCs w:val="24"/>
        </w:rPr>
        <w:t>F</w:t>
      </w:r>
      <w:r>
        <w:rPr>
          <w:rFonts w:ascii="Times New Roman" w:hAnsi="Times New Roman" w:eastAsia="Times New Roman" w:cs="Times New Roman"/>
          <w:color w:val="auto"/>
          <w:spacing w:val="-2"/>
          <w:position w:val="-4"/>
          <w:sz w:val="13"/>
          <w:szCs w:val="13"/>
        </w:rPr>
        <w:t>1</w:t>
      </w:r>
    </w:p>
    <w:p w14:paraId="675592DE">
      <w:pPr>
        <w:spacing w:before="78"/>
        <w:ind w:left="330"/>
        <w:rPr>
          <w:color w:val="auto"/>
          <w:sz w:val="24"/>
          <w:szCs w:val="24"/>
        </w:rPr>
      </w:pPr>
      <w:r>
        <w:rPr>
          <w:rFonts w:ascii="宋体" w:hAnsi="宋体" w:eastAsia="宋体" w:cs="宋体"/>
          <w:color w:val="auto"/>
          <w:spacing w:val="3"/>
          <w:position w:val="-1"/>
          <w:sz w:val="20"/>
          <w:szCs w:val="20"/>
        </w:rPr>
        <w:t>跌价时，</w:t>
      </w:r>
      <w:r>
        <w:rPr>
          <w:rFonts w:ascii="宋体" w:hAnsi="宋体" w:eastAsia="宋体" w:cs="宋体"/>
          <w:color w:val="auto"/>
          <w:spacing w:val="3"/>
          <w:position w:val="-1"/>
          <w:sz w:val="24"/>
          <w:szCs w:val="24"/>
        </w:rPr>
        <w:t>结算单价</w:t>
      </w:r>
      <w:r>
        <w:rPr>
          <w:color w:val="auto"/>
          <w:position w:val="-20"/>
          <w:sz w:val="24"/>
          <w:szCs w:val="24"/>
        </w:rPr>
        <w:drawing>
          <wp:inline distT="0" distB="0" distL="114300" distR="114300">
            <wp:extent cx="1990725" cy="347980"/>
            <wp:effectExtent l="0" t="0" r="9525" b="13970"/>
            <wp:docPr id="9" name="IM 88"/>
            <wp:cNvGraphicFramePr/>
            <a:graphic xmlns:a="http://schemas.openxmlformats.org/drawingml/2006/main">
              <a:graphicData uri="http://schemas.openxmlformats.org/drawingml/2006/picture">
                <pic:pic xmlns:pic="http://schemas.openxmlformats.org/drawingml/2006/picture">
                  <pic:nvPicPr>
                    <pic:cNvPr id="9" name="IM 88"/>
                    <pic:cNvPicPr/>
                  </pic:nvPicPr>
                  <pic:blipFill>
                    <a:blip r:embed="rId36"/>
                    <a:stretch>
                      <a:fillRect/>
                    </a:stretch>
                  </pic:blipFill>
                  <pic:spPr>
                    <a:xfrm>
                      <a:off x="0" y="0"/>
                      <a:ext cx="1990725" cy="347980"/>
                    </a:xfrm>
                    <a:prstGeom prst="rect">
                      <a:avLst/>
                    </a:prstGeom>
                    <a:noFill/>
                    <a:ln>
                      <a:noFill/>
                    </a:ln>
                  </pic:spPr>
                </pic:pic>
              </a:graphicData>
            </a:graphic>
          </wp:inline>
        </w:drawing>
      </w:r>
    </w:p>
    <w:p w14:paraId="229940C6">
      <w:pPr>
        <w:spacing w:before="139" w:line="194" w:lineRule="auto"/>
        <w:ind w:left="3758"/>
        <w:rPr>
          <w:rFonts w:ascii="Times New Roman" w:hAnsi="Times New Roman" w:eastAsia="Times New Roman" w:cs="Times New Roman"/>
          <w:color w:val="auto"/>
          <w:sz w:val="13"/>
          <w:szCs w:val="13"/>
        </w:rPr>
      </w:pPr>
      <w:r>
        <w:rPr>
          <w:rFonts w:ascii="Times New Roman" w:hAnsi="Times New Roman" w:eastAsia="Times New Roman" w:cs="Times New Roman"/>
          <w:color w:val="auto"/>
          <w:spacing w:val="-2"/>
          <w:position w:val="1"/>
          <w:sz w:val="24"/>
          <w:szCs w:val="24"/>
        </w:rPr>
        <w:t>F</w:t>
      </w:r>
      <w:r>
        <w:rPr>
          <w:rFonts w:ascii="Times New Roman" w:hAnsi="Times New Roman" w:eastAsia="Times New Roman" w:cs="Times New Roman"/>
          <w:color w:val="auto"/>
          <w:spacing w:val="-2"/>
          <w:position w:val="-4"/>
          <w:sz w:val="13"/>
          <w:szCs w:val="13"/>
        </w:rPr>
        <w:t>0</w:t>
      </w:r>
    </w:p>
    <w:p w14:paraId="73CC8EC4">
      <w:pPr>
        <w:spacing w:before="238"/>
        <w:ind w:left="118"/>
        <w:rPr>
          <w:color w:val="auto"/>
          <w:sz w:val="24"/>
          <w:szCs w:val="24"/>
        </w:rPr>
      </w:pPr>
      <w:r>
        <w:rPr>
          <w:rFonts w:ascii="Times New Roman" w:hAnsi="Times New Roman" w:eastAsia="Times New Roman" w:cs="Times New Roman"/>
          <w:color w:val="auto"/>
          <w:position w:val="-1"/>
          <w:sz w:val="20"/>
          <w:szCs w:val="20"/>
        </w:rPr>
        <w:t>c.</w:t>
      </w:r>
      <w:r>
        <w:rPr>
          <w:rFonts w:ascii="宋体" w:hAnsi="宋体" w:eastAsia="宋体" w:cs="宋体"/>
          <w:color w:val="auto"/>
          <w:position w:val="-1"/>
          <w:sz w:val="20"/>
          <w:szCs w:val="20"/>
        </w:rPr>
        <w:t>涨价时，</w:t>
      </w:r>
      <w:r>
        <w:rPr>
          <w:rFonts w:ascii="宋体" w:hAnsi="宋体" w:eastAsia="宋体" w:cs="宋体"/>
          <w:color w:val="auto"/>
          <w:position w:val="-1"/>
          <w:sz w:val="24"/>
          <w:szCs w:val="24"/>
        </w:rPr>
        <w:t>结算单价＝</w:t>
      </w:r>
      <w:r>
        <w:rPr>
          <w:rFonts w:ascii="Times New Roman" w:hAnsi="Times New Roman" w:eastAsia="Times New Roman" w:cs="Times New Roman"/>
          <w:color w:val="auto"/>
          <w:position w:val="-1"/>
          <w:sz w:val="24"/>
          <w:szCs w:val="24"/>
        </w:rPr>
        <w:t>F</w:t>
      </w:r>
      <w:r>
        <w:rPr>
          <w:rFonts w:ascii="宋体" w:hAnsi="宋体" w:eastAsia="宋体" w:cs="宋体"/>
          <w:color w:val="auto"/>
          <w:position w:val="-20"/>
          <w:sz w:val="13"/>
          <w:szCs w:val="13"/>
        </w:rPr>
        <w:t>1</w:t>
      </w:r>
      <w:r>
        <w:rPr>
          <w:rFonts w:ascii="宋体" w:hAnsi="宋体" w:eastAsia="宋体" w:cs="宋体"/>
          <w:color w:val="auto"/>
          <w:position w:val="-1"/>
          <w:sz w:val="24"/>
          <w:szCs w:val="24"/>
        </w:rPr>
        <w:t>＋</w:t>
      </w:r>
      <w:r>
        <w:rPr>
          <w:rFonts w:ascii="Times New Roman" w:hAnsi="Times New Roman" w:eastAsia="Times New Roman" w:cs="Times New Roman"/>
          <w:color w:val="auto"/>
          <w:position w:val="-1"/>
          <w:sz w:val="24"/>
          <w:szCs w:val="24"/>
        </w:rPr>
        <w:t>F</w:t>
      </w:r>
      <w:r>
        <w:rPr>
          <w:color w:val="auto"/>
          <w:position w:val="-20"/>
          <w:sz w:val="24"/>
          <w:szCs w:val="24"/>
        </w:rPr>
        <w:drawing>
          <wp:inline distT="0" distB="0" distL="114300" distR="114300">
            <wp:extent cx="1423035" cy="347980"/>
            <wp:effectExtent l="0" t="0" r="5715" b="13970"/>
            <wp:docPr id="10" name="IM 90"/>
            <wp:cNvGraphicFramePr/>
            <a:graphic xmlns:a="http://schemas.openxmlformats.org/drawingml/2006/main">
              <a:graphicData uri="http://schemas.openxmlformats.org/drawingml/2006/picture">
                <pic:pic xmlns:pic="http://schemas.openxmlformats.org/drawingml/2006/picture">
                  <pic:nvPicPr>
                    <pic:cNvPr id="10" name="IM 90"/>
                    <pic:cNvPicPr/>
                  </pic:nvPicPr>
                  <pic:blipFill>
                    <a:blip r:embed="rId37"/>
                    <a:stretch>
                      <a:fillRect/>
                    </a:stretch>
                  </pic:blipFill>
                  <pic:spPr>
                    <a:xfrm>
                      <a:off x="0" y="0"/>
                      <a:ext cx="1423035" cy="347980"/>
                    </a:xfrm>
                    <a:prstGeom prst="rect">
                      <a:avLst/>
                    </a:prstGeom>
                    <a:noFill/>
                    <a:ln>
                      <a:noFill/>
                    </a:ln>
                  </pic:spPr>
                </pic:pic>
              </a:graphicData>
            </a:graphic>
          </wp:inline>
        </w:drawing>
      </w:r>
    </w:p>
    <w:p w14:paraId="4B173251">
      <w:pPr>
        <w:spacing w:before="103" w:line="185" w:lineRule="auto"/>
        <w:ind w:left="3691"/>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F</w:t>
      </w:r>
    </w:p>
    <w:p w14:paraId="4CB52CED">
      <w:pPr>
        <w:spacing w:before="78"/>
        <w:ind w:left="330"/>
        <w:rPr>
          <w:color w:val="auto"/>
          <w:sz w:val="24"/>
          <w:szCs w:val="24"/>
        </w:rPr>
      </w:pPr>
      <w:r>
        <w:rPr>
          <w:rFonts w:ascii="宋体" w:hAnsi="宋体" w:eastAsia="宋体" w:cs="宋体"/>
          <w:color w:val="auto"/>
          <w:spacing w:val="3"/>
          <w:position w:val="-1"/>
          <w:sz w:val="20"/>
          <w:szCs w:val="20"/>
        </w:rPr>
        <w:t>跌价时，</w:t>
      </w:r>
      <w:r>
        <w:rPr>
          <w:rFonts w:ascii="宋体" w:hAnsi="宋体" w:eastAsia="宋体" w:cs="宋体"/>
          <w:color w:val="auto"/>
          <w:spacing w:val="3"/>
          <w:position w:val="-1"/>
          <w:sz w:val="24"/>
          <w:szCs w:val="24"/>
        </w:rPr>
        <w:t>结算单价</w:t>
      </w:r>
      <w:r>
        <w:rPr>
          <w:color w:val="auto"/>
          <w:position w:val="-20"/>
          <w:sz w:val="24"/>
          <w:szCs w:val="24"/>
        </w:rPr>
        <w:drawing>
          <wp:inline distT="0" distB="0" distL="114300" distR="114300">
            <wp:extent cx="1990725" cy="347980"/>
            <wp:effectExtent l="0" t="0" r="9525" b="13970"/>
            <wp:docPr id="11" name="IM 92"/>
            <wp:cNvGraphicFramePr/>
            <a:graphic xmlns:a="http://schemas.openxmlformats.org/drawingml/2006/main">
              <a:graphicData uri="http://schemas.openxmlformats.org/drawingml/2006/picture">
                <pic:pic xmlns:pic="http://schemas.openxmlformats.org/drawingml/2006/picture">
                  <pic:nvPicPr>
                    <pic:cNvPr id="11" name="IM 92"/>
                    <pic:cNvPicPr/>
                  </pic:nvPicPr>
                  <pic:blipFill>
                    <a:blip r:embed="rId38"/>
                    <a:stretch>
                      <a:fillRect/>
                    </a:stretch>
                  </pic:blipFill>
                  <pic:spPr>
                    <a:xfrm>
                      <a:off x="0" y="0"/>
                      <a:ext cx="1990725" cy="347980"/>
                    </a:xfrm>
                    <a:prstGeom prst="rect">
                      <a:avLst/>
                    </a:prstGeom>
                    <a:noFill/>
                    <a:ln>
                      <a:noFill/>
                    </a:ln>
                  </pic:spPr>
                </pic:pic>
              </a:graphicData>
            </a:graphic>
          </wp:inline>
        </w:drawing>
      </w:r>
    </w:p>
    <w:p w14:paraId="597CD831">
      <w:pPr>
        <w:spacing w:before="140" w:line="196" w:lineRule="auto"/>
        <w:ind w:left="3758"/>
        <w:rPr>
          <w:rFonts w:ascii="Times New Roman" w:hAnsi="Times New Roman" w:eastAsia="Times New Roman" w:cs="Times New Roman"/>
          <w:color w:val="auto"/>
          <w:sz w:val="13"/>
          <w:szCs w:val="13"/>
        </w:rPr>
      </w:pPr>
      <w:r>
        <w:rPr>
          <w:rFonts w:ascii="Times New Roman" w:hAnsi="Times New Roman" w:eastAsia="Times New Roman" w:cs="Times New Roman"/>
          <w:color w:val="auto"/>
          <w:spacing w:val="-2"/>
          <w:position w:val="1"/>
          <w:sz w:val="24"/>
          <w:szCs w:val="24"/>
        </w:rPr>
        <w:t>F</w:t>
      </w:r>
      <w:r>
        <w:rPr>
          <w:rFonts w:ascii="Times New Roman" w:hAnsi="Times New Roman" w:eastAsia="Times New Roman" w:cs="Times New Roman"/>
          <w:color w:val="auto"/>
          <w:spacing w:val="-2"/>
          <w:position w:val="-4"/>
          <w:sz w:val="13"/>
          <w:szCs w:val="13"/>
        </w:rPr>
        <w:t>0</w:t>
      </w:r>
    </w:p>
    <w:p w14:paraId="5E936A4D">
      <w:pPr>
        <w:spacing w:before="78" w:line="330" w:lineRule="auto"/>
        <w:ind w:right="59" w:firstLine="507"/>
        <w:jc w:val="both"/>
        <w:rPr>
          <w:rFonts w:ascii="宋体" w:hAnsi="宋体" w:eastAsia="宋体" w:cs="宋体"/>
          <w:color w:val="auto"/>
          <w:sz w:val="24"/>
          <w:szCs w:val="24"/>
        </w:rPr>
      </w:pPr>
      <w:r>
        <w:rPr>
          <w:rFonts w:ascii="宋体" w:hAnsi="宋体" w:eastAsia="宋体" w:cs="宋体"/>
          <w:color w:val="auto"/>
          <w:spacing w:val="-4"/>
          <w:sz w:val="24"/>
          <w:szCs w:val="24"/>
        </w:rPr>
        <w:t>以上公式中，</w:t>
      </w:r>
      <w:r>
        <w:rPr>
          <w:rFonts w:ascii="Times New Roman" w:hAnsi="Times New Roman" w:eastAsia="Times New Roman" w:cs="Times New Roman"/>
          <w:color w:val="auto"/>
          <w:spacing w:val="-4"/>
          <w:sz w:val="24"/>
          <w:szCs w:val="24"/>
        </w:rPr>
        <w:t>F</w:t>
      </w:r>
      <w:r>
        <w:rPr>
          <w:rFonts w:ascii="Times New Roman" w:hAnsi="Times New Roman" w:eastAsia="Times New Roman" w:cs="Times New Roman"/>
          <w:color w:val="auto"/>
          <w:spacing w:val="-4"/>
          <w:position w:val="-1"/>
          <w:sz w:val="15"/>
          <w:szCs w:val="15"/>
        </w:rPr>
        <w:t>1</w:t>
      </w:r>
      <w:r>
        <w:rPr>
          <w:rFonts w:ascii="宋体" w:hAnsi="宋体" w:eastAsia="宋体" w:cs="宋体"/>
          <w:color w:val="auto"/>
          <w:spacing w:val="-4"/>
          <w:sz w:val="24"/>
          <w:szCs w:val="24"/>
        </w:rPr>
        <w:t>为中标单价；</w:t>
      </w:r>
      <w:r>
        <w:rPr>
          <w:rFonts w:ascii="Times New Roman" w:hAnsi="Times New Roman" w:eastAsia="Times New Roman" w:cs="Times New Roman"/>
          <w:color w:val="auto"/>
          <w:spacing w:val="-4"/>
          <w:sz w:val="24"/>
          <w:szCs w:val="24"/>
        </w:rPr>
        <w:t>F</w:t>
      </w:r>
      <w:r>
        <w:rPr>
          <w:rFonts w:ascii="Times New Roman" w:hAnsi="Times New Roman" w:eastAsia="Times New Roman" w:cs="Times New Roman"/>
          <w:color w:val="auto"/>
          <w:spacing w:val="-4"/>
          <w:position w:val="-1"/>
          <w:sz w:val="15"/>
          <w:szCs w:val="15"/>
        </w:rPr>
        <w:t>0</w:t>
      </w:r>
      <w:r>
        <w:rPr>
          <w:rFonts w:ascii="宋体" w:hAnsi="宋体" w:eastAsia="宋体" w:cs="宋体"/>
          <w:color w:val="auto"/>
          <w:spacing w:val="-4"/>
          <w:sz w:val="24"/>
          <w:szCs w:val="24"/>
        </w:rPr>
        <w:t>为基准单价；</w:t>
      </w:r>
      <w:r>
        <w:rPr>
          <w:rFonts w:ascii="Times New Roman" w:hAnsi="Times New Roman" w:eastAsia="Times New Roman" w:cs="Times New Roman"/>
          <w:color w:val="auto"/>
          <w:spacing w:val="-4"/>
          <w:sz w:val="24"/>
          <w:szCs w:val="24"/>
        </w:rPr>
        <w:t>F</w:t>
      </w:r>
      <w:r>
        <w:rPr>
          <w:rFonts w:ascii="Times New Roman" w:hAnsi="Times New Roman" w:eastAsia="Times New Roman" w:cs="Times New Roman"/>
          <w:color w:val="auto"/>
          <w:spacing w:val="-4"/>
          <w:position w:val="-1"/>
          <w:sz w:val="15"/>
          <w:szCs w:val="15"/>
        </w:rPr>
        <w:t>2</w:t>
      </w:r>
      <w:r>
        <w:rPr>
          <w:rFonts w:ascii="宋体" w:hAnsi="宋体" w:eastAsia="宋体" w:cs="宋体"/>
          <w:color w:val="auto"/>
          <w:spacing w:val="-4"/>
          <w:sz w:val="24"/>
          <w:szCs w:val="24"/>
        </w:rPr>
        <w:t>为施工当月项目所在地工程造价管</w:t>
      </w:r>
      <w:r>
        <w:rPr>
          <w:rFonts w:ascii="宋体" w:hAnsi="宋体" w:eastAsia="宋体" w:cs="宋体"/>
          <w:color w:val="auto"/>
          <w:spacing w:val="-1"/>
          <w:sz w:val="24"/>
          <w:szCs w:val="24"/>
        </w:rPr>
        <w:t>理机构发布的材料、工程设备单价；</w:t>
      </w:r>
      <w:r>
        <w:rPr>
          <w:rFonts w:ascii="Times New Roman" w:hAnsi="Times New Roman" w:eastAsia="Times New Roman" w:cs="Times New Roman"/>
          <w:color w:val="auto"/>
          <w:spacing w:val="-1"/>
          <w:sz w:val="24"/>
          <w:szCs w:val="24"/>
        </w:rPr>
        <w:t>A</w:t>
      </w:r>
      <w:r>
        <w:rPr>
          <w:rFonts w:ascii="宋体" w:hAnsi="宋体" w:eastAsia="宋体" w:cs="宋体"/>
          <w:color w:val="auto"/>
          <w:spacing w:val="-1"/>
          <w:sz w:val="24"/>
          <w:szCs w:val="24"/>
        </w:rPr>
        <w:t>为合同约定的材料</w:t>
      </w:r>
      <w:r>
        <w:rPr>
          <w:rFonts w:ascii="宋体" w:hAnsi="宋体" w:eastAsia="宋体" w:cs="宋体"/>
          <w:color w:val="auto"/>
          <w:spacing w:val="-2"/>
          <w:sz w:val="24"/>
          <w:szCs w:val="24"/>
        </w:rPr>
        <w:t>、工程设备单价涨跌风险幅度</w:t>
      </w:r>
      <w:r>
        <w:rPr>
          <w:rFonts w:ascii="宋体" w:hAnsi="宋体" w:eastAsia="宋体" w:cs="宋体"/>
          <w:color w:val="auto"/>
          <w:spacing w:val="-5"/>
          <w:sz w:val="24"/>
          <w:szCs w:val="24"/>
        </w:rPr>
        <w:t>值。</w:t>
      </w:r>
    </w:p>
    <w:p w14:paraId="79D0660F">
      <w:pPr>
        <w:spacing w:before="33" w:line="299" w:lineRule="auto"/>
        <w:ind w:right="59" w:firstLine="476"/>
        <w:rPr>
          <w:rFonts w:ascii="宋体" w:hAnsi="宋体" w:eastAsia="宋体" w:cs="宋体"/>
          <w:color w:val="auto"/>
          <w:sz w:val="24"/>
          <w:szCs w:val="24"/>
        </w:rPr>
      </w:pPr>
      <w:r>
        <w:rPr>
          <w:color w:val="auto"/>
        </w:rPr>
        <w:fldChar w:fldCharType="begin"/>
      </w:r>
      <w:r>
        <w:rPr>
          <w:color w:val="auto"/>
        </w:rPr>
        <w:instrText xml:space="preserve">HYPERLINK"2.3.6.3"</w:instrText>
      </w:r>
      <w:r>
        <w:rPr>
          <w:color w:val="auto"/>
        </w:rPr>
        <w:fldChar w:fldCharType="separate"/>
      </w:r>
      <w:r>
        <w:rPr>
          <w:rFonts w:ascii="Times New Roman" w:hAnsi="Times New Roman" w:eastAsia="Times New Roman" w:cs="Times New Roman"/>
          <w:b/>
          <w:bCs/>
          <w:color w:val="auto"/>
          <w:spacing w:val="-3"/>
          <w:sz w:val="24"/>
          <w:szCs w:val="24"/>
        </w:rPr>
        <w:t>2.3.6.3</w:t>
      </w:r>
      <w:r>
        <w:rPr>
          <w:rFonts w:ascii="Times New Roman" w:hAnsi="Times New Roman" w:eastAsia="Times New Roman" w:cs="Times New Roman"/>
          <w:b/>
          <w:bCs/>
          <w:color w:val="auto"/>
          <w:spacing w:val="-3"/>
          <w:sz w:val="24"/>
          <w:szCs w:val="24"/>
        </w:rPr>
        <w:fldChar w:fldCharType="end"/>
      </w:r>
      <w:r>
        <w:rPr>
          <w:rFonts w:ascii="宋体" w:hAnsi="宋体" w:eastAsia="宋体" w:cs="宋体"/>
          <w:color w:val="auto"/>
          <w:spacing w:val="-3"/>
          <w:sz w:val="24"/>
          <w:szCs w:val="24"/>
        </w:rPr>
        <w:t>合同履行期间，当《发包人提供材料和工程设备一览表》（详见招标工程量</w:t>
      </w:r>
      <w:r>
        <w:rPr>
          <w:rFonts w:ascii="宋体" w:hAnsi="宋体" w:eastAsia="宋体" w:cs="宋体"/>
          <w:color w:val="auto"/>
          <w:spacing w:val="-2"/>
          <w:sz w:val="24"/>
          <w:szCs w:val="24"/>
        </w:rPr>
        <w:t>清单）中的材料、工程设备单价发生变化时，由发包人按照实际变化调整，并列入合同</w:t>
      </w:r>
      <w:r>
        <w:rPr>
          <w:rFonts w:ascii="宋体" w:hAnsi="宋体" w:eastAsia="宋体" w:cs="宋体"/>
          <w:color w:val="auto"/>
          <w:spacing w:val="-4"/>
          <w:sz w:val="24"/>
          <w:szCs w:val="24"/>
        </w:rPr>
        <w:t>价款。</w:t>
      </w:r>
    </w:p>
    <w:p w14:paraId="2D47FDE2">
      <w:pPr>
        <w:spacing w:before="121" w:line="308" w:lineRule="auto"/>
        <w:ind w:firstLine="477"/>
        <w:rPr>
          <w:rFonts w:ascii="宋体" w:hAnsi="宋体" w:eastAsia="宋体" w:cs="宋体"/>
          <w:color w:val="auto"/>
          <w:sz w:val="24"/>
          <w:szCs w:val="24"/>
        </w:rPr>
      </w:pPr>
      <w:r>
        <w:rPr>
          <w:color w:val="auto"/>
        </w:rPr>
        <w:fldChar w:fldCharType="begin"/>
      </w:r>
      <w:r>
        <w:rPr>
          <w:color w:val="auto"/>
        </w:rPr>
        <w:instrText xml:space="preserve">HYPERLINK"2.3.6.4"</w:instrText>
      </w:r>
      <w:r>
        <w:rPr>
          <w:color w:val="auto"/>
        </w:rPr>
        <w:fldChar w:fldCharType="separate"/>
      </w:r>
      <w:r>
        <w:rPr>
          <w:rFonts w:ascii="Times New Roman" w:hAnsi="Times New Roman" w:eastAsia="Times New Roman" w:cs="Times New Roman"/>
          <w:b/>
          <w:bCs/>
          <w:color w:val="auto"/>
          <w:spacing w:val="-3"/>
          <w:sz w:val="24"/>
          <w:szCs w:val="24"/>
        </w:rPr>
        <w:t>2.3.6.4</w:t>
      </w:r>
      <w:r>
        <w:rPr>
          <w:rFonts w:ascii="Times New Roman" w:hAnsi="Times New Roman" w:eastAsia="Times New Roman" w:cs="Times New Roman"/>
          <w:b/>
          <w:bCs/>
          <w:color w:val="auto"/>
          <w:spacing w:val="-3"/>
          <w:sz w:val="24"/>
          <w:szCs w:val="24"/>
        </w:rPr>
        <w:fldChar w:fldCharType="end"/>
      </w:r>
      <w:r>
        <w:rPr>
          <w:rFonts w:ascii="宋体" w:hAnsi="宋体" w:eastAsia="宋体" w:cs="宋体"/>
          <w:color w:val="auto"/>
          <w:spacing w:val="-3"/>
          <w:sz w:val="24"/>
          <w:szCs w:val="24"/>
        </w:rPr>
        <w:t>本招标项目约定，施工机具台班单价涨跌风险幅度值</w:t>
      </w:r>
      <w:r>
        <w:rPr>
          <w:rFonts w:ascii="Times New Roman" w:hAnsi="Times New Roman" w:eastAsia="Times New Roman" w:cs="Times New Roman"/>
          <w:color w:val="auto"/>
          <w:spacing w:val="-3"/>
          <w:sz w:val="24"/>
          <w:szCs w:val="24"/>
        </w:rPr>
        <w:t>B</w:t>
      </w:r>
      <w:r>
        <w:rPr>
          <w:rFonts w:ascii="宋体" w:hAnsi="宋体" w:eastAsia="宋体" w:cs="宋体"/>
          <w:color w:val="auto"/>
          <w:spacing w:val="-4"/>
          <w:sz w:val="24"/>
          <w:szCs w:val="24"/>
        </w:rPr>
        <w:t>为</w:t>
      </w:r>
      <w:r>
        <w:rPr>
          <w:rFonts w:hint="eastAsia" w:ascii="Times New Roman" w:hAnsi="Times New Roman" w:eastAsia="宋体" w:cs="Times New Roman"/>
          <w:color w:val="auto"/>
          <w:spacing w:val="-4"/>
          <w:sz w:val="24"/>
          <w:szCs w:val="24"/>
          <w:u w:val="single"/>
          <w:lang w:eastAsia="zh-CN"/>
        </w:rPr>
        <w:t>3%</w:t>
      </w:r>
      <w:r>
        <w:rPr>
          <w:rFonts w:ascii="宋体" w:hAnsi="宋体" w:eastAsia="宋体" w:cs="宋体"/>
          <w:color w:val="auto"/>
          <w:spacing w:val="-4"/>
          <w:sz w:val="24"/>
          <w:szCs w:val="24"/>
        </w:rPr>
        <w:t>。合同履行</w:t>
      </w:r>
      <w:r>
        <w:rPr>
          <w:rFonts w:ascii="宋体" w:hAnsi="宋体" w:eastAsia="宋体" w:cs="宋体"/>
          <w:color w:val="auto"/>
          <w:spacing w:val="-7"/>
          <w:sz w:val="24"/>
          <w:szCs w:val="24"/>
        </w:rPr>
        <w:t>期间，当施工机具台班单价涨跌幅度等于或低于</w:t>
      </w:r>
      <w:r>
        <w:rPr>
          <w:rFonts w:ascii="Times New Roman" w:hAnsi="Times New Roman" w:eastAsia="Times New Roman" w:cs="Times New Roman"/>
          <w:color w:val="auto"/>
          <w:spacing w:val="-7"/>
          <w:sz w:val="24"/>
          <w:szCs w:val="24"/>
        </w:rPr>
        <w:t>B</w:t>
      </w:r>
      <w:r>
        <w:rPr>
          <w:rFonts w:ascii="宋体" w:hAnsi="宋体" w:eastAsia="宋体" w:cs="宋体"/>
          <w:color w:val="auto"/>
          <w:spacing w:val="-7"/>
          <w:sz w:val="24"/>
          <w:szCs w:val="24"/>
        </w:rPr>
        <w:t>值时，该施工机具台班单价不予调</w:t>
      </w:r>
      <w:r>
        <w:rPr>
          <w:rFonts w:ascii="宋体" w:hAnsi="宋体" w:eastAsia="宋体" w:cs="宋体"/>
          <w:color w:val="auto"/>
          <w:spacing w:val="-8"/>
          <w:sz w:val="24"/>
          <w:szCs w:val="24"/>
        </w:rPr>
        <w:t>整；</w:t>
      </w:r>
      <w:r>
        <w:rPr>
          <w:rFonts w:ascii="宋体" w:hAnsi="宋体" w:eastAsia="宋体" w:cs="宋体"/>
          <w:color w:val="auto"/>
          <w:sz w:val="24"/>
          <w:szCs w:val="24"/>
        </w:rPr>
        <w:t>超过</w:t>
      </w:r>
      <w:r>
        <w:rPr>
          <w:rFonts w:ascii="Times New Roman" w:hAnsi="Times New Roman" w:eastAsia="Times New Roman" w:cs="Times New Roman"/>
          <w:color w:val="auto"/>
          <w:sz w:val="24"/>
          <w:szCs w:val="24"/>
        </w:rPr>
        <w:t>B</w:t>
      </w:r>
      <w:r>
        <w:rPr>
          <w:rFonts w:ascii="宋体" w:hAnsi="宋体" w:eastAsia="宋体" w:cs="宋体"/>
          <w:color w:val="auto"/>
          <w:sz w:val="24"/>
          <w:szCs w:val="24"/>
        </w:rPr>
        <w:t>值时，其超过部分可以调整。相关费</w:t>
      </w:r>
      <w:r>
        <w:rPr>
          <w:rFonts w:ascii="宋体" w:hAnsi="宋体" w:eastAsia="宋体" w:cs="宋体"/>
          <w:color w:val="auto"/>
          <w:spacing w:val="-1"/>
          <w:sz w:val="24"/>
          <w:szCs w:val="24"/>
        </w:rPr>
        <w:t>用按有关规定进行相应调整。</w:t>
      </w:r>
    </w:p>
    <w:p w14:paraId="0B4BE6E9">
      <w:pPr>
        <w:spacing w:before="153" w:line="278" w:lineRule="auto"/>
        <w:ind w:left="42" w:right="59" w:firstLine="440"/>
        <w:rPr>
          <w:rFonts w:ascii="宋体" w:hAnsi="宋体" w:eastAsia="宋体" w:cs="宋体"/>
          <w:color w:val="auto"/>
          <w:sz w:val="24"/>
          <w:szCs w:val="24"/>
        </w:rPr>
      </w:pPr>
      <w:r>
        <w:rPr>
          <w:rFonts w:ascii="Times New Roman" w:hAnsi="Times New Roman" w:eastAsia="Times New Roman" w:cs="Times New Roman"/>
          <w:b/>
          <w:bCs/>
          <w:color w:val="auto"/>
          <w:spacing w:val="-1"/>
          <w:sz w:val="24"/>
          <w:szCs w:val="24"/>
        </w:rPr>
        <w:t>a</w:t>
      </w:r>
      <w:r>
        <w:rPr>
          <w:rFonts w:ascii="宋体" w:hAnsi="宋体" w:eastAsia="宋体" w:cs="宋体"/>
          <w:color w:val="auto"/>
          <w:spacing w:val="-1"/>
          <w:sz w:val="24"/>
          <w:szCs w:val="24"/>
        </w:rPr>
        <w:t>．如果承包人投标报价中施工机具台班单价（以下简称“中标单价”</w:t>
      </w:r>
      <w:r>
        <w:rPr>
          <w:rFonts w:ascii="宋体" w:hAnsi="宋体" w:eastAsia="宋体" w:cs="宋体"/>
          <w:color w:val="auto"/>
          <w:spacing w:val="-2"/>
          <w:sz w:val="24"/>
          <w:szCs w:val="24"/>
        </w:rPr>
        <w:t>）低于基准</w:t>
      </w:r>
      <w:r>
        <w:rPr>
          <w:rFonts w:ascii="宋体" w:hAnsi="宋体" w:eastAsia="宋体" w:cs="宋体"/>
          <w:color w:val="auto"/>
          <w:spacing w:val="-3"/>
          <w:sz w:val="24"/>
          <w:szCs w:val="24"/>
        </w:rPr>
        <w:t>日当月项目所在地工程造价管理机构发布的对应施工机具台班单价（以下简称“基准单</w:t>
      </w:r>
      <w:r>
        <w:rPr>
          <w:rFonts w:ascii="宋体" w:hAnsi="宋体" w:eastAsia="宋体" w:cs="宋体"/>
          <w:color w:val="auto"/>
          <w:spacing w:val="-2"/>
          <w:sz w:val="24"/>
          <w:szCs w:val="24"/>
        </w:rPr>
        <w:t>价”），该施工机具台班的结算单价调整公式为：</w:t>
      </w:r>
    </w:p>
    <w:p w14:paraId="3A9C5C0E">
      <w:pPr>
        <w:pStyle w:val="5"/>
        <w:spacing w:before="1" w:line="254" w:lineRule="auto"/>
        <w:ind w:left="359"/>
        <w:rPr>
          <w:rFonts w:ascii="宋体" w:hAnsi="宋体" w:eastAsia="宋体" w:cs="宋体"/>
          <w:color w:val="auto"/>
          <w:sz w:val="24"/>
          <w:szCs w:val="24"/>
        </w:rPr>
      </w:pPr>
      <w:r>
        <w:rPr>
          <w:rFonts w:ascii="宋体" w:hAnsi="宋体" w:eastAsia="宋体" w:cs="宋体"/>
          <w:color w:val="auto"/>
          <w:spacing w:val="-5"/>
          <w:position w:val="-1"/>
          <w:sz w:val="24"/>
          <w:szCs w:val="24"/>
        </w:rPr>
        <w:t>涨价时，结算单价＝</w:t>
      </w:r>
      <w:r>
        <w:rPr>
          <w:rFonts w:ascii="Times New Roman" w:hAnsi="Times New Roman" w:eastAsia="Times New Roman" w:cs="Times New Roman"/>
          <w:color w:val="auto"/>
          <w:spacing w:val="-5"/>
          <w:position w:val="-1"/>
          <w:sz w:val="28"/>
          <w:szCs w:val="28"/>
        </w:rPr>
        <w:t>F</w:t>
      </w:r>
      <w:r>
        <w:rPr>
          <w:rFonts w:ascii="宋体" w:hAnsi="宋体" w:eastAsia="宋体" w:cs="宋体"/>
          <w:color w:val="auto"/>
          <w:spacing w:val="-5"/>
          <w:position w:val="-1"/>
          <w:sz w:val="24"/>
          <w:szCs w:val="24"/>
        </w:rPr>
        <w:t>＋</w:t>
      </w:r>
      <w:r>
        <w:rPr>
          <w:rFonts w:ascii="Times New Roman" w:hAnsi="Times New Roman" w:eastAsia="Times New Roman" w:cs="Times New Roman"/>
          <w:color w:val="auto"/>
          <w:spacing w:val="-5"/>
          <w:position w:val="-1"/>
          <w:sz w:val="28"/>
          <w:szCs w:val="28"/>
        </w:rPr>
        <w:t>F</w:t>
      </w:r>
      <w:r>
        <w:rPr>
          <w:color w:val="auto"/>
          <w:spacing w:val="-5"/>
          <w:position w:val="-1"/>
          <w:sz w:val="24"/>
          <w:szCs w:val="24"/>
        </w:rPr>
        <w:t>×</w:t>
      </w:r>
      <w:r>
        <w:rPr>
          <w:rFonts w:ascii="宋体" w:hAnsi="宋体" w:eastAsia="宋体" w:cs="宋体"/>
          <w:color w:val="auto"/>
          <w:spacing w:val="-5"/>
          <w:position w:val="-1"/>
          <w:sz w:val="24"/>
          <w:szCs w:val="24"/>
        </w:rPr>
        <w:t>（</w:t>
      </w:r>
      <w:r>
        <w:rPr>
          <w:rFonts w:ascii="Times New Roman" w:hAnsi="Times New Roman" w:eastAsia="Times New Roman" w:cs="Times New Roman"/>
          <w:color w:val="auto"/>
          <w:spacing w:val="-5"/>
          <w:position w:val="13"/>
          <w:sz w:val="24"/>
          <w:szCs w:val="24"/>
          <w:u w:val="single"/>
        </w:rPr>
        <w:t>F</w:t>
      </w:r>
      <w:r>
        <w:rPr>
          <w:rFonts w:ascii="Times New Roman" w:hAnsi="Times New Roman" w:eastAsia="Times New Roman" w:cs="Times New Roman"/>
          <w:color w:val="auto"/>
          <w:spacing w:val="-5"/>
          <w:position w:val="7"/>
          <w:sz w:val="13"/>
          <w:szCs w:val="13"/>
          <w:u w:val="single"/>
        </w:rPr>
        <w:t>2</w:t>
      </w:r>
      <w:r>
        <w:rPr>
          <w:rFonts w:ascii="宋体" w:hAnsi="宋体" w:eastAsia="宋体" w:cs="宋体"/>
          <w:color w:val="auto"/>
          <w:spacing w:val="-5"/>
          <w:position w:val="13"/>
          <w:sz w:val="24"/>
          <w:szCs w:val="24"/>
          <w:u w:val="single"/>
        </w:rPr>
        <w:t>－</w:t>
      </w:r>
      <w:r>
        <w:rPr>
          <w:rFonts w:ascii="Times New Roman" w:hAnsi="Times New Roman" w:eastAsia="Times New Roman" w:cs="Times New Roman"/>
          <w:color w:val="auto"/>
          <w:spacing w:val="-5"/>
          <w:position w:val="13"/>
          <w:sz w:val="24"/>
          <w:szCs w:val="24"/>
          <w:u w:val="single"/>
        </w:rPr>
        <w:t>F</w:t>
      </w:r>
      <w:r>
        <w:rPr>
          <w:rFonts w:ascii="Times New Roman" w:hAnsi="Times New Roman" w:eastAsia="Times New Roman" w:cs="Times New Roman"/>
          <w:color w:val="auto"/>
          <w:spacing w:val="-5"/>
          <w:position w:val="7"/>
          <w:sz w:val="13"/>
          <w:szCs w:val="13"/>
          <w:u w:val="single"/>
        </w:rPr>
        <w:t>0</w:t>
      </w:r>
      <w:r>
        <w:rPr>
          <w:color w:val="auto"/>
          <w:spacing w:val="-5"/>
          <w:position w:val="-1"/>
          <w:sz w:val="24"/>
          <w:szCs w:val="24"/>
        </w:rPr>
        <w:t>×</w:t>
      </w:r>
      <w:r>
        <w:rPr>
          <w:rFonts w:ascii="Times New Roman" w:hAnsi="Times New Roman" w:eastAsia="Times New Roman" w:cs="Times New Roman"/>
          <w:color w:val="auto"/>
          <w:spacing w:val="-6"/>
          <w:position w:val="-1"/>
          <w:sz w:val="24"/>
          <w:szCs w:val="24"/>
        </w:rPr>
        <w:t>100%</w:t>
      </w:r>
      <w:r>
        <w:rPr>
          <w:rFonts w:ascii="宋体" w:hAnsi="宋体" w:eastAsia="宋体" w:cs="宋体"/>
          <w:color w:val="auto"/>
          <w:spacing w:val="-6"/>
          <w:position w:val="-1"/>
          <w:sz w:val="24"/>
          <w:szCs w:val="24"/>
        </w:rPr>
        <w:t>－</w:t>
      </w:r>
      <w:r>
        <w:rPr>
          <w:rFonts w:ascii="Times New Roman" w:hAnsi="Times New Roman" w:eastAsia="Times New Roman" w:cs="Times New Roman"/>
          <w:color w:val="auto"/>
          <w:spacing w:val="-6"/>
          <w:position w:val="-1"/>
          <w:sz w:val="24"/>
          <w:szCs w:val="24"/>
        </w:rPr>
        <w:t>B</w:t>
      </w:r>
      <w:r>
        <w:rPr>
          <w:rFonts w:ascii="宋体" w:hAnsi="宋体" w:eastAsia="宋体" w:cs="宋体"/>
          <w:color w:val="auto"/>
          <w:spacing w:val="-6"/>
          <w:position w:val="-1"/>
          <w:sz w:val="24"/>
          <w:szCs w:val="24"/>
        </w:rPr>
        <w:t>）</w:t>
      </w:r>
    </w:p>
    <w:p w14:paraId="659D648F">
      <w:pPr>
        <w:spacing w:before="23" w:line="192" w:lineRule="auto"/>
        <w:ind w:left="2434"/>
        <w:rPr>
          <w:rFonts w:ascii="宋体" w:hAnsi="宋体" w:eastAsia="宋体" w:cs="宋体"/>
          <w:color w:val="auto"/>
          <w:sz w:val="14"/>
          <w:szCs w:val="14"/>
        </w:rPr>
      </w:pPr>
      <w:r>
        <w:rPr>
          <w:rFonts w:ascii="宋体" w:hAnsi="宋体" w:eastAsia="宋体" w:cs="宋体"/>
          <w:color w:val="auto"/>
          <w:spacing w:val="-7"/>
          <w:sz w:val="14"/>
          <w:szCs w:val="14"/>
        </w:rPr>
        <w:t>1</w:t>
      </w:r>
      <w:r>
        <w:rPr>
          <w:rFonts w:ascii="宋体" w:hAnsi="宋体" w:eastAsia="宋体" w:cs="宋体"/>
          <w:color w:val="auto"/>
          <w:spacing w:val="11"/>
          <w:sz w:val="14"/>
          <w:szCs w:val="14"/>
        </w:rPr>
        <w:t xml:space="preserve"> </w:t>
      </w:r>
      <w:r>
        <w:rPr>
          <w:rFonts w:ascii="宋体" w:hAnsi="宋体" w:eastAsia="宋体" w:cs="宋体"/>
          <w:color w:val="auto"/>
          <w:spacing w:val="-7"/>
          <w:sz w:val="14"/>
          <w:szCs w:val="14"/>
        </w:rPr>
        <w:t>0</w:t>
      </w:r>
    </w:p>
    <w:p w14:paraId="0C1505AE">
      <w:pPr>
        <w:spacing w:before="51" w:line="196" w:lineRule="auto"/>
        <w:ind w:left="3691"/>
        <w:rPr>
          <w:rFonts w:ascii="Times New Roman" w:hAnsi="Times New Roman" w:eastAsia="Times New Roman" w:cs="Times New Roman"/>
          <w:color w:val="auto"/>
          <w:sz w:val="13"/>
          <w:szCs w:val="13"/>
        </w:rPr>
      </w:pPr>
      <w:r>
        <w:rPr>
          <w:rFonts w:ascii="Times New Roman" w:hAnsi="Times New Roman" w:eastAsia="Times New Roman" w:cs="Times New Roman"/>
          <w:color w:val="auto"/>
          <w:spacing w:val="-2"/>
          <w:position w:val="1"/>
          <w:sz w:val="24"/>
          <w:szCs w:val="24"/>
        </w:rPr>
        <w:t>F</w:t>
      </w:r>
      <w:r>
        <w:rPr>
          <w:rFonts w:ascii="Times New Roman" w:hAnsi="Times New Roman" w:eastAsia="Times New Roman" w:cs="Times New Roman"/>
          <w:color w:val="auto"/>
          <w:spacing w:val="-2"/>
          <w:position w:val="-4"/>
          <w:sz w:val="13"/>
          <w:szCs w:val="13"/>
        </w:rPr>
        <w:t>0</w:t>
      </w:r>
    </w:p>
    <w:p w14:paraId="52DE15F1">
      <w:pPr>
        <w:pStyle w:val="5"/>
        <w:spacing w:before="80" w:line="235" w:lineRule="auto"/>
        <w:ind w:left="330"/>
        <w:rPr>
          <w:rFonts w:ascii="宋体" w:hAnsi="宋体" w:eastAsia="宋体" w:cs="宋体"/>
          <w:color w:val="auto"/>
          <w:sz w:val="24"/>
          <w:szCs w:val="24"/>
        </w:rPr>
      </w:pPr>
      <w:r>
        <w:rPr>
          <w:rFonts w:ascii="宋体" w:hAnsi="宋体" w:eastAsia="宋体" w:cs="宋体"/>
          <w:color w:val="auto"/>
          <w:spacing w:val="-5"/>
          <w:position w:val="-1"/>
          <w:sz w:val="24"/>
          <w:szCs w:val="24"/>
        </w:rPr>
        <w:t>跌价时，</w:t>
      </w:r>
      <w:r>
        <w:rPr>
          <w:rFonts w:ascii="宋体" w:hAnsi="宋体" w:eastAsia="宋体" w:cs="宋体"/>
          <w:color w:val="auto"/>
          <w:spacing w:val="-6"/>
          <w:position w:val="-1"/>
          <w:sz w:val="24"/>
          <w:szCs w:val="24"/>
        </w:rPr>
        <w:t>结算单价＝</w:t>
      </w:r>
      <w:r>
        <w:rPr>
          <w:rFonts w:ascii="Times New Roman" w:hAnsi="Times New Roman" w:eastAsia="Times New Roman" w:cs="Times New Roman"/>
          <w:color w:val="auto"/>
          <w:spacing w:val="-6"/>
          <w:position w:val="-1"/>
          <w:sz w:val="30"/>
          <w:szCs w:val="30"/>
        </w:rPr>
        <w:t>F</w:t>
      </w:r>
      <w:r>
        <w:rPr>
          <w:rFonts w:ascii="宋体" w:hAnsi="宋体" w:eastAsia="宋体" w:cs="宋体"/>
          <w:color w:val="auto"/>
          <w:spacing w:val="-6"/>
          <w:position w:val="-1"/>
          <w:sz w:val="24"/>
          <w:szCs w:val="24"/>
        </w:rPr>
        <w:t>＋</w:t>
      </w:r>
      <w:r>
        <w:rPr>
          <w:rFonts w:ascii="Times New Roman" w:hAnsi="Times New Roman" w:eastAsia="Times New Roman" w:cs="Times New Roman"/>
          <w:color w:val="auto"/>
          <w:spacing w:val="-6"/>
          <w:position w:val="-1"/>
          <w:sz w:val="31"/>
          <w:szCs w:val="31"/>
        </w:rPr>
        <w:t>F</w:t>
      </w:r>
      <w:r>
        <w:rPr>
          <w:color w:val="auto"/>
          <w:spacing w:val="-6"/>
          <w:position w:val="-1"/>
          <w:sz w:val="24"/>
          <w:szCs w:val="24"/>
        </w:rPr>
        <w:t>×</w:t>
      </w:r>
      <w:r>
        <w:rPr>
          <w:rFonts w:ascii="宋体" w:hAnsi="宋体" w:eastAsia="宋体" w:cs="宋体"/>
          <w:color w:val="auto"/>
          <w:spacing w:val="-6"/>
          <w:position w:val="-1"/>
          <w:sz w:val="24"/>
          <w:szCs w:val="24"/>
        </w:rPr>
        <w:t>（</w:t>
      </w:r>
      <w:r>
        <w:rPr>
          <w:rFonts w:ascii="Times New Roman" w:hAnsi="Times New Roman" w:eastAsia="Times New Roman" w:cs="Times New Roman"/>
          <w:color w:val="auto"/>
          <w:spacing w:val="-6"/>
          <w:position w:val="13"/>
          <w:sz w:val="24"/>
          <w:szCs w:val="24"/>
          <w:u w:val="single"/>
        </w:rPr>
        <w:t>F</w:t>
      </w:r>
      <w:r>
        <w:rPr>
          <w:rFonts w:ascii="Times New Roman" w:hAnsi="Times New Roman" w:eastAsia="Times New Roman" w:cs="Times New Roman"/>
          <w:color w:val="auto"/>
          <w:spacing w:val="-6"/>
          <w:position w:val="7"/>
          <w:sz w:val="13"/>
          <w:szCs w:val="13"/>
          <w:u w:val="single"/>
        </w:rPr>
        <w:t>2</w:t>
      </w:r>
      <w:r>
        <w:rPr>
          <w:rFonts w:ascii="宋体" w:hAnsi="宋体" w:eastAsia="宋体" w:cs="宋体"/>
          <w:color w:val="auto"/>
          <w:spacing w:val="-6"/>
          <w:position w:val="13"/>
          <w:sz w:val="24"/>
          <w:szCs w:val="24"/>
          <w:u w:val="single"/>
        </w:rPr>
        <w:t>－</w:t>
      </w:r>
      <w:r>
        <w:rPr>
          <w:rFonts w:ascii="Times New Roman" w:hAnsi="Times New Roman" w:eastAsia="Times New Roman" w:cs="Times New Roman"/>
          <w:color w:val="auto"/>
          <w:spacing w:val="-6"/>
          <w:position w:val="13"/>
          <w:sz w:val="24"/>
          <w:szCs w:val="24"/>
          <w:u w:val="single"/>
        </w:rPr>
        <w:t>F</w:t>
      </w:r>
      <w:r>
        <w:rPr>
          <w:rFonts w:ascii="Times New Roman" w:hAnsi="Times New Roman" w:eastAsia="Times New Roman" w:cs="Times New Roman"/>
          <w:color w:val="auto"/>
          <w:spacing w:val="-6"/>
          <w:position w:val="7"/>
          <w:sz w:val="13"/>
          <w:szCs w:val="13"/>
          <w:u w:val="single"/>
        </w:rPr>
        <w:t>1</w:t>
      </w:r>
      <w:r>
        <w:rPr>
          <w:color w:val="auto"/>
          <w:spacing w:val="-6"/>
          <w:position w:val="-1"/>
          <w:sz w:val="24"/>
          <w:szCs w:val="24"/>
        </w:rPr>
        <w:t>×</w:t>
      </w:r>
      <w:r>
        <w:rPr>
          <w:rFonts w:ascii="Times New Roman" w:hAnsi="Times New Roman" w:eastAsia="Times New Roman" w:cs="Times New Roman"/>
          <w:color w:val="auto"/>
          <w:spacing w:val="-6"/>
          <w:position w:val="-1"/>
          <w:sz w:val="24"/>
          <w:szCs w:val="24"/>
        </w:rPr>
        <w:t>100%</w:t>
      </w:r>
      <w:r>
        <w:rPr>
          <w:rFonts w:ascii="宋体" w:hAnsi="宋体" w:eastAsia="宋体" w:cs="宋体"/>
          <w:color w:val="auto"/>
          <w:spacing w:val="-6"/>
          <w:position w:val="-1"/>
          <w:sz w:val="24"/>
          <w:szCs w:val="24"/>
        </w:rPr>
        <w:t>＋</w:t>
      </w:r>
      <w:r>
        <w:rPr>
          <w:rFonts w:ascii="Times New Roman" w:hAnsi="Times New Roman" w:eastAsia="Times New Roman" w:cs="Times New Roman"/>
          <w:color w:val="auto"/>
          <w:spacing w:val="-6"/>
          <w:position w:val="-1"/>
          <w:sz w:val="24"/>
          <w:szCs w:val="24"/>
        </w:rPr>
        <w:t>B</w:t>
      </w:r>
      <w:r>
        <w:rPr>
          <w:rFonts w:ascii="宋体" w:hAnsi="宋体" w:eastAsia="宋体" w:cs="宋体"/>
          <w:color w:val="auto"/>
          <w:spacing w:val="-6"/>
          <w:position w:val="-1"/>
          <w:sz w:val="24"/>
          <w:szCs w:val="24"/>
        </w:rPr>
        <w:t>）</w:t>
      </w:r>
    </w:p>
    <w:p w14:paraId="5C0B2795">
      <w:pPr>
        <w:spacing w:before="4" w:line="193" w:lineRule="auto"/>
        <w:ind w:left="2498"/>
        <w:rPr>
          <w:rFonts w:ascii="宋体" w:hAnsi="宋体" w:eastAsia="宋体" w:cs="宋体"/>
          <w:color w:val="auto"/>
          <w:sz w:val="13"/>
          <w:szCs w:val="13"/>
        </w:rPr>
      </w:pPr>
      <w:r>
        <w:rPr>
          <w:rFonts w:ascii="宋体" w:hAnsi="宋体" w:eastAsia="宋体" w:cs="宋体"/>
          <w:color w:val="auto"/>
          <w:spacing w:val="-6"/>
          <w:sz w:val="13"/>
          <w:szCs w:val="13"/>
        </w:rPr>
        <w:t>1</w:t>
      </w:r>
      <w:r>
        <w:rPr>
          <w:rFonts w:ascii="宋体" w:hAnsi="宋体" w:eastAsia="宋体" w:cs="宋体"/>
          <w:color w:val="auto"/>
          <w:sz w:val="13"/>
          <w:szCs w:val="13"/>
        </w:rPr>
        <w:t xml:space="preserve"> </w:t>
      </w:r>
      <w:r>
        <w:rPr>
          <w:rFonts w:ascii="宋体" w:hAnsi="宋体" w:eastAsia="宋体" w:cs="宋体"/>
          <w:color w:val="auto"/>
          <w:spacing w:val="-6"/>
          <w:sz w:val="13"/>
          <w:szCs w:val="13"/>
        </w:rPr>
        <w:t>1</w:t>
      </w:r>
    </w:p>
    <w:p w14:paraId="1D6ACFEC">
      <w:pPr>
        <w:spacing w:before="101" w:line="160" w:lineRule="exact"/>
        <w:ind w:left="3734"/>
        <w:rPr>
          <w:rFonts w:ascii="Times New Roman" w:hAnsi="Times New Roman" w:eastAsia="Times New Roman" w:cs="Times New Roman"/>
          <w:color w:val="auto"/>
          <w:sz w:val="24"/>
          <w:szCs w:val="24"/>
        </w:rPr>
      </w:pPr>
      <w:r>
        <w:rPr>
          <w:rFonts w:ascii="Times New Roman" w:hAnsi="Times New Roman" w:eastAsia="Times New Roman" w:cs="Times New Roman"/>
          <w:color w:val="auto"/>
          <w:position w:val="-3"/>
          <w:sz w:val="24"/>
          <w:szCs w:val="24"/>
        </w:rPr>
        <w:t>F</w:t>
      </w:r>
    </w:p>
    <w:p w14:paraId="638EC755">
      <w:pPr>
        <w:spacing w:before="1" w:line="198" w:lineRule="auto"/>
        <w:ind w:left="476"/>
        <w:rPr>
          <w:rFonts w:ascii="宋体" w:hAnsi="宋体" w:eastAsia="宋体" w:cs="宋体"/>
          <w:color w:val="auto"/>
          <w:sz w:val="24"/>
          <w:szCs w:val="24"/>
        </w:rPr>
      </w:pPr>
      <w:r>
        <w:rPr>
          <w:rFonts w:ascii="Times New Roman" w:hAnsi="Times New Roman" w:eastAsia="Times New Roman" w:cs="Times New Roman"/>
          <w:b/>
          <w:bCs/>
          <w:color w:val="auto"/>
          <w:spacing w:val="-1"/>
          <w:sz w:val="24"/>
          <w:szCs w:val="24"/>
        </w:rPr>
        <w:t>b</w:t>
      </w:r>
      <w:r>
        <w:rPr>
          <w:rFonts w:ascii="宋体" w:hAnsi="宋体" w:eastAsia="宋体" w:cs="宋体"/>
          <w:color w:val="auto"/>
          <w:spacing w:val="-1"/>
          <w:sz w:val="24"/>
          <w:szCs w:val="24"/>
        </w:rPr>
        <w:t>．如果中标单价高于基准单价，该施工机具台班的结算单价调</w:t>
      </w:r>
      <w:r>
        <w:rPr>
          <w:rFonts w:ascii="宋体" w:hAnsi="宋体" w:eastAsia="宋体" w:cs="宋体"/>
          <w:color w:val="auto"/>
          <w:spacing w:val="-2"/>
          <w:sz w:val="24"/>
          <w:szCs w:val="24"/>
        </w:rPr>
        <w:t>整公式为：</w:t>
      </w:r>
    </w:p>
    <w:p w14:paraId="2FD648B6">
      <w:pPr>
        <w:pStyle w:val="5"/>
        <w:spacing w:before="1" w:line="239" w:lineRule="auto"/>
        <w:ind w:left="328"/>
        <w:rPr>
          <w:rFonts w:ascii="宋体" w:hAnsi="宋体" w:eastAsia="宋体" w:cs="宋体"/>
          <w:color w:val="auto"/>
          <w:sz w:val="24"/>
          <w:szCs w:val="24"/>
        </w:rPr>
      </w:pPr>
      <w:r>
        <w:rPr>
          <w:rFonts w:ascii="宋体" w:hAnsi="宋体" w:eastAsia="宋体" w:cs="宋体"/>
          <w:color w:val="auto"/>
          <w:spacing w:val="-5"/>
          <w:position w:val="-1"/>
          <w:sz w:val="24"/>
          <w:szCs w:val="24"/>
        </w:rPr>
        <w:t>涨价时，</w:t>
      </w:r>
      <w:r>
        <w:rPr>
          <w:rFonts w:ascii="宋体" w:hAnsi="宋体" w:eastAsia="宋体" w:cs="宋体"/>
          <w:color w:val="auto"/>
          <w:spacing w:val="-6"/>
          <w:position w:val="-1"/>
          <w:sz w:val="24"/>
          <w:szCs w:val="24"/>
        </w:rPr>
        <w:t>结算单价＝</w:t>
      </w:r>
      <w:r>
        <w:rPr>
          <w:rFonts w:ascii="Times New Roman" w:hAnsi="Times New Roman" w:eastAsia="Times New Roman" w:cs="Times New Roman"/>
          <w:color w:val="auto"/>
          <w:spacing w:val="-6"/>
          <w:position w:val="-1"/>
          <w:sz w:val="31"/>
          <w:szCs w:val="31"/>
        </w:rPr>
        <w:t>F</w:t>
      </w:r>
      <w:r>
        <w:rPr>
          <w:rFonts w:ascii="宋体" w:hAnsi="宋体" w:eastAsia="宋体" w:cs="宋体"/>
          <w:color w:val="auto"/>
          <w:spacing w:val="-6"/>
          <w:position w:val="-1"/>
          <w:sz w:val="24"/>
          <w:szCs w:val="24"/>
        </w:rPr>
        <w:t>＋</w:t>
      </w:r>
      <w:r>
        <w:rPr>
          <w:rFonts w:ascii="Times New Roman" w:hAnsi="Times New Roman" w:eastAsia="Times New Roman" w:cs="Times New Roman"/>
          <w:color w:val="auto"/>
          <w:spacing w:val="-6"/>
          <w:position w:val="-1"/>
          <w:sz w:val="31"/>
          <w:szCs w:val="31"/>
        </w:rPr>
        <w:t>F</w:t>
      </w:r>
      <w:r>
        <w:rPr>
          <w:color w:val="auto"/>
          <w:spacing w:val="-6"/>
          <w:position w:val="-1"/>
          <w:sz w:val="24"/>
          <w:szCs w:val="24"/>
        </w:rPr>
        <w:t>×</w:t>
      </w:r>
      <w:r>
        <w:rPr>
          <w:rFonts w:ascii="宋体" w:hAnsi="宋体" w:eastAsia="宋体" w:cs="宋体"/>
          <w:color w:val="auto"/>
          <w:spacing w:val="-6"/>
          <w:position w:val="-1"/>
          <w:sz w:val="24"/>
          <w:szCs w:val="24"/>
        </w:rPr>
        <w:t>（</w:t>
      </w:r>
      <w:r>
        <w:rPr>
          <w:rFonts w:ascii="Times New Roman" w:hAnsi="Times New Roman" w:eastAsia="Times New Roman" w:cs="Times New Roman"/>
          <w:color w:val="auto"/>
          <w:spacing w:val="-6"/>
          <w:position w:val="13"/>
          <w:sz w:val="24"/>
          <w:szCs w:val="24"/>
          <w:u w:val="single"/>
        </w:rPr>
        <w:t>F</w:t>
      </w:r>
      <w:r>
        <w:rPr>
          <w:rFonts w:ascii="Times New Roman" w:hAnsi="Times New Roman" w:eastAsia="Times New Roman" w:cs="Times New Roman"/>
          <w:color w:val="auto"/>
          <w:spacing w:val="-6"/>
          <w:position w:val="7"/>
          <w:sz w:val="13"/>
          <w:szCs w:val="13"/>
          <w:u w:val="single"/>
        </w:rPr>
        <w:t>2</w:t>
      </w:r>
      <w:r>
        <w:rPr>
          <w:rFonts w:ascii="宋体" w:hAnsi="宋体" w:eastAsia="宋体" w:cs="宋体"/>
          <w:color w:val="auto"/>
          <w:spacing w:val="-6"/>
          <w:position w:val="13"/>
          <w:sz w:val="24"/>
          <w:szCs w:val="24"/>
          <w:u w:val="single"/>
        </w:rPr>
        <w:t>－</w:t>
      </w:r>
      <w:r>
        <w:rPr>
          <w:rFonts w:ascii="Times New Roman" w:hAnsi="Times New Roman" w:eastAsia="Times New Roman" w:cs="Times New Roman"/>
          <w:color w:val="auto"/>
          <w:spacing w:val="-6"/>
          <w:position w:val="13"/>
          <w:sz w:val="24"/>
          <w:szCs w:val="24"/>
          <w:u w:val="single"/>
        </w:rPr>
        <w:t>F</w:t>
      </w:r>
      <w:r>
        <w:rPr>
          <w:rFonts w:ascii="Times New Roman" w:hAnsi="Times New Roman" w:eastAsia="Times New Roman" w:cs="Times New Roman"/>
          <w:color w:val="auto"/>
          <w:spacing w:val="-6"/>
          <w:position w:val="7"/>
          <w:sz w:val="13"/>
          <w:szCs w:val="13"/>
          <w:u w:val="single"/>
        </w:rPr>
        <w:t>1</w:t>
      </w:r>
      <w:r>
        <w:rPr>
          <w:color w:val="auto"/>
          <w:spacing w:val="-6"/>
          <w:position w:val="-1"/>
          <w:sz w:val="24"/>
          <w:szCs w:val="24"/>
        </w:rPr>
        <w:t>×</w:t>
      </w:r>
      <w:r>
        <w:rPr>
          <w:rFonts w:ascii="Times New Roman" w:hAnsi="Times New Roman" w:eastAsia="Times New Roman" w:cs="Times New Roman"/>
          <w:color w:val="auto"/>
          <w:spacing w:val="-6"/>
          <w:position w:val="-1"/>
          <w:sz w:val="24"/>
          <w:szCs w:val="24"/>
        </w:rPr>
        <w:t>100%</w:t>
      </w:r>
      <w:r>
        <w:rPr>
          <w:rFonts w:ascii="宋体" w:hAnsi="宋体" w:eastAsia="宋体" w:cs="宋体"/>
          <w:color w:val="auto"/>
          <w:spacing w:val="-6"/>
          <w:position w:val="-1"/>
          <w:sz w:val="24"/>
          <w:szCs w:val="24"/>
        </w:rPr>
        <w:t>－</w:t>
      </w:r>
      <w:r>
        <w:rPr>
          <w:rFonts w:ascii="Times New Roman" w:hAnsi="Times New Roman" w:eastAsia="Times New Roman" w:cs="Times New Roman"/>
          <w:color w:val="auto"/>
          <w:spacing w:val="-6"/>
          <w:position w:val="-1"/>
          <w:sz w:val="24"/>
          <w:szCs w:val="24"/>
        </w:rPr>
        <w:t>B</w:t>
      </w:r>
      <w:r>
        <w:rPr>
          <w:rFonts w:ascii="宋体" w:hAnsi="宋体" w:eastAsia="宋体" w:cs="宋体"/>
          <w:color w:val="auto"/>
          <w:spacing w:val="-6"/>
          <w:position w:val="-1"/>
          <w:sz w:val="24"/>
          <w:szCs w:val="24"/>
        </w:rPr>
        <w:t>）</w:t>
      </w:r>
    </w:p>
    <w:p w14:paraId="290F0981">
      <w:pPr>
        <w:spacing w:line="192" w:lineRule="auto"/>
        <w:ind w:left="2527"/>
        <w:rPr>
          <w:rFonts w:ascii="宋体" w:hAnsi="宋体" w:eastAsia="宋体" w:cs="宋体"/>
          <w:color w:val="auto"/>
          <w:sz w:val="13"/>
          <w:szCs w:val="13"/>
        </w:rPr>
      </w:pPr>
      <w:r>
        <w:rPr>
          <w:rFonts w:ascii="宋体" w:hAnsi="宋体" w:eastAsia="宋体" w:cs="宋体"/>
          <w:color w:val="auto"/>
          <w:spacing w:val="-6"/>
          <w:sz w:val="13"/>
          <w:szCs w:val="13"/>
        </w:rPr>
        <w:t>1</w:t>
      </w:r>
      <w:r>
        <w:rPr>
          <w:rFonts w:ascii="宋体" w:hAnsi="宋体" w:eastAsia="宋体" w:cs="宋体"/>
          <w:color w:val="auto"/>
          <w:spacing w:val="11"/>
          <w:sz w:val="13"/>
          <w:szCs w:val="13"/>
        </w:rPr>
        <w:t xml:space="preserve"> </w:t>
      </w:r>
      <w:r>
        <w:rPr>
          <w:rFonts w:ascii="宋体" w:hAnsi="宋体" w:eastAsia="宋体" w:cs="宋体"/>
          <w:color w:val="auto"/>
          <w:spacing w:val="-6"/>
          <w:sz w:val="13"/>
          <w:szCs w:val="13"/>
        </w:rPr>
        <w:t>1</w:t>
      </w:r>
    </w:p>
    <w:p w14:paraId="53EBB8F8">
      <w:pPr>
        <w:spacing w:before="101" w:line="196" w:lineRule="auto"/>
        <w:ind w:left="3679"/>
        <w:rPr>
          <w:color w:val="auto"/>
        </w:rPr>
      </w:pPr>
      <w:r>
        <w:rPr>
          <w:rFonts w:ascii="Times New Roman" w:hAnsi="Times New Roman" w:eastAsia="Times New Roman" w:cs="Times New Roman"/>
          <w:color w:val="auto"/>
          <w:spacing w:val="-4"/>
          <w:position w:val="1"/>
          <w:sz w:val="24"/>
          <w:szCs w:val="24"/>
        </w:rPr>
        <w:t>F</w:t>
      </w:r>
      <w:r>
        <w:rPr>
          <w:rFonts w:ascii="Times New Roman" w:hAnsi="Times New Roman" w:eastAsia="Times New Roman" w:cs="Times New Roman"/>
          <w:color w:val="auto"/>
          <w:spacing w:val="-14"/>
          <w:position w:val="-4"/>
          <w:sz w:val="13"/>
          <w:szCs w:val="13"/>
        </w:rPr>
        <w:t>1</w:t>
      </w:r>
    </w:p>
    <w:p w14:paraId="003C9F67">
      <w:pPr>
        <w:spacing w:before="78"/>
        <w:ind w:left="337"/>
        <w:rPr>
          <w:color w:val="auto"/>
          <w:sz w:val="24"/>
          <w:szCs w:val="24"/>
        </w:rPr>
      </w:pPr>
      <w:r>
        <w:rPr>
          <w:rFonts w:ascii="宋体" w:hAnsi="宋体" w:eastAsia="宋体" w:cs="宋体"/>
          <w:color w:val="auto"/>
          <w:spacing w:val="-5"/>
          <w:position w:val="-1"/>
          <w:sz w:val="24"/>
          <w:szCs w:val="24"/>
        </w:rPr>
        <w:t>跌价时，</w:t>
      </w:r>
      <w:r>
        <w:rPr>
          <w:rFonts w:ascii="宋体" w:hAnsi="宋体" w:eastAsia="宋体" w:cs="宋体"/>
          <w:color w:val="auto"/>
          <w:spacing w:val="3"/>
          <w:position w:val="-1"/>
          <w:sz w:val="24"/>
          <w:szCs w:val="24"/>
        </w:rPr>
        <w:t>结算单价</w:t>
      </w:r>
      <w:r>
        <w:rPr>
          <w:color w:val="auto"/>
          <w:position w:val="-20"/>
          <w:sz w:val="24"/>
          <w:szCs w:val="24"/>
        </w:rPr>
        <w:drawing>
          <wp:inline distT="0" distB="0" distL="114300" distR="114300">
            <wp:extent cx="1937385" cy="347980"/>
            <wp:effectExtent l="0" t="0" r="5715" b="13970"/>
            <wp:docPr id="12" name="IM 94"/>
            <wp:cNvGraphicFramePr/>
            <a:graphic xmlns:a="http://schemas.openxmlformats.org/drawingml/2006/main">
              <a:graphicData uri="http://schemas.openxmlformats.org/drawingml/2006/picture">
                <pic:pic xmlns:pic="http://schemas.openxmlformats.org/drawingml/2006/picture">
                  <pic:nvPicPr>
                    <pic:cNvPr id="12" name="IM 94"/>
                    <pic:cNvPicPr/>
                  </pic:nvPicPr>
                  <pic:blipFill>
                    <a:blip r:embed="rId39"/>
                    <a:stretch>
                      <a:fillRect/>
                    </a:stretch>
                  </pic:blipFill>
                  <pic:spPr>
                    <a:xfrm>
                      <a:off x="0" y="0"/>
                      <a:ext cx="1937385" cy="347980"/>
                    </a:xfrm>
                    <a:prstGeom prst="rect">
                      <a:avLst/>
                    </a:prstGeom>
                    <a:noFill/>
                    <a:ln>
                      <a:noFill/>
                    </a:ln>
                  </pic:spPr>
                </pic:pic>
              </a:graphicData>
            </a:graphic>
          </wp:inline>
        </w:drawing>
      </w:r>
    </w:p>
    <w:p w14:paraId="24FF2813">
      <w:pPr>
        <w:spacing w:before="139" w:line="194" w:lineRule="auto"/>
        <w:ind w:left="3766"/>
        <w:rPr>
          <w:rFonts w:ascii="Times New Roman" w:hAnsi="Times New Roman" w:eastAsia="Times New Roman" w:cs="Times New Roman"/>
          <w:color w:val="auto"/>
          <w:sz w:val="13"/>
          <w:szCs w:val="13"/>
        </w:rPr>
      </w:pPr>
      <w:r>
        <w:rPr>
          <w:rFonts w:ascii="Times New Roman" w:hAnsi="Times New Roman" w:eastAsia="Times New Roman" w:cs="Times New Roman"/>
          <w:color w:val="auto"/>
          <w:spacing w:val="-2"/>
          <w:position w:val="1"/>
          <w:sz w:val="24"/>
          <w:szCs w:val="24"/>
        </w:rPr>
        <w:t>F</w:t>
      </w:r>
      <w:r>
        <w:rPr>
          <w:rFonts w:ascii="Times New Roman" w:hAnsi="Times New Roman" w:eastAsia="Times New Roman" w:cs="Times New Roman"/>
          <w:color w:val="auto"/>
          <w:spacing w:val="-2"/>
          <w:position w:val="-4"/>
          <w:sz w:val="13"/>
          <w:szCs w:val="13"/>
        </w:rPr>
        <w:t>0</w:t>
      </w:r>
    </w:p>
    <w:p w14:paraId="20D5CAD8">
      <w:pPr>
        <w:spacing w:before="106" w:line="201" w:lineRule="auto"/>
        <w:ind w:left="488"/>
        <w:rPr>
          <w:rFonts w:ascii="宋体" w:hAnsi="宋体" w:eastAsia="宋体" w:cs="宋体"/>
          <w:color w:val="auto"/>
          <w:sz w:val="24"/>
          <w:szCs w:val="24"/>
        </w:rPr>
      </w:pPr>
      <w:r>
        <w:rPr>
          <w:rFonts w:ascii="Times New Roman" w:hAnsi="Times New Roman" w:eastAsia="Times New Roman" w:cs="Times New Roman"/>
          <w:b/>
          <w:bCs/>
          <w:color w:val="auto"/>
          <w:spacing w:val="-1"/>
          <w:sz w:val="24"/>
          <w:szCs w:val="24"/>
        </w:rPr>
        <w:t>c</w:t>
      </w:r>
      <w:r>
        <w:rPr>
          <w:rFonts w:ascii="宋体" w:hAnsi="宋体" w:eastAsia="宋体" w:cs="宋体"/>
          <w:color w:val="auto"/>
          <w:spacing w:val="-1"/>
          <w:sz w:val="24"/>
          <w:szCs w:val="24"/>
        </w:rPr>
        <w:t>．如果中标单价等于基准单价，该施工机具台班的</w:t>
      </w:r>
      <w:r>
        <w:rPr>
          <w:rFonts w:ascii="宋体" w:hAnsi="宋体" w:eastAsia="宋体" w:cs="宋体"/>
          <w:color w:val="auto"/>
          <w:spacing w:val="-2"/>
          <w:sz w:val="24"/>
          <w:szCs w:val="24"/>
        </w:rPr>
        <w:t>结算单价调整公式为：</w:t>
      </w:r>
    </w:p>
    <w:p w14:paraId="09B8490A">
      <w:pPr>
        <w:ind w:left="335"/>
        <w:rPr>
          <w:color w:val="auto"/>
          <w:sz w:val="24"/>
          <w:szCs w:val="24"/>
        </w:rPr>
      </w:pPr>
      <w:r>
        <w:rPr>
          <w:rFonts w:ascii="宋体" w:hAnsi="宋体" w:eastAsia="宋体" w:cs="宋体"/>
          <w:color w:val="auto"/>
          <w:spacing w:val="-5"/>
          <w:position w:val="-1"/>
          <w:sz w:val="24"/>
          <w:szCs w:val="24"/>
        </w:rPr>
        <w:t>涨价时，</w:t>
      </w:r>
      <w:r>
        <w:rPr>
          <w:rFonts w:ascii="宋体" w:hAnsi="宋体" w:eastAsia="宋体" w:cs="宋体"/>
          <w:color w:val="auto"/>
          <w:spacing w:val="3"/>
          <w:position w:val="-1"/>
          <w:sz w:val="24"/>
          <w:szCs w:val="24"/>
        </w:rPr>
        <w:t>结算单价</w:t>
      </w:r>
      <w:r>
        <w:rPr>
          <w:color w:val="auto"/>
          <w:position w:val="-20"/>
          <w:sz w:val="24"/>
          <w:szCs w:val="24"/>
        </w:rPr>
        <w:drawing>
          <wp:inline distT="0" distB="0" distL="114300" distR="114300">
            <wp:extent cx="1861185" cy="347980"/>
            <wp:effectExtent l="0" t="0" r="5715" b="13970"/>
            <wp:docPr id="13" name="IM 96"/>
            <wp:cNvGraphicFramePr/>
            <a:graphic xmlns:a="http://schemas.openxmlformats.org/drawingml/2006/main">
              <a:graphicData uri="http://schemas.openxmlformats.org/drawingml/2006/picture">
                <pic:pic xmlns:pic="http://schemas.openxmlformats.org/drawingml/2006/picture">
                  <pic:nvPicPr>
                    <pic:cNvPr id="13" name="IM 96"/>
                    <pic:cNvPicPr/>
                  </pic:nvPicPr>
                  <pic:blipFill>
                    <a:blip r:embed="rId40"/>
                    <a:stretch>
                      <a:fillRect/>
                    </a:stretch>
                  </pic:blipFill>
                  <pic:spPr>
                    <a:xfrm>
                      <a:off x="0" y="0"/>
                      <a:ext cx="1861185" cy="347980"/>
                    </a:xfrm>
                    <a:prstGeom prst="rect">
                      <a:avLst/>
                    </a:prstGeom>
                    <a:noFill/>
                    <a:ln>
                      <a:noFill/>
                    </a:ln>
                  </pic:spPr>
                </pic:pic>
              </a:graphicData>
            </a:graphic>
          </wp:inline>
        </w:drawing>
      </w:r>
    </w:p>
    <w:p w14:paraId="089B0DFC">
      <w:pPr>
        <w:spacing w:before="140" w:line="185" w:lineRule="auto"/>
        <w:ind w:left="3698"/>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F</w:t>
      </w:r>
    </w:p>
    <w:p w14:paraId="4BDEAFA6">
      <w:pPr>
        <w:pStyle w:val="5"/>
        <w:spacing w:before="78" w:line="237" w:lineRule="auto"/>
        <w:ind w:left="337"/>
        <w:rPr>
          <w:rFonts w:ascii="宋体" w:hAnsi="宋体" w:eastAsia="宋体" w:cs="宋体"/>
          <w:color w:val="auto"/>
          <w:sz w:val="24"/>
          <w:szCs w:val="24"/>
        </w:rPr>
      </w:pPr>
      <w:r>
        <w:rPr>
          <w:rFonts w:ascii="宋体" w:hAnsi="宋体" w:eastAsia="宋体" w:cs="宋体"/>
          <w:color w:val="auto"/>
          <w:spacing w:val="-5"/>
          <w:position w:val="-1"/>
          <w:sz w:val="24"/>
          <w:szCs w:val="24"/>
        </w:rPr>
        <w:t>跌价时，</w:t>
      </w:r>
      <w:r>
        <w:rPr>
          <w:rFonts w:ascii="宋体" w:hAnsi="宋体" w:eastAsia="宋体" w:cs="宋体"/>
          <w:color w:val="auto"/>
          <w:spacing w:val="-6"/>
          <w:position w:val="-1"/>
          <w:sz w:val="24"/>
          <w:szCs w:val="24"/>
        </w:rPr>
        <w:t>结算单价＝</w:t>
      </w:r>
      <w:r>
        <w:rPr>
          <w:rFonts w:ascii="Times New Roman" w:hAnsi="Times New Roman" w:eastAsia="Times New Roman" w:cs="Times New Roman"/>
          <w:color w:val="auto"/>
          <w:spacing w:val="-6"/>
          <w:position w:val="-1"/>
          <w:sz w:val="24"/>
          <w:szCs w:val="24"/>
        </w:rPr>
        <w:t>F</w:t>
      </w:r>
      <w:r>
        <w:rPr>
          <w:rFonts w:ascii="宋体" w:hAnsi="宋体" w:eastAsia="宋体" w:cs="宋体"/>
          <w:color w:val="auto"/>
          <w:spacing w:val="-6"/>
          <w:position w:val="-1"/>
          <w:sz w:val="24"/>
          <w:szCs w:val="24"/>
        </w:rPr>
        <w:t>＋</w:t>
      </w:r>
      <w:r>
        <w:rPr>
          <w:rFonts w:ascii="Times New Roman" w:hAnsi="Times New Roman" w:eastAsia="Times New Roman" w:cs="Times New Roman"/>
          <w:color w:val="auto"/>
          <w:spacing w:val="-6"/>
          <w:position w:val="-1"/>
          <w:sz w:val="24"/>
          <w:szCs w:val="24"/>
        </w:rPr>
        <w:t>F</w:t>
      </w:r>
      <w:r>
        <w:rPr>
          <w:color w:val="auto"/>
          <w:spacing w:val="-6"/>
          <w:position w:val="-1"/>
          <w:sz w:val="24"/>
          <w:szCs w:val="24"/>
        </w:rPr>
        <w:t>×</w:t>
      </w:r>
      <w:r>
        <w:rPr>
          <w:rFonts w:ascii="宋体" w:hAnsi="宋体" w:eastAsia="宋体" w:cs="宋体"/>
          <w:color w:val="auto"/>
          <w:spacing w:val="-6"/>
          <w:position w:val="-1"/>
          <w:sz w:val="24"/>
          <w:szCs w:val="24"/>
        </w:rPr>
        <w:t>（</w:t>
      </w:r>
      <w:r>
        <w:rPr>
          <w:rFonts w:ascii="Times New Roman" w:hAnsi="Times New Roman" w:eastAsia="Times New Roman" w:cs="Times New Roman"/>
          <w:color w:val="auto"/>
          <w:spacing w:val="-6"/>
          <w:position w:val="13"/>
          <w:sz w:val="24"/>
          <w:szCs w:val="24"/>
        </w:rPr>
        <w:t>F</w:t>
      </w:r>
      <w:r>
        <w:rPr>
          <w:rFonts w:ascii="Times New Roman" w:hAnsi="Times New Roman" w:eastAsia="Times New Roman" w:cs="Times New Roman"/>
          <w:color w:val="auto"/>
          <w:spacing w:val="-6"/>
          <w:position w:val="7"/>
          <w:sz w:val="13"/>
          <w:szCs w:val="13"/>
        </w:rPr>
        <w:t>2</w:t>
      </w:r>
      <w:r>
        <w:rPr>
          <w:rFonts w:ascii="宋体" w:hAnsi="宋体" w:eastAsia="宋体" w:cs="宋体"/>
          <w:color w:val="auto"/>
          <w:spacing w:val="-6"/>
          <w:position w:val="13"/>
          <w:sz w:val="24"/>
          <w:szCs w:val="24"/>
        </w:rPr>
        <w:t>－</w:t>
      </w:r>
      <w:r>
        <w:rPr>
          <w:rFonts w:ascii="Times New Roman" w:hAnsi="Times New Roman" w:eastAsia="Times New Roman" w:cs="Times New Roman"/>
          <w:color w:val="auto"/>
          <w:spacing w:val="-6"/>
          <w:position w:val="13"/>
          <w:sz w:val="24"/>
          <w:szCs w:val="24"/>
        </w:rPr>
        <w:t>F</w:t>
      </w:r>
      <w:r>
        <w:rPr>
          <w:rFonts w:ascii="Times New Roman" w:hAnsi="Times New Roman" w:eastAsia="Times New Roman" w:cs="Times New Roman"/>
          <w:color w:val="auto"/>
          <w:spacing w:val="-6"/>
          <w:position w:val="7"/>
          <w:sz w:val="13"/>
          <w:szCs w:val="13"/>
        </w:rPr>
        <w:t>0</w:t>
      </w:r>
      <w:r>
        <w:rPr>
          <w:color w:val="auto"/>
          <w:spacing w:val="-6"/>
          <w:position w:val="-1"/>
          <w:sz w:val="24"/>
          <w:szCs w:val="24"/>
          <w:u w:val="single"/>
        </w:rPr>
        <w:t>×</w:t>
      </w:r>
      <w:r>
        <w:rPr>
          <w:rFonts w:ascii="Times New Roman" w:hAnsi="Times New Roman" w:eastAsia="Times New Roman" w:cs="Times New Roman"/>
          <w:color w:val="auto"/>
          <w:spacing w:val="-6"/>
          <w:position w:val="-1"/>
          <w:sz w:val="24"/>
          <w:szCs w:val="24"/>
          <w:u w:val="single"/>
        </w:rPr>
        <w:t>1</w:t>
      </w:r>
      <w:r>
        <w:rPr>
          <w:rFonts w:ascii="Times New Roman" w:hAnsi="Times New Roman" w:eastAsia="Times New Roman" w:cs="Times New Roman"/>
          <w:color w:val="auto"/>
          <w:spacing w:val="-6"/>
          <w:position w:val="-1"/>
          <w:sz w:val="24"/>
          <w:szCs w:val="24"/>
        </w:rPr>
        <w:t>00%</w:t>
      </w:r>
      <w:r>
        <w:rPr>
          <w:rFonts w:ascii="宋体" w:hAnsi="宋体" w:eastAsia="宋体" w:cs="宋体"/>
          <w:color w:val="auto"/>
          <w:spacing w:val="-6"/>
          <w:position w:val="-1"/>
          <w:sz w:val="24"/>
          <w:szCs w:val="24"/>
        </w:rPr>
        <w:t>＋</w:t>
      </w:r>
      <w:r>
        <w:rPr>
          <w:rFonts w:ascii="Times New Roman" w:hAnsi="Times New Roman" w:eastAsia="Times New Roman" w:cs="Times New Roman"/>
          <w:color w:val="auto"/>
          <w:spacing w:val="-6"/>
          <w:position w:val="-1"/>
          <w:sz w:val="24"/>
          <w:szCs w:val="24"/>
        </w:rPr>
        <w:t>B</w:t>
      </w:r>
      <w:r>
        <w:rPr>
          <w:rFonts w:ascii="宋体" w:hAnsi="宋体" w:eastAsia="宋体" w:cs="宋体"/>
          <w:color w:val="auto"/>
          <w:spacing w:val="-6"/>
          <w:position w:val="-1"/>
          <w:sz w:val="24"/>
          <w:szCs w:val="24"/>
        </w:rPr>
        <w:t>）</w:t>
      </w:r>
    </w:p>
    <w:p w14:paraId="7A844C3B">
      <w:pPr>
        <w:spacing w:before="3" w:line="193" w:lineRule="auto"/>
        <w:ind w:left="2534"/>
        <w:rPr>
          <w:rFonts w:ascii="宋体" w:hAnsi="宋体" w:eastAsia="宋体" w:cs="宋体"/>
          <w:color w:val="auto"/>
          <w:sz w:val="13"/>
          <w:szCs w:val="13"/>
        </w:rPr>
      </w:pPr>
      <w:r>
        <w:rPr>
          <w:rFonts w:ascii="宋体" w:hAnsi="宋体" w:eastAsia="宋体" w:cs="宋体"/>
          <w:color w:val="auto"/>
          <w:spacing w:val="-6"/>
          <w:sz w:val="13"/>
          <w:szCs w:val="13"/>
        </w:rPr>
        <w:t>1</w:t>
      </w:r>
      <w:r>
        <w:rPr>
          <w:rFonts w:ascii="宋体" w:hAnsi="宋体" w:eastAsia="宋体" w:cs="宋体"/>
          <w:color w:val="auto"/>
          <w:spacing w:val="6"/>
          <w:sz w:val="13"/>
          <w:szCs w:val="13"/>
        </w:rPr>
        <w:t xml:space="preserve"> </w:t>
      </w:r>
      <w:r>
        <w:rPr>
          <w:rFonts w:ascii="宋体" w:hAnsi="宋体" w:eastAsia="宋体" w:cs="宋体"/>
          <w:color w:val="auto"/>
          <w:spacing w:val="-6"/>
          <w:sz w:val="13"/>
          <w:szCs w:val="13"/>
        </w:rPr>
        <w:t>0</w:t>
      </w:r>
    </w:p>
    <w:p w14:paraId="2864C018">
      <w:pPr>
        <w:spacing w:before="101" w:line="194" w:lineRule="auto"/>
        <w:ind w:left="3766"/>
        <w:rPr>
          <w:rFonts w:ascii="Times New Roman" w:hAnsi="Times New Roman" w:eastAsia="Times New Roman" w:cs="Times New Roman"/>
          <w:color w:val="auto"/>
          <w:sz w:val="13"/>
          <w:szCs w:val="13"/>
        </w:rPr>
      </w:pPr>
      <w:r>
        <w:rPr>
          <w:rFonts w:ascii="Times New Roman" w:hAnsi="Times New Roman" w:eastAsia="Times New Roman" w:cs="Times New Roman"/>
          <w:color w:val="auto"/>
          <w:spacing w:val="-2"/>
          <w:position w:val="1"/>
          <w:sz w:val="24"/>
          <w:szCs w:val="24"/>
        </w:rPr>
        <w:t>F</w:t>
      </w:r>
      <w:r>
        <w:rPr>
          <w:rFonts w:ascii="Times New Roman" w:hAnsi="Times New Roman" w:eastAsia="Times New Roman" w:cs="Times New Roman"/>
          <w:color w:val="auto"/>
          <w:spacing w:val="-2"/>
          <w:position w:val="-4"/>
          <w:sz w:val="13"/>
          <w:szCs w:val="13"/>
        </w:rPr>
        <w:t>0</w:t>
      </w:r>
    </w:p>
    <w:p w14:paraId="7E2F741F">
      <w:pPr>
        <w:spacing w:before="79" w:line="324" w:lineRule="auto"/>
        <w:ind w:left="11" w:right="65" w:firstLine="504"/>
        <w:rPr>
          <w:rFonts w:ascii="宋体" w:hAnsi="宋体" w:eastAsia="宋体" w:cs="宋体"/>
          <w:color w:val="auto"/>
          <w:sz w:val="24"/>
          <w:szCs w:val="24"/>
        </w:rPr>
      </w:pPr>
      <w:r>
        <w:rPr>
          <w:rFonts w:ascii="宋体" w:hAnsi="宋体" w:eastAsia="宋体" w:cs="宋体"/>
          <w:color w:val="auto"/>
          <w:spacing w:val="-4"/>
          <w:sz w:val="24"/>
          <w:szCs w:val="24"/>
        </w:rPr>
        <w:t>以上公式中，</w:t>
      </w:r>
      <w:r>
        <w:rPr>
          <w:rFonts w:ascii="Times New Roman" w:hAnsi="Times New Roman" w:eastAsia="Times New Roman" w:cs="Times New Roman"/>
          <w:color w:val="auto"/>
          <w:spacing w:val="-4"/>
          <w:sz w:val="24"/>
          <w:szCs w:val="24"/>
        </w:rPr>
        <w:t>F</w:t>
      </w:r>
      <w:r>
        <w:rPr>
          <w:rFonts w:ascii="Times New Roman" w:hAnsi="Times New Roman" w:eastAsia="Times New Roman" w:cs="Times New Roman"/>
          <w:color w:val="auto"/>
          <w:spacing w:val="-4"/>
          <w:position w:val="-1"/>
          <w:sz w:val="15"/>
          <w:szCs w:val="15"/>
        </w:rPr>
        <w:t>1</w:t>
      </w:r>
      <w:r>
        <w:rPr>
          <w:rFonts w:ascii="宋体" w:hAnsi="宋体" w:eastAsia="宋体" w:cs="宋体"/>
          <w:color w:val="auto"/>
          <w:spacing w:val="-4"/>
          <w:sz w:val="24"/>
          <w:szCs w:val="24"/>
        </w:rPr>
        <w:t>为中标单价；</w:t>
      </w:r>
      <w:r>
        <w:rPr>
          <w:rFonts w:ascii="Times New Roman" w:hAnsi="Times New Roman" w:eastAsia="Times New Roman" w:cs="Times New Roman"/>
          <w:color w:val="auto"/>
          <w:spacing w:val="-4"/>
          <w:sz w:val="24"/>
          <w:szCs w:val="24"/>
        </w:rPr>
        <w:t>F</w:t>
      </w:r>
      <w:r>
        <w:rPr>
          <w:rFonts w:ascii="Times New Roman" w:hAnsi="Times New Roman" w:eastAsia="Times New Roman" w:cs="Times New Roman"/>
          <w:color w:val="auto"/>
          <w:spacing w:val="-4"/>
          <w:position w:val="-1"/>
          <w:sz w:val="15"/>
          <w:szCs w:val="15"/>
        </w:rPr>
        <w:t>0</w:t>
      </w:r>
      <w:r>
        <w:rPr>
          <w:rFonts w:ascii="宋体" w:hAnsi="宋体" w:eastAsia="宋体" w:cs="宋体"/>
          <w:color w:val="auto"/>
          <w:spacing w:val="-4"/>
          <w:sz w:val="24"/>
          <w:szCs w:val="24"/>
        </w:rPr>
        <w:t>为基准单价；</w:t>
      </w:r>
      <w:r>
        <w:rPr>
          <w:rFonts w:ascii="Times New Roman" w:hAnsi="Times New Roman" w:eastAsia="Times New Roman" w:cs="Times New Roman"/>
          <w:color w:val="auto"/>
          <w:spacing w:val="-4"/>
          <w:sz w:val="24"/>
          <w:szCs w:val="24"/>
        </w:rPr>
        <w:t>F</w:t>
      </w:r>
      <w:r>
        <w:rPr>
          <w:rFonts w:ascii="Times New Roman" w:hAnsi="Times New Roman" w:eastAsia="Times New Roman" w:cs="Times New Roman"/>
          <w:color w:val="auto"/>
          <w:spacing w:val="-4"/>
          <w:position w:val="-1"/>
          <w:sz w:val="15"/>
          <w:szCs w:val="15"/>
        </w:rPr>
        <w:t>2</w:t>
      </w:r>
      <w:r>
        <w:rPr>
          <w:rFonts w:ascii="宋体" w:hAnsi="宋体" w:eastAsia="宋体" w:cs="宋体"/>
          <w:color w:val="auto"/>
          <w:spacing w:val="-4"/>
          <w:sz w:val="24"/>
          <w:szCs w:val="24"/>
        </w:rPr>
        <w:t>为施工当月项目所在地工程造价管</w:t>
      </w:r>
      <w:r>
        <w:rPr>
          <w:rFonts w:ascii="宋体" w:hAnsi="宋体" w:eastAsia="宋体" w:cs="宋体"/>
          <w:color w:val="auto"/>
          <w:spacing w:val="-1"/>
          <w:sz w:val="24"/>
          <w:szCs w:val="24"/>
        </w:rPr>
        <w:t>理机构发布的施工机具台班单价；</w:t>
      </w:r>
      <w:r>
        <w:rPr>
          <w:rFonts w:ascii="Times New Roman" w:hAnsi="Times New Roman" w:eastAsia="Times New Roman" w:cs="Times New Roman"/>
          <w:color w:val="auto"/>
          <w:spacing w:val="-1"/>
          <w:sz w:val="24"/>
          <w:szCs w:val="24"/>
        </w:rPr>
        <w:t>B</w:t>
      </w:r>
      <w:r>
        <w:rPr>
          <w:rFonts w:ascii="宋体" w:hAnsi="宋体" w:eastAsia="宋体" w:cs="宋体"/>
          <w:color w:val="auto"/>
          <w:spacing w:val="-1"/>
          <w:sz w:val="24"/>
          <w:szCs w:val="24"/>
        </w:rPr>
        <w:t>为合同约定的施工机具台班单价</w:t>
      </w:r>
      <w:r>
        <w:rPr>
          <w:rFonts w:ascii="宋体" w:hAnsi="宋体" w:eastAsia="宋体" w:cs="宋体"/>
          <w:color w:val="auto"/>
          <w:spacing w:val="-2"/>
          <w:sz w:val="24"/>
          <w:szCs w:val="24"/>
        </w:rPr>
        <w:t>涨跌风险幅度值。</w:t>
      </w:r>
    </w:p>
    <w:p w14:paraId="534B8241">
      <w:pPr>
        <w:spacing w:before="39" w:line="219" w:lineRule="auto"/>
        <w:ind w:left="484"/>
        <w:rPr>
          <w:rFonts w:ascii="宋体" w:hAnsi="宋体" w:eastAsia="宋体" w:cs="宋体"/>
          <w:color w:val="auto"/>
          <w:sz w:val="24"/>
          <w:szCs w:val="24"/>
        </w:rPr>
      </w:pPr>
      <w:r>
        <w:rPr>
          <w:rFonts w:ascii="Times New Roman" w:hAnsi="Times New Roman" w:eastAsia="Times New Roman" w:cs="Times New Roman"/>
          <w:b/>
          <w:bCs/>
          <w:color w:val="auto"/>
          <w:spacing w:val="-1"/>
          <w:sz w:val="24"/>
          <w:szCs w:val="24"/>
        </w:rPr>
        <w:t>2.3.7</w:t>
      </w:r>
      <w:r>
        <w:rPr>
          <w:rFonts w:ascii="宋体" w:hAnsi="宋体" w:eastAsia="宋体" w:cs="宋体"/>
          <w:color w:val="auto"/>
          <w:spacing w:val="-1"/>
          <w:sz w:val="24"/>
          <w:szCs w:val="24"/>
        </w:rPr>
        <w:t>暂估价和暂列金额</w:t>
      </w:r>
    </w:p>
    <w:p w14:paraId="6948F86B">
      <w:pPr>
        <w:spacing w:before="154" w:line="299" w:lineRule="auto"/>
        <w:ind w:left="7" w:right="57" w:firstLine="477"/>
        <w:rPr>
          <w:rFonts w:ascii="宋体" w:hAnsi="宋体" w:eastAsia="宋体" w:cs="宋体"/>
          <w:color w:val="auto"/>
          <w:sz w:val="24"/>
          <w:szCs w:val="24"/>
        </w:rPr>
      </w:pPr>
      <w:r>
        <w:rPr>
          <w:color w:val="auto"/>
        </w:rPr>
        <w:fldChar w:fldCharType="begin"/>
      </w:r>
      <w:r>
        <w:rPr>
          <w:color w:val="auto"/>
        </w:rPr>
        <w:instrText xml:space="preserve">HYPERLINK"2.3.7.1"</w:instrText>
      </w:r>
      <w:r>
        <w:rPr>
          <w:color w:val="auto"/>
        </w:rPr>
        <w:fldChar w:fldCharType="separate"/>
      </w:r>
      <w:r>
        <w:rPr>
          <w:rFonts w:ascii="Times New Roman" w:hAnsi="Times New Roman" w:eastAsia="Times New Roman" w:cs="Times New Roman"/>
          <w:b/>
          <w:bCs/>
          <w:color w:val="auto"/>
          <w:spacing w:val="-2"/>
          <w:sz w:val="24"/>
          <w:szCs w:val="24"/>
        </w:rPr>
        <w:t>2.3.7.1</w:t>
      </w:r>
      <w:r>
        <w:rPr>
          <w:rFonts w:ascii="Times New Roman" w:hAnsi="Times New Roman" w:eastAsia="Times New Roman" w:cs="Times New Roman"/>
          <w:b/>
          <w:bCs/>
          <w:color w:val="auto"/>
          <w:spacing w:val="-2"/>
          <w:sz w:val="24"/>
          <w:szCs w:val="24"/>
        </w:rPr>
        <w:fldChar w:fldCharType="end"/>
      </w:r>
      <w:r>
        <w:rPr>
          <w:rFonts w:ascii="宋体" w:hAnsi="宋体" w:eastAsia="宋体" w:cs="宋体"/>
          <w:color w:val="auto"/>
          <w:spacing w:val="-2"/>
          <w:sz w:val="24"/>
          <w:szCs w:val="24"/>
        </w:rPr>
        <w:t>暂估价项目按第一章第三节“投标人须知正文”第</w:t>
      </w:r>
      <w:r>
        <w:rPr>
          <w:rFonts w:ascii="Times New Roman" w:hAnsi="Times New Roman" w:eastAsia="Times New Roman" w:cs="Times New Roman"/>
          <w:b/>
          <w:bCs/>
          <w:color w:val="auto"/>
          <w:spacing w:val="-2"/>
          <w:sz w:val="24"/>
          <w:szCs w:val="24"/>
        </w:rPr>
        <w:t>8.5</w:t>
      </w:r>
      <w:r>
        <w:rPr>
          <w:rFonts w:ascii="宋体" w:hAnsi="宋体" w:eastAsia="宋体" w:cs="宋体"/>
          <w:color w:val="auto"/>
          <w:spacing w:val="-2"/>
          <w:sz w:val="24"/>
          <w:szCs w:val="24"/>
        </w:rPr>
        <w:t>条</w:t>
      </w:r>
      <w:r>
        <w:rPr>
          <w:rFonts w:ascii="宋体" w:hAnsi="宋体" w:eastAsia="宋体" w:cs="宋体"/>
          <w:color w:val="auto"/>
          <w:spacing w:val="-3"/>
          <w:sz w:val="24"/>
          <w:szCs w:val="24"/>
        </w:rPr>
        <w:t>的规定确定专业工</w:t>
      </w:r>
      <w:r>
        <w:rPr>
          <w:rFonts w:ascii="宋体" w:hAnsi="宋体" w:eastAsia="宋体" w:cs="宋体"/>
          <w:color w:val="auto"/>
          <w:spacing w:val="-1"/>
          <w:sz w:val="24"/>
          <w:szCs w:val="24"/>
        </w:rPr>
        <w:t>程承包人（或材料供应商、工程设备供应商）后，将专业工</w:t>
      </w:r>
      <w:r>
        <w:rPr>
          <w:rFonts w:ascii="宋体" w:hAnsi="宋体" w:eastAsia="宋体" w:cs="宋体"/>
          <w:color w:val="auto"/>
          <w:spacing w:val="-2"/>
          <w:sz w:val="24"/>
          <w:szCs w:val="24"/>
        </w:rPr>
        <w:t>程合同价款（或材料单价、</w:t>
      </w:r>
      <w:r>
        <w:rPr>
          <w:rFonts w:ascii="宋体" w:hAnsi="宋体" w:eastAsia="宋体" w:cs="宋体"/>
          <w:color w:val="auto"/>
          <w:spacing w:val="-1"/>
          <w:sz w:val="24"/>
          <w:szCs w:val="24"/>
        </w:rPr>
        <w:t>工程设备单价）取代相应暂估价，并调整合同价款。</w:t>
      </w:r>
    </w:p>
    <w:p w14:paraId="057CB3D8">
      <w:pPr>
        <w:spacing w:before="153" w:line="315" w:lineRule="auto"/>
        <w:ind w:left="8" w:right="2" w:firstLine="476"/>
        <w:rPr>
          <w:rFonts w:ascii="宋体" w:hAnsi="宋体" w:eastAsia="宋体" w:cs="宋体"/>
          <w:color w:val="auto"/>
          <w:sz w:val="24"/>
          <w:szCs w:val="24"/>
        </w:rPr>
      </w:pPr>
      <w:r>
        <w:rPr>
          <w:color w:val="auto"/>
        </w:rPr>
        <w:fldChar w:fldCharType="begin"/>
      </w:r>
      <w:r>
        <w:rPr>
          <w:color w:val="auto"/>
        </w:rPr>
        <w:instrText xml:space="preserve">HYPERLINK"2.3.7.2"</w:instrText>
      </w:r>
      <w:r>
        <w:rPr>
          <w:color w:val="auto"/>
        </w:rPr>
        <w:fldChar w:fldCharType="separate"/>
      </w:r>
      <w:r>
        <w:rPr>
          <w:rFonts w:ascii="Times New Roman" w:hAnsi="Times New Roman" w:eastAsia="Times New Roman" w:cs="Times New Roman"/>
          <w:b/>
          <w:bCs/>
          <w:color w:val="auto"/>
          <w:spacing w:val="-8"/>
          <w:sz w:val="24"/>
          <w:szCs w:val="24"/>
        </w:rPr>
        <w:t>2.3.7.2</w:t>
      </w:r>
      <w:r>
        <w:rPr>
          <w:rFonts w:ascii="Times New Roman" w:hAnsi="Times New Roman" w:eastAsia="Times New Roman" w:cs="Times New Roman"/>
          <w:b/>
          <w:bCs/>
          <w:color w:val="auto"/>
          <w:spacing w:val="-8"/>
          <w:sz w:val="24"/>
          <w:szCs w:val="24"/>
        </w:rPr>
        <w:fldChar w:fldCharType="end"/>
      </w:r>
      <w:r>
        <w:rPr>
          <w:rFonts w:ascii="宋体" w:hAnsi="宋体" w:eastAsia="宋体" w:cs="宋体"/>
          <w:color w:val="auto"/>
          <w:spacing w:val="-8"/>
          <w:sz w:val="24"/>
          <w:szCs w:val="24"/>
        </w:rPr>
        <w:t>暂列金额由发包人掌握和使用。暂列金额项目若有发</w:t>
      </w:r>
      <w:r>
        <w:rPr>
          <w:rFonts w:ascii="宋体" w:hAnsi="宋体" w:eastAsia="宋体" w:cs="宋体"/>
          <w:color w:val="auto"/>
          <w:spacing w:val="-9"/>
          <w:sz w:val="24"/>
          <w:szCs w:val="24"/>
        </w:rPr>
        <w:t>生，按第一章第三节“投</w:t>
      </w:r>
      <w:r>
        <w:rPr>
          <w:rFonts w:ascii="宋体" w:hAnsi="宋体" w:eastAsia="宋体" w:cs="宋体"/>
          <w:color w:val="auto"/>
          <w:spacing w:val="-5"/>
          <w:sz w:val="24"/>
          <w:szCs w:val="24"/>
        </w:rPr>
        <w:t>标人须知正文”第</w:t>
      </w:r>
      <w:r>
        <w:rPr>
          <w:rFonts w:ascii="Times New Roman" w:hAnsi="Times New Roman" w:eastAsia="Times New Roman" w:cs="Times New Roman"/>
          <w:b/>
          <w:bCs/>
          <w:color w:val="auto"/>
          <w:spacing w:val="-5"/>
          <w:sz w:val="24"/>
          <w:szCs w:val="24"/>
        </w:rPr>
        <w:t>8.6</w:t>
      </w:r>
      <w:r>
        <w:rPr>
          <w:rFonts w:ascii="宋体" w:hAnsi="宋体" w:eastAsia="宋体" w:cs="宋体"/>
          <w:color w:val="auto"/>
          <w:spacing w:val="-5"/>
          <w:sz w:val="24"/>
          <w:szCs w:val="24"/>
        </w:rPr>
        <w:t>条的规定确定材料供应商（或工程设备供</w:t>
      </w:r>
      <w:r>
        <w:rPr>
          <w:rFonts w:ascii="宋体" w:hAnsi="宋体" w:eastAsia="宋体" w:cs="宋体"/>
          <w:color w:val="auto"/>
          <w:spacing w:val="-6"/>
          <w:sz w:val="24"/>
          <w:szCs w:val="24"/>
        </w:rPr>
        <w:t>应商、服务供应商）后，</w:t>
      </w:r>
      <w:r>
        <w:rPr>
          <w:rFonts w:ascii="宋体" w:hAnsi="宋体" w:eastAsia="宋体" w:cs="宋体"/>
          <w:color w:val="auto"/>
          <w:spacing w:val="-2"/>
          <w:sz w:val="24"/>
          <w:szCs w:val="24"/>
        </w:rPr>
        <w:t>材料（或工程设备、服务）的合同价款从暂列金额中支付。暂列金额扣除已发生的暂列金额项目合同价款、已发生的合同约定调整因素出现时的调整价款、已发生的索赔以及</w:t>
      </w:r>
      <w:r>
        <w:rPr>
          <w:rFonts w:ascii="宋体" w:hAnsi="宋体" w:eastAsia="宋体" w:cs="宋体"/>
          <w:color w:val="auto"/>
          <w:spacing w:val="-1"/>
          <w:sz w:val="24"/>
          <w:szCs w:val="24"/>
        </w:rPr>
        <w:t>现场签证确认等的费用后，余额（若有）归发包人所有。</w:t>
      </w:r>
    </w:p>
    <w:p w14:paraId="06D322D7">
      <w:pPr>
        <w:spacing w:before="135" w:line="300" w:lineRule="auto"/>
        <w:ind w:left="239" w:leftChars="114" w:right="64" w:firstLine="421" w:firstLineChars="188"/>
        <w:rPr>
          <w:rFonts w:ascii="宋体" w:hAnsi="宋体" w:eastAsia="宋体" w:cs="宋体"/>
          <w:color w:val="auto"/>
          <w:spacing w:val="-3"/>
          <w:sz w:val="24"/>
          <w:szCs w:val="24"/>
        </w:rPr>
      </w:pPr>
      <w:r>
        <w:rPr>
          <w:rFonts w:ascii="Times New Roman" w:hAnsi="Times New Roman" w:eastAsia="Times New Roman" w:cs="Times New Roman"/>
          <w:b/>
          <w:bCs/>
          <w:color w:val="auto"/>
          <w:spacing w:val="-8"/>
          <w:sz w:val="24"/>
          <w:szCs w:val="24"/>
        </w:rPr>
        <w:t>2.3.8</w:t>
      </w:r>
      <w:r>
        <w:rPr>
          <w:rFonts w:ascii="宋体" w:hAnsi="宋体" w:eastAsia="宋体" w:cs="宋体"/>
          <w:color w:val="auto"/>
          <w:spacing w:val="-3"/>
          <w:sz w:val="24"/>
          <w:szCs w:val="24"/>
        </w:rPr>
        <w:t>预算包干费按照分部分项的人工费与施工机具费之和及投标费率计取。</w:t>
      </w:r>
    </w:p>
    <w:p w14:paraId="3C7080FA">
      <w:pPr>
        <w:spacing w:before="135" w:line="300" w:lineRule="auto"/>
        <w:ind w:right="64"/>
        <w:rPr>
          <w:color w:val="auto"/>
        </w:rPr>
      </w:pPr>
      <w:r>
        <w:rPr>
          <w:rFonts w:ascii="宋体" w:hAnsi="宋体" w:eastAsia="宋体" w:cs="宋体"/>
          <w:color w:val="auto"/>
          <w:spacing w:val="-3"/>
          <w:sz w:val="24"/>
          <w:szCs w:val="24"/>
        </w:rPr>
        <w:t>本招标项目的预算包干内容包括：施工雨水、污水的排除；因地形影响造成的场内料具二次运输</w:t>
      </w:r>
      <w:r>
        <w:rPr>
          <w:rFonts w:hint="eastAsia" w:ascii="宋体" w:hAnsi="宋体" w:eastAsia="宋体" w:cs="宋体"/>
          <w:color w:val="auto"/>
          <w:spacing w:val="-3"/>
          <w:sz w:val="24"/>
          <w:szCs w:val="24"/>
          <w:lang w:eastAsia="zh-CN"/>
        </w:rPr>
        <w:t>，2</w:t>
      </w:r>
      <w:r>
        <w:rPr>
          <w:rFonts w:ascii="宋体" w:hAnsi="宋体" w:eastAsia="宋体" w:cs="宋体"/>
          <w:color w:val="auto"/>
          <w:spacing w:val="-3"/>
          <w:sz w:val="24"/>
          <w:szCs w:val="24"/>
        </w:rPr>
        <w:t>0米高以下的工程用水加压措施；施工材料堆放场地的整理；机电安装后的补洞(槽料费；</w:t>
      </w:r>
      <w:r>
        <w:rPr>
          <w:rFonts w:ascii="宋体" w:hAnsi="宋体" w:eastAsia="宋体" w:cs="宋体"/>
          <w:color w:val="auto"/>
          <w:spacing w:val="-2"/>
          <w:sz w:val="24"/>
          <w:szCs w:val="24"/>
        </w:rPr>
        <w:t>工程成品保护费；施工中的临时停水停电；基础埋深</w:t>
      </w:r>
      <w:r>
        <w:rPr>
          <w:rFonts w:ascii="Times New Roman" w:hAnsi="Times New Roman" w:eastAsia="Times New Roman" w:cs="Times New Roman"/>
          <w:color w:val="auto"/>
          <w:spacing w:val="-2"/>
          <w:sz w:val="24"/>
          <w:szCs w:val="24"/>
        </w:rPr>
        <w:t>2</w:t>
      </w:r>
      <w:r>
        <w:rPr>
          <w:rFonts w:ascii="宋体" w:hAnsi="宋体" w:eastAsia="宋体" w:cs="宋体"/>
          <w:color w:val="auto"/>
          <w:spacing w:val="-2"/>
          <w:sz w:val="24"/>
          <w:szCs w:val="24"/>
        </w:rPr>
        <w:t>米以内挖土方的塌</w:t>
      </w:r>
      <w:r>
        <w:rPr>
          <w:rFonts w:hint="eastAsia" w:ascii="宋体" w:hAnsi="宋体" w:eastAsia="宋体" w:cs="宋体"/>
          <w:color w:val="auto"/>
          <w:spacing w:val="-2"/>
          <w:sz w:val="24"/>
          <w:szCs w:val="24"/>
          <w:lang w:eastAsia="zh-CN"/>
        </w:rPr>
        <w:t>方；日间</w:t>
      </w:r>
      <w:r>
        <w:rPr>
          <w:rFonts w:ascii="宋体" w:hAnsi="宋体" w:eastAsia="宋体" w:cs="宋体"/>
          <w:color w:val="auto"/>
          <w:spacing w:val="2"/>
          <w:position w:val="3"/>
          <w:sz w:val="24"/>
          <w:szCs w:val="24"/>
        </w:rPr>
        <w:t>照明施工增加费</w:t>
      </w:r>
      <w:r>
        <w:rPr>
          <w:rFonts w:ascii="Times New Roman" w:hAnsi="Times New Roman" w:eastAsia="Times New Roman" w:cs="Times New Roman"/>
          <w:color w:val="auto"/>
          <w:spacing w:val="2"/>
          <w:position w:val="3"/>
          <w:sz w:val="24"/>
          <w:szCs w:val="24"/>
        </w:rPr>
        <w:t>(</w:t>
      </w:r>
      <w:r>
        <w:rPr>
          <w:rFonts w:ascii="宋体" w:hAnsi="宋体" w:eastAsia="宋体" w:cs="宋体"/>
          <w:color w:val="auto"/>
          <w:spacing w:val="2"/>
          <w:position w:val="3"/>
          <w:sz w:val="24"/>
          <w:szCs w:val="24"/>
        </w:rPr>
        <w:t>不包括地下室和特殊工程</w:t>
      </w:r>
      <w:r>
        <w:rPr>
          <w:rFonts w:ascii="Times New Roman" w:hAnsi="Times New Roman" w:eastAsia="Times New Roman" w:cs="Times New Roman"/>
          <w:color w:val="auto"/>
          <w:spacing w:val="2"/>
          <w:position w:val="3"/>
          <w:sz w:val="24"/>
          <w:szCs w:val="24"/>
        </w:rPr>
        <w:t>)</w:t>
      </w:r>
      <w:r>
        <w:rPr>
          <w:rFonts w:ascii="宋体" w:hAnsi="宋体" w:eastAsia="宋体" w:cs="宋体"/>
          <w:color w:val="auto"/>
          <w:spacing w:val="2"/>
          <w:position w:val="3"/>
          <w:sz w:val="24"/>
          <w:szCs w:val="24"/>
        </w:rPr>
        <w:t>；完工清场后的垃圾外运；地上</w:t>
      </w:r>
      <w:r>
        <w:rPr>
          <w:rFonts w:ascii="Times New Roman" w:hAnsi="Times New Roman" w:eastAsia="Times New Roman" w:cs="Times New Roman"/>
          <w:color w:val="auto"/>
          <w:spacing w:val="2"/>
          <w:position w:val="3"/>
          <w:sz w:val="24"/>
          <w:szCs w:val="24"/>
        </w:rPr>
        <w:t>(</w:t>
      </w:r>
      <w:r>
        <w:rPr>
          <w:rFonts w:ascii="宋体" w:hAnsi="宋体" w:eastAsia="宋体" w:cs="宋体"/>
          <w:color w:val="auto"/>
          <w:spacing w:val="2"/>
          <w:position w:val="3"/>
          <w:sz w:val="24"/>
          <w:szCs w:val="24"/>
        </w:rPr>
        <w:t>地下</w:t>
      </w:r>
      <w:r>
        <w:rPr>
          <w:rFonts w:ascii="Times New Roman" w:hAnsi="Times New Roman" w:eastAsia="Times New Roman" w:cs="Times New Roman"/>
          <w:color w:val="auto"/>
          <w:spacing w:val="2"/>
          <w:position w:val="3"/>
          <w:sz w:val="24"/>
          <w:szCs w:val="24"/>
        </w:rPr>
        <w:t>)</w:t>
      </w:r>
      <w:r>
        <w:rPr>
          <w:rFonts w:ascii="宋体" w:hAnsi="宋体" w:eastAsia="宋体" w:cs="宋体"/>
          <w:color w:val="auto"/>
          <w:spacing w:val="2"/>
          <w:position w:val="3"/>
          <w:sz w:val="24"/>
          <w:szCs w:val="24"/>
        </w:rPr>
        <w:t>设</w:t>
      </w:r>
      <w:r>
        <w:rPr>
          <w:rFonts w:hint="eastAsia" w:ascii="宋体" w:hAnsi="宋体" w:eastAsia="宋体" w:cs="宋体"/>
          <w:color w:val="auto"/>
          <w:spacing w:val="2"/>
          <w:position w:val="3"/>
          <w:sz w:val="24"/>
          <w:szCs w:val="24"/>
          <w:lang w:eastAsia="zh-CN"/>
        </w:rPr>
        <w:t>施，</w:t>
      </w:r>
      <w:r>
        <w:rPr>
          <w:rFonts w:ascii="宋体" w:hAnsi="宋体" w:eastAsia="宋体" w:cs="宋体"/>
          <w:color w:val="auto"/>
          <w:spacing w:val="-2"/>
          <w:sz w:val="24"/>
          <w:szCs w:val="24"/>
        </w:rPr>
        <w:t>建筑物的临时保护设施费和二次加工基地设施费；雨季施工增加费</w:t>
      </w:r>
      <w:r>
        <w:rPr>
          <w:rFonts w:hint="eastAsia" w:ascii="宋体" w:hAnsi="宋体" w:eastAsia="宋体" w:cs="宋体"/>
          <w:color w:val="auto"/>
          <w:spacing w:val="-2"/>
          <w:sz w:val="24"/>
          <w:szCs w:val="24"/>
          <w:lang w:eastAsia="zh-CN"/>
        </w:rPr>
        <w:t>；已完成及设备保护等。</w:t>
      </w:r>
    </w:p>
    <w:p w14:paraId="60A06D0A">
      <w:pPr>
        <w:spacing w:before="123" w:line="220" w:lineRule="auto"/>
        <w:ind w:left="484"/>
        <w:rPr>
          <w:rFonts w:ascii="宋体" w:hAnsi="宋体" w:eastAsia="宋体" w:cs="宋体"/>
          <w:color w:val="auto"/>
          <w:sz w:val="24"/>
          <w:szCs w:val="24"/>
        </w:rPr>
      </w:pPr>
      <w:r>
        <w:rPr>
          <w:rFonts w:ascii="Times New Roman" w:hAnsi="Times New Roman" w:eastAsia="Times New Roman" w:cs="Times New Roman"/>
          <w:b/>
          <w:bCs/>
          <w:color w:val="auto"/>
          <w:spacing w:val="2"/>
          <w:sz w:val="24"/>
          <w:szCs w:val="24"/>
        </w:rPr>
        <w:t>2.3.9</w:t>
      </w:r>
      <w:r>
        <w:rPr>
          <w:rFonts w:ascii="宋体" w:hAnsi="宋体" w:eastAsia="宋体" w:cs="宋体"/>
          <w:color w:val="auto"/>
          <w:spacing w:val="2"/>
          <w:sz w:val="24"/>
          <w:szCs w:val="24"/>
        </w:rPr>
        <w:t>其余事项（如不可抗力、索赔、现场签证</w:t>
      </w:r>
      <w:r>
        <w:rPr>
          <w:rFonts w:ascii="宋体" w:hAnsi="宋体" w:eastAsia="宋体" w:cs="宋体"/>
          <w:color w:val="auto"/>
          <w:spacing w:val="1"/>
          <w:sz w:val="24"/>
          <w:szCs w:val="24"/>
        </w:rPr>
        <w:t>等）的调整原则按照《建设工程工</w:t>
      </w:r>
      <w:r>
        <w:rPr>
          <w:rFonts w:ascii="宋体" w:hAnsi="宋体" w:eastAsia="宋体" w:cs="宋体"/>
          <w:color w:val="auto"/>
          <w:sz w:val="24"/>
          <w:szCs w:val="24"/>
        </w:rPr>
        <w:t>程量清单计</w:t>
      </w:r>
    </w:p>
    <w:p w14:paraId="03D20FE5">
      <w:pPr>
        <w:spacing w:before="123" w:line="220" w:lineRule="auto"/>
        <w:rPr>
          <w:rFonts w:ascii="宋体" w:hAnsi="宋体" w:eastAsia="宋体" w:cs="宋体"/>
          <w:color w:val="auto"/>
          <w:sz w:val="24"/>
          <w:szCs w:val="24"/>
        </w:rPr>
      </w:pPr>
      <w:r>
        <w:rPr>
          <w:rFonts w:ascii="宋体" w:hAnsi="宋体" w:eastAsia="宋体" w:cs="宋体"/>
          <w:color w:val="auto"/>
          <w:sz w:val="24"/>
          <w:szCs w:val="24"/>
        </w:rPr>
        <w:t>价规范》</w:t>
      </w:r>
      <w:r>
        <w:rPr>
          <w:rFonts w:hint="eastAsia" w:ascii="宋体" w:hAnsi="宋体" w:eastAsia="宋体" w:cs="宋体"/>
          <w:color w:val="auto"/>
          <w:sz w:val="24"/>
          <w:szCs w:val="24"/>
          <w:lang w:eastAsia="zh-CN"/>
        </w:rPr>
        <w:t>（GB/T50500-2024）</w:t>
      </w:r>
      <w:r>
        <w:rPr>
          <w:rFonts w:ascii="宋体" w:hAnsi="宋体" w:eastAsia="宋体" w:cs="宋体"/>
          <w:color w:val="auto"/>
          <w:spacing w:val="-1"/>
          <w:sz w:val="24"/>
          <w:szCs w:val="24"/>
        </w:rPr>
        <w:t>有关规定执行。</w:t>
      </w:r>
    </w:p>
    <w:p w14:paraId="29ED7DA7">
      <w:pPr>
        <w:spacing w:before="156" w:line="299" w:lineRule="auto"/>
        <w:ind w:left="12" w:right="65" w:firstLine="556"/>
        <w:rPr>
          <w:rFonts w:ascii="宋体" w:hAnsi="宋体" w:eastAsia="宋体" w:cs="宋体"/>
          <w:color w:val="auto"/>
          <w:sz w:val="24"/>
          <w:szCs w:val="24"/>
        </w:rPr>
      </w:pPr>
      <w:r>
        <w:rPr>
          <w:rFonts w:ascii="Times New Roman" w:hAnsi="Times New Roman" w:eastAsia="Times New Roman" w:cs="Times New Roman"/>
          <w:b/>
          <w:bCs/>
          <w:color w:val="auto"/>
          <w:sz w:val="24"/>
          <w:szCs w:val="24"/>
        </w:rPr>
        <w:t>2.4</w:t>
      </w:r>
      <w:r>
        <w:rPr>
          <w:rFonts w:ascii="宋体" w:hAnsi="宋体" w:eastAsia="宋体" w:cs="宋体"/>
          <w:color w:val="auto"/>
          <w:sz w:val="24"/>
          <w:szCs w:val="24"/>
        </w:rPr>
        <w:t>凡将引起合同价款调增的事项，承包人必须于拟实施</w:t>
      </w:r>
      <w:r>
        <w:rPr>
          <w:rFonts w:ascii="Times New Roman" w:hAnsi="Times New Roman" w:eastAsia="Times New Roman" w:cs="Times New Roman"/>
          <w:color w:val="auto"/>
          <w:sz w:val="24"/>
          <w:szCs w:val="24"/>
        </w:rPr>
        <w:t>14</w:t>
      </w:r>
      <w:r>
        <w:rPr>
          <w:rFonts w:ascii="宋体" w:hAnsi="宋体" w:eastAsia="宋体" w:cs="宋体"/>
          <w:color w:val="auto"/>
          <w:sz w:val="24"/>
          <w:szCs w:val="24"/>
        </w:rPr>
        <w:t>天前，将详细的</w:t>
      </w:r>
      <w:r>
        <w:rPr>
          <w:rFonts w:ascii="宋体" w:hAnsi="宋体" w:eastAsia="宋体" w:cs="宋体"/>
          <w:color w:val="auto"/>
          <w:spacing w:val="-1"/>
          <w:sz w:val="24"/>
          <w:szCs w:val="24"/>
        </w:rPr>
        <w:t>报价</w:t>
      </w:r>
      <w:r>
        <w:rPr>
          <w:rFonts w:ascii="宋体" w:hAnsi="宋体" w:eastAsia="宋体" w:cs="宋体"/>
          <w:color w:val="auto"/>
          <w:spacing w:val="-2"/>
          <w:sz w:val="24"/>
          <w:szCs w:val="24"/>
        </w:rPr>
        <w:t>书（含拟实施项目名称、变更部位、理由、预计造价等）报监理单位审核和发包人批准后方可实施。</w:t>
      </w:r>
    </w:p>
    <w:p w14:paraId="7A8844B3">
      <w:pPr>
        <w:spacing w:before="153" w:line="279" w:lineRule="auto"/>
        <w:ind w:left="9" w:right="102" w:firstLine="477"/>
        <w:rPr>
          <w:rFonts w:ascii="宋体" w:hAnsi="宋体" w:eastAsia="宋体" w:cs="宋体"/>
          <w:color w:val="auto"/>
          <w:sz w:val="24"/>
          <w:szCs w:val="24"/>
        </w:rPr>
      </w:pPr>
      <w:r>
        <w:rPr>
          <w:rFonts w:ascii="Times New Roman" w:hAnsi="Times New Roman" w:eastAsia="Times New Roman" w:cs="Times New Roman"/>
          <w:b/>
          <w:bCs/>
          <w:color w:val="auto"/>
          <w:spacing w:val="1"/>
          <w:sz w:val="24"/>
          <w:szCs w:val="24"/>
        </w:rPr>
        <w:t>2.5</w:t>
      </w:r>
      <w:r>
        <w:rPr>
          <w:rFonts w:ascii="宋体" w:hAnsi="宋体" w:eastAsia="宋体" w:cs="宋体"/>
          <w:color w:val="auto"/>
          <w:spacing w:val="1"/>
          <w:sz w:val="24"/>
          <w:szCs w:val="24"/>
        </w:rPr>
        <w:t>承包人不得以不完全了解现场情况为理由，提出额外付</w:t>
      </w:r>
      <w:r>
        <w:rPr>
          <w:rFonts w:ascii="宋体" w:hAnsi="宋体" w:eastAsia="宋体" w:cs="宋体"/>
          <w:color w:val="auto"/>
          <w:sz w:val="24"/>
          <w:szCs w:val="24"/>
        </w:rPr>
        <w:t>款或延长工期等要求。</w:t>
      </w:r>
      <w:r>
        <w:rPr>
          <w:rFonts w:ascii="宋体" w:hAnsi="宋体" w:eastAsia="宋体" w:cs="宋体"/>
          <w:color w:val="auto"/>
          <w:spacing w:val="-1"/>
          <w:sz w:val="24"/>
          <w:szCs w:val="24"/>
        </w:rPr>
        <w:t>对此类要求，发包人不作任何考虑及答复。</w:t>
      </w:r>
    </w:p>
    <w:p w14:paraId="20A49F31">
      <w:pPr>
        <w:spacing w:before="154" w:line="279" w:lineRule="auto"/>
        <w:ind w:left="10" w:right="63" w:firstLine="476"/>
        <w:rPr>
          <w:rFonts w:ascii="宋体" w:hAnsi="宋体" w:eastAsia="宋体" w:cs="宋体"/>
          <w:color w:val="auto"/>
          <w:sz w:val="24"/>
          <w:szCs w:val="24"/>
        </w:rPr>
      </w:pPr>
      <w:r>
        <w:rPr>
          <w:rFonts w:ascii="Times New Roman" w:hAnsi="Times New Roman" w:eastAsia="Times New Roman" w:cs="Times New Roman"/>
          <w:b/>
          <w:bCs/>
          <w:color w:val="auto"/>
          <w:spacing w:val="2"/>
          <w:sz w:val="24"/>
          <w:szCs w:val="24"/>
        </w:rPr>
        <w:t>2.6</w:t>
      </w:r>
      <w:r>
        <w:rPr>
          <w:rFonts w:ascii="宋体" w:hAnsi="宋体" w:eastAsia="宋体" w:cs="宋体"/>
          <w:color w:val="auto"/>
          <w:spacing w:val="2"/>
          <w:sz w:val="24"/>
          <w:szCs w:val="24"/>
        </w:rPr>
        <w:t>承包人已标价工程量清单中漏报、错报或少报的清单项目</w:t>
      </w:r>
      <w:r>
        <w:rPr>
          <w:rFonts w:ascii="宋体" w:hAnsi="宋体" w:eastAsia="宋体" w:cs="宋体"/>
          <w:color w:val="auto"/>
          <w:spacing w:val="1"/>
          <w:sz w:val="24"/>
          <w:szCs w:val="24"/>
        </w:rPr>
        <w:t>，其价格均视为已经</w:t>
      </w:r>
      <w:r>
        <w:rPr>
          <w:rFonts w:ascii="宋体" w:hAnsi="宋体" w:eastAsia="宋体" w:cs="宋体"/>
          <w:color w:val="auto"/>
          <w:spacing w:val="-1"/>
          <w:sz w:val="24"/>
          <w:szCs w:val="24"/>
        </w:rPr>
        <w:t>包含在其它清单项目中，竣工结算时不得重新组价和调整。</w:t>
      </w:r>
    </w:p>
    <w:p w14:paraId="2104AC39">
      <w:pPr>
        <w:spacing w:before="155" w:line="299" w:lineRule="auto"/>
        <w:ind w:left="12" w:right="65" w:firstLine="474"/>
        <w:rPr>
          <w:rFonts w:ascii="宋体" w:hAnsi="宋体" w:eastAsia="宋体" w:cs="宋体"/>
          <w:color w:val="auto"/>
          <w:sz w:val="24"/>
          <w:szCs w:val="24"/>
        </w:rPr>
      </w:pPr>
      <w:r>
        <w:rPr>
          <w:rFonts w:ascii="Times New Roman" w:hAnsi="Times New Roman" w:eastAsia="Times New Roman" w:cs="Times New Roman"/>
          <w:b/>
          <w:bCs/>
          <w:color w:val="auto"/>
          <w:sz w:val="24"/>
          <w:szCs w:val="24"/>
        </w:rPr>
        <w:t>2.7</w:t>
      </w:r>
      <w:r>
        <w:rPr>
          <w:rFonts w:ascii="宋体" w:hAnsi="宋体" w:eastAsia="宋体" w:cs="宋体"/>
          <w:color w:val="auto"/>
          <w:sz w:val="24"/>
          <w:szCs w:val="24"/>
        </w:rPr>
        <w:t>项目完工后，发、承包双方和受其委托具备相应资质的工程造价咨询单位必须</w:t>
      </w:r>
      <w:r>
        <w:rPr>
          <w:rFonts w:ascii="宋体" w:hAnsi="宋体" w:eastAsia="宋体" w:cs="宋体"/>
          <w:color w:val="auto"/>
          <w:spacing w:val="-1"/>
          <w:sz w:val="24"/>
          <w:szCs w:val="24"/>
        </w:rPr>
        <w:t>按照</w:t>
      </w:r>
      <w:r>
        <w:rPr>
          <w:rFonts w:hint="eastAsia" w:ascii="宋体" w:hAnsi="宋体" w:eastAsia="宋体" w:cs="宋体"/>
          <w:color w:val="auto"/>
          <w:spacing w:val="-1"/>
          <w:sz w:val="24"/>
          <w:szCs w:val="24"/>
          <w:lang w:eastAsia="zh-CN"/>
        </w:rPr>
        <w:t>《建设工程工程量清单计价标准》（GB/T50500-2024）</w:t>
      </w:r>
      <w:r>
        <w:rPr>
          <w:rFonts w:ascii="宋体" w:hAnsi="宋体" w:eastAsia="宋体" w:cs="宋体"/>
          <w:color w:val="auto"/>
          <w:spacing w:val="-1"/>
          <w:sz w:val="24"/>
          <w:szCs w:val="24"/>
        </w:rPr>
        <w:t>和国家、省、市的有关规定</w:t>
      </w:r>
      <w:r>
        <w:rPr>
          <w:rFonts w:ascii="宋体" w:hAnsi="宋体" w:eastAsia="宋体" w:cs="宋体"/>
          <w:color w:val="auto"/>
          <w:spacing w:val="-2"/>
          <w:sz w:val="24"/>
          <w:szCs w:val="24"/>
        </w:rPr>
        <w:t>办理竣工结算。</w:t>
      </w:r>
    </w:p>
    <w:p w14:paraId="4BCC19C8">
      <w:pPr>
        <w:spacing w:before="152" w:line="319" w:lineRule="auto"/>
        <w:ind w:left="8" w:right="38" w:firstLine="559"/>
        <w:rPr>
          <w:rFonts w:ascii="宋体" w:hAnsi="宋体" w:eastAsia="宋体" w:cs="宋体"/>
          <w:color w:val="auto"/>
          <w:sz w:val="24"/>
          <w:szCs w:val="24"/>
        </w:rPr>
      </w:pPr>
      <w:r>
        <w:rPr>
          <w:rFonts w:ascii="Times New Roman" w:hAnsi="Times New Roman" w:eastAsia="Times New Roman" w:cs="Times New Roman"/>
          <w:b/>
          <w:bCs/>
          <w:color w:val="auto"/>
          <w:spacing w:val="-1"/>
          <w:sz w:val="24"/>
          <w:szCs w:val="24"/>
        </w:rPr>
        <w:t>2.8</w:t>
      </w:r>
      <w:r>
        <w:rPr>
          <w:rFonts w:ascii="宋体" w:hAnsi="宋体" w:eastAsia="宋体" w:cs="宋体"/>
          <w:color w:val="auto"/>
          <w:spacing w:val="-1"/>
          <w:sz w:val="24"/>
          <w:szCs w:val="24"/>
        </w:rPr>
        <w:t>承包人已标价工程量清单中没有的材料（或工程设备</w:t>
      </w:r>
      <w:r>
        <w:rPr>
          <w:rFonts w:ascii="宋体" w:hAnsi="宋体" w:eastAsia="宋体" w:cs="宋体"/>
          <w:color w:val="auto"/>
          <w:spacing w:val="-18"/>
          <w:sz w:val="24"/>
          <w:szCs w:val="24"/>
        </w:rPr>
        <w:t>），</w:t>
      </w:r>
      <w:r>
        <w:rPr>
          <w:rFonts w:ascii="宋体" w:hAnsi="宋体" w:eastAsia="宋体" w:cs="宋体"/>
          <w:color w:val="auto"/>
          <w:spacing w:val="-1"/>
          <w:sz w:val="24"/>
          <w:szCs w:val="24"/>
        </w:rPr>
        <w:t>承包人在使</w:t>
      </w:r>
      <w:r>
        <w:rPr>
          <w:rFonts w:ascii="宋体" w:hAnsi="宋体" w:eastAsia="宋体" w:cs="宋体"/>
          <w:color w:val="auto"/>
          <w:spacing w:val="-2"/>
          <w:sz w:val="24"/>
          <w:szCs w:val="24"/>
        </w:rPr>
        <w:t>用前必须</w:t>
      </w:r>
      <w:r>
        <w:rPr>
          <w:rFonts w:ascii="宋体" w:hAnsi="宋体" w:eastAsia="宋体" w:cs="宋体"/>
          <w:color w:val="auto"/>
          <w:spacing w:val="-1"/>
          <w:sz w:val="24"/>
          <w:szCs w:val="24"/>
        </w:rPr>
        <w:t>将材料（或工程设备）样板、材料合格证明（或产品合格证书）、材料（或工程设备）检验报告提交给监理单位和发包人审核。发</w:t>
      </w:r>
      <w:r>
        <w:rPr>
          <w:rFonts w:ascii="宋体" w:hAnsi="宋体" w:eastAsia="宋体" w:cs="宋体"/>
          <w:color w:val="auto"/>
          <w:spacing w:val="-2"/>
          <w:sz w:val="24"/>
          <w:szCs w:val="24"/>
        </w:rPr>
        <w:t>包人审定并确定价格后，承包人方可采购和</w:t>
      </w:r>
      <w:r>
        <w:rPr>
          <w:rFonts w:ascii="宋体" w:hAnsi="宋体" w:eastAsia="宋体" w:cs="宋体"/>
          <w:color w:val="auto"/>
          <w:spacing w:val="-1"/>
          <w:sz w:val="24"/>
          <w:szCs w:val="24"/>
        </w:rPr>
        <w:t>使用。如果在交货验收和使用过程中发现货</w:t>
      </w:r>
      <w:r>
        <w:rPr>
          <w:rFonts w:ascii="宋体" w:hAnsi="宋体" w:eastAsia="宋体" w:cs="宋体"/>
          <w:color w:val="auto"/>
          <w:spacing w:val="-2"/>
          <w:sz w:val="24"/>
          <w:szCs w:val="24"/>
        </w:rPr>
        <w:t>不对板，监理单位和发包人有权拒用，并要</w:t>
      </w:r>
      <w:r>
        <w:rPr>
          <w:rFonts w:ascii="宋体" w:hAnsi="宋体" w:eastAsia="宋体" w:cs="宋体"/>
          <w:color w:val="auto"/>
          <w:spacing w:val="-1"/>
          <w:sz w:val="24"/>
          <w:szCs w:val="24"/>
        </w:rPr>
        <w:t>求承包人立即进行更换。更换后的材料（或</w:t>
      </w:r>
      <w:r>
        <w:rPr>
          <w:rFonts w:ascii="宋体" w:hAnsi="宋体" w:eastAsia="宋体" w:cs="宋体"/>
          <w:color w:val="auto"/>
          <w:spacing w:val="-2"/>
          <w:sz w:val="24"/>
          <w:szCs w:val="24"/>
        </w:rPr>
        <w:t>工程设备）应再次进行检查和检验。由此增</w:t>
      </w:r>
      <w:r>
        <w:rPr>
          <w:rFonts w:ascii="宋体" w:hAnsi="宋体" w:eastAsia="宋体" w:cs="宋体"/>
          <w:color w:val="auto"/>
          <w:spacing w:val="-1"/>
          <w:sz w:val="24"/>
          <w:szCs w:val="24"/>
        </w:rPr>
        <w:t>加的费用和（或）工期延误由承包人承担。</w:t>
      </w:r>
    </w:p>
    <w:p w14:paraId="6348055A">
      <w:pPr>
        <w:spacing w:before="152" w:line="319" w:lineRule="auto"/>
        <w:ind w:left="8" w:right="38" w:firstLine="559"/>
        <w:rPr>
          <w:rFonts w:ascii="宋体" w:hAnsi="宋体" w:eastAsia="宋体" w:cs="宋体"/>
          <w:color w:val="auto"/>
          <w:spacing w:val="-1"/>
          <w:sz w:val="24"/>
          <w:szCs w:val="24"/>
        </w:rPr>
      </w:pPr>
      <w:r>
        <w:rPr>
          <w:rFonts w:ascii="Times New Roman" w:hAnsi="Times New Roman" w:eastAsia="Times New Roman" w:cs="Times New Roman"/>
          <w:b/>
          <w:bCs/>
          <w:color w:val="auto"/>
          <w:spacing w:val="-1"/>
          <w:sz w:val="24"/>
          <w:szCs w:val="24"/>
        </w:rPr>
        <w:t>2.9</w:t>
      </w:r>
      <w:r>
        <w:rPr>
          <w:rFonts w:ascii="宋体" w:hAnsi="宋体" w:eastAsia="宋体" w:cs="宋体"/>
          <w:color w:val="auto"/>
          <w:spacing w:val="-1"/>
          <w:sz w:val="24"/>
          <w:szCs w:val="24"/>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的，则采用厂商报价或市场询价等方式取得有合法依据的市场价格，报发包人确认。</w:t>
      </w:r>
    </w:p>
    <w:p w14:paraId="4C31A0E6">
      <w:pPr>
        <w:spacing w:before="36" w:line="220" w:lineRule="auto"/>
        <w:ind w:left="566"/>
        <w:outlineLvl w:val="2"/>
        <w:rPr>
          <w:rFonts w:ascii="宋体" w:hAnsi="宋体" w:eastAsia="宋体" w:cs="宋体"/>
          <w:color w:val="auto"/>
          <w:sz w:val="24"/>
          <w:szCs w:val="24"/>
        </w:rPr>
      </w:pPr>
      <w:bookmarkStart w:id="136" w:name="_Toc25384"/>
      <w:r>
        <w:rPr>
          <w:rFonts w:ascii="Times New Roman" w:hAnsi="Times New Roman" w:eastAsia="Times New Roman" w:cs="Times New Roman"/>
          <w:b/>
          <w:bCs/>
          <w:color w:val="auto"/>
          <w:spacing w:val="-7"/>
          <w:sz w:val="24"/>
          <w:szCs w:val="24"/>
        </w:rPr>
        <w:t>3</w:t>
      </w:r>
      <w:r>
        <w:rPr>
          <w:rFonts w:ascii="宋体" w:hAnsi="宋体" w:eastAsia="宋体" w:cs="宋体"/>
          <w:b/>
          <w:bCs/>
          <w:color w:val="auto"/>
          <w:spacing w:val="-7"/>
          <w:sz w:val="24"/>
          <w:szCs w:val="24"/>
        </w:rPr>
        <w:t>．工程付款办法</w:t>
      </w:r>
      <w:bookmarkEnd w:id="136"/>
    </w:p>
    <w:p w14:paraId="2733DAA4">
      <w:pPr>
        <w:spacing w:before="118" w:line="276" w:lineRule="auto"/>
        <w:ind w:left="566"/>
        <w:rPr>
          <w:rFonts w:ascii="宋体" w:hAnsi="宋体" w:eastAsia="宋体" w:cs="宋体"/>
          <w:color w:val="auto"/>
          <w:sz w:val="24"/>
          <w:szCs w:val="24"/>
        </w:rPr>
      </w:pPr>
      <w:r>
        <w:rPr>
          <w:rFonts w:ascii="Times New Roman" w:hAnsi="Times New Roman" w:eastAsia="Times New Roman" w:cs="Times New Roman"/>
          <w:b/>
          <w:bCs/>
          <w:color w:val="auto"/>
          <w:spacing w:val="-1"/>
          <w:sz w:val="24"/>
          <w:szCs w:val="24"/>
        </w:rPr>
        <w:t>3.1</w:t>
      </w:r>
      <w:r>
        <w:rPr>
          <w:rFonts w:ascii="宋体" w:hAnsi="宋体" w:eastAsia="宋体" w:cs="宋体"/>
          <w:color w:val="auto"/>
          <w:spacing w:val="-1"/>
          <w:sz w:val="24"/>
          <w:szCs w:val="24"/>
        </w:rPr>
        <w:t>本招标项目</w:t>
      </w:r>
      <w:r>
        <w:rPr>
          <w:rFonts w:ascii="宋体" w:hAnsi="宋体" w:eastAsia="宋体" w:cs="宋体"/>
          <w:color w:val="auto"/>
          <w:spacing w:val="-1"/>
          <w:sz w:val="24"/>
          <w:szCs w:val="24"/>
          <w:u w:val="single"/>
        </w:rPr>
        <w:t>支付</w:t>
      </w:r>
      <w:r>
        <w:rPr>
          <w:rFonts w:ascii="宋体" w:hAnsi="宋体" w:eastAsia="宋体" w:cs="宋体"/>
          <w:color w:val="auto"/>
          <w:spacing w:val="-1"/>
          <w:sz w:val="24"/>
          <w:szCs w:val="24"/>
        </w:rPr>
        <w:t>施工预付款。</w:t>
      </w:r>
    </w:p>
    <w:p w14:paraId="6E5FFE90">
      <w:pPr>
        <w:spacing w:before="33" w:line="220" w:lineRule="auto"/>
        <w:ind w:left="484"/>
        <w:rPr>
          <w:rFonts w:ascii="宋体" w:hAnsi="宋体" w:eastAsia="宋体" w:cs="宋体"/>
          <w:color w:val="auto"/>
          <w:sz w:val="24"/>
          <w:szCs w:val="24"/>
        </w:rPr>
      </w:pPr>
      <w:r>
        <w:rPr>
          <w:rFonts w:ascii="Times New Roman" w:hAnsi="Times New Roman" w:eastAsia="Times New Roman" w:cs="Times New Roman"/>
          <w:b/>
          <w:bCs/>
          <w:color w:val="auto"/>
          <w:sz w:val="24"/>
          <w:szCs w:val="24"/>
        </w:rPr>
        <w:t>3.2</w:t>
      </w:r>
      <w:r>
        <w:rPr>
          <w:rFonts w:ascii="宋体" w:hAnsi="宋体" w:eastAsia="宋体" w:cs="宋体"/>
          <w:color w:val="auto"/>
          <w:sz w:val="24"/>
          <w:szCs w:val="24"/>
        </w:rPr>
        <w:t>施工预付款必须专用于合同工程，并按以下原则支</w:t>
      </w:r>
      <w:r>
        <w:rPr>
          <w:rFonts w:ascii="宋体" w:hAnsi="宋体" w:eastAsia="宋体" w:cs="宋体"/>
          <w:color w:val="auto"/>
          <w:spacing w:val="-1"/>
          <w:sz w:val="24"/>
          <w:szCs w:val="24"/>
        </w:rPr>
        <w:t>付和抵扣：</w:t>
      </w:r>
    </w:p>
    <w:p w14:paraId="768678B4">
      <w:pPr>
        <w:spacing w:before="153" w:line="219" w:lineRule="auto"/>
        <w:ind w:left="484"/>
        <w:rPr>
          <w:rFonts w:hint="eastAsia" w:ascii="宋体" w:hAnsi="宋体" w:eastAsia="宋体" w:cs="宋体"/>
          <w:color w:val="auto"/>
          <w:sz w:val="24"/>
          <w:szCs w:val="24"/>
        </w:rPr>
      </w:pPr>
      <w:r>
        <w:rPr>
          <w:rFonts w:hint="eastAsia" w:ascii="宋体" w:hAnsi="宋体" w:eastAsia="宋体" w:cs="宋体"/>
          <w:b/>
          <w:bCs/>
          <w:color w:val="auto"/>
          <w:sz w:val="24"/>
          <w:szCs w:val="24"/>
        </w:rPr>
        <w:t>3.2.1</w:t>
      </w:r>
      <w:r>
        <w:rPr>
          <w:rFonts w:hint="eastAsia" w:ascii="宋体" w:hAnsi="宋体" w:eastAsia="宋体" w:cs="宋体"/>
          <w:color w:val="auto"/>
          <w:sz w:val="24"/>
          <w:szCs w:val="24"/>
        </w:rPr>
        <w:t>施工预付款支付比例为：按施工合同</w:t>
      </w:r>
      <w:r>
        <w:rPr>
          <w:rFonts w:hint="eastAsia" w:ascii="宋体" w:hAnsi="宋体" w:eastAsia="宋体" w:cs="宋体"/>
          <w:color w:val="auto"/>
          <w:spacing w:val="-1"/>
          <w:sz w:val="24"/>
          <w:szCs w:val="24"/>
        </w:rPr>
        <w:t>价</w:t>
      </w:r>
      <w:r>
        <w:rPr>
          <w:rFonts w:hint="eastAsia" w:ascii="宋体" w:hAnsi="宋体" w:eastAsia="宋体" w:cs="宋体"/>
          <w:color w:val="auto"/>
          <w:sz w:val="24"/>
          <w:szCs w:val="24"/>
          <w:lang w:eastAsia="zh-CN"/>
        </w:rPr>
        <w:t>（暂列金额除外）</w:t>
      </w:r>
      <w:r>
        <w:rPr>
          <w:rFonts w:hint="eastAsia" w:ascii="宋体" w:hAnsi="宋体" w:eastAsia="宋体" w:cs="宋体"/>
          <w:color w:val="auto"/>
          <w:sz w:val="24"/>
          <w:szCs w:val="24"/>
        </w:rPr>
        <w:t>的</w:t>
      </w:r>
      <w:r>
        <w:rPr>
          <w:rFonts w:hint="eastAsia" w:ascii="宋体" w:hAnsi="宋体" w:eastAsia="宋体" w:cs="宋体"/>
          <w:color w:val="auto"/>
          <w:spacing w:val="-1"/>
          <w:sz w:val="24"/>
          <w:szCs w:val="24"/>
          <w:lang w:eastAsia="zh-CN"/>
        </w:rPr>
        <w:t>30%</w:t>
      </w:r>
      <w:r>
        <w:rPr>
          <w:rFonts w:hint="eastAsia" w:ascii="宋体" w:hAnsi="宋体" w:eastAsia="宋体" w:cs="宋体"/>
          <w:color w:val="auto"/>
          <w:spacing w:val="-1"/>
          <w:sz w:val="24"/>
          <w:szCs w:val="24"/>
        </w:rPr>
        <w:t>支付。</w:t>
      </w:r>
    </w:p>
    <w:p w14:paraId="39A5FC1A">
      <w:pPr>
        <w:wordWrap w:val="0"/>
        <w:spacing w:line="440" w:lineRule="exact"/>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3.2.2</w:t>
      </w:r>
      <w:r>
        <w:rPr>
          <w:rFonts w:hint="eastAsia" w:ascii="宋体" w:hAnsi="宋体" w:eastAsia="宋体" w:cs="宋体"/>
          <w:color w:val="auto"/>
          <w:sz w:val="24"/>
          <w:szCs w:val="24"/>
        </w:rPr>
        <w:t>本招标项目</w:t>
      </w:r>
      <w:r>
        <w:rPr>
          <w:rFonts w:hint="eastAsia" w:ascii="宋体" w:hAnsi="宋体" w:eastAsia="宋体" w:cs="宋体"/>
          <w:color w:val="auto"/>
          <w:sz w:val="24"/>
          <w:szCs w:val="24"/>
          <w:u w:val="single"/>
          <w:lang w:val="en-US" w:eastAsia="zh-CN"/>
        </w:rPr>
        <w:t>不</w:t>
      </w:r>
      <w:r>
        <w:rPr>
          <w:rFonts w:hint="eastAsia" w:ascii="宋体" w:hAnsi="宋体" w:eastAsia="宋体" w:cs="宋体"/>
          <w:color w:val="auto"/>
          <w:sz w:val="24"/>
          <w:szCs w:val="24"/>
          <w:u w:val="single"/>
        </w:rPr>
        <w:t>要求</w:t>
      </w:r>
      <w:r>
        <w:rPr>
          <w:rFonts w:hint="eastAsia" w:ascii="宋体" w:hAnsi="宋体" w:eastAsia="宋体" w:cs="宋体"/>
          <w:color w:val="auto"/>
          <w:sz w:val="24"/>
          <w:szCs w:val="24"/>
        </w:rPr>
        <w:t>承包人提供与预付款等额的预付款保函。</w:t>
      </w:r>
    </w:p>
    <w:p w14:paraId="65AAD4FB">
      <w:pPr>
        <w:wordWrap w:val="0"/>
        <w:spacing w:line="440" w:lineRule="exact"/>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3.2.3</w:t>
      </w:r>
      <w:r>
        <w:rPr>
          <w:rFonts w:hint="eastAsia" w:ascii="宋体" w:hAnsi="宋体" w:eastAsia="宋体" w:cs="宋体"/>
          <w:color w:val="auto"/>
          <w:sz w:val="24"/>
          <w:szCs w:val="24"/>
        </w:rPr>
        <w:t>承包人应在签订合同后，</w:t>
      </w:r>
      <w:r>
        <w:rPr>
          <w:rFonts w:hint="eastAsia" w:ascii="宋体" w:hAnsi="宋体" w:eastAsia="宋体" w:cs="宋体"/>
          <w:b/>
          <w:color w:val="auto"/>
          <w:sz w:val="24"/>
          <w:szCs w:val="24"/>
        </w:rPr>
        <w:t>在提供符合要求的预付款保函或预付款保险及</w:t>
      </w:r>
      <w:r>
        <w:rPr>
          <w:rFonts w:hint="eastAsia" w:ascii="宋体" w:hAnsi="宋体" w:eastAsia="宋体" w:cs="宋体"/>
          <w:color w:val="auto"/>
          <w:sz w:val="24"/>
          <w:szCs w:val="24"/>
        </w:rPr>
        <w:t>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2266587B">
      <w:pPr>
        <w:wordWrap w:val="0"/>
        <w:spacing w:line="440" w:lineRule="exact"/>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3.2.4</w:t>
      </w:r>
      <w:r>
        <w:rPr>
          <w:rFonts w:ascii="宋体" w:hAnsi="宋体" w:eastAsia="宋体" w:cs="宋体"/>
          <w:color w:val="auto"/>
          <w:sz w:val="24"/>
          <w:szCs w:val="24"/>
        </w:rPr>
        <w:t>预付款应从每支付期应支付给承包人的工程进度款中扣回，直到扣回的金额达到合同约定的预付款金额为止。</w:t>
      </w:r>
    </w:p>
    <w:p w14:paraId="0CA573B1">
      <w:pPr>
        <w:wordWrap w:val="0"/>
        <w:spacing w:line="440" w:lineRule="exact"/>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3.3</w:t>
      </w:r>
      <w:r>
        <w:rPr>
          <w:rFonts w:hint="eastAsia" w:ascii="宋体" w:hAnsi="宋体" w:eastAsia="宋体" w:cs="宋体"/>
          <w:color w:val="auto"/>
          <w:sz w:val="24"/>
          <w:szCs w:val="24"/>
        </w:rPr>
        <w:t>施工过程中按月支付工程进度款：承包人每月按工程实际完成工程量（含变更及增加工程）申报，承包人必须将《已完成工程量报表》和《工程付款申请书》于当月26日前报监理单位核</w:t>
      </w:r>
      <w:bookmarkStart w:id="137" w:name="_Hlt127094354"/>
      <w:bookmarkEnd w:id="137"/>
      <w:r>
        <w:rPr>
          <w:rFonts w:hint="eastAsia" w:ascii="宋体" w:hAnsi="宋体" w:eastAsia="宋体" w:cs="宋体"/>
          <w:color w:val="auto"/>
          <w:sz w:val="24"/>
          <w:szCs w:val="24"/>
        </w:rPr>
        <w:t>实。经监理单位审核、发包人审定后的工程进度款（指已经按照合同约定，扣除该支付期内因承包人违约而应扣除的管理费），于申报次月支付。</w:t>
      </w:r>
    </w:p>
    <w:p w14:paraId="02A4B0FE">
      <w:pPr>
        <w:wordWrap w:val="0"/>
        <w:spacing w:line="440" w:lineRule="exact"/>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3.4</w:t>
      </w:r>
      <w:r>
        <w:rPr>
          <w:rFonts w:hint="eastAsia" w:ascii="宋体" w:hAnsi="宋体" w:eastAsia="宋体" w:cs="宋体"/>
          <w:color w:val="auto"/>
          <w:sz w:val="24"/>
          <w:szCs w:val="24"/>
        </w:rPr>
        <w:t>每月的工程进度款按应付金额的</w:t>
      </w:r>
      <w:r>
        <w:rPr>
          <w:rFonts w:hint="eastAsia" w:ascii="宋体" w:hAnsi="宋体" w:eastAsia="宋体" w:cs="宋体"/>
          <w:color w:val="auto"/>
          <w:sz w:val="24"/>
          <w:szCs w:val="24"/>
          <w:u w:val="single"/>
          <w:lang w:eastAsia="zh-CN"/>
        </w:rPr>
        <w:t>90</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支付，工程进度款中的作业工人工资款项由发包人单独足额拨付到承包人的工资专户。</w:t>
      </w:r>
    </w:p>
    <w:p w14:paraId="6072B066">
      <w:pPr>
        <w:wordWrap w:val="0"/>
        <w:spacing w:line="440" w:lineRule="exact"/>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3.5</w:t>
      </w:r>
      <w:r>
        <w:rPr>
          <w:rFonts w:hint="eastAsia" w:ascii="宋体" w:hAnsi="宋体" w:eastAsia="宋体" w:cs="宋体"/>
          <w:color w:val="auto"/>
          <w:sz w:val="24"/>
          <w:szCs w:val="24"/>
        </w:rPr>
        <w:t>措施项目费中的“绿色施工安全防护措施费”拨付按照《广东省建设工程计价依据（2018）》执行，按照项目所在地的建设行政主管部门有关规定支付。发生一般事故及以上等级重大安全事故的，发包人可扣除承包人金额相当于所有“绿色施工安全防护措施费”的工程管理费。</w:t>
      </w:r>
    </w:p>
    <w:p w14:paraId="563DC627">
      <w:pPr>
        <w:wordWrap w:val="0"/>
        <w:spacing w:line="440" w:lineRule="exact"/>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3.6</w:t>
      </w:r>
      <w:r>
        <w:rPr>
          <w:rFonts w:hint="eastAsia" w:ascii="宋体" w:hAnsi="宋体" w:eastAsia="宋体" w:cs="宋体"/>
          <w:color w:val="auto"/>
          <w:sz w:val="24"/>
          <w:szCs w:val="24"/>
        </w:rPr>
        <w:t>变更工程造价必须经监理单位核实，并经发包人核定后方可支付。</w:t>
      </w:r>
    </w:p>
    <w:p w14:paraId="2403AFB7">
      <w:pPr>
        <w:wordWrap w:val="0"/>
        <w:spacing w:line="440" w:lineRule="exact"/>
        <w:ind w:firstLine="482" w:firstLineChars="200"/>
        <w:rPr>
          <w:rFonts w:hint="eastAsia" w:ascii="宋体" w:hAnsi="宋体" w:eastAsia="宋体" w:cs="宋体"/>
          <w:bCs/>
          <w:color w:val="auto"/>
          <w:sz w:val="24"/>
          <w:szCs w:val="24"/>
        </w:rPr>
      </w:pPr>
      <w:r>
        <w:rPr>
          <w:rFonts w:hint="eastAsia" w:ascii="宋体" w:hAnsi="宋体" w:eastAsia="宋体" w:cs="宋体"/>
          <w:b/>
          <w:bCs/>
          <w:color w:val="auto"/>
          <w:sz w:val="24"/>
          <w:szCs w:val="24"/>
        </w:rPr>
        <w:t>3.7</w:t>
      </w:r>
      <w:r>
        <w:rPr>
          <w:rFonts w:hint="eastAsia" w:ascii="宋体" w:hAnsi="宋体" w:eastAsia="宋体" w:cs="宋体"/>
          <w:color w:val="auto"/>
          <w:sz w:val="24"/>
          <w:szCs w:val="24"/>
        </w:rPr>
        <w:t>结算完成后，于次月支付至结算价的97%，剩余3%转为质量保证金；承包人提交了等额</w:t>
      </w:r>
      <w:r>
        <w:rPr>
          <w:rFonts w:hint="eastAsia" w:ascii="宋体" w:hAnsi="宋体" w:eastAsia="宋体" w:cs="宋体"/>
          <w:bCs/>
          <w:color w:val="auto"/>
          <w:sz w:val="24"/>
          <w:szCs w:val="24"/>
        </w:rPr>
        <w:t>质量保证担保或质量保证保险的，于次月一次性结清结算价。</w:t>
      </w:r>
    </w:p>
    <w:p w14:paraId="4CEE7AE8">
      <w:pPr>
        <w:wordWrap w:val="0"/>
        <w:spacing w:line="440" w:lineRule="exact"/>
        <w:ind w:firstLine="482" w:firstLineChars="200"/>
        <w:rPr>
          <w:rFonts w:ascii="Times New Roman"/>
          <w:color w:val="auto"/>
        </w:rPr>
      </w:pPr>
      <w:r>
        <w:rPr>
          <w:rFonts w:hint="eastAsia" w:ascii="宋体" w:hAnsi="宋体" w:eastAsia="宋体" w:cs="宋体"/>
          <w:b/>
          <w:color w:val="auto"/>
          <w:sz w:val="24"/>
          <w:szCs w:val="24"/>
        </w:rPr>
        <w:t>3.8</w:t>
      </w:r>
      <w:r>
        <w:rPr>
          <w:rFonts w:hint="eastAsia" w:ascii="宋体" w:hAnsi="宋体" w:eastAsia="宋体" w:cs="宋体"/>
          <w:bCs/>
          <w:color w:val="auto"/>
          <w:sz w:val="24"/>
          <w:szCs w:val="24"/>
        </w:rPr>
        <w:t>本招标项目缺陷责任期为</w:t>
      </w:r>
      <w:r>
        <w:rPr>
          <w:rFonts w:hint="eastAsia" w:ascii="宋体" w:hAnsi="宋体" w:eastAsia="宋体" w:cs="宋体"/>
          <w:bCs/>
          <w:color w:val="auto"/>
          <w:sz w:val="24"/>
          <w:szCs w:val="24"/>
          <w:u w:val="single"/>
        </w:rPr>
        <w:t>1</w:t>
      </w:r>
      <w:r>
        <w:rPr>
          <w:rFonts w:hint="eastAsia" w:ascii="宋体" w:hAnsi="宋体" w:eastAsia="宋体" w:cs="宋体"/>
          <w:bCs/>
          <w:color w:val="auto"/>
          <w:sz w:val="24"/>
          <w:szCs w:val="24"/>
        </w:rPr>
        <w:t>年（自通过竣工验收之日起计）。</w:t>
      </w:r>
      <w:r>
        <w:rPr>
          <w:rFonts w:hint="eastAsia" w:ascii="宋体" w:hAnsi="宋体" w:eastAsia="宋体" w:cs="宋体"/>
          <w:color w:val="auto"/>
          <w:sz w:val="24"/>
          <w:szCs w:val="24"/>
        </w:rPr>
        <w:t>缺陷责任期到期后，承包人向发包人申请退还质量保证。发包人收到退还申请后，于14天内会同承包人进行核实。经双方核实且均无异议后，发包人在核实之日起</w:t>
      </w:r>
      <w:r>
        <w:rPr>
          <w:rFonts w:hint="eastAsia" w:ascii="宋体" w:hAnsi="宋体" w:eastAsia="宋体" w:cs="宋体"/>
          <w:color w:val="auto"/>
          <w:sz w:val="24"/>
          <w:szCs w:val="24"/>
          <w:u w:val="single"/>
        </w:rPr>
        <w:t>14</w:t>
      </w:r>
      <w:r>
        <w:rPr>
          <w:rFonts w:hint="eastAsia" w:ascii="宋体" w:hAnsi="宋体" w:eastAsia="宋体" w:cs="宋体"/>
          <w:color w:val="auto"/>
          <w:sz w:val="24"/>
          <w:szCs w:val="24"/>
        </w:rPr>
        <w:t>天内将应返保证金（或银行保函）退还承包人。</w:t>
      </w:r>
    </w:p>
    <w:p w14:paraId="109D00B1">
      <w:pPr>
        <w:wordWrap w:val="0"/>
        <w:spacing w:line="440" w:lineRule="exact"/>
        <w:ind w:firstLine="482" w:firstLineChars="200"/>
        <w:rPr>
          <w:rFonts w:hint="eastAsia" w:ascii="宋体" w:hAnsi="宋体" w:eastAsia="宋体" w:cs="宋体"/>
          <w:color w:val="auto"/>
          <w:sz w:val="24"/>
          <w:szCs w:val="24"/>
        </w:rPr>
      </w:pPr>
      <w:r>
        <w:rPr>
          <w:rFonts w:hint="eastAsia" w:ascii="宋体" w:hAnsi="宋体" w:eastAsia="宋体" w:cs="宋体"/>
          <w:b/>
          <w:color w:val="auto"/>
          <w:sz w:val="24"/>
          <w:szCs w:val="24"/>
        </w:rPr>
        <w:t>3.9</w:t>
      </w:r>
      <w:r>
        <w:rPr>
          <w:rFonts w:hint="eastAsia" w:ascii="宋体" w:hAnsi="宋体" w:eastAsia="宋体" w:cs="宋体"/>
          <w:color w:val="auto"/>
          <w:sz w:val="24"/>
          <w:szCs w:val="24"/>
        </w:rPr>
        <w:t>发包人每次支付工程款前，承包人均应提供有效的增值税专用发票。如果承包人无法提供符合要求的发票，由此造成的相应损失由承包人承担。</w:t>
      </w:r>
    </w:p>
    <w:p w14:paraId="2D9B493E">
      <w:pPr>
        <w:spacing w:before="35" w:line="220" w:lineRule="auto"/>
        <w:ind w:left="484"/>
        <w:rPr>
          <w:rFonts w:ascii="宋体" w:hAnsi="宋体" w:eastAsia="宋体" w:cs="宋体"/>
          <w:color w:val="auto"/>
          <w:spacing w:val="-14"/>
          <w:sz w:val="24"/>
          <w:szCs w:val="24"/>
        </w:rPr>
      </w:pPr>
      <w:r>
        <w:rPr>
          <w:rFonts w:ascii="Times New Roman" w:hAnsi="Times New Roman" w:eastAsia="Times New Roman" w:cs="Times New Roman"/>
          <w:b/>
          <w:bCs/>
          <w:color w:val="auto"/>
          <w:spacing w:val="1"/>
          <w:sz w:val="24"/>
          <w:szCs w:val="24"/>
        </w:rPr>
        <w:t>3.10</w:t>
      </w:r>
      <w:r>
        <w:rPr>
          <w:rFonts w:ascii="宋体" w:hAnsi="宋体" w:eastAsia="宋体" w:cs="宋体"/>
          <w:color w:val="auto"/>
          <w:spacing w:val="1"/>
          <w:sz w:val="24"/>
          <w:szCs w:val="24"/>
        </w:rPr>
        <w:t>暂列金额支付方式</w:t>
      </w:r>
      <w:r>
        <w:rPr>
          <w:rFonts w:ascii="宋体" w:hAnsi="宋体" w:eastAsia="宋体" w:cs="宋体"/>
          <w:color w:val="auto"/>
          <w:spacing w:val="-14"/>
          <w:sz w:val="24"/>
          <w:szCs w:val="24"/>
        </w:rPr>
        <w:t>：</w:t>
      </w:r>
    </w:p>
    <w:p w14:paraId="2DD41E80">
      <w:pPr>
        <w:wordWrap w:val="0"/>
        <w:spacing w:line="360" w:lineRule="auto"/>
        <w:ind w:firstLine="424" w:firstLineChars="200"/>
        <w:rPr>
          <w:rFonts w:hint="eastAsia" w:ascii="宋体" w:hAnsi="宋体" w:eastAsia="宋体" w:cs="宋体"/>
          <w:color w:val="auto"/>
          <w:sz w:val="24"/>
          <w:szCs w:val="24"/>
        </w:rPr>
      </w:pPr>
      <w:r>
        <w:rPr>
          <w:rFonts w:hint="eastAsia" w:ascii="宋体" w:hAnsi="宋体" w:eastAsia="宋体" w:cs="宋体"/>
          <w:color w:val="auto"/>
          <w:spacing w:val="-14"/>
          <w:sz w:val="24"/>
          <w:szCs w:val="24"/>
          <w:lang w:eastAsia="zh-CN"/>
        </w:rPr>
        <w:t>3.10.1</w:t>
      </w:r>
      <w:r>
        <w:rPr>
          <w:rFonts w:hint="eastAsia" w:ascii="宋体" w:hAnsi="宋体" w:eastAsia="宋体" w:cs="宋体"/>
          <w:color w:val="auto"/>
          <w:sz w:val="24"/>
          <w:szCs w:val="24"/>
        </w:rPr>
        <w:t>暂列金额支付方式：</w:t>
      </w:r>
      <w:r>
        <w:rPr>
          <w:rFonts w:hint="eastAsia" w:ascii="宋体" w:hAnsi="宋体" w:eastAsia="宋体" w:cs="宋体"/>
          <w:color w:val="auto"/>
          <w:sz w:val="24"/>
          <w:szCs w:val="24"/>
          <w:u w:val="single"/>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w:t>
      </w:r>
      <w:r>
        <w:rPr>
          <w:rFonts w:hint="eastAsia" w:ascii="宋体" w:hAnsi="宋体" w:eastAsia="宋体" w:cs="宋体"/>
          <w:color w:val="auto"/>
          <w:sz w:val="24"/>
          <w:szCs w:val="24"/>
          <w:u w:val="single"/>
          <w:lang w:eastAsia="zh-CN"/>
        </w:rPr>
        <w:t>90</w:t>
      </w:r>
      <w:r>
        <w:rPr>
          <w:rFonts w:hint="eastAsia" w:ascii="宋体" w:hAnsi="宋体" w:eastAsia="宋体" w:cs="宋体"/>
          <w:color w:val="auto"/>
          <w:sz w:val="24"/>
          <w:szCs w:val="24"/>
          <w:u w:val="single"/>
        </w:rPr>
        <w:t>％，其余部分待结算完成审核后支付至97%，剩余3%为工程质量保修金。</w:t>
      </w:r>
    </w:p>
    <w:p w14:paraId="14E860E4">
      <w:pPr>
        <w:wordWrap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eastAsia="zh-CN"/>
        </w:rPr>
        <w:t>.11</w:t>
      </w:r>
      <w:r>
        <w:rPr>
          <w:rFonts w:hint="eastAsia" w:ascii="宋体" w:hAnsi="宋体" w:eastAsia="宋体" w:cs="宋体"/>
          <w:color w:val="auto"/>
          <w:sz w:val="24"/>
          <w:szCs w:val="24"/>
          <w:u w:val="single"/>
        </w:rPr>
        <w:t>材料暂估价、专业工程暂估价支付方式：材料暂估价、专业工程暂估价支付方式：材料暂估价、专业工程暂估价与每个月的工程进度款一并报送，但需要列明详细项目内容，该部分材料暂估价、专业工程暂估价按该部分实际完成工程量的50%支付，剩余部分结算完成后支付至97%，剩余3%为工程质量保修金。</w:t>
      </w:r>
    </w:p>
    <w:p w14:paraId="49047A1F">
      <w:pPr>
        <w:spacing w:before="154" w:line="212" w:lineRule="auto"/>
        <w:ind w:left="486"/>
        <w:outlineLvl w:val="2"/>
        <w:rPr>
          <w:rFonts w:ascii="宋体" w:hAnsi="宋体" w:eastAsia="宋体" w:cs="宋体"/>
          <w:color w:val="auto"/>
          <w:sz w:val="24"/>
          <w:szCs w:val="24"/>
        </w:rPr>
      </w:pPr>
      <w:bookmarkStart w:id="138" w:name="_Toc10496"/>
      <w:r>
        <w:rPr>
          <w:rFonts w:ascii="Times New Roman" w:hAnsi="Times New Roman" w:eastAsia="Times New Roman" w:cs="Times New Roman"/>
          <w:b/>
          <w:bCs/>
          <w:color w:val="auto"/>
          <w:spacing w:val="-7"/>
          <w:sz w:val="24"/>
          <w:szCs w:val="24"/>
        </w:rPr>
        <w:t>4</w:t>
      </w:r>
      <w:r>
        <w:rPr>
          <w:rFonts w:ascii="宋体" w:hAnsi="宋体" w:eastAsia="宋体" w:cs="宋体"/>
          <w:b/>
          <w:bCs/>
          <w:color w:val="auto"/>
          <w:spacing w:val="-7"/>
          <w:sz w:val="24"/>
          <w:szCs w:val="24"/>
        </w:rPr>
        <w:t>．其他专用合同条款</w:t>
      </w:r>
      <w:bookmarkEnd w:id="138"/>
    </w:p>
    <w:p w14:paraId="5E8E074D">
      <w:pPr>
        <w:spacing w:line="360" w:lineRule="auto"/>
        <w:ind w:firstLine="475" w:firstLineChars="197"/>
        <w:rPr>
          <w:rFonts w:hint="eastAsia" w:ascii="宋体" w:hAnsi="宋体" w:eastAsia="宋体" w:cs="宋体"/>
          <w:color w:val="auto"/>
          <w:sz w:val="24"/>
          <w:szCs w:val="24"/>
        </w:rPr>
      </w:pPr>
      <w:r>
        <w:rPr>
          <w:rFonts w:hint="eastAsia" w:ascii="宋体" w:hAnsi="宋体" w:eastAsia="宋体" w:cs="宋体"/>
          <w:b/>
          <w:bCs/>
          <w:color w:val="auto"/>
          <w:sz w:val="24"/>
          <w:szCs w:val="24"/>
        </w:rPr>
        <w:t>4.1</w:t>
      </w:r>
      <w:r>
        <w:rPr>
          <w:rFonts w:hint="eastAsia" w:ascii="宋体" w:hAnsi="宋体" w:eastAsia="宋体" w:cs="宋体"/>
          <w:color w:val="auto"/>
          <w:sz w:val="24"/>
          <w:szCs w:val="24"/>
        </w:rPr>
        <w:t>工程移交延误违约</w:t>
      </w:r>
    </w:p>
    <w:p w14:paraId="0512CEC9">
      <w:pPr>
        <w:spacing w:line="360" w:lineRule="auto"/>
        <w:ind w:firstLine="475" w:firstLineChars="197"/>
        <w:rPr>
          <w:rFonts w:hint="eastAsia" w:ascii="宋体" w:hAnsi="宋体" w:eastAsia="宋体" w:cs="宋体"/>
          <w:iCs/>
          <w:color w:val="auto"/>
          <w:sz w:val="24"/>
          <w:szCs w:val="24"/>
        </w:rPr>
      </w:pPr>
      <w:r>
        <w:rPr>
          <w:rFonts w:hint="eastAsia" w:ascii="宋体" w:hAnsi="宋体" w:eastAsia="宋体" w:cs="宋体"/>
          <w:b/>
          <w:bCs/>
          <w:color w:val="auto"/>
          <w:sz w:val="24"/>
          <w:szCs w:val="24"/>
        </w:rPr>
        <w:t>4.1.1</w:t>
      </w:r>
      <w:r>
        <w:rPr>
          <w:rFonts w:hint="eastAsia" w:ascii="宋体" w:hAnsi="宋体" w:eastAsia="宋体" w:cs="宋体"/>
          <w:color w:val="auto"/>
          <w:sz w:val="24"/>
          <w:szCs w:val="24"/>
        </w:rPr>
        <w:t>因承包人原因，工程没有按期竣工时，承包人须在逾期第壹天起每天按合同价的</w:t>
      </w:r>
      <w:r>
        <w:rPr>
          <w:rFonts w:hint="eastAsia" w:ascii="宋体" w:hAnsi="宋体" w:eastAsia="宋体" w:cs="宋体"/>
          <w:color w:val="auto"/>
          <w:sz w:val="24"/>
          <w:szCs w:val="24"/>
          <w:u w:val="single"/>
        </w:rPr>
        <w:t>1‰</w:t>
      </w:r>
      <w:r>
        <w:rPr>
          <w:rFonts w:hint="eastAsia" w:ascii="宋体" w:hAnsi="宋体" w:eastAsia="宋体" w:cs="宋体"/>
          <w:color w:val="auto"/>
          <w:sz w:val="24"/>
          <w:szCs w:val="24"/>
        </w:rPr>
        <w:t>向发包人返纳逾期竣工违约金。逾期竣工违约金的最高限额为合同价款的</w:t>
      </w:r>
      <w:r>
        <w:rPr>
          <w:rFonts w:hint="eastAsia" w:ascii="宋体" w:hAnsi="宋体" w:eastAsia="宋体" w:cs="宋体"/>
          <w:iCs/>
          <w:color w:val="auto"/>
          <w:sz w:val="24"/>
          <w:szCs w:val="24"/>
          <w:u w:val="single"/>
        </w:rPr>
        <w:t>3%</w:t>
      </w:r>
      <w:r>
        <w:rPr>
          <w:rFonts w:hint="eastAsia" w:ascii="宋体" w:hAnsi="宋体" w:eastAsia="宋体" w:cs="宋体"/>
          <w:iCs/>
          <w:color w:val="auto"/>
          <w:sz w:val="24"/>
          <w:szCs w:val="24"/>
        </w:rPr>
        <w:t>。</w:t>
      </w:r>
    </w:p>
    <w:p w14:paraId="54D79A80">
      <w:pPr>
        <w:spacing w:line="360" w:lineRule="auto"/>
        <w:ind w:firstLine="475" w:firstLineChars="197"/>
        <w:rPr>
          <w:rFonts w:hint="eastAsia" w:ascii="宋体" w:hAnsi="宋体" w:eastAsia="宋体" w:cs="宋体"/>
          <w:color w:val="auto"/>
          <w:sz w:val="24"/>
          <w:szCs w:val="24"/>
        </w:rPr>
      </w:pPr>
      <w:r>
        <w:rPr>
          <w:rFonts w:hint="eastAsia" w:ascii="宋体" w:hAnsi="宋体" w:eastAsia="宋体" w:cs="宋体"/>
          <w:b/>
          <w:bCs/>
          <w:color w:val="auto"/>
          <w:sz w:val="24"/>
          <w:szCs w:val="24"/>
        </w:rPr>
        <w:t>4.1.2</w:t>
      </w:r>
      <w:r>
        <w:rPr>
          <w:rFonts w:hint="eastAsia" w:ascii="宋体" w:hAnsi="宋体" w:eastAsia="宋体" w:cs="宋体"/>
          <w:iCs/>
          <w:color w:val="auto"/>
          <w:sz w:val="24"/>
          <w:szCs w:val="24"/>
        </w:rPr>
        <w:t>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w:t>
      </w:r>
      <w:r>
        <w:rPr>
          <w:rFonts w:hint="eastAsia" w:ascii="宋体" w:hAnsi="宋体" w:eastAsia="宋体" w:cs="宋体"/>
          <w:color w:val="auto"/>
          <w:sz w:val="24"/>
          <w:szCs w:val="24"/>
        </w:rPr>
        <w:t>每次按2000元缴纳违约金给发包人，在结算中一并扣除。</w:t>
      </w:r>
    </w:p>
    <w:p w14:paraId="5FEDBBF0">
      <w:pPr>
        <w:pStyle w:val="24"/>
        <w:snapToGrid w:val="0"/>
        <w:ind w:firstLine="560"/>
        <w:rPr>
          <w:rFonts w:hint="eastAsia" w:hAnsi="宋体" w:cs="宋体"/>
        </w:rPr>
      </w:pPr>
      <w:r>
        <w:rPr>
          <w:rFonts w:hint="eastAsia" w:hAnsi="宋体" w:cs="宋体"/>
          <w:b/>
          <w:bCs/>
          <w:snapToGrid w:val="0"/>
          <w:kern w:val="0"/>
        </w:rPr>
        <w:t>4.1.3</w:t>
      </w:r>
      <w:r>
        <w:rPr>
          <w:rFonts w:hint="eastAsia" w:hAnsi="宋体" w:cs="宋体"/>
        </w:rPr>
        <w:t>承包人在进场后7天内提交施工进度计划，并注明主要施工节点时间，送监理单位及发包人审核后，作为工期考核的阶段性指标。</w:t>
      </w:r>
    </w:p>
    <w:p w14:paraId="1A6C94A3">
      <w:pPr>
        <w:spacing w:line="360" w:lineRule="auto"/>
        <w:ind w:firstLine="475" w:firstLineChars="197"/>
        <w:rPr>
          <w:rFonts w:hint="eastAsia" w:ascii="宋体" w:hAnsi="宋体" w:eastAsia="宋体" w:cs="宋体"/>
          <w:color w:val="auto"/>
          <w:sz w:val="24"/>
          <w:szCs w:val="24"/>
        </w:rPr>
      </w:pPr>
      <w:r>
        <w:rPr>
          <w:rFonts w:hint="eastAsia" w:ascii="宋体" w:hAnsi="宋体" w:eastAsia="宋体" w:cs="宋体"/>
          <w:b/>
          <w:bCs/>
          <w:color w:val="auto"/>
          <w:sz w:val="24"/>
          <w:szCs w:val="24"/>
        </w:rPr>
        <w:t>4.2</w:t>
      </w:r>
      <w:r>
        <w:rPr>
          <w:rFonts w:hint="eastAsia" w:ascii="宋体" w:hAnsi="宋体" w:eastAsia="宋体" w:cs="宋体"/>
          <w:color w:val="auto"/>
          <w:sz w:val="24"/>
          <w:szCs w:val="24"/>
        </w:rPr>
        <w:t>质量违约</w:t>
      </w:r>
    </w:p>
    <w:p w14:paraId="5A78B135">
      <w:pPr>
        <w:spacing w:line="360" w:lineRule="auto"/>
        <w:ind w:firstLine="475" w:firstLineChars="197"/>
        <w:rPr>
          <w:rFonts w:hint="eastAsia" w:ascii="宋体" w:hAnsi="宋体" w:eastAsia="宋体" w:cs="宋体"/>
          <w:color w:val="auto"/>
          <w:sz w:val="24"/>
          <w:szCs w:val="24"/>
        </w:rPr>
      </w:pPr>
      <w:r>
        <w:rPr>
          <w:rFonts w:hint="eastAsia" w:ascii="宋体" w:hAnsi="宋体" w:eastAsia="宋体" w:cs="宋体"/>
          <w:b/>
          <w:bCs/>
          <w:color w:val="auto"/>
          <w:sz w:val="24"/>
          <w:szCs w:val="24"/>
        </w:rPr>
        <w:t>4.2.1</w:t>
      </w:r>
      <w:r>
        <w:rPr>
          <w:rFonts w:hint="eastAsia" w:ascii="宋体" w:hAnsi="宋体" w:eastAsia="宋体" w:cs="宋体"/>
          <w:color w:val="auto"/>
          <w:sz w:val="24"/>
          <w:szCs w:val="24"/>
        </w:rPr>
        <w:t>材料违约处理：若发现材料不符合国家标准或发包人在技术规范中规定的标准，视为承包人违约，按现行《建设工程质量管理条例》处理。</w:t>
      </w:r>
    </w:p>
    <w:p w14:paraId="2D33BCF4">
      <w:pPr>
        <w:pStyle w:val="25"/>
        <w:spacing w:line="360" w:lineRule="auto"/>
        <w:ind w:firstLine="490"/>
        <w:rPr>
          <w:rFonts w:hint="eastAsia" w:ascii="宋体" w:hAnsi="宋体" w:eastAsia="宋体" w:cs="宋体"/>
          <w:color w:val="auto"/>
          <w:sz w:val="24"/>
          <w:szCs w:val="24"/>
        </w:rPr>
      </w:pPr>
      <w:r>
        <w:rPr>
          <w:rFonts w:hint="eastAsia" w:ascii="宋体" w:hAnsi="宋体" w:eastAsia="宋体" w:cs="宋体"/>
          <w:b/>
          <w:color w:val="auto"/>
          <w:sz w:val="24"/>
          <w:szCs w:val="24"/>
        </w:rPr>
        <w:t>4.2.1.1</w:t>
      </w:r>
      <w:r>
        <w:rPr>
          <w:rFonts w:hint="eastAsia" w:ascii="宋体" w:hAnsi="宋体" w:eastAsia="宋体" w:cs="宋体"/>
          <w:color w:val="auto"/>
          <w:sz w:val="24"/>
          <w:szCs w:val="24"/>
        </w:rPr>
        <w:t>成品采购项目在采购前，承包人必须先行书面征求监理人、发包人的同意并一起看样定版后方能实施。未经监理人、发包人同意擅自先行采购和实施的，否则因不符合设计要求返工造成的费用由承包人承担。</w:t>
      </w:r>
    </w:p>
    <w:p w14:paraId="1A129FD3">
      <w:pPr>
        <w:spacing w:line="360" w:lineRule="auto"/>
        <w:ind w:firstLine="475" w:firstLineChars="197"/>
        <w:rPr>
          <w:rFonts w:hint="eastAsia" w:ascii="宋体" w:hAnsi="宋体" w:eastAsia="宋体" w:cs="宋体"/>
          <w:color w:val="auto"/>
          <w:sz w:val="24"/>
          <w:szCs w:val="24"/>
        </w:rPr>
      </w:pPr>
      <w:r>
        <w:rPr>
          <w:rFonts w:hint="eastAsia" w:ascii="宋体" w:hAnsi="宋体" w:eastAsia="宋体" w:cs="宋体"/>
          <w:b/>
          <w:bCs/>
          <w:color w:val="auto"/>
          <w:sz w:val="24"/>
          <w:szCs w:val="24"/>
        </w:rPr>
        <w:t>4.2.2</w:t>
      </w:r>
      <w:r>
        <w:rPr>
          <w:rFonts w:hint="eastAsia" w:ascii="宋体" w:hAnsi="宋体" w:eastAsia="宋体" w:cs="宋体"/>
          <w:color w:val="auto"/>
          <w:sz w:val="24"/>
          <w:szCs w:val="24"/>
        </w:rPr>
        <w:t>工程质量违约：</w:t>
      </w:r>
    </w:p>
    <w:p w14:paraId="2748F8A0">
      <w:pPr>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4.2.2.1</w:t>
      </w:r>
      <w:r>
        <w:rPr>
          <w:rFonts w:hint="eastAsia" w:ascii="宋体" w:hAnsi="宋体" w:eastAsia="宋体" w:cs="宋体"/>
          <w:color w:val="auto"/>
          <w:sz w:val="24"/>
          <w:szCs w:val="24"/>
        </w:rPr>
        <w:t>在施工过程中经监理单位日常巡查或抽检发现未达到合格标准，责令承包人进行整改，如未按规定时间进行整改或整改不到位的，每次按5000元缴纳违约金给发包人，在进度款或结算款中一并扣除。</w:t>
      </w:r>
    </w:p>
    <w:p w14:paraId="19B3C27F">
      <w:pPr>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4.2.2.2</w:t>
      </w:r>
      <w:r>
        <w:rPr>
          <w:rFonts w:hint="eastAsia" w:ascii="宋体" w:hAnsi="宋体" w:eastAsia="宋体" w:cs="宋体"/>
          <w:color w:val="auto"/>
          <w:sz w:val="24"/>
          <w:szCs w:val="24"/>
        </w:rPr>
        <w:t>工程质量标准须</w:t>
      </w:r>
      <w:r>
        <w:rPr>
          <w:rFonts w:hint="eastAsia" w:ascii="宋体" w:hAnsi="宋体" w:eastAsia="宋体" w:cs="宋体"/>
          <w:color w:val="auto"/>
          <w:sz w:val="24"/>
          <w:szCs w:val="24"/>
          <w:lang w:eastAsia="zh-CN"/>
        </w:rPr>
        <w:t>达到《建筑工程施工质量验收统一标准》(GB50</w:t>
      </w:r>
      <w:r>
        <w:rPr>
          <w:rFonts w:hint="eastAsia" w:ascii="宋体" w:hAnsi="宋体" w:eastAsia="宋体" w:cs="宋体"/>
          <w:color w:val="auto"/>
          <w:sz w:val="24"/>
          <w:szCs w:val="24"/>
          <w:lang w:val="en-US" w:eastAsia="zh-CN"/>
        </w:rPr>
        <w:t>300</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lang w:eastAsia="zh-CN"/>
        </w:rPr>
        <w:t>)和《建筑与市政工程施工质量控制通用规范》（GB55032-2022）合格</w:t>
      </w:r>
      <w:r>
        <w:rPr>
          <w:rFonts w:hint="eastAsia" w:ascii="宋体" w:hAnsi="宋体" w:eastAsia="宋体" w:cs="宋体"/>
          <w:bCs/>
          <w:color w:val="auto"/>
          <w:sz w:val="24"/>
          <w:szCs w:val="24"/>
        </w:rPr>
        <w:t>。</w:t>
      </w:r>
      <w:r>
        <w:rPr>
          <w:rFonts w:hint="eastAsia" w:ascii="宋体" w:hAnsi="宋体" w:eastAsia="宋体" w:cs="宋体"/>
          <w:color w:val="auto"/>
          <w:sz w:val="24"/>
          <w:szCs w:val="24"/>
        </w:rPr>
        <w:t>如未达到合格标准，除无偿返工至合格外，还要按合同价款的1%向招标人支付质量违约金，工期不予顺延。</w:t>
      </w:r>
    </w:p>
    <w:p w14:paraId="2774B125">
      <w:pPr>
        <w:spacing w:line="360" w:lineRule="auto"/>
        <w:ind w:firstLine="475" w:firstLineChars="197"/>
        <w:rPr>
          <w:rFonts w:hint="eastAsia" w:ascii="宋体" w:hAnsi="宋体" w:eastAsia="宋体" w:cs="宋体"/>
          <w:color w:val="auto"/>
          <w:sz w:val="24"/>
          <w:szCs w:val="24"/>
        </w:rPr>
      </w:pPr>
      <w:r>
        <w:rPr>
          <w:rFonts w:hint="eastAsia" w:ascii="宋体" w:hAnsi="宋体" w:eastAsia="宋体" w:cs="宋体"/>
          <w:b/>
          <w:bCs/>
          <w:color w:val="auto"/>
          <w:sz w:val="24"/>
          <w:szCs w:val="24"/>
        </w:rPr>
        <w:t>4.3</w:t>
      </w:r>
      <w:r>
        <w:rPr>
          <w:rFonts w:hint="eastAsia" w:ascii="宋体" w:hAnsi="宋体" w:eastAsia="宋体" w:cs="宋体"/>
          <w:color w:val="auto"/>
          <w:sz w:val="24"/>
          <w:szCs w:val="24"/>
        </w:rPr>
        <w:t>重大责任事故违约</w:t>
      </w:r>
    </w:p>
    <w:p w14:paraId="6B2D6EDC">
      <w:pPr>
        <w:spacing w:line="360" w:lineRule="auto"/>
        <w:ind w:firstLine="475" w:firstLineChars="197"/>
        <w:rPr>
          <w:rFonts w:hint="eastAsia" w:ascii="宋体" w:hAnsi="宋体" w:eastAsia="宋体" w:cs="宋体"/>
          <w:color w:val="auto"/>
          <w:sz w:val="24"/>
          <w:szCs w:val="24"/>
        </w:rPr>
      </w:pPr>
      <w:r>
        <w:rPr>
          <w:rFonts w:hint="eastAsia" w:ascii="宋体" w:hAnsi="宋体" w:eastAsia="宋体" w:cs="宋体"/>
          <w:b/>
          <w:bCs/>
          <w:color w:val="auto"/>
          <w:sz w:val="24"/>
          <w:szCs w:val="24"/>
        </w:rPr>
        <w:t>4.3.1</w:t>
      </w:r>
      <w:r>
        <w:rPr>
          <w:rFonts w:hint="eastAsia" w:ascii="宋体" w:hAnsi="宋体" w:eastAsia="宋体" w:cs="宋体"/>
          <w:color w:val="auto"/>
          <w:sz w:val="24"/>
          <w:szCs w:val="24"/>
        </w:rPr>
        <w:t>承包人因违反国家安全质量法规及合同有关条款约定,出现火灾、坍塌、人员重伤、死亡等重大责任事故,则承包人应承担全部损失,并按相关法规接受行政处罚；如造成发包人及对第三人利益的损害,该等损害赔偿责任均由承包人承担。</w:t>
      </w:r>
    </w:p>
    <w:p w14:paraId="786DECD5">
      <w:pPr>
        <w:spacing w:line="360" w:lineRule="auto"/>
        <w:ind w:firstLine="475" w:firstLineChars="197"/>
        <w:rPr>
          <w:rFonts w:hint="eastAsia" w:ascii="宋体" w:hAnsi="宋体" w:eastAsia="宋体" w:cs="宋体"/>
          <w:color w:val="auto"/>
          <w:sz w:val="24"/>
          <w:szCs w:val="24"/>
        </w:rPr>
      </w:pPr>
      <w:r>
        <w:rPr>
          <w:rFonts w:hint="eastAsia" w:ascii="宋体" w:hAnsi="宋体" w:eastAsia="宋体" w:cs="宋体"/>
          <w:b/>
          <w:bCs/>
          <w:color w:val="auto"/>
          <w:sz w:val="24"/>
          <w:szCs w:val="24"/>
        </w:rPr>
        <w:t>4.4</w:t>
      </w:r>
      <w:r>
        <w:rPr>
          <w:rFonts w:hint="eastAsia" w:ascii="宋体" w:hAnsi="宋体" w:eastAsia="宋体" w:cs="宋体"/>
          <w:color w:val="auto"/>
          <w:sz w:val="24"/>
          <w:szCs w:val="24"/>
        </w:rPr>
        <w:t>用工违约</w:t>
      </w:r>
    </w:p>
    <w:p w14:paraId="30505A7B">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4.4.1在合同履行期间，如经查实承包人拖欠或克扣农民工或劳务工工资，导致劳资纠纷或发生危及公共安全或正常社会秩序的事件的，按承包人违约处理，按人民币10000元/次从工程进度款中扣除。承包人必须无条件确保民工工资得到及时发放，无拖欠民工工资现象，并采取发包人认为切实可行的措施确保无劳资纠纷事件发生，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2倍向发包人支付违约金。违约金在下期进度款中扣除。未在下期进度款扣除或承包人在发包人处已经无款可扣的，起计逾期支付利息。发包人可以在承包人其他任何款项中扣除所垫付的工资和相应的违约金与利息。承包人对提供的资料真实性负责，如发现虚假不实情况，承包人须向发包人支付违约金20000元/次。</w:t>
      </w:r>
    </w:p>
    <w:p w14:paraId="51033253">
      <w:pPr>
        <w:spacing w:line="360" w:lineRule="auto"/>
        <w:ind w:firstLine="472" w:firstLineChars="197"/>
        <w:rPr>
          <w:rFonts w:hint="eastAsia" w:ascii="宋体" w:hAnsi="宋体" w:eastAsia="宋体" w:cs="宋体"/>
          <w:color w:val="auto"/>
          <w:sz w:val="24"/>
          <w:szCs w:val="24"/>
        </w:rPr>
      </w:pPr>
      <w:r>
        <w:rPr>
          <w:rFonts w:hint="eastAsia" w:ascii="宋体" w:hAnsi="宋体" w:eastAsia="宋体" w:cs="宋体"/>
          <w:bCs/>
          <w:color w:val="auto"/>
          <w:sz w:val="24"/>
          <w:szCs w:val="24"/>
        </w:rPr>
        <w:t>4.4.2承包人应积极落实有关部门关于用工实名制管理工作的要求，未按规定落实农民工工资专户及实用工实名制要求，经有关部门警告或处罚的，按违约金人民币10000元/次从工程进度款中扣除。</w:t>
      </w:r>
    </w:p>
    <w:p w14:paraId="0E49521C">
      <w:pPr>
        <w:spacing w:line="360" w:lineRule="auto"/>
        <w:ind w:firstLine="475" w:firstLineChars="197"/>
        <w:rPr>
          <w:rFonts w:hint="eastAsia" w:ascii="宋体" w:hAnsi="宋体" w:eastAsia="宋体" w:cs="宋体"/>
          <w:color w:val="auto"/>
          <w:sz w:val="24"/>
          <w:szCs w:val="24"/>
        </w:rPr>
      </w:pPr>
      <w:r>
        <w:rPr>
          <w:rFonts w:hint="eastAsia" w:ascii="宋体" w:hAnsi="宋体" w:eastAsia="宋体" w:cs="宋体"/>
          <w:b/>
          <w:bCs/>
          <w:color w:val="auto"/>
          <w:sz w:val="24"/>
          <w:szCs w:val="24"/>
        </w:rPr>
        <w:t>4.5</w:t>
      </w:r>
      <w:r>
        <w:rPr>
          <w:rFonts w:hint="eastAsia" w:ascii="宋体" w:hAnsi="宋体" w:eastAsia="宋体" w:cs="宋体"/>
          <w:color w:val="auto"/>
          <w:sz w:val="24"/>
          <w:szCs w:val="24"/>
        </w:rPr>
        <w:t>安全文明施工违约</w:t>
      </w:r>
    </w:p>
    <w:p w14:paraId="4B1F5651">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4.5.1承包人应严格遵守国家、省、市有关防火、爆破和施工安全以及文明施工、深夜施工、环卫和城市管理等规定，建立规章制度和防护措施，并组织施工。</w:t>
      </w:r>
    </w:p>
    <w:p w14:paraId="17A7394A">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4.5.2承包人现场施工人员存在野蛮施工行为，经现场发包人（含监理单位）管理人员确认后，承包人须按10000元/次缴纳违约金；如因野蛮施工行为，引起投诉或网络问政的，承包人须按5000元/次缴纳违约金；并承担因野蛮施工行为所造成的全部责任。</w:t>
      </w:r>
    </w:p>
    <w:p w14:paraId="75FDF987">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4.5.3承包人必须接受发包人及监理单位组织的安全、文明施工的检查，检查中的不合格项目、安全隐患必须在规定的时间内整改完成，否则每拖延一天处以10000元人民币违约金，直至整改合格。</w:t>
      </w:r>
    </w:p>
    <w:p w14:paraId="24D8BF41">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4.5.4承包人施工现场发生工伤或其他责任事故的，承包人按下列标准缴纳违约金：</w:t>
      </w:r>
    </w:p>
    <w:p w14:paraId="5D227F6A">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①一次事故或全年累计死亡3人及以上：项目部必须撤换项目经理、主管安全副经理和安全主管，一次或全年累计缴纳违约金100万元人民币；</w:t>
      </w:r>
    </w:p>
    <w:p w14:paraId="237D178D">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②一次事故或全年累计死亡2人：安全第一责任人在韶关市地区建设范围内公开检查；承包人必须撤换项目主管安全副经理或安全主管；一次或全年累计缴纳违约金60万元人民币；</w:t>
      </w:r>
    </w:p>
    <w:p w14:paraId="6D7C6108">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③全年死亡1人：安全第一责任人在韶关市地区建设范围内公开检查，并报其上级单位；承包人必须撤换项目安全主管；缴纳违约金30万元人民币。</w:t>
      </w:r>
    </w:p>
    <w:p w14:paraId="13971665">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④重伤事故、造成10人及以上集体中毒住院、经济损失重大的火灾、设备及交通事故，缴纳违约金30万元人民币。</w:t>
      </w:r>
    </w:p>
    <w:p w14:paraId="5207845A">
      <w:pPr>
        <w:spacing w:line="360" w:lineRule="auto"/>
        <w:ind w:firstLine="472" w:firstLineChars="197"/>
        <w:rPr>
          <w:rFonts w:hint="eastAsia" w:ascii="宋体" w:hAnsi="宋体" w:eastAsia="宋体" w:cs="宋体"/>
          <w:color w:val="auto"/>
          <w:sz w:val="24"/>
          <w:szCs w:val="24"/>
        </w:rPr>
      </w:pPr>
      <w:r>
        <w:rPr>
          <w:rFonts w:hint="eastAsia" w:ascii="宋体" w:hAnsi="宋体" w:eastAsia="宋体" w:cs="宋体"/>
          <w:bCs/>
          <w:color w:val="auto"/>
          <w:sz w:val="24"/>
          <w:szCs w:val="24"/>
        </w:rPr>
        <w:t>⑤因施工造成的道路交通中断、通讯中断、管线漏水漏气等全部责任事故，由承包人承担责任，并缴纳违约金1万元人民币。</w:t>
      </w:r>
    </w:p>
    <w:p w14:paraId="0F792C57">
      <w:pPr>
        <w:spacing w:line="360" w:lineRule="auto"/>
        <w:ind w:firstLine="475" w:firstLineChars="197"/>
        <w:rPr>
          <w:rFonts w:hint="eastAsia" w:ascii="宋体" w:hAnsi="宋体" w:eastAsia="宋体" w:cs="宋体"/>
          <w:color w:val="auto"/>
          <w:sz w:val="24"/>
          <w:szCs w:val="24"/>
        </w:rPr>
      </w:pPr>
      <w:r>
        <w:rPr>
          <w:rFonts w:hint="eastAsia" w:ascii="宋体" w:hAnsi="宋体" w:eastAsia="宋体" w:cs="宋体"/>
          <w:b/>
          <w:bCs/>
          <w:color w:val="auto"/>
          <w:sz w:val="24"/>
          <w:szCs w:val="24"/>
        </w:rPr>
        <w:t>4.6</w:t>
      </w:r>
      <w:r>
        <w:rPr>
          <w:rFonts w:hint="eastAsia" w:ascii="宋体" w:hAnsi="宋体" w:eastAsia="宋体" w:cs="宋体"/>
          <w:color w:val="auto"/>
          <w:sz w:val="24"/>
          <w:szCs w:val="24"/>
        </w:rPr>
        <w:t>其他违约</w:t>
      </w:r>
    </w:p>
    <w:p w14:paraId="32EDA49A">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4.6.1承包人安排在施工场地的主要管理人员（主要指项目经理、项目技术负责人和专职安全生产管理人员）应与承包人投标文件承诺的名单一致，并保持相对稳定。未经总监理工程师批准，上述人员不应无故不到位或被替换。如果擅自更换项目负责人或项目技术负责人，承包人每更换一人次，需支付20000元违约金给发包人，如果擅自更换主要施工管理人员，每更换一人次，承包人需支付10000元违约金给发包人。若确实无法到位或需替换，需经总监理工程师审核并报发包人批准后，承包人可安排同等资历的人员替换；考勤采用人脸识别打卡每月累计不到位次数超过10天，按5000元/人/天缴纳违约金给发包人；在日常检查及相关会议中主要管理人员不到岗，按违约金人民币1000元/人/次从工程进度款中扣除。</w:t>
      </w:r>
    </w:p>
    <w:p w14:paraId="2DDC5091">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4.6.2承包人施工资料必须与形象进度同步，如发包人在日常检查中发现不同步的现象的，视为违约并按违约金人民币1000元/次从工程进度款中扣除。</w:t>
      </w:r>
    </w:p>
    <w:p w14:paraId="6266D24F">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4.6.3发包人要求承包人替换项目部中不称职人员或能力有异议，而承包人不予替换，视为承包人违约，承包人须按承包人项目部主要管理人员（主要指项目经理、项目技术负责人和专职安全生产管理人员）20000元/人次缴纳违约金给发包人。</w:t>
      </w:r>
    </w:p>
    <w:p w14:paraId="2A2C064D">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4.6.4发包人对上述约定中的规定并不免除承包人接受国家、地方政府相关部门依法对承包人的处罚。</w:t>
      </w:r>
    </w:p>
    <w:p w14:paraId="08919241">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4.6.5承包人没有正当合理的理由中途退场，可扣除承包人已递交的所有履约保证金作为违约金。</w:t>
      </w:r>
    </w:p>
    <w:p w14:paraId="001ECAD9">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4.6.6有下列情况之一的，承包人在一年内不得参与发包人的任何工程任务，并勒令从现施工的工地退场，同时按违约金人民币50000元从工程进度款中扣除：</w:t>
      </w:r>
    </w:p>
    <w:p w14:paraId="6CD40396">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A、路面沉降、开裂超过规范要求并造成不良社会影响的；</w:t>
      </w:r>
    </w:p>
    <w:p w14:paraId="49A2F627">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B、发生重大责任安全事故的；</w:t>
      </w:r>
    </w:p>
    <w:p w14:paraId="43384249">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C、不能在合同规定的期限内竣工的；</w:t>
      </w:r>
    </w:p>
    <w:p w14:paraId="337470BF">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D、承包人所承担的施工任务在施工期间，由于工程质量或工程进度原因，监理单位发出10个以上﹙含10个﹚停工令的；</w:t>
      </w:r>
    </w:p>
    <w:p w14:paraId="08A7167C">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E、质量监督部门在抽检时发出5个以上（含5个）由于工程质量原因通报的；</w:t>
      </w:r>
    </w:p>
    <w:p w14:paraId="74C9E45C">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F、业主组织的质量大检查发现由于工程质量原因而通报二次以上（含二次）的；</w:t>
      </w:r>
    </w:p>
    <w:p w14:paraId="6C6C0822">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4.6.7承包人必须严格塔吊、起重机等机械设备及货梯、提升机等机电设备的安装、拆卸和使用运行管理。必须落实持证上岗、专人操作、专人检查，严格落实每天操作前和操作后的检查，检查发现未落实相关措施和规定的，按违约金人民币2000元/次从工程进度款中扣除。</w:t>
      </w:r>
    </w:p>
    <w:p w14:paraId="16DEDDD1">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4.6.8承包人应加强生活用电管理，检查发现私拉乱接电线的，承包人须按人民币500元/次缴纳违约金给发包人。</w:t>
      </w:r>
    </w:p>
    <w:p w14:paraId="635954B6">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4.6.9承包人应加强建设范围内因雨季造成临时积水部位的管理，防止发生淹亡、溺亡事故，若因措施不严造成的后果全部由承包人承担。</w:t>
      </w:r>
    </w:p>
    <w:p w14:paraId="59A3A06B">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4.6.10国家发生疫情或其他重大风险期间，承包人不执行有关部门关于特殊时期管控规定、不落实相关措施的，承包人须按人民币1000元/人/次缴纳违约金给发包人。</w:t>
      </w:r>
    </w:p>
    <w:p w14:paraId="576AE173">
      <w:pPr>
        <w:spacing w:line="360" w:lineRule="auto"/>
        <w:ind w:firstLine="352" w:firstLineChars="147"/>
        <w:rPr>
          <w:rFonts w:hint="eastAsia" w:ascii="宋体" w:hAnsi="宋体" w:eastAsia="宋体" w:cs="宋体"/>
          <w:bCs/>
          <w:color w:val="auto"/>
          <w:sz w:val="24"/>
          <w:szCs w:val="24"/>
        </w:rPr>
      </w:pPr>
      <w:r>
        <w:rPr>
          <w:rFonts w:hint="eastAsia" w:ascii="宋体" w:hAnsi="宋体" w:eastAsia="宋体" w:cs="宋体"/>
          <w:bCs/>
          <w:color w:val="auto"/>
          <w:sz w:val="24"/>
          <w:szCs w:val="24"/>
        </w:rPr>
        <w:t>承包人因上述违约行为而须缴纳的违约金在工程进度款中或结算时一并扣除。</w:t>
      </w:r>
    </w:p>
    <w:p w14:paraId="598F6CAA">
      <w:pPr>
        <w:pStyle w:val="4"/>
        <w:spacing w:line="360" w:lineRule="auto"/>
        <w:ind w:firstLine="480" w:firstLineChars="200"/>
        <w:rPr>
          <w:rFonts w:hint="eastAsia" w:eastAsia="宋体"/>
          <w:color w:val="auto"/>
          <w:lang w:eastAsia="zh-CN"/>
        </w:rPr>
      </w:pPr>
      <w:r>
        <w:rPr>
          <w:rFonts w:hint="eastAsia" w:ascii="宋体" w:hAnsi="宋体" w:eastAsia="宋体" w:cs="宋体"/>
          <w:bCs/>
          <w:color w:val="auto"/>
          <w:sz w:val="24"/>
          <w:szCs w:val="24"/>
          <w:lang w:eastAsia="zh-CN"/>
        </w:rPr>
        <w:t>4.7专业工程发包：</w:t>
      </w:r>
      <w:r>
        <w:rPr>
          <w:rFonts w:hint="eastAsia" w:ascii="宋体" w:hAnsi="宋体" w:eastAsia="宋体" w:cs="宋体"/>
          <w:bCs/>
          <w:color w:val="auto"/>
          <w:sz w:val="24"/>
          <w:szCs w:val="24"/>
        </w:rPr>
        <w:t>合同范围内的工程未经发包人同意一律不得发包，一经发现，取消承包人的承包资格，由此引起的一切经济损失和法律责任由承包人自行承担。若有专业工程必须发包的，发包人不另行支付总包服务费；其发包合同由承包人与对方签订，发包人不参与承包人与对方之间的结算，该部分工程的造价仍按承包人与发包人签订的合同的有关条款进行结算。注：本项目包含电力部分及电力附属部分内容，应由执有电力相关专业资质的单位承接，若达到必须招标规模标准的，由中标人招标，招标人参与管理，确定电力专业工程承包人和合同价格。</w:t>
      </w:r>
    </w:p>
    <w:p w14:paraId="77873DBD">
      <w:pPr>
        <w:wordWrap w:val="0"/>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lang w:eastAsia="zh-CN"/>
        </w:rPr>
        <w:t>4.8</w:t>
      </w:r>
      <w:r>
        <w:rPr>
          <w:rFonts w:ascii="宋体" w:hAnsi="宋体" w:eastAsia="宋体" w:cs="宋体"/>
          <w:color w:val="auto"/>
          <w:sz w:val="24"/>
          <w:szCs w:val="24"/>
        </w:rPr>
        <w:t>质量保证</w:t>
      </w:r>
    </w:p>
    <w:p w14:paraId="2AE487EA">
      <w:pPr>
        <w:pStyle w:val="3"/>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4.8.1本招标项目缺陷责任期为1年（自通过竣工验收之日起计），在此期间预留金额为结算价3%的质量保证。</w:t>
      </w:r>
    </w:p>
    <w:p w14:paraId="571EFFF5">
      <w:pPr>
        <w:pStyle w:val="3"/>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4.8.2质量保证的形式包括质量保证金、质量保证担保、质量保证保险三种，由承包人自主选择。（1）采用质量保证金形式的，在结清审定总造价时一次性扣留相应金额作为质量保证金。（2）采用质量保证担保或质量保证保险的，承包人应在竣工验收时向发包人提交有效的商业保函、银行保函或保险合同（或保险单）原件，商业保函、银行保函或保险合同（或保险单）的有效期不得短于缺陷责任期。</w:t>
      </w:r>
    </w:p>
    <w:p w14:paraId="4DA122D3">
      <w:pPr>
        <w:pStyle w:val="3"/>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4.8.3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由他人原因造成的缺陷，发包人负责组织维修，承包人不承担费用，且发包人不得从质量保证中扣除费用。</w:t>
      </w:r>
    </w:p>
    <w:p w14:paraId="2BEEDBFE">
      <w:pPr>
        <w:pStyle w:val="3"/>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4.8.4缺陷责任期内，承包人应认真履行合同约定的责任。缺陷责任期到期后，承包人向发包人申请退还质量保证，发包人应按照《建设工程质量保证金管理办法》有关规定将质量保证退还给承包人。</w:t>
      </w:r>
    </w:p>
    <w:p w14:paraId="48EA7D14">
      <w:pPr>
        <w:spacing w:before="78" w:line="219" w:lineRule="auto"/>
        <w:jc w:val="center"/>
        <w:outlineLvl w:val="1"/>
      </w:pPr>
      <w:bookmarkStart w:id="139" w:name="_Toc7177"/>
      <w:r>
        <w:rPr>
          <w:rFonts w:ascii="宋体" w:hAnsi="宋体" w:eastAsia="宋体" w:cs="宋体"/>
          <w:b/>
          <w:bCs/>
          <w:spacing w:val="-3"/>
          <w:sz w:val="24"/>
          <w:szCs w:val="24"/>
        </w:rPr>
        <w:br w:type="page"/>
      </w:r>
      <w:r>
        <w:rPr>
          <w:rFonts w:ascii="宋体" w:hAnsi="宋体" w:eastAsia="宋体" w:cs="宋体"/>
          <w:b/>
          <w:bCs/>
          <w:spacing w:val="-3"/>
          <w:sz w:val="24"/>
          <w:szCs w:val="24"/>
        </w:rPr>
        <w:t>第四章</w:t>
      </w:r>
      <w:r>
        <w:rPr>
          <w:rFonts w:ascii="宋体" w:hAnsi="宋体" w:eastAsia="宋体" w:cs="宋体"/>
          <w:spacing w:val="-3"/>
          <w:sz w:val="24"/>
          <w:szCs w:val="24"/>
        </w:rPr>
        <w:t xml:space="preserve"> </w:t>
      </w:r>
      <w:r>
        <w:rPr>
          <w:rFonts w:ascii="宋体" w:hAnsi="宋体" w:eastAsia="宋体" w:cs="宋体"/>
          <w:b/>
          <w:bCs/>
          <w:spacing w:val="-3"/>
          <w:sz w:val="24"/>
          <w:szCs w:val="24"/>
        </w:rPr>
        <w:t>技术要求</w:t>
      </w:r>
      <w:bookmarkEnd w:id="139"/>
    </w:p>
    <w:p w14:paraId="529824B6">
      <w:pPr>
        <w:spacing w:before="78" w:line="221" w:lineRule="auto"/>
        <w:ind w:left="125"/>
        <w:outlineLvl w:val="2"/>
        <w:rPr>
          <w:rFonts w:ascii="宋体" w:hAnsi="宋体" w:eastAsia="宋体" w:cs="宋体"/>
          <w:sz w:val="24"/>
          <w:szCs w:val="24"/>
        </w:rPr>
      </w:pPr>
      <w:bookmarkStart w:id="140" w:name="_Toc25005"/>
      <w:r>
        <w:rPr>
          <w:rFonts w:ascii="Times New Roman" w:hAnsi="Times New Roman" w:eastAsia="Times New Roman" w:cs="Times New Roman"/>
          <w:b/>
          <w:bCs/>
          <w:spacing w:val="-6"/>
          <w:sz w:val="24"/>
          <w:szCs w:val="24"/>
        </w:rPr>
        <w:t>1</w:t>
      </w:r>
      <w:r>
        <w:rPr>
          <w:rFonts w:ascii="Times New Roman" w:hAnsi="Times New Roman" w:eastAsia="Times New Roman" w:cs="Times New Roman"/>
          <w:b/>
          <w:bCs/>
          <w:spacing w:val="-23"/>
          <w:sz w:val="24"/>
          <w:szCs w:val="24"/>
        </w:rPr>
        <w:t xml:space="preserve"> </w:t>
      </w:r>
      <w:r>
        <w:rPr>
          <w:rFonts w:ascii="宋体" w:hAnsi="宋体" w:eastAsia="宋体" w:cs="宋体"/>
          <w:b/>
          <w:bCs/>
          <w:spacing w:val="-6"/>
          <w:sz w:val="24"/>
          <w:szCs w:val="24"/>
        </w:rPr>
        <w:t>．房屋建筑工程建设项目</w:t>
      </w:r>
      <w:bookmarkEnd w:id="140"/>
    </w:p>
    <w:p w14:paraId="32697676">
      <w:pPr>
        <w:spacing w:before="152" w:line="220" w:lineRule="auto"/>
        <w:ind w:left="120"/>
        <w:rPr>
          <w:rFonts w:ascii="宋体" w:hAnsi="宋体" w:eastAsia="宋体" w:cs="宋体"/>
          <w:sz w:val="24"/>
          <w:szCs w:val="24"/>
        </w:rPr>
      </w:pPr>
      <w:r>
        <w:rPr>
          <w:rFonts w:ascii="宋体" w:hAnsi="宋体" w:eastAsia="宋体" w:cs="宋体"/>
          <w:spacing w:val="-1"/>
          <w:sz w:val="24"/>
          <w:szCs w:val="24"/>
        </w:rPr>
        <w:t>房屋建筑工程建设项目必须执行的现行技术规范，包括且不限于：</w:t>
      </w:r>
    </w:p>
    <w:p w14:paraId="118C8417">
      <w:pPr>
        <w:spacing w:before="155" w:line="220" w:lineRule="auto"/>
        <w:ind w:left="13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）《建筑工程施工质量验收统一标准》；</w:t>
      </w:r>
    </w:p>
    <w:p w14:paraId="69504B41">
      <w:pPr>
        <w:spacing w:before="153" w:line="220" w:lineRule="auto"/>
        <w:ind w:left="13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）《建筑地基基础工程施工质量验收规范》；</w:t>
      </w:r>
    </w:p>
    <w:p w14:paraId="154BC0BC">
      <w:pPr>
        <w:spacing w:before="153" w:line="220" w:lineRule="auto"/>
        <w:ind w:left="13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）《砌体工程施工质量验收规范》；</w:t>
      </w:r>
    </w:p>
    <w:p w14:paraId="5DD739FE">
      <w:pPr>
        <w:spacing w:before="155" w:line="220" w:lineRule="auto"/>
        <w:ind w:left="13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）《混凝土结构工程施工质量验收规范》；</w:t>
      </w:r>
    </w:p>
    <w:p w14:paraId="61CBE77B">
      <w:pPr>
        <w:spacing w:before="153" w:line="220" w:lineRule="auto"/>
        <w:ind w:left="13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）《屋面工程质量验收规范》；</w:t>
      </w:r>
    </w:p>
    <w:p w14:paraId="74336135">
      <w:pPr>
        <w:spacing w:before="153" w:line="220" w:lineRule="auto"/>
        <w:ind w:left="13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6</w:t>
      </w:r>
      <w:r>
        <w:rPr>
          <w:rFonts w:ascii="宋体" w:hAnsi="宋体" w:eastAsia="宋体" w:cs="宋体"/>
          <w:spacing w:val="-2"/>
          <w:sz w:val="24"/>
          <w:szCs w:val="24"/>
        </w:rPr>
        <w:t>）《地下防水工程质量验收规范》；</w:t>
      </w:r>
    </w:p>
    <w:p w14:paraId="315DE46C">
      <w:pPr>
        <w:spacing w:before="156" w:line="220" w:lineRule="auto"/>
        <w:ind w:left="13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7</w:t>
      </w:r>
      <w:r>
        <w:rPr>
          <w:rFonts w:ascii="宋体" w:hAnsi="宋体" w:eastAsia="宋体" w:cs="宋体"/>
          <w:spacing w:val="-2"/>
          <w:sz w:val="24"/>
          <w:szCs w:val="24"/>
        </w:rPr>
        <w:t>）《建筑地面工程施工质量验收规范》；</w:t>
      </w:r>
    </w:p>
    <w:p w14:paraId="0C5CEE2B">
      <w:pPr>
        <w:spacing w:before="153" w:line="220" w:lineRule="auto"/>
        <w:ind w:left="13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8</w:t>
      </w:r>
      <w:r>
        <w:rPr>
          <w:rFonts w:ascii="宋体" w:hAnsi="宋体" w:eastAsia="宋体" w:cs="宋体"/>
          <w:spacing w:val="-1"/>
          <w:sz w:val="24"/>
          <w:szCs w:val="24"/>
        </w:rPr>
        <w:t>）《建筑装饰装修工程施工质量验收规范》；</w:t>
      </w:r>
    </w:p>
    <w:p w14:paraId="537ACA8E">
      <w:pPr>
        <w:spacing w:before="153" w:line="219" w:lineRule="auto"/>
        <w:ind w:left="13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9</w:t>
      </w:r>
      <w:r>
        <w:rPr>
          <w:rFonts w:ascii="宋体" w:hAnsi="宋体" w:eastAsia="宋体" w:cs="宋体"/>
          <w:spacing w:val="-1"/>
          <w:sz w:val="24"/>
          <w:szCs w:val="24"/>
        </w:rPr>
        <w:t>）《建筑给排水及采暖工程施工质量验收规范》；</w:t>
      </w:r>
    </w:p>
    <w:p w14:paraId="654AEFC3">
      <w:pPr>
        <w:spacing w:before="153" w:line="219" w:lineRule="auto"/>
        <w:ind w:left="130"/>
        <w:rPr>
          <w:rFonts w:ascii="宋体" w:hAnsi="宋体" w:eastAsia="宋体" w:cs="宋体"/>
          <w:spacing w:val="-1"/>
          <w:sz w:val="24"/>
          <w:szCs w:val="24"/>
        </w:rPr>
      </w:pPr>
      <w:r>
        <w:rPr>
          <w:rFonts w:ascii="宋体" w:hAnsi="宋体" w:eastAsia="宋体" w:cs="宋体"/>
          <w:spacing w:val="-1"/>
          <w:sz w:val="24"/>
          <w:szCs w:val="24"/>
        </w:rPr>
        <w:t>（10）《建筑电气工程施工质量验收规范》；</w:t>
      </w:r>
    </w:p>
    <w:p w14:paraId="3B71416A">
      <w:pPr>
        <w:spacing w:before="153" w:line="219" w:lineRule="auto"/>
        <w:ind w:left="130"/>
        <w:rPr>
          <w:rFonts w:ascii="宋体" w:hAnsi="宋体" w:eastAsia="宋体" w:cs="宋体"/>
          <w:spacing w:val="-1"/>
          <w:sz w:val="24"/>
          <w:szCs w:val="24"/>
        </w:rPr>
      </w:pPr>
      <w:r>
        <w:rPr>
          <w:rFonts w:ascii="宋体" w:hAnsi="宋体" w:eastAsia="宋体" w:cs="宋体"/>
          <w:spacing w:val="-1"/>
          <w:sz w:val="24"/>
          <w:szCs w:val="24"/>
        </w:rPr>
        <w:t>（11）《住建部绿色建筑评价标准》；</w:t>
      </w:r>
    </w:p>
    <w:p w14:paraId="4533C5E9">
      <w:pPr>
        <w:spacing w:before="153" w:line="219" w:lineRule="auto"/>
        <w:ind w:left="130"/>
        <w:rPr>
          <w:rFonts w:ascii="宋体" w:hAnsi="宋体" w:eastAsia="宋体" w:cs="宋体"/>
          <w:spacing w:val="-1"/>
          <w:sz w:val="24"/>
          <w:szCs w:val="24"/>
        </w:rPr>
      </w:pPr>
      <w:r>
        <w:rPr>
          <w:rFonts w:ascii="宋体" w:hAnsi="宋体" w:eastAsia="宋体" w:cs="宋体"/>
          <w:spacing w:val="-1"/>
          <w:sz w:val="24"/>
          <w:szCs w:val="24"/>
        </w:rPr>
        <w:t>（12）《建筑节能与可再生能源利用通用规范》（GB55015-2021）；</w:t>
      </w:r>
    </w:p>
    <w:p w14:paraId="3DA2D933">
      <w:pPr>
        <w:spacing w:before="153" w:line="219" w:lineRule="auto"/>
        <w:ind w:left="130"/>
        <w:rPr>
          <w:rFonts w:ascii="宋体" w:hAnsi="宋体" w:eastAsia="宋体" w:cs="宋体"/>
          <w:spacing w:val="-1"/>
          <w:sz w:val="24"/>
          <w:szCs w:val="24"/>
        </w:rPr>
      </w:pPr>
      <w:r>
        <w:rPr>
          <w:rFonts w:ascii="宋体" w:hAnsi="宋体" w:eastAsia="宋体" w:cs="宋体"/>
          <w:spacing w:val="-1"/>
          <w:sz w:val="24"/>
          <w:szCs w:val="24"/>
        </w:rPr>
        <w:t>（13）《建筑环境通用规范》；</w:t>
      </w:r>
    </w:p>
    <w:p w14:paraId="78F238FE">
      <w:pPr>
        <w:spacing w:before="153" w:line="219" w:lineRule="auto"/>
        <w:ind w:left="130"/>
        <w:rPr>
          <w:rFonts w:ascii="宋体" w:hAnsi="宋体" w:eastAsia="宋体" w:cs="宋体"/>
          <w:spacing w:val="-1"/>
          <w:sz w:val="24"/>
          <w:szCs w:val="24"/>
        </w:rPr>
      </w:pPr>
      <w:bookmarkStart w:id="141" w:name="_Toc16294"/>
      <w:bookmarkStart w:id="142" w:name="_Toc12084"/>
      <w:r>
        <w:rPr>
          <w:rFonts w:ascii="宋体" w:hAnsi="宋体" w:eastAsia="宋体" w:cs="宋体"/>
          <w:spacing w:val="-1"/>
          <w:sz w:val="24"/>
          <w:szCs w:val="24"/>
        </w:rPr>
        <w:t>（14）《建筑与市政工程无障碍通用规范》 GB 55019-2021；</w:t>
      </w:r>
      <w:bookmarkEnd w:id="141"/>
      <w:bookmarkEnd w:id="142"/>
    </w:p>
    <w:p w14:paraId="3B6C318F">
      <w:pPr>
        <w:spacing w:before="153" w:line="219" w:lineRule="auto"/>
        <w:ind w:left="130"/>
        <w:rPr>
          <w:rFonts w:ascii="宋体" w:hAnsi="宋体" w:eastAsia="宋体" w:cs="宋体"/>
          <w:spacing w:val="-1"/>
          <w:sz w:val="24"/>
          <w:szCs w:val="24"/>
        </w:rPr>
      </w:pPr>
      <w:bookmarkStart w:id="143" w:name="_Toc15158"/>
      <w:bookmarkStart w:id="144" w:name="_Toc1177"/>
      <w:r>
        <w:rPr>
          <w:rFonts w:ascii="宋体" w:hAnsi="宋体" w:eastAsia="宋体" w:cs="宋体"/>
          <w:spacing w:val="-1"/>
          <w:sz w:val="24"/>
          <w:szCs w:val="24"/>
        </w:rPr>
        <w:t>（15）《建筑防火通用规范》GB 55037-2022;</w:t>
      </w:r>
      <w:bookmarkEnd w:id="143"/>
      <w:bookmarkEnd w:id="144"/>
    </w:p>
    <w:p w14:paraId="1166EF04">
      <w:pPr>
        <w:spacing w:before="153" w:line="219" w:lineRule="auto"/>
        <w:ind w:left="130"/>
        <w:rPr>
          <w:rFonts w:ascii="宋体" w:hAnsi="宋体" w:eastAsia="宋体" w:cs="宋体"/>
          <w:spacing w:val="-1"/>
          <w:sz w:val="24"/>
          <w:szCs w:val="24"/>
        </w:rPr>
      </w:pPr>
      <w:bookmarkStart w:id="145" w:name="_Toc2461"/>
      <w:bookmarkStart w:id="146" w:name="_Toc24233"/>
      <w:r>
        <w:rPr>
          <w:rFonts w:ascii="宋体" w:hAnsi="宋体" w:eastAsia="宋体" w:cs="宋体"/>
          <w:spacing w:val="-1"/>
          <w:sz w:val="24"/>
          <w:szCs w:val="24"/>
        </w:rPr>
        <w:t>（16）《建筑与市政工程抗震通用规范》GB55002-2001;</w:t>
      </w:r>
      <w:bookmarkEnd w:id="145"/>
      <w:bookmarkEnd w:id="146"/>
    </w:p>
    <w:p w14:paraId="6B9C01E4">
      <w:pPr>
        <w:spacing w:before="153" w:line="219" w:lineRule="auto"/>
        <w:ind w:left="130"/>
        <w:rPr>
          <w:rFonts w:ascii="宋体" w:hAnsi="宋体" w:eastAsia="宋体" w:cs="宋体"/>
          <w:spacing w:val="-1"/>
          <w:sz w:val="24"/>
          <w:szCs w:val="24"/>
        </w:rPr>
      </w:pPr>
      <w:bookmarkStart w:id="147" w:name="_Toc5777"/>
      <w:bookmarkStart w:id="148" w:name="_Toc8109"/>
      <w:r>
        <w:rPr>
          <w:rFonts w:ascii="宋体" w:hAnsi="宋体" w:eastAsia="宋体" w:cs="宋体"/>
          <w:spacing w:val="-1"/>
          <w:sz w:val="24"/>
          <w:szCs w:val="24"/>
        </w:rPr>
        <w:t>（17）《建筑与市政地基基础通用规范》GB55003-2001;</w:t>
      </w:r>
      <w:bookmarkEnd w:id="147"/>
      <w:bookmarkEnd w:id="148"/>
    </w:p>
    <w:p w14:paraId="1AF6F26F">
      <w:pPr>
        <w:spacing w:before="153" w:line="219" w:lineRule="auto"/>
        <w:ind w:left="130"/>
        <w:rPr>
          <w:rFonts w:ascii="宋体" w:hAnsi="宋体" w:eastAsia="宋体" w:cs="宋体"/>
          <w:spacing w:val="-1"/>
          <w:sz w:val="24"/>
          <w:szCs w:val="24"/>
        </w:rPr>
      </w:pPr>
      <w:r>
        <w:rPr>
          <w:rFonts w:ascii="宋体" w:hAnsi="宋体" w:eastAsia="宋体" w:cs="宋体"/>
          <w:spacing w:val="-1"/>
          <w:sz w:val="24"/>
          <w:szCs w:val="24"/>
        </w:rPr>
        <w:t>（18）《广东省住房和城乡建设厅绿色施工导则》；</w:t>
      </w:r>
    </w:p>
    <w:p w14:paraId="066F3F4C">
      <w:pPr>
        <w:spacing w:before="153" w:line="219" w:lineRule="auto"/>
        <w:ind w:left="130"/>
        <w:rPr>
          <w:rFonts w:ascii="宋体" w:hAnsi="宋体" w:eastAsia="宋体" w:cs="宋体"/>
          <w:spacing w:val="-1"/>
          <w:sz w:val="24"/>
          <w:szCs w:val="24"/>
        </w:rPr>
      </w:pPr>
      <w:r>
        <w:rPr>
          <w:rFonts w:ascii="宋体" w:hAnsi="宋体" w:eastAsia="宋体" w:cs="宋体"/>
          <w:spacing w:val="-1"/>
          <w:sz w:val="24"/>
          <w:szCs w:val="24"/>
        </w:rPr>
        <w:t>（19）《广东省建筑工程绿色施工评价标准》；</w:t>
      </w:r>
    </w:p>
    <w:p w14:paraId="1BF29E69">
      <w:pPr>
        <w:spacing w:before="153" w:line="219" w:lineRule="auto"/>
        <w:ind w:left="130"/>
        <w:rPr>
          <w:rFonts w:ascii="宋体" w:hAnsi="宋体" w:eastAsia="宋体" w:cs="宋体"/>
          <w:spacing w:val="-1"/>
          <w:sz w:val="24"/>
          <w:szCs w:val="24"/>
        </w:rPr>
      </w:pPr>
      <w:r>
        <w:rPr>
          <w:rFonts w:ascii="宋体" w:hAnsi="宋体" w:eastAsia="宋体" w:cs="宋体"/>
          <w:spacing w:val="-1"/>
          <w:sz w:val="24"/>
          <w:szCs w:val="24"/>
        </w:rPr>
        <w:t>（20）《广东省建筑节能与绿色建筑工程施工质量验收规范》</w:t>
      </w:r>
    </w:p>
    <w:p w14:paraId="1EF13A8B">
      <w:pPr>
        <w:spacing w:before="153" w:line="219" w:lineRule="auto"/>
        <w:ind w:left="130"/>
        <w:rPr>
          <w:rFonts w:ascii="宋体" w:hAnsi="宋体" w:eastAsia="宋体" w:cs="宋体"/>
          <w:sz w:val="24"/>
          <w:szCs w:val="24"/>
        </w:rPr>
      </w:pPr>
      <w:r>
        <w:rPr>
          <w:rFonts w:ascii="宋体" w:hAnsi="宋体" w:eastAsia="宋体" w:cs="宋体"/>
          <w:spacing w:val="-1"/>
          <w:sz w:val="24"/>
          <w:szCs w:val="24"/>
        </w:rPr>
        <w:t>（21）其他现行国家、广东省关于房建工程的施工及验收规范、定额</w:t>
      </w:r>
      <w:r>
        <w:rPr>
          <w:rFonts w:ascii="宋体" w:hAnsi="宋体" w:eastAsia="宋体" w:cs="宋体"/>
          <w:color w:val="auto"/>
          <w:spacing w:val="-6"/>
          <w:sz w:val="24"/>
          <w:szCs w:val="24"/>
        </w:rPr>
        <w:t>、规</w:t>
      </w:r>
      <w:r>
        <w:rPr>
          <w:rFonts w:ascii="宋体" w:hAnsi="宋体" w:eastAsia="宋体" w:cs="宋体"/>
          <w:spacing w:val="-6"/>
          <w:sz w:val="24"/>
          <w:szCs w:val="24"/>
        </w:rPr>
        <w:t>程、标准。</w:t>
      </w:r>
    </w:p>
    <w:p w14:paraId="04F97122">
      <w:pPr>
        <w:pStyle w:val="5"/>
        <w:spacing w:line="256" w:lineRule="auto"/>
      </w:pPr>
    </w:p>
    <w:p w14:paraId="17E2C89B">
      <w:pPr>
        <w:pStyle w:val="5"/>
        <w:spacing w:line="257" w:lineRule="auto"/>
      </w:pPr>
    </w:p>
    <w:p w14:paraId="197D0E46">
      <w:pPr>
        <w:spacing w:before="78" w:line="220" w:lineRule="auto"/>
        <w:ind w:left="115"/>
        <w:outlineLvl w:val="2"/>
        <w:rPr>
          <w:rFonts w:ascii="宋体" w:hAnsi="宋体" w:eastAsia="宋体" w:cs="宋体"/>
          <w:sz w:val="24"/>
          <w:szCs w:val="24"/>
        </w:rPr>
      </w:pPr>
      <w:bookmarkStart w:id="149" w:name="_Toc22762"/>
      <w:r>
        <w:rPr>
          <w:rFonts w:ascii="Times New Roman" w:hAnsi="Times New Roman" w:eastAsia="Times New Roman" w:cs="Times New Roman"/>
          <w:b/>
          <w:bCs/>
          <w:spacing w:val="-5"/>
          <w:sz w:val="24"/>
          <w:szCs w:val="24"/>
        </w:rPr>
        <w:t>2</w:t>
      </w:r>
      <w:r>
        <w:rPr>
          <w:rFonts w:ascii="Times New Roman" w:hAnsi="Times New Roman" w:eastAsia="Times New Roman" w:cs="Times New Roman"/>
          <w:b/>
          <w:bCs/>
          <w:spacing w:val="-18"/>
          <w:sz w:val="24"/>
          <w:szCs w:val="24"/>
        </w:rPr>
        <w:t xml:space="preserve"> </w:t>
      </w:r>
      <w:r>
        <w:rPr>
          <w:rFonts w:ascii="宋体" w:hAnsi="宋体" w:eastAsia="宋体" w:cs="宋体"/>
          <w:b/>
          <w:bCs/>
          <w:spacing w:val="-5"/>
          <w:sz w:val="24"/>
          <w:szCs w:val="24"/>
        </w:rPr>
        <w:t>．市政基础设施工程建设项目</w:t>
      </w:r>
      <w:bookmarkEnd w:id="149"/>
    </w:p>
    <w:p w14:paraId="67F23DFA">
      <w:pPr>
        <w:spacing w:before="154" w:line="220" w:lineRule="auto"/>
        <w:ind w:left="125"/>
        <w:rPr>
          <w:rFonts w:ascii="宋体" w:hAnsi="宋体" w:eastAsia="宋体" w:cs="宋体"/>
          <w:sz w:val="24"/>
          <w:szCs w:val="24"/>
        </w:rPr>
      </w:pPr>
      <w:r>
        <w:rPr>
          <w:rFonts w:ascii="宋体" w:hAnsi="宋体" w:eastAsia="宋体" w:cs="宋体"/>
          <w:spacing w:val="-1"/>
          <w:sz w:val="24"/>
          <w:szCs w:val="24"/>
        </w:rPr>
        <w:t>市政基础设施工程建设项目必须执行的现行技术规范，包括且不限于：</w:t>
      </w:r>
    </w:p>
    <w:p w14:paraId="007D1C0A">
      <w:pPr>
        <w:spacing w:before="155" w:line="220" w:lineRule="auto"/>
        <w:ind w:left="13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）《公路路基施工技术规范》；</w:t>
      </w:r>
    </w:p>
    <w:p w14:paraId="0C5C2F23">
      <w:pPr>
        <w:spacing w:before="153" w:line="220" w:lineRule="auto"/>
        <w:ind w:left="13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）《市政道路工程质量检验评定标准》；</w:t>
      </w:r>
    </w:p>
    <w:p w14:paraId="4D310B69">
      <w:pPr>
        <w:spacing w:before="154" w:line="220" w:lineRule="auto"/>
        <w:ind w:left="13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）《市政排水管渠工程质量检验评定标准》；</w:t>
      </w:r>
    </w:p>
    <w:p w14:paraId="73A68E78">
      <w:pPr>
        <w:spacing w:before="155" w:line="220" w:lineRule="auto"/>
        <w:ind w:left="13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）《给水排水管道工程施工及验收规范》；</w:t>
      </w:r>
    </w:p>
    <w:p w14:paraId="4EB8A74D">
      <w:pPr>
        <w:spacing w:line="220" w:lineRule="auto"/>
        <w:rPr>
          <w:rFonts w:ascii="宋体" w:hAnsi="宋体" w:eastAsia="宋体" w:cs="宋体"/>
          <w:sz w:val="24"/>
          <w:szCs w:val="24"/>
        </w:rPr>
        <w:sectPr>
          <w:footerReference r:id="rId13" w:type="default"/>
          <w:pgSz w:w="11906" w:h="16839"/>
          <w:pgMar w:top="720" w:right="720" w:bottom="720" w:left="720" w:header="0" w:footer="1023" w:gutter="0"/>
          <w:cols w:space="720" w:num="1"/>
        </w:sectPr>
      </w:pPr>
    </w:p>
    <w:p w14:paraId="244E550F">
      <w:pPr>
        <w:spacing w:before="78" w:line="220" w:lineRule="auto"/>
        <w:ind w:left="491"/>
        <w:rPr>
          <w:rFonts w:ascii="宋体" w:hAnsi="宋体" w:eastAsia="宋体" w:cs="宋体"/>
          <w:sz w:val="24"/>
          <w:szCs w:val="24"/>
        </w:rPr>
      </w:pPr>
      <w:bookmarkStart w:id="150" w:name="bookmark146"/>
      <w:bookmarkEnd w:id="150"/>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）《城市道路路基工程施工及验收规范》；</w:t>
      </w:r>
    </w:p>
    <w:p w14:paraId="086C7199">
      <w:pPr>
        <w:spacing w:before="155" w:line="220" w:lineRule="auto"/>
        <w:ind w:left="491"/>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6</w:t>
      </w:r>
      <w:r>
        <w:rPr>
          <w:rFonts w:ascii="宋体" w:hAnsi="宋体" w:eastAsia="宋体" w:cs="宋体"/>
          <w:spacing w:val="-2"/>
          <w:sz w:val="24"/>
          <w:szCs w:val="24"/>
        </w:rPr>
        <w:t>）《水泥砼路面施工及验收规范》；</w:t>
      </w:r>
    </w:p>
    <w:p w14:paraId="2B382DF1">
      <w:pPr>
        <w:spacing w:before="153" w:line="220" w:lineRule="auto"/>
        <w:ind w:left="491"/>
        <w:rPr>
          <w:rFonts w:ascii="宋体" w:hAnsi="宋体" w:eastAsia="宋体" w:cs="宋体"/>
          <w:color w:val="auto"/>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7</w:t>
      </w:r>
      <w:r>
        <w:rPr>
          <w:rFonts w:ascii="宋体" w:hAnsi="宋体" w:eastAsia="宋体" w:cs="宋体"/>
          <w:spacing w:val="-2"/>
          <w:sz w:val="24"/>
          <w:szCs w:val="24"/>
        </w:rPr>
        <w:t>）《</w:t>
      </w:r>
      <w:r>
        <w:rPr>
          <w:rFonts w:ascii="宋体" w:hAnsi="宋体" w:eastAsia="宋体" w:cs="宋体"/>
          <w:color w:val="auto"/>
          <w:spacing w:val="-2"/>
          <w:sz w:val="24"/>
          <w:szCs w:val="24"/>
        </w:rPr>
        <w:t>公路水泥砼路面施工技术规范》；</w:t>
      </w:r>
    </w:p>
    <w:p w14:paraId="215ABBF1">
      <w:pPr>
        <w:spacing w:before="153" w:line="220" w:lineRule="auto"/>
        <w:ind w:left="491"/>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8</w:t>
      </w:r>
      <w:r>
        <w:rPr>
          <w:rFonts w:ascii="宋体" w:hAnsi="宋体" w:eastAsia="宋体" w:cs="宋体"/>
          <w:color w:val="auto"/>
          <w:spacing w:val="-1"/>
          <w:sz w:val="24"/>
          <w:szCs w:val="24"/>
        </w:rPr>
        <w:t>）《埋地硬聚氯乙烯排水管道工程技术规程》；</w:t>
      </w:r>
    </w:p>
    <w:p w14:paraId="02F2D351">
      <w:pPr>
        <w:spacing w:before="122" w:line="219" w:lineRule="auto"/>
        <w:ind w:left="491"/>
        <w:rPr>
          <w:rFonts w:ascii="宋体" w:hAnsi="宋体" w:eastAsia="宋体" w:cs="宋体"/>
          <w:color w:val="auto"/>
          <w:sz w:val="24"/>
          <w:szCs w:val="24"/>
        </w:rPr>
      </w:pPr>
      <w:r>
        <w:rPr>
          <w:rFonts w:ascii="宋体" w:hAnsi="宋体" w:eastAsia="宋体" w:cs="宋体"/>
          <w:color w:val="auto"/>
          <w:spacing w:val="-2"/>
          <w:sz w:val="24"/>
          <w:szCs w:val="24"/>
        </w:rPr>
        <w:t>（</w:t>
      </w:r>
      <w:r>
        <w:rPr>
          <w:rFonts w:ascii="Times New Roman" w:hAnsi="Times New Roman" w:eastAsia="Times New Roman" w:cs="Times New Roman"/>
          <w:color w:val="auto"/>
          <w:spacing w:val="-2"/>
          <w:sz w:val="24"/>
          <w:szCs w:val="24"/>
        </w:rPr>
        <w:t>9</w:t>
      </w:r>
      <w:r>
        <w:rPr>
          <w:rFonts w:ascii="宋体" w:hAnsi="宋体" w:eastAsia="宋体" w:cs="宋体"/>
          <w:color w:val="auto"/>
          <w:spacing w:val="-2"/>
          <w:sz w:val="24"/>
          <w:szCs w:val="24"/>
        </w:rPr>
        <w:t>）《沥青路面施工及验收规范》；</w:t>
      </w:r>
    </w:p>
    <w:p w14:paraId="4390EA40">
      <w:pPr>
        <w:spacing w:before="153" w:line="220" w:lineRule="auto"/>
        <w:ind w:left="491"/>
        <w:rPr>
          <w:rFonts w:ascii="宋体" w:hAnsi="宋体" w:eastAsia="宋体" w:cs="宋体"/>
          <w:spacing w:val="-2"/>
          <w:sz w:val="24"/>
          <w:szCs w:val="24"/>
        </w:rPr>
      </w:pPr>
      <w:r>
        <w:rPr>
          <w:rFonts w:ascii="宋体" w:hAnsi="宋体" w:eastAsia="宋体" w:cs="宋体"/>
          <w:spacing w:val="-2"/>
          <w:sz w:val="24"/>
          <w:szCs w:val="24"/>
        </w:rPr>
        <w:t>（10）《广东省市政工程施工质量技术资料统一用表》。</w:t>
      </w:r>
    </w:p>
    <w:p w14:paraId="5D8FB14C">
      <w:pPr>
        <w:spacing w:before="153" w:line="220" w:lineRule="auto"/>
        <w:ind w:left="491"/>
        <w:rPr>
          <w:rFonts w:ascii="宋体" w:hAnsi="宋体" w:eastAsia="宋体" w:cs="宋体"/>
          <w:spacing w:val="-2"/>
          <w:sz w:val="24"/>
          <w:szCs w:val="24"/>
        </w:rPr>
      </w:pPr>
      <w:bookmarkStart w:id="151" w:name="_Toc30781"/>
      <w:bookmarkStart w:id="152" w:name="_Toc8494"/>
      <w:r>
        <w:rPr>
          <w:rFonts w:ascii="宋体" w:hAnsi="宋体" w:eastAsia="宋体" w:cs="宋体"/>
          <w:spacing w:val="-2"/>
          <w:sz w:val="24"/>
          <w:szCs w:val="24"/>
        </w:rPr>
        <w:t>（11）《建筑与市政工程无障碍通用规范》 GB 55019-2021；</w:t>
      </w:r>
      <w:bookmarkEnd w:id="151"/>
      <w:bookmarkEnd w:id="152"/>
    </w:p>
    <w:p w14:paraId="70FF0CF1">
      <w:pPr>
        <w:spacing w:before="153" w:line="220" w:lineRule="auto"/>
        <w:ind w:left="491"/>
        <w:rPr>
          <w:rFonts w:ascii="宋体" w:hAnsi="宋体" w:eastAsia="宋体" w:cs="宋体"/>
          <w:spacing w:val="-2"/>
          <w:sz w:val="24"/>
          <w:szCs w:val="24"/>
        </w:rPr>
      </w:pPr>
      <w:bookmarkStart w:id="153" w:name="_Toc31143"/>
      <w:bookmarkStart w:id="154" w:name="_Toc17383"/>
      <w:r>
        <w:rPr>
          <w:rFonts w:ascii="宋体" w:hAnsi="宋体" w:eastAsia="宋体" w:cs="宋体"/>
          <w:spacing w:val="-2"/>
          <w:sz w:val="24"/>
          <w:szCs w:val="24"/>
        </w:rPr>
        <w:t>（12）《建筑防火通用规范》GB 55037-2022;</w:t>
      </w:r>
      <w:bookmarkEnd w:id="153"/>
      <w:bookmarkEnd w:id="154"/>
    </w:p>
    <w:p w14:paraId="73C2BFC8">
      <w:pPr>
        <w:spacing w:before="153" w:line="220" w:lineRule="auto"/>
        <w:ind w:left="491"/>
        <w:rPr>
          <w:rFonts w:ascii="宋体" w:hAnsi="宋体" w:eastAsia="宋体" w:cs="宋体"/>
          <w:spacing w:val="-2"/>
          <w:sz w:val="24"/>
          <w:szCs w:val="24"/>
        </w:rPr>
      </w:pPr>
      <w:bookmarkStart w:id="155" w:name="_Toc32476"/>
      <w:bookmarkStart w:id="156" w:name="_Toc954"/>
      <w:r>
        <w:rPr>
          <w:rFonts w:ascii="宋体" w:hAnsi="宋体" w:eastAsia="宋体" w:cs="宋体"/>
          <w:spacing w:val="-2"/>
          <w:sz w:val="24"/>
          <w:szCs w:val="24"/>
        </w:rPr>
        <w:t>（13）《建筑与市政工程抗震通用规范》GB55002-2001;</w:t>
      </w:r>
      <w:bookmarkEnd w:id="155"/>
      <w:bookmarkEnd w:id="156"/>
    </w:p>
    <w:p w14:paraId="5EABA66B">
      <w:pPr>
        <w:spacing w:before="153" w:line="220" w:lineRule="auto"/>
        <w:ind w:left="491"/>
        <w:rPr>
          <w:rFonts w:ascii="宋体" w:hAnsi="宋体" w:eastAsia="宋体" w:cs="宋体"/>
          <w:spacing w:val="-2"/>
          <w:sz w:val="24"/>
          <w:szCs w:val="24"/>
        </w:rPr>
      </w:pPr>
      <w:bookmarkStart w:id="157" w:name="_Toc27898"/>
      <w:bookmarkStart w:id="158" w:name="_Toc7185"/>
      <w:r>
        <w:rPr>
          <w:rFonts w:ascii="宋体" w:hAnsi="宋体" w:eastAsia="宋体" w:cs="宋体"/>
          <w:spacing w:val="-2"/>
          <w:sz w:val="24"/>
          <w:szCs w:val="24"/>
        </w:rPr>
        <w:t>（14）《建筑与市政地基基础通用规范》GB55003-2001;</w:t>
      </w:r>
      <w:bookmarkEnd w:id="157"/>
      <w:bookmarkEnd w:id="158"/>
    </w:p>
    <w:p w14:paraId="77250B2F">
      <w:pPr>
        <w:spacing w:before="153" w:line="220" w:lineRule="auto"/>
        <w:ind w:left="491"/>
        <w:rPr>
          <w:rFonts w:ascii="宋体" w:hAnsi="宋体" w:eastAsia="宋体" w:cs="宋体"/>
          <w:spacing w:val="-2"/>
          <w:sz w:val="24"/>
          <w:szCs w:val="24"/>
        </w:rPr>
      </w:pPr>
      <w:bookmarkStart w:id="159" w:name="_Toc29669"/>
      <w:bookmarkStart w:id="160" w:name="_Toc17281"/>
      <w:r>
        <w:rPr>
          <w:rFonts w:ascii="宋体" w:hAnsi="宋体" w:eastAsia="宋体" w:cs="宋体"/>
          <w:spacing w:val="-2"/>
          <w:sz w:val="24"/>
          <w:szCs w:val="24"/>
        </w:rPr>
        <w:t>（15）《城市道路照明设计标准》（CJJ45-2015）；</w:t>
      </w:r>
      <w:bookmarkEnd w:id="159"/>
      <w:bookmarkEnd w:id="160"/>
    </w:p>
    <w:p w14:paraId="1820BB85">
      <w:pPr>
        <w:spacing w:before="153" w:line="220" w:lineRule="auto"/>
        <w:ind w:left="491"/>
        <w:rPr>
          <w:rFonts w:ascii="宋体" w:hAnsi="宋体" w:eastAsia="宋体" w:cs="宋体"/>
          <w:spacing w:val="-2"/>
          <w:sz w:val="24"/>
          <w:szCs w:val="24"/>
        </w:rPr>
      </w:pPr>
      <w:bookmarkStart w:id="161" w:name="_Toc9161"/>
      <w:bookmarkStart w:id="162" w:name="_Toc31812"/>
      <w:r>
        <w:rPr>
          <w:rFonts w:ascii="宋体" w:hAnsi="宋体" w:eastAsia="宋体" w:cs="宋体"/>
          <w:spacing w:val="-2"/>
          <w:sz w:val="24"/>
          <w:szCs w:val="24"/>
        </w:rPr>
        <w:t>（16）《低压配电设计规范》（GB50054-2011）；</w:t>
      </w:r>
      <w:bookmarkEnd w:id="161"/>
      <w:bookmarkEnd w:id="162"/>
    </w:p>
    <w:p w14:paraId="6CE734F2">
      <w:pPr>
        <w:spacing w:before="153" w:line="220" w:lineRule="auto"/>
        <w:ind w:left="491"/>
        <w:rPr>
          <w:rFonts w:ascii="宋体" w:hAnsi="宋体" w:eastAsia="宋体" w:cs="宋体"/>
          <w:spacing w:val="-2"/>
          <w:sz w:val="24"/>
          <w:szCs w:val="24"/>
        </w:rPr>
      </w:pPr>
      <w:bookmarkStart w:id="163" w:name="_Toc6405"/>
      <w:bookmarkStart w:id="164" w:name="_Toc18255"/>
      <w:r>
        <w:rPr>
          <w:rFonts w:ascii="宋体" w:hAnsi="宋体" w:eastAsia="宋体" w:cs="宋体"/>
          <w:spacing w:val="-2"/>
          <w:sz w:val="24"/>
          <w:szCs w:val="24"/>
        </w:rPr>
        <w:t>（17）《城市道路照明工程施工及验收规程》（CJJ89-2012）；</w:t>
      </w:r>
      <w:bookmarkEnd w:id="163"/>
      <w:bookmarkEnd w:id="164"/>
    </w:p>
    <w:p w14:paraId="29CDEBD0">
      <w:pPr>
        <w:spacing w:before="153" w:line="220" w:lineRule="auto"/>
        <w:ind w:left="491"/>
        <w:rPr>
          <w:rFonts w:ascii="宋体" w:hAnsi="宋体" w:eastAsia="宋体" w:cs="宋体"/>
          <w:spacing w:val="-2"/>
          <w:sz w:val="24"/>
          <w:szCs w:val="24"/>
        </w:rPr>
      </w:pPr>
      <w:r>
        <w:rPr>
          <w:rFonts w:ascii="宋体" w:hAnsi="宋体" w:eastAsia="宋体" w:cs="宋体"/>
          <w:spacing w:val="-2"/>
          <w:sz w:val="24"/>
          <w:szCs w:val="24"/>
        </w:rPr>
        <w:t>（18）《LED 道路照明工程技术规范》（DB44/T 1898-2016）；</w:t>
      </w:r>
    </w:p>
    <w:p w14:paraId="396CB94F">
      <w:pPr>
        <w:spacing w:before="153" w:line="220" w:lineRule="auto"/>
        <w:ind w:left="491"/>
        <w:rPr>
          <w:rFonts w:ascii="宋体" w:hAnsi="宋体" w:eastAsia="宋体" w:cs="宋体"/>
          <w:spacing w:val="-2"/>
          <w:sz w:val="24"/>
          <w:szCs w:val="24"/>
        </w:rPr>
      </w:pPr>
      <w:r>
        <w:rPr>
          <w:rFonts w:ascii="宋体" w:hAnsi="宋体" w:eastAsia="宋体" w:cs="宋体"/>
          <w:spacing w:val="-2"/>
          <w:sz w:val="24"/>
          <w:szCs w:val="24"/>
        </w:rPr>
        <w:t>（19）《灯具第 1 部分：一般要求与试验》（GB7000.1-2015）；</w:t>
      </w:r>
    </w:p>
    <w:p w14:paraId="0B6CBF9D">
      <w:pPr>
        <w:spacing w:before="153" w:line="220" w:lineRule="auto"/>
        <w:ind w:left="491"/>
        <w:rPr>
          <w:rFonts w:ascii="宋体" w:hAnsi="宋体" w:eastAsia="宋体" w:cs="宋体"/>
          <w:spacing w:val="-2"/>
          <w:sz w:val="24"/>
          <w:szCs w:val="24"/>
        </w:rPr>
      </w:pPr>
      <w:r>
        <w:rPr>
          <w:rFonts w:ascii="宋体" w:hAnsi="宋体" w:eastAsia="宋体" w:cs="宋体"/>
          <w:spacing w:val="-2"/>
          <w:sz w:val="24"/>
          <w:szCs w:val="24"/>
        </w:rPr>
        <w:t>（20）《电缆工程电缆设计标准》（GB50217-2018）；</w:t>
      </w:r>
    </w:p>
    <w:p w14:paraId="36475DFB">
      <w:pPr>
        <w:spacing w:before="146" w:line="220" w:lineRule="auto"/>
        <w:ind w:firstLine="456" w:firstLineChars="200"/>
        <w:jc w:val="both"/>
        <w:rPr>
          <w:rFonts w:ascii="宋体" w:hAnsi="宋体" w:eastAsia="宋体" w:cs="宋体"/>
          <w:color w:val="auto"/>
          <w:sz w:val="24"/>
          <w:szCs w:val="24"/>
        </w:rPr>
      </w:pPr>
      <w:r>
        <w:rPr>
          <w:rFonts w:ascii="宋体" w:hAnsi="宋体" w:eastAsia="宋体" w:cs="宋体"/>
          <w:color w:val="auto"/>
          <w:spacing w:val="-6"/>
          <w:sz w:val="24"/>
          <w:szCs w:val="24"/>
        </w:rPr>
        <w:t>（</w:t>
      </w:r>
      <w:r>
        <w:rPr>
          <w:rFonts w:ascii="Times New Roman" w:hAnsi="Times New Roman" w:eastAsia="Times New Roman" w:cs="Times New Roman"/>
          <w:color w:val="auto"/>
          <w:spacing w:val="-6"/>
          <w:sz w:val="24"/>
          <w:szCs w:val="24"/>
        </w:rPr>
        <w:t>21</w:t>
      </w:r>
      <w:r>
        <w:rPr>
          <w:rFonts w:ascii="宋体" w:hAnsi="宋体" w:eastAsia="宋体" w:cs="宋体"/>
          <w:color w:val="auto"/>
          <w:spacing w:val="-6"/>
          <w:sz w:val="24"/>
          <w:szCs w:val="24"/>
        </w:rPr>
        <w:t>）其他现行国家、广东省关于市政工程的技术及验收规范、定额、规程、标准。</w:t>
      </w:r>
    </w:p>
    <w:p w14:paraId="0354274E">
      <w:pPr>
        <w:pStyle w:val="5"/>
        <w:spacing w:line="255" w:lineRule="auto"/>
        <w:rPr>
          <w:color w:val="auto"/>
        </w:rPr>
      </w:pPr>
    </w:p>
    <w:p w14:paraId="451F119A">
      <w:pPr>
        <w:pStyle w:val="5"/>
        <w:spacing w:line="255" w:lineRule="auto"/>
      </w:pPr>
    </w:p>
    <w:p w14:paraId="2E6DF768">
      <w:pPr>
        <w:spacing w:before="78" w:line="222" w:lineRule="auto"/>
        <w:ind w:left="556"/>
        <w:outlineLvl w:val="2"/>
        <w:rPr>
          <w:rFonts w:ascii="宋体" w:hAnsi="宋体" w:eastAsia="宋体" w:cs="宋体"/>
          <w:sz w:val="24"/>
          <w:szCs w:val="24"/>
        </w:rPr>
      </w:pPr>
      <w:bookmarkStart w:id="165" w:name="_Toc12498"/>
      <w:r>
        <w:rPr>
          <w:rFonts w:ascii="Times New Roman" w:hAnsi="Times New Roman" w:eastAsia="Times New Roman" w:cs="Times New Roman"/>
          <w:b/>
          <w:bCs/>
          <w:spacing w:val="-8"/>
          <w:sz w:val="24"/>
          <w:szCs w:val="24"/>
        </w:rPr>
        <w:t>3</w:t>
      </w:r>
      <w:r>
        <w:rPr>
          <w:rFonts w:ascii="Times New Roman" w:hAnsi="Times New Roman" w:eastAsia="Times New Roman" w:cs="Times New Roman"/>
          <w:b/>
          <w:bCs/>
          <w:spacing w:val="-25"/>
          <w:sz w:val="24"/>
          <w:szCs w:val="24"/>
        </w:rPr>
        <w:t xml:space="preserve"> </w:t>
      </w:r>
      <w:r>
        <w:rPr>
          <w:rFonts w:ascii="宋体" w:hAnsi="宋体" w:eastAsia="宋体" w:cs="宋体"/>
          <w:b/>
          <w:bCs/>
          <w:spacing w:val="-8"/>
          <w:sz w:val="24"/>
          <w:szCs w:val="24"/>
        </w:rPr>
        <w:t>．备查要求</w:t>
      </w:r>
      <w:bookmarkEnd w:id="165"/>
    </w:p>
    <w:p w14:paraId="2734E0AA">
      <w:pPr>
        <w:spacing w:before="155" w:line="324" w:lineRule="auto"/>
        <w:ind w:right="81" w:firstLine="561"/>
        <w:rPr>
          <w:rFonts w:ascii="宋体" w:hAnsi="宋体" w:eastAsia="宋体" w:cs="宋体"/>
          <w:sz w:val="24"/>
          <w:szCs w:val="24"/>
        </w:rPr>
      </w:pPr>
      <w:r>
        <w:rPr>
          <w:rFonts w:ascii="宋体" w:hAnsi="宋体" w:eastAsia="宋体" w:cs="宋体"/>
          <w:spacing w:val="3"/>
          <w:sz w:val="24"/>
          <w:szCs w:val="24"/>
        </w:rPr>
        <w:t>承包人必须在施工现场准备至少一套上述规范，发包人和监理单位可</w:t>
      </w:r>
      <w:r>
        <w:rPr>
          <w:rFonts w:ascii="宋体" w:hAnsi="宋体" w:eastAsia="宋体" w:cs="宋体"/>
          <w:spacing w:val="2"/>
          <w:sz w:val="24"/>
          <w:szCs w:val="24"/>
        </w:rPr>
        <w:t>随时检查承</w:t>
      </w:r>
      <w:r>
        <w:rPr>
          <w:rFonts w:ascii="宋体" w:hAnsi="宋体" w:eastAsia="宋体" w:cs="宋体"/>
          <w:sz w:val="24"/>
          <w:szCs w:val="24"/>
        </w:rPr>
        <w:t xml:space="preserve"> </w:t>
      </w:r>
      <w:r>
        <w:rPr>
          <w:rFonts w:ascii="宋体" w:hAnsi="宋体" w:eastAsia="宋体" w:cs="宋体"/>
          <w:spacing w:val="-1"/>
          <w:sz w:val="24"/>
          <w:szCs w:val="24"/>
        </w:rPr>
        <w:t>包人的上述规范，并监督承包人按规范要求执行。</w:t>
      </w:r>
    </w:p>
    <w:p w14:paraId="183653CA">
      <w:pPr>
        <w:spacing w:line="324" w:lineRule="auto"/>
        <w:rPr>
          <w:rFonts w:ascii="宋体" w:hAnsi="宋体" w:eastAsia="宋体" w:cs="宋体"/>
          <w:sz w:val="24"/>
          <w:szCs w:val="24"/>
        </w:rPr>
        <w:sectPr>
          <w:footerReference r:id="rId14" w:type="default"/>
          <w:pgSz w:w="11906" w:h="16839"/>
          <w:pgMar w:top="720" w:right="720" w:bottom="720" w:left="720" w:header="0" w:footer="1023" w:gutter="0"/>
          <w:cols w:space="720" w:num="1"/>
        </w:sectPr>
      </w:pPr>
    </w:p>
    <w:p w14:paraId="297FA22A">
      <w:pPr>
        <w:pStyle w:val="5"/>
        <w:spacing w:line="297" w:lineRule="auto"/>
      </w:pPr>
    </w:p>
    <w:p w14:paraId="614D2059">
      <w:pPr>
        <w:spacing w:before="78" w:line="219" w:lineRule="auto"/>
        <w:ind w:left="3140"/>
        <w:outlineLvl w:val="1"/>
        <w:rPr>
          <w:rFonts w:ascii="宋体" w:hAnsi="宋体" w:eastAsia="宋体" w:cs="宋体"/>
          <w:sz w:val="24"/>
          <w:szCs w:val="24"/>
        </w:rPr>
      </w:pPr>
      <w:bookmarkStart w:id="166" w:name="bookmark100"/>
      <w:bookmarkEnd w:id="166"/>
      <w:bookmarkStart w:id="167" w:name="_Toc12333"/>
      <w:r>
        <w:rPr>
          <w:rFonts w:ascii="宋体" w:hAnsi="宋体" w:eastAsia="宋体" w:cs="宋体"/>
          <w:b/>
          <w:bCs/>
          <w:spacing w:val="-5"/>
          <w:sz w:val="24"/>
          <w:szCs w:val="24"/>
        </w:rPr>
        <w:t>第五章</w:t>
      </w:r>
      <w:r>
        <w:rPr>
          <w:rFonts w:ascii="宋体" w:hAnsi="宋体" w:eastAsia="宋体" w:cs="宋体"/>
          <w:spacing w:val="33"/>
          <w:sz w:val="24"/>
          <w:szCs w:val="24"/>
        </w:rPr>
        <w:t xml:space="preserve"> </w:t>
      </w:r>
      <w:r>
        <w:rPr>
          <w:rFonts w:ascii="宋体" w:hAnsi="宋体" w:eastAsia="宋体" w:cs="宋体"/>
          <w:b/>
          <w:bCs/>
          <w:spacing w:val="-5"/>
          <w:sz w:val="24"/>
          <w:szCs w:val="24"/>
        </w:rPr>
        <w:t>图纸和招标工程量清单</w:t>
      </w:r>
      <w:bookmarkEnd w:id="167"/>
    </w:p>
    <w:p w14:paraId="3E879AB7">
      <w:pPr>
        <w:pStyle w:val="5"/>
        <w:spacing w:line="283" w:lineRule="auto"/>
      </w:pPr>
    </w:p>
    <w:p w14:paraId="4FDFB712">
      <w:pPr>
        <w:pStyle w:val="5"/>
        <w:spacing w:line="284" w:lineRule="auto"/>
      </w:pPr>
    </w:p>
    <w:p w14:paraId="22AAE9CB">
      <w:pPr>
        <w:spacing w:before="78" w:line="219" w:lineRule="auto"/>
        <w:ind w:left="1064"/>
        <w:rPr>
          <w:rFonts w:ascii="宋体" w:hAnsi="宋体" w:eastAsia="宋体" w:cs="宋体"/>
          <w:color w:val="auto"/>
          <w:sz w:val="24"/>
          <w:szCs w:val="24"/>
        </w:rPr>
      </w:pPr>
      <w:r>
        <w:rPr>
          <w:rFonts w:ascii="宋体" w:hAnsi="宋体" w:eastAsia="宋体" w:cs="宋体"/>
          <w:color w:val="auto"/>
          <w:spacing w:val="-6"/>
          <w:sz w:val="24"/>
          <w:szCs w:val="24"/>
        </w:rPr>
        <w:t xml:space="preserve">□有，另附复印件         </w:t>
      </w:r>
      <w:r>
        <w:rPr>
          <w:rFonts w:hint="eastAsia" w:ascii="宋体" w:hAnsi="宋体" w:eastAsia="宋体" w:cs="宋体"/>
          <w:color w:val="auto"/>
          <w:spacing w:val="-6"/>
          <w:sz w:val="24"/>
          <w:szCs w:val="24"/>
          <w:lang w:eastAsia="zh-CN"/>
        </w:rPr>
        <w:t>☑</w:t>
      </w:r>
      <w:r>
        <w:rPr>
          <w:rFonts w:ascii="宋体" w:hAnsi="宋体" w:eastAsia="宋体" w:cs="宋体"/>
          <w:color w:val="auto"/>
          <w:spacing w:val="-6"/>
          <w:sz w:val="24"/>
          <w:szCs w:val="24"/>
        </w:rPr>
        <w:t>有，自行网上下载(浏览)           □无</w:t>
      </w:r>
    </w:p>
    <w:p w14:paraId="59E6732A">
      <w:pPr>
        <w:pStyle w:val="5"/>
        <w:spacing w:line="265" w:lineRule="auto"/>
        <w:rPr>
          <w:color w:val="auto"/>
        </w:rPr>
      </w:pPr>
    </w:p>
    <w:p w14:paraId="02FC72C5">
      <w:pPr>
        <w:spacing w:before="151" w:line="222" w:lineRule="auto"/>
        <w:ind w:left="715"/>
        <w:outlineLvl w:val="2"/>
        <w:rPr>
          <w:rFonts w:ascii="宋体" w:hAnsi="宋体" w:eastAsia="宋体" w:cs="宋体"/>
          <w:color w:val="auto"/>
          <w:sz w:val="24"/>
          <w:szCs w:val="24"/>
        </w:rPr>
      </w:pPr>
      <w:bookmarkStart w:id="168" w:name="_Toc27399"/>
      <w:r>
        <w:rPr>
          <w:rFonts w:ascii="Times New Roman" w:hAnsi="Times New Roman" w:eastAsia="Times New Roman" w:cs="Times New Roman"/>
          <w:b/>
          <w:bCs/>
          <w:color w:val="auto"/>
          <w:spacing w:val="-14"/>
          <w:sz w:val="24"/>
          <w:szCs w:val="24"/>
        </w:rPr>
        <w:t>1</w:t>
      </w:r>
      <w:r>
        <w:rPr>
          <w:rFonts w:ascii="Times New Roman" w:hAnsi="Times New Roman" w:eastAsia="Times New Roman" w:cs="Times New Roman"/>
          <w:b/>
          <w:bCs/>
          <w:color w:val="auto"/>
          <w:spacing w:val="-27"/>
          <w:sz w:val="24"/>
          <w:szCs w:val="24"/>
        </w:rPr>
        <w:t xml:space="preserve"> </w:t>
      </w:r>
      <w:r>
        <w:rPr>
          <w:rFonts w:ascii="宋体" w:hAnsi="宋体" w:eastAsia="宋体" w:cs="宋体"/>
          <w:b/>
          <w:bCs/>
          <w:color w:val="auto"/>
          <w:spacing w:val="-14"/>
          <w:sz w:val="24"/>
          <w:szCs w:val="24"/>
        </w:rPr>
        <w:t>．图纸</w:t>
      </w:r>
      <w:bookmarkEnd w:id="168"/>
    </w:p>
    <w:p w14:paraId="49F46427">
      <w:pPr>
        <w:spacing w:before="150" w:line="330" w:lineRule="auto"/>
        <w:ind w:left="230" w:firstLine="480"/>
        <w:jc w:val="both"/>
        <w:rPr>
          <w:rFonts w:ascii="宋体" w:hAnsi="宋体" w:eastAsia="宋体" w:cs="宋体"/>
          <w:color w:val="auto"/>
          <w:sz w:val="24"/>
          <w:szCs w:val="24"/>
        </w:rPr>
      </w:pPr>
      <w:r>
        <w:rPr>
          <w:rFonts w:ascii="宋体" w:hAnsi="宋体" w:eastAsia="宋体" w:cs="宋体"/>
          <w:color w:val="auto"/>
          <w:spacing w:val="1"/>
          <w:sz w:val="24"/>
          <w:szCs w:val="24"/>
        </w:rPr>
        <w:t>本招标文件随文另附</w:t>
      </w:r>
      <w:r>
        <w:rPr>
          <w:rFonts w:hint="eastAsia" w:ascii="宋体" w:hAnsi="宋体" w:eastAsia="宋体" w:cs="宋体"/>
          <w:color w:val="auto"/>
          <w:spacing w:val="1"/>
          <w:sz w:val="24"/>
          <w:szCs w:val="24"/>
        </w:rPr>
        <w:t>施工图（电子文件）一套</w:t>
      </w:r>
      <w:r>
        <w:rPr>
          <w:rFonts w:ascii="宋体" w:hAnsi="宋体" w:eastAsia="宋体" w:cs="宋体"/>
          <w:color w:val="auto"/>
          <w:spacing w:val="1"/>
          <w:sz w:val="24"/>
          <w:szCs w:val="24"/>
        </w:rPr>
        <w:t>。</w:t>
      </w:r>
    </w:p>
    <w:p w14:paraId="69A51930">
      <w:pPr>
        <w:pStyle w:val="5"/>
        <w:spacing w:line="253" w:lineRule="auto"/>
      </w:pPr>
    </w:p>
    <w:p w14:paraId="35D40639">
      <w:pPr>
        <w:spacing w:before="79" w:line="221" w:lineRule="auto"/>
        <w:ind w:left="705"/>
        <w:outlineLvl w:val="2"/>
        <w:rPr>
          <w:rFonts w:ascii="宋体" w:hAnsi="宋体" w:eastAsia="宋体" w:cs="宋体"/>
          <w:sz w:val="24"/>
          <w:szCs w:val="24"/>
        </w:rPr>
      </w:pPr>
      <w:bookmarkStart w:id="169" w:name="_Toc10279"/>
      <w:r>
        <w:rPr>
          <w:rFonts w:ascii="Times New Roman" w:hAnsi="Times New Roman" w:eastAsia="Times New Roman" w:cs="Times New Roman"/>
          <w:b/>
          <w:bCs/>
          <w:spacing w:val="-6"/>
          <w:sz w:val="24"/>
          <w:szCs w:val="24"/>
        </w:rPr>
        <w:t>2</w:t>
      </w:r>
      <w:r>
        <w:rPr>
          <w:rFonts w:ascii="Times New Roman" w:hAnsi="Times New Roman" w:eastAsia="Times New Roman" w:cs="Times New Roman"/>
          <w:b/>
          <w:bCs/>
          <w:spacing w:val="-26"/>
          <w:sz w:val="24"/>
          <w:szCs w:val="24"/>
        </w:rPr>
        <w:t xml:space="preserve"> </w:t>
      </w:r>
      <w:r>
        <w:rPr>
          <w:rFonts w:ascii="宋体" w:hAnsi="宋体" w:eastAsia="宋体" w:cs="宋体"/>
          <w:b/>
          <w:bCs/>
          <w:spacing w:val="-6"/>
          <w:sz w:val="24"/>
          <w:szCs w:val="24"/>
        </w:rPr>
        <w:t>．招标工程量清单</w:t>
      </w:r>
      <w:bookmarkEnd w:id="169"/>
    </w:p>
    <w:p w14:paraId="56413FE0">
      <w:pPr>
        <w:spacing w:before="117" w:line="312" w:lineRule="auto"/>
        <w:ind w:left="231" w:firstLine="474"/>
        <w:rPr>
          <w:rFonts w:ascii="宋体" w:hAnsi="宋体" w:eastAsia="宋体" w:cs="宋体"/>
          <w:sz w:val="24"/>
          <w:szCs w:val="24"/>
        </w:rPr>
      </w:pPr>
      <w:r>
        <w:rPr>
          <w:rFonts w:ascii="Times New Roman" w:hAnsi="Times New Roman" w:eastAsia="Times New Roman" w:cs="Times New Roman"/>
          <w:b/>
          <w:bCs/>
          <w:spacing w:val="-3"/>
          <w:sz w:val="24"/>
          <w:szCs w:val="24"/>
        </w:rPr>
        <w:t xml:space="preserve">2.1  </w:t>
      </w:r>
      <w:r>
        <w:rPr>
          <w:rFonts w:ascii="宋体" w:hAnsi="宋体" w:eastAsia="宋体" w:cs="宋体"/>
          <w:spacing w:val="-3"/>
          <w:sz w:val="24"/>
          <w:szCs w:val="24"/>
        </w:rPr>
        <w:t>本招标文件随文另附</w:t>
      </w:r>
      <w:r>
        <w:rPr>
          <w:rFonts w:ascii="宋体" w:hAnsi="宋体" w:eastAsia="宋体" w:cs="宋体"/>
          <w:spacing w:val="-3"/>
          <w:sz w:val="24"/>
          <w:szCs w:val="24"/>
          <w:u w:val="single"/>
        </w:rPr>
        <w:t>招标工程量清单</w:t>
      </w:r>
      <w:r>
        <w:rPr>
          <w:rFonts w:ascii="Times New Roman" w:hAnsi="Times New Roman" w:eastAsia="Times New Roman" w:cs="Times New Roman"/>
          <w:spacing w:val="-3"/>
          <w:sz w:val="24"/>
          <w:szCs w:val="24"/>
          <w:u w:val="single"/>
        </w:rPr>
        <w:t xml:space="preserve">  EXCEL </w:t>
      </w:r>
      <w:r>
        <w:rPr>
          <w:rFonts w:ascii="宋体" w:hAnsi="宋体" w:eastAsia="宋体" w:cs="宋体"/>
          <w:spacing w:val="-3"/>
          <w:sz w:val="24"/>
          <w:szCs w:val="24"/>
          <w:u w:val="single"/>
        </w:rPr>
        <w:t>版</w:t>
      </w:r>
      <w:r>
        <w:rPr>
          <w:rFonts w:ascii="宋体" w:hAnsi="宋体" w:eastAsia="宋体" w:cs="宋体"/>
          <w:spacing w:val="37"/>
          <w:sz w:val="24"/>
          <w:szCs w:val="24"/>
          <w:u w:val="single"/>
        </w:rPr>
        <w:t xml:space="preserve"> </w:t>
      </w:r>
      <w:r>
        <w:rPr>
          <w:rFonts w:ascii="宋体" w:hAnsi="宋体" w:eastAsia="宋体" w:cs="宋体"/>
          <w:spacing w:val="-3"/>
          <w:sz w:val="24"/>
          <w:szCs w:val="24"/>
        </w:rPr>
        <w:t>电子文件一套。</w:t>
      </w:r>
    </w:p>
    <w:p w14:paraId="0D280086">
      <w:pPr>
        <w:spacing w:before="78" w:line="219" w:lineRule="auto"/>
        <w:ind w:left="478" w:firstLine="238" w:firstLineChars="100"/>
        <w:rPr>
          <w:rFonts w:ascii="宋体" w:hAnsi="宋体" w:eastAsia="宋体" w:cs="宋体"/>
          <w:sz w:val="24"/>
          <w:szCs w:val="24"/>
        </w:rPr>
      </w:pPr>
      <w:bookmarkStart w:id="170" w:name="bookmark147"/>
      <w:bookmarkEnd w:id="170"/>
      <w:r>
        <w:rPr>
          <w:rFonts w:ascii="Times New Roman" w:hAnsi="Times New Roman" w:eastAsia="Times New Roman" w:cs="Times New Roman"/>
          <w:b/>
          <w:bCs/>
          <w:spacing w:val="-1"/>
          <w:sz w:val="24"/>
          <w:szCs w:val="24"/>
        </w:rPr>
        <w:t xml:space="preserve">2.2  </w:t>
      </w:r>
      <w:r>
        <w:rPr>
          <w:rFonts w:ascii="宋体" w:hAnsi="宋体" w:eastAsia="宋体" w:cs="宋体"/>
          <w:spacing w:val="-1"/>
          <w:sz w:val="24"/>
          <w:szCs w:val="24"/>
        </w:rPr>
        <w:t>本工程按照以下依据编制</w:t>
      </w:r>
      <w:r>
        <w:rPr>
          <w:rFonts w:ascii="宋体" w:hAnsi="宋体" w:eastAsia="宋体" w:cs="宋体"/>
          <w:spacing w:val="-1"/>
          <w:sz w:val="24"/>
          <w:szCs w:val="24"/>
          <w:u w:val="single"/>
        </w:rPr>
        <w:t>招标工程量清单</w:t>
      </w:r>
      <w:r>
        <w:rPr>
          <w:rFonts w:ascii="宋体" w:hAnsi="宋体" w:eastAsia="宋体" w:cs="宋体"/>
          <w:spacing w:val="-1"/>
          <w:sz w:val="24"/>
          <w:szCs w:val="24"/>
        </w:rPr>
        <w:t>：</w:t>
      </w:r>
    </w:p>
    <w:p w14:paraId="0FC8E1E2">
      <w:pPr>
        <w:spacing w:before="123" w:line="219" w:lineRule="auto"/>
        <w:ind w:left="49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w:t>
      </w:r>
      <w:r>
        <w:rPr>
          <w:rFonts w:hint="eastAsia" w:ascii="宋体" w:hAnsi="宋体" w:eastAsia="宋体" w:cs="宋体"/>
          <w:spacing w:val="-1"/>
          <w:sz w:val="24"/>
          <w:szCs w:val="24"/>
          <w:lang w:eastAsia="zh-CN"/>
        </w:rPr>
        <w:t>《建设工程工程量清单计价标准》（GB/T50500-2024）</w:t>
      </w:r>
      <w:r>
        <w:rPr>
          <w:rFonts w:ascii="宋体" w:hAnsi="宋体" w:eastAsia="宋体" w:cs="宋体"/>
          <w:spacing w:val="4"/>
          <w:sz w:val="24"/>
          <w:szCs w:val="24"/>
        </w:rPr>
        <w:t>；</w:t>
      </w:r>
    </w:p>
    <w:p w14:paraId="316B3E9C">
      <w:pPr>
        <w:spacing w:before="115" w:line="299" w:lineRule="auto"/>
        <w:ind w:firstLine="493"/>
        <w:jc w:val="both"/>
        <w:rPr>
          <w:rFonts w:hint="eastAsia" w:ascii="宋体" w:hAnsi="宋体" w:eastAsia="宋体" w:cs="宋体"/>
          <w:color w:val="auto"/>
          <w:sz w:val="24"/>
          <w:szCs w:val="24"/>
        </w:rPr>
      </w:pPr>
      <w:r>
        <w:rPr>
          <w:rFonts w:ascii="宋体" w:hAnsi="宋体" w:eastAsia="宋体" w:cs="宋体"/>
          <w:spacing w:val="1"/>
          <w:sz w:val="24"/>
          <w:szCs w:val="24"/>
        </w:rPr>
        <w:t>（</w:t>
      </w:r>
      <w:r>
        <w:rPr>
          <w:rFonts w:hint="eastAsia" w:ascii="宋体" w:hAnsi="宋体" w:eastAsia="宋体" w:cs="宋体"/>
          <w:color w:val="auto"/>
          <w:spacing w:val="1"/>
          <w:sz w:val="24"/>
          <w:szCs w:val="24"/>
        </w:rPr>
        <w:t>2）投标人应对招标人提供的工程量清单进行认真细致的复核。这种复核包括对</w:t>
      </w:r>
      <w:r>
        <w:rPr>
          <w:rFonts w:hint="eastAsia" w:ascii="宋体" w:hAnsi="宋体" w:eastAsia="宋体" w:cs="宋体"/>
          <w:color w:val="auto"/>
          <w:spacing w:val="18"/>
          <w:sz w:val="24"/>
          <w:szCs w:val="24"/>
        </w:rPr>
        <w:t xml:space="preserve"> </w:t>
      </w:r>
      <w:r>
        <w:rPr>
          <w:rFonts w:hint="eastAsia" w:ascii="宋体" w:hAnsi="宋体" w:eastAsia="宋体" w:cs="宋体"/>
          <w:color w:val="auto"/>
          <w:spacing w:val="-1"/>
          <w:sz w:val="24"/>
          <w:szCs w:val="24"/>
        </w:rPr>
        <w:t>招标人提供的工程量清单中的子目编码、子目名称、子</w:t>
      </w:r>
      <w:r>
        <w:rPr>
          <w:rFonts w:hint="eastAsia" w:ascii="宋体" w:hAnsi="宋体" w:eastAsia="宋体" w:cs="宋体"/>
          <w:color w:val="auto"/>
          <w:spacing w:val="-2"/>
          <w:sz w:val="24"/>
          <w:szCs w:val="24"/>
        </w:rPr>
        <w:t>目特征描述、计量单位、工程量</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的准确性以及可能存在的任何书写、打印错误进行检查</w:t>
      </w:r>
      <w:r>
        <w:rPr>
          <w:rFonts w:hint="eastAsia" w:ascii="宋体" w:hAnsi="宋体" w:eastAsia="宋体" w:cs="宋体"/>
          <w:color w:val="auto"/>
          <w:spacing w:val="-2"/>
          <w:sz w:val="24"/>
          <w:szCs w:val="24"/>
        </w:rPr>
        <w:t>和复核，特别是对“分部分项工</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程量清单与计价表”中每个工作子目的工程量进</w:t>
      </w:r>
      <w:r>
        <w:rPr>
          <w:rFonts w:hint="eastAsia" w:ascii="宋体" w:hAnsi="宋体" w:eastAsia="宋体" w:cs="宋体"/>
          <w:color w:val="auto"/>
          <w:spacing w:val="-2"/>
          <w:sz w:val="24"/>
          <w:szCs w:val="24"/>
        </w:rPr>
        <w:t>行重新计算和校核。如果投标人经过检</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查和复核以后认为招标人提供的工程量清单存在</w:t>
      </w:r>
      <w:r>
        <w:rPr>
          <w:rFonts w:hint="eastAsia" w:ascii="宋体" w:hAnsi="宋体" w:eastAsia="宋体" w:cs="宋体"/>
          <w:color w:val="auto"/>
          <w:spacing w:val="-2"/>
          <w:sz w:val="24"/>
          <w:szCs w:val="24"/>
        </w:rPr>
        <w:t>差异，则投标人应将此类差异的详细情</w:t>
      </w:r>
      <w:r>
        <w:rPr>
          <w:rFonts w:hint="eastAsia" w:ascii="宋体" w:hAnsi="宋体" w:eastAsia="宋体" w:cs="宋体"/>
          <w:color w:val="auto"/>
          <w:sz w:val="24"/>
          <w:szCs w:val="24"/>
        </w:rPr>
        <w:t xml:space="preserve"> </w:t>
      </w:r>
      <w:r>
        <w:rPr>
          <w:rFonts w:hint="eastAsia" w:ascii="宋体" w:hAnsi="宋体" w:eastAsia="宋体" w:cs="宋体"/>
          <w:color w:val="auto"/>
          <w:spacing w:val="-8"/>
          <w:sz w:val="24"/>
          <w:szCs w:val="24"/>
        </w:rPr>
        <w:t>况连同按“投标须知</w:t>
      </w:r>
      <w:r>
        <w:rPr>
          <w:rFonts w:hint="eastAsia" w:ascii="宋体" w:hAnsi="宋体" w:eastAsia="宋体" w:cs="宋体"/>
          <w:color w:val="auto"/>
          <w:spacing w:val="-89"/>
          <w:sz w:val="24"/>
          <w:szCs w:val="24"/>
        </w:rPr>
        <w:t xml:space="preserve"> </w:t>
      </w:r>
      <w:r>
        <w:rPr>
          <w:rFonts w:hint="eastAsia" w:ascii="宋体" w:hAnsi="宋体" w:eastAsia="宋体" w:cs="宋体"/>
          <w:color w:val="auto"/>
          <w:spacing w:val="-8"/>
          <w:sz w:val="24"/>
          <w:szCs w:val="24"/>
        </w:rPr>
        <w:t>”规定提交的要求招标人澄清的其他</w:t>
      </w:r>
      <w:r>
        <w:rPr>
          <w:rFonts w:hint="eastAsia" w:ascii="宋体" w:hAnsi="宋体" w:eastAsia="宋体" w:cs="宋体"/>
          <w:color w:val="auto"/>
          <w:spacing w:val="-9"/>
          <w:sz w:val="24"/>
          <w:szCs w:val="24"/>
        </w:rPr>
        <w:t>问题一起提交给招标人，招标人</w:t>
      </w:r>
      <w:r>
        <w:rPr>
          <w:rFonts w:hint="eastAsia" w:ascii="宋体" w:hAnsi="宋体" w:eastAsia="宋体" w:cs="宋体"/>
          <w:color w:val="auto"/>
          <w:sz w:val="24"/>
          <w:szCs w:val="24"/>
        </w:rPr>
        <w:t xml:space="preserve"> </w:t>
      </w:r>
      <w:r>
        <w:rPr>
          <w:rFonts w:hint="eastAsia" w:ascii="宋体" w:hAnsi="宋体" w:eastAsia="宋体" w:cs="宋体"/>
          <w:color w:val="auto"/>
          <w:spacing w:val="-2"/>
          <w:sz w:val="24"/>
          <w:szCs w:val="24"/>
        </w:rPr>
        <w:t>将根据实际情况决定是否颁发</w:t>
      </w:r>
      <w:r>
        <w:rPr>
          <w:rFonts w:hint="eastAsia" w:ascii="宋体" w:hAnsi="宋体" w:eastAsia="宋体" w:cs="宋体"/>
          <w:color w:val="auto"/>
          <w:spacing w:val="-2"/>
          <w:sz w:val="24"/>
          <w:szCs w:val="24"/>
          <w:u w:val="single"/>
        </w:rPr>
        <w:t>工程量清单</w:t>
      </w:r>
      <w:r>
        <w:rPr>
          <w:rFonts w:hint="eastAsia" w:ascii="宋体" w:hAnsi="宋体" w:eastAsia="宋体" w:cs="宋体"/>
          <w:color w:val="auto"/>
          <w:spacing w:val="-2"/>
          <w:sz w:val="24"/>
          <w:szCs w:val="24"/>
        </w:rPr>
        <w:t>、</w:t>
      </w:r>
      <w:r>
        <w:rPr>
          <w:rFonts w:hint="eastAsia" w:ascii="宋体" w:hAnsi="宋体" w:eastAsia="宋体" w:cs="宋体"/>
          <w:color w:val="auto"/>
          <w:spacing w:val="-8"/>
          <w:sz w:val="24"/>
          <w:szCs w:val="24"/>
        </w:rPr>
        <w:t>招标控制价的</w:t>
      </w:r>
      <w:r>
        <w:rPr>
          <w:rFonts w:hint="eastAsia" w:ascii="宋体" w:hAnsi="宋体" w:eastAsia="宋体" w:cs="宋体"/>
          <w:color w:val="auto"/>
          <w:spacing w:val="-2"/>
          <w:sz w:val="24"/>
          <w:szCs w:val="24"/>
        </w:rPr>
        <w:t>补充和(或)修改文件。</w:t>
      </w:r>
    </w:p>
    <w:p w14:paraId="0A3939FD">
      <w:pPr>
        <w:spacing w:before="79" w:line="263" w:lineRule="auto"/>
        <w:ind w:left="2" w:right="2" w:firstLine="488"/>
        <w:rPr>
          <w:rFonts w:hint="eastAsia" w:ascii="宋体" w:hAnsi="宋体" w:eastAsia="宋体" w:cs="宋体"/>
          <w:color w:val="auto"/>
          <w:sz w:val="24"/>
          <w:szCs w:val="24"/>
        </w:rPr>
      </w:pPr>
      <w:r>
        <w:rPr>
          <w:rFonts w:hint="eastAsia" w:ascii="宋体" w:hAnsi="宋体" w:eastAsia="宋体" w:cs="宋体"/>
          <w:color w:val="auto"/>
          <w:spacing w:val="1"/>
          <w:sz w:val="24"/>
          <w:szCs w:val="24"/>
        </w:rPr>
        <w:t>（3）本招标工程量清单措施项目中的</w:t>
      </w:r>
      <w:r>
        <w:rPr>
          <w:rFonts w:hint="eastAsia" w:ascii="宋体" w:hAnsi="宋体" w:eastAsia="宋体" w:cs="宋体"/>
          <w:color w:val="auto"/>
          <w:spacing w:val="1"/>
          <w:sz w:val="24"/>
          <w:szCs w:val="24"/>
          <w:u w:val="single"/>
        </w:rPr>
        <w:t>绿色施工安全防护措施费、</w:t>
      </w:r>
      <w:r>
        <w:rPr>
          <w:rFonts w:hint="eastAsia" w:ascii="宋体" w:hAnsi="宋体" w:eastAsia="宋体" w:cs="宋体"/>
          <w:b/>
          <w:bCs/>
          <w:spacing w:val="-6"/>
          <w:sz w:val="24"/>
          <w:szCs w:val="24"/>
        </w:rPr>
        <w:t>暂列金额、暂估价</w:t>
      </w:r>
      <w:r>
        <w:rPr>
          <w:rFonts w:hint="eastAsia" w:ascii="宋体" w:hAnsi="宋体" w:eastAsia="宋体" w:cs="宋体"/>
          <w:color w:val="auto"/>
          <w:spacing w:val="-2"/>
          <w:sz w:val="24"/>
          <w:szCs w:val="24"/>
        </w:rPr>
        <w:t>不得作为竞争性费用，投标报价必须按本招标工程量清</w:t>
      </w:r>
      <w:r>
        <w:rPr>
          <w:rFonts w:hint="eastAsia" w:ascii="宋体" w:hAnsi="宋体" w:eastAsia="宋体" w:cs="宋体"/>
          <w:color w:val="auto"/>
          <w:spacing w:val="-3"/>
          <w:sz w:val="24"/>
          <w:szCs w:val="24"/>
        </w:rPr>
        <w:t>单规定</w:t>
      </w:r>
      <w:r>
        <w:rPr>
          <w:rFonts w:hint="eastAsia" w:ascii="宋体" w:hAnsi="宋体" w:eastAsia="宋体" w:cs="宋体"/>
          <w:color w:val="auto"/>
          <w:spacing w:val="-2"/>
          <w:sz w:val="24"/>
          <w:szCs w:val="24"/>
        </w:rPr>
        <w:t>的金额填</w:t>
      </w:r>
      <w:r>
        <w:rPr>
          <w:rFonts w:hint="eastAsia" w:ascii="宋体" w:hAnsi="宋体" w:eastAsia="宋体" w:cs="宋体"/>
          <w:color w:val="auto"/>
          <w:spacing w:val="-3"/>
          <w:sz w:val="24"/>
          <w:szCs w:val="24"/>
        </w:rPr>
        <w:t>报。</w:t>
      </w:r>
    </w:p>
    <w:p w14:paraId="0C5D1238">
      <w:pPr>
        <w:spacing w:before="118" w:line="265" w:lineRule="auto"/>
        <w:ind w:left="7" w:right="4" w:firstLine="483"/>
        <w:rPr>
          <w:rFonts w:hint="eastAsia" w:ascii="宋体" w:hAnsi="宋体" w:eastAsia="宋体" w:cs="宋体"/>
          <w:color w:val="auto"/>
          <w:sz w:val="24"/>
          <w:szCs w:val="24"/>
        </w:rPr>
      </w:pPr>
      <w:r>
        <w:rPr>
          <w:rFonts w:hint="eastAsia" w:ascii="宋体" w:hAnsi="宋体" w:eastAsia="宋体" w:cs="宋体"/>
          <w:color w:val="auto"/>
          <w:spacing w:val="-2"/>
          <w:sz w:val="24"/>
          <w:szCs w:val="24"/>
        </w:rPr>
        <w:t>（4）投标报价使用的表格格式须按照 GB50500-20</w:t>
      </w:r>
      <w:r>
        <w:rPr>
          <w:rFonts w:hint="eastAsia" w:ascii="宋体" w:hAnsi="宋体" w:eastAsia="宋体" w:cs="宋体"/>
          <w:color w:val="auto"/>
          <w:spacing w:val="-2"/>
          <w:sz w:val="24"/>
          <w:szCs w:val="24"/>
          <w:lang w:val="en-US" w:eastAsia="zh-CN"/>
        </w:rPr>
        <w:t>24</w:t>
      </w:r>
      <w:r>
        <w:rPr>
          <w:rFonts w:hint="eastAsia" w:ascii="宋体" w:hAnsi="宋体" w:eastAsia="宋体" w:cs="宋体"/>
          <w:color w:val="auto"/>
          <w:spacing w:val="-2"/>
          <w:sz w:val="24"/>
          <w:szCs w:val="24"/>
        </w:rPr>
        <w:t>《建设工程工程量清单计价规</w:t>
      </w:r>
      <w:r>
        <w:rPr>
          <w:rFonts w:hint="eastAsia" w:ascii="宋体" w:hAnsi="宋体" w:eastAsia="宋体" w:cs="宋体"/>
          <w:color w:val="auto"/>
          <w:spacing w:val="18"/>
          <w:sz w:val="24"/>
          <w:szCs w:val="24"/>
        </w:rPr>
        <w:t xml:space="preserve"> </w:t>
      </w:r>
      <w:r>
        <w:rPr>
          <w:rFonts w:hint="eastAsia" w:ascii="宋体" w:hAnsi="宋体" w:eastAsia="宋体" w:cs="宋体"/>
          <w:color w:val="auto"/>
          <w:spacing w:val="-6"/>
          <w:sz w:val="24"/>
          <w:szCs w:val="24"/>
        </w:rPr>
        <w:t>范》。</w:t>
      </w:r>
    </w:p>
    <w:p w14:paraId="6B56175B">
      <w:pPr>
        <w:spacing w:before="107" w:line="286" w:lineRule="auto"/>
        <w:ind w:right="4" w:firstLine="492"/>
        <w:rPr>
          <w:rFonts w:hint="eastAsia" w:ascii="宋体" w:hAnsi="宋体" w:eastAsia="宋体" w:cs="宋体"/>
          <w:color w:val="auto"/>
          <w:sz w:val="24"/>
          <w:szCs w:val="24"/>
        </w:rPr>
      </w:pPr>
      <w:r>
        <w:rPr>
          <w:rFonts w:hint="eastAsia" w:ascii="宋体" w:hAnsi="宋体" w:eastAsia="宋体" w:cs="宋体"/>
          <w:color w:val="auto"/>
          <w:spacing w:val="1"/>
          <w:sz w:val="24"/>
          <w:szCs w:val="24"/>
        </w:rPr>
        <w:t>（5）《广东省建设工程计价依据（2018）》。具体包括：《广东省房屋建筑与装</w:t>
      </w:r>
      <w:r>
        <w:rPr>
          <w:rFonts w:hint="eastAsia" w:ascii="宋体" w:hAnsi="宋体" w:eastAsia="宋体" w:cs="宋体"/>
          <w:color w:val="auto"/>
          <w:spacing w:val="12"/>
          <w:sz w:val="24"/>
          <w:szCs w:val="24"/>
        </w:rPr>
        <w:t xml:space="preserve"> </w:t>
      </w:r>
      <w:r>
        <w:rPr>
          <w:rFonts w:hint="eastAsia" w:ascii="宋体" w:hAnsi="宋体" w:eastAsia="宋体" w:cs="宋体"/>
          <w:color w:val="auto"/>
          <w:spacing w:val="-1"/>
          <w:sz w:val="24"/>
          <w:szCs w:val="24"/>
        </w:rPr>
        <w:t>饰工程综合定额（2018）》《广东省市政工程综合定额</w:t>
      </w:r>
      <w:r>
        <w:rPr>
          <w:rFonts w:hint="eastAsia" w:ascii="宋体" w:hAnsi="宋体" w:eastAsia="宋体" w:cs="宋体"/>
          <w:color w:val="auto"/>
          <w:spacing w:val="-2"/>
          <w:sz w:val="24"/>
          <w:szCs w:val="24"/>
        </w:rPr>
        <w:t>（2018）》《广东省通用安装工</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程综合定额（2018）》《广东省园林绿化工程综合定额</w:t>
      </w:r>
      <w:r>
        <w:rPr>
          <w:rFonts w:hint="eastAsia" w:ascii="宋体" w:hAnsi="宋体" w:eastAsia="宋体" w:cs="宋体"/>
          <w:color w:val="auto"/>
          <w:spacing w:val="-2"/>
          <w:sz w:val="24"/>
          <w:szCs w:val="24"/>
        </w:rPr>
        <w:t>（2018）》《广东省建设工程施</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工机具台班费用编制规则（2018）》等；</w:t>
      </w:r>
    </w:p>
    <w:p w14:paraId="17B771F5">
      <w:pPr>
        <w:spacing w:before="146" w:line="221" w:lineRule="auto"/>
        <w:ind w:left="493"/>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6</w:t>
      </w:r>
      <w:r>
        <w:rPr>
          <w:rFonts w:ascii="宋体" w:hAnsi="宋体" w:eastAsia="宋体" w:cs="宋体"/>
          <w:spacing w:val="-2"/>
          <w:sz w:val="24"/>
          <w:szCs w:val="24"/>
        </w:rPr>
        <w:t>）施工图及相关资料；</w:t>
      </w:r>
    </w:p>
    <w:p w14:paraId="035360AB">
      <w:pPr>
        <w:spacing w:before="153" w:line="220" w:lineRule="auto"/>
        <w:ind w:left="493"/>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7</w:t>
      </w:r>
      <w:r>
        <w:rPr>
          <w:rFonts w:ascii="宋体" w:hAnsi="宋体" w:eastAsia="宋体" w:cs="宋体"/>
          <w:spacing w:val="-3"/>
          <w:sz w:val="24"/>
          <w:szCs w:val="24"/>
        </w:rPr>
        <w:t>）招标文件；</w:t>
      </w:r>
    </w:p>
    <w:p w14:paraId="6855A1C5">
      <w:pPr>
        <w:spacing w:before="155" w:line="220" w:lineRule="auto"/>
        <w:ind w:left="49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8</w:t>
      </w:r>
      <w:r>
        <w:rPr>
          <w:rFonts w:ascii="宋体" w:hAnsi="宋体" w:eastAsia="宋体" w:cs="宋体"/>
          <w:spacing w:val="-1"/>
          <w:sz w:val="24"/>
          <w:szCs w:val="24"/>
        </w:rPr>
        <w:t>）施工现场情况、地勘水文资料、工程特点及常规施工方案；</w:t>
      </w:r>
    </w:p>
    <w:p w14:paraId="41410CBB">
      <w:pPr>
        <w:spacing w:before="153" w:line="219" w:lineRule="auto"/>
        <w:ind w:left="49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9</w:t>
      </w:r>
      <w:r>
        <w:rPr>
          <w:rFonts w:ascii="宋体" w:hAnsi="宋体" w:eastAsia="宋体" w:cs="宋体"/>
          <w:spacing w:val="-1"/>
          <w:sz w:val="24"/>
          <w:szCs w:val="24"/>
        </w:rPr>
        <w:t>）与建设工程有关的标准、规范、技术资料、材料设备信息价或市场价格等</w:t>
      </w:r>
      <w:r>
        <w:rPr>
          <w:rFonts w:ascii="宋体" w:hAnsi="宋体" w:eastAsia="宋体" w:cs="宋体"/>
          <w:spacing w:val="-2"/>
          <w:sz w:val="24"/>
          <w:szCs w:val="24"/>
        </w:rPr>
        <w:t>。</w:t>
      </w:r>
    </w:p>
    <w:p w14:paraId="2407BC62">
      <w:pPr>
        <w:spacing w:line="219" w:lineRule="auto"/>
        <w:rPr>
          <w:rFonts w:ascii="宋体" w:hAnsi="宋体" w:eastAsia="宋体" w:cs="宋体"/>
          <w:sz w:val="24"/>
          <w:szCs w:val="24"/>
        </w:rPr>
        <w:sectPr>
          <w:footerReference r:id="rId15" w:type="default"/>
          <w:pgSz w:w="11906" w:h="16839"/>
          <w:pgMar w:top="720" w:right="720" w:bottom="720" w:left="720" w:header="0" w:footer="1023" w:gutter="0"/>
          <w:cols w:space="720" w:num="1"/>
        </w:sectPr>
      </w:pPr>
    </w:p>
    <w:p w14:paraId="43974595">
      <w:pPr>
        <w:pStyle w:val="5"/>
        <w:spacing w:line="304" w:lineRule="auto"/>
      </w:pPr>
    </w:p>
    <w:p w14:paraId="3A8BF2EF">
      <w:pPr>
        <w:spacing w:before="78" w:line="219" w:lineRule="auto"/>
        <w:ind w:left="3357"/>
        <w:outlineLvl w:val="1"/>
        <w:rPr>
          <w:rFonts w:ascii="宋体" w:hAnsi="宋体" w:eastAsia="宋体" w:cs="宋体"/>
          <w:sz w:val="24"/>
          <w:szCs w:val="24"/>
        </w:rPr>
      </w:pPr>
      <w:bookmarkStart w:id="171" w:name="_Toc7788"/>
      <w:r>
        <w:rPr>
          <w:rFonts w:ascii="宋体" w:hAnsi="宋体" w:eastAsia="宋体" w:cs="宋体"/>
          <w:b/>
          <w:bCs/>
          <w:spacing w:val="-3"/>
          <w:sz w:val="24"/>
          <w:szCs w:val="24"/>
        </w:rPr>
        <w:t>第六章</w:t>
      </w:r>
      <w:r>
        <w:rPr>
          <w:rFonts w:ascii="宋体" w:hAnsi="宋体" w:eastAsia="宋体" w:cs="宋体"/>
          <w:spacing w:val="-3"/>
          <w:sz w:val="24"/>
          <w:szCs w:val="24"/>
        </w:rPr>
        <w:t xml:space="preserve"> </w:t>
      </w:r>
      <w:r>
        <w:rPr>
          <w:rFonts w:ascii="宋体" w:hAnsi="宋体" w:eastAsia="宋体" w:cs="宋体"/>
          <w:b/>
          <w:bCs/>
          <w:spacing w:val="-3"/>
          <w:sz w:val="24"/>
          <w:szCs w:val="24"/>
        </w:rPr>
        <w:t>投标文件格式</w:t>
      </w:r>
      <w:bookmarkEnd w:id="171"/>
    </w:p>
    <w:p w14:paraId="3E64B40E">
      <w:pPr>
        <w:pStyle w:val="5"/>
        <w:spacing w:line="302" w:lineRule="auto"/>
      </w:pPr>
    </w:p>
    <w:p w14:paraId="4AD4FD3F">
      <w:pPr>
        <w:spacing w:before="78" w:line="220" w:lineRule="auto"/>
        <w:outlineLvl w:val="2"/>
        <w:rPr>
          <w:rFonts w:ascii="宋体" w:hAnsi="宋体" w:eastAsia="宋体" w:cs="宋体"/>
          <w:sz w:val="24"/>
          <w:szCs w:val="24"/>
        </w:rPr>
      </w:pPr>
      <w:bookmarkStart w:id="172" w:name="_Toc3738"/>
      <w:r>
        <w:rPr>
          <w:rFonts w:ascii="宋体" w:hAnsi="宋体" w:eastAsia="宋体" w:cs="宋体"/>
          <w:b/>
          <w:bCs/>
          <w:spacing w:val="-4"/>
          <w:sz w:val="24"/>
          <w:szCs w:val="24"/>
        </w:rPr>
        <w:t>格式一</w:t>
      </w:r>
      <w:r>
        <w:rPr>
          <w:rFonts w:ascii="宋体" w:hAnsi="宋体" w:eastAsia="宋体" w:cs="宋体"/>
          <w:spacing w:val="-4"/>
          <w:sz w:val="24"/>
          <w:szCs w:val="24"/>
        </w:rPr>
        <w:t xml:space="preserve"> </w:t>
      </w:r>
      <w:r>
        <w:rPr>
          <w:rFonts w:ascii="宋体" w:hAnsi="宋体" w:eastAsia="宋体" w:cs="宋体"/>
          <w:b/>
          <w:bCs/>
          <w:spacing w:val="-4"/>
          <w:sz w:val="24"/>
          <w:szCs w:val="24"/>
        </w:rPr>
        <w:t>封面</w:t>
      </w:r>
      <w:bookmarkEnd w:id="172"/>
    </w:p>
    <w:p w14:paraId="5E1BCC6C">
      <w:pPr>
        <w:pStyle w:val="5"/>
        <w:spacing w:line="258" w:lineRule="auto"/>
      </w:pPr>
    </w:p>
    <w:p w14:paraId="3F9958EB">
      <w:pPr>
        <w:pStyle w:val="5"/>
        <w:spacing w:line="258" w:lineRule="auto"/>
      </w:pPr>
    </w:p>
    <w:p w14:paraId="626103C5">
      <w:pPr>
        <w:pStyle w:val="5"/>
        <w:spacing w:line="258" w:lineRule="auto"/>
      </w:pPr>
    </w:p>
    <w:p w14:paraId="1E316F74">
      <w:pPr>
        <w:pStyle w:val="5"/>
        <w:spacing w:line="258" w:lineRule="auto"/>
      </w:pPr>
    </w:p>
    <w:p w14:paraId="74AEE2BD">
      <w:pPr>
        <w:pStyle w:val="5"/>
        <w:spacing w:line="259" w:lineRule="auto"/>
      </w:pPr>
    </w:p>
    <w:p w14:paraId="0D63FE21">
      <w:pPr>
        <w:pStyle w:val="5"/>
        <w:spacing w:line="259" w:lineRule="auto"/>
      </w:pPr>
    </w:p>
    <w:p w14:paraId="5A67A828">
      <w:pPr>
        <w:pStyle w:val="5"/>
        <w:spacing w:line="259" w:lineRule="auto"/>
      </w:pPr>
    </w:p>
    <w:p w14:paraId="51C4A133">
      <w:pPr>
        <w:pStyle w:val="5"/>
        <w:spacing w:line="259" w:lineRule="auto"/>
      </w:pPr>
    </w:p>
    <w:p w14:paraId="382B87B7">
      <w:pPr>
        <w:pStyle w:val="5"/>
        <w:spacing w:line="259" w:lineRule="auto"/>
      </w:pPr>
    </w:p>
    <w:p w14:paraId="362740A9">
      <w:pPr>
        <w:spacing w:before="153" w:line="225" w:lineRule="auto"/>
        <w:ind w:left="432"/>
        <w:jc w:val="center"/>
        <w:rPr>
          <w:rFonts w:ascii="宋体" w:hAnsi="宋体" w:eastAsia="宋体" w:cs="宋体"/>
          <w:sz w:val="47"/>
          <w:szCs w:val="47"/>
        </w:rPr>
      </w:pPr>
      <w:r>
        <w:rPr>
          <w:rFonts w:ascii="宋体" w:hAnsi="宋体" w:eastAsia="宋体" w:cs="宋体"/>
          <w:b/>
          <w:bCs/>
          <w:spacing w:val="8"/>
          <w:sz w:val="47"/>
          <w:szCs w:val="47"/>
        </w:rPr>
        <w:t>（项目名称</w:t>
      </w:r>
      <w:r>
        <w:rPr>
          <w:rFonts w:ascii="宋体" w:hAnsi="宋体" w:eastAsia="宋体" w:cs="宋体"/>
          <w:b/>
          <w:bCs/>
          <w:spacing w:val="-32"/>
          <w:sz w:val="47"/>
          <w:szCs w:val="47"/>
        </w:rPr>
        <w:t>）</w:t>
      </w:r>
      <w:r>
        <w:rPr>
          <w:rFonts w:ascii="宋体" w:hAnsi="宋体" w:eastAsia="宋体" w:cs="宋体"/>
          <w:b/>
          <w:bCs/>
          <w:spacing w:val="8"/>
          <w:sz w:val="47"/>
          <w:szCs w:val="47"/>
        </w:rPr>
        <w:t>施工招标</w:t>
      </w:r>
    </w:p>
    <w:p w14:paraId="47787006">
      <w:pPr>
        <w:pStyle w:val="5"/>
        <w:spacing w:line="247" w:lineRule="auto"/>
      </w:pPr>
    </w:p>
    <w:p w14:paraId="42896E13">
      <w:pPr>
        <w:pStyle w:val="5"/>
        <w:spacing w:line="247" w:lineRule="auto"/>
      </w:pPr>
    </w:p>
    <w:p w14:paraId="0FDE8F20">
      <w:pPr>
        <w:pStyle w:val="5"/>
        <w:spacing w:line="247" w:lineRule="auto"/>
      </w:pPr>
    </w:p>
    <w:p w14:paraId="51EF9079">
      <w:pPr>
        <w:pStyle w:val="5"/>
        <w:spacing w:line="247" w:lineRule="auto"/>
      </w:pPr>
    </w:p>
    <w:p w14:paraId="5C82D881">
      <w:pPr>
        <w:pStyle w:val="5"/>
        <w:spacing w:line="247" w:lineRule="auto"/>
      </w:pPr>
    </w:p>
    <w:p w14:paraId="365DD2DA">
      <w:pPr>
        <w:pStyle w:val="5"/>
        <w:spacing w:line="248" w:lineRule="auto"/>
      </w:pPr>
    </w:p>
    <w:p w14:paraId="1F903F6B">
      <w:pPr>
        <w:spacing w:before="231" w:line="223" w:lineRule="auto"/>
        <w:jc w:val="center"/>
        <w:rPr>
          <w:rFonts w:ascii="宋体" w:hAnsi="宋体" w:eastAsia="宋体" w:cs="宋体"/>
          <w:sz w:val="71"/>
          <w:szCs w:val="71"/>
        </w:rPr>
      </w:pPr>
      <w:r>
        <w:rPr>
          <w:rFonts w:ascii="宋体" w:hAnsi="宋体" w:eastAsia="宋体" w:cs="宋体"/>
          <w:b/>
          <w:bCs/>
          <w:spacing w:val="-26"/>
          <w:sz w:val="71"/>
          <w:szCs w:val="71"/>
        </w:rPr>
        <w:t>投</w:t>
      </w:r>
      <w:r>
        <w:rPr>
          <w:rFonts w:ascii="宋体" w:hAnsi="宋体" w:eastAsia="宋体" w:cs="宋体"/>
          <w:spacing w:val="22"/>
          <w:sz w:val="71"/>
          <w:szCs w:val="71"/>
        </w:rPr>
        <w:t xml:space="preserve">  </w:t>
      </w:r>
      <w:r>
        <w:rPr>
          <w:rFonts w:ascii="宋体" w:hAnsi="宋体" w:eastAsia="宋体" w:cs="宋体"/>
          <w:b/>
          <w:bCs/>
          <w:spacing w:val="-26"/>
          <w:sz w:val="71"/>
          <w:szCs w:val="71"/>
        </w:rPr>
        <w:t>标</w:t>
      </w:r>
      <w:r>
        <w:rPr>
          <w:rFonts w:ascii="宋体" w:hAnsi="宋体" w:eastAsia="宋体" w:cs="宋体"/>
          <w:spacing w:val="23"/>
          <w:sz w:val="71"/>
          <w:szCs w:val="71"/>
        </w:rPr>
        <w:t xml:space="preserve">  </w:t>
      </w:r>
      <w:r>
        <w:rPr>
          <w:rFonts w:ascii="宋体" w:hAnsi="宋体" w:eastAsia="宋体" w:cs="宋体"/>
          <w:b/>
          <w:bCs/>
          <w:spacing w:val="-26"/>
          <w:sz w:val="71"/>
          <w:szCs w:val="71"/>
        </w:rPr>
        <w:t>文</w:t>
      </w:r>
      <w:r>
        <w:rPr>
          <w:rFonts w:ascii="宋体" w:hAnsi="宋体" w:eastAsia="宋体" w:cs="宋体"/>
          <w:spacing w:val="19"/>
          <w:sz w:val="71"/>
          <w:szCs w:val="71"/>
        </w:rPr>
        <w:t xml:space="preserve">  </w:t>
      </w:r>
      <w:r>
        <w:rPr>
          <w:rFonts w:ascii="宋体" w:hAnsi="宋体" w:eastAsia="宋体" w:cs="宋体"/>
          <w:b/>
          <w:bCs/>
          <w:spacing w:val="-26"/>
          <w:sz w:val="71"/>
          <w:szCs w:val="71"/>
        </w:rPr>
        <w:t>件</w:t>
      </w:r>
    </w:p>
    <w:p w14:paraId="5CEA5305">
      <w:pPr>
        <w:pStyle w:val="5"/>
        <w:spacing w:line="293" w:lineRule="auto"/>
      </w:pPr>
    </w:p>
    <w:p w14:paraId="207F43DC">
      <w:pPr>
        <w:pStyle w:val="5"/>
        <w:spacing w:line="293" w:lineRule="auto"/>
      </w:pPr>
    </w:p>
    <w:p w14:paraId="3C7D8C69">
      <w:pPr>
        <w:spacing w:before="152" w:line="223" w:lineRule="auto"/>
        <w:jc w:val="center"/>
        <w:rPr>
          <w:rFonts w:ascii="宋体" w:hAnsi="宋体" w:eastAsia="宋体" w:cs="宋体"/>
          <w:sz w:val="47"/>
          <w:szCs w:val="47"/>
        </w:rPr>
      </w:pPr>
      <w:bookmarkStart w:id="173" w:name="bookmark105"/>
      <w:bookmarkEnd w:id="173"/>
      <w:r>
        <w:rPr>
          <w:rFonts w:ascii="宋体" w:hAnsi="宋体" w:eastAsia="宋体" w:cs="宋体"/>
          <w:b/>
          <w:bCs/>
          <w:spacing w:val="2"/>
          <w:sz w:val="47"/>
          <w:szCs w:val="47"/>
        </w:rPr>
        <w:t>（商务标书／经济标书／施工组织设计）</w:t>
      </w:r>
    </w:p>
    <w:p w14:paraId="7808D4CE">
      <w:pPr>
        <w:spacing w:line="223" w:lineRule="auto"/>
        <w:rPr>
          <w:rFonts w:ascii="宋体" w:hAnsi="宋体" w:eastAsia="宋体" w:cs="宋体"/>
          <w:sz w:val="47"/>
          <w:szCs w:val="47"/>
        </w:rPr>
      </w:pPr>
    </w:p>
    <w:p w14:paraId="14903EF5">
      <w:pPr>
        <w:pStyle w:val="38"/>
        <w:widowControl w:val="0"/>
        <w:wordWrap w:val="0"/>
        <w:adjustRightInd w:val="0"/>
        <w:snapToGrid w:val="0"/>
        <w:spacing w:line="360" w:lineRule="auto"/>
        <w:ind w:firstLine="0"/>
        <w:jc w:val="center"/>
        <w:rPr>
          <w:rFonts w:hint="eastAsia" w:ascii="宋体" w:hAnsi="宋体" w:eastAsia="宋体" w:cs="宋体"/>
          <w:bCs/>
          <w:snapToGrid w:val="0"/>
          <w:color w:val="000000"/>
          <w:sz w:val="32"/>
          <w:highlight w:val="none"/>
        </w:rPr>
      </w:pPr>
    </w:p>
    <w:p w14:paraId="74F76623">
      <w:pPr>
        <w:pStyle w:val="38"/>
        <w:widowControl w:val="0"/>
        <w:wordWrap w:val="0"/>
        <w:adjustRightInd w:val="0"/>
        <w:snapToGrid w:val="0"/>
        <w:spacing w:line="360" w:lineRule="auto"/>
        <w:ind w:firstLine="0"/>
        <w:jc w:val="center"/>
        <w:rPr>
          <w:rFonts w:hint="eastAsia" w:ascii="宋体" w:hAnsi="宋体" w:eastAsia="宋体" w:cs="宋体"/>
          <w:bCs/>
          <w:snapToGrid w:val="0"/>
          <w:color w:val="000000"/>
          <w:sz w:val="32"/>
          <w:highlight w:val="none"/>
        </w:rPr>
      </w:pPr>
      <w:r>
        <w:rPr>
          <w:rFonts w:hint="eastAsia" w:ascii="宋体" w:hAnsi="宋体" w:eastAsia="宋体" w:cs="宋体"/>
          <w:bCs/>
          <w:snapToGrid w:val="0"/>
          <w:color w:val="000000"/>
          <w:sz w:val="32"/>
          <w:highlight w:val="none"/>
        </w:rPr>
        <w:t>投标人：</w:t>
      </w:r>
      <w:r>
        <w:rPr>
          <w:rFonts w:hint="eastAsia" w:ascii="宋体" w:hAnsi="宋体" w:eastAsia="宋体" w:cs="宋体"/>
          <w:bCs/>
          <w:snapToGrid w:val="0"/>
          <w:color w:val="000000"/>
          <w:sz w:val="32"/>
          <w:highlight w:val="none"/>
          <w:u w:val="single"/>
        </w:rPr>
        <w:t xml:space="preserve">                                    </w:t>
      </w:r>
      <w:r>
        <w:rPr>
          <w:rFonts w:hint="eastAsia" w:ascii="宋体" w:hAnsi="宋体" w:eastAsia="宋体" w:cs="宋体"/>
          <w:bCs/>
          <w:snapToGrid w:val="0"/>
          <w:color w:val="000000"/>
          <w:sz w:val="32"/>
          <w:highlight w:val="none"/>
        </w:rPr>
        <w:t>（盖单位章）</w:t>
      </w:r>
    </w:p>
    <w:p w14:paraId="4ECCB843">
      <w:pPr>
        <w:pStyle w:val="38"/>
        <w:widowControl w:val="0"/>
        <w:wordWrap w:val="0"/>
        <w:adjustRightInd w:val="0"/>
        <w:snapToGrid w:val="0"/>
        <w:spacing w:line="360" w:lineRule="auto"/>
        <w:ind w:firstLine="0"/>
        <w:jc w:val="center"/>
        <w:rPr>
          <w:rFonts w:hint="eastAsia" w:ascii="宋体" w:hAnsi="宋体" w:eastAsia="宋体" w:cs="宋体"/>
          <w:bCs/>
          <w:snapToGrid w:val="0"/>
          <w:color w:val="000000"/>
          <w:sz w:val="32"/>
          <w:highlight w:val="none"/>
        </w:rPr>
      </w:pPr>
    </w:p>
    <w:p w14:paraId="18907C79">
      <w:pPr>
        <w:pStyle w:val="38"/>
        <w:widowControl w:val="0"/>
        <w:wordWrap w:val="0"/>
        <w:adjustRightInd w:val="0"/>
        <w:snapToGrid w:val="0"/>
        <w:spacing w:line="360" w:lineRule="auto"/>
        <w:ind w:firstLine="0"/>
        <w:jc w:val="center"/>
        <w:rPr>
          <w:rFonts w:hint="eastAsia" w:ascii="宋体" w:hAnsi="宋体" w:eastAsia="宋体" w:cs="宋体"/>
          <w:bCs/>
          <w:snapToGrid w:val="0"/>
          <w:color w:val="000000"/>
          <w:sz w:val="32"/>
          <w:highlight w:val="none"/>
        </w:rPr>
      </w:pPr>
    </w:p>
    <w:p w14:paraId="1CD2DCA3">
      <w:pPr>
        <w:pStyle w:val="38"/>
        <w:widowControl w:val="0"/>
        <w:wordWrap w:val="0"/>
        <w:adjustRightInd w:val="0"/>
        <w:snapToGrid w:val="0"/>
        <w:spacing w:line="360" w:lineRule="auto"/>
        <w:ind w:firstLine="0"/>
        <w:jc w:val="center"/>
        <w:rPr>
          <w:rFonts w:hint="eastAsia" w:ascii="宋体" w:hAnsi="宋体" w:eastAsia="宋体" w:cs="宋体"/>
          <w:bCs/>
          <w:snapToGrid w:val="0"/>
          <w:color w:val="000000"/>
          <w:sz w:val="32"/>
          <w:highlight w:val="none"/>
        </w:rPr>
      </w:pPr>
      <w:r>
        <w:rPr>
          <w:rFonts w:hint="eastAsia" w:ascii="宋体" w:hAnsi="宋体" w:eastAsia="宋体" w:cs="宋体"/>
          <w:bCs/>
          <w:snapToGrid w:val="0"/>
          <w:color w:val="000000"/>
          <w:sz w:val="32"/>
          <w:highlight w:val="none"/>
        </w:rPr>
        <w:t>法定代表人或其委托代理人：</w:t>
      </w:r>
      <w:r>
        <w:rPr>
          <w:rFonts w:hint="eastAsia" w:ascii="宋体" w:hAnsi="宋体" w:eastAsia="宋体" w:cs="宋体"/>
          <w:bCs/>
          <w:snapToGrid w:val="0"/>
          <w:color w:val="000000"/>
          <w:sz w:val="32"/>
          <w:highlight w:val="none"/>
          <w:u w:val="single"/>
        </w:rPr>
        <w:t xml:space="preserve">                 </w:t>
      </w:r>
      <w:r>
        <w:rPr>
          <w:rFonts w:hint="eastAsia" w:ascii="宋体" w:hAnsi="宋体" w:eastAsia="宋体" w:cs="宋体"/>
          <w:bCs/>
          <w:snapToGrid w:val="0"/>
          <w:color w:val="000000"/>
          <w:sz w:val="32"/>
          <w:highlight w:val="none"/>
        </w:rPr>
        <w:t>（签字或盖章）</w:t>
      </w:r>
    </w:p>
    <w:p w14:paraId="370F0DD4">
      <w:pPr>
        <w:pStyle w:val="38"/>
        <w:widowControl w:val="0"/>
        <w:wordWrap w:val="0"/>
        <w:adjustRightInd w:val="0"/>
        <w:snapToGrid w:val="0"/>
        <w:spacing w:line="360" w:lineRule="auto"/>
        <w:ind w:firstLine="0"/>
        <w:jc w:val="center"/>
        <w:rPr>
          <w:rFonts w:hint="eastAsia" w:ascii="宋体" w:hAnsi="宋体" w:eastAsia="宋体" w:cs="宋体"/>
          <w:bCs/>
          <w:snapToGrid w:val="0"/>
          <w:color w:val="000000"/>
          <w:sz w:val="32"/>
          <w:highlight w:val="none"/>
        </w:rPr>
      </w:pPr>
    </w:p>
    <w:p w14:paraId="4871A6DF">
      <w:pPr>
        <w:pStyle w:val="38"/>
        <w:widowControl w:val="0"/>
        <w:wordWrap w:val="0"/>
        <w:adjustRightInd w:val="0"/>
        <w:snapToGrid w:val="0"/>
        <w:spacing w:line="360" w:lineRule="auto"/>
        <w:ind w:firstLine="0"/>
        <w:jc w:val="center"/>
        <w:rPr>
          <w:rFonts w:hint="eastAsia" w:ascii="宋体" w:hAnsi="宋体" w:eastAsia="宋体" w:cs="宋体"/>
          <w:bCs/>
          <w:snapToGrid w:val="0"/>
          <w:color w:val="000000"/>
          <w:sz w:val="32"/>
          <w:highlight w:val="none"/>
          <w:u w:val="single"/>
        </w:rPr>
      </w:pPr>
    </w:p>
    <w:p w14:paraId="68784B0B">
      <w:pPr>
        <w:pStyle w:val="38"/>
        <w:widowControl w:val="0"/>
        <w:wordWrap w:val="0"/>
        <w:adjustRightInd w:val="0"/>
        <w:snapToGrid w:val="0"/>
        <w:spacing w:line="360" w:lineRule="auto"/>
        <w:ind w:firstLine="0"/>
        <w:jc w:val="center"/>
        <w:rPr>
          <w:rFonts w:hint="eastAsia" w:ascii="宋体" w:hAnsi="宋体" w:eastAsia="宋体" w:cs="宋体"/>
          <w:b/>
          <w:snapToGrid w:val="0"/>
          <w:color w:val="000000"/>
          <w:highlight w:val="none"/>
        </w:rPr>
      </w:pPr>
      <w:r>
        <w:rPr>
          <w:rFonts w:hint="eastAsia" w:ascii="宋体" w:hAnsi="宋体" w:eastAsia="宋体" w:cs="宋体"/>
          <w:bCs/>
          <w:snapToGrid w:val="0"/>
          <w:color w:val="000000"/>
          <w:sz w:val="32"/>
          <w:highlight w:val="none"/>
          <w:u w:val="single"/>
        </w:rPr>
        <w:t xml:space="preserve">         </w:t>
      </w:r>
      <w:r>
        <w:rPr>
          <w:rFonts w:hint="eastAsia" w:ascii="宋体" w:hAnsi="宋体" w:eastAsia="宋体" w:cs="宋体"/>
          <w:bCs/>
          <w:snapToGrid w:val="0"/>
          <w:color w:val="000000"/>
          <w:sz w:val="32"/>
          <w:highlight w:val="none"/>
        </w:rPr>
        <w:t>年</w:t>
      </w:r>
      <w:r>
        <w:rPr>
          <w:rFonts w:hint="eastAsia" w:ascii="宋体" w:hAnsi="宋体" w:eastAsia="宋体" w:cs="宋体"/>
          <w:bCs/>
          <w:snapToGrid w:val="0"/>
          <w:color w:val="000000"/>
          <w:sz w:val="32"/>
          <w:highlight w:val="none"/>
          <w:u w:val="single"/>
        </w:rPr>
        <w:t xml:space="preserve">      </w:t>
      </w:r>
      <w:r>
        <w:rPr>
          <w:rFonts w:hint="eastAsia" w:ascii="宋体" w:hAnsi="宋体" w:eastAsia="宋体" w:cs="宋体"/>
          <w:bCs/>
          <w:snapToGrid w:val="0"/>
          <w:color w:val="000000"/>
          <w:sz w:val="32"/>
          <w:highlight w:val="none"/>
        </w:rPr>
        <w:t>月</w:t>
      </w:r>
      <w:r>
        <w:rPr>
          <w:rFonts w:hint="eastAsia" w:ascii="宋体" w:hAnsi="宋体" w:eastAsia="宋体" w:cs="宋体"/>
          <w:bCs/>
          <w:snapToGrid w:val="0"/>
          <w:color w:val="000000"/>
          <w:sz w:val="32"/>
          <w:highlight w:val="none"/>
          <w:u w:val="single"/>
        </w:rPr>
        <w:t xml:space="preserve">      </w:t>
      </w:r>
      <w:r>
        <w:rPr>
          <w:rFonts w:hint="eastAsia" w:ascii="宋体" w:hAnsi="宋体" w:eastAsia="宋体" w:cs="宋体"/>
          <w:bCs/>
          <w:snapToGrid w:val="0"/>
          <w:color w:val="000000"/>
          <w:sz w:val="32"/>
          <w:highlight w:val="none"/>
        </w:rPr>
        <w:t>日</w:t>
      </w:r>
    </w:p>
    <w:p w14:paraId="40B0F245">
      <w:pPr>
        <w:pStyle w:val="3"/>
        <w:sectPr>
          <w:footerReference r:id="rId16" w:type="default"/>
          <w:pgSz w:w="11906" w:h="16839"/>
          <w:pgMar w:top="720" w:right="720" w:bottom="720" w:left="720" w:header="0" w:footer="1023" w:gutter="0"/>
          <w:cols w:space="720" w:num="1"/>
        </w:sectPr>
      </w:pPr>
    </w:p>
    <w:p w14:paraId="3E21FB9B">
      <w:pPr>
        <w:spacing w:before="78" w:line="220" w:lineRule="auto"/>
        <w:outlineLvl w:val="2"/>
        <w:rPr>
          <w:rFonts w:ascii="宋体" w:hAnsi="宋体" w:eastAsia="宋体" w:cs="宋体"/>
          <w:b/>
          <w:bCs/>
          <w:spacing w:val="-4"/>
          <w:sz w:val="24"/>
          <w:szCs w:val="24"/>
        </w:rPr>
      </w:pPr>
      <w:bookmarkStart w:id="174" w:name="_Toc29001"/>
      <w:r>
        <w:rPr>
          <w:rFonts w:ascii="宋体" w:hAnsi="宋体" w:eastAsia="宋体" w:cs="宋体"/>
          <w:b/>
          <w:bCs/>
          <w:spacing w:val="-4"/>
          <w:sz w:val="24"/>
          <w:szCs w:val="24"/>
        </w:rPr>
        <w:t>格式二 投标函</w:t>
      </w:r>
      <w:bookmarkEnd w:id="174"/>
    </w:p>
    <w:p w14:paraId="31577FD2">
      <w:pPr>
        <w:pStyle w:val="5"/>
        <w:spacing w:line="261" w:lineRule="auto"/>
      </w:pPr>
    </w:p>
    <w:p w14:paraId="624F89D5">
      <w:pPr>
        <w:spacing w:before="97" w:line="221" w:lineRule="auto"/>
        <w:ind w:left="3799"/>
        <w:outlineLvl w:val="1"/>
        <w:rPr>
          <w:rFonts w:ascii="宋体" w:hAnsi="宋体" w:eastAsia="宋体" w:cs="宋体"/>
          <w:sz w:val="30"/>
          <w:szCs w:val="30"/>
        </w:rPr>
      </w:pPr>
      <w:bookmarkStart w:id="175" w:name="bookmark148"/>
      <w:bookmarkEnd w:id="175"/>
      <w:bookmarkStart w:id="176" w:name="_Toc27397"/>
      <w:bookmarkStart w:id="177" w:name="_Toc317"/>
      <w:r>
        <w:rPr>
          <w:rFonts w:ascii="宋体" w:hAnsi="宋体" w:eastAsia="宋体" w:cs="宋体"/>
          <w:b/>
          <w:bCs/>
          <w:spacing w:val="-13"/>
          <w:sz w:val="30"/>
          <w:szCs w:val="30"/>
        </w:rPr>
        <w:t>投</w:t>
      </w:r>
      <w:r>
        <w:rPr>
          <w:rFonts w:ascii="宋体" w:hAnsi="宋体" w:eastAsia="宋体" w:cs="宋体"/>
          <w:spacing w:val="6"/>
          <w:sz w:val="30"/>
          <w:szCs w:val="30"/>
        </w:rPr>
        <w:t xml:space="preserve">  </w:t>
      </w:r>
      <w:r>
        <w:rPr>
          <w:rFonts w:ascii="宋体" w:hAnsi="宋体" w:eastAsia="宋体" w:cs="宋体"/>
          <w:b/>
          <w:bCs/>
          <w:spacing w:val="-13"/>
          <w:sz w:val="30"/>
          <w:szCs w:val="30"/>
        </w:rPr>
        <w:t>标</w:t>
      </w:r>
      <w:r>
        <w:rPr>
          <w:rFonts w:ascii="宋体" w:hAnsi="宋体" w:eastAsia="宋体" w:cs="宋体"/>
          <w:spacing w:val="17"/>
          <w:sz w:val="30"/>
          <w:szCs w:val="30"/>
        </w:rPr>
        <w:t xml:space="preserve">  </w:t>
      </w:r>
      <w:r>
        <w:rPr>
          <w:rFonts w:ascii="宋体" w:hAnsi="宋体" w:eastAsia="宋体" w:cs="宋体"/>
          <w:b/>
          <w:bCs/>
          <w:spacing w:val="-13"/>
          <w:sz w:val="30"/>
          <w:szCs w:val="30"/>
        </w:rPr>
        <w:t>函</w:t>
      </w:r>
      <w:bookmarkEnd w:id="176"/>
      <w:bookmarkEnd w:id="177"/>
    </w:p>
    <w:p w14:paraId="2240340E">
      <w:pPr>
        <w:pStyle w:val="5"/>
        <w:spacing w:line="249" w:lineRule="auto"/>
      </w:pPr>
    </w:p>
    <w:p w14:paraId="7C82A4DF">
      <w:pPr>
        <w:pStyle w:val="5"/>
        <w:spacing w:line="250" w:lineRule="auto"/>
      </w:pPr>
    </w:p>
    <w:p w14:paraId="2D0ED92F">
      <w:pPr>
        <w:pStyle w:val="5"/>
        <w:spacing w:line="250" w:lineRule="auto"/>
      </w:pPr>
    </w:p>
    <w:p w14:paraId="54CDB33A">
      <w:pPr>
        <w:spacing w:before="78" w:line="221" w:lineRule="auto"/>
        <w:ind w:left="9"/>
        <w:rPr>
          <w:rFonts w:ascii="宋体" w:hAnsi="宋体" w:eastAsia="宋体" w:cs="宋体"/>
          <w:sz w:val="24"/>
          <w:szCs w:val="24"/>
        </w:rPr>
      </w:pPr>
      <w:r>
        <w:rPr>
          <w:rFonts w:ascii="宋体" w:hAnsi="宋体" w:eastAsia="宋体" w:cs="宋体"/>
          <w:spacing w:val="7"/>
          <w:sz w:val="24"/>
          <w:szCs w:val="24"/>
        </w:rPr>
        <w:t>致</w:t>
      </w:r>
      <w:r>
        <w:rPr>
          <w:rFonts w:ascii="宋体" w:hAnsi="宋体" w:eastAsia="宋体" w:cs="宋体"/>
          <w:spacing w:val="-30"/>
          <w:sz w:val="24"/>
          <w:szCs w:val="24"/>
        </w:rPr>
        <w:t>：（</w:t>
      </w:r>
      <w:r>
        <w:rPr>
          <w:rFonts w:ascii="宋体" w:hAnsi="宋体" w:eastAsia="宋体" w:cs="宋体"/>
          <w:spacing w:val="7"/>
          <w:sz w:val="24"/>
          <w:szCs w:val="24"/>
        </w:rPr>
        <w:t>招标人名称）</w:t>
      </w:r>
    </w:p>
    <w:p w14:paraId="2464FB5B">
      <w:pPr>
        <w:pStyle w:val="5"/>
        <w:spacing w:before="156" w:line="328" w:lineRule="auto"/>
        <w:ind w:left="9" w:right="142" w:firstLine="589"/>
        <w:jc w:val="both"/>
        <w:rPr>
          <w:rFonts w:ascii="宋体" w:hAnsi="宋体" w:eastAsia="宋体" w:cs="宋体"/>
          <w:sz w:val="24"/>
          <w:szCs w:val="24"/>
        </w:rPr>
      </w:pPr>
      <w:r>
        <w:rPr>
          <w:rFonts w:ascii="Times New Roman" w:hAnsi="Times New Roman" w:eastAsia="Times New Roman" w:cs="Times New Roman"/>
          <w:sz w:val="24"/>
          <w:szCs w:val="24"/>
        </w:rPr>
        <w:t xml:space="preserve">1.  </w:t>
      </w:r>
      <w:r>
        <w:rPr>
          <w:rFonts w:ascii="宋体" w:hAnsi="宋体" w:eastAsia="宋体" w:cs="宋体"/>
          <w:sz w:val="24"/>
          <w:szCs w:val="24"/>
        </w:rPr>
        <w:t>我方考察现场并充分研究（项目名称</w:t>
      </w:r>
      <w:r>
        <w:rPr>
          <w:rFonts w:ascii="宋体" w:hAnsi="宋体" w:eastAsia="宋体" w:cs="宋体"/>
          <w:spacing w:val="-12"/>
          <w:sz w:val="24"/>
          <w:szCs w:val="24"/>
        </w:rPr>
        <w:t>）（</w:t>
      </w:r>
      <w:r>
        <w:rPr>
          <w:rFonts w:ascii="宋体" w:hAnsi="宋体" w:eastAsia="宋体" w:cs="宋体"/>
          <w:sz w:val="24"/>
          <w:szCs w:val="24"/>
        </w:rPr>
        <w:t>以下简称“本项目</w:t>
      </w:r>
      <w:r>
        <w:rPr>
          <w:rFonts w:ascii="宋体" w:hAnsi="宋体" w:eastAsia="宋体" w:cs="宋体"/>
          <w:spacing w:val="-85"/>
          <w:sz w:val="24"/>
          <w:szCs w:val="24"/>
        </w:rPr>
        <w:t xml:space="preserve"> </w:t>
      </w:r>
      <w:r>
        <w:rPr>
          <w:rFonts w:ascii="宋体" w:hAnsi="宋体" w:eastAsia="宋体" w:cs="宋体"/>
          <w:sz w:val="24"/>
          <w:szCs w:val="24"/>
        </w:rPr>
        <w:t>”）施工招标文件</w:t>
      </w:r>
      <w:r>
        <w:rPr>
          <w:rFonts w:ascii="宋体" w:hAnsi="宋体" w:eastAsia="宋体" w:cs="宋体"/>
          <w:spacing w:val="-2"/>
          <w:sz w:val="24"/>
          <w:szCs w:val="24"/>
        </w:rPr>
        <w:t>所有内容后，结合自身资质、能力和特点，愿意接受招标文件的全部内容和条件，兹以</w:t>
      </w:r>
      <w:r>
        <w:rPr>
          <w:rFonts w:ascii="宋体" w:hAnsi="宋体" w:eastAsia="宋体" w:cs="宋体"/>
          <w:spacing w:val="-5"/>
          <w:sz w:val="24"/>
          <w:szCs w:val="24"/>
        </w:rPr>
        <w:t>人民币（大写</w:t>
      </w:r>
      <w:r>
        <w:rPr>
          <w:rFonts w:ascii="宋体" w:hAnsi="宋体" w:eastAsia="宋体" w:cs="宋体"/>
          <w:spacing w:val="2"/>
          <w:sz w:val="24"/>
          <w:szCs w:val="24"/>
        </w:rPr>
        <w:t>）：</w:t>
      </w:r>
      <w:r>
        <w:rPr>
          <w:rFonts w:ascii="宋体" w:hAnsi="宋体" w:eastAsia="宋体" w:cs="宋体"/>
          <w:sz w:val="24"/>
          <w:szCs w:val="24"/>
          <w:u w:val="single"/>
        </w:rPr>
        <w:t xml:space="preserve">      </w:t>
      </w:r>
      <w:r>
        <w:rPr>
          <w:rFonts w:ascii="宋体" w:hAnsi="宋体" w:eastAsia="宋体" w:cs="宋体"/>
          <w:spacing w:val="15"/>
          <w:sz w:val="24"/>
          <w:szCs w:val="24"/>
        </w:rPr>
        <w:t xml:space="preserve"> </w:t>
      </w:r>
      <w:r>
        <w:rPr>
          <w:rFonts w:ascii="宋体" w:hAnsi="宋体" w:eastAsia="宋体" w:cs="宋体"/>
          <w:spacing w:val="-5"/>
          <w:sz w:val="24"/>
          <w:szCs w:val="24"/>
        </w:rPr>
        <w:t>(</w:t>
      </w:r>
      <w:r>
        <w:rPr>
          <w:spacing w:val="-5"/>
          <w:sz w:val="24"/>
          <w:szCs w:val="24"/>
        </w:rPr>
        <w:t>¥</w:t>
      </w:r>
      <w:r>
        <w:rPr>
          <w:spacing w:val="-66"/>
          <w:sz w:val="24"/>
          <w:szCs w:val="24"/>
        </w:rPr>
        <w:t xml:space="preserve"> </w:t>
      </w:r>
      <w:r>
        <w:rPr>
          <w:spacing w:val="2"/>
          <w:sz w:val="24"/>
          <w:szCs w:val="24"/>
          <w:u w:val="single"/>
        </w:rPr>
        <w:t xml:space="preserve">     </w:t>
      </w:r>
      <w:r>
        <w:rPr>
          <w:rFonts w:hint="eastAsia" w:eastAsia="宋体"/>
          <w:spacing w:val="2"/>
          <w:sz w:val="24"/>
          <w:szCs w:val="24"/>
          <w:u w:val="single"/>
          <w:lang w:val="en-US" w:eastAsia="zh-CN"/>
        </w:rPr>
        <w:t xml:space="preserve">       </w:t>
      </w:r>
      <w:r>
        <w:rPr>
          <w:spacing w:val="2"/>
          <w:sz w:val="24"/>
          <w:szCs w:val="24"/>
          <w:u w:val="single"/>
        </w:rPr>
        <w:t xml:space="preserve">  </w:t>
      </w:r>
      <w:r>
        <w:rPr>
          <w:spacing w:val="-32"/>
          <w:sz w:val="24"/>
          <w:szCs w:val="24"/>
        </w:rPr>
        <w:t xml:space="preserve"> </w:t>
      </w:r>
      <w:r>
        <w:rPr>
          <w:rFonts w:ascii="宋体" w:hAnsi="宋体" w:eastAsia="宋体" w:cs="宋体"/>
          <w:spacing w:val="-5"/>
          <w:sz w:val="24"/>
          <w:szCs w:val="24"/>
        </w:rPr>
        <w:t>)</w:t>
      </w:r>
      <w:r>
        <w:rPr>
          <w:rFonts w:ascii="宋体" w:hAnsi="宋体" w:eastAsia="宋体" w:cs="宋体"/>
          <w:spacing w:val="45"/>
          <w:sz w:val="24"/>
          <w:szCs w:val="24"/>
        </w:rPr>
        <w:t xml:space="preserve"> </w:t>
      </w:r>
      <w:r>
        <w:rPr>
          <w:rFonts w:ascii="宋体" w:hAnsi="宋体" w:eastAsia="宋体" w:cs="宋体"/>
          <w:spacing w:val="-5"/>
          <w:sz w:val="24"/>
          <w:szCs w:val="24"/>
        </w:rPr>
        <w:t>的投标总价竞投本项目施工。</w:t>
      </w:r>
    </w:p>
    <w:p w14:paraId="1626BFEF">
      <w:pPr>
        <w:spacing w:before="39" w:line="323" w:lineRule="auto"/>
        <w:ind w:right="142" w:firstLine="579"/>
        <w:rPr>
          <w:rFonts w:ascii="宋体" w:hAnsi="宋体" w:eastAsia="宋体" w:cs="宋体"/>
          <w:sz w:val="24"/>
          <w:szCs w:val="24"/>
        </w:rPr>
      </w:pPr>
      <w:r>
        <w:rPr>
          <w:rFonts w:ascii="宋体" w:hAnsi="宋体" w:eastAsia="宋体" w:cs="宋体"/>
          <w:spacing w:val="-2"/>
          <w:sz w:val="24"/>
          <w:szCs w:val="24"/>
        </w:rPr>
        <w:t>在我方的上述投标总价中，包括：安全</w:t>
      </w:r>
      <w:r>
        <w:rPr>
          <w:rFonts w:hint="eastAsia" w:ascii="宋体" w:hAnsi="宋体" w:eastAsia="宋体" w:cs="宋体"/>
          <w:spacing w:val="-2"/>
          <w:sz w:val="24"/>
          <w:szCs w:val="24"/>
          <w:lang w:val="en-US" w:eastAsia="zh-CN"/>
        </w:rPr>
        <w:t>生产</w:t>
      </w:r>
      <w:r>
        <w:rPr>
          <w:rFonts w:ascii="宋体" w:hAnsi="宋体" w:eastAsia="宋体" w:cs="宋体"/>
          <w:spacing w:val="-2"/>
          <w:sz w:val="24"/>
          <w:szCs w:val="24"/>
        </w:rPr>
        <w:t>措施费</w:t>
      </w:r>
      <w:r>
        <w:rPr>
          <w:rFonts w:ascii="Times New Roman" w:hAnsi="Times New Roman" w:eastAsia="Times New Roman" w:cs="Times New Roman"/>
          <w:spacing w:val="-2"/>
          <w:sz w:val="24"/>
          <w:szCs w:val="24"/>
        </w:rPr>
        <w:t>¥</w:t>
      </w:r>
      <w:r>
        <w:rPr>
          <w:rFonts w:ascii="Times New Roman" w:hAnsi="Times New Roman" w:eastAsia="Times New Roman" w:cs="Times New Roman"/>
          <w:spacing w:val="-3"/>
          <w:sz w:val="24"/>
          <w:szCs w:val="24"/>
          <w:u w:val="single"/>
        </w:rPr>
        <w:t xml:space="preserve">            </w:t>
      </w:r>
      <w:r>
        <w:rPr>
          <w:rFonts w:hint="eastAsia" w:ascii="Times New Roman" w:hAnsi="Times New Roman" w:eastAsia="宋体" w:cs="Times New Roman"/>
          <w:spacing w:val="-3"/>
          <w:sz w:val="24"/>
          <w:szCs w:val="24"/>
          <w:u w:val="single"/>
          <w:lang w:eastAsia="zh-CN"/>
        </w:rPr>
        <w:t>；</w:t>
      </w:r>
      <w:r>
        <w:rPr>
          <w:rFonts w:hint="eastAsia" w:ascii="Times New Roman" w:hAnsi="Times New Roman" w:eastAsia="宋体" w:cs="Times New Roman"/>
          <w:spacing w:val="-3"/>
          <w:sz w:val="24"/>
          <w:szCs w:val="24"/>
          <w:u w:val="none"/>
          <w:lang w:eastAsia="zh-CN"/>
        </w:rPr>
        <w:t>暂列金额</w:t>
      </w:r>
      <w:r>
        <w:rPr>
          <w:rFonts w:ascii="Times New Roman" w:hAnsi="Times New Roman" w:eastAsia="Times New Roman" w:cs="Times New Roman"/>
          <w:spacing w:val="-2"/>
          <w:sz w:val="24"/>
          <w:szCs w:val="24"/>
        </w:rPr>
        <w:t>¥</w:t>
      </w:r>
      <w:r>
        <w:rPr>
          <w:rFonts w:ascii="Times New Roman" w:hAnsi="Times New Roman" w:eastAsia="Times New Roman" w:cs="Times New Roman"/>
          <w:spacing w:val="-3"/>
          <w:sz w:val="24"/>
          <w:szCs w:val="24"/>
          <w:u w:val="single"/>
        </w:rPr>
        <w:t xml:space="preserve">            </w:t>
      </w:r>
      <w:r>
        <w:rPr>
          <w:rFonts w:hint="eastAsia" w:ascii="Times New Roman" w:hAnsi="Times New Roman" w:eastAsia="宋体" w:cs="Times New Roman"/>
          <w:spacing w:val="-3"/>
          <w:sz w:val="24"/>
          <w:szCs w:val="24"/>
          <w:u w:val="single"/>
          <w:lang w:eastAsia="zh-CN"/>
        </w:rPr>
        <w:t>；</w:t>
      </w:r>
      <w:r>
        <w:rPr>
          <w:rFonts w:hint="eastAsia" w:ascii="Times New Roman" w:hAnsi="Times New Roman" w:eastAsia="宋体" w:cs="Times New Roman"/>
          <w:spacing w:val="-3"/>
          <w:sz w:val="24"/>
          <w:szCs w:val="24"/>
          <w:u w:val="none"/>
          <w:lang w:eastAsia="zh-CN"/>
        </w:rPr>
        <w:t>暂估价</w:t>
      </w:r>
      <w:r>
        <w:rPr>
          <w:rFonts w:ascii="Times New Roman" w:hAnsi="Times New Roman" w:eastAsia="Times New Roman" w:cs="Times New Roman"/>
          <w:spacing w:val="-2"/>
          <w:sz w:val="24"/>
          <w:szCs w:val="24"/>
        </w:rPr>
        <w:t>¥</w:t>
      </w:r>
      <w:r>
        <w:rPr>
          <w:rFonts w:ascii="Times New Roman" w:hAnsi="Times New Roman" w:eastAsia="Times New Roman" w:cs="Times New Roman"/>
          <w:spacing w:val="-3"/>
          <w:sz w:val="24"/>
          <w:szCs w:val="24"/>
          <w:u w:val="single"/>
        </w:rPr>
        <w:t xml:space="preserve">                </w:t>
      </w:r>
      <w:r>
        <w:rPr>
          <w:rFonts w:ascii="宋体" w:hAnsi="宋体" w:eastAsia="宋体" w:cs="宋体"/>
          <w:spacing w:val="-8"/>
          <w:sz w:val="24"/>
          <w:szCs w:val="24"/>
        </w:rPr>
        <w:t>。</w:t>
      </w:r>
    </w:p>
    <w:p w14:paraId="12A9F2DA">
      <w:pPr>
        <w:spacing w:before="38" w:line="280" w:lineRule="auto"/>
        <w:ind w:left="13" w:right="142" w:firstLine="562"/>
        <w:rPr>
          <w:rFonts w:ascii="宋体" w:hAnsi="宋体" w:eastAsia="宋体" w:cs="宋体"/>
          <w:sz w:val="24"/>
          <w:szCs w:val="24"/>
        </w:rPr>
      </w:pPr>
      <w:r>
        <w:rPr>
          <w:rFonts w:ascii="Times New Roman" w:hAnsi="Times New Roman" w:eastAsia="Times New Roman" w:cs="Times New Roman"/>
          <w:spacing w:val="1"/>
          <w:sz w:val="24"/>
          <w:szCs w:val="24"/>
        </w:rPr>
        <w:t xml:space="preserve">2.  </w:t>
      </w:r>
      <w:r>
        <w:rPr>
          <w:rFonts w:ascii="宋体" w:hAnsi="宋体" w:eastAsia="宋体" w:cs="宋体"/>
          <w:spacing w:val="1"/>
          <w:sz w:val="24"/>
          <w:szCs w:val="24"/>
        </w:rPr>
        <w:t>如果我方中标，我方保证按照合同约定的开工日期开始本项目的施工</w:t>
      </w:r>
      <w:r>
        <w:rPr>
          <w:rFonts w:ascii="宋体" w:hAnsi="宋体" w:eastAsia="宋体" w:cs="宋体"/>
          <w:sz w:val="24"/>
          <w:szCs w:val="24"/>
        </w:rPr>
        <w:t>，</w:t>
      </w:r>
      <w:r>
        <w:rPr>
          <w:rFonts w:ascii="Times New Roman" w:hAnsi="Times New Roman" w:eastAsia="Times New Roman" w:cs="Times New Roman"/>
          <w:spacing w:val="-3"/>
          <w:sz w:val="24"/>
          <w:szCs w:val="24"/>
          <w:u w:val="single"/>
        </w:rPr>
        <w:t xml:space="preserve">          </w:t>
      </w:r>
      <w:r>
        <w:rPr>
          <w:rFonts w:ascii="宋体" w:hAnsi="宋体" w:eastAsia="宋体" w:cs="宋体"/>
          <w:sz w:val="24"/>
          <w:szCs w:val="24"/>
        </w:rPr>
        <w:t>个日历</w:t>
      </w:r>
      <w:r>
        <w:rPr>
          <w:rFonts w:ascii="宋体" w:hAnsi="宋体" w:eastAsia="宋体" w:cs="宋体"/>
          <w:spacing w:val="-1"/>
          <w:sz w:val="24"/>
          <w:szCs w:val="24"/>
        </w:rPr>
        <w:t>天内竣工，并确保工程质量达到</w:t>
      </w:r>
      <w:r>
        <w:rPr>
          <w:rFonts w:ascii="Times New Roman" w:hAnsi="Times New Roman" w:eastAsia="Times New Roman" w:cs="Times New Roman"/>
          <w:spacing w:val="-3"/>
          <w:sz w:val="24"/>
          <w:szCs w:val="24"/>
          <w:u w:val="single"/>
        </w:rPr>
        <w:t xml:space="preserve">          </w:t>
      </w:r>
      <w:r>
        <w:rPr>
          <w:rFonts w:ascii="宋体" w:hAnsi="宋体" w:eastAsia="宋体" w:cs="宋体"/>
          <w:spacing w:val="-1"/>
          <w:sz w:val="24"/>
          <w:szCs w:val="24"/>
        </w:rPr>
        <w:t>标准和维修其中的任何缺陷。</w:t>
      </w:r>
    </w:p>
    <w:p w14:paraId="0B6977AF">
      <w:pPr>
        <w:spacing w:before="152" w:line="279" w:lineRule="auto"/>
        <w:ind w:left="11" w:right="142" w:firstLine="568"/>
        <w:rPr>
          <w:rFonts w:ascii="宋体" w:hAnsi="宋体" w:eastAsia="宋体" w:cs="宋体"/>
          <w:sz w:val="24"/>
          <w:szCs w:val="24"/>
        </w:rPr>
      </w:pPr>
      <w:r>
        <w:rPr>
          <w:rFonts w:ascii="Times New Roman" w:hAnsi="Times New Roman" w:eastAsia="Times New Roman" w:cs="Times New Roman"/>
          <w:spacing w:val="1"/>
          <w:sz w:val="24"/>
          <w:szCs w:val="24"/>
        </w:rPr>
        <w:t xml:space="preserve">3.  </w:t>
      </w:r>
      <w:r>
        <w:rPr>
          <w:rFonts w:ascii="宋体" w:hAnsi="宋体" w:eastAsia="宋体" w:cs="宋体"/>
          <w:spacing w:val="1"/>
          <w:sz w:val="24"/>
          <w:szCs w:val="24"/>
        </w:rPr>
        <w:t>本投标函在你方接收我方递交的投标文件之日起、到招标</w:t>
      </w:r>
      <w:r>
        <w:rPr>
          <w:rFonts w:ascii="宋体" w:hAnsi="宋体" w:eastAsia="宋体" w:cs="宋体"/>
          <w:sz w:val="24"/>
          <w:szCs w:val="24"/>
        </w:rPr>
        <w:t>文件规定的投标有效</w:t>
      </w:r>
      <w:r>
        <w:rPr>
          <w:rFonts w:ascii="宋体" w:hAnsi="宋体" w:eastAsia="宋体" w:cs="宋体"/>
          <w:spacing w:val="-1"/>
          <w:sz w:val="24"/>
          <w:szCs w:val="24"/>
        </w:rPr>
        <w:t>期期满前对我方具有约束力。我方随时准备接受你方发出的中标通知书。</w:t>
      </w:r>
    </w:p>
    <w:p w14:paraId="09969113">
      <w:pPr>
        <w:spacing w:before="156" w:line="279" w:lineRule="auto"/>
        <w:ind w:left="11" w:right="61" w:firstLine="563"/>
        <w:rPr>
          <w:rFonts w:ascii="宋体" w:hAnsi="宋体" w:eastAsia="宋体" w:cs="宋体"/>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pacing w:val="-28"/>
          <w:sz w:val="24"/>
          <w:szCs w:val="24"/>
        </w:rPr>
        <w:t xml:space="preserve"> </w:t>
      </w:r>
      <w:r>
        <w:rPr>
          <w:rFonts w:ascii="宋体" w:hAnsi="宋体" w:eastAsia="宋体" w:cs="宋体"/>
          <w:sz w:val="24"/>
          <w:szCs w:val="24"/>
        </w:rPr>
        <w:t>．我方在此声明，我方不存在本项目招标</w:t>
      </w:r>
      <w:r>
        <w:rPr>
          <w:rFonts w:ascii="宋体" w:hAnsi="宋体" w:eastAsia="宋体" w:cs="宋体"/>
          <w:spacing w:val="-1"/>
          <w:sz w:val="24"/>
          <w:szCs w:val="24"/>
        </w:rPr>
        <w:t>文件第一章第三节第</w:t>
      </w:r>
      <w:r>
        <w:rPr>
          <w:rFonts w:ascii="宋体" w:hAnsi="宋体" w:eastAsia="宋体" w:cs="宋体"/>
          <w:spacing w:val="-55"/>
          <w:sz w:val="24"/>
          <w:szCs w:val="24"/>
        </w:rPr>
        <w:t xml:space="preserve"> </w:t>
      </w:r>
      <w:r>
        <w:rPr>
          <w:rFonts w:ascii="Times New Roman" w:hAnsi="Times New Roman" w:eastAsia="Times New Roman" w:cs="Times New Roman"/>
          <w:b/>
          <w:bCs/>
          <w:spacing w:val="-1"/>
          <w:sz w:val="24"/>
          <w:szCs w:val="24"/>
        </w:rPr>
        <w:t>2.4</w:t>
      </w:r>
      <w:r>
        <w:rPr>
          <w:rFonts w:ascii="Times New Roman" w:hAnsi="Times New Roman" w:eastAsia="Times New Roman" w:cs="Times New Roman"/>
          <w:b/>
          <w:bCs/>
          <w:spacing w:val="16"/>
          <w:w w:val="101"/>
          <w:sz w:val="24"/>
          <w:szCs w:val="24"/>
        </w:rPr>
        <w:t xml:space="preserve"> </w:t>
      </w:r>
      <w:r>
        <w:rPr>
          <w:rFonts w:ascii="宋体" w:hAnsi="宋体" w:eastAsia="宋体" w:cs="宋体"/>
          <w:spacing w:val="-1"/>
          <w:sz w:val="24"/>
          <w:szCs w:val="24"/>
        </w:rPr>
        <w:t>条“禁止投标</w:t>
      </w:r>
      <w:r>
        <w:rPr>
          <w:rFonts w:ascii="宋体" w:hAnsi="宋体" w:eastAsia="宋体" w:cs="宋体"/>
          <w:spacing w:val="-6"/>
          <w:sz w:val="24"/>
          <w:szCs w:val="24"/>
        </w:rPr>
        <w:t>条款</w:t>
      </w:r>
      <w:r>
        <w:rPr>
          <w:rFonts w:ascii="宋体" w:hAnsi="宋体" w:eastAsia="宋体" w:cs="宋体"/>
          <w:spacing w:val="-88"/>
          <w:sz w:val="24"/>
          <w:szCs w:val="24"/>
        </w:rPr>
        <w:t xml:space="preserve"> </w:t>
      </w:r>
      <w:r>
        <w:rPr>
          <w:rFonts w:ascii="宋体" w:hAnsi="宋体" w:eastAsia="宋体" w:cs="宋体"/>
          <w:spacing w:val="-6"/>
          <w:sz w:val="24"/>
          <w:szCs w:val="24"/>
        </w:rPr>
        <w:t>”所列出的任何一种情形，并愿意承担因我</w:t>
      </w:r>
      <w:r>
        <w:rPr>
          <w:rFonts w:ascii="宋体" w:hAnsi="宋体" w:eastAsia="宋体" w:cs="宋体"/>
          <w:spacing w:val="-7"/>
          <w:sz w:val="24"/>
          <w:szCs w:val="24"/>
        </w:rPr>
        <w:t>方就此弄虚作假所引起的一切法律后果。</w:t>
      </w:r>
    </w:p>
    <w:p w14:paraId="275A22D1">
      <w:pPr>
        <w:spacing w:before="153" w:line="280" w:lineRule="auto"/>
        <w:ind w:left="9" w:right="142" w:firstLine="573"/>
        <w:rPr>
          <w:rFonts w:ascii="宋体" w:hAnsi="宋体" w:eastAsia="宋体" w:cs="宋体"/>
          <w:sz w:val="24"/>
          <w:szCs w:val="24"/>
        </w:rPr>
      </w:pPr>
      <w:r>
        <w:rPr>
          <w:rFonts w:ascii="Times New Roman" w:hAnsi="Times New Roman" w:eastAsia="Times New Roman" w:cs="Times New Roman"/>
          <w:spacing w:val="-2"/>
          <w:sz w:val="24"/>
          <w:szCs w:val="24"/>
        </w:rPr>
        <w:t>5</w:t>
      </w:r>
      <w:r>
        <w:rPr>
          <w:rFonts w:ascii="Times New Roman" w:hAnsi="Times New Roman" w:eastAsia="Times New Roman" w:cs="Times New Roman"/>
          <w:spacing w:val="-20"/>
          <w:sz w:val="24"/>
          <w:szCs w:val="24"/>
        </w:rPr>
        <w:t xml:space="preserve"> </w:t>
      </w:r>
      <w:r>
        <w:rPr>
          <w:rFonts w:ascii="宋体" w:hAnsi="宋体" w:eastAsia="宋体" w:cs="宋体"/>
          <w:spacing w:val="-2"/>
          <w:sz w:val="24"/>
          <w:szCs w:val="24"/>
        </w:rPr>
        <w:t>．我方在此承诺，所递交投标文件的全部内容均为真实、有效、准确的，并愿意承担因我方就此弄虚作假所引起的一切法律后果，同时理解和同意有可能被要求提供更</w:t>
      </w:r>
      <w:r>
        <w:rPr>
          <w:rFonts w:ascii="宋体" w:hAnsi="宋体" w:eastAsia="宋体" w:cs="宋体"/>
          <w:spacing w:val="-5"/>
          <w:sz w:val="24"/>
          <w:szCs w:val="24"/>
        </w:rPr>
        <w:t>多的资料。</w:t>
      </w:r>
    </w:p>
    <w:p w14:paraId="04B88858">
      <w:pPr>
        <w:spacing w:before="153" w:line="326" w:lineRule="auto"/>
        <w:ind w:left="13" w:firstLine="567"/>
        <w:rPr>
          <w:rFonts w:ascii="宋体" w:hAnsi="宋体" w:eastAsia="宋体" w:cs="宋体"/>
          <w:sz w:val="24"/>
          <w:szCs w:val="24"/>
        </w:rPr>
      </w:pPr>
      <w:r>
        <w:rPr>
          <w:rFonts w:ascii="Times New Roman" w:hAnsi="Times New Roman" w:eastAsia="Times New Roman" w:cs="Times New Roman"/>
          <w:spacing w:val="-2"/>
          <w:sz w:val="24"/>
          <w:szCs w:val="24"/>
        </w:rPr>
        <w:t xml:space="preserve">6.  </w:t>
      </w:r>
      <w:r>
        <w:rPr>
          <w:rFonts w:ascii="宋体" w:hAnsi="宋体" w:eastAsia="宋体" w:cs="宋体"/>
          <w:spacing w:val="-2"/>
          <w:sz w:val="24"/>
          <w:szCs w:val="24"/>
        </w:rPr>
        <w:t>我方理解你方不一定要接纳收到的最低投标总价或任何投标总价的投标人中标，</w:t>
      </w:r>
      <w:r>
        <w:rPr>
          <w:rFonts w:ascii="宋体" w:hAnsi="宋体" w:eastAsia="宋体" w:cs="宋体"/>
          <w:spacing w:val="-1"/>
          <w:sz w:val="24"/>
          <w:szCs w:val="24"/>
        </w:rPr>
        <w:t>也不要求你方解释我方是否中标的原因。</w:t>
      </w:r>
    </w:p>
    <w:p w14:paraId="7D0A79F0">
      <w:pPr>
        <w:pStyle w:val="5"/>
        <w:spacing w:line="276" w:lineRule="auto"/>
      </w:pPr>
    </w:p>
    <w:p w14:paraId="49332CBC">
      <w:pPr>
        <w:pStyle w:val="5"/>
        <w:spacing w:line="277" w:lineRule="auto"/>
      </w:pPr>
    </w:p>
    <w:p w14:paraId="5D96F16B">
      <w:pPr>
        <w:pStyle w:val="5"/>
        <w:spacing w:line="277" w:lineRule="auto"/>
      </w:pPr>
    </w:p>
    <w:p w14:paraId="0F542350">
      <w:pPr>
        <w:spacing w:before="79" w:line="219" w:lineRule="auto"/>
        <w:ind w:left="6323"/>
        <w:rPr>
          <w:rFonts w:ascii="宋体" w:hAnsi="宋体" w:eastAsia="宋体" w:cs="宋体"/>
          <w:sz w:val="24"/>
          <w:szCs w:val="24"/>
        </w:rPr>
      </w:pPr>
      <w:r>
        <w:rPr>
          <w:rFonts w:ascii="宋体" w:hAnsi="宋体" w:eastAsia="宋体" w:cs="宋体"/>
          <w:spacing w:val="2"/>
          <w:sz w:val="24"/>
          <w:szCs w:val="24"/>
        </w:rPr>
        <w:t>投标人</w:t>
      </w:r>
      <w:r>
        <w:rPr>
          <w:rFonts w:ascii="宋体" w:hAnsi="宋体" w:eastAsia="宋体" w:cs="宋体"/>
          <w:spacing w:val="-15"/>
          <w:sz w:val="24"/>
          <w:szCs w:val="24"/>
        </w:rPr>
        <w:t>：</w:t>
      </w:r>
      <w:r>
        <w:rPr>
          <w:rFonts w:ascii="宋体" w:hAnsi="宋体" w:eastAsia="宋体" w:cs="宋体"/>
          <w:spacing w:val="60"/>
          <w:sz w:val="24"/>
          <w:szCs w:val="24"/>
        </w:rPr>
        <w:t xml:space="preserve">  </w:t>
      </w:r>
      <w:r>
        <w:rPr>
          <w:rFonts w:ascii="宋体" w:hAnsi="宋体" w:eastAsia="宋体" w:cs="宋体"/>
          <w:spacing w:val="-15"/>
          <w:sz w:val="24"/>
          <w:szCs w:val="24"/>
        </w:rPr>
        <w:t>（</w:t>
      </w:r>
      <w:r>
        <w:rPr>
          <w:rFonts w:ascii="宋体" w:hAnsi="宋体" w:eastAsia="宋体" w:cs="宋体"/>
          <w:spacing w:val="2"/>
          <w:sz w:val="24"/>
          <w:szCs w:val="24"/>
        </w:rPr>
        <w:t>盖单位章）</w:t>
      </w:r>
    </w:p>
    <w:p w14:paraId="5A4C225F">
      <w:pPr>
        <w:pStyle w:val="5"/>
        <w:spacing w:line="256" w:lineRule="auto"/>
      </w:pPr>
    </w:p>
    <w:p w14:paraId="5F5F49C6">
      <w:pPr>
        <w:pStyle w:val="5"/>
        <w:spacing w:line="256" w:lineRule="auto"/>
      </w:pPr>
    </w:p>
    <w:p w14:paraId="6C82D019">
      <w:pPr>
        <w:spacing w:before="78" w:line="219" w:lineRule="auto"/>
        <w:ind w:left="3922"/>
        <w:rPr>
          <w:rFonts w:ascii="宋体" w:hAnsi="宋体" w:eastAsia="宋体" w:cs="宋体"/>
          <w:sz w:val="24"/>
          <w:szCs w:val="24"/>
        </w:rPr>
      </w:pPr>
      <w:r>
        <w:rPr>
          <w:rFonts w:ascii="宋体" w:hAnsi="宋体" w:eastAsia="宋体" w:cs="宋体"/>
          <w:spacing w:val="1"/>
          <w:sz w:val="24"/>
          <w:szCs w:val="24"/>
        </w:rPr>
        <w:t>法定代表人或其委托代理人</w:t>
      </w:r>
      <w:r>
        <w:rPr>
          <w:rFonts w:ascii="宋体" w:hAnsi="宋体" w:eastAsia="宋体" w:cs="宋体"/>
          <w:spacing w:val="-15"/>
          <w:sz w:val="24"/>
          <w:szCs w:val="24"/>
        </w:rPr>
        <w:t>：</w:t>
      </w:r>
      <w:r>
        <w:rPr>
          <w:rFonts w:ascii="宋体" w:hAnsi="宋体" w:eastAsia="宋体" w:cs="宋体"/>
          <w:spacing w:val="60"/>
          <w:sz w:val="24"/>
          <w:szCs w:val="24"/>
        </w:rPr>
        <w:t xml:space="preserve">  </w:t>
      </w:r>
      <w:r>
        <w:rPr>
          <w:rFonts w:ascii="宋体" w:hAnsi="宋体" w:eastAsia="宋体" w:cs="宋体"/>
          <w:spacing w:val="-15"/>
          <w:sz w:val="24"/>
          <w:szCs w:val="24"/>
        </w:rPr>
        <w:t>（</w:t>
      </w:r>
      <w:r>
        <w:rPr>
          <w:rFonts w:ascii="宋体" w:hAnsi="宋体" w:eastAsia="宋体" w:cs="宋体"/>
          <w:spacing w:val="1"/>
          <w:sz w:val="24"/>
          <w:szCs w:val="24"/>
        </w:rPr>
        <w:t>签字或盖章）</w:t>
      </w:r>
    </w:p>
    <w:p w14:paraId="077E0686">
      <w:pPr>
        <w:pStyle w:val="5"/>
        <w:spacing w:line="257" w:lineRule="auto"/>
      </w:pPr>
    </w:p>
    <w:p w14:paraId="6E0A6EB0">
      <w:pPr>
        <w:pStyle w:val="5"/>
        <w:spacing w:line="257" w:lineRule="auto"/>
      </w:pPr>
    </w:p>
    <w:p w14:paraId="487C89DB">
      <w:pPr>
        <w:spacing w:before="79" w:line="220" w:lineRule="auto"/>
        <w:ind w:left="6970"/>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7"/>
          <w:sz w:val="24"/>
          <w:szCs w:val="24"/>
        </w:rPr>
        <w:t xml:space="preserve">  </w:t>
      </w:r>
      <w:r>
        <w:rPr>
          <w:rFonts w:ascii="宋体" w:hAnsi="宋体" w:eastAsia="宋体" w:cs="宋体"/>
          <w:spacing w:val="-9"/>
          <w:sz w:val="24"/>
          <w:szCs w:val="24"/>
        </w:rPr>
        <w:t>月</w:t>
      </w:r>
      <w:r>
        <w:rPr>
          <w:rFonts w:ascii="宋体" w:hAnsi="宋体" w:eastAsia="宋体" w:cs="宋体"/>
          <w:spacing w:val="26"/>
          <w:sz w:val="24"/>
          <w:szCs w:val="24"/>
        </w:rPr>
        <w:t xml:space="preserve">  </w:t>
      </w:r>
      <w:r>
        <w:rPr>
          <w:rFonts w:ascii="宋体" w:hAnsi="宋体" w:eastAsia="宋体" w:cs="宋体"/>
          <w:spacing w:val="-9"/>
          <w:sz w:val="24"/>
          <w:szCs w:val="24"/>
        </w:rPr>
        <w:t>日</w:t>
      </w:r>
    </w:p>
    <w:p w14:paraId="7901E202">
      <w:pPr>
        <w:spacing w:line="220" w:lineRule="auto"/>
        <w:rPr>
          <w:rFonts w:ascii="宋体" w:hAnsi="宋体" w:eastAsia="宋体" w:cs="宋体"/>
          <w:sz w:val="24"/>
          <w:szCs w:val="24"/>
        </w:rPr>
        <w:sectPr>
          <w:footerReference r:id="rId17" w:type="default"/>
          <w:pgSz w:w="11906" w:h="16839"/>
          <w:pgMar w:top="720" w:right="720" w:bottom="720" w:left="720" w:header="0" w:footer="1023" w:gutter="0"/>
          <w:cols w:space="720" w:num="1"/>
        </w:sectPr>
      </w:pPr>
    </w:p>
    <w:p w14:paraId="569337E7">
      <w:pPr>
        <w:spacing w:before="78" w:line="220" w:lineRule="auto"/>
        <w:outlineLvl w:val="2"/>
        <w:rPr>
          <w:rFonts w:ascii="宋体" w:hAnsi="宋体" w:eastAsia="宋体" w:cs="宋体"/>
          <w:b/>
          <w:bCs/>
          <w:spacing w:val="-4"/>
          <w:sz w:val="24"/>
          <w:szCs w:val="24"/>
        </w:rPr>
      </w:pPr>
      <w:bookmarkStart w:id="178" w:name="_Toc9770"/>
      <w:r>
        <w:rPr>
          <w:rFonts w:ascii="宋体" w:hAnsi="宋体" w:eastAsia="宋体" w:cs="宋体"/>
          <w:b/>
          <w:bCs/>
          <w:spacing w:val="-4"/>
          <w:sz w:val="24"/>
          <w:szCs w:val="24"/>
        </w:rPr>
        <w:t>格式三 各项承诺一览表</w:t>
      </w:r>
      <w:bookmarkEnd w:id="178"/>
    </w:p>
    <w:p w14:paraId="650A2CB8">
      <w:pPr>
        <w:pStyle w:val="5"/>
        <w:spacing w:line="254" w:lineRule="auto"/>
      </w:pPr>
    </w:p>
    <w:p w14:paraId="3053BC3C">
      <w:pPr>
        <w:spacing w:before="98" w:line="220" w:lineRule="auto"/>
        <w:ind w:left="3581"/>
        <w:outlineLvl w:val="1"/>
        <w:rPr>
          <w:rFonts w:ascii="宋体" w:hAnsi="宋体" w:eastAsia="宋体" w:cs="宋体"/>
          <w:sz w:val="30"/>
          <w:szCs w:val="30"/>
        </w:rPr>
      </w:pPr>
      <w:bookmarkStart w:id="179" w:name="bookmark149"/>
      <w:bookmarkEnd w:id="179"/>
      <w:bookmarkStart w:id="180" w:name="_Toc2936"/>
      <w:bookmarkStart w:id="181" w:name="_Toc4767"/>
      <w:r>
        <w:rPr>
          <w:rFonts w:ascii="宋体" w:hAnsi="宋体" w:eastAsia="宋体" w:cs="宋体"/>
          <w:b/>
          <w:bCs/>
          <w:spacing w:val="-5"/>
          <w:sz w:val="30"/>
          <w:szCs w:val="30"/>
        </w:rPr>
        <w:t>各项承诺一览表</w:t>
      </w:r>
      <w:bookmarkEnd w:id="180"/>
      <w:bookmarkEnd w:id="181"/>
    </w:p>
    <w:p w14:paraId="5A2AC2DD">
      <w:pPr>
        <w:spacing w:before="6"/>
      </w:pPr>
    </w:p>
    <w:tbl>
      <w:tblPr>
        <w:tblStyle w:val="14"/>
        <w:tblW w:w="107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1"/>
        <w:gridCol w:w="1843"/>
        <w:gridCol w:w="3417"/>
        <w:gridCol w:w="4698"/>
      </w:tblGrid>
      <w:tr w14:paraId="221EB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841" w:type="dxa"/>
            <w:noWrap w:val="0"/>
            <w:vAlign w:val="top"/>
          </w:tcPr>
          <w:p w14:paraId="270CA4B3">
            <w:pPr>
              <w:spacing w:before="209" w:line="223" w:lineRule="auto"/>
              <w:ind w:left="126"/>
              <w:rPr>
                <w:rFonts w:ascii="黑体" w:hAnsi="黑体" w:eastAsia="黑体" w:cs="黑体"/>
                <w:sz w:val="24"/>
                <w:szCs w:val="24"/>
              </w:rPr>
            </w:pPr>
            <w:r>
              <w:rPr>
                <w:rFonts w:ascii="黑体" w:hAnsi="黑体" w:eastAsia="黑体" w:cs="黑体"/>
                <w:spacing w:val="-5"/>
                <w:sz w:val="24"/>
                <w:szCs w:val="24"/>
              </w:rPr>
              <w:t>序号</w:t>
            </w:r>
          </w:p>
        </w:tc>
        <w:tc>
          <w:tcPr>
            <w:tcW w:w="1843" w:type="dxa"/>
            <w:noWrap w:val="0"/>
            <w:vAlign w:val="top"/>
          </w:tcPr>
          <w:p w14:paraId="4179CA66">
            <w:pPr>
              <w:spacing w:before="208" w:line="222" w:lineRule="auto"/>
              <w:ind w:left="310"/>
              <w:rPr>
                <w:rFonts w:ascii="黑体" w:hAnsi="黑体" w:eastAsia="黑体" w:cs="黑体"/>
                <w:sz w:val="24"/>
                <w:szCs w:val="24"/>
              </w:rPr>
            </w:pPr>
            <w:r>
              <w:rPr>
                <w:rFonts w:ascii="黑体" w:hAnsi="黑体" w:eastAsia="黑体" w:cs="黑体"/>
                <w:spacing w:val="-3"/>
                <w:sz w:val="24"/>
                <w:szCs w:val="24"/>
              </w:rPr>
              <w:t>承诺事项</w:t>
            </w:r>
          </w:p>
        </w:tc>
        <w:tc>
          <w:tcPr>
            <w:tcW w:w="3417" w:type="dxa"/>
            <w:noWrap w:val="0"/>
            <w:vAlign w:val="top"/>
          </w:tcPr>
          <w:p w14:paraId="42AD2E81">
            <w:pPr>
              <w:spacing w:before="209" w:line="222" w:lineRule="auto"/>
              <w:ind w:left="987"/>
              <w:rPr>
                <w:rFonts w:ascii="黑体" w:hAnsi="黑体" w:eastAsia="黑体" w:cs="黑体"/>
                <w:sz w:val="24"/>
                <w:szCs w:val="24"/>
              </w:rPr>
            </w:pPr>
            <w:r>
              <w:rPr>
                <w:rFonts w:ascii="黑体" w:hAnsi="黑体" w:eastAsia="黑体" w:cs="黑体"/>
                <w:spacing w:val="-3"/>
                <w:sz w:val="24"/>
                <w:szCs w:val="24"/>
              </w:rPr>
              <w:t>承诺内容</w:t>
            </w:r>
          </w:p>
        </w:tc>
        <w:tc>
          <w:tcPr>
            <w:tcW w:w="4698" w:type="dxa"/>
            <w:noWrap w:val="0"/>
            <w:vAlign w:val="top"/>
          </w:tcPr>
          <w:p w14:paraId="44037F0B">
            <w:pPr>
              <w:spacing w:before="209" w:line="222" w:lineRule="auto"/>
              <w:ind w:left="1537"/>
              <w:rPr>
                <w:rFonts w:ascii="黑体" w:hAnsi="黑体" w:eastAsia="黑体" w:cs="黑体"/>
                <w:sz w:val="24"/>
                <w:szCs w:val="24"/>
              </w:rPr>
            </w:pPr>
            <w:r>
              <w:rPr>
                <w:rFonts w:ascii="黑体" w:hAnsi="黑体" w:eastAsia="黑体" w:cs="黑体"/>
                <w:spacing w:val="-3"/>
                <w:sz w:val="24"/>
                <w:szCs w:val="24"/>
              </w:rPr>
              <w:t>违约承诺</w:t>
            </w:r>
          </w:p>
        </w:tc>
      </w:tr>
      <w:tr w14:paraId="6CFBD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9" w:hRule="atLeast"/>
        </w:trPr>
        <w:tc>
          <w:tcPr>
            <w:tcW w:w="841" w:type="dxa"/>
            <w:noWrap w:val="0"/>
            <w:vAlign w:val="top"/>
          </w:tcPr>
          <w:p w14:paraId="5F1CFA03">
            <w:pPr>
              <w:pStyle w:val="20"/>
              <w:spacing w:line="285" w:lineRule="auto"/>
              <w:rPr>
                <w:rFonts w:hint="eastAsia" w:ascii="宋体" w:hAnsi="宋体" w:eastAsia="宋体" w:cs="宋体"/>
                <w:sz w:val="24"/>
                <w:szCs w:val="24"/>
              </w:rPr>
            </w:pPr>
          </w:p>
          <w:p w14:paraId="4E5EB030">
            <w:pPr>
              <w:pStyle w:val="20"/>
              <w:spacing w:line="285" w:lineRule="auto"/>
              <w:rPr>
                <w:rFonts w:hint="eastAsia" w:ascii="宋体" w:hAnsi="宋体" w:eastAsia="宋体" w:cs="宋体"/>
                <w:sz w:val="24"/>
                <w:szCs w:val="24"/>
              </w:rPr>
            </w:pPr>
          </w:p>
          <w:p w14:paraId="218854AB">
            <w:pPr>
              <w:pStyle w:val="20"/>
              <w:spacing w:line="286" w:lineRule="auto"/>
              <w:rPr>
                <w:rFonts w:hint="eastAsia" w:ascii="宋体" w:hAnsi="宋体" w:eastAsia="宋体" w:cs="宋体"/>
                <w:sz w:val="24"/>
                <w:szCs w:val="24"/>
              </w:rPr>
            </w:pPr>
          </w:p>
          <w:p w14:paraId="69BB8818">
            <w:pPr>
              <w:spacing w:before="58" w:line="195" w:lineRule="auto"/>
              <w:ind w:left="328"/>
              <w:rPr>
                <w:rFonts w:hint="eastAsia" w:ascii="宋体" w:hAnsi="宋体" w:eastAsia="宋体" w:cs="宋体"/>
                <w:sz w:val="24"/>
                <w:szCs w:val="24"/>
              </w:rPr>
            </w:pPr>
            <w:r>
              <w:rPr>
                <w:rFonts w:hint="eastAsia" w:ascii="宋体" w:hAnsi="宋体" w:eastAsia="宋体" w:cs="宋体"/>
                <w:sz w:val="24"/>
                <w:szCs w:val="24"/>
              </w:rPr>
              <w:t>1</w:t>
            </w:r>
          </w:p>
        </w:tc>
        <w:tc>
          <w:tcPr>
            <w:tcW w:w="1843" w:type="dxa"/>
            <w:noWrap w:val="0"/>
            <w:vAlign w:val="top"/>
          </w:tcPr>
          <w:p w14:paraId="0ED69A62">
            <w:pPr>
              <w:pStyle w:val="20"/>
              <w:spacing w:line="312" w:lineRule="auto"/>
              <w:rPr>
                <w:rFonts w:hint="eastAsia" w:ascii="宋体" w:hAnsi="宋体" w:eastAsia="宋体" w:cs="宋体"/>
                <w:sz w:val="24"/>
                <w:szCs w:val="24"/>
              </w:rPr>
            </w:pPr>
          </w:p>
          <w:p w14:paraId="5FB72E77">
            <w:pPr>
              <w:pStyle w:val="20"/>
              <w:spacing w:line="313" w:lineRule="auto"/>
              <w:rPr>
                <w:rFonts w:hint="eastAsia" w:ascii="宋体" w:hAnsi="宋体" w:eastAsia="宋体" w:cs="宋体"/>
                <w:sz w:val="24"/>
                <w:szCs w:val="24"/>
              </w:rPr>
            </w:pPr>
          </w:p>
          <w:p w14:paraId="1EE89DFA">
            <w:pPr>
              <w:spacing w:before="65" w:line="335" w:lineRule="auto"/>
              <w:ind w:left="57" w:right="50" w:firstLine="135"/>
              <w:rPr>
                <w:rFonts w:hint="eastAsia" w:ascii="宋体" w:hAnsi="宋体" w:eastAsia="宋体" w:cs="宋体"/>
                <w:sz w:val="24"/>
                <w:szCs w:val="24"/>
              </w:rPr>
            </w:pPr>
            <w:r>
              <w:rPr>
                <w:rFonts w:hint="eastAsia" w:ascii="宋体" w:hAnsi="宋体" w:eastAsia="宋体" w:cs="宋体"/>
                <w:spacing w:val="2"/>
                <w:sz w:val="24"/>
                <w:szCs w:val="24"/>
              </w:rPr>
              <w:t>自愿接受招标</w:t>
            </w:r>
            <w:r>
              <w:rPr>
                <w:rFonts w:hint="eastAsia" w:ascii="宋体" w:hAnsi="宋体" w:eastAsia="宋体" w:cs="宋体"/>
                <w:spacing w:val="1"/>
                <w:sz w:val="24"/>
                <w:szCs w:val="24"/>
              </w:rPr>
              <w:t xml:space="preserve">  </w:t>
            </w:r>
            <w:r>
              <w:rPr>
                <w:rFonts w:hint="eastAsia" w:ascii="宋体" w:hAnsi="宋体" w:eastAsia="宋体" w:cs="宋体"/>
                <w:spacing w:val="8"/>
                <w:sz w:val="24"/>
                <w:szCs w:val="24"/>
              </w:rPr>
              <w:t>文件条款的承诺</w:t>
            </w:r>
          </w:p>
        </w:tc>
        <w:tc>
          <w:tcPr>
            <w:tcW w:w="3417" w:type="dxa"/>
            <w:noWrap w:val="0"/>
            <w:vAlign w:val="top"/>
          </w:tcPr>
          <w:p w14:paraId="78AEA549">
            <w:pPr>
              <w:pStyle w:val="20"/>
              <w:spacing w:line="247" w:lineRule="auto"/>
              <w:rPr>
                <w:rFonts w:hint="eastAsia" w:ascii="宋体" w:hAnsi="宋体" w:eastAsia="宋体" w:cs="宋体"/>
                <w:sz w:val="24"/>
                <w:szCs w:val="24"/>
              </w:rPr>
            </w:pPr>
          </w:p>
          <w:p w14:paraId="647C275F">
            <w:pPr>
              <w:spacing w:before="65" w:line="344" w:lineRule="auto"/>
              <w:ind w:left="10" w:right="2" w:firstLine="421"/>
              <w:jc w:val="both"/>
              <w:rPr>
                <w:rFonts w:hint="eastAsia" w:ascii="宋体" w:hAnsi="宋体" w:eastAsia="宋体" w:cs="宋体"/>
                <w:sz w:val="24"/>
                <w:szCs w:val="24"/>
              </w:rPr>
            </w:pPr>
            <w:r>
              <w:rPr>
                <w:rFonts w:hint="eastAsia" w:ascii="宋体" w:hAnsi="宋体" w:eastAsia="宋体" w:cs="宋体"/>
                <w:spacing w:val="25"/>
                <w:sz w:val="24"/>
                <w:szCs w:val="24"/>
              </w:rPr>
              <w:t>我方自愿接受招标文件的</w:t>
            </w:r>
            <w:r>
              <w:rPr>
                <w:rFonts w:hint="eastAsia" w:ascii="宋体" w:hAnsi="宋体" w:eastAsia="宋体" w:cs="宋体"/>
                <w:spacing w:val="5"/>
                <w:sz w:val="24"/>
                <w:szCs w:val="24"/>
              </w:rPr>
              <w:t xml:space="preserve"> </w:t>
            </w:r>
            <w:r>
              <w:rPr>
                <w:rFonts w:hint="eastAsia" w:ascii="宋体" w:hAnsi="宋体" w:eastAsia="宋体" w:cs="宋体"/>
                <w:spacing w:val="7"/>
                <w:sz w:val="24"/>
                <w:szCs w:val="24"/>
              </w:rPr>
              <w:t>所有条款，所递交的投标文件已</w:t>
            </w:r>
            <w:r>
              <w:rPr>
                <w:rFonts w:hint="eastAsia" w:ascii="宋体" w:hAnsi="宋体" w:eastAsia="宋体" w:cs="宋体"/>
                <w:spacing w:val="23"/>
                <w:sz w:val="24"/>
                <w:szCs w:val="24"/>
              </w:rPr>
              <w:t>经充分响应招标文件的实质性</w:t>
            </w:r>
            <w:r>
              <w:rPr>
                <w:rFonts w:hint="eastAsia" w:ascii="宋体" w:hAnsi="宋体" w:eastAsia="宋体" w:cs="宋体"/>
                <w:spacing w:val="3"/>
                <w:sz w:val="24"/>
                <w:szCs w:val="24"/>
              </w:rPr>
              <w:t>要求。</w:t>
            </w:r>
          </w:p>
        </w:tc>
        <w:tc>
          <w:tcPr>
            <w:tcW w:w="4698" w:type="dxa"/>
            <w:noWrap w:val="0"/>
            <w:vAlign w:val="top"/>
          </w:tcPr>
          <w:p w14:paraId="5E71AAE0">
            <w:pPr>
              <w:spacing w:before="122" w:line="327" w:lineRule="auto"/>
              <w:ind w:left="14" w:right="4" w:firstLine="420"/>
              <w:jc w:val="both"/>
              <w:rPr>
                <w:rFonts w:hint="eastAsia" w:ascii="宋体" w:hAnsi="宋体" w:eastAsia="宋体" w:cs="宋体"/>
                <w:sz w:val="24"/>
                <w:szCs w:val="24"/>
              </w:rPr>
            </w:pPr>
            <w:r>
              <w:rPr>
                <w:rFonts w:hint="eastAsia" w:ascii="宋体" w:hAnsi="宋体" w:eastAsia="宋体" w:cs="宋体"/>
                <w:spacing w:val="10"/>
                <w:sz w:val="24"/>
                <w:szCs w:val="24"/>
              </w:rPr>
              <w:t>如果我方的投标文件未响应、违反、偏</w:t>
            </w:r>
            <w:r>
              <w:rPr>
                <w:rFonts w:hint="eastAsia" w:ascii="宋体" w:hAnsi="宋体" w:eastAsia="宋体" w:cs="宋体"/>
                <w:spacing w:val="5"/>
                <w:sz w:val="24"/>
                <w:szCs w:val="24"/>
              </w:rPr>
              <w:t xml:space="preserve"> </w:t>
            </w:r>
            <w:r>
              <w:rPr>
                <w:rFonts w:hint="eastAsia" w:ascii="宋体" w:hAnsi="宋体" w:eastAsia="宋体" w:cs="宋体"/>
                <w:spacing w:val="10"/>
                <w:sz w:val="24"/>
                <w:szCs w:val="24"/>
              </w:rPr>
              <w:t>离招标文件的实质性要求，我方接受招标人或其授权的招标代理机构或其组建的评标委员会依据招标文件作出的相应处理，包括否</w:t>
            </w:r>
            <w:r>
              <w:rPr>
                <w:rFonts w:hint="eastAsia" w:ascii="宋体" w:hAnsi="宋体" w:eastAsia="宋体" w:cs="宋体"/>
                <w:spacing w:val="6"/>
                <w:sz w:val="24"/>
                <w:szCs w:val="24"/>
              </w:rPr>
              <w:t xml:space="preserve"> </w:t>
            </w:r>
            <w:r>
              <w:rPr>
                <w:rFonts w:hint="eastAsia" w:ascii="宋体" w:hAnsi="宋体" w:eastAsia="宋体" w:cs="宋体"/>
                <w:spacing w:val="4"/>
                <w:sz w:val="24"/>
                <w:szCs w:val="24"/>
              </w:rPr>
              <w:t>决投标。</w:t>
            </w:r>
          </w:p>
        </w:tc>
      </w:tr>
      <w:tr w14:paraId="26236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1" w:hRule="atLeast"/>
        </w:trPr>
        <w:tc>
          <w:tcPr>
            <w:tcW w:w="841" w:type="dxa"/>
            <w:noWrap w:val="0"/>
            <w:vAlign w:val="top"/>
          </w:tcPr>
          <w:p w14:paraId="7473574E">
            <w:pPr>
              <w:pStyle w:val="20"/>
              <w:spacing w:line="261" w:lineRule="auto"/>
              <w:rPr>
                <w:rFonts w:hint="eastAsia" w:ascii="宋体" w:hAnsi="宋体" w:eastAsia="宋体" w:cs="宋体"/>
                <w:sz w:val="24"/>
                <w:szCs w:val="24"/>
              </w:rPr>
            </w:pPr>
          </w:p>
          <w:p w14:paraId="312BC528">
            <w:pPr>
              <w:pStyle w:val="20"/>
              <w:spacing w:line="261" w:lineRule="auto"/>
              <w:rPr>
                <w:rFonts w:hint="eastAsia" w:ascii="宋体" w:hAnsi="宋体" w:eastAsia="宋体" w:cs="宋体"/>
                <w:sz w:val="24"/>
                <w:szCs w:val="24"/>
              </w:rPr>
            </w:pPr>
          </w:p>
          <w:p w14:paraId="17C320C5">
            <w:pPr>
              <w:pStyle w:val="20"/>
              <w:spacing w:line="262" w:lineRule="auto"/>
              <w:rPr>
                <w:rFonts w:hint="eastAsia" w:ascii="宋体" w:hAnsi="宋体" w:eastAsia="宋体" w:cs="宋体"/>
                <w:sz w:val="24"/>
                <w:szCs w:val="24"/>
              </w:rPr>
            </w:pPr>
          </w:p>
          <w:p w14:paraId="0E79374C">
            <w:pPr>
              <w:pStyle w:val="20"/>
              <w:spacing w:line="262" w:lineRule="auto"/>
              <w:rPr>
                <w:rFonts w:hint="eastAsia" w:ascii="宋体" w:hAnsi="宋体" w:eastAsia="宋体" w:cs="宋体"/>
                <w:sz w:val="24"/>
                <w:szCs w:val="24"/>
              </w:rPr>
            </w:pPr>
          </w:p>
          <w:p w14:paraId="56AD2AB3">
            <w:pPr>
              <w:spacing w:before="58" w:line="195" w:lineRule="auto"/>
              <w:ind w:left="308"/>
              <w:rPr>
                <w:rFonts w:hint="eastAsia" w:ascii="宋体" w:hAnsi="宋体" w:eastAsia="宋体" w:cs="宋体"/>
                <w:sz w:val="24"/>
                <w:szCs w:val="24"/>
              </w:rPr>
            </w:pPr>
            <w:r>
              <w:rPr>
                <w:rFonts w:hint="eastAsia" w:ascii="宋体" w:hAnsi="宋体" w:eastAsia="宋体" w:cs="宋体"/>
                <w:sz w:val="24"/>
                <w:szCs w:val="24"/>
              </w:rPr>
              <w:t>2</w:t>
            </w:r>
          </w:p>
        </w:tc>
        <w:tc>
          <w:tcPr>
            <w:tcW w:w="1843" w:type="dxa"/>
            <w:noWrap w:val="0"/>
            <w:vAlign w:val="top"/>
          </w:tcPr>
          <w:p w14:paraId="3288369D">
            <w:pPr>
              <w:pStyle w:val="20"/>
              <w:spacing w:line="271" w:lineRule="auto"/>
              <w:rPr>
                <w:rFonts w:hint="eastAsia" w:ascii="宋体" w:hAnsi="宋体" w:eastAsia="宋体" w:cs="宋体"/>
                <w:sz w:val="24"/>
                <w:szCs w:val="24"/>
              </w:rPr>
            </w:pPr>
          </w:p>
          <w:p w14:paraId="156475AA">
            <w:pPr>
              <w:pStyle w:val="20"/>
              <w:spacing w:line="272" w:lineRule="auto"/>
              <w:rPr>
                <w:rFonts w:hint="eastAsia" w:ascii="宋体" w:hAnsi="宋体" w:eastAsia="宋体" w:cs="宋体"/>
                <w:sz w:val="24"/>
                <w:szCs w:val="24"/>
              </w:rPr>
            </w:pPr>
          </w:p>
          <w:p w14:paraId="275E532B">
            <w:pPr>
              <w:pStyle w:val="20"/>
              <w:spacing w:line="272" w:lineRule="auto"/>
              <w:rPr>
                <w:rFonts w:hint="eastAsia" w:ascii="宋体" w:hAnsi="宋体" w:eastAsia="宋体" w:cs="宋体"/>
                <w:sz w:val="24"/>
                <w:szCs w:val="24"/>
              </w:rPr>
            </w:pPr>
          </w:p>
          <w:p w14:paraId="41D9A695">
            <w:pPr>
              <w:spacing w:before="65" w:line="335" w:lineRule="auto"/>
              <w:ind w:left="262" w:right="261" w:firstLine="3"/>
              <w:rPr>
                <w:rFonts w:hint="eastAsia" w:ascii="宋体" w:hAnsi="宋体" w:eastAsia="宋体" w:cs="宋体"/>
                <w:sz w:val="24"/>
                <w:szCs w:val="24"/>
              </w:rPr>
            </w:pPr>
            <w:r>
              <w:rPr>
                <w:rFonts w:hint="eastAsia" w:ascii="宋体" w:hAnsi="宋体" w:eastAsia="宋体" w:cs="宋体"/>
                <w:spacing w:val="7"/>
                <w:sz w:val="24"/>
                <w:szCs w:val="24"/>
              </w:rPr>
              <w:t>无禁止投标</w:t>
            </w:r>
            <w:r>
              <w:rPr>
                <w:rFonts w:hint="eastAsia" w:ascii="宋体" w:hAnsi="宋体" w:eastAsia="宋体" w:cs="宋体"/>
                <w:spacing w:val="3"/>
                <w:sz w:val="24"/>
                <w:szCs w:val="24"/>
              </w:rPr>
              <w:t xml:space="preserve"> </w:t>
            </w:r>
            <w:r>
              <w:rPr>
                <w:rFonts w:hint="eastAsia" w:ascii="宋体" w:hAnsi="宋体" w:eastAsia="宋体" w:cs="宋体"/>
                <w:spacing w:val="8"/>
                <w:sz w:val="24"/>
                <w:szCs w:val="24"/>
              </w:rPr>
              <w:t>情形的承诺</w:t>
            </w:r>
          </w:p>
        </w:tc>
        <w:tc>
          <w:tcPr>
            <w:tcW w:w="3417" w:type="dxa"/>
            <w:noWrap w:val="0"/>
            <w:vAlign w:val="top"/>
          </w:tcPr>
          <w:p w14:paraId="5DD81E25">
            <w:pPr>
              <w:pStyle w:val="20"/>
              <w:spacing w:line="313" w:lineRule="auto"/>
              <w:rPr>
                <w:rFonts w:hint="eastAsia" w:ascii="宋体" w:hAnsi="宋体" w:eastAsia="宋体" w:cs="宋体"/>
                <w:sz w:val="24"/>
                <w:szCs w:val="24"/>
              </w:rPr>
            </w:pPr>
          </w:p>
          <w:p w14:paraId="7903E413">
            <w:pPr>
              <w:pStyle w:val="20"/>
              <w:spacing w:line="314" w:lineRule="auto"/>
              <w:rPr>
                <w:rFonts w:hint="eastAsia" w:ascii="宋体" w:hAnsi="宋体" w:eastAsia="宋体" w:cs="宋体"/>
                <w:sz w:val="24"/>
                <w:szCs w:val="24"/>
              </w:rPr>
            </w:pPr>
          </w:p>
          <w:p w14:paraId="05C0C59E">
            <w:pPr>
              <w:spacing w:before="65" w:line="341" w:lineRule="auto"/>
              <w:ind w:left="10" w:right="2" w:firstLine="420"/>
              <w:jc w:val="both"/>
              <w:rPr>
                <w:rFonts w:hint="eastAsia" w:ascii="宋体" w:hAnsi="宋体" w:eastAsia="宋体" w:cs="宋体"/>
                <w:sz w:val="24"/>
                <w:szCs w:val="24"/>
              </w:rPr>
            </w:pPr>
            <w:r>
              <w:rPr>
                <w:rFonts w:hint="eastAsia" w:ascii="宋体" w:hAnsi="宋体" w:eastAsia="宋体" w:cs="宋体"/>
                <w:spacing w:val="25"/>
                <w:sz w:val="24"/>
                <w:szCs w:val="24"/>
              </w:rPr>
              <w:t>我方不存在招标文件第一</w:t>
            </w:r>
            <w:r>
              <w:rPr>
                <w:rFonts w:hint="eastAsia" w:ascii="宋体" w:hAnsi="宋体" w:eastAsia="宋体" w:cs="宋体"/>
                <w:spacing w:val="5"/>
                <w:sz w:val="24"/>
                <w:szCs w:val="24"/>
              </w:rPr>
              <w:t xml:space="preserve"> </w:t>
            </w:r>
            <w:r>
              <w:rPr>
                <w:rFonts w:hint="eastAsia" w:ascii="宋体" w:hAnsi="宋体" w:eastAsia="宋体" w:cs="宋体"/>
                <w:spacing w:val="8"/>
                <w:sz w:val="24"/>
                <w:szCs w:val="24"/>
              </w:rPr>
              <w:t>章第三节第</w:t>
            </w:r>
            <w:r>
              <w:rPr>
                <w:rFonts w:hint="eastAsia" w:ascii="宋体" w:hAnsi="宋体" w:eastAsia="宋体" w:cs="宋体"/>
                <w:spacing w:val="-35"/>
                <w:sz w:val="24"/>
                <w:szCs w:val="24"/>
              </w:rPr>
              <w:t xml:space="preserve"> </w:t>
            </w:r>
            <w:r>
              <w:rPr>
                <w:rFonts w:hint="eastAsia" w:ascii="宋体" w:hAnsi="宋体" w:eastAsia="宋体" w:cs="宋体"/>
                <w:b/>
                <w:bCs/>
                <w:spacing w:val="8"/>
                <w:sz w:val="24"/>
                <w:szCs w:val="24"/>
              </w:rPr>
              <w:t>2.4</w:t>
            </w:r>
            <w:r>
              <w:rPr>
                <w:rFonts w:hint="eastAsia" w:ascii="宋体" w:hAnsi="宋体" w:eastAsia="宋体" w:cs="宋体"/>
                <w:b/>
                <w:bCs/>
                <w:spacing w:val="16"/>
                <w:sz w:val="24"/>
                <w:szCs w:val="24"/>
              </w:rPr>
              <w:t xml:space="preserve"> </w:t>
            </w:r>
            <w:r>
              <w:rPr>
                <w:rFonts w:hint="eastAsia" w:ascii="宋体" w:hAnsi="宋体" w:eastAsia="宋体" w:cs="宋体"/>
                <w:spacing w:val="8"/>
                <w:sz w:val="24"/>
                <w:szCs w:val="24"/>
              </w:rPr>
              <w:t>条“禁止投标条</w:t>
            </w:r>
            <w:r>
              <w:rPr>
                <w:rFonts w:hint="eastAsia" w:ascii="宋体" w:hAnsi="宋体" w:eastAsia="宋体" w:cs="宋体"/>
                <w:sz w:val="24"/>
                <w:szCs w:val="24"/>
              </w:rPr>
              <w:t xml:space="preserve"> </w:t>
            </w:r>
            <w:r>
              <w:rPr>
                <w:rFonts w:hint="eastAsia" w:ascii="宋体" w:hAnsi="宋体" w:eastAsia="宋体" w:cs="宋体"/>
                <w:spacing w:val="6"/>
                <w:sz w:val="24"/>
                <w:szCs w:val="24"/>
              </w:rPr>
              <w:t>款</w:t>
            </w:r>
            <w:r>
              <w:rPr>
                <w:rFonts w:hint="eastAsia" w:ascii="宋体" w:hAnsi="宋体" w:eastAsia="宋体" w:cs="宋体"/>
                <w:spacing w:val="-73"/>
                <w:sz w:val="24"/>
                <w:szCs w:val="24"/>
              </w:rPr>
              <w:t xml:space="preserve"> </w:t>
            </w:r>
            <w:r>
              <w:rPr>
                <w:rFonts w:hint="eastAsia" w:ascii="宋体" w:hAnsi="宋体" w:eastAsia="宋体" w:cs="宋体"/>
                <w:spacing w:val="6"/>
                <w:sz w:val="24"/>
                <w:szCs w:val="24"/>
              </w:rPr>
              <w:t>”规定的任何一种情形。</w:t>
            </w:r>
          </w:p>
        </w:tc>
        <w:tc>
          <w:tcPr>
            <w:tcW w:w="4698" w:type="dxa"/>
            <w:noWrap w:val="0"/>
            <w:vAlign w:val="top"/>
          </w:tcPr>
          <w:p w14:paraId="24F5C422">
            <w:pPr>
              <w:spacing w:before="122" w:line="331" w:lineRule="auto"/>
              <w:ind w:left="9" w:firstLine="421"/>
              <w:rPr>
                <w:rFonts w:hint="eastAsia" w:ascii="宋体" w:hAnsi="宋体" w:eastAsia="宋体" w:cs="宋体"/>
                <w:sz w:val="24"/>
                <w:szCs w:val="24"/>
              </w:rPr>
            </w:pPr>
            <w:r>
              <w:rPr>
                <w:rFonts w:hint="eastAsia" w:ascii="宋体" w:hAnsi="宋体" w:eastAsia="宋体" w:cs="宋体"/>
                <w:spacing w:val="6"/>
                <w:sz w:val="24"/>
                <w:szCs w:val="24"/>
              </w:rPr>
              <w:t>如果我方有招标文件第一章第三节第</w:t>
            </w:r>
            <w:r>
              <w:rPr>
                <w:rFonts w:hint="eastAsia" w:ascii="宋体" w:hAnsi="宋体" w:eastAsia="宋体" w:cs="宋体"/>
                <w:spacing w:val="-27"/>
                <w:sz w:val="24"/>
                <w:szCs w:val="24"/>
              </w:rPr>
              <w:t xml:space="preserve"> </w:t>
            </w:r>
            <w:r>
              <w:rPr>
                <w:rFonts w:hint="eastAsia" w:ascii="宋体" w:hAnsi="宋体" w:eastAsia="宋体" w:cs="宋体"/>
                <w:b/>
                <w:bCs/>
                <w:spacing w:val="6"/>
                <w:sz w:val="24"/>
                <w:szCs w:val="24"/>
              </w:rPr>
              <w:t>2.</w:t>
            </w:r>
            <w:r>
              <w:rPr>
                <w:rFonts w:hint="eastAsia" w:ascii="宋体" w:hAnsi="宋体" w:eastAsia="宋体" w:cs="宋体"/>
                <w:b/>
                <w:bCs/>
                <w:sz w:val="24"/>
                <w:szCs w:val="24"/>
              </w:rPr>
              <w:t xml:space="preserve">  </w:t>
            </w:r>
            <w:r>
              <w:rPr>
                <w:rFonts w:hint="eastAsia" w:ascii="宋体" w:hAnsi="宋体" w:eastAsia="宋体" w:cs="宋体"/>
                <w:b/>
                <w:bCs/>
                <w:spacing w:val="1"/>
                <w:sz w:val="24"/>
                <w:szCs w:val="24"/>
              </w:rPr>
              <w:t xml:space="preserve">4 </w:t>
            </w:r>
            <w:r>
              <w:rPr>
                <w:rFonts w:hint="eastAsia" w:ascii="宋体" w:hAnsi="宋体" w:eastAsia="宋体" w:cs="宋体"/>
                <w:spacing w:val="1"/>
                <w:sz w:val="24"/>
                <w:szCs w:val="24"/>
              </w:rPr>
              <w:t>条“禁止投标条款</w:t>
            </w:r>
            <w:r>
              <w:rPr>
                <w:rFonts w:hint="eastAsia" w:ascii="宋体" w:hAnsi="宋体" w:eastAsia="宋体" w:cs="宋体"/>
                <w:spacing w:val="-65"/>
                <w:sz w:val="24"/>
                <w:szCs w:val="24"/>
              </w:rPr>
              <w:t xml:space="preserve"> </w:t>
            </w:r>
            <w:r>
              <w:rPr>
                <w:rFonts w:hint="eastAsia" w:ascii="宋体" w:hAnsi="宋体" w:eastAsia="宋体" w:cs="宋体"/>
                <w:spacing w:val="1"/>
                <w:sz w:val="24"/>
                <w:szCs w:val="24"/>
              </w:rPr>
              <w:t>”规定的任何一种情形，</w:t>
            </w:r>
            <w:r>
              <w:rPr>
                <w:rFonts w:hint="eastAsia" w:ascii="宋体" w:hAnsi="宋体" w:eastAsia="宋体" w:cs="宋体"/>
                <w:spacing w:val="8"/>
                <w:sz w:val="24"/>
                <w:szCs w:val="24"/>
              </w:rPr>
              <w:t>我方接受招标人或其授权的招标代理机构或其组建的评标委员会依据招标文件作出的相应处理以及有关监督部门作出的行政处罚，</w:t>
            </w:r>
            <w:r>
              <w:rPr>
                <w:rFonts w:hint="eastAsia" w:ascii="宋体" w:hAnsi="宋体" w:eastAsia="宋体" w:cs="宋体"/>
                <w:spacing w:val="6"/>
                <w:sz w:val="24"/>
                <w:szCs w:val="24"/>
              </w:rPr>
              <w:t>并承担由此引起的一切法律后果。</w:t>
            </w:r>
          </w:p>
        </w:tc>
      </w:tr>
      <w:tr w14:paraId="5F001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0" w:hRule="atLeast"/>
        </w:trPr>
        <w:tc>
          <w:tcPr>
            <w:tcW w:w="841" w:type="dxa"/>
            <w:noWrap w:val="0"/>
            <w:vAlign w:val="top"/>
          </w:tcPr>
          <w:p w14:paraId="7C3C3E4E">
            <w:pPr>
              <w:pStyle w:val="20"/>
              <w:spacing w:line="261" w:lineRule="auto"/>
              <w:rPr>
                <w:rFonts w:hint="eastAsia" w:ascii="宋体" w:hAnsi="宋体" w:eastAsia="宋体" w:cs="宋体"/>
                <w:sz w:val="24"/>
                <w:szCs w:val="24"/>
              </w:rPr>
            </w:pPr>
          </w:p>
          <w:p w14:paraId="4126543C">
            <w:pPr>
              <w:pStyle w:val="20"/>
              <w:spacing w:line="262" w:lineRule="auto"/>
              <w:rPr>
                <w:rFonts w:hint="eastAsia" w:ascii="宋体" w:hAnsi="宋体" w:eastAsia="宋体" w:cs="宋体"/>
                <w:sz w:val="24"/>
                <w:szCs w:val="24"/>
              </w:rPr>
            </w:pPr>
          </w:p>
          <w:p w14:paraId="0BDF9E55">
            <w:pPr>
              <w:pStyle w:val="20"/>
              <w:spacing w:line="262" w:lineRule="auto"/>
              <w:rPr>
                <w:rFonts w:hint="eastAsia" w:ascii="宋体" w:hAnsi="宋体" w:eastAsia="宋体" w:cs="宋体"/>
                <w:sz w:val="24"/>
                <w:szCs w:val="24"/>
              </w:rPr>
            </w:pPr>
          </w:p>
          <w:p w14:paraId="19C45044">
            <w:pPr>
              <w:pStyle w:val="20"/>
              <w:spacing w:line="262" w:lineRule="auto"/>
              <w:rPr>
                <w:rFonts w:hint="eastAsia" w:ascii="宋体" w:hAnsi="宋体" w:eastAsia="宋体" w:cs="宋体"/>
                <w:sz w:val="24"/>
                <w:szCs w:val="24"/>
              </w:rPr>
            </w:pPr>
          </w:p>
          <w:p w14:paraId="55D1BCFC">
            <w:pPr>
              <w:spacing w:before="57" w:line="195" w:lineRule="auto"/>
              <w:ind w:left="312"/>
              <w:rPr>
                <w:rFonts w:hint="eastAsia" w:ascii="宋体" w:hAnsi="宋体" w:eastAsia="宋体" w:cs="宋体"/>
                <w:sz w:val="24"/>
                <w:szCs w:val="24"/>
              </w:rPr>
            </w:pPr>
            <w:r>
              <w:rPr>
                <w:rFonts w:hint="eastAsia" w:ascii="宋体" w:hAnsi="宋体" w:eastAsia="宋体" w:cs="宋体"/>
                <w:sz w:val="24"/>
                <w:szCs w:val="24"/>
              </w:rPr>
              <w:t>3</w:t>
            </w:r>
          </w:p>
        </w:tc>
        <w:tc>
          <w:tcPr>
            <w:tcW w:w="1843" w:type="dxa"/>
            <w:noWrap w:val="0"/>
            <w:vAlign w:val="top"/>
          </w:tcPr>
          <w:p w14:paraId="10E6A003">
            <w:pPr>
              <w:pStyle w:val="20"/>
              <w:spacing w:line="313" w:lineRule="auto"/>
              <w:rPr>
                <w:rFonts w:hint="eastAsia" w:ascii="宋体" w:hAnsi="宋体" w:eastAsia="宋体" w:cs="宋体"/>
                <w:sz w:val="24"/>
                <w:szCs w:val="24"/>
              </w:rPr>
            </w:pPr>
          </w:p>
          <w:p w14:paraId="4A12195E">
            <w:pPr>
              <w:pStyle w:val="20"/>
              <w:spacing w:line="314" w:lineRule="auto"/>
              <w:rPr>
                <w:rFonts w:hint="eastAsia" w:ascii="宋体" w:hAnsi="宋体" w:eastAsia="宋体" w:cs="宋体"/>
                <w:sz w:val="24"/>
                <w:szCs w:val="24"/>
              </w:rPr>
            </w:pPr>
          </w:p>
          <w:p w14:paraId="06A11C3A">
            <w:pPr>
              <w:spacing w:before="65" w:line="229" w:lineRule="auto"/>
              <w:ind w:left="193"/>
              <w:rPr>
                <w:rFonts w:hint="eastAsia" w:ascii="宋体" w:hAnsi="宋体" w:eastAsia="宋体" w:cs="宋体"/>
                <w:sz w:val="24"/>
                <w:szCs w:val="24"/>
              </w:rPr>
            </w:pPr>
            <w:r>
              <w:rPr>
                <w:rFonts w:hint="eastAsia" w:ascii="宋体" w:hAnsi="宋体" w:eastAsia="宋体" w:cs="宋体"/>
                <w:spacing w:val="2"/>
                <w:sz w:val="24"/>
                <w:szCs w:val="24"/>
              </w:rPr>
              <w:t>自觉抵制围标</w:t>
            </w:r>
          </w:p>
          <w:p w14:paraId="23A68297">
            <w:pPr>
              <w:spacing w:before="131" w:line="228" w:lineRule="auto"/>
              <w:ind w:left="283"/>
              <w:rPr>
                <w:rFonts w:hint="eastAsia" w:ascii="宋体" w:hAnsi="宋体" w:eastAsia="宋体" w:cs="宋体"/>
                <w:sz w:val="24"/>
                <w:szCs w:val="24"/>
              </w:rPr>
            </w:pPr>
            <w:r>
              <w:rPr>
                <w:rFonts w:hint="eastAsia" w:ascii="宋体" w:hAnsi="宋体" w:eastAsia="宋体" w:cs="宋体"/>
                <w:spacing w:val="4"/>
                <w:sz w:val="24"/>
                <w:szCs w:val="24"/>
              </w:rPr>
              <w:t>串标和弄虚</w:t>
            </w:r>
          </w:p>
          <w:p w14:paraId="348BFB6E">
            <w:pPr>
              <w:spacing w:before="133" w:line="228" w:lineRule="auto"/>
              <w:ind w:left="56"/>
              <w:rPr>
                <w:rFonts w:hint="eastAsia" w:ascii="宋体" w:hAnsi="宋体" w:eastAsia="宋体" w:cs="宋体"/>
                <w:sz w:val="24"/>
                <w:szCs w:val="24"/>
              </w:rPr>
            </w:pPr>
            <w:r>
              <w:rPr>
                <w:rFonts w:hint="eastAsia" w:ascii="宋体" w:hAnsi="宋体" w:eastAsia="宋体" w:cs="宋体"/>
                <w:spacing w:val="8"/>
                <w:sz w:val="24"/>
                <w:szCs w:val="24"/>
              </w:rPr>
              <w:t>作假行为的承诺</w:t>
            </w:r>
          </w:p>
        </w:tc>
        <w:tc>
          <w:tcPr>
            <w:tcW w:w="3417" w:type="dxa"/>
            <w:noWrap w:val="0"/>
            <w:vAlign w:val="top"/>
          </w:tcPr>
          <w:p w14:paraId="0B818318">
            <w:pPr>
              <w:pStyle w:val="20"/>
              <w:spacing w:line="436" w:lineRule="auto"/>
              <w:rPr>
                <w:rFonts w:hint="eastAsia" w:ascii="宋体" w:hAnsi="宋体" w:eastAsia="宋体" w:cs="宋体"/>
                <w:sz w:val="24"/>
                <w:szCs w:val="24"/>
              </w:rPr>
            </w:pPr>
          </w:p>
          <w:p w14:paraId="7C18FEED">
            <w:pPr>
              <w:spacing w:before="65" w:line="344" w:lineRule="auto"/>
              <w:ind w:left="11" w:right="2" w:firstLine="420"/>
              <w:jc w:val="both"/>
              <w:rPr>
                <w:rFonts w:hint="eastAsia" w:ascii="宋体" w:hAnsi="宋体" w:eastAsia="宋体" w:cs="宋体"/>
                <w:sz w:val="24"/>
                <w:szCs w:val="24"/>
              </w:rPr>
            </w:pPr>
            <w:r>
              <w:rPr>
                <w:rFonts w:hint="eastAsia" w:ascii="宋体" w:hAnsi="宋体" w:eastAsia="宋体" w:cs="宋体"/>
                <w:spacing w:val="6"/>
                <w:sz w:val="24"/>
                <w:szCs w:val="24"/>
              </w:rPr>
              <w:t>我方合法正当、诚实守信地</w:t>
            </w:r>
            <w:r>
              <w:rPr>
                <w:rFonts w:hint="eastAsia" w:ascii="宋体" w:hAnsi="宋体" w:eastAsia="宋体" w:cs="宋体"/>
                <w:spacing w:val="8"/>
                <w:sz w:val="24"/>
                <w:szCs w:val="24"/>
              </w:rPr>
              <w:t xml:space="preserve"> </w:t>
            </w:r>
            <w:r>
              <w:rPr>
                <w:rFonts w:hint="eastAsia" w:ascii="宋体" w:hAnsi="宋体" w:eastAsia="宋体" w:cs="宋体"/>
                <w:spacing w:val="7"/>
                <w:sz w:val="24"/>
                <w:szCs w:val="24"/>
              </w:rPr>
              <w:t>参与投标，不组织、不参加围标串标违法行为，不通过弄虚作假</w:t>
            </w:r>
            <w:r>
              <w:rPr>
                <w:rFonts w:hint="eastAsia" w:ascii="宋体" w:hAnsi="宋体" w:eastAsia="宋体" w:cs="宋体"/>
                <w:spacing w:val="6"/>
                <w:sz w:val="24"/>
                <w:szCs w:val="24"/>
              </w:rPr>
              <w:t>行为骗取中标。</w:t>
            </w:r>
          </w:p>
        </w:tc>
        <w:tc>
          <w:tcPr>
            <w:tcW w:w="4698" w:type="dxa"/>
            <w:noWrap w:val="0"/>
            <w:vAlign w:val="top"/>
          </w:tcPr>
          <w:p w14:paraId="7C471EAE">
            <w:pPr>
              <w:spacing w:before="129" w:line="330" w:lineRule="auto"/>
              <w:ind w:left="13" w:right="4" w:firstLine="422"/>
              <w:jc w:val="both"/>
              <w:rPr>
                <w:rFonts w:hint="eastAsia" w:ascii="宋体" w:hAnsi="宋体" w:eastAsia="宋体" w:cs="宋体"/>
                <w:sz w:val="24"/>
                <w:szCs w:val="24"/>
              </w:rPr>
            </w:pPr>
            <w:r>
              <w:rPr>
                <w:rFonts w:hint="eastAsia" w:ascii="宋体" w:hAnsi="宋体" w:eastAsia="宋体" w:cs="宋体"/>
                <w:spacing w:val="10"/>
                <w:sz w:val="24"/>
                <w:szCs w:val="24"/>
              </w:rPr>
              <w:t>如果我方组织或参加围标串标违法行为</w:t>
            </w:r>
            <w:r>
              <w:rPr>
                <w:rFonts w:hint="eastAsia" w:ascii="宋体" w:hAnsi="宋体" w:eastAsia="宋体" w:cs="宋体"/>
                <w:spacing w:val="5"/>
                <w:sz w:val="24"/>
                <w:szCs w:val="24"/>
              </w:rPr>
              <w:t xml:space="preserve"> </w:t>
            </w:r>
            <w:r>
              <w:rPr>
                <w:rFonts w:hint="eastAsia" w:ascii="宋体" w:hAnsi="宋体" w:eastAsia="宋体" w:cs="宋体"/>
                <w:spacing w:val="10"/>
                <w:sz w:val="24"/>
                <w:szCs w:val="24"/>
              </w:rPr>
              <w:t>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spacing w:val="7"/>
                <w:sz w:val="24"/>
                <w:szCs w:val="24"/>
              </w:rPr>
              <w:t>引起的一切法律后果。</w:t>
            </w:r>
          </w:p>
        </w:tc>
      </w:tr>
      <w:tr w14:paraId="52763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6" w:hRule="atLeast"/>
        </w:trPr>
        <w:tc>
          <w:tcPr>
            <w:tcW w:w="841" w:type="dxa"/>
            <w:noWrap w:val="0"/>
            <w:vAlign w:val="top"/>
          </w:tcPr>
          <w:p w14:paraId="64F2843F">
            <w:pPr>
              <w:pStyle w:val="20"/>
              <w:spacing w:line="247" w:lineRule="auto"/>
              <w:rPr>
                <w:rFonts w:hint="eastAsia" w:ascii="宋体" w:hAnsi="宋体" w:eastAsia="宋体" w:cs="宋体"/>
                <w:sz w:val="24"/>
                <w:szCs w:val="24"/>
              </w:rPr>
            </w:pPr>
          </w:p>
          <w:p w14:paraId="0AF38234">
            <w:pPr>
              <w:pStyle w:val="20"/>
              <w:spacing w:line="247" w:lineRule="auto"/>
              <w:rPr>
                <w:rFonts w:hint="eastAsia" w:ascii="宋体" w:hAnsi="宋体" w:eastAsia="宋体" w:cs="宋体"/>
                <w:sz w:val="24"/>
                <w:szCs w:val="24"/>
              </w:rPr>
            </w:pPr>
          </w:p>
          <w:p w14:paraId="60D1B7AD">
            <w:pPr>
              <w:pStyle w:val="20"/>
              <w:spacing w:line="248" w:lineRule="auto"/>
              <w:rPr>
                <w:rFonts w:hint="eastAsia" w:ascii="宋体" w:hAnsi="宋体" w:eastAsia="宋体" w:cs="宋体"/>
                <w:sz w:val="24"/>
                <w:szCs w:val="24"/>
              </w:rPr>
            </w:pPr>
          </w:p>
          <w:p w14:paraId="6C99808D">
            <w:pPr>
              <w:pStyle w:val="20"/>
              <w:spacing w:line="248" w:lineRule="auto"/>
              <w:rPr>
                <w:rFonts w:hint="eastAsia" w:ascii="宋体" w:hAnsi="宋体" w:eastAsia="宋体" w:cs="宋体"/>
                <w:sz w:val="24"/>
                <w:szCs w:val="24"/>
              </w:rPr>
            </w:pPr>
          </w:p>
          <w:p w14:paraId="622FE7B0">
            <w:pPr>
              <w:pStyle w:val="20"/>
              <w:spacing w:line="248" w:lineRule="auto"/>
              <w:rPr>
                <w:rFonts w:hint="eastAsia" w:ascii="宋体" w:hAnsi="宋体" w:eastAsia="宋体" w:cs="宋体"/>
                <w:sz w:val="24"/>
                <w:szCs w:val="24"/>
              </w:rPr>
            </w:pPr>
          </w:p>
          <w:p w14:paraId="3F46A49D">
            <w:pPr>
              <w:spacing w:before="58" w:line="195" w:lineRule="auto"/>
              <w:ind w:left="307"/>
              <w:rPr>
                <w:rFonts w:hint="eastAsia" w:ascii="宋体" w:hAnsi="宋体" w:eastAsia="宋体" w:cs="宋体"/>
                <w:sz w:val="24"/>
                <w:szCs w:val="24"/>
              </w:rPr>
            </w:pPr>
            <w:r>
              <w:rPr>
                <w:rFonts w:hint="eastAsia" w:ascii="宋体" w:hAnsi="宋体" w:eastAsia="宋体" w:cs="宋体"/>
                <w:spacing w:val="1"/>
                <w:sz w:val="24"/>
                <w:szCs w:val="24"/>
              </w:rPr>
              <w:t>4</w:t>
            </w:r>
          </w:p>
        </w:tc>
        <w:tc>
          <w:tcPr>
            <w:tcW w:w="1843" w:type="dxa"/>
            <w:noWrap w:val="0"/>
            <w:vAlign w:val="top"/>
          </w:tcPr>
          <w:p w14:paraId="4C215633">
            <w:pPr>
              <w:pStyle w:val="20"/>
              <w:spacing w:line="251" w:lineRule="auto"/>
              <w:rPr>
                <w:rFonts w:hint="eastAsia" w:ascii="宋体" w:hAnsi="宋体" w:eastAsia="宋体" w:cs="宋体"/>
                <w:sz w:val="24"/>
                <w:szCs w:val="24"/>
              </w:rPr>
            </w:pPr>
          </w:p>
          <w:p w14:paraId="540C342B">
            <w:pPr>
              <w:pStyle w:val="20"/>
              <w:spacing w:line="252" w:lineRule="auto"/>
              <w:rPr>
                <w:rFonts w:hint="eastAsia" w:ascii="宋体" w:hAnsi="宋体" w:eastAsia="宋体" w:cs="宋体"/>
                <w:sz w:val="24"/>
                <w:szCs w:val="24"/>
              </w:rPr>
            </w:pPr>
          </w:p>
          <w:p w14:paraId="5CFF8A7E">
            <w:pPr>
              <w:pStyle w:val="20"/>
              <w:spacing w:line="252" w:lineRule="auto"/>
              <w:rPr>
                <w:rFonts w:hint="eastAsia" w:ascii="宋体" w:hAnsi="宋体" w:eastAsia="宋体" w:cs="宋体"/>
                <w:sz w:val="24"/>
                <w:szCs w:val="24"/>
              </w:rPr>
            </w:pPr>
          </w:p>
          <w:p w14:paraId="1DD5770F">
            <w:pPr>
              <w:pStyle w:val="20"/>
              <w:spacing w:line="252" w:lineRule="auto"/>
              <w:rPr>
                <w:rFonts w:hint="eastAsia" w:ascii="宋体" w:hAnsi="宋体" w:eastAsia="宋体" w:cs="宋体"/>
                <w:sz w:val="24"/>
                <w:szCs w:val="24"/>
              </w:rPr>
            </w:pPr>
          </w:p>
          <w:p w14:paraId="766A4F72">
            <w:pPr>
              <w:spacing w:before="65" w:line="335" w:lineRule="auto"/>
              <w:ind w:left="369" w:right="367" w:firstLine="4"/>
              <w:rPr>
                <w:rFonts w:hint="eastAsia" w:ascii="宋体" w:hAnsi="宋体" w:eastAsia="宋体" w:cs="宋体"/>
                <w:sz w:val="24"/>
                <w:szCs w:val="24"/>
              </w:rPr>
            </w:pPr>
            <w:r>
              <w:rPr>
                <w:rFonts w:hint="eastAsia" w:ascii="宋体" w:hAnsi="宋体" w:eastAsia="宋体" w:cs="宋体"/>
                <w:spacing w:val="6"/>
                <w:sz w:val="24"/>
                <w:szCs w:val="24"/>
              </w:rPr>
              <w:t>项目经理</w:t>
            </w:r>
            <w:r>
              <w:rPr>
                <w:rFonts w:hint="eastAsia" w:ascii="宋体" w:hAnsi="宋体" w:eastAsia="宋体" w:cs="宋体"/>
                <w:spacing w:val="1"/>
                <w:sz w:val="24"/>
                <w:szCs w:val="24"/>
              </w:rPr>
              <w:t xml:space="preserve"> </w:t>
            </w:r>
            <w:r>
              <w:rPr>
                <w:rFonts w:hint="eastAsia" w:ascii="宋体" w:hAnsi="宋体" w:eastAsia="宋体" w:cs="宋体"/>
                <w:spacing w:val="7"/>
                <w:sz w:val="24"/>
                <w:szCs w:val="24"/>
              </w:rPr>
              <w:t>任职承诺</w:t>
            </w:r>
          </w:p>
        </w:tc>
        <w:tc>
          <w:tcPr>
            <w:tcW w:w="3417" w:type="dxa"/>
            <w:noWrap w:val="0"/>
            <w:vAlign w:val="top"/>
          </w:tcPr>
          <w:p w14:paraId="0F343124">
            <w:pPr>
              <w:pStyle w:val="20"/>
              <w:spacing w:line="312" w:lineRule="auto"/>
              <w:rPr>
                <w:rFonts w:hint="eastAsia" w:ascii="宋体" w:hAnsi="宋体" w:eastAsia="宋体" w:cs="宋体"/>
                <w:sz w:val="24"/>
                <w:szCs w:val="24"/>
              </w:rPr>
            </w:pPr>
          </w:p>
          <w:p w14:paraId="0BA14DCA">
            <w:pPr>
              <w:pStyle w:val="20"/>
              <w:spacing w:line="313" w:lineRule="auto"/>
              <w:rPr>
                <w:rFonts w:hint="eastAsia" w:ascii="宋体" w:hAnsi="宋体" w:eastAsia="宋体" w:cs="宋体"/>
                <w:sz w:val="24"/>
                <w:szCs w:val="24"/>
              </w:rPr>
            </w:pPr>
          </w:p>
          <w:p w14:paraId="4944E3E9">
            <w:pPr>
              <w:spacing w:before="65" w:line="344" w:lineRule="auto"/>
              <w:ind w:left="9" w:right="2" w:firstLine="422"/>
              <w:jc w:val="both"/>
              <w:rPr>
                <w:rFonts w:hint="eastAsia" w:ascii="宋体" w:hAnsi="宋体" w:eastAsia="宋体" w:cs="宋体"/>
                <w:sz w:val="24"/>
                <w:szCs w:val="24"/>
              </w:rPr>
            </w:pPr>
            <w:r>
              <w:rPr>
                <w:rFonts w:hint="eastAsia" w:ascii="宋体" w:hAnsi="宋体" w:eastAsia="宋体" w:cs="宋体"/>
                <w:spacing w:val="19"/>
                <w:sz w:val="24"/>
                <w:szCs w:val="24"/>
              </w:rPr>
              <w:t>我方拟派项目经理现阶段</w:t>
            </w:r>
            <w:r>
              <w:rPr>
                <w:rFonts w:hint="eastAsia" w:ascii="宋体" w:hAnsi="宋体" w:eastAsia="宋体" w:cs="宋体"/>
                <w:sz w:val="24"/>
                <w:szCs w:val="24"/>
              </w:rPr>
              <w:t xml:space="preserve"> </w:t>
            </w:r>
            <w:r>
              <w:rPr>
                <w:rFonts w:hint="eastAsia" w:ascii="宋体" w:hAnsi="宋体" w:eastAsia="宋体" w:cs="宋体"/>
                <w:spacing w:val="7"/>
                <w:sz w:val="24"/>
                <w:szCs w:val="24"/>
              </w:rPr>
              <w:t>没有担任任何在施（包括已中标未开工、已开工未竣工）建设工程项目的项目经理。</w:t>
            </w:r>
          </w:p>
        </w:tc>
        <w:tc>
          <w:tcPr>
            <w:tcW w:w="4698" w:type="dxa"/>
            <w:noWrap w:val="0"/>
            <w:vAlign w:val="top"/>
          </w:tcPr>
          <w:p w14:paraId="2F52E371">
            <w:pPr>
              <w:spacing w:before="128" w:line="333" w:lineRule="auto"/>
              <w:ind w:left="11" w:firstLine="417"/>
              <w:jc w:val="both"/>
              <w:rPr>
                <w:rFonts w:hint="eastAsia" w:ascii="宋体" w:hAnsi="宋体" w:eastAsia="宋体" w:cs="宋体"/>
                <w:sz w:val="24"/>
                <w:szCs w:val="24"/>
              </w:rPr>
            </w:pPr>
            <w:r>
              <w:rPr>
                <w:rFonts w:hint="eastAsia" w:ascii="宋体" w:hAnsi="宋体" w:eastAsia="宋体" w:cs="宋体"/>
                <w:spacing w:val="7"/>
                <w:sz w:val="24"/>
                <w:szCs w:val="24"/>
              </w:rPr>
              <w:t>如果我方拟派项目经理在本项目招标投</w:t>
            </w:r>
            <w:r>
              <w:rPr>
                <w:rFonts w:hint="eastAsia" w:ascii="宋体" w:hAnsi="宋体" w:eastAsia="宋体" w:cs="宋体"/>
                <w:sz w:val="24"/>
                <w:szCs w:val="24"/>
              </w:rPr>
              <w:t xml:space="preserve"> </w:t>
            </w:r>
            <w:r>
              <w:rPr>
                <w:rFonts w:hint="eastAsia" w:ascii="宋体" w:hAnsi="宋体" w:eastAsia="宋体" w:cs="宋体"/>
                <w:spacing w:val="7"/>
                <w:sz w:val="24"/>
                <w:szCs w:val="24"/>
              </w:rPr>
              <w:t>标活动期间有担任其他任何在施（包括已中标未开工、已开工未竣工）建设工程项目的项目经理，我方接受招标人或其授权的招标代理机构或其组建的评标委员会依据招标文件作出的相应处理以及有关监督部门作出的</w:t>
            </w:r>
            <w:r>
              <w:rPr>
                <w:rFonts w:hint="eastAsia" w:ascii="宋体" w:hAnsi="宋体" w:eastAsia="宋体" w:cs="宋体"/>
                <w:sz w:val="24"/>
                <w:szCs w:val="24"/>
              </w:rPr>
              <w:t>行政处罚，并承担由此引起的一切法律后果。</w:t>
            </w:r>
          </w:p>
        </w:tc>
      </w:tr>
      <w:tr w14:paraId="481690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1" w:hRule="atLeast"/>
        </w:trPr>
        <w:tc>
          <w:tcPr>
            <w:tcW w:w="841" w:type="dxa"/>
            <w:noWrap w:val="0"/>
            <w:vAlign w:val="top"/>
          </w:tcPr>
          <w:p w14:paraId="0F38D0AC">
            <w:pPr>
              <w:pStyle w:val="20"/>
              <w:spacing w:line="337" w:lineRule="auto"/>
              <w:rPr>
                <w:rFonts w:hint="eastAsia" w:ascii="宋体" w:hAnsi="宋体" w:eastAsia="宋体" w:cs="宋体"/>
                <w:sz w:val="24"/>
                <w:szCs w:val="24"/>
              </w:rPr>
            </w:pPr>
          </w:p>
          <w:p w14:paraId="63D6C1BB">
            <w:pPr>
              <w:pStyle w:val="20"/>
              <w:spacing w:line="338" w:lineRule="auto"/>
              <w:rPr>
                <w:rFonts w:hint="eastAsia" w:ascii="宋体" w:hAnsi="宋体" w:eastAsia="宋体" w:cs="宋体"/>
                <w:sz w:val="24"/>
                <w:szCs w:val="24"/>
              </w:rPr>
            </w:pPr>
          </w:p>
          <w:p w14:paraId="14EB522D">
            <w:pPr>
              <w:spacing w:before="58" w:line="192" w:lineRule="auto"/>
              <w:ind w:left="314"/>
              <w:rPr>
                <w:rFonts w:hint="eastAsia" w:ascii="宋体" w:hAnsi="宋体" w:eastAsia="宋体" w:cs="宋体"/>
                <w:sz w:val="24"/>
                <w:szCs w:val="24"/>
              </w:rPr>
            </w:pPr>
            <w:r>
              <w:rPr>
                <w:rFonts w:hint="eastAsia" w:ascii="宋体" w:hAnsi="宋体" w:eastAsia="宋体" w:cs="宋体"/>
                <w:sz w:val="24"/>
                <w:szCs w:val="24"/>
              </w:rPr>
              <w:t>5</w:t>
            </w:r>
          </w:p>
        </w:tc>
        <w:tc>
          <w:tcPr>
            <w:tcW w:w="1843" w:type="dxa"/>
            <w:noWrap w:val="0"/>
            <w:vAlign w:val="top"/>
          </w:tcPr>
          <w:p w14:paraId="118A3817">
            <w:pPr>
              <w:pStyle w:val="20"/>
              <w:spacing w:line="442" w:lineRule="auto"/>
              <w:rPr>
                <w:rFonts w:hint="eastAsia" w:ascii="宋体" w:hAnsi="宋体" w:eastAsia="宋体" w:cs="宋体"/>
                <w:sz w:val="24"/>
                <w:szCs w:val="24"/>
              </w:rPr>
            </w:pPr>
          </w:p>
          <w:p w14:paraId="00453515">
            <w:pPr>
              <w:spacing w:before="65" w:line="335" w:lineRule="auto"/>
              <w:ind w:left="267" w:right="261" w:firstLine="105"/>
              <w:rPr>
                <w:rFonts w:hint="eastAsia" w:ascii="宋体" w:hAnsi="宋体" w:eastAsia="宋体" w:cs="宋体"/>
                <w:sz w:val="24"/>
                <w:szCs w:val="24"/>
              </w:rPr>
            </w:pPr>
            <w:r>
              <w:rPr>
                <w:rFonts w:hint="eastAsia" w:ascii="宋体" w:hAnsi="宋体" w:eastAsia="宋体" w:cs="宋体"/>
                <w:spacing w:val="6"/>
                <w:sz w:val="24"/>
                <w:szCs w:val="24"/>
              </w:rPr>
              <w:t>投标文件</w:t>
            </w:r>
            <w:r>
              <w:rPr>
                <w:rFonts w:hint="eastAsia" w:ascii="宋体" w:hAnsi="宋体" w:eastAsia="宋体" w:cs="宋体"/>
                <w:spacing w:val="1"/>
                <w:sz w:val="24"/>
                <w:szCs w:val="24"/>
              </w:rPr>
              <w:t xml:space="preserve">  </w:t>
            </w:r>
            <w:r>
              <w:rPr>
                <w:rFonts w:hint="eastAsia" w:ascii="宋体" w:hAnsi="宋体" w:eastAsia="宋体" w:cs="宋体"/>
                <w:spacing w:val="7"/>
                <w:sz w:val="24"/>
                <w:szCs w:val="24"/>
              </w:rPr>
              <w:t>真实性承诺</w:t>
            </w:r>
          </w:p>
        </w:tc>
        <w:tc>
          <w:tcPr>
            <w:tcW w:w="3417" w:type="dxa"/>
            <w:noWrap w:val="0"/>
            <w:vAlign w:val="top"/>
          </w:tcPr>
          <w:p w14:paraId="0D82A8ED">
            <w:pPr>
              <w:pStyle w:val="20"/>
              <w:spacing w:line="442" w:lineRule="auto"/>
              <w:rPr>
                <w:rFonts w:hint="eastAsia" w:ascii="宋体" w:hAnsi="宋体" w:eastAsia="宋体" w:cs="宋体"/>
                <w:sz w:val="24"/>
                <w:szCs w:val="24"/>
              </w:rPr>
            </w:pPr>
          </w:p>
          <w:p w14:paraId="63EB4071">
            <w:pPr>
              <w:spacing w:before="65" w:line="335" w:lineRule="auto"/>
              <w:ind w:left="12" w:firstLine="409"/>
              <w:rPr>
                <w:rFonts w:hint="eastAsia" w:ascii="宋体" w:hAnsi="宋体" w:eastAsia="宋体" w:cs="宋体"/>
                <w:sz w:val="24"/>
                <w:szCs w:val="24"/>
              </w:rPr>
            </w:pPr>
            <w:r>
              <w:rPr>
                <w:rFonts w:hint="eastAsia" w:ascii="宋体" w:hAnsi="宋体" w:eastAsia="宋体" w:cs="宋体"/>
                <w:spacing w:val="20"/>
                <w:sz w:val="24"/>
                <w:szCs w:val="24"/>
              </w:rPr>
              <w:t>我方所递交投标文件的全</w:t>
            </w:r>
            <w:r>
              <w:rPr>
                <w:rFonts w:hint="eastAsia" w:ascii="宋体" w:hAnsi="宋体" w:eastAsia="宋体" w:cs="宋体"/>
                <w:spacing w:val="2"/>
                <w:sz w:val="24"/>
                <w:szCs w:val="24"/>
              </w:rPr>
              <w:t xml:space="preserve"> </w:t>
            </w:r>
            <w:r>
              <w:rPr>
                <w:rFonts w:hint="eastAsia" w:ascii="宋体" w:hAnsi="宋体" w:eastAsia="宋体" w:cs="宋体"/>
                <w:spacing w:val="-7"/>
                <w:sz w:val="24"/>
                <w:szCs w:val="24"/>
              </w:rPr>
              <w:t>部内容均为真实、有效、准确的。</w:t>
            </w:r>
          </w:p>
        </w:tc>
        <w:tc>
          <w:tcPr>
            <w:tcW w:w="4698" w:type="dxa"/>
            <w:noWrap w:val="0"/>
            <w:vAlign w:val="top"/>
          </w:tcPr>
          <w:p w14:paraId="20EE307E">
            <w:pPr>
              <w:spacing w:before="127" w:line="320" w:lineRule="auto"/>
              <w:ind w:left="11" w:firstLine="417"/>
              <w:jc w:val="both"/>
              <w:rPr>
                <w:rFonts w:hint="eastAsia" w:ascii="宋体" w:hAnsi="宋体" w:eastAsia="宋体" w:cs="宋体"/>
                <w:sz w:val="24"/>
                <w:szCs w:val="24"/>
              </w:rPr>
            </w:pPr>
            <w:r>
              <w:rPr>
                <w:rFonts w:hint="eastAsia" w:ascii="宋体" w:hAnsi="宋体" w:eastAsia="宋体" w:cs="宋体"/>
                <w:spacing w:val="7"/>
                <w:sz w:val="24"/>
                <w:szCs w:val="24"/>
              </w:rPr>
              <w:t>如果我方递交的投标文件任何内容不真</w:t>
            </w:r>
            <w:r>
              <w:rPr>
                <w:rFonts w:hint="eastAsia" w:ascii="宋体" w:hAnsi="宋体" w:eastAsia="宋体" w:cs="宋体"/>
                <w:sz w:val="24"/>
                <w:szCs w:val="24"/>
              </w:rPr>
              <w:t xml:space="preserve"> </w:t>
            </w:r>
            <w:r>
              <w:rPr>
                <w:rFonts w:hint="eastAsia" w:ascii="宋体" w:hAnsi="宋体" w:eastAsia="宋体" w:cs="宋体"/>
                <w:spacing w:val="7"/>
                <w:sz w:val="24"/>
                <w:szCs w:val="24"/>
              </w:rPr>
              <w:t>实或无效或不准确，我方接受招标人或其授权的招标代理机构或其组建的评标委员会依</w:t>
            </w:r>
            <w:r>
              <w:rPr>
                <w:rFonts w:hint="eastAsia" w:ascii="宋体" w:hAnsi="宋体" w:eastAsia="宋体" w:cs="宋体"/>
                <w:sz w:val="24"/>
                <w:szCs w:val="24"/>
              </w:rPr>
              <w:t>据招标文件作出的相应处理，包括否决投标。</w:t>
            </w:r>
          </w:p>
        </w:tc>
      </w:tr>
      <w:tr w14:paraId="124A59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3" w:hRule="atLeast"/>
        </w:trPr>
        <w:tc>
          <w:tcPr>
            <w:tcW w:w="841" w:type="dxa"/>
            <w:noWrap w:val="0"/>
            <w:vAlign w:val="top"/>
          </w:tcPr>
          <w:p w14:paraId="730F0551">
            <w:pPr>
              <w:pStyle w:val="20"/>
              <w:spacing w:line="336" w:lineRule="auto"/>
              <w:rPr>
                <w:rFonts w:hint="eastAsia" w:ascii="宋体" w:hAnsi="宋体" w:eastAsia="宋体" w:cs="宋体"/>
                <w:sz w:val="24"/>
                <w:szCs w:val="24"/>
              </w:rPr>
            </w:pPr>
          </w:p>
          <w:p w14:paraId="4045AB98">
            <w:pPr>
              <w:pStyle w:val="20"/>
              <w:spacing w:line="336" w:lineRule="auto"/>
              <w:rPr>
                <w:rFonts w:hint="eastAsia" w:ascii="宋体" w:hAnsi="宋体" w:eastAsia="宋体" w:cs="宋体"/>
                <w:sz w:val="24"/>
                <w:szCs w:val="24"/>
              </w:rPr>
            </w:pPr>
          </w:p>
          <w:p w14:paraId="3535C5DF">
            <w:pPr>
              <w:spacing w:before="58" w:line="195" w:lineRule="auto"/>
              <w:ind w:left="313"/>
              <w:rPr>
                <w:rFonts w:hint="eastAsia" w:ascii="宋体" w:hAnsi="宋体" w:eastAsia="宋体" w:cs="宋体"/>
                <w:sz w:val="24"/>
                <w:szCs w:val="24"/>
              </w:rPr>
            </w:pPr>
            <w:r>
              <w:rPr>
                <w:rFonts w:hint="eastAsia" w:ascii="宋体" w:hAnsi="宋体" w:eastAsia="宋体" w:cs="宋体"/>
                <w:sz w:val="24"/>
                <w:szCs w:val="24"/>
              </w:rPr>
              <w:t>6</w:t>
            </w:r>
          </w:p>
        </w:tc>
        <w:tc>
          <w:tcPr>
            <w:tcW w:w="1843" w:type="dxa"/>
            <w:noWrap w:val="0"/>
            <w:vAlign w:val="top"/>
          </w:tcPr>
          <w:p w14:paraId="0C659BD3">
            <w:pPr>
              <w:pStyle w:val="20"/>
              <w:spacing w:line="441" w:lineRule="auto"/>
              <w:rPr>
                <w:rFonts w:hint="eastAsia" w:ascii="宋体" w:hAnsi="宋体" w:eastAsia="宋体" w:cs="宋体"/>
                <w:sz w:val="24"/>
                <w:szCs w:val="24"/>
              </w:rPr>
            </w:pPr>
          </w:p>
          <w:p w14:paraId="3D38279C">
            <w:pPr>
              <w:spacing w:before="65" w:line="228" w:lineRule="auto"/>
              <w:ind w:left="372"/>
              <w:rPr>
                <w:rFonts w:hint="eastAsia" w:ascii="宋体" w:hAnsi="宋体" w:eastAsia="宋体" w:cs="宋体"/>
                <w:sz w:val="24"/>
                <w:szCs w:val="24"/>
              </w:rPr>
            </w:pPr>
            <w:r>
              <w:rPr>
                <w:rFonts w:hint="eastAsia" w:ascii="宋体" w:hAnsi="宋体" w:eastAsia="宋体" w:cs="宋体"/>
                <w:spacing w:val="6"/>
                <w:sz w:val="24"/>
                <w:szCs w:val="24"/>
              </w:rPr>
              <w:t>投标文件</w:t>
            </w:r>
          </w:p>
          <w:p w14:paraId="1BAAA83F">
            <w:pPr>
              <w:spacing w:before="132" w:line="228" w:lineRule="auto"/>
              <w:ind w:left="158"/>
              <w:rPr>
                <w:rFonts w:hint="eastAsia" w:ascii="宋体" w:hAnsi="宋体" w:eastAsia="宋体" w:cs="宋体"/>
                <w:sz w:val="24"/>
                <w:szCs w:val="24"/>
              </w:rPr>
            </w:pPr>
            <w:r>
              <w:rPr>
                <w:rFonts w:hint="eastAsia" w:ascii="宋体" w:hAnsi="宋体" w:eastAsia="宋体" w:cs="宋体"/>
                <w:spacing w:val="8"/>
                <w:sz w:val="24"/>
                <w:szCs w:val="24"/>
              </w:rPr>
              <w:t>信息公开承诺</w:t>
            </w:r>
          </w:p>
        </w:tc>
        <w:tc>
          <w:tcPr>
            <w:tcW w:w="3417" w:type="dxa"/>
            <w:noWrap w:val="0"/>
            <w:vAlign w:val="top"/>
          </w:tcPr>
          <w:p w14:paraId="13FBA995">
            <w:pPr>
              <w:spacing w:before="130" w:line="320" w:lineRule="auto"/>
              <w:ind w:left="10" w:right="2" w:firstLine="420"/>
              <w:jc w:val="both"/>
              <w:rPr>
                <w:rFonts w:hint="eastAsia" w:ascii="宋体" w:hAnsi="宋体" w:eastAsia="宋体" w:cs="宋体"/>
                <w:sz w:val="24"/>
                <w:szCs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2156460</wp:posOffset>
                      </wp:positionH>
                      <wp:positionV relativeFrom="paragraph">
                        <wp:posOffset>1905</wp:posOffset>
                      </wp:positionV>
                      <wp:extent cx="2983865" cy="1424305"/>
                      <wp:effectExtent l="1905" t="4445" r="5080" b="19050"/>
                      <wp:wrapNone/>
                      <wp:docPr id="5" name="直线 111"/>
                      <wp:cNvGraphicFramePr/>
                      <a:graphic xmlns:a="http://schemas.openxmlformats.org/drawingml/2006/main">
                        <a:graphicData uri="http://schemas.microsoft.com/office/word/2010/wordprocessingShape">
                          <wps:wsp>
                            <wps:cNvSpPr/>
                            <wps:spPr>
                              <a:xfrm flipH="1">
                                <a:off x="0" y="0"/>
                                <a:ext cx="2983865" cy="142430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1" o:spid="_x0000_s1026" o:spt="20" style="position:absolute;left:0pt;flip:x;margin-left:169.8pt;margin-top:0.15pt;height:112.15pt;width:234.95pt;z-index:251661312;mso-width-relative:page;mso-height-relative:page;" filled="f" stroked="t" coordsize="21600,21600" o:gfxdata="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xSnrnXAAAACAEAAA8AAAAAAAAAAQAgAAAAIgAAAGRycy9kb3ducmV2LnhtbFBLAQIU&#10;ABQAAAAIAIdO4kDlyHb09AEAAO0DAAAOAAAAAAAAAAEAIAAAACYBAABkcnMvZTJvRG9jLnhtbFBL&#10;BQYAAAAABgAGAFkBAACMBQAAAAA=&#10;">
                      <v:fill on="f" focussize="0,0"/>
                      <v:stroke color="#000000" joinstyle="round"/>
                      <v:imagedata o:title=""/>
                      <o:lock v:ext="edit" aspectratio="f"/>
                    </v:line>
                  </w:pict>
                </mc:Fallback>
              </mc:AlternateContent>
            </w:r>
            <w:r>
              <w:rPr>
                <w:rFonts w:hint="eastAsia" w:ascii="宋体" w:hAnsi="宋体" w:eastAsia="宋体" w:cs="宋体"/>
                <w:spacing w:val="6"/>
                <w:sz w:val="24"/>
                <w:szCs w:val="24"/>
              </w:rPr>
              <w:t>我方提供完整的文件。如果</w:t>
            </w:r>
            <w:r>
              <w:rPr>
                <w:rFonts w:hint="eastAsia" w:ascii="宋体" w:hAnsi="宋体" w:eastAsia="宋体" w:cs="宋体"/>
                <w:spacing w:val="8"/>
                <w:sz w:val="24"/>
                <w:szCs w:val="24"/>
              </w:rPr>
              <w:t xml:space="preserve"> </w:t>
            </w:r>
            <w:r>
              <w:rPr>
                <w:rFonts w:hint="eastAsia" w:ascii="宋体" w:hAnsi="宋体" w:eastAsia="宋体" w:cs="宋体"/>
                <w:spacing w:val="7"/>
                <w:sz w:val="24"/>
                <w:szCs w:val="24"/>
              </w:rPr>
              <w:t>我方成为本项目中标候选人，我</w:t>
            </w:r>
            <w:r>
              <w:rPr>
                <w:rFonts w:hint="eastAsia" w:ascii="宋体" w:hAnsi="宋体" w:eastAsia="宋体" w:cs="宋体"/>
                <w:spacing w:val="23"/>
                <w:sz w:val="24"/>
                <w:szCs w:val="24"/>
              </w:rPr>
              <w:t>方同意并授权招标人在评标结果公示期内公开我方商务标书</w:t>
            </w:r>
            <w:r>
              <w:rPr>
                <w:rFonts w:hint="eastAsia" w:ascii="宋体" w:hAnsi="宋体" w:eastAsia="宋体" w:cs="宋体"/>
                <w:spacing w:val="3"/>
                <w:sz w:val="24"/>
                <w:szCs w:val="24"/>
              </w:rPr>
              <w:t>的全部内容。</w:t>
            </w:r>
          </w:p>
        </w:tc>
        <w:tc>
          <w:tcPr>
            <w:tcW w:w="4698" w:type="dxa"/>
            <w:noWrap w:val="0"/>
            <w:vAlign w:val="top"/>
          </w:tcPr>
          <w:p w14:paraId="0D535B6B">
            <w:pPr>
              <w:pStyle w:val="20"/>
              <w:spacing w:line="336" w:lineRule="auto"/>
              <w:rPr>
                <w:rFonts w:hint="eastAsia" w:ascii="宋体" w:hAnsi="宋体" w:eastAsia="宋体" w:cs="宋体"/>
                <w:sz w:val="24"/>
                <w:szCs w:val="24"/>
              </w:rPr>
            </w:pPr>
          </w:p>
          <w:p w14:paraId="4F85441E">
            <w:pPr>
              <w:pStyle w:val="20"/>
              <w:spacing w:line="336" w:lineRule="auto"/>
              <w:rPr>
                <w:rFonts w:hint="eastAsia" w:ascii="宋体" w:hAnsi="宋体" w:eastAsia="宋体" w:cs="宋体"/>
                <w:sz w:val="24"/>
                <w:szCs w:val="24"/>
              </w:rPr>
            </w:pPr>
          </w:p>
          <w:p w14:paraId="768EDD14">
            <w:pPr>
              <w:spacing w:before="58" w:line="195" w:lineRule="auto"/>
              <w:ind w:left="1979"/>
              <w:rPr>
                <w:rFonts w:hint="eastAsia" w:ascii="宋体" w:hAnsi="宋体" w:eastAsia="宋体" w:cs="宋体"/>
                <w:sz w:val="24"/>
                <w:szCs w:val="24"/>
              </w:rPr>
            </w:pPr>
          </w:p>
        </w:tc>
      </w:tr>
      <w:tr w14:paraId="23EA9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3" w:hRule="atLeast"/>
        </w:trPr>
        <w:tc>
          <w:tcPr>
            <w:tcW w:w="841" w:type="dxa"/>
            <w:noWrap w:val="0"/>
            <w:vAlign w:val="top"/>
          </w:tcPr>
          <w:p w14:paraId="193E4D1C">
            <w:pPr>
              <w:pStyle w:val="20"/>
              <w:spacing w:line="262" w:lineRule="auto"/>
              <w:rPr>
                <w:rFonts w:hint="eastAsia" w:ascii="宋体" w:hAnsi="宋体" w:eastAsia="宋体" w:cs="宋体"/>
                <w:sz w:val="24"/>
                <w:szCs w:val="24"/>
              </w:rPr>
            </w:pPr>
          </w:p>
          <w:p w14:paraId="2369F156">
            <w:pPr>
              <w:pStyle w:val="20"/>
              <w:spacing w:line="262" w:lineRule="auto"/>
              <w:rPr>
                <w:rFonts w:hint="eastAsia" w:ascii="宋体" w:hAnsi="宋体" w:eastAsia="宋体" w:cs="宋体"/>
                <w:sz w:val="24"/>
                <w:szCs w:val="24"/>
              </w:rPr>
            </w:pPr>
          </w:p>
          <w:p w14:paraId="2EB695FD">
            <w:pPr>
              <w:pStyle w:val="20"/>
              <w:spacing w:line="262" w:lineRule="auto"/>
              <w:rPr>
                <w:rFonts w:hint="eastAsia" w:ascii="宋体" w:hAnsi="宋体" w:eastAsia="宋体" w:cs="宋体"/>
                <w:sz w:val="24"/>
                <w:szCs w:val="24"/>
              </w:rPr>
            </w:pPr>
          </w:p>
          <w:p w14:paraId="19DBF309">
            <w:pPr>
              <w:pStyle w:val="20"/>
              <w:spacing w:line="263" w:lineRule="auto"/>
              <w:rPr>
                <w:rFonts w:hint="eastAsia" w:ascii="宋体" w:hAnsi="宋体" w:eastAsia="宋体" w:cs="宋体"/>
                <w:sz w:val="24"/>
                <w:szCs w:val="24"/>
              </w:rPr>
            </w:pPr>
          </w:p>
          <w:p w14:paraId="637C4F3F">
            <w:pPr>
              <w:spacing w:before="57" w:line="192" w:lineRule="auto"/>
              <w:ind w:left="312"/>
              <w:rPr>
                <w:rFonts w:hint="eastAsia" w:ascii="宋体" w:hAnsi="宋体" w:eastAsia="宋体" w:cs="宋体"/>
                <w:sz w:val="24"/>
                <w:szCs w:val="24"/>
              </w:rPr>
            </w:pPr>
            <w:r>
              <w:rPr>
                <w:rFonts w:hint="eastAsia" w:ascii="宋体" w:hAnsi="宋体" w:eastAsia="宋体" w:cs="宋体"/>
                <w:sz w:val="24"/>
                <w:szCs w:val="24"/>
              </w:rPr>
              <w:t>7</w:t>
            </w:r>
          </w:p>
        </w:tc>
        <w:tc>
          <w:tcPr>
            <w:tcW w:w="1843" w:type="dxa"/>
            <w:noWrap w:val="0"/>
            <w:vAlign w:val="top"/>
          </w:tcPr>
          <w:p w14:paraId="3E494D02">
            <w:pPr>
              <w:pStyle w:val="20"/>
              <w:spacing w:line="271" w:lineRule="auto"/>
              <w:rPr>
                <w:rFonts w:hint="eastAsia" w:ascii="宋体" w:hAnsi="宋体" w:eastAsia="宋体" w:cs="宋体"/>
                <w:sz w:val="24"/>
                <w:szCs w:val="24"/>
              </w:rPr>
            </w:pPr>
          </w:p>
          <w:p w14:paraId="214B96B4">
            <w:pPr>
              <w:pStyle w:val="20"/>
              <w:spacing w:line="272" w:lineRule="auto"/>
              <w:rPr>
                <w:rFonts w:hint="eastAsia" w:ascii="宋体" w:hAnsi="宋体" w:eastAsia="宋体" w:cs="宋体"/>
                <w:sz w:val="24"/>
                <w:szCs w:val="24"/>
              </w:rPr>
            </w:pPr>
          </w:p>
          <w:p w14:paraId="45449A4A">
            <w:pPr>
              <w:pStyle w:val="20"/>
              <w:spacing w:line="272" w:lineRule="auto"/>
              <w:rPr>
                <w:rFonts w:hint="eastAsia" w:ascii="宋体" w:hAnsi="宋体" w:eastAsia="宋体" w:cs="宋体"/>
                <w:sz w:val="24"/>
                <w:szCs w:val="24"/>
              </w:rPr>
            </w:pPr>
          </w:p>
          <w:p w14:paraId="53F0F1E9">
            <w:pPr>
              <w:spacing w:before="65" w:line="335" w:lineRule="auto"/>
              <w:ind w:left="281" w:right="158" w:hanging="123"/>
              <w:rPr>
                <w:rFonts w:hint="eastAsia" w:ascii="宋体" w:hAnsi="宋体" w:eastAsia="宋体" w:cs="宋体"/>
                <w:sz w:val="24"/>
                <w:szCs w:val="24"/>
              </w:rPr>
            </w:pPr>
            <w:r>
              <w:rPr>
                <w:rFonts w:hint="eastAsia" w:ascii="宋体" w:hAnsi="宋体" w:eastAsia="宋体" w:cs="宋体"/>
                <w:spacing w:val="8"/>
                <w:sz w:val="24"/>
                <w:szCs w:val="24"/>
              </w:rPr>
              <w:t>对不正常报价</w:t>
            </w:r>
            <w:r>
              <w:rPr>
                <w:rFonts w:hint="eastAsia" w:ascii="宋体" w:hAnsi="宋体" w:eastAsia="宋体" w:cs="宋体"/>
                <w:spacing w:val="1"/>
                <w:sz w:val="24"/>
                <w:szCs w:val="24"/>
              </w:rPr>
              <w:t xml:space="preserve"> </w:t>
            </w:r>
            <w:r>
              <w:rPr>
                <w:rFonts w:hint="eastAsia" w:ascii="宋体" w:hAnsi="宋体" w:eastAsia="宋体" w:cs="宋体"/>
                <w:spacing w:val="4"/>
                <w:sz w:val="24"/>
                <w:szCs w:val="24"/>
              </w:rPr>
              <w:t>的确认承诺</w:t>
            </w:r>
          </w:p>
        </w:tc>
        <w:tc>
          <w:tcPr>
            <w:tcW w:w="3417" w:type="dxa"/>
            <w:noWrap w:val="0"/>
            <w:vAlign w:val="top"/>
          </w:tcPr>
          <w:p w14:paraId="4A187827">
            <w:pPr>
              <w:spacing w:before="121" w:line="331" w:lineRule="auto"/>
              <w:ind w:left="10" w:right="2" w:firstLine="423"/>
              <w:jc w:val="both"/>
              <w:rPr>
                <w:rFonts w:hint="eastAsia" w:ascii="宋体" w:hAnsi="宋体" w:eastAsia="宋体" w:cs="宋体"/>
                <w:sz w:val="24"/>
                <w:szCs w:val="24"/>
              </w:rPr>
            </w:pPr>
            <w:r>
              <w:rPr>
                <w:rFonts w:hint="eastAsia" w:ascii="宋体" w:hAnsi="宋体" w:eastAsia="宋体" w:cs="宋体"/>
                <w:spacing w:val="6"/>
                <w:sz w:val="24"/>
                <w:szCs w:val="24"/>
              </w:rPr>
              <w:t xml:space="preserve">如果我方中标，我方接受招 </w:t>
            </w:r>
            <w:r>
              <w:rPr>
                <w:rFonts w:hint="eastAsia" w:ascii="宋体" w:hAnsi="宋体" w:eastAsia="宋体" w:cs="宋体"/>
                <w:spacing w:val="23"/>
                <w:sz w:val="24"/>
                <w:szCs w:val="24"/>
              </w:rPr>
              <w:t>标人在合同订立期间依据招标文件有关条款约定对我方已标价工程量清单中不正常报价的</w:t>
            </w:r>
            <w:r>
              <w:rPr>
                <w:rFonts w:hint="eastAsia" w:ascii="宋体" w:hAnsi="宋体" w:eastAsia="宋体" w:cs="宋体"/>
                <w:spacing w:val="3"/>
                <w:sz w:val="24"/>
                <w:szCs w:val="24"/>
              </w:rPr>
              <w:t xml:space="preserve"> </w:t>
            </w:r>
            <w:r>
              <w:rPr>
                <w:rFonts w:hint="eastAsia" w:ascii="宋体" w:hAnsi="宋体" w:eastAsia="宋体" w:cs="宋体"/>
                <w:spacing w:val="7"/>
                <w:sz w:val="24"/>
                <w:szCs w:val="24"/>
              </w:rPr>
              <w:t>修正或认定，并按要求签署《不</w:t>
            </w:r>
            <w:r>
              <w:rPr>
                <w:rFonts w:hint="eastAsia" w:ascii="宋体" w:hAnsi="宋体" w:eastAsia="宋体" w:cs="宋体"/>
                <w:spacing w:val="8"/>
                <w:sz w:val="24"/>
                <w:szCs w:val="24"/>
              </w:rPr>
              <w:t>正常报价清单》加以确认。</w:t>
            </w:r>
          </w:p>
        </w:tc>
        <w:tc>
          <w:tcPr>
            <w:tcW w:w="4698" w:type="dxa"/>
            <w:noWrap w:val="0"/>
            <w:vAlign w:val="top"/>
          </w:tcPr>
          <w:p w14:paraId="38E34AC8">
            <w:pPr>
              <w:pStyle w:val="20"/>
              <w:spacing w:line="286" w:lineRule="auto"/>
              <w:rPr>
                <w:rFonts w:hint="eastAsia" w:ascii="宋体" w:hAnsi="宋体" w:eastAsia="宋体" w:cs="宋体"/>
                <w:sz w:val="24"/>
                <w:szCs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3175</wp:posOffset>
                      </wp:positionH>
                      <wp:positionV relativeFrom="paragraph">
                        <wp:posOffset>-1905</wp:posOffset>
                      </wp:positionV>
                      <wp:extent cx="2966720" cy="1980565"/>
                      <wp:effectExtent l="2540" t="3810" r="2540" b="15875"/>
                      <wp:wrapNone/>
                      <wp:docPr id="6" name="直线 112"/>
                      <wp:cNvGraphicFramePr/>
                      <a:graphic xmlns:a="http://schemas.openxmlformats.org/drawingml/2006/main">
                        <a:graphicData uri="http://schemas.microsoft.com/office/word/2010/wordprocessingShape">
                          <wps:wsp>
                            <wps:cNvSpPr/>
                            <wps:spPr>
                              <a:xfrm flipH="1">
                                <a:off x="0" y="0"/>
                                <a:ext cx="2966720" cy="198056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2" o:spid="_x0000_s1026" o:spt="20" style="position:absolute;left:0pt;flip:x;margin-left:0.25pt;margin-top:-0.15pt;height:155.95pt;width:233.6pt;z-index:251662336;mso-width-relative:page;mso-height-relative:page;" filled="f" stroked="t" coordsize="21600,21600" o:gfxdata="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6ODh4NUAAAAGAQAADwAAAAAAAAABACAAAAAiAAAAZHJzL2Rvd25yZXYueG1sUEsBAhQA&#10;FAAAAAgAh07iQFN+TO/1AQAA7QMAAA4AAAAAAAAAAQAgAAAAJAEAAGRycy9lMm9Eb2MueG1sUEsF&#10;BgAAAAAGAAYAWQEAAIsFAAAAAA==&#10;">
                      <v:fill on="f" focussize="0,0"/>
                      <v:stroke color="#000000" joinstyle="round"/>
                      <v:imagedata o:title=""/>
                      <o:lock v:ext="edit" aspectratio="f"/>
                    </v:line>
                  </w:pict>
                </mc:Fallback>
              </mc:AlternateContent>
            </w:r>
          </w:p>
          <w:p w14:paraId="39D97D97">
            <w:pPr>
              <w:pStyle w:val="20"/>
              <w:spacing w:line="286" w:lineRule="auto"/>
              <w:rPr>
                <w:rFonts w:hint="eastAsia" w:ascii="宋体" w:hAnsi="宋体" w:eastAsia="宋体" w:cs="宋体"/>
                <w:sz w:val="24"/>
                <w:szCs w:val="24"/>
              </w:rPr>
            </w:pPr>
          </w:p>
          <w:p w14:paraId="2E1A73D2">
            <w:pPr>
              <w:pStyle w:val="20"/>
              <w:spacing w:line="286" w:lineRule="auto"/>
              <w:rPr>
                <w:rFonts w:hint="eastAsia" w:ascii="宋体" w:hAnsi="宋体" w:eastAsia="宋体" w:cs="宋体"/>
                <w:sz w:val="24"/>
                <w:szCs w:val="24"/>
              </w:rPr>
            </w:pPr>
          </w:p>
          <w:p w14:paraId="16CAE12B">
            <w:pPr>
              <w:spacing w:before="57" w:line="195" w:lineRule="auto"/>
              <w:ind w:left="1979"/>
              <w:rPr>
                <w:rFonts w:hint="eastAsia" w:ascii="宋体" w:hAnsi="宋体" w:eastAsia="宋体" w:cs="宋体"/>
                <w:sz w:val="24"/>
                <w:szCs w:val="24"/>
              </w:rPr>
            </w:pPr>
          </w:p>
        </w:tc>
      </w:tr>
      <w:tr w14:paraId="2CB1D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4" w:hRule="atLeast"/>
        </w:trPr>
        <w:tc>
          <w:tcPr>
            <w:tcW w:w="841" w:type="dxa"/>
            <w:noWrap w:val="0"/>
            <w:vAlign w:val="top"/>
          </w:tcPr>
          <w:p w14:paraId="375AA487">
            <w:pPr>
              <w:pStyle w:val="20"/>
              <w:spacing w:line="286" w:lineRule="auto"/>
              <w:rPr>
                <w:rFonts w:hint="eastAsia" w:ascii="宋体" w:hAnsi="宋体" w:eastAsia="宋体" w:cs="宋体"/>
                <w:sz w:val="24"/>
                <w:szCs w:val="24"/>
              </w:rPr>
            </w:pPr>
          </w:p>
          <w:p w14:paraId="3B5F4C1C">
            <w:pPr>
              <w:pStyle w:val="20"/>
              <w:spacing w:line="286" w:lineRule="auto"/>
              <w:rPr>
                <w:rFonts w:hint="eastAsia" w:ascii="宋体" w:hAnsi="宋体" w:eastAsia="宋体" w:cs="宋体"/>
                <w:sz w:val="24"/>
                <w:szCs w:val="24"/>
              </w:rPr>
            </w:pPr>
          </w:p>
          <w:p w14:paraId="50B3F7D5">
            <w:pPr>
              <w:pStyle w:val="20"/>
              <w:spacing w:line="287" w:lineRule="auto"/>
              <w:rPr>
                <w:rFonts w:hint="eastAsia" w:ascii="宋体" w:hAnsi="宋体" w:eastAsia="宋体" w:cs="宋体"/>
                <w:sz w:val="24"/>
                <w:szCs w:val="24"/>
              </w:rPr>
            </w:pPr>
          </w:p>
          <w:p w14:paraId="26ECF677">
            <w:pPr>
              <w:spacing w:before="58" w:line="195" w:lineRule="auto"/>
              <w:ind w:left="317"/>
              <w:rPr>
                <w:rFonts w:hint="eastAsia" w:ascii="宋体" w:hAnsi="宋体" w:eastAsia="宋体" w:cs="宋体"/>
                <w:sz w:val="24"/>
                <w:szCs w:val="24"/>
              </w:rPr>
            </w:pPr>
            <w:r>
              <w:rPr>
                <w:rFonts w:hint="eastAsia" w:ascii="宋体" w:hAnsi="宋体" w:eastAsia="宋体" w:cs="宋体"/>
                <w:sz w:val="24"/>
                <w:szCs w:val="24"/>
              </w:rPr>
              <w:t>8</w:t>
            </w:r>
          </w:p>
        </w:tc>
        <w:tc>
          <w:tcPr>
            <w:tcW w:w="1843" w:type="dxa"/>
            <w:noWrap w:val="0"/>
            <w:vAlign w:val="top"/>
          </w:tcPr>
          <w:p w14:paraId="3A5E3373">
            <w:pPr>
              <w:pStyle w:val="20"/>
              <w:spacing w:line="314" w:lineRule="auto"/>
              <w:rPr>
                <w:rFonts w:hint="eastAsia" w:ascii="宋体" w:hAnsi="宋体" w:eastAsia="宋体" w:cs="宋体"/>
                <w:sz w:val="24"/>
                <w:szCs w:val="24"/>
              </w:rPr>
            </w:pPr>
          </w:p>
          <w:p w14:paraId="57A21DB2">
            <w:pPr>
              <w:pStyle w:val="20"/>
              <w:spacing w:line="314" w:lineRule="auto"/>
              <w:rPr>
                <w:rFonts w:hint="eastAsia" w:ascii="宋体" w:hAnsi="宋体" w:eastAsia="宋体" w:cs="宋体"/>
                <w:sz w:val="24"/>
                <w:szCs w:val="24"/>
              </w:rPr>
            </w:pPr>
          </w:p>
          <w:p w14:paraId="17055AF9">
            <w:pPr>
              <w:spacing w:before="65" w:line="335" w:lineRule="auto"/>
              <w:ind w:left="264" w:right="158" w:hanging="104"/>
              <w:rPr>
                <w:rFonts w:hint="eastAsia" w:ascii="宋体" w:hAnsi="宋体" w:eastAsia="宋体" w:cs="宋体"/>
                <w:sz w:val="24"/>
                <w:szCs w:val="24"/>
              </w:rPr>
            </w:pPr>
            <w:r>
              <w:rPr>
                <w:rFonts w:hint="eastAsia" w:ascii="宋体" w:hAnsi="宋体" w:eastAsia="宋体" w:cs="宋体"/>
                <w:spacing w:val="7"/>
                <w:sz w:val="24"/>
                <w:szCs w:val="24"/>
              </w:rPr>
              <w:t>按时提交履约</w:t>
            </w:r>
            <w:r>
              <w:rPr>
                <w:rFonts w:hint="eastAsia" w:ascii="宋体" w:hAnsi="宋体" w:eastAsia="宋体" w:cs="宋体"/>
                <w:spacing w:val="4"/>
                <w:sz w:val="24"/>
                <w:szCs w:val="24"/>
              </w:rPr>
              <w:t xml:space="preserve"> </w:t>
            </w:r>
            <w:r>
              <w:rPr>
                <w:rFonts w:hint="eastAsia" w:ascii="宋体" w:hAnsi="宋体" w:eastAsia="宋体" w:cs="宋体"/>
                <w:spacing w:val="7"/>
                <w:sz w:val="24"/>
                <w:szCs w:val="24"/>
              </w:rPr>
              <w:t>保证的承诺</w:t>
            </w:r>
          </w:p>
        </w:tc>
        <w:tc>
          <w:tcPr>
            <w:tcW w:w="3417" w:type="dxa"/>
            <w:noWrap w:val="0"/>
            <w:vAlign w:val="top"/>
          </w:tcPr>
          <w:p w14:paraId="22C6BB11">
            <w:pPr>
              <w:pStyle w:val="20"/>
              <w:spacing w:line="438" w:lineRule="auto"/>
              <w:rPr>
                <w:rFonts w:hint="eastAsia" w:ascii="宋体" w:hAnsi="宋体" w:eastAsia="宋体" w:cs="宋体"/>
                <w:sz w:val="24"/>
                <w:szCs w:val="24"/>
              </w:rPr>
            </w:pPr>
          </w:p>
          <w:p w14:paraId="034ECC1A">
            <w:pPr>
              <w:spacing w:before="65" w:line="342" w:lineRule="auto"/>
              <w:ind w:left="10" w:right="2" w:firstLine="422"/>
              <w:jc w:val="both"/>
              <w:rPr>
                <w:rFonts w:hint="eastAsia" w:ascii="宋体" w:hAnsi="宋体" w:eastAsia="宋体" w:cs="宋体"/>
                <w:sz w:val="24"/>
                <w:szCs w:val="24"/>
              </w:rPr>
            </w:pPr>
            <w:r>
              <w:rPr>
                <w:rFonts w:hint="eastAsia" w:ascii="宋体" w:hAnsi="宋体" w:eastAsia="宋体" w:cs="宋体"/>
                <w:spacing w:val="6"/>
                <w:sz w:val="24"/>
                <w:szCs w:val="24"/>
              </w:rPr>
              <w:t xml:space="preserve">如果我方中标，我方保证在 </w:t>
            </w:r>
            <w:r>
              <w:rPr>
                <w:rFonts w:hint="eastAsia" w:ascii="宋体" w:hAnsi="宋体" w:eastAsia="宋体" w:cs="宋体"/>
                <w:spacing w:val="23"/>
                <w:sz w:val="24"/>
                <w:szCs w:val="24"/>
              </w:rPr>
              <w:t>招标文件规定的时限内全额提</w:t>
            </w:r>
            <w:r>
              <w:rPr>
                <w:rFonts w:hint="eastAsia" w:ascii="宋体" w:hAnsi="宋体" w:eastAsia="宋体" w:cs="宋体"/>
                <w:spacing w:val="6"/>
                <w:sz w:val="24"/>
                <w:szCs w:val="24"/>
              </w:rPr>
              <w:t>交履约保证。</w:t>
            </w:r>
          </w:p>
        </w:tc>
        <w:tc>
          <w:tcPr>
            <w:tcW w:w="4698" w:type="dxa"/>
            <w:noWrap w:val="0"/>
            <w:vAlign w:val="top"/>
          </w:tcPr>
          <w:p w14:paraId="35C6D26B">
            <w:pPr>
              <w:spacing w:before="128" w:line="326" w:lineRule="auto"/>
              <w:ind w:left="12" w:right="23" w:firstLine="423"/>
              <w:jc w:val="both"/>
              <w:rPr>
                <w:rFonts w:hint="eastAsia" w:ascii="宋体" w:hAnsi="宋体" w:eastAsia="宋体" w:cs="宋体"/>
                <w:sz w:val="24"/>
                <w:szCs w:val="24"/>
              </w:rPr>
            </w:pPr>
            <w:r>
              <w:rPr>
                <w:rFonts w:hint="eastAsia" w:ascii="宋体" w:hAnsi="宋体" w:eastAsia="宋体" w:cs="宋体"/>
                <w:spacing w:val="9"/>
                <w:sz w:val="24"/>
                <w:szCs w:val="24"/>
              </w:rPr>
              <w:t>如果我方未在招标文件规定的时限内全</w:t>
            </w:r>
            <w:r>
              <w:rPr>
                <w:rFonts w:hint="eastAsia" w:ascii="宋体" w:hAnsi="宋体" w:eastAsia="宋体" w:cs="宋体"/>
                <w:spacing w:val="3"/>
                <w:sz w:val="24"/>
                <w:szCs w:val="24"/>
              </w:rPr>
              <w:t xml:space="preserve"> </w:t>
            </w:r>
            <w:r>
              <w:rPr>
                <w:rFonts w:hint="eastAsia" w:ascii="宋体" w:hAnsi="宋体" w:eastAsia="宋体" w:cs="宋体"/>
                <w:spacing w:val="9"/>
                <w:sz w:val="24"/>
                <w:szCs w:val="24"/>
              </w:rPr>
              <w:t>额提交履约保证，我方接受招标人依据招标文件作出的相应处理以及有关监督部门作出的行政处罚，并承担由此引起的一切法律后</w:t>
            </w:r>
            <w:r>
              <w:rPr>
                <w:rFonts w:hint="eastAsia" w:ascii="宋体" w:hAnsi="宋体" w:eastAsia="宋体" w:cs="宋体"/>
                <w:sz w:val="24"/>
                <w:szCs w:val="24"/>
              </w:rPr>
              <w:t>果。</w:t>
            </w:r>
          </w:p>
        </w:tc>
      </w:tr>
      <w:tr w14:paraId="12649C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8" w:hRule="atLeast"/>
        </w:trPr>
        <w:tc>
          <w:tcPr>
            <w:tcW w:w="841" w:type="dxa"/>
            <w:noWrap w:val="0"/>
            <w:vAlign w:val="top"/>
          </w:tcPr>
          <w:p w14:paraId="14178F37">
            <w:pPr>
              <w:pStyle w:val="20"/>
              <w:spacing w:line="262" w:lineRule="auto"/>
              <w:rPr>
                <w:rFonts w:hint="eastAsia" w:ascii="宋体" w:hAnsi="宋体" w:eastAsia="宋体" w:cs="宋体"/>
                <w:sz w:val="24"/>
                <w:szCs w:val="24"/>
              </w:rPr>
            </w:pPr>
          </w:p>
          <w:p w14:paraId="6B3A8826">
            <w:pPr>
              <w:pStyle w:val="20"/>
              <w:spacing w:line="262" w:lineRule="auto"/>
              <w:rPr>
                <w:rFonts w:hint="eastAsia" w:ascii="宋体" w:hAnsi="宋体" w:eastAsia="宋体" w:cs="宋体"/>
                <w:sz w:val="24"/>
                <w:szCs w:val="24"/>
              </w:rPr>
            </w:pPr>
          </w:p>
          <w:p w14:paraId="37F38BF8">
            <w:pPr>
              <w:pStyle w:val="20"/>
              <w:spacing w:line="262" w:lineRule="auto"/>
              <w:rPr>
                <w:rFonts w:hint="eastAsia" w:ascii="宋体" w:hAnsi="宋体" w:eastAsia="宋体" w:cs="宋体"/>
                <w:sz w:val="24"/>
                <w:szCs w:val="24"/>
              </w:rPr>
            </w:pPr>
          </w:p>
          <w:p w14:paraId="4D42120A">
            <w:pPr>
              <w:pStyle w:val="20"/>
              <w:spacing w:line="263" w:lineRule="auto"/>
              <w:rPr>
                <w:rFonts w:hint="eastAsia" w:ascii="宋体" w:hAnsi="宋体" w:eastAsia="宋体" w:cs="宋体"/>
                <w:sz w:val="24"/>
                <w:szCs w:val="24"/>
              </w:rPr>
            </w:pPr>
          </w:p>
          <w:p w14:paraId="272B46D9">
            <w:pPr>
              <w:spacing w:before="58" w:line="195" w:lineRule="auto"/>
              <w:ind w:left="312"/>
              <w:rPr>
                <w:rFonts w:hint="eastAsia" w:ascii="宋体" w:hAnsi="宋体" w:eastAsia="宋体" w:cs="宋体"/>
                <w:sz w:val="24"/>
                <w:szCs w:val="24"/>
              </w:rPr>
            </w:pPr>
            <w:r>
              <w:rPr>
                <w:rFonts w:hint="eastAsia" w:ascii="宋体" w:hAnsi="宋体" w:eastAsia="宋体" w:cs="宋体"/>
                <w:sz w:val="24"/>
                <w:szCs w:val="24"/>
              </w:rPr>
              <w:t>9</w:t>
            </w:r>
          </w:p>
        </w:tc>
        <w:tc>
          <w:tcPr>
            <w:tcW w:w="1843" w:type="dxa"/>
            <w:noWrap w:val="0"/>
            <w:vAlign w:val="top"/>
          </w:tcPr>
          <w:p w14:paraId="43C62873">
            <w:pPr>
              <w:pStyle w:val="20"/>
              <w:spacing w:line="272" w:lineRule="auto"/>
              <w:rPr>
                <w:rFonts w:hint="eastAsia" w:ascii="宋体" w:hAnsi="宋体" w:eastAsia="宋体" w:cs="宋体"/>
                <w:sz w:val="24"/>
                <w:szCs w:val="24"/>
              </w:rPr>
            </w:pPr>
          </w:p>
          <w:p w14:paraId="432909E0">
            <w:pPr>
              <w:pStyle w:val="20"/>
              <w:spacing w:line="273" w:lineRule="auto"/>
              <w:rPr>
                <w:rFonts w:hint="eastAsia" w:ascii="宋体" w:hAnsi="宋体" w:eastAsia="宋体" w:cs="宋体"/>
                <w:sz w:val="24"/>
                <w:szCs w:val="24"/>
              </w:rPr>
            </w:pPr>
          </w:p>
          <w:p w14:paraId="5CC7B102">
            <w:pPr>
              <w:pStyle w:val="20"/>
              <w:spacing w:line="273" w:lineRule="auto"/>
              <w:rPr>
                <w:rFonts w:hint="eastAsia" w:ascii="宋体" w:hAnsi="宋体" w:eastAsia="宋体" w:cs="宋体"/>
                <w:sz w:val="24"/>
                <w:szCs w:val="24"/>
              </w:rPr>
            </w:pPr>
          </w:p>
          <w:p w14:paraId="05179C65">
            <w:pPr>
              <w:spacing w:before="65" w:line="335" w:lineRule="auto"/>
              <w:ind w:left="492" w:right="158" w:hanging="332"/>
              <w:rPr>
                <w:rFonts w:hint="eastAsia" w:ascii="宋体" w:hAnsi="宋体" w:eastAsia="宋体" w:cs="宋体"/>
                <w:sz w:val="24"/>
                <w:szCs w:val="24"/>
              </w:rPr>
            </w:pPr>
            <w:r>
              <w:rPr>
                <w:rFonts w:hint="eastAsia" w:ascii="宋体" w:hAnsi="宋体" w:eastAsia="宋体" w:cs="宋体"/>
                <w:spacing w:val="7"/>
                <w:sz w:val="24"/>
                <w:szCs w:val="24"/>
              </w:rPr>
              <w:t>按时签订合同</w:t>
            </w:r>
            <w:r>
              <w:rPr>
                <w:rFonts w:hint="eastAsia" w:ascii="宋体" w:hAnsi="宋体" w:eastAsia="宋体" w:cs="宋体"/>
                <w:spacing w:val="4"/>
                <w:sz w:val="24"/>
                <w:szCs w:val="24"/>
              </w:rPr>
              <w:t xml:space="preserve"> </w:t>
            </w:r>
            <w:r>
              <w:rPr>
                <w:rFonts w:hint="eastAsia" w:ascii="宋体" w:hAnsi="宋体" w:eastAsia="宋体" w:cs="宋体"/>
                <w:spacing w:val="1"/>
                <w:sz w:val="24"/>
                <w:szCs w:val="24"/>
              </w:rPr>
              <w:t>的承诺</w:t>
            </w:r>
          </w:p>
        </w:tc>
        <w:tc>
          <w:tcPr>
            <w:tcW w:w="3417" w:type="dxa"/>
            <w:noWrap w:val="0"/>
            <w:vAlign w:val="top"/>
          </w:tcPr>
          <w:p w14:paraId="5D02E984">
            <w:pPr>
              <w:pStyle w:val="20"/>
              <w:spacing w:line="442" w:lineRule="auto"/>
              <w:rPr>
                <w:rFonts w:hint="eastAsia" w:ascii="宋体" w:hAnsi="宋体" w:eastAsia="宋体" w:cs="宋体"/>
                <w:sz w:val="24"/>
                <w:szCs w:val="24"/>
              </w:rPr>
            </w:pPr>
          </w:p>
          <w:p w14:paraId="0F43BE95">
            <w:pPr>
              <w:spacing w:before="65" w:line="343" w:lineRule="auto"/>
              <w:ind w:left="10" w:right="2" w:firstLine="422"/>
              <w:jc w:val="both"/>
              <w:rPr>
                <w:rFonts w:hint="eastAsia" w:ascii="宋体" w:hAnsi="宋体" w:eastAsia="宋体" w:cs="宋体"/>
                <w:sz w:val="24"/>
                <w:szCs w:val="24"/>
              </w:rPr>
            </w:pPr>
            <w:r>
              <w:rPr>
                <w:rFonts w:hint="eastAsia" w:ascii="宋体" w:hAnsi="宋体" w:eastAsia="宋体" w:cs="宋体"/>
                <w:spacing w:val="6"/>
                <w:sz w:val="24"/>
                <w:szCs w:val="24"/>
              </w:rPr>
              <w:t xml:space="preserve">如果我方中标，我方保证在 </w:t>
            </w:r>
            <w:r>
              <w:rPr>
                <w:rFonts w:hint="eastAsia" w:ascii="宋体" w:hAnsi="宋体" w:eastAsia="宋体" w:cs="宋体"/>
                <w:spacing w:val="23"/>
                <w:sz w:val="24"/>
                <w:szCs w:val="24"/>
              </w:rPr>
              <w:t>招标文件规定的时限内与招标</w:t>
            </w:r>
            <w:r>
              <w:rPr>
                <w:rFonts w:hint="eastAsia" w:ascii="宋体" w:hAnsi="宋体" w:eastAsia="宋体" w:cs="宋体"/>
                <w:spacing w:val="7"/>
                <w:sz w:val="24"/>
                <w:szCs w:val="24"/>
              </w:rPr>
              <w:t>人签订合同，不提出违背或超出</w:t>
            </w:r>
            <w:r>
              <w:rPr>
                <w:rFonts w:hint="eastAsia" w:ascii="宋体" w:hAnsi="宋体" w:eastAsia="宋体" w:cs="宋体"/>
                <w:spacing w:val="8"/>
                <w:sz w:val="24"/>
                <w:szCs w:val="24"/>
              </w:rPr>
              <w:t>招标文件、中标文件的要求。</w:t>
            </w:r>
          </w:p>
        </w:tc>
        <w:tc>
          <w:tcPr>
            <w:tcW w:w="4698" w:type="dxa"/>
            <w:noWrap w:val="0"/>
            <w:vAlign w:val="top"/>
          </w:tcPr>
          <w:p w14:paraId="2076484B">
            <w:pPr>
              <w:spacing w:before="126" w:line="331" w:lineRule="auto"/>
              <w:ind w:left="13" w:firstLine="415"/>
              <w:jc w:val="both"/>
              <w:rPr>
                <w:rFonts w:hint="eastAsia" w:ascii="宋体" w:hAnsi="宋体" w:eastAsia="宋体" w:cs="宋体"/>
                <w:sz w:val="24"/>
                <w:szCs w:val="24"/>
              </w:rPr>
            </w:pPr>
            <w:r>
              <w:rPr>
                <w:rFonts w:hint="eastAsia" w:ascii="宋体" w:hAnsi="宋体" w:eastAsia="宋体" w:cs="宋体"/>
                <w:spacing w:val="7"/>
                <w:sz w:val="24"/>
                <w:szCs w:val="24"/>
              </w:rPr>
              <w:t>如果我方未在招标文件规定的时限内与</w:t>
            </w:r>
            <w:r>
              <w:rPr>
                <w:rFonts w:hint="eastAsia" w:ascii="宋体" w:hAnsi="宋体" w:eastAsia="宋体" w:cs="宋体"/>
                <w:sz w:val="24"/>
                <w:szCs w:val="24"/>
              </w:rPr>
              <w:t xml:space="preserve"> </w:t>
            </w:r>
            <w:r>
              <w:rPr>
                <w:rFonts w:hint="eastAsia" w:ascii="宋体" w:hAnsi="宋体" w:eastAsia="宋体" w:cs="宋体"/>
                <w:spacing w:val="7"/>
                <w:sz w:val="24"/>
                <w:szCs w:val="24"/>
              </w:rPr>
              <w:t>招标人签订合同，或我方在签订合同过程中</w:t>
            </w:r>
            <w:r>
              <w:rPr>
                <w:rFonts w:hint="eastAsia" w:ascii="宋体" w:hAnsi="宋体" w:eastAsia="宋体" w:cs="宋体"/>
                <w:sz w:val="24"/>
                <w:szCs w:val="24"/>
              </w:rPr>
              <w:t>提出违背或超出招标文件、中标文件的要求。</w:t>
            </w:r>
            <w:r>
              <w:rPr>
                <w:rFonts w:hint="eastAsia" w:ascii="宋体" w:hAnsi="宋体" w:eastAsia="宋体" w:cs="宋体"/>
                <w:spacing w:val="7"/>
                <w:sz w:val="24"/>
                <w:szCs w:val="24"/>
              </w:rPr>
              <w:t>我方接受招标人依据招标文件作出的相应处理以及有关监督部门作出的行政处罚，并承</w:t>
            </w:r>
            <w:r>
              <w:rPr>
                <w:rFonts w:hint="eastAsia" w:ascii="宋体" w:hAnsi="宋体" w:eastAsia="宋体" w:cs="宋体"/>
                <w:spacing w:val="5"/>
                <w:sz w:val="24"/>
                <w:szCs w:val="24"/>
              </w:rPr>
              <w:t>担由此引起的一切法律后果。</w:t>
            </w:r>
          </w:p>
        </w:tc>
      </w:tr>
    </w:tbl>
    <w:p w14:paraId="6F8F3330">
      <w:pPr>
        <w:spacing w:before="78" w:line="219" w:lineRule="auto"/>
        <w:ind w:firstLine="6832" w:firstLineChars="2800"/>
        <w:jc w:val="both"/>
        <w:rPr>
          <w:rFonts w:ascii="宋体" w:hAnsi="宋体" w:eastAsia="宋体" w:cs="宋体"/>
          <w:sz w:val="24"/>
          <w:szCs w:val="24"/>
        </w:rPr>
      </w:pPr>
      <w:r>
        <w:rPr>
          <w:rFonts w:ascii="宋体" w:hAnsi="宋体" w:eastAsia="宋体" w:cs="宋体"/>
          <w:spacing w:val="2"/>
          <w:sz w:val="24"/>
          <w:szCs w:val="24"/>
        </w:rPr>
        <w:t>投标人</w:t>
      </w:r>
      <w:r>
        <w:rPr>
          <w:rFonts w:ascii="宋体" w:hAnsi="宋体" w:eastAsia="宋体" w:cs="宋体"/>
          <w:spacing w:val="-15"/>
          <w:sz w:val="24"/>
          <w:szCs w:val="24"/>
        </w:rPr>
        <w:t>：（</w:t>
      </w:r>
      <w:r>
        <w:rPr>
          <w:rFonts w:ascii="宋体" w:hAnsi="宋体" w:eastAsia="宋体" w:cs="宋体"/>
          <w:spacing w:val="2"/>
          <w:sz w:val="24"/>
          <w:szCs w:val="24"/>
        </w:rPr>
        <w:t>盖单位章）</w:t>
      </w:r>
    </w:p>
    <w:p w14:paraId="3180B25A">
      <w:pPr>
        <w:pStyle w:val="5"/>
        <w:spacing w:line="297" w:lineRule="auto"/>
        <w:jc w:val="right"/>
      </w:pPr>
    </w:p>
    <w:p w14:paraId="250FF461">
      <w:pPr>
        <w:spacing w:before="78" w:line="219" w:lineRule="auto"/>
        <w:ind w:left="4366"/>
      </w:pPr>
      <w:r>
        <w:rPr>
          <w:rFonts w:ascii="宋体" w:hAnsi="宋体" w:eastAsia="宋体" w:cs="宋体"/>
          <w:spacing w:val="1"/>
          <w:sz w:val="24"/>
          <w:szCs w:val="24"/>
        </w:rPr>
        <w:t>法定代表人或其委托代理人</w:t>
      </w:r>
      <w:r>
        <w:rPr>
          <w:rFonts w:ascii="宋体" w:hAnsi="宋体" w:eastAsia="宋体" w:cs="宋体"/>
          <w:spacing w:val="-15"/>
          <w:sz w:val="24"/>
          <w:szCs w:val="24"/>
        </w:rPr>
        <w:t>：（</w:t>
      </w:r>
      <w:r>
        <w:rPr>
          <w:rFonts w:ascii="宋体" w:hAnsi="宋体" w:eastAsia="宋体" w:cs="宋体"/>
          <w:spacing w:val="1"/>
          <w:sz w:val="24"/>
          <w:szCs w:val="24"/>
        </w:rPr>
        <w:t>签字或盖章）</w:t>
      </w:r>
    </w:p>
    <w:p w14:paraId="64702397">
      <w:pPr>
        <w:spacing w:before="78" w:line="220" w:lineRule="auto"/>
        <w:ind w:left="6730"/>
        <w:jc w:val="right"/>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5"/>
          <w:sz w:val="24"/>
          <w:szCs w:val="24"/>
        </w:rPr>
        <w:t xml:space="preserve">   </w:t>
      </w:r>
      <w:r>
        <w:rPr>
          <w:rFonts w:ascii="宋体" w:hAnsi="宋体" w:eastAsia="宋体" w:cs="宋体"/>
          <w:spacing w:val="-9"/>
          <w:sz w:val="24"/>
          <w:szCs w:val="24"/>
        </w:rPr>
        <w:t>月</w:t>
      </w:r>
      <w:r>
        <w:rPr>
          <w:rFonts w:ascii="宋体" w:hAnsi="宋体" w:eastAsia="宋体" w:cs="宋体"/>
          <w:spacing w:val="12"/>
          <w:sz w:val="24"/>
          <w:szCs w:val="24"/>
        </w:rPr>
        <w:t xml:space="preserve">    </w:t>
      </w:r>
      <w:r>
        <w:rPr>
          <w:rFonts w:ascii="宋体" w:hAnsi="宋体" w:eastAsia="宋体" w:cs="宋体"/>
          <w:spacing w:val="-9"/>
          <w:sz w:val="24"/>
          <w:szCs w:val="24"/>
        </w:rPr>
        <w:t>日</w:t>
      </w:r>
    </w:p>
    <w:p w14:paraId="31360294">
      <w:pPr>
        <w:spacing w:line="220" w:lineRule="auto"/>
        <w:jc w:val="right"/>
        <w:rPr>
          <w:rFonts w:ascii="宋体" w:hAnsi="宋体" w:eastAsia="宋体" w:cs="宋体"/>
          <w:sz w:val="24"/>
          <w:szCs w:val="24"/>
        </w:rPr>
        <w:sectPr>
          <w:footerReference r:id="rId18" w:type="default"/>
          <w:pgSz w:w="11906" w:h="16839"/>
          <w:pgMar w:top="720" w:right="720" w:bottom="720" w:left="720" w:header="0" w:footer="1023" w:gutter="0"/>
          <w:cols w:space="720" w:num="1"/>
        </w:sectPr>
      </w:pPr>
    </w:p>
    <w:p w14:paraId="65A39E7D">
      <w:pPr>
        <w:spacing w:before="78" w:line="220" w:lineRule="auto"/>
        <w:outlineLvl w:val="2"/>
        <w:rPr>
          <w:rFonts w:ascii="宋体" w:hAnsi="宋体" w:eastAsia="宋体" w:cs="宋体"/>
          <w:b/>
          <w:bCs/>
          <w:spacing w:val="-4"/>
          <w:sz w:val="24"/>
          <w:szCs w:val="24"/>
        </w:rPr>
      </w:pPr>
      <w:bookmarkStart w:id="182" w:name="_Toc28352"/>
      <w:r>
        <w:rPr>
          <w:rFonts w:ascii="宋体" w:hAnsi="宋体" w:eastAsia="宋体" w:cs="宋体"/>
          <w:b/>
          <w:bCs/>
          <w:spacing w:val="-4"/>
          <w:sz w:val="24"/>
          <w:szCs w:val="24"/>
        </w:rPr>
        <w:t>格式四 授权委托书</w:t>
      </w:r>
      <w:bookmarkEnd w:id="182"/>
    </w:p>
    <w:p w14:paraId="271F581C">
      <w:pPr>
        <w:pStyle w:val="5"/>
        <w:spacing w:line="351" w:lineRule="auto"/>
      </w:pPr>
    </w:p>
    <w:p w14:paraId="1EC22789">
      <w:pPr>
        <w:pStyle w:val="5"/>
        <w:spacing w:line="351" w:lineRule="auto"/>
      </w:pPr>
    </w:p>
    <w:p w14:paraId="13FD8683">
      <w:pPr>
        <w:spacing w:before="97" w:line="219" w:lineRule="auto"/>
        <w:ind w:left="3786"/>
        <w:rPr>
          <w:rFonts w:ascii="宋体" w:hAnsi="宋体" w:eastAsia="宋体" w:cs="宋体"/>
          <w:sz w:val="30"/>
          <w:szCs w:val="30"/>
        </w:rPr>
      </w:pPr>
      <w:bookmarkStart w:id="183" w:name="bookmark151"/>
      <w:bookmarkEnd w:id="183"/>
      <w:r>
        <w:rPr>
          <w:rFonts w:ascii="宋体" w:hAnsi="宋体" w:eastAsia="宋体" w:cs="宋体"/>
          <w:b/>
          <w:bCs/>
          <w:spacing w:val="-5"/>
          <w:sz w:val="30"/>
          <w:szCs w:val="30"/>
        </w:rPr>
        <w:t>授权委托书</w:t>
      </w:r>
    </w:p>
    <w:p w14:paraId="2855EAA0">
      <w:pPr>
        <w:pStyle w:val="5"/>
        <w:spacing w:line="250" w:lineRule="auto"/>
      </w:pPr>
    </w:p>
    <w:p w14:paraId="2071EF4C">
      <w:pPr>
        <w:pStyle w:val="5"/>
        <w:spacing w:line="250" w:lineRule="auto"/>
      </w:pPr>
    </w:p>
    <w:p w14:paraId="24174A15">
      <w:pPr>
        <w:pStyle w:val="5"/>
        <w:spacing w:line="251" w:lineRule="auto"/>
      </w:pPr>
    </w:p>
    <w:p w14:paraId="7F549E2A">
      <w:pPr>
        <w:spacing w:before="78" w:line="330" w:lineRule="auto"/>
        <w:ind w:firstLine="481"/>
        <w:jc w:val="both"/>
        <w:rPr>
          <w:rFonts w:ascii="宋体" w:hAnsi="宋体" w:eastAsia="宋体" w:cs="宋体"/>
          <w:sz w:val="24"/>
          <w:szCs w:val="24"/>
        </w:rPr>
      </w:pPr>
      <w:r>
        <w:rPr>
          <w:rFonts w:ascii="宋体" w:hAnsi="宋体" w:eastAsia="宋体" w:cs="宋体"/>
          <w:spacing w:val="-2"/>
          <w:sz w:val="24"/>
          <w:szCs w:val="24"/>
        </w:rPr>
        <w:t>本人（姓名）系（投标人名称）的法定代表人，现委托（姓名）为我方代理人。代</w:t>
      </w:r>
      <w:r>
        <w:rPr>
          <w:rFonts w:ascii="宋体" w:hAnsi="宋体" w:eastAsia="宋体" w:cs="宋体"/>
          <w:spacing w:val="-1"/>
          <w:sz w:val="24"/>
          <w:szCs w:val="24"/>
        </w:rPr>
        <w:t>理人根据授权，以我方名义签署、澄清、说明、补正、递交、撤回、修改（项目名称）</w:t>
      </w:r>
      <w:r>
        <w:rPr>
          <w:rFonts w:ascii="宋体" w:hAnsi="宋体" w:eastAsia="宋体" w:cs="宋体"/>
          <w:sz w:val="24"/>
          <w:szCs w:val="24"/>
        </w:rPr>
        <w:t>施工投标文件、签订合同和处理有关事宜，其</w:t>
      </w:r>
      <w:r>
        <w:rPr>
          <w:rFonts w:ascii="宋体" w:hAnsi="宋体" w:eastAsia="宋体" w:cs="宋体"/>
          <w:spacing w:val="-1"/>
          <w:sz w:val="24"/>
          <w:szCs w:val="24"/>
        </w:rPr>
        <w:t>法律后果由我方承担。</w:t>
      </w:r>
    </w:p>
    <w:p w14:paraId="0CFFE57A">
      <w:pPr>
        <w:spacing w:before="32" w:line="320" w:lineRule="auto"/>
        <w:ind w:left="480" w:right="497"/>
        <w:rPr>
          <w:rFonts w:ascii="宋体" w:hAnsi="宋体" w:eastAsia="宋体" w:cs="宋体"/>
          <w:sz w:val="24"/>
          <w:szCs w:val="24"/>
        </w:rPr>
      </w:pPr>
      <w:r>
        <w:rPr>
          <w:rFonts w:ascii="宋体" w:hAnsi="宋体" w:eastAsia="宋体" w:cs="宋体"/>
          <w:spacing w:val="-9"/>
          <w:sz w:val="24"/>
          <w:szCs w:val="24"/>
        </w:rPr>
        <w:t>委托期限：至</w:t>
      </w:r>
      <w:r>
        <w:rPr>
          <w:rFonts w:ascii="宋体" w:hAnsi="宋体" w:eastAsia="宋体" w:cs="宋体"/>
          <w:spacing w:val="-9"/>
          <w:sz w:val="24"/>
          <w:szCs w:val="24"/>
          <w:u w:val="single"/>
        </w:rPr>
        <w:t xml:space="preserve">     年   月    日</w:t>
      </w:r>
      <w:r>
        <w:rPr>
          <w:rFonts w:ascii="宋体" w:hAnsi="宋体" w:eastAsia="宋体" w:cs="宋体"/>
          <w:i/>
          <w:iCs/>
          <w:color w:val="auto"/>
          <w:spacing w:val="-9"/>
          <w:sz w:val="25"/>
          <w:szCs w:val="25"/>
          <w:u w:val="single"/>
        </w:rPr>
        <w:t>（不得短于招标文件规定的投标有效期）</w:t>
      </w:r>
      <w:r>
        <w:rPr>
          <w:rFonts w:ascii="宋体" w:hAnsi="宋体" w:eastAsia="宋体" w:cs="宋体"/>
          <w:color w:val="auto"/>
          <w:spacing w:val="-9"/>
          <w:sz w:val="25"/>
          <w:szCs w:val="25"/>
        </w:rPr>
        <w:t xml:space="preserve"> </w:t>
      </w:r>
      <w:r>
        <w:rPr>
          <w:rFonts w:ascii="宋体" w:hAnsi="宋体" w:eastAsia="宋体" w:cs="宋体"/>
          <w:spacing w:val="-9"/>
          <w:sz w:val="24"/>
          <w:szCs w:val="24"/>
        </w:rPr>
        <w:t>。</w:t>
      </w:r>
      <w:r>
        <w:rPr>
          <w:rFonts w:ascii="宋体" w:hAnsi="宋体" w:eastAsia="宋体" w:cs="宋体"/>
          <w:spacing w:val="15"/>
          <w:sz w:val="24"/>
          <w:szCs w:val="24"/>
        </w:rPr>
        <w:t xml:space="preserve"> </w:t>
      </w:r>
      <w:r>
        <w:rPr>
          <w:rFonts w:ascii="宋体" w:hAnsi="宋体" w:eastAsia="宋体" w:cs="宋体"/>
          <w:spacing w:val="-1"/>
          <w:sz w:val="24"/>
          <w:szCs w:val="24"/>
        </w:rPr>
        <w:t>代理人无转委托权。</w:t>
      </w:r>
    </w:p>
    <w:p w14:paraId="7202DD21">
      <w:pPr>
        <w:pStyle w:val="5"/>
        <w:spacing w:line="276" w:lineRule="auto"/>
      </w:pPr>
    </w:p>
    <w:p w14:paraId="38F1C600">
      <w:pPr>
        <w:pStyle w:val="5"/>
        <w:spacing w:line="277" w:lineRule="auto"/>
      </w:pPr>
    </w:p>
    <w:p w14:paraId="412016C8">
      <w:pPr>
        <w:pStyle w:val="5"/>
        <w:spacing w:line="277" w:lineRule="auto"/>
      </w:pPr>
    </w:p>
    <w:p w14:paraId="052E26D6">
      <w:pPr>
        <w:spacing w:before="78" w:line="219" w:lineRule="auto"/>
        <w:ind w:left="3123"/>
        <w:jc w:val="right"/>
        <w:rPr>
          <w:rFonts w:ascii="宋体" w:hAnsi="宋体" w:eastAsia="宋体" w:cs="宋体"/>
          <w:sz w:val="24"/>
          <w:szCs w:val="24"/>
        </w:rPr>
      </w:pPr>
      <w:r>
        <w:rPr>
          <w:rFonts w:ascii="宋体" w:hAnsi="宋体" w:eastAsia="宋体" w:cs="宋体"/>
          <w:spacing w:val="4"/>
          <w:sz w:val="24"/>
          <w:szCs w:val="24"/>
        </w:rPr>
        <w:t>投  标  人</w:t>
      </w:r>
      <w:r>
        <w:rPr>
          <w:rFonts w:ascii="宋体" w:hAnsi="宋体" w:eastAsia="宋体" w:cs="宋体"/>
          <w:spacing w:val="-31"/>
          <w:sz w:val="24"/>
          <w:szCs w:val="24"/>
        </w:rPr>
        <w:t>：</w:t>
      </w:r>
      <w:r>
        <w:rPr>
          <w:rFonts w:ascii="宋体" w:hAnsi="宋体" w:eastAsia="宋体" w:cs="宋体"/>
          <w:sz w:val="24"/>
          <w:szCs w:val="24"/>
          <w:u w:val="single"/>
        </w:rPr>
        <w:t xml:space="preserve">          </w:t>
      </w:r>
      <w:r>
        <w:rPr>
          <w:rFonts w:ascii="宋体" w:hAnsi="宋体" w:eastAsia="宋体" w:cs="宋体"/>
          <w:spacing w:val="-31"/>
          <w:sz w:val="24"/>
          <w:szCs w:val="24"/>
        </w:rPr>
        <w:t>（</w:t>
      </w:r>
      <w:r>
        <w:rPr>
          <w:rFonts w:ascii="宋体" w:hAnsi="宋体" w:eastAsia="宋体" w:cs="宋体"/>
          <w:spacing w:val="4"/>
          <w:sz w:val="24"/>
          <w:szCs w:val="24"/>
        </w:rPr>
        <w:t>盖单位章）</w:t>
      </w:r>
    </w:p>
    <w:p w14:paraId="3C0801D7">
      <w:pPr>
        <w:pStyle w:val="5"/>
        <w:spacing w:line="317" w:lineRule="auto"/>
        <w:jc w:val="right"/>
      </w:pPr>
    </w:p>
    <w:p w14:paraId="31CDCC44">
      <w:pPr>
        <w:pStyle w:val="5"/>
        <w:spacing w:line="317" w:lineRule="auto"/>
        <w:jc w:val="right"/>
      </w:pPr>
    </w:p>
    <w:p w14:paraId="54694F29">
      <w:pPr>
        <w:pStyle w:val="5"/>
        <w:spacing w:line="317" w:lineRule="auto"/>
        <w:jc w:val="right"/>
      </w:pPr>
    </w:p>
    <w:p w14:paraId="45E80415">
      <w:pPr>
        <w:spacing w:before="79" w:line="219" w:lineRule="auto"/>
        <w:ind w:left="3121"/>
        <w:jc w:val="right"/>
        <w:rPr>
          <w:rFonts w:ascii="宋体" w:hAnsi="宋体" w:eastAsia="宋体" w:cs="宋体"/>
          <w:sz w:val="24"/>
          <w:szCs w:val="24"/>
        </w:rPr>
      </w:pPr>
      <w:r>
        <w:rPr>
          <w:rFonts w:ascii="宋体" w:hAnsi="宋体" w:eastAsia="宋体" w:cs="宋体"/>
          <w:spacing w:val="2"/>
          <w:sz w:val="24"/>
          <w:szCs w:val="24"/>
        </w:rPr>
        <w:t>法定代表人</w:t>
      </w:r>
      <w:r>
        <w:rPr>
          <w:rFonts w:ascii="宋体" w:hAnsi="宋体" w:eastAsia="宋体" w:cs="宋体"/>
          <w:spacing w:val="-17"/>
          <w:sz w:val="24"/>
          <w:szCs w:val="24"/>
        </w:rPr>
        <w:t>：</w:t>
      </w:r>
      <w:r>
        <w:rPr>
          <w:rFonts w:ascii="宋体" w:hAnsi="宋体" w:eastAsia="宋体" w:cs="宋体"/>
          <w:sz w:val="24"/>
          <w:szCs w:val="24"/>
          <w:u w:val="single"/>
        </w:rPr>
        <w:t xml:space="preserve">          </w:t>
      </w:r>
      <w:r>
        <w:rPr>
          <w:rFonts w:ascii="宋体" w:hAnsi="宋体" w:eastAsia="宋体" w:cs="宋体"/>
          <w:spacing w:val="-17"/>
          <w:sz w:val="24"/>
          <w:szCs w:val="24"/>
        </w:rPr>
        <w:t>（</w:t>
      </w:r>
      <w:r>
        <w:rPr>
          <w:rFonts w:ascii="宋体" w:hAnsi="宋体" w:eastAsia="宋体" w:cs="宋体"/>
          <w:spacing w:val="2"/>
          <w:sz w:val="24"/>
          <w:szCs w:val="24"/>
        </w:rPr>
        <w:t>签字或盖章）</w:t>
      </w:r>
    </w:p>
    <w:p w14:paraId="049D3378">
      <w:pPr>
        <w:pStyle w:val="5"/>
        <w:spacing w:line="317" w:lineRule="auto"/>
        <w:jc w:val="right"/>
      </w:pPr>
    </w:p>
    <w:p w14:paraId="3332C335">
      <w:pPr>
        <w:pStyle w:val="5"/>
        <w:spacing w:line="317" w:lineRule="auto"/>
        <w:jc w:val="right"/>
      </w:pPr>
    </w:p>
    <w:p w14:paraId="351A98E7">
      <w:pPr>
        <w:pStyle w:val="5"/>
        <w:spacing w:line="317" w:lineRule="auto"/>
        <w:jc w:val="right"/>
      </w:pPr>
    </w:p>
    <w:p w14:paraId="4B9ED6B4">
      <w:pPr>
        <w:spacing w:before="78" w:line="219" w:lineRule="auto"/>
        <w:ind w:left="2880"/>
        <w:jc w:val="right"/>
        <w:rPr>
          <w:rFonts w:ascii="宋体" w:hAnsi="宋体" w:eastAsia="宋体" w:cs="宋体"/>
          <w:sz w:val="24"/>
          <w:szCs w:val="24"/>
        </w:rPr>
      </w:pPr>
      <w:r>
        <w:rPr>
          <w:rFonts w:ascii="宋体" w:hAnsi="宋体" w:eastAsia="宋体" w:cs="宋体"/>
          <w:spacing w:val="2"/>
          <w:sz w:val="24"/>
          <w:szCs w:val="24"/>
        </w:rPr>
        <w:t>委托代理人</w:t>
      </w:r>
      <w:r>
        <w:rPr>
          <w:rFonts w:ascii="宋体" w:hAnsi="宋体" w:eastAsia="宋体" w:cs="宋体"/>
          <w:spacing w:val="-16"/>
          <w:sz w:val="24"/>
          <w:szCs w:val="24"/>
        </w:rPr>
        <w:t>：</w:t>
      </w:r>
      <w:r>
        <w:rPr>
          <w:rFonts w:ascii="宋体" w:hAnsi="宋体" w:eastAsia="宋体" w:cs="宋体"/>
          <w:sz w:val="24"/>
          <w:szCs w:val="24"/>
          <w:u w:val="single"/>
        </w:rPr>
        <w:t xml:space="preserve">          </w:t>
      </w:r>
      <w:r>
        <w:rPr>
          <w:rFonts w:ascii="宋体" w:hAnsi="宋体" w:eastAsia="宋体" w:cs="宋体"/>
          <w:spacing w:val="-16"/>
          <w:sz w:val="24"/>
          <w:szCs w:val="24"/>
        </w:rPr>
        <w:t>（</w:t>
      </w:r>
      <w:r>
        <w:rPr>
          <w:rFonts w:ascii="宋体" w:hAnsi="宋体" w:eastAsia="宋体" w:cs="宋体"/>
          <w:spacing w:val="2"/>
          <w:sz w:val="24"/>
          <w:szCs w:val="24"/>
        </w:rPr>
        <w:t>签字或盖章）</w:t>
      </w:r>
    </w:p>
    <w:p w14:paraId="4CA376FB">
      <w:pPr>
        <w:pStyle w:val="5"/>
        <w:spacing w:line="256" w:lineRule="auto"/>
        <w:jc w:val="right"/>
      </w:pPr>
    </w:p>
    <w:p w14:paraId="151B4A71">
      <w:pPr>
        <w:pStyle w:val="5"/>
        <w:spacing w:line="256" w:lineRule="auto"/>
        <w:jc w:val="right"/>
      </w:pPr>
    </w:p>
    <w:p w14:paraId="06F67DDA">
      <w:pPr>
        <w:spacing w:before="78" w:line="220" w:lineRule="auto"/>
        <w:ind w:left="4201"/>
        <w:jc w:val="right"/>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5"/>
          <w:sz w:val="24"/>
          <w:szCs w:val="24"/>
        </w:rPr>
        <w:t xml:space="preserve">   </w:t>
      </w:r>
      <w:r>
        <w:rPr>
          <w:rFonts w:ascii="宋体" w:hAnsi="宋体" w:eastAsia="宋体" w:cs="宋体"/>
          <w:spacing w:val="-9"/>
          <w:sz w:val="24"/>
          <w:szCs w:val="24"/>
        </w:rPr>
        <w:t>月</w:t>
      </w:r>
      <w:r>
        <w:rPr>
          <w:rFonts w:ascii="宋体" w:hAnsi="宋体" w:eastAsia="宋体" w:cs="宋体"/>
          <w:spacing w:val="17"/>
          <w:sz w:val="24"/>
          <w:szCs w:val="24"/>
        </w:rPr>
        <w:t xml:space="preserve">   </w:t>
      </w:r>
      <w:r>
        <w:rPr>
          <w:rFonts w:ascii="宋体" w:hAnsi="宋体" w:eastAsia="宋体" w:cs="宋体"/>
          <w:spacing w:val="-9"/>
          <w:sz w:val="24"/>
          <w:szCs w:val="24"/>
        </w:rPr>
        <w:t>日</w:t>
      </w:r>
    </w:p>
    <w:p w14:paraId="215CADA2">
      <w:pPr>
        <w:spacing w:before="70"/>
        <w:jc w:val="right"/>
      </w:pPr>
    </w:p>
    <w:p w14:paraId="22C9804A">
      <w:pPr>
        <w:spacing w:before="69"/>
      </w:pPr>
    </w:p>
    <w:p w14:paraId="64E5F6BA">
      <w:pPr>
        <w:spacing w:before="69"/>
      </w:pPr>
    </w:p>
    <w:tbl>
      <w:tblPr>
        <w:tblStyle w:val="14"/>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4479ABF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noWrap w:val="0"/>
            <w:vAlign w:val="top"/>
          </w:tcPr>
          <w:p w14:paraId="150AA642">
            <w:pPr>
              <w:pStyle w:val="20"/>
              <w:spacing w:line="245" w:lineRule="auto"/>
            </w:pPr>
          </w:p>
          <w:p w14:paraId="679884EE">
            <w:pPr>
              <w:pStyle w:val="20"/>
              <w:spacing w:line="245" w:lineRule="auto"/>
            </w:pPr>
          </w:p>
          <w:p w14:paraId="59DC50F4">
            <w:pPr>
              <w:pStyle w:val="20"/>
              <w:spacing w:line="245" w:lineRule="auto"/>
            </w:pPr>
          </w:p>
          <w:p w14:paraId="0A3AC901">
            <w:pPr>
              <w:pStyle w:val="20"/>
              <w:spacing w:line="245" w:lineRule="auto"/>
            </w:pPr>
          </w:p>
          <w:p w14:paraId="5AE41DC1">
            <w:pPr>
              <w:pStyle w:val="20"/>
              <w:spacing w:line="245" w:lineRule="auto"/>
            </w:pPr>
          </w:p>
          <w:p w14:paraId="053F6B14">
            <w:pPr>
              <w:pStyle w:val="20"/>
              <w:spacing w:line="245" w:lineRule="auto"/>
            </w:pPr>
          </w:p>
          <w:p w14:paraId="46AEBB57">
            <w:pPr>
              <w:pStyle w:val="20"/>
              <w:spacing w:line="246" w:lineRule="auto"/>
            </w:pPr>
          </w:p>
          <w:p w14:paraId="2B3DF4E3">
            <w:pPr>
              <w:spacing w:before="78" w:line="220" w:lineRule="auto"/>
              <w:ind w:left="718"/>
              <w:rPr>
                <w:rFonts w:ascii="宋体" w:hAnsi="宋体" w:eastAsia="宋体" w:cs="宋体"/>
                <w:sz w:val="24"/>
                <w:szCs w:val="24"/>
              </w:rPr>
            </w:pPr>
            <w:r>
              <w:rPr>
                <w:rFonts w:ascii="宋体" w:hAnsi="宋体" w:eastAsia="宋体" w:cs="宋体"/>
                <w:spacing w:val="-1"/>
                <w:sz w:val="24"/>
                <w:szCs w:val="24"/>
              </w:rPr>
              <w:t>委托代理人身份证复印件正、反面</w:t>
            </w:r>
          </w:p>
        </w:tc>
      </w:tr>
    </w:tbl>
    <w:p w14:paraId="71A20C42">
      <w:pPr>
        <w:pStyle w:val="5"/>
      </w:pPr>
    </w:p>
    <w:p w14:paraId="169C656A">
      <w:pPr>
        <w:sectPr>
          <w:footerReference r:id="rId19" w:type="default"/>
          <w:pgSz w:w="11906" w:h="16839"/>
          <w:pgMar w:top="720" w:right="720" w:bottom="720" w:left="720" w:header="0" w:footer="1023" w:gutter="0"/>
          <w:cols w:space="720" w:num="1"/>
        </w:sectPr>
      </w:pPr>
    </w:p>
    <w:p w14:paraId="5F24267E">
      <w:pPr>
        <w:spacing w:before="78" w:line="220" w:lineRule="auto"/>
        <w:outlineLvl w:val="2"/>
        <w:rPr>
          <w:rFonts w:ascii="宋体" w:hAnsi="宋体" w:eastAsia="宋体" w:cs="宋体"/>
          <w:b/>
          <w:bCs/>
          <w:spacing w:val="-4"/>
          <w:sz w:val="24"/>
          <w:szCs w:val="24"/>
        </w:rPr>
      </w:pPr>
      <w:bookmarkStart w:id="184" w:name="_Toc17483"/>
      <w:r>
        <w:rPr>
          <w:rFonts w:ascii="宋体" w:hAnsi="宋体" w:eastAsia="宋体" w:cs="宋体"/>
          <w:b/>
          <w:bCs/>
          <w:spacing w:val="-4"/>
          <w:sz w:val="24"/>
          <w:szCs w:val="24"/>
        </w:rPr>
        <w:t>格式五 法定代表人身份证明</w:t>
      </w:r>
      <w:bookmarkEnd w:id="184"/>
    </w:p>
    <w:p w14:paraId="5CAA7D62">
      <w:pPr>
        <w:pStyle w:val="5"/>
        <w:spacing w:line="350" w:lineRule="auto"/>
      </w:pPr>
    </w:p>
    <w:p w14:paraId="3B774AC3">
      <w:pPr>
        <w:pStyle w:val="5"/>
        <w:spacing w:line="350" w:lineRule="auto"/>
      </w:pPr>
    </w:p>
    <w:p w14:paraId="11CDCD44">
      <w:pPr>
        <w:spacing w:before="98" w:line="220" w:lineRule="auto"/>
        <w:ind w:left="3183"/>
        <w:rPr>
          <w:rFonts w:ascii="宋体" w:hAnsi="宋体" w:eastAsia="宋体" w:cs="宋体"/>
          <w:sz w:val="30"/>
          <w:szCs w:val="30"/>
        </w:rPr>
      </w:pPr>
      <w:bookmarkStart w:id="185" w:name="bookmark152"/>
      <w:bookmarkEnd w:id="185"/>
      <w:r>
        <w:rPr>
          <w:rFonts w:ascii="宋体" w:hAnsi="宋体" w:eastAsia="宋体" w:cs="宋体"/>
          <w:b/>
          <w:bCs/>
          <w:spacing w:val="-4"/>
          <w:sz w:val="30"/>
          <w:szCs w:val="30"/>
        </w:rPr>
        <w:t>法定代表人身份证明</w:t>
      </w:r>
    </w:p>
    <w:p w14:paraId="64894BC5">
      <w:pPr>
        <w:pStyle w:val="5"/>
        <w:spacing w:line="250" w:lineRule="auto"/>
      </w:pPr>
    </w:p>
    <w:p w14:paraId="54D1C7D9">
      <w:pPr>
        <w:pStyle w:val="5"/>
        <w:spacing w:line="250" w:lineRule="auto"/>
      </w:pPr>
    </w:p>
    <w:p w14:paraId="31332BC7">
      <w:pPr>
        <w:pStyle w:val="5"/>
        <w:spacing w:line="251" w:lineRule="auto"/>
      </w:pPr>
    </w:p>
    <w:p w14:paraId="36CB6D46">
      <w:pPr>
        <w:spacing w:before="78" w:line="221" w:lineRule="auto"/>
        <w:ind w:left="2"/>
        <w:rPr>
          <w:rFonts w:ascii="宋体" w:hAnsi="宋体" w:eastAsia="宋体" w:cs="宋体"/>
          <w:sz w:val="24"/>
          <w:szCs w:val="24"/>
        </w:rPr>
      </w:pPr>
      <w:r>
        <w:rPr>
          <w:rFonts w:ascii="宋体" w:hAnsi="宋体" w:eastAsia="宋体" w:cs="宋体"/>
          <w:spacing w:val="-3"/>
          <w:sz w:val="24"/>
          <w:szCs w:val="24"/>
        </w:rPr>
        <w:t>投标人名称：</w:t>
      </w:r>
    </w:p>
    <w:p w14:paraId="6BB8D171">
      <w:pPr>
        <w:spacing w:before="154" w:line="220" w:lineRule="auto"/>
        <w:rPr>
          <w:rFonts w:ascii="宋体" w:hAnsi="宋体" w:eastAsia="宋体" w:cs="宋体"/>
          <w:sz w:val="24"/>
          <w:szCs w:val="24"/>
        </w:rPr>
      </w:pPr>
      <w:r>
        <w:rPr>
          <w:rFonts w:ascii="宋体" w:hAnsi="宋体" w:eastAsia="宋体" w:cs="宋体"/>
          <w:spacing w:val="-1"/>
          <w:sz w:val="24"/>
          <w:szCs w:val="24"/>
        </w:rPr>
        <w:t>姓名：    性别：    年龄：</w:t>
      </w:r>
      <w:r>
        <w:rPr>
          <w:rFonts w:ascii="宋体" w:hAnsi="宋体" w:eastAsia="宋体" w:cs="宋体"/>
          <w:spacing w:val="1"/>
          <w:sz w:val="24"/>
          <w:szCs w:val="24"/>
        </w:rPr>
        <w:t xml:space="preserve">      </w:t>
      </w:r>
      <w:r>
        <w:rPr>
          <w:rFonts w:ascii="宋体" w:hAnsi="宋体" w:eastAsia="宋体" w:cs="宋体"/>
          <w:spacing w:val="-1"/>
          <w:sz w:val="24"/>
          <w:szCs w:val="24"/>
        </w:rPr>
        <w:t>职务：</w:t>
      </w:r>
    </w:p>
    <w:p w14:paraId="4763D161">
      <w:pPr>
        <w:spacing w:before="154" w:line="324" w:lineRule="auto"/>
        <w:ind w:left="479" w:right="5489" w:hanging="475"/>
        <w:rPr>
          <w:rFonts w:ascii="宋体" w:hAnsi="宋体" w:eastAsia="宋体" w:cs="宋体"/>
          <w:sz w:val="24"/>
          <w:szCs w:val="24"/>
        </w:rPr>
      </w:pPr>
      <w:r>
        <w:rPr>
          <w:rFonts w:ascii="宋体" w:hAnsi="宋体" w:eastAsia="宋体" w:cs="宋体"/>
          <w:spacing w:val="-4"/>
          <w:sz w:val="24"/>
          <w:szCs w:val="24"/>
        </w:rPr>
        <w:t>系</w:t>
      </w:r>
      <w:r>
        <w:rPr>
          <w:rFonts w:ascii="宋体" w:hAnsi="宋体" w:eastAsia="宋体" w:cs="宋体"/>
          <w:spacing w:val="-4"/>
          <w:sz w:val="24"/>
          <w:szCs w:val="24"/>
          <w:u w:val="single"/>
        </w:rPr>
        <w:t>（投标人名称）</w:t>
      </w:r>
      <w:r>
        <w:rPr>
          <w:rFonts w:ascii="宋体" w:hAnsi="宋体" w:eastAsia="宋体" w:cs="宋体"/>
          <w:spacing w:val="-4"/>
          <w:sz w:val="24"/>
          <w:szCs w:val="24"/>
        </w:rPr>
        <w:t>的法定代表人。</w:t>
      </w:r>
      <w:r>
        <w:rPr>
          <w:rFonts w:ascii="宋体" w:hAnsi="宋体" w:eastAsia="宋体" w:cs="宋体"/>
          <w:spacing w:val="6"/>
          <w:sz w:val="24"/>
          <w:szCs w:val="24"/>
        </w:rPr>
        <w:t xml:space="preserve"> </w:t>
      </w:r>
      <w:r>
        <w:rPr>
          <w:rFonts w:ascii="宋体" w:hAnsi="宋体" w:eastAsia="宋体" w:cs="宋体"/>
          <w:spacing w:val="-2"/>
          <w:sz w:val="24"/>
          <w:szCs w:val="24"/>
        </w:rPr>
        <w:t>特此证明。</w:t>
      </w:r>
    </w:p>
    <w:p w14:paraId="55BA4679">
      <w:pPr>
        <w:pStyle w:val="5"/>
        <w:spacing w:line="277" w:lineRule="auto"/>
      </w:pPr>
    </w:p>
    <w:p w14:paraId="6403EBEA">
      <w:pPr>
        <w:pStyle w:val="5"/>
        <w:spacing w:line="277" w:lineRule="auto"/>
      </w:pPr>
    </w:p>
    <w:p w14:paraId="69FCBCA5">
      <w:pPr>
        <w:pStyle w:val="5"/>
        <w:spacing w:line="278" w:lineRule="auto"/>
      </w:pPr>
    </w:p>
    <w:p w14:paraId="41385B57">
      <w:pPr>
        <w:spacing w:before="78" w:line="219" w:lineRule="auto"/>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pacing w:val="-18"/>
          <w:sz w:val="24"/>
          <w:szCs w:val="24"/>
        </w:rPr>
        <w:t>：</w:t>
      </w:r>
      <w:r>
        <w:rPr>
          <w:rFonts w:ascii="宋体" w:hAnsi="宋体" w:eastAsia="宋体" w:cs="宋体"/>
          <w:sz w:val="24"/>
          <w:szCs w:val="24"/>
          <w:u w:val="single"/>
        </w:rPr>
        <w:t xml:space="preserve">       </w:t>
      </w:r>
      <w:r>
        <w:rPr>
          <w:rFonts w:ascii="宋体" w:hAnsi="宋体" w:eastAsia="宋体" w:cs="宋体"/>
          <w:spacing w:val="-18"/>
          <w:sz w:val="24"/>
          <w:szCs w:val="24"/>
        </w:rPr>
        <w:t>（</w:t>
      </w:r>
      <w:r>
        <w:rPr>
          <w:rFonts w:ascii="宋体" w:hAnsi="宋体" w:eastAsia="宋体" w:cs="宋体"/>
          <w:sz w:val="24"/>
          <w:szCs w:val="24"/>
        </w:rPr>
        <w:t>盖单位章）</w:t>
      </w:r>
    </w:p>
    <w:p w14:paraId="25414F34">
      <w:pPr>
        <w:pStyle w:val="5"/>
        <w:spacing w:line="317" w:lineRule="auto"/>
        <w:jc w:val="right"/>
      </w:pPr>
    </w:p>
    <w:p w14:paraId="73212966">
      <w:pPr>
        <w:pStyle w:val="5"/>
        <w:spacing w:line="317" w:lineRule="auto"/>
        <w:jc w:val="right"/>
      </w:pPr>
    </w:p>
    <w:p w14:paraId="5D22CF59">
      <w:pPr>
        <w:pStyle w:val="5"/>
        <w:spacing w:line="317" w:lineRule="auto"/>
        <w:jc w:val="right"/>
      </w:pPr>
    </w:p>
    <w:p w14:paraId="41028D2F">
      <w:pPr>
        <w:spacing w:before="79" w:line="219" w:lineRule="auto"/>
        <w:jc w:val="right"/>
        <w:rPr>
          <w:rFonts w:ascii="宋体" w:hAnsi="宋体" w:eastAsia="宋体" w:cs="宋体"/>
          <w:sz w:val="24"/>
          <w:szCs w:val="24"/>
        </w:rPr>
      </w:pPr>
      <w:r>
        <w:rPr>
          <w:rFonts w:ascii="宋体" w:hAnsi="宋体" w:eastAsia="宋体" w:cs="宋体"/>
          <w:sz w:val="24"/>
          <w:szCs w:val="24"/>
        </w:rPr>
        <w:t>法定代表人</w:t>
      </w:r>
      <w:r>
        <w:rPr>
          <w:rFonts w:ascii="宋体" w:hAnsi="宋体" w:eastAsia="宋体" w:cs="宋体"/>
          <w:spacing w:val="-17"/>
          <w:sz w:val="24"/>
          <w:szCs w:val="24"/>
        </w:rPr>
        <w:t>：</w:t>
      </w:r>
      <w:r>
        <w:rPr>
          <w:rFonts w:ascii="宋体" w:hAnsi="宋体" w:eastAsia="宋体" w:cs="宋体"/>
          <w:sz w:val="24"/>
          <w:szCs w:val="24"/>
          <w:u w:val="single"/>
        </w:rPr>
        <w:t xml:space="preserve">    </w:t>
      </w:r>
      <w:r>
        <w:rPr>
          <w:rFonts w:ascii="宋体" w:hAnsi="宋体" w:eastAsia="宋体" w:cs="宋体"/>
          <w:spacing w:val="-17"/>
          <w:sz w:val="24"/>
          <w:szCs w:val="24"/>
        </w:rPr>
        <w:t>（</w:t>
      </w:r>
      <w:r>
        <w:rPr>
          <w:rFonts w:ascii="宋体" w:hAnsi="宋体" w:eastAsia="宋体" w:cs="宋体"/>
          <w:sz w:val="24"/>
          <w:szCs w:val="24"/>
        </w:rPr>
        <w:t>签字或盖章）</w:t>
      </w:r>
    </w:p>
    <w:p w14:paraId="22F31CD8">
      <w:pPr>
        <w:pStyle w:val="5"/>
        <w:spacing w:line="257" w:lineRule="auto"/>
        <w:jc w:val="right"/>
      </w:pPr>
    </w:p>
    <w:p w14:paraId="3765E1FD">
      <w:pPr>
        <w:pStyle w:val="5"/>
        <w:spacing w:line="257" w:lineRule="auto"/>
        <w:jc w:val="right"/>
      </w:pPr>
    </w:p>
    <w:p w14:paraId="5B600415">
      <w:pPr>
        <w:spacing w:before="78" w:line="220" w:lineRule="auto"/>
        <w:ind w:left="5796"/>
        <w:jc w:val="right"/>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7"/>
          <w:sz w:val="24"/>
          <w:szCs w:val="24"/>
        </w:rPr>
        <w:t xml:space="preserve">  </w:t>
      </w:r>
      <w:r>
        <w:rPr>
          <w:rFonts w:ascii="宋体" w:hAnsi="宋体" w:eastAsia="宋体" w:cs="宋体"/>
          <w:spacing w:val="-9"/>
          <w:sz w:val="24"/>
          <w:szCs w:val="24"/>
        </w:rPr>
        <w:t>月</w:t>
      </w:r>
      <w:r>
        <w:rPr>
          <w:rFonts w:ascii="宋体" w:hAnsi="宋体" w:eastAsia="宋体" w:cs="宋体"/>
          <w:spacing w:val="17"/>
          <w:sz w:val="24"/>
          <w:szCs w:val="24"/>
        </w:rPr>
        <w:t xml:space="preserve">   </w:t>
      </w:r>
      <w:r>
        <w:rPr>
          <w:rFonts w:ascii="宋体" w:hAnsi="宋体" w:eastAsia="宋体" w:cs="宋体"/>
          <w:spacing w:val="-9"/>
          <w:sz w:val="24"/>
          <w:szCs w:val="24"/>
        </w:rPr>
        <w:t>日</w:t>
      </w:r>
    </w:p>
    <w:p w14:paraId="4AA38218">
      <w:pPr>
        <w:pStyle w:val="5"/>
        <w:spacing w:line="254" w:lineRule="auto"/>
      </w:pPr>
    </w:p>
    <w:p w14:paraId="71AC240F">
      <w:pPr>
        <w:pStyle w:val="5"/>
        <w:spacing w:line="254" w:lineRule="auto"/>
      </w:pPr>
    </w:p>
    <w:p w14:paraId="30962A68">
      <w:pPr>
        <w:pStyle w:val="5"/>
        <w:spacing w:line="254" w:lineRule="auto"/>
      </w:pPr>
    </w:p>
    <w:p w14:paraId="46BDCE29">
      <w:pPr>
        <w:pStyle w:val="5"/>
        <w:spacing w:line="254" w:lineRule="auto"/>
      </w:pPr>
    </w:p>
    <w:p w14:paraId="65E00A26">
      <w:pPr>
        <w:pStyle w:val="5"/>
        <w:spacing w:line="254" w:lineRule="auto"/>
      </w:pPr>
    </w:p>
    <w:p w14:paraId="4A4E51C6">
      <w:pPr>
        <w:pStyle w:val="5"/>
        <w:spacing w:line="255" w:lineRule="auto"/>
      </w:pPr>
    </w:p>
    <w:p w14:paraId="09D17841">
      <w:pPr>
        <w:pStyle w:val="5"/>
        <w:spacing w:line="255" w:lineRule="auto"/>
      </w:pPr>
    </w:p>
    <w:p w14:paraId="69630418">
      <w:pPr>
        <w:pStyle w:val="5"/>
        <w:spacing w:before="1" w:line="2510" w:lineRule="exact"/>
        <w:ind w:firstLine="2534"/>
      </w:pPr>
      <w:r>
        <w:rPr>
          <w:position w:val="-50"/>
        </w:rPr>
        <mc:AlternateContent>
          <mc:Choice Requires="wpg">
            <w:drawing>
              <wp:inline distT="0" distB="0" distL="114300" distR="114300">
                <wp:extent cx="2835275" cy="1593850"/>
                <wp:effectExtent l="12700" t="0" r="28575" b="12700"/>
                <wp:docPr id="4" name="组合 101"/>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2" name="图片 102"/>
                          <pic:cNvPicPr>
                            <a:picLocks noChangeAspect="1"/>
                          </pic:cNvPicPr>
                        </pic:nvPicPr>
                        <pic:blipFill>
                          <a:blip r:embed="rId41"/>
                          <a:stretch>
                            <a:fillRect/>
                          </a:stretch>
                        </pic:blipFill>
                        <pic:spPr>
                          <a:xfrm>
                            <a:off x="0" y="0"/>
                            <a:ext cx="4465" cy="2510"/>
                          </a:xfrm>
                          <a:prstGeom prst="rect">
                            <a:avLst/>
                          </a:prstGeom>
                          <a:noFill/>
                          <a:ln>
                            <a:noFill/>
                          </a:ln>
                        </pic:spPr>
                      </pic:pic>
                      <wps:wsp>
                        <wps:cNvPr id="3" name="文本框 103"/>
                        <wps:cNvSpPr txBox="1"/>
                        <wps:spPr>
                          <a:xfrm>
                            <a:off x="-20" y="-20"/>
                            <a:ext cx="4505" cy="2550"/>
                          </a:xfrm>
                          <a:prstGeom prst="rect">
                            <a:avLst/>
                          </a:prstGeom>
                          <a:noFill/>
                          <a:ln>
                            <a:noFill/>
                          </a:ln>
                        </wps:spPr>
                        <wps:txbx>
                          <w:txbxContent>
                            <w:p w14:paraId="057121A8">
                              <w:pPr>
                                <w:spacing w:line="249" w:lineRule="auto"/>
                              </w:pPr>
                            </w:p>
                            <w:p w14:paraId="14C1F38A">
                              <w:pPr>
                                <w:spacing w:line="249" w:lineRule="auto"/>
                              </w:pPr>
                            </w:p>
                            <w:p w14:paraId="2F27A75C">
                              <w:pPr>
                                <w:spacing w:line="249" w:lineRule="auto"/>
                              </w:pPr>
                            </w:p>
                            <w:p w14:paraId="3DB6204D">
                              <w:pPr>
                                <w:spacing w:line="249" w:lineRule="auto"/>
                              </w:pPr>
                            </w:p>
                            <w:p w14:paraId="4AB443D4">
                              <w:pPr>
                                <w:spacing w:line="250" w:lineRule="auto"/>
                              </w:pPr>
                            </w:p>
                            <w:p w14:paraId="44431F4F">
                              <w:pPr>
                                <w:spacing w:line="250" w:lineRule="auto"/>
                              </w:pPr>
                            </w:p>
                            <w:p w14:paraId="10D94E0C">
                              <w:pPr>
                                <w:spacing w:line="250" w:lineRule="auto"/>
                              </w:pPr>
                            </w:p>
                            <w:p w14:paraId="631BA937">
                              <w:pPr>
                                <w:spacing w:before="78" w:line="220" w:lineRule="auto"/>
                                <w:ind w:left="462"/>
                                <w:rPr>
                                  <w:rFonts w:ascii="宋体" w:hAnsi="宋体" w:eastAsia="宋体" w:cs="宋体"/>
                                  <w:sz w:val="24"/>
                                  <w:szCs w:val="24"/>
                                </w:rPr>
                              </w:pPr>
                              <w:r>
                                <w:rPr>
                                  <w:rFonts w:ascii="宋体" w:hAnsi="宋体" w:eastAsia="宋体" w:cs="宋体"/>
                                  <w:spacing w:val="-1"/>
                                  <w:sz w:val="24"/>
                                  <w:szCs w:val="24"/>
                                </w:rPr>
                                <w:t>法定代表人身份证复印件正、反面</w:t>
                              </w:r>
                            </w:p>
                          </w:txbxContent>
                        </wps:txbx>
                        <wps:bodyPr wrap="square" lIns="0" tIns="0" rIns="0" bIns="0" upright="1"/>
                      </wps:wsp>
                    </wpg:wgp>
                  </a:graphicData>
                </a:graphic>
              </wp:inline>
            </w:drawing>
          </mc:Choice>
          <mc:Fallback>
            <w:pict>
              <v:group id="组合 101"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">
                <o:lock v:ext="edit" rotation="t" aspectratio="f"/>
                <v:shape id="图片 102" o:spid="_x0000_s1026" o:spt="75" alt="" type="#_x0000_t75" style="position:absolute;left:0;top:0;height:2510;width:4465;" filled="f" o:preferrelative="t" stroked="f" coordsize="21600,21600" o:gfxdata="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fuCq74A&#10;AADaAAAADwAAAAAAAAABACAAAAAiAAAAZHJzL2Rvd25yZXYueG1sUEsBAhQAFAAAAAgAh07iQDMv&#10;BZ47AAAAOQAAABAAAAAAAAAAAQAgAAAADQEAAGRycy9zaGFwZXhtbC54bWxQSwUGAAAAAAYABgBb&#10;AQAAtwMAAAAA&#10;">
                  <v:fill on="f" focussize="0,0"/>
                  <v:stroke on="f"/>
                  <v:imagedata r:id="rId41" o:title=""/>
                  <o:lock v:ext="edit" aspectratio="t"/>
                </v:shape>
                <v:shape id="文本框 103" o:spid="_x0000_s1026" o:spt="202" type="#_x0000_t202" style="position:absolute;left:-20;top:-20;height:2550;width:4505;" filled="f" stroked="f" coordsize="21600,21600" o:gfxdata="UEsDBAoAAAAAAIdO4kAAAAAAAAAAAAAAAAAEAAAAZHJzL1BLAwQUAAAACACHTuJA/un4k70AAADa&#10;AAAADwAAAGRycy9kb3ducmV2LnhtbEWPQWsCMRSE70L/Q3gFb5pYQX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fiT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57121A8">
                        <w:pPr>
                          <w:spacing w:line="249" w:lineRule="auto"/>
                        </w:pPr>
                      </w:p>
                      <w:p w14:paraId="14C1F38A">
                        <w:pPr>
                          <w:spacing w:line="249" w:lineRule="auto"/>
                        </w:pPr>
                      </w:p>
                      <w:p w14:paraId="2F27A75C">
                        <w:pPr>
                          <w:spacing w:line="249" w:lineRule="auto"/>
                        </w:pPr>
                      </w:p>
                      <w:p w14:paraId="3DB6204D">
                        <w:pPr>
                          <w:spacing w:line="249" w:lineRule="auto"/>
                        </w:pPr>
                      </w:p>
                      <w:p w14:paraId="4AB443D4">
                        <w:pPr>
                          <w:spacing w:line="250" w:lineRule="auto"/>
                        </w:pPr>
                      </w:p>
                      <w:p w14:paraId="44431F4F">
                        <w:pPr>
                          <w:spacing w:line="250" w:lineRule="auto"/>
                        </w:pPr>
                      </w:p>
                      <w:p w14:paraId="10D94E0C">
                        <w:pPr>
                          <w:spacing w:line="250" w:lineRule="auto"/>
                        </w:pPr>
                      </w:p>
                      <w:p w14:paraId="631BA937">
                        <w:pPr>
                          <w:spacing w:before="78" w:line="220" w:lineRule="auto"/>
                          <w:ind w:left="462"/>
                          <w:rPr>
                            <w:rFonts w:ascii="宋体" w:hAnsi="宋体" w:eastAsia="宋体" w:cs="宋体"/>
                            <w:sz w:val="24"/>
                            <w:szCs w:val="24"/>
                          </w:rPr>
                        </w:pPr>
                        <w:r>
                          <w:rPr>
                            <w:rFonts w:ascii="宋体" w:hAnsi="宋体" w:eastAsia="宋体" w:cs="宋体"/>
                            <w:spacing w:val="-1"/>
                            <w:sz w:val="24"/>
                            <w:szCs w:val="24"/>
                          </w:rPr>
                          <w:t>法定代表人身份证复印件正、反面</w:t>
                        </w:r>
                      </w:p>
                    </w:txbxContent>
                  </v:textbox>
                </v:shape>
                <w10:wrap type="none"/>
                <w10:anchorlock/>
              </v:group>
            </w:pict>
          </mc:Fallback>
        </mc:AlternateContent>
      </w:r>
    </w:p>
    <w:p w14:paraId="60D9AA49">
      <w:pPr>
        <w:spacing w:line="2510" w:lineRule="exact"/>
        <w:sectPr>
          <w:footerReference r:id="rId20" w:type="default"/>
          <w:pgSz w:w="11906" w:h="16839"/>
          <w:pgMar w:top="720" w:right="720" w:bottom="720" w:left="720" w:header="0" w:footer="1023" w:gutter="0"/>
          <w:cols w:space="720" w:num="1"/>
        </w:sectPr>
      </w:pPr>
    </w:p>
    <w:p w14:paraId="6519A8F6">
      <w:pPr>
        <w:spacing w:before="78" w:line="220" w:lineRule="auto"/>
        <w:outlineLvl w:val="2"/>
        <w:rPr>
          <w:rFonts w:ascii="宋体" w:hAnsi="宋体" w:eastAsia="宋体" w:cs="宋体"/>
          <w:b/>
          <w:bCs/>
          <w:spacing w:val="-4"/>
          <w:sz w:val="24"/>
          <w:szCs w:val="24"/>
        </w:rPr>
      </w:pPr>
      <w:bookmarkStart w:id="186" w:name="_Toc23187"/>
      <w:r>
        <w:rPr>
          <w:rFonts w:ascii="宋体" w:hAnsi="宋体" w:eastAsia="宋体" w:cs="宋体"/>
          <w:b/>
          <w:bCs/>
          <w:spacing w:val="-4"/>
          <w:sz w:val="24"/>
          <w:szCs w:val="24"/>
        </w:rPr>
        <w:t>格式六 联合体协议书</w:t>
      </w:r>
      <w:bookmarkEnd w:id="186"/>
    </w:p>
    <w:p w14:paraId="5EAC8380">
      <w:pPr>
        <w:spacing w:before="98" w:line="219" w:lineRule="auto"/>
        <w:ind w:left="3638"/>
        <w:rPr>
          <w:rFonts w:ascii="宋体" w:hAnsi="宋体" w:eastAsia="宋体" w:cs="宋体"/>
          <w:sz w:val="30"/>
          <w:szCs w:val="30"/>
        </w:rPr>
      </w:pPr>
      <w:bookmarkStart w:id="187" w:name="bookmark153"/>
      <w:bookmarkEnd w:id="187"/>
      <w:r>
        <w:rPr>
          <w:rFonts w:ascii="宋体" w:hAnsi="宋体" w:eastAsia="宋体" w:cs="宋体"/>
          <w:b/>
          <w:bCs/>
          <w:spacing w:val="-5"/>
          <w:sz w:val="30"/>
          <w:szCs w:val="30"/>
        </w:rPr>
        <w:t>联合体协议书</w:t>
      </w:r>
    </w:p>
    <w:p w14:paraId="3CF71546">
      <w:pPr>
        <w:pStyle w:val="5"/>
        <w:spacing w:line="244" w:lineRule="auto"/>
      </w:pPr>
    </w:p>
    <w:p w14:paraId="1ECC2F9A">
      <w:pPr>
        <w:pStyle w:val="5"/>
        <w:spacing w:line="244" w:lineRule="auto"/>
      </w:pPr>
    </w:p>
    <w:p w14:paraId="51D8E568">
      <w:pPr>
        <w:pStyle w:val="5"/>
        <w:spacing w:line="245" w:lineRule="auto"/>
      </w:pPr>
    </w:p>
    <w:p w14:paraId="4D696219">
      <w:pPr>
        <w:spacing w:before="78" w:line="329" w:lineRule="auto"/>
        <w:ind w:left="421" w:right="7272" w:hanging="3"/>
        <w:jc w:val="both"/>
        <w:rPr>
          <w:rFonts w:ascii="宋体" w:hAnsi="宋体" w:eastAsia="宋体" w:cs="宋体"/>
          <w:sz w:val="24"/>
          <w:szCs w:val="24"/>
        </w:rPr>
      </w:pPr>
      <w:r>
        <w:rPr>
          <w:rFonts w:ascii="宋体" w:hAnsi="宋体" w:eastAsia="宋体" w:cs="宋体"/>
          <w:spacing w:val="-12"/>
          <w:sz w:val="24"/>
          <w:szCs w:val="24"/>
        </w:rPr>
        <w:t>牵头人名称：</w:t>
      </w:r>
      <w:r>
        <w:rPr>
          <w:rFonts w:ascii="宋体" w:hAnsi="宋体" w:eastAsia="宋体" w:cs="宋体"/>
          <w:spacing w:val="4"/>
          <w:sz w:val="24"/>
          <w:szCs w:val="24"/>
        </w:rPr>
        <w:t xml:space="preserve"> </w:t>
      </w:r>
      <w:r>
        <w:rPr>
          <w:rFonts w:ascii="宋体" w:hAnsi="宋体" w:eastAsia="宋体" w:cs="宋体"/>
          <w:spacing w:val="-12"/>
          <w:sz w:val="24"/>
          <w:szCs w:val="24"/>
        </w:rPr>
        <w:t>法定代表人：</w:t>
      </w:r>
      <w:r>
        <w:rPr>
          <w:rFonts w:ascii="宋体" w:hAnsi="宋体" w:eastAsia="宋体" w:cs="宋体"/>
          <w:sz w:val="24"/>
          <w:szCs w:val="24"/>
        </w:rPr>
        <w:t xml:space="preserve"> </w:t>
      </w:r>
      <w:r>
        <w:rPr>
          <w:rFonts w:ascii="宋体" w:hAnsi="宋体" w:eastAsia="宋体" w:cs="宋体"/>
          <w:spacing w:val="-3"/>
          <w:sz w:val="24"/>
          <w:szCs w:val="24"/>
        </w:rPr>
        <w:t>法定住所：</w:t>
      </w:r>
    </w:p>
    <w:p w14:paraId="50E90965">
      <w:pPr>
        <w:spacing w:before="78" w:line="330" w:lineRule="auto"/>
        <w:ind w:left="421" w:right="7272"/>
        <w:rPr>
          <w:rFonts w:ascii="宋体" w:hAnsi="宋体" w:eastAsia="宋体" w:cs="宋体"/>
          <w:sz w:val="24"/>
          <w:szCs w:val="24"/>
        </w:rPr>
      </w:pPr>
      <w:r>
        <w:rPr>
          <w:rFonts w:ascii="宋体" w:hAnsi="宋体" w:eastAsia="宋体" w:cs="宋体"/>
          <w:spacing w:val="-12"/>
          <w:sz w:val="24"/>
          <w:szCs w:val="24"/>
        </w:rPr>
        <w:t>成员二名称：</w:t>
      </w:r>
      <w:r>
        <w:rPr>
          <w:rFonts w:ascii="宋体" w:hAnsi="宋体" w:eastAsia="宋体" w:cs="宋体"/>
          <w:sz w:val="24"/>
          <w:szCs w:val="24"/>
        </w:rPr>
        <w:t xml:space="preserve"> </w:t>
      </w:r>
      <w:r>
        <w:rPr>
          <w:rFonts w:ascii="宋体" w:hAnsi="宋体" w:eastAsia="宋体" w:cs="宋体"/>
          <w:spacing w:val="-12"/>
          <w:sz w:val="24"/>
          <w:szCs w:val="24"/>
        </w:rPr>
        <w:t>法定代表人：</w:t>
      </w:r>
      <w:r>
        <w:rPr>
          <w:rFonts w:ascii="宋体" w:hAnsi="宋体" w:eastAsia="宋体" w:cs="宋体"/>
          <w:sz w:val="24"/>
          <w:szCs w:val="24"/>
        </w:rPr>
        <w:t xml:space="preserve"> </w:t>
      </w:r>
      <w:r>
        <w:rPr>
          <w:rFonts w:ascii="宋体" w:hAnsi="宋体" w:eastAsia="宋体" w:cs="宋体"/>
          <w:spacing w:val="-3"/>
          <w:sz w:val="24"/>
          <w:szCs w:val="24"/>
        </w:rPr>
        <w:t>法定住所：</w:t>
      </w:r>
    </w:p>
    <w:p w14:paraId="6CABFA0C">
      <w:pPr>
        <w:spacing w:before="61" w:line="330" w:lineRule="auto"/>
        <w:ind w:firstLine="422"/>
        <w:jc w:val="both"/>
        <w:rPr>
          <w:rFonts w:ascii="宋体" w:hAnsi="宋体" w:eastAsia="宋体" w:cs="宋体"/>
          <w:sz w:val="24"/>
          <w:szCs w:val="24"/>
        </w:rPr>
      </w:pPr>
      <w:r>
        <w:rPr>
          <w:rFonts w:ascii="宋体" w:hAnsi="宋体" w:eastAsia="宋体" w:cs="宋体"/>
          <w:spacing w:val="1"/>
          <w:sz w:val="24"/>
          <w:szCs w:val="24"/>
        </w:rPr>
        <w:t>上述各成员单位经过友好协商，自愿组成联合体，</w:t>
      </w:r>
      <w:r>
        <w:rPr>
          <w:rFonts w:ascii="宋体" w:hAnsi="宋体" w:eastAsia="宋体" w:cs="宋体"/>
          <w:sz w:val="24"/>
          <w:szCs w:val="24"/>
        </w:rPr>
        <w:t>共同参加（项目名称</w:t>
      </w:r>
      <w:r>
        <w:rPr>
          <w:rFonts w:ascii="宋体" w:hAnsi="宋体" w:eastAsia="宋体" w:cs="宋体"/>
          <w:spacing w:val="-18"/>
          <w:sz w:val="24"/>
          <w:szCs w:val="24"/>
        </w:rPr>
        <w:t>）（</w:t>
      </w:r>
      <w:r>
        <w:rPr>
          <w:rFonts w:ascii="宋体" w:hAnsi="宋体" w:eastAsia="宋体" w:cs="宋体"/>
          <w:sz w:val="24"/>
          <w:szCs w:val="24"/>
        </w:rPr>
        <w:t>以下简</w:t>
      </w:r>
      <w:r>
        <w:rPr>
          <w:rFonts w:ascii="宋体" w:hAnsi="宋体" w:eastAsia="宋体" w:cs="宋体"/>
          <w:spacing w:val="-2"/>
          <w:sz w:val="24"/>
          <w:szCs w:val="24"/>
        </w:rPr>
        <w:t>称“本项目</w:t>
      </w:r>
      <w:r>
        <w:rPr>
          <w:rFonts w:ascii="宋体" w:hAnsi="宋体" w:eastAsia="宋体" w:cs="宋体"/>
          <w:spacing w:val="-88"/>
          <w:sz w:val="24"/>
          <w:szCs w:val="24"/>
        </w:rPr>
        <w:t xml:space="preserve"> </w:t>
      </w:r>
      <w:r>
        <w:rPr>
          <w:rFonts w:ascii="宋体" w:hAnsi="宋体" w:eastAsia="宋体" w:cs="宋体"/>
          <w:spacing w:val="-2"/>
          <w:sz w:val="24"/>
          <w:szCs w:val="24"/>
        </w:rPr>
        <w:t>”）的施工投标并争取赢得本项目施工承包</w:t>
      </w:r>
      <w:r>
        <w:rPr>
          <w:rFonts w:ascii="宋体" w:hAnsi="宋体" w:eastAsia="宋体" w:cs="宋体"/>
          <w:spacing w:val="-3"/>
          <w:sz w:val="24"/>
          <w:szCs w:val="24"/>
        </w:rPr>
        <w:t>合同（以下简称合同）。现就联</w:t>
      </w:r>
      <w:r>
        <w:rPr>
          <w:rFonts w:ascii="宋体" w:hAnsi="宋体" w:eastAsia="宋体" w:cs="宋体"/>
          <w:spacing w:val="-1"/>
          <w:sz w:val="24"/>
          <w:szCs w:val="24"/>
        </w:rPr>
        <w:t>合体投标事宜订立如下协议：</w:t>
      </w:r>
    </w:p>
    <w:p w14:paraId="094B0481">
      <w:pPr>
        <w:spacing w:before="33" w:line="219" w:lineRule="auto"/>
        <w:ind w:left="499"/>
        <w:rPr>
          <w:rFonts w:ascii="宋体" w:hAnsi="宋体" w:eastAsia="宋体" w:cs="宋体"/>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pacing w:val="-28"/>
          <w:sz w:val="24"/>
          <w:szCs w:val="24"/>
        </w:rPr>
        <w:t xml:space="preserve"> </w:t>
      </w:r>
      <w:r>
        <w:rPr>
          <w:rFonts w:ascii="宋体" w:hAnsi="宋体" w:eastAsia="宋体" w:cs="宋体"/>
          <w:spacing w:val="-31"/>
          <w:sz w:val="24"/>
          <w:szCs w:val="24"/>
        </w:rPr>
        <w:t>．（</w:t>
      </w:r>
      <w:r>
        <w:rPr>
          <w:rFonts w:ascii="宋体" w:hAnsi="宋体" w:eastAsia="宋体" w:cs="宋体"/>
          <w:sz w:val="24"/>
          <w:szCs w:val="24"/>
        </w:rPr>
        <w:t>某成员单位名称）为联合体牵头人。</w:t>
      </w:r>
    </w:p>
    <w:p w14:paraId="53CA8F74">
      <w:pPr>
        <w:spacing w:before="156" w:line="309" w:lineRule="auto"/>
        <w:ind w:left="1" w:firstLine="474"/>
        <w:rPr>
          <w:rFonts w:ascii="宋体" w:hAnsi="宋体" w:eastAsia="宋体" w:cs="宋体"/>
          <w:sz w:val="24"/>
          <w:szCs w:val="24"/>
        </w:rPr>
      </w:pPr>
      <w:r>
        <w:rPr>
          <w:rFonts w:ascii="Times New Roman" w:hAnsi="Times New Roman" w:eastAsia="Times New Roman" w:cs="Times New Roman"/>
          <w:spacing w:val="-1"/>
          <w:sz w:val="24"/>
          <w:szCs w:val="24"/>
        </w:rPr>
        <w:t>2</w:t>
      </w:r>
      <w:r>
        <w:rPr>
          <w:rFonts w:ascii="Times New Roman" w:hAnsi="Times New Roman" w:eastAsia="Times New Roman" w:cs="Times New Roman"/>
          <w:spacing w:val="-29"/>
          <w:sz w:val="24"/>
          <w:szCs w:val="24"/>
        </w:rPr>
        <w:t xml:space="preserve"> </w:t>
      </w:r>
      <w:r>
        <w:rPr>
          <w:rFonts w:ascii="宋体" w:hAnsi="宋体" w:eastAsia="宋体" w:cs="宋体"/>
          <w:spacing w:val="-1"/>
          <w:sz w:val="24"/>
          <w:szCs w:val="24"/>
        </w:rPr>
        <w:t>．在本项目投标阶段，联合体牵头人合法代表联合体各成员负责本项目投标</w:t>
      </w:r>
      <w:r>
        <w:rPr>
          <w:rFonts w:ascii="宋体" w:hAnsi="宋体" w:eastAsia="宋体" w:cs="宋体"/>
          <w:spacing w:val="-2"/>
          <w:sz w:val="24"/>
          <w:szCs w:val="24"/>
        </w:rPr>
        <w:t>文件</w:t>
      </w:r>
      <w:r>
        <w:rPr>
          <w:rFonts w:ascii="宋体" w:hAnsi="宋体" w:eastAsia="宋体" w:cs="宋体"/>
          <w:sz w:val="24"/>
          <w:szCs w:val="24"/>
        </w:rPr>
        <w:t xml:space="preserve"> </w:t>
      </w:r>
      <w:r>
        <w:rPr>
          <w:rFonts w:ascii="宋体" w:hAnsi="宋体" w:eastAsia="宋体" w:cs="宋体"/>
          <w:spacing w:val="-2"/>
          <w:sz w:val="24"/>
          <w:szCs w:val="24"/>
        </w:rPr>
        <w:t>编制活动，代表联合体提交和接收相关的资料、信息及指示，并处理与投标和中标有关的一切事务；联合体中标后，联合体牵头人负责合同订立和合同实施阶段的主办、组织和协调工作。</w:t>
      </w:r>
    </w:p>
    <w:p w14:paraId="23B86D07">
      <w:pPr>
        <w:spacing w:before="153" w:line="299" w:lineRule="auto"/>
        <w:ind w:left="2" w:firstLine="478"/>
        <w:rPr>
          <w:rFonts w:ascii="宋体" w:hAnsi="宋体" w:eastAsia="宋体" w:cs="宋体"/>
          <w:sz w:val="24"/>
          <w:szCs w:val="24"/>
        </w:rPr>
      </w:pPr>
      <w:r>
        <w:rPr>
          <w:rFonts w:ascii="Times New Roman" w:hAnsi="Times New Roman" w:eastAsia="Times New Roman" w:cs="Times New Roman"/>
          <w:spacing w:val="-1"/>
          <w:sz w:val="24"/>
          <w:szCs w:val="24"/>
        </w:rPr>
        <w:t>3</w:t>
      </w:r>
      <w:r>
        <w:rPr>
          <w:rFonts w:ascii="Times New Roman" w:hAnsi="Times New Roman" w:eastAsia="Times New Roman" w:cs="Times New Roman"/>
          <w:spacing w:val="-28"/>
          <w:sz w:val="24"/>
          <w:szCs w:val="24"/>
        </w:rPr>
        <w:t xml:space="preserve"> </w:t>
      </w:r>
      <w:r>
        <w:rPr>
          <w:rFonts w:ascii="宋体" w:hAnsi="宋体" w:eastAsia="宋体" w:cs="宋体"/>
          <w:spacing w:val="-1"/>
          <w:sz w:val="24"/>
          <w:szCs w:val="24"/>
        </w:rPr>
        <w:t>．联合体将严格按照招标文件的各项要求，递交投标文件，履行</w:t>
      </w:r>
      <w:r>
        <w:rPr>
          <w:rFonts w:ascii="宋体" w:hAnsi="宋体" w:eastAsia="宋体" w:cs="宋体"/>
          <w:spacing w:val="-2"/>
          <w:sz w:val="24"/>
          <w:szCs w:val="24"/>
        </w:rPr>
        <w:t>投标义务和中标后的合同，共同承担合同规定的一切义务和责任，联合体各成员单位按照内部职责的部</w:t>
      </w:r>
      <w:r>
        <w:rPr>
          <w:rFonts w:ascii="宋体" w:hAnsi="宋体" w:eastAsia="宋体" w:cs="宋体"/>
          <w:spacing w:val="-1"/>
          <w:sz w:val="24"/>
          <w:szCs w:val="24"/>
        </w:rPr>
        <w:t>分，承担各自所负的责任和风险，并向招标人承担连带责任。</w:t>
      </w:r>
    </w:p>
    <w:p w14:paraId="3F2A7BAF">
      <w:pPr>
        <w:spacing w:before="154" w:line="220" w:lineRule="auto"/>
        <w:ind w:left="475"/>
        <w:outlineLvl w:val="2"/>
        <w:rPr>
          <w:rFonts w:ascii="宋体" w:hAnsi="宋体" w:eastAsia="宋体" w:cs="宋体"/>
          <w:sz w:val="24"/>
          <w:szCs w:val="24"/>
        </w:rPr>
      </w:pPr>
      <w:bookmarkStart w:id="188" w:name="_Toc5365"/>
      <w:r>
        <w:rPr>
          <w:rFonts w:ascii="Times New Roman" w:hAnsi="Times New Roman" w:eastAsia="Times New Roman" w:cs="Times New Roman"/>
          <w:spacing w:val="-2"/>
          <w:sz w:val="24"/>
          <w:szCs w:val="24"/>
        </w:rPr>
        <w:t>4</w:t>
      </w:r>
      <w:r>
        <w:rPr>
          <w:rFonts w:ascii="Times New Roman" w:hAnsi="Times New Roman" w:eastAsia="Times New Roman" w:cs="Times New Roman"/>
          <w:spacing w:val="-23"/>
          <w:sz w:val="24"/>
          <w:szCs w:val="24"/>
        </w:rPr>
        <w:t xml:space="preserve"> </w:t>
      </w:r>
      <w:r>
        <w:rPr>
          <w:rFonts w:ascii="宋体" w:hAnsi="宋体" w:eastAsia="宋体" w:cs="宋体"/>
          <w:spacing w:val="-2"/>
          <w:sz w:val="24"/>
          <w:szCs w:val="24"/>
        </w:rPr>
        <w:t>．联合体各成员单位内部的职责分工如下：。</w:t>
      </w:r>
      <w:bookmarkEnd w:id="188"/>
    </w:p>
    <w:p w14:paraId="43328AB1">
      <w:pPr>
        <w:spacing w:before="152" w:line="280" w:lineRule="auto"/>
        <w:ind w:right="71" w:firstLine="483"/>
        <w:rPr>
          <w:rFonts w:ascii="宋体" w:hAnsi="宋体" w:eastAsia="宋体" w:cs="宋体"/>
          <w:sz w:val="24"/>
          <w:szCs w:val="24"/>
        </w:rPr>
      </w:pPr>
      <w:r>
        <w:rPr>
          <w:rFonts w:ascii="Times New Roman" w:hAnsi="Times New Roman" w:eastAsia="Times New Roman" w:cs="Times New Roman"/>
          <w:spacing w:val="-1"/>
          <w:sz w:val="24"/>
          <w:szCs w:val="24"/>
        </w:rPr>
        <w:t>5</w:t>
      </w:r>
      <w:r>
        <w:rPr>
          <w:rFonts w:ascii="Times New Roman" w:hAnsi="Times New Roman" w:eastAsia="Times New Roman" w:cs="Times New Roman"/>
          <w:spacing w:val="-28"/>
          <w:sz w:val="24"/>
          <w:szCs w:val="24"/>
        </w:rPr>
        <w:t xml:space="preserve"> </w:t>
      </w:r>
      <w:r>
        <w:rPr>
          <w:rFonts w:ascii="宋体" w:hAnsi="宋体" w:eastAsia="宋体" w:cs="宋体"/>
          <w:spacing w:val="-1"/>
          <w:sz w:val="24"/>
          <w:szCs w:val="24"/>
        </w:rPr>
        <w:t>．投标工作和联合体在中标后工程实施过程中的有关费用按</w:t>
      </w:r>
      <w:r>
        <w:rPr>
          <w:rFonts w:ascii="宋体" w:hAnsi="宋体" w:eastAsia="宋体" w:cs="宋体"/>
          <w:spacing w:val="-2"/>
          <w:sz w:val="24"/>
          <w:szCs w:val="24"/>
        </w:rPr>
        <w:t>各自承担的工作量分</w:t>
      </w:r>
      <w:r>
        <w:rPr>
          <w:rFonts w:ascii="宋体" w:hAnsi="宋体" w:eastAsia="宋体" w:cs="宋体"/>
          <w:spacing w:val="-5"/>
          <w:sz w:val="24"/>
          <w:szCs w:val="24"/>
        </w:rPr>
        <w:t>摊。</w:t>
      </w:r>
    </w:p>
    <w:p w14:paraId="3247492A">
      <w:pPr>
        <w:spacing w:before="153" w:line="279" w:lineRule="auto"/>
        <w:ind w:left="4" w:right="71" w:firstLine="477"/>
        <w:rPr>
          <w:rFonts w:ascii="宋体" w:hAnsi="宋体" w:eastAsia="宋体" w:cs="宋体"/>
          <w:sz w:val="24"/>
          <w:szCs w:val="24"/>
        </w:rPr>
      </w:pPr>
      <w:r>
        <w:rPr>
          <w:rFonts w:ascii="Times New Roman" w:hAnsi="Times New Roman" w:eastAsia="Times New Roman" w:cs="Times New Roman"/>
          <w:spacing w:val="-1"/>
          <w:sz w:val="24"/>
          <w:szCs w:val="24"/>
        </w:rPr>
        <w:t>6</w:t>
      </w:r>
      <w:r>
        <w:rPr>
          <w:rFonts w:ascii="Times New Roman" w:hAnsi="Times New Roman" w:eastAsia="Times New Roman" w:cs="Times New Roman"/>
          <w:spacing w:val="-28"/>
          <w:sz w:val="24"/>
          <w:szCs w:val="24"/>
        </w:rPr>
        <w:t xml:space="preserve"> </w:t>
      </w:r>
      <w:r>
        <w:rPr>
          <w:rFonts w:ascii="宋体" w:hAnsi="宋体" w:eastAsia="宋体" w:cs="宋体"/>
          <w:spacing w:val="-1"/>
          <w:sz w:val="24"/>
          <w:szCs w:val="24"/>
        </w:rPr>
        <w:t>．联合体中标后，本联合体协议是合同的附件，对联合体各成</w:t>
      </w:r>
      <w:r>
        <w:rPr>
          <w:rFonts w:ascii="宋体" w:hAnsi="宋体" w:eastAsia="宋体" w:cs="宋体"/>
          <w:spacing w:val="-2"/>
          <w:sz w:val="24"/>
          <w:szCs w:val="24"/>
        </w:rPr>
        <w:t>员单位有合同约束</w:t>
      </w:r>
      <w:r>
        <w:rPr>
          <w:rFonts w:ascii="宋体" w:hAnsi="宋体" w:eastAsia="宋体" w:cs="宋体"/>
          <w:spacing w:val="-7"/>
          <w:sz w:val="24"/>
          <w:szCs w:val="24"/>
        </w:rPr>
        <w:t>力。</w:t>
      </w:r>
    </w:p>
    <w:p w14:paraId="73309793">
      <w:pPr>
        <w:spacing w:before="157" w:line="279" w:lineRule="auto"/>
        <w:ind w:left="6" w:right="71" w:firstLine="473"/>
        <w:rPr>
          <w:rFonts w:ascii="宋体" w:hAnsi="宋体" w:eastAsia="宋体" w:cs="宋体"/>
          <w:sz w:val="24"/>
          <w:szCs w:val="24"/>
        </w:rPr>
      </w:pPr>
      <w:r>
        <w:rPr>
          <w:rFonts w:ascii="Times New Roman" w:hAnsi="Times New Roman" w:eastAsia="Times New Roman" w:cs="Times New Roman"/>
          <w:spacing w:val="-1"/>
          <w:sz w:val="24"/>
          <w:szCs w:val="24"/>
        </w:rPr>
        <w:t>7</w:t>
      </w:r>
      <w:r>
        <w:rPr>
          <w:rFonts w:ascii="Times New Roman" w:hAnsi="Times New Roman" w:eastAsia="Times New Roman" w:cs="Times New Roman"/>
          <w:spacing w:val="-28"/>
          <w:sz w:val="24"/>
          <w:szCs w:val="24"/>
        </w:rPr>
        <w:t xml:space="preserve"> </w:t>
      </w:r>
      <w:r>
        <w:rPr>
          <w:rFonts w:ascii="宋体" w:hAnsi="宋体" w:eastAsia="宋体" w:cs="宋体"/>
          <w:spacing w:val="-1"/>
          <w:sz w:val="24"/>
          <w:szCs w:val="24"/>
        </w:rPr>
        <w:t>．本协议书自签署之日起生效，联合体未中标或者中标时合同履行</w:t>
      </w:r>
      <w:r>
        <w:rPr>
          <w:rFonts w:ascii="宋体" w:hAnsi="宋体" w:eastAsia="宋体" w:cs="宋体"/>
          <w:spacing w:val="-2"/>
          <w:sz w:val="24"/>
          <w:szCs w:val="24"/>
        </w:rPr>
        <w:t>完毕后自动失</w:t>
      </w:r>
      <w:r>
        <w:rPr>
          <w:rFonts w:ascii="宋体" w:hAnsi="宋体" w:eastAsia="宋体" w:cs="宋体"/>
          <w:spacing w:val="-8"/>
          <w:sz w:val="24"/>
          <w:szCs w:val="24"/>
        </w:rPr>
        <w:t>效。</w:t>
      </w:r>
    </w:p>
    <w:p w14:paraId="4D93D4A6">
      <w:pPr>
        <w:spacing w:before="152" w:line="219" w:lineRule="auto"/>
        <w:ind w:left="486"/>
        <w:outlineLvl w:val="2"/>
        <w:rPr>
          <w:rFonts w:ascii="宋体" w:hAnsi="宋体" w:eastAsia="宋体" w:cs="宋体"/>
          <w:sz w:val="24"/>
          <w:szCs w:val="24"/>
        </w:rPr>
      </w:pPr>
      <w:bookmarkStart w:id="189" w:name="_Toc26708"/>
      <w:r>
        <w:rPr>
          <w:rFonts w:ascii="Times New Roman" w:hAnsi="Times New Roman" w:eastAsia="Times New Roman" w:cs="Times New Roman"/>
          <w:spacing w:val="-2"/>
          <w:sz w:val="24"/>
          <w:szCs w:val="24"/>
        </w:rPr>
        <w:t>8</w:t>
      </w:r>
      <w:r>
        <w:rPr>
          <w:rFonts w:ascii="Times New Roman" w:hAnsi="Times New Roman" w:eastAsia="Times New Roman" w:cs="Times New Roman"/>
          <w:spacing w:val="-28"/>
          <w:sz w:val="24"/>
          <w:szCs w:val="24"/>
        </w:rPr>
        <w:t xml:space="preserve"> </w:t>
      </w:r>
      <w:r>
        <w:rPr>
          <w:rFonts w:ascii="宋体" w:hAnsi="宋体" w:eastAsia="宋体" w:cs="宋体"/>
          <w:spacing w:val="-2"/>
          <w:sz w:val="24"/>
          <w:szCs w:val="24"/>
        </w:rPr>
        <w:t>．本协议书一式份，联合体成员和招标人各执一份。</w:t>
      </w:r>
      <w:bookmarkEnd w:id="189"/>
    </w:p>
    <w:p w14:paraId="217C663F">
      <w:pPr>
        <w:spacing w:before="78" w:line="360" w:lineRule="auto"/>
        <w:jc w:val="right"/>
        <w:rPr>
          <w:rFonts w:ascii="宋体" w:hAnsi="宋体" w:eastAsia="宋体" w:cs="宋体"/>
          <w:sz w:val="24"/>
          <w:szCs w:val="24"/>
        </w:rPr>
      </w:pPr>
      <w:bookmarkStart w:id="190" w:name="bookmark154"/>
      <w:bookmarkEnd w:id="190"/>
      <w:r>
        <w:rPr>
          <w:rFonts w:ascii="宋体" w:hAnsi="宋体" w:eastAsia="宋体" w:cs="宋体"/>
          <w:sz w:val="24"/>
          <w:szCs w:val="24"/>
        </w:rPr>
        <w:t>牵头人名称</w:t>
      </w:r>
      <w:r>
        <w:rPr>
          <w:rFonts w:ascii="宋体" w:hAnsi="宋体" w:eastAsia="宋体" w:cs="宋体"/>
          <w:spacing w:val="-15"/>
          <w:sz w:val="24"/>
          <w:szCs w:val="24"/>
        </w:rPr>
        <w:t>：（</w:t>
      </w:r>
      <w:r>
        <w:rPr>
          <w:rFonts w:ascii="宋体" w:hAnsi="宋体" w:eastAsia="宋体" w:cs="宋体"/>
          <w:sz w:val="24"/>
          <w:szCs w:val="24"/>
        </w:rPr>
        <w:t>盖单位章）</w:t>
      </w:r>
    </w:p>
    <w:p w14:paraId="66EA9250">
      <w:pPr>
        <w:spacing w:before="78" w:line="360" w:lineRule="auto"/>
        <w:jc w:val="right"/>
        <w:rPr>
          <w:rFonts w:ascii="宋体" w:hAnsi="宋体" w:eastAsia="宋体" w:cs="宋体"/>
          <w:sz w:val="24"/>
          <w:szCs w:val="24"/>
        </w:rPr>
      </w:pPr>
      <w:r>
        <w:rPr>
          <w:rFonts w:ascii="宋体" w:hAnsi="宋体" w:eastAsia="宋体" w:cs="宋体"/>
          <w:sz w:val="24"/>
          <w:szCs w:val="24"/>
        </w:rPr>
        <w:t>法定代表人或其委托代理人</w:t>
      </w:r>
      <w:r>
        <w:rPr>
          <w:rFonts w:ascii="宋体" w:hAnsi="宋体" w:eastAsia="宋体" w:cs="宋体"/>
          <w:spacing w:val="-17"/>
          <w:sz w:val="24"/>
          <w:szCs w:val="24"/>
        </w:rPr>
        <w:t>：（</w:t>
      </w:r>
      <w:r>
        <w:rPr>
          <w:rFonts w:ascii="宋体" w:hAnsi="宋体" w:eastAsia="宋体" w:cs="宋体"/>
          <w:sz w:val="24"/>
          <w:szCs w:val="24"/>
        </w:rPr>
        <w:t>签字或盖章）</w:t>
      </w:r>
    </w:p>
    <w:p w14:paraId="54603CB7">
      <w:pPr>
        <w:spacing w:before="78" w:line="360" w:lineRule="auto"/>
        <w:jc w:val="right"/>
        <w:rPr>
          <w:rFonts w:ascii="宋体" w:hAnsi="宋体" w:eastAsia="宋体" w:cs="宋体"/>
          <w:sz w:val="24"/>
          <w:szCs w:val="24"/>
        </w:rPr>
      </w:pPr>
      <w:r>
        <w:rPr>
          <w:rFonts w:ascii="宋体" w:hAnsi="宋体" w:eastAsia="宋体" w:cs="宋体"/>
          <w:sz w:val="24"/>
          <w:szCs w:val="24"/>
        </w:rPr>
        <w:t>成员二名称</w:t>
      </w:r>
      <w:r>
        <w:rPr>
          <w:rFonts w:ascii="宋体" w:hAnsi="宋体" w:eastAsia="宋体" w:cs="宋体"/>
          <w:spacing w:val="-17"/>
          <w:sz w:val="24"/>
          <w:szCs w:val="24"/>
        </w:rPr>
        <w:t>：（</w:t>
      </w:r>
      <w:r>
        <w:rPr>
          <w:rFonts w:ascii="宋体" w:hAnsi="宋体" w:eastAsia="宋体" w:cs="宋体"/>
          <w:sz w:val="24"/>
          <w:szCs w:val="24"/>
        </w:rPr>
        <w:t>盖单位章）</w:t>
      </w:r>
    </w:p>
    <w:p w14:paraId="5D69AE02">
      <w:pPr>
        <w:spacing w:before="78" w:line="360" w:lineRule="auto"/>
        <w:jc w:val="right"/>
        <w:rPr>
          <w:rFonts w:ascii="宋体" w:hAnsi="宋体" w:eastAsia="宋体" w:cs="宋体"/>
          <w:sz w:val="24"/>
          <w:szCs w:val="24"/>
        </w:rPr>
      </w:pPr>
      <w:r>
        <w:rPr>
          <w:rFonts w:ascii="宋体" w:hAnsi="宋体" w:eastAsia="宋体" w:cs="宋体"/>
          <w:sz w:val="24"/>
          <w:szCs w:val="24"/>
        </w:rPr>
        <w:t>法定代表人或其委托代理人</w:t>
      </w:r>
      <w:r>
        <w:rPr>
          <w:rFonts w:ascii="宋体" w:hAnsi="宋体" w:eastAsia="宋体" w:cs="宋体"/>
          <w:spacing w:val="-17"/>
          <w:sz w:val="24"/>
          <w:szCs w:val="24"/>
        </w:rPr>
        <w:t>：（</w:t>
      </w:r>
      <w:r>
        <w:rPr>
          <w:rFonts w:ascii="宋体" w:hAnsi="宋体" w:eastAsia="宋体" w:cs="宋体"/>
          <w:sz w:val="24"/>
          <w:szCs w:val="24"/>
        </w:rPr>
        <w:t>签字或盖章）</w:t>
      </w:r>
    </w:p>
    <w:p w14:paraId="29C499E6">
      <w:pPr>
        <w:pStyle w:val="3"/>
      </w:pPr>
    </w:p>
    <w:p w14:paraId="749DB761">
      <w:pPr>
        <w:spacing w:before="79" w:line="220" w:lineRule="auto"/>
        <w:ind w:left="5945"/>
        <w:jc w:val="right"/>
      </w:pPr>
      <w:r>
        <w:rPr>
          <w:rFonts w:ascii="宋体" w:hAnsi="宋体" w:eastAsia="宋体" w:cs="宋体"/>
          <w:spacing w:val="-9"/>
          <w:sz w:val="24"/>
          <w:szCs w:val="24"/>
        </w:rPr>
        <w:t>年</w:t>
      </w:r>
      <w:r>
        <w:rPr>
          <w:rFonts w:hint="eastAsia" w:ascii="宋体" w:hAnsi="宋体" w:eastAsia="宋体" w:cs="宋体"/>
          <w:spacing w:val="-9"/>
          <w:sz w:val="24"/>
          <w:szCs w:val="24"/>
          <w:lang w:eastAsia="zh-CN"/>
        </w:rPr>
        <w:t xml:space="preserve"> </w:t>
      </w:r>
      <w:r>
        <w:rPr>
          <w:rFonts w:ascii="宋体" w:hAnsi="宋体" w:eastAsia="宋体" w:cs="宋体"/>
          <w:spacing w:val="7"/>
          <w:sz w:val="24"/>
          <w:szCs w:val="24"/>
        </w:rPr>
        <w:t xml:space="preserve">  </w:t>
      </w:r>
      <w:r>
        <w:rPr>
          <w:rFonts w:ascii="宋体" w:hAnsi="宋体" w:eastAsia="宋体" w:cs="宋体"/>
          <w:spacing w:val="-9"/>
          <w:sz w:val="24"/>
          <w:szCs w:val="24"/>
        </w:rPr>
        <w:t>月</w:t>
      </w:r>
      <w:r>
        <w:rPr>
          <w:rFonts w:ascii="宋体" w:hAnsi="宋体" w:eastAsia="宋体" w:cs="宋体"/>
          <w:spacing w:val="17"/>
          <w:sz w:val="24"/>
          <w:szCs w:val="24"/>
        </w:rPr>
        <w:t xml:space="preserve">   </w:t>
      </w:r>
      <w:r>
        <w:rPr>
          <w:rFonts w:ascii="宋体" w:hAnsi="宋体" w:eastAsia="宋体" w:cs="宋体"/>
          <w:spacing w:val="-9"/>
          <w:sz w:val="24"/>
          <w:szCs w:val="24"/>
        </w:rPr>
        <w:t>日</w:t>
      </w:r>
    </w:p>
    <w:p w14:paraId="1D0FCFC1">
      <w:pPr>
        <w:spacing w:before="65" w:line="228" w:lineRule="auto"/>
        <w:ind w:right="22"/>
        <w:jc w:val="both"/>
        <w:rPr>
          <w:rFonts w:ascii="宋体" w:hAnsi="宋体" w:eastAsia="宋体" w:cs="宋体"/>
          <w:sz w:val="20"/>
          <w:szCs w:val="20"/>
        </w:rPr>
      </w:pPr>
      <w:r>
        <w:rPr>
          <w:rFonts w:ascii="宋体" w:hAnsi="宋体" w:eastAsia="宋体" w:cs="宋体"/>
          <w:spacing w:val="9"/>
          <w:sz w:val="20"/>
          <w:szCs w:val="20"/>
        </w:rPr>
        <w:t>说明：《联合体协议书》</w:t>
      </w:r>
      <w:r>
        <w:rPr>
          <w:rFonts w:ascii="宋体" w:hAnsi="宋体" w:eastAsia="宋体" w:cs="宋体"/>
          <w:spacing w:val="-55"/>
          <w:sz w:val="20"/>
          <w:szCs w:val="20"/>
        </w:rPr>
        <w:t xml:space="preserve"> </w:t>
      </w:r>
      <w:r>
        <w:rPr>
          <w:rFonts w:ascii="宋体" w:hAnsi="宋体" w:eastAsia="宋体" w:cs="宋体"/>
          <w:spacing w:val="9"/>
          <w:sz w:val="20"/>
          <w:szCs w:val="20"/>
        </w:rPr>
        <w:t>由委托代理人签字或盖章的，</w:t>
      </w:r>
      <w:r>
        <w:rPr>
          <w:rFonts w:ascii="宋体" w:hAnsi="宋体" w:eastAsia="宋体" w:cs="宋体"/>
          <w:spacing w:val="8"/>
          <w:sz w:val="20"/>
          <w:szCs w:val="20"/>
        </w:rPr>
        <w:t>应附法定代表人签字或盖章的授权委托</w:t>
      </w:r>
      <w:r>
        <w:rPr>
          <w:rFonts w:ascii="宋体" w:hAnsi="宋体" w:eastAsia="宋体" w:cs="宋体"/>
          <w:spacing w:val="-2"/>
          <w:sz w:val="20"/>
          <w:szCs w:val="20"/>
        </w:rPr>
        <w:t>书。</w:t>
      </w:r>
    </w:p>
    <w:p w14:paraId="7F864597">
      <w:pPr>
        <w:spacing w:line="228" w:lineRule="auto"/>
        <w:rPr>
          <w:rFonts w:ascii="宋体" w:hAnsi="宋体" w:eastAsia="宋体" w:cs="宋体"/>
          <w:sz w:val="20"/>
          <w:szCs w:val="20"/>
        </w:rPr>
        <w:sectPr>
          <w:footerReference r:id="rId21" w:type="default"/>
          <w:pgSz w:w="11906" w:h="16839"/>
          <w:pgMar w:top="720" w:right="720" w:bottom="720" w:left="720" w:header="0" w:footer="1023" w:gutter="0"/>
          <w:cols w:space="720" w:num="1"/>
        </w:sectPr>
      </w:pPr>
    </w:p>
    <w:p w14:paraId="33FA2E10">
      <w:pPr>
        <w:spacing w:before="78" w:line="220" w:lineRule="auto"/>
        <w:outlineLvl w:val="2"/>
        <w:rPr>
          <w:rFonts w:ascii="宋体" w:hAnsi="宋体" w:eastAsia="宋体" w:cs="宋体"/>
          <w:b/>
          <w:bCs/>
          <w:spacing w:val="-4"/>
          <w:sz w:val="24"/>
          <w:szCs w:val="24"/>
        </w:rPr>
      </w:pPr>
      <w:bookmarkStart w:id="191" w:name="_Toc14359"/>
      <w:r>
        <w:rPr>
          <w:rFonts w:ascii="宋体" w:hAnsi="宋体" w:eastAsia="宋体" w:cs="宋体"/>
          <w:b/>
          <w:bCs/>
          <w:spacing w:val="-4"/>
          <w:sz w:val="24"/>
          <w:szCs w:val="24"/>
        </w:rPr>
        <w:t>格式七 投标人基本情况表</w:t>
      </w:r>
      <w:bookmarkEnd w:id="191"/>
    </w:p>
    <w:p w14:paraId="083A6806">
      <w:pPr>
        <w:spacing w:before="333" w:line="219" w:lineRule="auto"/>
        <w:ind w:left="3350"/>
        <w:rPr>
          <w:rFonts w:ascii="宋体" w:hAnsi="宋体" w:eastAsia="宋体" w:cs="宋体"/>
          <w:sz w:val="30"/>
          <w:szCs w:val="30"/>
        </w:rPr>
      </w:pPr>
      <w:r>
        <w:rPr>
          <w:rFonts w:ascii="宋体" w:hAnsi="宋体" w:eastAsia="宋体" w:cs="宋体"/>
          <w:b/>
          <w:bCs/>
          <w:spacing w:val="-5"/>
          <w:sz w:val="30"/>
          <w:szCs w:val="30"/>
        </w:rPr>
        <w:t>投标人基本情况表</w:t>
      </w:r>
    </w:p>
    <w:p w14:paraId="29C8057A">
      <w:pPr>
        <w:spacing w:line="239" w:lineRule="exact"/>
      </w:pPr>
    </w:p>
    <w:tbl>
      <w:tblPr>
        <w:tblStyle w:val="14"/>
        <w:tblW w:w="1037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6"/>
        <w:gridCol w:w="1093"/>
        <w:gridCol w:w="2059"/>
        <w:gridCol w:w="978"/>
        <w:gridCol w:w="349"/>
        <w:gridCol w:w="1169"/>
        <w:gridCol w:w="318"/>
        <w:gridCol w:w="864"/>
        <w:gridCol w:w="1733"/>
      </w:tblGrid>
      <w:tr w14:paraId="0A7BE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816" w:type="dxa"/>
            <w:noWrap w:val="0"/>
            <w:vAlign w:val="top"/>
          </w:tcPr>
          <w:p w14:paraId="7AA99916">
            <w:pPr>
              <w:spacing w:before="149" w:line="229" w:lineRule="auto"/>
              <w:ind w:left="228"/>
              <w:rPr>
                <w:rFonts w:hint="eastAsia" w:ascii="宋体" w:hAnsi="宋体" w:eastAsia="宋体" w:cs="宋体"/>
                <w:sz w:val="24"/>
                <w:szCs w:val="24"/>
              </w:rPr>
            </w:pPr>
            <w:r>
              <w:rPr>
                <w:rFonts w:hint="eastAsia" w:ascii="宋体" w:hAnsi="宋体" w:eastAsia="宋体" w:cs="宋体"/>
                <w:spacing w:val="7"/>
                <w:sz w:val="24"/>
                <w:szCs w:val="24"/>
              </w:rPr>
              <w:t>投标人名称</w:t>
            </w:r>
          </w:p>
        </w:tc>
        <w:tc>
          <w:tcPr>
            <w:tcW w:w="8563" w:type="dxa"/>
            <w:gridSpan w:val="8"/>
            <w:noWrap w:val="0"/>
            <w:vAlign w:val="top"/>
          </w:tcPr>
          <w:p w14:paraId="1B7FF2B7">
            <w:pPr>
              <w:pStyle w:val="20"/>
              <w:rPr>
                <w:rFonts w:hint="eastAsia" w:ascii="宋体" w:hAnsi="宋体" w:eastAsia="宋体" w:cs="宋体"/>
                <w:sz w:val="24"/>
                <w:szCs w:val="24"/>
              </w:rPr>
            </w:pPr>
          </w:p>
        </w:tc>
      </w:tr>
      <w:tr w14:paraId="59DB7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816" w:type="dxa"/>
            <w:noWrap w:val="0"/>
            <w:vAlign w:val="top"/>
          </w:tcPr>
          <w:p w14:paraId="042B4969">
            <w:pPr>
              <w:spacing w:before="144" w:line="230" w:lineRule="auto"/>
              <w:ind w:left="328"/>
              <w:rPr>
                <w:rFonts w:hint="eastAsia" w:ascii="宋体" w:hAnsi="宋体" w:eastAsia="宋体" w:cs="宋体"/>
                <w:sz w:val="24"/>
                <w:szCs w:val="24"/>
              </w:rPr>
            </w:pPr>
            <w:r>
              <w:rPr>
                <w:rFonts w:hint="eastAsia" w:ascii="宋体" w:hAnsi="宋体" w:eastAsia="宋体" w:cs="宋体"/>
                <w:spacing w:val="7"/>
                <w:sz w:val="24"/>
                <w:szCs w:val="24"/>
              </w:rPr>
              <w:t>注册地址</w:t>
            </w:r>
          </w:p>
        </w:tc>
        <w:tc>
          <w:tcPr>
            <w:tcW w:w="4130" w:type="dxa"/>
            <w:gridSpan w:val="3"/>
            <w:noWrap w:val="0"/>
            <w:vAlign w:val="top"/>
          </w:tcPr>
          <w:p w14:paraId="6760BF83">
            <w:pPr>
              <w:pStyle w:val="20"/>
              <w:rPr>
                <w:rFonts w:hint="eastAsia" w:ascii="宋体" w:hAnsi="宋体" w:eastAsia="宋体" w:cs="宋体"/>
                <w:sz w:val="24"/>
                <w:szCs w:val="24"/>
              </w:rPr>
            </w:pPr>
          </w:p>
        </w:tc>
        <w:tc>
          <w:tcPr>
            <w:tcW w:w="1518" w:type="dxa"/>
            <w:gridSpan w:val="2"/>
            <w:noWrap w:val="0"/>
            <w:vAlign w:val="top"/>
          </w:tcPr>
          <w:p w14:paraId="213AAD1B">
            <w:pPr>
              <w:spacing w:before="144" w:line="228" w:lineRule="auto"/>
              <w:ind w:left="226"/>
              <w:rPr>
                <w:rFonts w:hint="eastAsia" w:ascii="宋体" w:hAnsi="宋体" w:eastAsia="宋体" w:cs="宋体"/>
                <w:sz w:val="24"/>
                <w:szCs w:val="24"/>
              </w:rPr>
            </w:pPr>
            <w:r>
              <w:rPr>
                <w:rFonts w:hint="eastAsia" w:ascii="宋体" w:hAnsi="宋体" w:eastAsia="宋体" w:cs="宋体"/>
                <w:spacing w:val="3"/>
                <w:sz w:val="24"/>
                <w:szCs w:val="24"/>
              </w:rPr>
              <w:t>邮政编码</w:t>
            </w:r>
          </w:p>
        </w:tc>
        <w:tc>
          <w:tcPr>
            <w:tcW w:w="2915" w:type="dxa"/>
            <w:gridSpan w:val="3"/>
            <w:noWrap w:val="0"/>
            <w:vAlign w:val="top"/>
          </w:tcPr>
          <w:p w14:paraId="565A3B6C">
            <w:pPr>
              <w:pStyle w:val="20"/>
              <w:rPr>
                <w:rFonts w:hint="eastAsia" w:ascii="宋体" w:hAnsi="宋体" w:eastAsia="宋体" w:cs="宋体"/>
                <w:sz w:val="24"/>
                <w:szCs w:val="24"/>
              </w:rPr>
            </w:pPr>
          </w:p>
        </w:tc>
      </w:tr>
      <w:tr w14:paraId="43080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816" w:type="dxa"/>
            <w:vMerge w:val="restart"/>
            <w:tcBorders>
              <w:bottom w:val="nil"/>
            </w:tcBorders>
            <w:noWrap w:val="0"/>
            <w:vAlign w:val="top"/>
          </w:tcPr>
          <w:p w14:paraId="24D6A37D">
            <w:pPr>
              <w:pStyle w:val="20"/>
              <w:spacing w:line="332" w:lineRule="auto"/>
              <w:rPr>
                <w:rFonts w:hint="eastAsia" w:ascii="宋体" w:hAnsi="宋体" w:eastAsia="宋体" w:cs="宋体"/>
                <w:sz w:val="24"/>
                <w:szCs w:val="24"/>
              </w:rPr>
            </w:pPr>
          </w:p>
          <w:p w14:paraId="0DEA716D">
            <w:pPr>
              <w:spacing w:before="65" w:line="230" w:lineRule="auto"/>
              <w:ind w:left="329"/>
              <w:rPr>
                <w:rFonts w:hint="eastAsia" w:ascii="宋体" w:hAnsi="宋体" w:eastAsia="宋体" w:cs="宋体"/>
                <w:sz w:val="24"/>
                <w:szCs w:val="24"/>
              </w:rPr>
            </w:pPr>
            <w:r>
              <w:rPr>
                <w:rFonts w:hint="eastAsia" w:ascii="宋体" w:hAnsi="宋体" w:eastAsia="宋体" w:cs="宋体"/>
                <w:spacing w:val="7"/>
                <w:sz w:val="24"/>
                <w:szCs w:val="24"/>
              </w:rPr>
              <w:t>联系方式</w:t>
            </w:r>
          </w:p>
        </w:tc>
        <w:tc>
          <w:tcPr>
            <w:tcW w:w="1093" w:type="dxa"/>
            <w:noWrap w:val="0"/>
            <w:vAlign w:val="top"/>
          </w:tcPr>
          <w:p w14:paraId="37FE80BF">
            <w:pPr>
              <w:spacing w:before="145" w:line="231" w:lineRule="auto"/>
              <w:ind w:left="136"/>
              <w:rPr>
                <w:rFonts w:hint="eastAsia" w:ascii="宋体" w:hAnsi="宋体" w:eastAsia="宋体" w:cs="宋体"/>
                <w:sz w:val="24"/>
                <w:szCs w:val="24"/>
              </w:rPr>
            </w:pPr>
            <w:r>
              <w:rPr>
                <w:rFonts w:hint="eastAsia" w:ascii="宋体" w:hAnsi="宋体" w:eastAsia="宋体" w:cs="宋体"/>
                <w:spacing w:val="6"/>
                <w:sz w:val="24"/>
                <w:szCs w:val="24"/>
              </w:rPr>
              <w:t>联系人</w:t>
            </w:r>
          </w:p>
        </w:tc>
        <w:tc>
          <w:tcPr>
            <w:tcW w:w="3037" w:type="dxa"/>
            <w:gridSpan w:val="2"/>
            <w:noWrap w:val="0"/>
            <w:vAlign w:val="top"/>
          </w:tcPr>
          <w:p w14:paraId="6992B443">
            <w:pPr>
              <w:pStyle w:val="20"/>
              <w:rPr>
                <w:rFonts w:hint="eastAsia" w:ascii="宋体" w:hAnsi="宋体" w:eastAsia="宋体" w:cs="宋体"/>
                <w:sz w:val="24"/>
                <w:szCs w:val="24"/>
              </w:rPr>
            </w:pPr>
          </w:p>
        </w:tc>
        <w:tc>
          <w:tcPr>
            <w:tcW w:w="1518" w:type="dxa"/>
            <w:gridSpan w:val="2"/>
            <w:noWrap w:val="0"/>
            <w:vAlign w:val="top"/>
          </w:tcPr>
          <w:p w14:paraId="6F7C0F5D">
            <w:pPr>
              <w:spacing w:before="145" w:line="231" w:lineRule="auto"/>
              <w:ind w:left="338"/>
              <w:rPr>
                <w:rFonts w:hint="eastAsia" w:ascii="宋体" w:hAnsi="宋体" w:eastAsia="宋体" w:cs="宋体"/>
                <w:sz w:val="24"/>
                <w:szCs w:val="24"/>
              </w:rPr>
            </w:pPr>
            <w:r>
              <w:rPr>
                <w:rFonts w:hint="eastAsia" w:ascii="宋体" w:hAnsi="宋体" w:eastAsia="宋体" w:cs="宋体"/>
                <w:spacing w:val="-12"/>
                <w:sz w:val="24"/>
                <w:szCs w:val="24"/>
              </w:rPr>
              <w:t>电</w:t>
            </w:r>
            <w:r>
              <w:rPr>
                <w:rFonts w:hint="eastAsia" w:ascii="宋体" w:hAnsi="宋体" w:eastAsia="宋体" w:cs="宋体"/>
                <w:spacing w:val="9"/>
                <w:sz w:val="24"/>
                <w:szCs w:val="24"/>
              </w:rPr>
              <w:t xml:space="preserve">  </w:t>
            </w:r>
            <w:r>
              <w:rPr>
                <w:rFonts w:hint="eastAsia" w:ascii="宋体" w:hAnsi="宋体" w:eastAsia="宋体" w:cs="宋体"/>
                <w:spacing w:val="-12"/>
                <w:sz w:val="24"/>
                <w:szCs w:val="24"/>
              </w:rPr>
              <w:t>话</w:t>
            </w:r>
          </w:p>
        </w:tc>
        <w:tc>
          <w:tcPr>
            <w:tcW w:w="2915" w:type="dxa"/>
            <w:gridSpan w:val="3"/>
            <w:noWrap w:val="0"/>
            <w:vAlign w:val="top"/>
          </w:tcPr>
          <w:p w14:paraId="03FBBE15">
            <w:pPr>
              <w:pStyle w:val="20"/>
              <w:rPr>
                <w:rFonts w:hint="eastAsia" w:ascii="宋体" w:hAnsi="宋体" w:eastAsia="宋体" w:cs="宋体"/>
                <w:sz w:val="24"/>
                <w:szCs w:val="24"/>
              </w:rPr>
            </w:pPr>
          </w:p>
        </w:tc>
      </w:tr>
      <w:tr w14:paraId="052BAA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816" w:type="dxa"/>
            <w:vMerge w:val="continue"/>
            <w:tcBorders>
              <w:top w:val="nil"/>
            </w:tcBorders>
            <w:noWrap w:val="0"/>
            <w:vAlign w:val="top"/>
          </w:tcPr>
          <w:p w14:paraId="126D4CB2">
            <w:pPr>
              <w:pStyle w:val="20"/>
              <w:rPr>
                <w:rFonts w:hint="eastAsia" w:ascii="宋体" w:hAnsi="宋体" w:eastAsia="宋体" w:cs="宋体"/>
                <w:sz w:val="24"/>
                <w:szCs w:val="24"/>
              </w:rPr>
            </w:pPr>
          </w:p>
        </w:tc>
        <w:tc>
          <w:tcPr>
            <w:tcW w:w="1093" w:type="dxa"/>
            <w:noWrap w:val="0"/>
            <w:vAlign w:val="top"/>
          </w:tcPr>
          <w:p w14:paraId="2BDC1FE2">
            <w:pPr>
              <w:spacing w:before="143" w:line="228" w:lineRule="auto"/>
              <w:ind w:left="134"/>
              <w:rPr>
                <w:rFonts w:hint="eastAsia" w:ascii="宋体" w:hAnsi="宋体" w:eastAsia="宋体" w:cs="宋体"/>
                <w:sz w:val="24"/>
                <w:szCs w:val="24"/>
              </w:rPr>
            </w:pPr>
            <w:r>
              <w:rPr>
                <w:rFonts w:hint="eastAsia" w:ascii="宋体" w:hAnsi="宋体" w:eastAsia="宋体" w:cs="宋体"/>
                <w:spacing w:val="1"/>
                <w:sz w:val="24"/>
                <w:szCs w:val="24"/>
              </w:rPr>
              <w:t>传</w:t>
            </w:r>
            <w:r>
              <w:rPr>
                <w:rFonts w:hint="eastAsia" w:ascii="宋体" w:hAnsi="宋体" w:eastAsia="宋体" w:cs="宋体"/>
                <w:spacing w:val="10"/>
                <w:sz w:val="24"/>
                <w:szCs w:val="24"/>
              </w:rPr>
              <w:t xml:space="preserve">  </w:t>
            </w:r>
            <w:r>
              <w:rPr>
                <w:rFonts w:hint="eastAsia" w:ascii="宋体" w:hAnsi="宋体" w:eastAsia="宋体" w:cs="宋体"/>
                <w:spacing w:val="1"/>
                <w:sz w:val="24"/>
                <w:szCs w:val="24"/>
              </w:rPr>
              <w:t>真</w:t>
            </w:r>
          </w:p>
        </w:tc>
        <w:tc>
          <w:tcPr>
            <w:tcW w:w="3037" w:type="dxa"/>
            <w:gridSpan w:val="2"/>
            <w:noWrap w:val="0"/>
            <w:vAlign w:val="top"/>
          </w:tcPr>
          <w:p w14:paraId="7FA50A9A">
            <w:pPr>
              <w:pStyle w:val="20"/>
              <w:rPr>
                <w:rFonts w:hint="eastAsia" w:ascii="宋体" w:hAnsi="宋体" w:eastAsia="宋体" w:cs="宋体"/>
                <w:sz w:val="24"/>
                <w:szCs w:val="24"/>
              </w:rPr>
            </w:pPr>
          </w:p>
        </w:tc>
        <w:tc>
          <w:tcPr>
            <w:tcW w:w="1518" w:type="dxa"/>
            <w:gridSpan w:val="2"/>
            <w:noWrap w:val="0"/>
            <w:vAlign w:val="top"/>
          </w:tcPr>
          <w:p w14:paraId="7543450C">
            <w:pPr>
              <w:spacing w:before="144" w:line="229" w:lineRule="auto"/>
              <w:ind w:left="235"/>
              <w:rPr>
                <w:rFonts w:hint="eastAsia" w:ascii="宋体" w:hAnsi="宋体" w:eastAsia="宋体" w:cs="宋体"/>
                <w:sz w:val="24"/>
                <w:szCs w:val="24"/>
              </w:rPr>
            </w:pPr>
            <w:r>
              <w:rPr>
                <w:rFonts w:hint="eastAsia" w:ascii="宋体" w:hAnsi="宋体" w:eastAsia="宋体" w:cs="宋体"/>
                <w:spacing w:val="1"/>
                <w:sz w:val="24"/>
                <w:szCs w:val="24"/>
              </w:rPr>
              <w:t>电子邮箱</w:t>
            </w:r>
          </w:p>
        </w:tc>
        <w:tc>
          <w:tcPr>
            <w:tcW w:w="2915" w:type="dxa"/>
            <w:gridSpan w:val="3"/>
            <w:noWrap w:val="0"/>
            <w:vAlign w:val="top"/>
          </w:tcPr>
          <w:p w14:paraId="429D34D0">
            <w:pPr>
              <w:pStyle w:val="20"/>
              <w:rPr>
                <w:rFonts w:hint="eastAsia" w:ascii="宋体" w:hAnsi="宋体" w:eastAsia="宋体" w:cs="宋体"/>
                <w:sz w:val="24"/>
                <w:szCs w:val="24"/>
              </w:rPr>
            </w:pPr>
          </w:p>
        </w:tc>
      </w:tr>
      <w:tr w14:paraId="6D706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816" w:type="dxa"/>
            <w:noWrap w:val="0"/>
            <w:vAlign w:val="top"/>
          </w:tcPr>
          <w:p w14:paraId="496F80F8">
            <w:pPr>
              <w:spacing w:before="145" w:line="229" w:lineRule="auto"/>
              <w:ind w:left="330"/>
              <w:rPr>
                <w:rFonts w:hint="eastAsia" w:ascii="宋体" w:hAnsi="宋体" w:eastAsia="宋体" w:cs="宋体"/>
                <w:sz w:val="24"/>
                <w:szCs w:val="24"/>
              </w:rPr>
            </w:pPr>
            <w:r>
              <w:rPr>
                <w:rFonts w:hint="eastAsia" w:ascii="宋体" w:hAnsi="宋体" w:eastAsia="宋体" w:cs="宋体"/>
                <w:spacing w:val="6"/>
                <w:sz w:val="24"/>
                <w:szCs w:val="24"/>
              </w:rPr>
              <w:t>单位性质</w:t>
            </w:r>
          </w:p>
        </w:tc>
        <w:tc>
          <w:tcPr>
            <w:tcW w:w="8563" w:type="dxa"/>
            <w:gridSpan w:val="8"/>
            <w:noWrap w:val="0"/>
            <w:vAlign w:val="top"/>
          </w:tcPr>
          <w:p w14:paraId="1D9D3138">
            <w:pPr>
              <w:pStyle w:val="20"/>
              <w:rPr>
                <w:rFonts w:hint="eastAsia" w:ascii="宋体" w:hAnsi="宋体" w:eastAsia="宋体" w:cs="宋体"/>
                <w:sz w:val="24"/>
                <w:szCs w:val="24"/>
              </w:rPr>
            </w:pPr>
          </w:p>
        </w:tc>
      </w:tr>
      <w:tr w14:paraId="5C67B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816" w:type="dxa"/>
            <w:noWrap w:val="0"/>
            <w:vAlign w:val="top"/>
          </w:tcPr>
          <w:p w14:paraId="5E76FCB2">
            <w:pPr>
              <w:spacing w:before="144" w:line="228" w:lineRule="auto"/>
              <w:ind w:left="226"/>
              <w:rPr>
                <w:rFonts w:hint="eastAsia" w:ascii="宋体" w:hAnsi="宋体" w:eastAsia="宋体" w:cs="宋体"/>
                <w:sz w:val="24"/>
                <w:szCs w:val="24"/>
              </w:rPr>
            </w:pPr>
            <w:r>
              <w:rPr>
                <w:rFonts w:hint="eastAsia" w:ascii="宋体" w:hAnsi="宋体" w:eastAsia="宋体" w:cs="宋体"/>
                <w:spacing w:val="7"/>
                <w:sz w:val="24"/>
                <w:szCs w:val="24"/>
              </w:rPr>
              <w:t>法定代表人</w:t>
            </w:r>
          </w:p>
        </w:tc>
        <w:tc>
          <w:tcPr>
            <w:tcW w:w="1093" w:type="dxa"/>
            <w:noWrap w:val="0"/>
            <w:vAlign w:val="top"/>
          </w:tcPr>
          <w:p w14:paraId="482A507A">
            <w:pPr>
              <w:spacing w:before="144" w:line="228" w:lineRule="auto"/>
              <w:ind w:left="241"/>
              <w:rPr>
                <w:rFonts w:hint="eastAsia" w:ascii="宋体" w:hAnsi="宋体" w:eastAsia="宋体" w:cs="宋体"/>
                <w:sz w:val="24"/>
                <w:szCs w:val="24"/>
              </w:rPr>
            </w:pPr>
            <w:r>
              <w:rPr>
                <w:rFonts w:hint="eastAsia" w:ascii="宋体" w:hAnsi="宋体" w:eastAsia="宋体" w:cs="宋体"/>
                <w:spacing w:val="4"/>
                <w:sz w:val="24"/>
                <w:szCs w:val="24"/>
              </w:rPr>
              <w:t>姓名</w:t>
            </w:r>
          </w:p>
        </w:tc>
        <w:tc>
          <w:tcPr>
            <w:tcW w:w="2059" w:type="dxa"/>
            <w:noWrap w:val="0"/>
            <w:vAlign w:val="top"/>
          </w:tcPr>
          <w:p w14:paraId="5068A706">
            <w:pPr>
              <w:pStyle w:val="20"/>
              <w:rPr>
                <w:rFonts w:hint="eastAsia" w:ascii="宋体" w:hAnsi="宋体" w:eastAsia="宋体" w:cs="宋体"/>
                <w:sz w:val="24"/>
                <w:szCs w:val="24"/>
              </w:rPr>
            </w:pPr>
          </w:p>
        </w:tc>
        <w:tc>
          <w:tcPr>
            <w:tcW w:w="1327" w:type="dxa"/>
            <w:gridSpan w:val="2"/>
            <w:noWrap w:val="0"/>
            <w:vAlign w:val="top"/>
          </w:tcPr>
          <w:p w14:paraId="2E93184B">
            <w:pPr>
              <w:spacing w:before="144" w:line="228" w:lineRule="auto"/>
              <w:ind w:left="130"/>
              <w:rPr>
                <w:rFonts w:hint="eastAsia" w:ascii="宋体" w:hAnsi="宋体" w:eastAsia="宋体" w:cs="宋体"/>
                <w:sz w:val="24"/>
                <w:szCs w:val="24"/>
              </w:rPr>
            </w:pPr>
            <w:r>
              <w:rPr>
                <w:rFonts w:hint="eastAsia" w:ascii="宋体" w:hAnsi="宋体" w:eastAsia="宋体" w:cs="宋体"/>
                <w:spacing w:val="7"/>
                <w:sz w:val="24"/>
                <w:szCs w:val="24"/>
              </w:rPr>
              <w:t>技术职称</w:t>
            </w:r>
          </w:p>
        </w:tc>
        <w:tc>
          <w:tcPr>
            <w:tcW w:w="1487" w:type="dxa"/>
            <w:gridSpan w:val="2"/>
            <w:noWrap w:val="0"/>
            <w:vAlign w:val="top"/>
          </w:tcPr>
          <w:p w14:paraId="7016A8E7">
            <w:pPr>
              <w:pStyle w:val="20"/>
              <w:rPr>
                <w:rFonts w:hint="eastAsia" w:ascii="宋体" w:hAnsi="宋体" w:eastAsia="宋体" w:cs="宋体"/>
                <w:sz w:val="24"/>
                <w:szCs w:val="24"/>
              </w:rPr>
            </w:pPr>
          </w:p>
        </w:tc>
        <w:tc>
          <w:tcPr>
            <w:tcW w:w="864" w:type="dxa"/>
            <w:noWrap w:val="0"/>
            <w:vAlign w:val="top"/>
          </w:tcPr>
          <w:p w14:paraId="03C28C57">
            <w:pPr>
              <w:spacing w:before="143" w:line="231" w:lineRule="auto"/>
              <w:ind w:left="177"/>
              <w:rPr>
                <w:rFonts w:hint="eastAsia" w:ascii="宋体" w:hAnsi="宋体" w:eastAsia="宋体" w:cs="宋体"/>
                <w:sz w:val="24"/>
                <w:szCs w:val="24"/>
              </w:rPr>
            </w:pPr>
            <w:r>
              <w:rPr>
                <w:rFonts w:hint="eastAsia" w:ascii="宋体" w:hAnsi="宋体" w:eastAsia="宋体" w:cs="宋体"/>
                <w:spacing w:val="-8"/>
                <w:sz w:val="24"/>
                <w:szCs w:val="24"/>
              </w:rPr>
              <w:t>电话</w:t>
            </w:r>
          </w:p>
        </w:tc>
        <w:tc>
          <w:tcPr>
            <w:tcW w:w="1733" w:type="dxa"/>
            <w:noWrap w:val="0"/>
            <w:vAlign w:val="top"/>
          </w:tcPr>
          <w:p w14:paraId="6BF69BA8">
            <w:pPr>
              <w:pStyle w:val="20"/>
              <w:rPr>
                <w:rFonts w:hint="eastAsia" w:ascii="宋体" w:hAnsi="宋体" w:eastAsia="宋体" w:cs="宋体"/>
                <w:sz w:val="24"/>
                <w:szCs w:val="24"/>
              </w:rPr>
            </w:pPr>
          </w:p>
        </w:tc>
      </w:tr>
      <w:tr w14:paraId="05502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816" w:type="dxa"/>
            <w:noWrap w:val="0"/>
            <w:vAlign w:val="top"/>
          </w:tcPr>
          <w:p w14:paraId="064FE02B">
            <w:pPr>
              <w:spacing w:before="145" w:line="230" w:lineRule="auto"/>
              <w:ind w:left="330"/>
              <w:rPr>
                <w:rFonts w:hint="eastAsia" w:ascii="宋体" w:hAnsi="宋体" w:eastAsia="宋体" w:cs="宋体"/>
                <w:sz w:val="24"/>
                <w:szCs w:val="24"/>
              </w:rPr>
            </w:pPr>
            <w:r>
              <w:rPr>
                <w:rFonts w:hint="eastAsia" w:ascii="宋体" w:hAnsi="宋体" w:eastAsia="宋体" w:cs="宋体"/>
                <w:spacing w:val="6"/>
                <w:sz w:val="24"/>
                <w:szCs w:val="24"/>
              </w:rPr>
              <w:t>成立时间</w:t>
            </w:r>
          </w:p>
        </w:tc>
        <w:tc>
          <w:tcPr>
            <w:tcW w:w="3152" w:type="dxa"/>
            <w:gridSpan w:val="2"/>
            <w:noWrap w:val="0"/>
            <w:vAlign w:val="top"/>
          </w:tcPr>
          <w:p w14:paraId="47EEC912">
            <w:pPr>
              <w:pStyle w:val="20"/>
              <w:rPr>
                <w:rFonts w:hint="eastAsia" w:ascii="宋体" w:hAnsi="宋体" w:eastAsia="宋体" w:cs="宋体"/>
                <w:sz w:val="24"/>
                <w:szCs w:val="24"/>
              </w:rPr>
            </w:pPr>
          </w:p>
        </w:tc>
        <w:tc>
          <w:tcPr>
            <w:tcW w:w="5411" w:type="dxa"/>
            <w:gridSpan w:val="6"/>
            <w:noWrap w:val="0"/>
            <w:vAlign w:val="top"/>
          </w:tcPr>
          <w:p w14:paraId="26DD60A6">
            <w:pPr>
              <w:spacing w:before="145" w:line="228" w:lineRule="auto"/>
              <w:ind w:left="1287"/>
              <w:rPr>
                <w:rFonts w:hint="eastAsia" w:ascii="宋体" w:hAnsi="宋体" w:eastAsia="宋体" w:cs="宋体"/>
                <w:sz w:val="24"/>
                <w:szCs w:val="24"/>
              </w:rPr>
            </w:pPr>
            <w:r>
              <w:rPr>
                <w:rFonts w:hint="eastAsia" w:ascii="宋体" w:hAnsi="宋体" w:eastAsia="宋体" w:cs="宋体"/>
                <w:spacing w:val="7"/>
                <w:sz w:val="24"/>
                <w:szCs w:val="24"/>
              </w:rPr>
              <w:t>员工总人数（个</w:t>
            </w:r>
            <w:r>
              <w:rPr>
                <w:rFonts w:hint="eastAsia" w:ascii="宋体" w:hAnsi="宋体" w:eastAsia="宋体" w:cs="宋体"/>
                <w:sz w:val="24"/>
                <w:szCs w:val="24"/>
              </w:rPr>
              <w:t>）：</w:t>
            </w:r>
          </w:p>
        </w:tc>
      </w:tr>
      <w:tr w14:paraId="28548C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816" w:type="dxa"/>
            <w:noWrap w:val="0"/>
            <w:vAlign w:val="top"/>
          </w:tcPr>
          <w:p w14:paraId="657CBACB">
            <w:pPr>
              <w:spacing w:before="61" w:line="262" w:lineRule="auto"/>
              <w:ind w:left="225" w:right="220" w:firstLine="106"/>
              <w:rPr>
                <w:rFonts w:hint="eastAsia" w:ascii="宋体" w:hAnsi="宋体" w:eastAsia="宋体" w:cs="宋体"/>
                <w:sz w:val="24"/>
                <w:szCs w:val="24"/>
              </w:rPr>
            </w:pPr>
            <w:r>
              <w:rPr>
                <w:rFonts w:hint="eastAsia" w:ascii="宋体" w:hAnsi="宋体" w:eastAsia="宋体" w:cs="宋体"/>
                <w:spacing w:val="6"/>
                <w:sz w:val="24"/>
                <w:szCs w:val="24"/>
              </w:rPr>
              <w:t>企业资质</w:t>
            </w:r>
            <w:r>
              <w:rPr>
                <w:rFonts w:hint="eastAsia" w:ascii="宋体" w:hAnsi="宋体" w:eastAsia="宋体" w:cs="宋体"/>
                <w:sz w:val="24"/>
                <w:szCs w:val="24"/>
              </w:rPr>
              <w:t xml:space="preserve">  </w:t>
            </w:r>
            <w:r>
              <w:rPr>
                <w:rFonts w:hint="eastAsia" w:ascii="宋体" w:hAnsi="宋体" w:eastAsia="宋体" w:cs="宋体"/>
                <w:spacing w:val="7"/>
                <w:sz w:val="24"/>
                <w:szCs w:val="24"/>
              </w:rPr>
              <w:t>类型和等级</w:t>
            </w:r>
          </w:p>
        </w:tc>
        <w:tc>
          <w:tcPr>
            <w:tcW w:w="3152" w:type="dxa"/>
            <w:gridSpan w:val="2"/>
            <w:noWrap w:val="0"/>
            <w:vAlign w:val="top"/>
          </w:tcPr>
          <w:p w14:paraId="0581D4C7">
            <w:pPr>
              <w:pStyle w:val="20"/>
              <w:rPr>
                <w:rFonts w:hint="eastAsia" w:ascii="宋体" w:hAnsi="宋体" w:eastAsia="宋体" w:cs="宋体"/>
                <w:sz w:val="24"/>
                <w:szCs w:val="24"/>
              </w:rPr>
            </w:pPr>
          </w:p>
        </w:tc>
        <w:tc>
          <w:tcPr>
            <w:tcW w:w="1327" w:type="dxa"/>
            <w:gridSpan w:val="2"/>
            <w:vMerge w:val="restart"/>
            <w:tcBorders>
              <w:bottom w:val="nil"/>
            </w:tcBorders>
            <w:noWrap w:val="0"/>
            <w:vAlign w:val="top"/>
          </w:tcPr>
          <w:p w14:paraId="5E33B8BD">
            <w:pPr>
              <w:pStyle w:val="20"/>
              <w:spacing w:line="254" w:lineRule="auto"/>
              <w:rPr>
                <w:rFonts w:hint="eastAsia" w:ascii="宋体" w:hAnsi="宋体" w:eastAsia="宋体" w:cs="宋体"/>
                <w:sz w:val="24"/>
                <w:szCs w:val="24"/>
              </w:rPr>
            </w:pPr>
          </w:p>
          <w:p w14:paraId="0BE66C21">
            <w:pPr>
              <w:pStyle w:val="20"/>
              <w:spacing w:line="254" w:lineRule="auto"/>
              <w:rPr>
                <w:rFonts w:hint="eastAsia" w:ascii="宋体" w:hAnsi="宋体" w:eastAsia="宋体" w:cs="宋体"/>
                <w:sz w:val="24"/>
                <w:szCs w:val="24"/>
              </w:rPr>
            </w:pPr>
          </w:p>
          <w:p w14:paraId="324D8266">
            <w:pPr>
              <w:pStyle w:val="20"/>
              <w:spacing w:line="254" w:lineRule="auto"/>
              <w:rPr>
                <w:rFonts w:hint="eastAsia" w:ascii="宋体" w:hAnsi="宋体" w:eastAsia="宋体" w:cs="宋体"/>
                <w:sz w:val="24"/>
                <w:szCs w:val="24"/>
              </w:rPr>
            </w:pPr>
          </w:p>
          <w:p w14:paraId="6A7D3F17">
            <w:pPr>
              <w:pStyle w:val="20"/>
              <w:spacing w:line="254" w:lineRule="auto"/>
              <w:rPr>
                <w:rFonts w:hint="eastAsia" w:ascii="宋体" w:hAnsi="宋体" w:eastAsia="宋体" w:cs="宋体"/>
                <w:sz w:val="24"/>
                <w:szCs w:val="24"/>
              </w:rPr>
            </w:pPr>
          </w:p>
          <w:p w14:paraId="66E05BC8">
            <w:pPr>
              <w:pStyle w:val="20"/>
              <w:spacing w:line="255" w:lineRule="auto"/>
              <w:rPr>
                <w:rFonts w:hint="eastAsia" w:ascii="宋体" w:hAnsi="宋体" w:eastAsia="宋体" w:cs="宋体"/>
                <w:sz w:val="24"/>
                <w:szCs w:val="24"/>
              </w:rPr>
            </w:pPr>
          </w:p>
          <w:p w14:paraId="108193A2">
            <w:pPr>
              <w:spacing w:before="65" w:line="229" w:lineRule="auto"/>
              <w:ind w:left="341"/>
              <w:rPr>
                <w:rFonts w:hint="eastAsia" w:ascii="宋体" w:hAnsi="宋体" w:eastAsia="宋体" w:cs="宋体"/>
                <w:sz w:val="24"/>
                <w:szCs w:val="24"/>
              </w:rPr>
            </w:pPr>
            <w:r>
              <w:rPr>
                <w:rFonts w:hint="eastAsia" w:ascii="宋体" w:hAnsi="宋体" w:eastAsia="宋体" w:cs="宋体"/>
                <w:spacing w:val="4"/>
                <w:sz w:val="24"/>
                <w:szCs w:val="24"/>
              </w:rPr>
              <w:t>其中</w:t>
            </w:r>
          </w:p>
        </w:tc>
        <w:tc>
          <w:tcPr>
            <w:tcW w:w="2351" w:type="dxa"/>
            <w:gridSpan w:val="3"/>
            <w:noWrap w:val="0"/>
            <w:vAlign w:val="top"/>
          </w:tcPr>
          <w:p w14:paraId="61E13286">
            <w:pPr>
              <w:spacing w:before="214" w:line="229" w:lineRule="auto"/>
              <w:ind w:left="554"/>
              <w:rPr>
                <w:rFonts w:hint="eastAsia" w:ascii="宋体" w:hAnsi="宋体" w:eastAsia="宋体" w:cs="宋体"/>
                <w:sz w:val="24"/>
                <w:szCs w:val="24"/>
              </w:rPr>
            </w:pPr>
            <w:r>
              <w:rPr>
                <w:rFonts w:hint="eastAsia" w:ascii="宋体" w:hAnsi="宋体" w:eastAsia="宋体" w:cs="宋体"/>
                <w:spacing w:val="6"/>
                <w:sz w:val="24"/>
                <w:szCs w:val="24"/>
              </w:rPr>
              <w:t>项目经理</w:t>
            </w:r>
          </w:p>
        </w:tc>
        <w:tc>
          <w:tcPr>
            <w:tcW w:w="1733" w:type="dxa"/>
            <w:noWrap w:val="0"/>
            <w:vAlign w:val="top"/>
          </w:tcPr>
          <w:p w14:paraId="320709DC">
            <w:pPr>
              <w:pStyle w:val="20"/>
              <w:rPr>
                <w:rFonts w:hint="eastAsia" w:ascii="宋体" w:hAnsi="宋体" w:eastAsia="宋体" w:cs="宋体"/>
                <w:sz w:val="24"/>
                <w:szCs w:val="24"/>
              </w:rPr>
            </w:pPr>
          </w:p>
        </w:tc>
      </w:tr>
      <w:tr w14:paraId="6C56C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816" w:type="dxa"/>
            <w:noWrap w:val="0"/>
            <w:vAlign w:val="top"/>
          </w:tcPr>
          <w:p w14:paraId="4363B8A4">
            <w:pPr>
              <w:spacing w:before="146" w:line="228" w:lineRule="auto"/>
              <w:ind w:left="232"/>
              <w:rPr>
                <w:rFonts w:hint="eastAsia" w:ascii="宋体" w:hAnsi="宋体" w:eastAsia="宋体" w:cs="宋体"/>
                <w:sz w:val="24"/>
                <w:szCs w:val="24"/>
              </w:rPr>
            </w:pPr>
            <w:r>
              <w:rPr>
                <w:rFonts w:hint="eastAsia" w:ascii="宋体" w:hAnsi="宋体" w:eastAsia="宋体" w:cs="宋体"/>
                <w:spacing w:val="6"/>
                <w:sz w:val="24"/>
                <w:szCs w:val="24"/>
              </w:rPr>
              <w:t>营业执照号</w:t>
            </w:r>
          </w:p>
        </w:tc>
        <w:tc>
          <w:tcPr>
            <w:tcW w:w="3152" w:type="dxa"/>
            <w:gridSpan w:val="2"/>
            <w:noWrap w:val="0"/>
            <w:vAlign w:val="top"/>
          </w:tcPr>
          <w:p w14:paraId="1D114644">
            <w:pPr>
              <w:pStyle w:val="20"/>
              <w:rPr>
                <w:rFonts w:hint="eastAsia" w:ascii="宋体" w:hAnsi="宋体" w:eastAsia="宋体" w:cs="宋体"/>
                <w:sz w:val="24"/>
                <w:szCs w:val="24"/>
              </w:rPr>
            </w:pPr>
          </w:p>
        </w:tc>
        <w:tc>
          <w:tcPr>
            <w:tcW w:w="1327" w:type="dxa"/>
            <w:gridSpan w:val="2"/>
            <w:vMerge w:val="continue"/>
            <w:tcBorders>
              <w:top w:val="nil"/>
              <w:bottom w:val="nil"/>
            </w:tcBorders>
            <w:noWrap w:val="0"/>
            <w:vAlign w:val="top"/>
          </w:tcPr>
          <w:p w14:paraId="45EB986A">
            <w:pPr>
              <w:pStyle w:val="20"/>
              <w:rPr>
                <w:rFonts w:hint="eastAsia" w:ascii="宋体" w:hAnsi="宋体" w:eastAsia="宋体" w:cs="宋体"/>
                <w:sz w:val="24"/>
                <w:szCs w:val="24"/>
              </w:rPr>
            </w:pPr>
          </w:p>
        </w:tc>
        <w:tc>
          <w:tcPr>
            <w:tcW w:w="2351" w:type="dxa"/>
            <w:gridSpan w:val="3"/>
            <w:noWrap w:val="0"/>
            <w:vAlign w:val="top"/>
          </w:tcPr>
          <w:p w14:paraId="484E01F0">
            <w:pPr>
              <w:spacing w:before="146" w:line="228" w:lineRule="auto"/>
              <w:ind w:left="345"/>
              <w:rPr>
                <w:rFonts w:hint="eastAsia" w:ascii="宋体" w:hAnsi="宋体" w:eastAsia="宋体" w:cs="宋体"/>
                <w:sz w:val="24"/>
                <w:szCs w:val="24"/>
              </w:rPr>
            </w:pPr>
            <w:r>
              <w:rPr>
                <w:rFonts w:hint="eastAsia" w:ascii="宋体" w:hAnsi="宋体" w:eastAsia="宋体" w:cs="宋体"/>
                <w:spacing w:val="7"/>
                <w:sz w:val="24"/>
                <w:szCs w:val="24"/>
              </w:rPr>
              <w:t>高级职称人员</w:t>
            </w:r>
          </w:p>
        </w:tc>
        <w:tc>
          <w:tcPr>
            <w:tcW w:w="1733" w:type="dxa"/>
            <w:noWrap w:val="0"/>
            <w:vAlign w:val="top"/>
          </w:tcPr>
          <w:p w14:paraId="0AC7B04B">
            <w:pPr>
              <w:pStyle w:val="20"/>
              <w:rPr>
                <w:rFonts w:hint="eastAsia" w:ascii="宋体" w:hAnsi="宋体" w:eastAsia="宋体" w:cs="宋体"/>
                <w:sz w:val="24"/>
                <w:szCs w:val="24"/>
              </w:rPr>
            </w:pPr>
          </w:p>
        </w:tc>
      </w:tr>
      <w:tr w14:paraId="34AF2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816" w:type="dxa"/>
            <w:noWrap w:val="0"/>
            <w:vAlign w:val="top"/>
          </w:tcPr>
          <w:p w14:paraId="07404E79">
            <w:pPr>
              <w:spacing w:before="146" w:line="230" w:lineRule="auto"/>
              <w:ind w:left="328"/>
              <w:rPr>
                <w:rFonts w:hint="eastAsia" w:ascii="宋体" w:hAnsi="宋体" w:eastAsia="宋体" w:cs="宋体"/>
                <w:sz w:val="24"/>
                <w:szCs w:val="24"/>
              </w:rPr>
            </w:pPr>
            <w:r>
              <w:rPr>
                <w:rFonts w:hint="eastAsia" w:ascii="宋体" w:hAnsi="宋体" w:eastAsia="宋体" w:cs="宋体"/>
                <w:spacing w:val="7"/>
                <w:sz w:val="24"/>
                <w:szCs w:val="24"/>
              </w:rPr>
              <w:t>注册资金</w:t>
            </w:r>
          </w:p>
        </w:tc>
        <w:tc>
          <w:tcPr>
            <w:tcW w:w="3152" w:type="dxa"/>
            <w:gridSpan w:val="2"/>
            <w:noWrap w:val="0"/>
            <w:vAlign w:val="top"/>
          </w:tcPr>
          <w:p w14:paraId="79C7F7EF">
            <w:pPr>
              <w:pStyle w:val="20"/>
              <w:rPr>
                <w:rFonts w:hint="eastAsia" w:ascii="宋体" w:hAnsi="宋体" w:eastAsia="宋体" w:cs="宋体"/>
                <w:sz w:val="24"/>
                <w:szCs w:val="24"/>
              </w:rPr>
            </w:pPr>
          </w:p>
        </w:tc>
        <w:tc>
          <w:tcPr>
            <w:tcW w:w="1327" w:type="dxa"/>
            <w:gridSpan w:val="2"/>
            <w:vMerge w:val="continue"/>
            <w:tcBorders>
              <w:top w:val="nil"/>
              <w:bottom w:val="nil"/>
            </w:tcBorders>
            <w:noWrap w:val="0"/>
            <w:vAlign w:val="top"/>
          </w:tcPr>
          <w:p w14:paraId="3DB5DFE1">
            <w:pPr>
              <w:pStyle w:val="20"/>
              <w:rPr>
                <w:rFonts w:hint="eastAsia" w:ascii="宋体" w:hAnsi="宋体" w:eastAsia="宋体" w:cs="宋体"/>
                <w:sz w:val="24"/>
                <w:szCs w:val="24"/>
              </w:rPr>
            </w:pPr>
          </w:p>
        </w:tc>
        <w:tc>
          <w:tcPr>
            <w:tcW w:w="2351" w:type="dxa"/>
            <w:gridSpan w:val="3"/>
            <w:noWrap w:val="0"/>
            <w:vAlign w:val="top"/>
          </w:tcPr>
          <w:p w14:paraId="12CA1203">
            <w:pPr>
              <w:spacing w:before="147" w:line="229" w:lineRule="auto"/>
              <w:ind w:left="359"/>
              <w:rPr>
                <w:rFonts w:hint="eastAsia" w:ascii="宋体" w:hAnsi="宋体" w:eastAsia="宋体" w:cs="宋体"/>
                <w:sz w:val="24"/>
                <w:szCs w:val="24"/>
              </w:rPr>
            </w:pPr>
            <w:r>
              <w:rPr>
                <w:rFonts w:hint="eastAsia" w:ascii="宋体" w:hAnsi="宋体" w:eastAsia="宋体" w:cs="宋体"/>
                <w:spacing w:val="4"/>
                <w:sz w:val="24"/>
                <w:szCs w:val="24"/>
              </w:rPr>
              <w:t>中级职称人员</w:t>
            </w:r>
          </w:p>
        </w:tc>
        <w:tc>
          <w:tcPr>
            <w:tcW w:w="1733" w:type="dxa"/>
            <w:noWrap w:val="0"/>
            <w:vAlign w:val="top"/>
          </w:tcPr>
          <w:p w14:paraId="0670F2DB">
            <w:pPr>
              <w:pStyle w:val="20"/>
              <w:rPr>
                <w:rFonts w:hint="eastAsia" w:ascii="宋体" w:hAnsi="宋体" w:eastAsia="宋体" w:cs="宋体"/>
                <w:sz w:val="24"/>
                <w:szCs w:val="24"/>
              </w:rPr>
            </w:pPr>
          </w:p>
        </w:tc>
      </w:tr>
      <w:tr w14:paraId="7F328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816" w:type="dxa"/>
            <w:noWrap w:val="0"/>
            <w:vAlign w:val="top"/>
          </w:tcPr>
          <w:p w14:paraId="1E74B3D6">
            <w:pPr>
              <w:spacing w:before="62" w:line="241" w:lineRule="auto"/>
              <w:ind w:left="328" w:right="325"/>
              <w:rPr>
                <w:rFonts w:hint="eastAsia" w:ascii="宋体" w:hAnsi="宋体" w:eastAsia="宋体" w:cs="宋体"/>
                <w:sz w:val="24"/>
                <w:szCs w:val="24"/>
              </w:rPr>
            </w:pPr>
            <w:r>
              <w:rPr>
                <w:rFonts w:hint="eastAsia" w:ascii="宋体" w:hAnsi="宋体" w:eastAsia="宋体" w:cs="宋体"/>
                <w:spacing w:val="7"/>
                <w:sz w:val="24"/>
                <w:szCs w:val="24"/>
              </w:rPr>
              <w:t>基本账户</w:t>
            </w:r>
            <w:r>
              <w:rPr>
                <w:rFonts w:hint="eastAsia" w:ascii="宋体" w:hAnsi="宋体" w:eastAsia="宋体" w:cs="宋体"/>
                <w:sz w:val="24"/>
                <w:szCs w:val="24"/>
              </w:rPr>
              <w:t xml:space="preserve"> </w:t>
            </w:r>
            <w:r>
              <w:rPr>
                <w:rFonts w:hint="eastAsia" w:ascii="宋体" w:hAnsi="宋体" w:eastAsia="宋体" w:cs="宋体"/>
                <w:spacing w:val="7"/>
                <w:sz w:val="24"/>
                <w:szCs w:val="24"/>
              </w:rPr>
              <w:t>开户银行</w:t>
            </w:r>
          </w:p>
        </w:tc>
        <w:tc>
          <w:tcPr>
            <w:tcW w:w="3152" w:type="dxa"/>
            <w:gridSpan w:val="2"/>
            <w:noWrap w:val="0"/>
            <w:vAlign w:val="top"/>
          </w:tcPr>
          <w:p w14:paraId="07FD794B">
            <w:pPr>
              <w:pStyle w:val="20"/>
              <w:rPr>
                <w:rFonts w:hint="eastAsia" w:ascii="宋体" w:hAnsi="宋体" w:eastAsia="宋体" w:cs="宋体"/>
                <w:sz w:val="24"/>
                <w:szCs w:val="24"/>
              </w:rPr>
            </w:pPr>
          </w:p>
        </w:tc>
        <w:tc>
          <w:tcPr>
            <w:tcW w:w="1327" w:type="dxa"/>
            <w:gridSpan w:val="2"/>
            <w:vMerge w:val="continue"/>
            <w:tcBorders>
              <w:top w:val="nil"/>
              <w:bottom w:val="nil"/>
            </w:tcBorders>
            <w:noWrap w:val="0"/>
            <w:vAlign w:val="top"/>
          </w:tcPr>
          <w:p w14:paraId="70A4B91B">
            <w:pPr>
              <w:pStyle w:val="20"/>
              <w:rPr>
                <w:rFonts w:hint="eastAsia" w:ascii="宋体" w:hAnsi="宋体" w:eastAsia="宋体" w:cs="宋体"/>
                <w:sz w:val="24"/>
                <w:szCs w:val="24"/>
              </w:rPr>
            </w:pPr>
          </w:p>
        </w:tc>
        <w:tc>
          <w:tcPr>
            <w:tcW w:w="2351" w:type="dxa"/>
            <w:gridSpan w:val="3"/>
            <w:noWrap w:val="0"/>
            <w:vAlign w:val="top"/>
          </w:tcPr>
          <w:p w14:paraId="25821008">
            <w:pPr>
              <w:spacing w:before="191" w:line="230" w:lineRule="auto"/>
              <w:ind w:left="338"/>
              <w:rPr>
                <w:rFonts w:hint="eastAsia" w:ascii="宋体" w:hAnsi="宋体" w:eastAsia="宋体" w:cs="宋体"/>
                <w:sz w:val="24"/>
                <w:szCs w:val="24"/>
              </w:rPr>
            </w:pPr>
            <w:r>
              <w:rPr>
                <w:rFonts w:hint="eastAsia" w:ascii="宋体" w:hAnsi="宋体" w:eastAsia="宋体" w:cs="宋体"/>
                <w:spacing w:val="8"/>
                <w:sz w:val="24"/>
                <w:szCs w:val="24"/>
              </w:rPr>
              <w:t>初级职称人员</w:t>
            </w:r>
          </w:p>
        </w:tc>
        <w:tc>
          <w:tcPr>
            <w:tcW w:w="1733" w:type="dxa"/>
            <w:noWrap w:val="0"/>
            <w:vAlign w:val="top"/>
          </w:tcPr>
          <w:p w14:paraId="3235D639">
            <w:pPr>
              <w:pStyle w:val="20"/>
              <w:rPr>
                <w:rFonts w:hint="eastAsia" w:ascii="宋体" w:hAnsi="宋体" w:eastAsia="宋体" w:cs="宋体"/>
                <w:sz w:val="24"/>
                <w:szCs w:val="24"/>
              </w:rPr>
            </w:pPr>
          </w:p>
        </w:tc>
      </w:tr>
      <w:tr w14:paraId="068FF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816" w:type="dxa"/>
            <w:noWrap w:val="0"/>
            <w:vAlign w:val="top"/>
          </w:tcPr>
          <w:p w14:paraId="45EB2511">
            <w:pPr>
              <w:spacing w:before="62" w:line="259" w:lineRule="auto"/>
              <w:ind w:left="328" w:right="325"/>
              <w:rPr>
                <w:rFonts w:hint="eastAsia" w:ascii="宋体" w:hAnsi="宋体" w:eastAsia="宋体" w:cs="宋体"/>
                <w:sz w:val="24"/>
                <w:szCs w:val="24"/>
              </w:rPr>
            </w:pPr>
            <w:r>
              <w:rPr>
                <w:rFonts w:hint="eastAsia" w:ascii="宋体" w:hAnsi="宋体" w:eastAsia="宋体" w:cs="宋体"/>
                <w:spacing w:val="7"/>
                <w:sz w:val="24"/>
                <w:szCs w:val="24"/>
              </w:rPr>
              <w:t>基本账户</w:t>
            </w:r>
            <w:r>
              <w:rPr>
                <w:rFonts w:hint="eastAsia" w:ascii="宋体" w:hAnsi="宋体" w:eastAsia="宋体" w:cs="宋体"/>
                <w:sz w:val="24"/>
                <w:szCs w:val="24"/>
              </w:rPr>
              <w:t xml:space="preserve"> </w:t>
            </w:r>
            <w:r>
              <w:rPr>
                <w:rFonts w:hint="eastAsia" w:ascii="宋体" w:hAnsi="宋体" w:eastAsia="宋体" w:cs="宋体"/>
                <w:spacing w:val="7"/>
                <w:sz w:val="24"/>
                <w:szCs w:val="24"/>
              </w:rPr>
              <w:t>银行账号</w:t>
            </w:r>
          </w:p>
        </w:tc>
        <w:tc>
          <w:tcPr>
            <w:tcW w:w="3152" w:type="dxa"/>
            <w:gridSpan w:val="2"/>
            <w:noWrap w:val="0"/>
            <w:vAlign w:val="top"/>
          </w:tcPr>
          <w:p w14:paraId="07E9ECE4">
            <w:pPr>
              <w:pStyle w:val="20"/>
              <w:rPr>
                <w:rFonts w:hint="eastAsia" w:ascii="宋体" w:hAnsi="宋体" w:eastAsia="宋体" w:cs="宋体"/>
                <w:sz w:val="24"/>
                <w:szCs w:val="24"/>
              </w:rPr>
            </w:pPr>
          </w:p>
        </w:tc>
        <w:tc>
          <w:tcPr>
            <w:tcW w:w="1327" w:type="dxa"/>
            <w:gridSpan w:val="2"/>
            <w:vMerge w:val="continue"/>
            <w:tcBorders>
              <w:top w:val="nil"/>
            </w:tcBorders>
            <w:noWrap w:val="0"/>
            <w:vAlign w:val="top"/>
          </w:tcPr>
          <w:p w14:paraId="25B22F49">
            <w:pPr>
              <w:pStyle w:val="20"/>
              <w:rPr>
                <w:rFonts w:hint="eastAsia" w:ascii="宋体" w:hAnsi="宋体" w:eastAsia="宋体" w:cs="宋体"/>
                <w:sz w:val="24"/>
                <w:szCs w:val="24"/>
              </w:rPr>
            </w:pPr>
          </w:p>
        </w:tc>
        <w:tc>
          <w:tcPr>
            <w:tcW w:w="2351" w:type="dxa"/>
            <w:gridSpan w:val="3"/>
            <w:noWrap w:val="0"/>
            <w:vAlign w:val="top"/>
          </w:tcPr>
          <w:p w14:paraId="2E24F5FF">
            <w:pPr>
              <w:spacing w:before="211" w:line="228" w:lineRule="auto"/>
              <w:ind w:left="657"/>
              <w:rPr>
                <w:rFonts w:hint="eastAsia" w:ascii="宋体" w:hAnsi="宋体" w:eastAsia="宋体" w:cs="宋体"/>
                <w:sz w:val="24"/>
                <w:szCs w:val="24"/>
              </w:rPr>
            </w:pPr>
            <w:r>
              <w:rPr>
                <w:rFonts w:hint="eastAsia" w:ascii="宋体" w:hAnsi="宋体" w:eastAsia="宋体" w:cs="宋体"/>
                <w:spacing w:val="6"/>
                <w:sz w:val="24"/>
                <w:szCs w:val="24"/>
              </w:rPr>
              <w:t>技术员</w:t>
            </w:r>
          </w:p>
        </w:tc>
        <w:tc>
          <w:tcPr>
            <w:tcW w:w="1733" w:type="dxa"/>
            <w:noWrap w:val="0"/>
            <w:vAlign w:val="top"/>
          </w:tcPr>
          <w:p w14:paraId="7E40DABF">
            <w:pPr>
              <w:pStyle w:val="20"/>
              <w:rPr>
                <w:rFonts w:hint="eastAsia" w:ascii="宋体" w:hAnsi="宋体" w:eastAsia="宋体" w:cs="宋体"/>
                <w:sz w:val="24"/>
                <w:szCs w:val="24"/>
              </w:rPr>
            </w:pPr>
          </w:p>
        </w:tc>
      </w:tr>
      <w:tr w14:paraId="45F94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816" w:type="dxa"/>
            <w:noWrap w:val="0"/>
            <w:vAlign w:val="top"/>
          </w:tcPr>
          <w:p w14:paraId="03E9181F">
            <w:pPr>
              <w:spacing w:before="65" w:line="229" w:lineRule="auto"/>
              <w:ind w:left="330"/>
              <w:rPr>
                <w:rFonts w:hint="eastAsia" w:ascii="宋体" w:hAnsi="宋体" w:eastAsia="宋体" w:cs="宋体"/>
                <w:sz w:val="24"/>
                <w:szCs w:val="24"/>
              </w:rPr>
            </w:pPr>
            <w:r>
              <w:rPr>
                <w:rFonts w:hint="eastAsia" w:ascii="宋体" w:hAnsi="宋体" w:eastAsia="宋体" w:cs="宋体"/>
                <w:spacing w:val="6"/>
                <w:sz w:val="24"/>
                <w:szCs w:val="24"/>
              </w:rPr>
              <w:t>经营范围</w:t>
            </w:r>
          </w:p>
        </w:tc>
        <w:tc>
          <w:tcPr>
            <w:tcW w:w="8563" w:type="dxa"/>
            <w:gridSpan w:val="8"/>
            <w:noWrap w:val="0"/>
            <w:vAlign w:val="top"/>
          </w:tcPr>
          <w:p w14:paraId="7AE3C07A">
            <w:pPr>
              <w:pStyle w:val="20"/>
              <w:rPr>
                <w:rFonts w:hint="eastAsia" w:ascii="宋体" w:hAnsi="宋体" w:eastAsia="宋体" w:cs="宋体"/>
                <w:sz w:val="24"/>
                <w:szCs w:val="24"/>
              </w:rPr>
            </w:pPr>
          </w:p>
        </w:tc>
      </w:tr>
      <w:tr w14:paraId="5C29D0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816" w:type="dxa"/>
            <w:noWrap w:val="0"/>
            <w:vAlign w:val="top"/>
          </w:tcPr>
          <w:p w14:paraId="013520FE">
            <w:pPr>
              <w:pStyle w:val="20"/>
              <w:spacing w:line="295" w:lineRule="auto"/>
              <w:rPr>
                <w:rFonts w:hint="eastAsia" w:ascii="宋体" w:hAnsi="宋体" w:eastAsia="宋体" w:cs="宋体"/>
                <w:sz w:val="24"/>
                <w:szCs w:val="24"/>
              </w:rPr>
            </w:pPr>
          </w:p>
          <w:p w14:paraId="295B5838">
            <w:pPr>
              <w:pStyle w:val="20"/>
              <w:spacing w:line="296" w:lineRule="auto"/>
              <w:rPr>
                <w:rFonts w:hint="eastAsia" w:ascii="宋体" w:hAnsi="宋体" w:eastAsia="宋体" w:cs="宋体"/>
                <w:sz w:val="24"/>
                <w:szCs w:val="24"/>
              </w:rPr>
            </w:pPr>
          </w:p>
          <w:p w14:paraId="50A40593">
            <w:pPr>
              <w:spacing w:before="65" w:line="229" w:lineRule="auto"/>
              <w:ind w:left="123"/>
              <w:rPr>
                <w:rFonts w:hint="eastAsia" w:ascii="宋体" w:hAnsi="宋体" w:eastAsia="宋体" w:cs="宋体"/>
                <w:sz w:val="24"/>
                <w:szCs w:val="24"/>
              </w:rPr>
            </w:pPr>
            <w:r>
              <w:rPr>
                <w:rFonts w:hint="eastAsia" w:ascii="宋体" w:hAnsi="宋体" w:eastAsia="宋体" w:cs="宋体"/>
                <w:spacing w:val="7"/>
                <w:sz w:val="24"/>
                <w:szCs w:val="24"/>
              </w:rPr>
              <w:t>关联企业情况</w:t>
            </w:r>
          </w:p>
        </w:tc>
        <w:tc>
          <w:tcPr>
            <w:tcW w:w="8563" w:type="dxa"/>
            <w:gridSpan w:val="8"/>
            <w:noWrap w:val="0"/>
            <w:vAlign w:val="top"/>
          </w:tcPr>
          <w:p w14:paraId="6D45EA18">
            <w:pPr>
              <w:spacing w:before="168" w:line="228" w:lineRule="auto"/>
              <w:ind w:left="111"/>
              <w:rPr>
                <w:rFonts w:hint="eastAsia" w:ascii="宋体" w:hAnsi="宋体" w:eastAsia="宋体" w:cs="宋体"/>
                <w:sz w:val="24"/>
                <w:szCs w:val="24"/>
              </w:rPr>
            </w:pPr>
            <w:r>
              <w:rPr>
                <w:rFonts w:hint="eastAsia" w:ascii="宋体" w:hAnsi="宋体" w:eastAsia="宋体" w:cs="宋体"/>
                <w:spacing w:val="9"/>
                <w:sz w:val="24"/>
                <w:szCs w:val="24"/>
              </w:rPr>
              <w:t>包括但不限于与投标人存在以下关系的不同单位：</w:t>
            </w:r>
          </w:p>
          <w:p w14:paraId="747FA397">
            <w:pPr>
              <w:spacing w:before="81" w:line="228" w:lineRule="auto"/>
              <w:ind w:left="128"/>
              <w:rPr>
                <w:rFonts w:hint="eastAsia" w:ascii="宋体" w:hAnsi="宋体" w:eastAsia="宋体" w:cs="宋体"/>
                <w:sz w:val="24"/>
                <w:szCs w:val="24"/>
              </w:rPr>
            </w:pPr>
            <w:r>
              <w:rPr>
                <w:rFonts w:hint="eastAsia" w:ascii="宋体" w:hAnsi="宋体" w:eastAsia="宋体" w:cs="宋体"/>
                <w:spacing w:val="4"/>
                <w:sz w:val="24"/>
                <w:szCs w:val="24"/>
              </w:rPr>
              <w:t>1</w:t>
            </w:r>
            <w:r>
              <w:rPr>
                <w:rFonts w:hint="eastAsia" w:ascii="宋体" w:hAnsi="宋体" w:eastAsia="宋体" w:cs="宋体"/>
                <w:spacing w:val="-13"/>
                <w:sz w:val="24"/>
                <w:szCs w:val="24"/>
              </w:rPr>
              <w:t xml:space="preserve"> </w:t>
            </w:r>
            <w:r>
              <w:rPr>
                <w:rFonts w:hint="eastAsia" w:ascii="宋体" w:hAnsi="宋体" w:eastAsia="宋体" w:cs="宋体"/>
                <w:spacing w:val="4"/>
                <w:sz w:val="24"/>
                <w:szCs w:val="24"/>
              </w:rPr>
              <w:t>．法定代表人为同一人的。</w:t>
            </w:r>
          </w:p>
          <w:p w14:paraId="0F7437E3">
            <w:pPr>
              <w:spacing w:before="81" w:line="228" w:lineRule="auto"/>
              <w:ind w:left="107"/>
              <w:rPr>
                <w:rFonts w:hint="eastAsia" w:ascii="宋体" w:hAnsi="宋体" w:eastAsia="宋体" w:cs="宋体"/>
                <w:sz w:val="24"/>
                <w:szCs w:val="24"/>
              </w:rPr>
            </w:pPr>
            <w:r>
              <w:rPr>
                <w:rFonts w:hint="eastAsia" w:ascii="宋体" w:hAnsi="宋体" w:eastAsia="宋体" w:cs="宋体"/>
                <w:spacing w:val="6"/>
                <w:sz w:val="24"/>
                <w:szCs w:val="24"/>
              </w:rPr>
              <w:t>2</w:t>
            </w:r>
            <w:r>
              <w:rPr>
                <w:rFonts w:hint="eastAsia" w:ascii="宋体" w:hAnsi="宋体" w:eastAsia="宋体" w:cs="宋体"/>
                <w:spacing w:val="-19"/>
                <w:sz w:val="24"/>
                <w:szCs w:val="24"/>
              </w:rPr>
              <w:t xml:space="preserve"> </w:t>
            </w:r>
            <w:r>
              <w:rPr>
                <w:rFonts w:hint="eastAsia" w:ascii="宋体" w:hAnsi="宋体" w:eastAsia="宋体" w:cs="宋体"/>
                <w:spacing w:val="6"/>
                <w:sz w:val="24"/>
                <w:szCs w:val="24"/>
              </w:rPr>
              <w:t>．存在控股、管理关系的。</w:t>
            </w:r>
          </w:p>
          <w:p w14:paraId="0BDDC179">
            <w:pPr>
              <w:spacing w:before="81" w:line="228" w:lineRule="auto"/>
              <w:ind w:left="112"/>
              <w:rPr>
                <w:rFonts w:hint="eastAsia" w:ascii="宋体" w:hAnsi="宋体" w:eastAsia="宋体" w:cs="宋体"/>
                <w:sz w:val="24"/>
                <w:szCs w:val="24"/>
              </w:rPr>
            </w:pPr>
            <w:r>
              <w:rPr>
                <w:rFonts w:hint="eastAsia" w:ascii="宋体" w:hAnsi="宋体" w:eastAsia="宋体" w:cs="宋体"/>
                <w:spacing w:val="5"/>
                <w:sz w:val="24"/>
                <w:szCs w:val="24"/>
              </w:rPr>
              <w:t>3</w:t>
            </w:r>
            <w:r>
              <w:rPr>
                <w:rFonts w:hint="eastAsia" w:ascii="宋体" w:hAnsi="宋体" w:eastAsia="宋体" w:cs="宋体"/>
                <w:spacing w:val="-17"/>
                <w:sz w:val="24"/>
                <w:szCs w:val="24"/>
              </w:rPr>
              <w:t xml:space="preserve"> </w:t>
            </w:r>
            <w:r>
              <w:rPr>
                <w:rFonts w:hint="eastAsia" w:ascii="宋体" w:hAnsi="宋体" w:eastAsia="宋体" w:cs="宋体"/>
                <w:spacing w:val="5"/>
                <w:sz w:val="24"/>
                <w:szCs w:val="24"/>
              </w:rPr>
              <w:t>．主要人员相互任职的。</w:t>
            </w:r>
          </w:p>
        </w:tc>
      </w:tr>
      <w:tr w14:paraId="0BD41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816" w:type="dxa"/>
            <w:noWrap w:val="0"/>
            <w:vAlign w:val="top"/>
          </w:tcPr>
          <w:p w14:paraId="590C2C54">
            <w:pPr>
              <w:spacing w:before="235" w:line="230" w:lineRule="auto"/>
              <w:ind w:left="542"/>
              <w:rPr>
                <w:rFonts w:hint="eastAsia" w:ascii="宋体" w:hAnsi="宋体" w:eastAsia="宋体" w:cs="宋体"/>
                <w:sz w:val="24"/>
                <w:szCs w:val="24"/>
              </w:rPr>
            </w:pPr>
            <w:r>
              <w:rPr>
                <w:rFonts w:hint="eastAsia" w:ascii="宋体" w:hAnsi="宋体" w:eastAsia="宋体" w:cs="宋体"/>
                <w:spacing w:val="3"/>
                <w:sz w:val="24"/>
                <w:szCs w:val="24"/>
              </w:rPr>
              <w:t>备注</w:t>
            </w:r>
          </w:p>
        </w:tc>
        <w:tc>
          <w:tcPr>
            <w:tcW w:w="8563" w:type="dxa"/>
            <w:gridSpan w:val="8"/>
            <w:noWrap w:val="0"/>
            <w:vAlign w:val="top"/>
          </w:tcPr>
          <w:p w14:paraId="357FB0BF">
            <w:pPr>
              <w:pStyle w:val="20"/>
              <w:rPr>
                <w:rFonts w:hint="eastAsia" w:ascii="宋体" w:hAnsi="宋体" w:eastAsia="宋体" w:cs="宋体"/>
                <w:sz w:val="24"/>
                <w:szCs w:val="24"/>
              </w:rPr>
            </w:pPr>
          </w:p>
        </w:tc>
      </w:tr>
    </w:tbl>
    <w:p w14:paraId="38D0EC9E">
      <w:pPr>
        <w:spacing w:before="140" w:line="228" w:lineRule="auto"/>
        <w:rPr>
          <w:rFonts w:hint="eastAsia" w:ascii="宋体" w:hAnsi="宋体" w:eastAsia="宋体" w:cs="宋体"/>
          <w:sz w:val="24"/>
          <w:szCs w:val="24"/>
        </w:rPr>
      </w:pPr>
      <w:r>
        <w:rPr>
          <w:rFonts w:hint="eastAsia" w:ascii="宋体" w:hAnsi="宋体" w:eastAsia="宋体" w:cs="宋体"/>
          <w:spacing w:val="2"/>
          <w:sz w:val="24"/>
          <w:szCs w:val="24"/>
        </w:rPr>
        <w:t>说明：</w:t>
      </w:r>
    </w:p>
    <w:p w14:paraId="6C3CA866">
      <w:pPr>
        <w:spacing w:before="81" w:line="228" w:lineRule="auto"/>
        <w:outlineLvl w:val="2"/>
        <w:rPr>
          <w:rFonts w:hint="eastAsia" w:ascii="宋体" w:hAnsi="宋体" w:eastAsia="宋体" w:cs="宋体"/>
          <w:spacing w:val="4"/>
          <w:sz w:val="24"/>
          <w:szCs w:val="24"/>
        </w:rPr>
      </w:pPr>
      <w:bookmarkStart w:id="192" w:name="_Toc14048"/>
      <w:r>
        <w:rPr>
          <w:rFonts w:hint="eastAsia" w:ascii="宋体" w:hAnsi="宋体" w:eastAsia="宋体" w:cs="宋体"/>
          <w:spacing w:val="4"/>
          <w:sz w:val="24"/>
          <w:szCs w:val="24"/>
        </w:rPr>
        <w:t>1 ．《投标人基本情况表》后应附以下资料：</w:t>
      </w:r>
      <w:bookmarkEnd w:id="192"/>
    </w:p>
    <w:p w14:paraId="4787A42E">
      <w:pPr>
        <w:keepNext w:val="0"/>
        <w:keepLines w:val="0"/>
        <w:pageBreakBefore w:val="0"/>
        <w:widowControl/>
        <w:kinsoku w:val="0"/>
        <w:wordWrap w:val="0"/>
        <w:overflowPunct/>
        <w:topLinePunct w:val="0"/>
        <w:autoSpaceDE w:val="0"/>
        <w:autoSpaceDN w:val="0"/>
        <w:bidi w:val="0"/>
        <w:adjustRightInd w:val="0"/>
        <w:snapToGrid w:val="0"/>
        <w:spacing w:before="153" w:line="228" w:lineRule="auto"/>
        <w:textAlignment w:val="baseline"/>
        <w:rPr>
          <w:rFonts w:hint="eastAsia" w:ascii="宋体" w:hAnsi="宋体" w:eastAsia="宋体" w:cs="宋体"/>
          <w:spacing w:val="6"/>
          <w:sz w:val="24"/>
          <w:szCs w:val="24"/>
        </w:rPr>
      </w:pPr>
      <w:r>
        <w:rPr>
          <w:rFonts w:hint="eastAsia" w:ascii="宋体" w:hAnsi="宋体" w:eastAsia="宋体" w:cs="宋体"/>
          <w:spacing w:val="4"/>
          <w:sz w:val="24"/>
          <w:szCs w:val="24"/>
          <w:lang w:eastAsia="zh-CN"/>
        </w:rPr>
        <w:t>（1）</w:t>
      </w:r>
      <w:r>
        <w:rPr>
          <w:rFonts w:hint="eastAsia" w:ascii="宋体" w:hAnsi="宋体" w:eastAsia="宋体" w:cs="宋体"/>
          <w:spacing w:val="4"/>
          <w:sz w:val="24"/>
          <w:szCs w:val="24"/>
        </w:rPr>
        <w:t>企业营业执照</w:t>
      </w:r>
      <w:r>
        <w:rPr>
          <w:rFonts w:hint="eastAsia" w:ascii="宋体" w:hAnsi="宋体" w:eastAsia="宋体" w:cs="宋体"/>
          <w:spacing w:val="4"/>
          <w:sz w:val="24"/>
          <w:szCs w:val="24"/>
          <w:lang w:eastAsia="zh-CN"/>
        </w:rPr>
        <w:t>、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w:t>
      </w:r>
      <w:r>
        <w:rPr>
          <w:rFonts w:hint="eastAsia" w:ascii="宋体" w:hAnsi="宋体" w:eastAsia="宋体" w:cs="宋体"/>
          <w:spacing w:val="4"/>
          <w:sz w:val="24"/>
          <w:szCs w:val="24"/>
        </w:rPr>
        <w:t>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w:t>
      </w:r>
      <w:r>
        <w:rPr>
          <w:rFonts w:hint="eastAsia" w:ascii="宋体" w:hAnsi="宋体" w:eastAsia="宋体" w:cs="宋体"/>
          <w:spacing w:val="6"/>
          <w:sz w:val="24"/>
          <w:szCs w:val="24"/>
        </w:rPr>
        <w:t>产许可证发生被暂扣情形，需双方另行协商）；</w:t>
      </w:r>
    </w:p>
    <w:p w14:paraId="0EEA88F9">
      <w:pPr>
        <w:spacing w:before="153" w:line="228" w:lineRule="auto"/>
        <w:rPr>
          <w:rFonts w:hint="eastAsia" w:ascii="宋体" w:hAnsi="宋体" w:eastAsia="宋体" w:cs="宋体"/>
          <w:sz w:val="24"/>
          <w:szCs w:val="24"/>
        </w:rPr>
      </w:pPr>
      <w:r>
        <w:rPr>
          <w:rFonts w:hint="eastAsia" w:ascii="宋体" w:hAnsi="宋体" w:eastAsia="宋体" w:cs="宋体"/>
          <w:spacing w:val="9"/>
          <w:sz w:val="24"/>
          <w:szCs w:val="24"/>
          <w:lang w:eastAsia="zh-CN"/>
        </w:rPr>
        <w:t>（2）</w:t>
      </w:r>
      <w:r>
        <w:rPr>
          <w:rFonts w:hint="eastAsia" w:ascii="宋体" w:hAnsi="宋体" w:eastAsia="宋体" w:cs="宋体"/>
          <w:spacing w:val="9"/>
          <w:sz w:val="24"/>
          <w:szCs w:val="24"/>
        </w:rPr>
        <w:t>“进粤企业和人员诚信信息登记平台</w:t>
      </w:r>
      <w:r>
        <w:rPr>
          <w:rFonts w:hint="eastAsia" w:ascii="宋体" w:hAnsi="宋体" w:eastAsia="宋体" w:cs="宋体"/>
          <w:spacing w:val="-72"/>
          <w:sz w:val="24"/>
          <w:szCs w:val="24"/>
        </w:rPr>
        <w:t xml:space="preserve"> </w:t>
      </w:r>
      <w:r>
        <w:rPr>
          <w:rFonts w:hint="eastAsia" w:ascii="宋体" w:hAnsi="宋体" w:eastAsia="宋体" w:cs="宋体"/>
          <w:spacing w:val="8"/>
          <w:sz w:val="24"/>
          <w:szCs w:val="24"/>
        </w:rPr>
        <w:t>”企业信息情况打印页。（适用于省外建筑企业）</w:t>
      </w:r>
    </w:p>
    <w:p w14:paraId="7582FF82">
      <w:pPr>
        <w:spacing w:before="153" w:line="227" w:lineRule="auto"/>
        <w:jc w:val="both"/>
        <w:rPr>
          <w:rFonts w:hint="eastAsia" w:ascii="宋体" w:hAnsi="宋体" w:eastAsia="宋体" w:cs="宋体"/>
          <w:sz w:val="24"/>
          <w:szCs w:val="24"/>
        </w:rPr>
      </w:pPr>
      <w:r>
        <w:rPr>
          <w:rFonts w:hint="eastAsia" w:ascii="宋体" w:hAnsi="宋体" w:eastAsia="宋体" w:cs="宋体"/>
          <w:spacing w:val="8"/>
          <w:sz w:val="24"/>
          <w:szCs w:val="24"/>
          <w:lang w:eastAsia="zh-CN"/>
        </w:rPr>
        <w:t>（3）</w:t>
      </w:r>
      <w:r>
        <w:rPr>
          <w:rFonts w:hint="eastAsia" w:ascii="宋体" w:hAnsi="宋体" w:eastAsia="宋体" w:cs="宋体"/>
          <w:spacing w:val="8"/>
          <w:sz w:val="24"/>
          <w:szCs w:val="24"/>
        </w:rPr>
        <w:t>《法人和非法人组织公共信用信息报告》（在“信用中国</w:t>
      </w:r>
      <w:r>
        <w:rPr>
          <w:rFonts w:hint="eastAsia" w:ascii="宋体" w:hAnsi="宋体" w:eastAsia="宋体" w:cs="宋体"/>
          <w:spacing w:val="-70"/>
          <w:sz w:val="24"/>
          <w:szCs w:val="24"/>
        </w:rPr>
        <w:t xml:space="preserve"> </w:t>
      </w:r>
      <w:r>
        <w:rPr>
          <w:rFonts w:hint="eastAsia" w:ascii="宋体" w:hAnsi="宋体" w:eastAsia="宋体" w:cs="宋体"/>
          <w:spacing w:val="8"/>
          <w:sz w:val="24"/>
          <w:szCs w:val="24"/>
        </w:rPr>
        <w:t>”网站企业查询界面</w:t>
      </w:r>
      <w:r>
        <w:rPr>
          <w:rFonts w:hint="eastAsia" w:ascii="宋体" w:hAnsi="宋体" w:eastAsia="宋体" w:cs="宋体"/>
          <w:spacing w:val="7"/>
          <w:sz w:val="24"/>
          <w:szCs w:val="24"/>
        </w:rPr>
        <w:t>中下载）。</w:t>
      </w:r>
    </w:p>
    <w:p w14:paraId="1276BEF4">
      <w:pPr>
        <w:spacing w:before="81" w:line="228" w:lineRule="auto"/>
        <w:rPr>
          <w:rFonts w:hint="eastAsia" w:ascii="宋体" w:hAnsi="宋体" w:eastAsia="宋体" w:cs="宋体"/>
          <w:spacing w:val="4"/>
          <w:sz w:val="24"/>
          <w:szCs w:val="24"/>
        </w:rPr>
      </w:pPr>
      <w:r>
        <w:rPr>
          <w:rFonts w:hint="eastAsia" w:ascii="宋体" w:hAnsi="宋体" w:eastAsia="宋体" w:cs="宋体"/>
          <w:spacing w:val="9"/>
          <w:sz w:val="24"/>
          <w:szCs w:val="24"/>
        </w:rPr>
        <w:t>2</w:t>
      </w:r>
      <w:r>
        <w:rPr>
          <w:rFonts w:hint="eastAsia" w:ascii="宋体" w:hAnsi="宋体" w:eastAsia="宋体" w:cs="宋体"/>
          <w:spacing w:val="-21"/>
          <w:sz w:val="24"/>
          <w:szCs w:val="24"/>
        </w:rPr>
        <w:t xml:space="preserve"> </w:t>
      </w:r>
      <w:r>
        <w:rPr>
          <w:rFonts w:hint="eastAsia" w:ascii="宋体" w:hAnsi="宋体" w:eastAsia="宋体" w:cs="宋体"/>
          <w:spacing w:val="9"/>
          <w:sz w:val="24"/>
          <w:szCs w:val="24"/>
        </w:rPr>
        <w:t>．联合体投标的，联合体成员单位均应填写《投标人基本情况</w:t>
      </w:r>
      <w:r>
        <w:rPr>
          <w:rFonts w:hint="eastAsia" w:ascii="宋体" w:hAnsi="宋体" w:eastAsia="宋体" w:cs="宋体"/>
          <w:spacing w:val="8"/>
          <w:sz w:val="24"/>
          <w:szCs w:val="24"/>
        </w:rPr>
        <w:t>表》并提供以上所需资料。</w:t>
      </w:r>
    </w:p>
    <w:p w14:paraId="4D03729C">
      <w:pPr>
        <w:spacing w:before="81" w:line="228" w:lineRule="auto"/>
        <w:ind w:left="128" w:firstLine="208" w:firstLineChars="100"/>
        <w:rPr>
          <w:rFonts w:ascii="宋体" w:hAnsi="宋体" w:eastAsia="宋体" w:cs="宋体"/>
          <w:spacing w:val="4"/>
          <w:sz w:val="20"/>
          <w:szCs w:val="20"/>
        </w:rPr>
      </w:pPr>
    </w:p>
    <w:p w14:paraId="7D50B87C">
      <w:pPr>
        <w:spacing w:before="78" w:line="220" w:lineRule="auto"/>
        <w:outlineLvl w:val="2"/>
        <w:rPr>
          <w:rFonts w:ascii="宋体" w:hAnsi="宋体" w:eastAsia="宋体" w:cs="宋体"/>
          <w:b/>
          <w:bCs/>
          <w:spacing w:val="-4"/>
          <w:sz w:val="24"/>
          <w:szCs w:val="24"/>
        </w:rPr>
      </w:pPr>
      <w:bookmarkStart w:id="193" w:name="_Toc19772"/>
      <w:r>
        <w:rPr>
          <w:rFonts w:ascii="宋体" w:hAnsi="宋体" w:eastAsia="宋体" w:cs="宋体"/>
          <w:b/>
          <w:bCs/>
          <w:spacing w:val="-4"/>
          <w:sz w:val="24"/>
          <w:szCs w:val="24"/>
        </w:rPr>
        <w:t>格式八 项目经理简历表</w:t>
      </w:r>
      <w:bookmarkEnd w:id="193"/>
    </w:p>
    <w:p w14:paraId="06D45E94">
      <w:pPr>
        <w:pStyle w:val="5"/>
        <w:spacing w:line="444" w:lineRule="auto"/>
      </w:pPr>
    </w:p>
    <w:p w14:paraId="133DD2F4">
      <w:pPr>
        <w:spacing w:before="97" w:line="219" w:lineRule="auto"/>
        <w:ind w:left="3538"/>
        <w:outlineLvl w:val="1"/>
        <w:rPr>
          <w:rFonts w:ascii="宋体" w:hAnsi="宋体" w:eastAsia="宋体" w:cs="宋体"/>
          <w:sz w:val="30"/>
          <w:szCs w:val="30"/>
        </w:rPr>
      </w:pPr>
      <w:bookmarkStart w:id="194" w:name="bookmark156"/>
      <w:bookmarkEnd w:id="194"/>
      <w:bookmarkStart w:id="195" w:name="bookmark89"/>
      <w:bookmarkEnd w:id="195"/>
      <w:bookmarkStart w:id="196" w:name="_Toc31533"/>
      <w:r>
        <w:rPr>
          <w:rFonts w:ascii="宋体" w:hAnsi="宋体" w:eastAsia="宋体" w:cs="宋体"/>
          <w:b/>
          <w:bCs/>
          <w:spacing w:val="-5"/>
          <w:sz w:val="30"/>
          <w:szCs w:val="30"/>
        </w:rPr>
        <w:t>项目经理简历表</w:t>
      </w:r>
      <w:bookmarkEnd w:id="196"/>
    </w:p>
    <w:p w14:paraId="62D02C3D">
      <w:pPr>
        <w:spacing w:line="240" w:lineRule="exact"/>
      </w:pPr>
    </w:p>
    <w:tbl>
      <w:tblPr>
        <w:tblStyle w:val="14"/>
        <w:tblW w:w="105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0"/>
        <w:gridCol w:w="1099"/>
        <w:gridCol w:w="668"/>
        <w:gridCol w:w="740"/>
        <w:gridCol w:w="1477"/>
        <w:gridCol w:w="2244"/>
        <w:gridCol w:w="1957"/>
        <w:gridCol w:w="1521"/>
      </w:tblGrid>
      <w:tr w14:paraId="4C733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989" w:type="dxa"/>
            <w:gridSpan w:val="2"/>
            <w:noWrap w:val="0"/>
            <w:vAlign w:val="top"/>
          </w:tcPr>
          <w:p w14:paraId="755EFB3F">
            <w:pPr>
              <w:spacing w:before="177" w:line="228" w:lineRule="auto"/>
              <w:ind w:left="508"/>
              <w:rPr>
                <w:rFonts w:hint="eastAsia" w:ascii="宋体" w:hAnsi="宋体" w:eastAsia="宋体" w:cs="宋体"/>
                <w:sz w:val="24"/>
                <w:szCs w:val="24"/>
              </w:rPr>
            </w:pPr>
            <w:r>
              <w:rPr>
                <w:rFonts w:hint="eastAsia" w:ascii="宋体" w:hAnsi="宋体" w:eastAsia="宋体" w:cs="宋体"/>
                <w:sz w:val="24"/>
                <w:szCs w:val="24"/>
              </w:rPr>
              <w:t>姓</w:t>
            </w:r>
            <w:r>
              <w:rPr>
                <w:rFonts w:hint="eastAsia" w:ascii="宋体" w:hAnsi="宋体" w:eastAsia="宋体" w:cs="宋体"/>
                <w:spacing w:val="9"/>
                <w:sz w:val="24"/>
                <w:szCs w:val="24"/>
              </w:rPr>
              <w:t xml:space="preserve">   </w:t>
            </w:r>
            <w:r>
              <w:rPr>
                <w:rFonts w:hint="eastAsia" w:ascii="宋体" w:hAnsi="宋体" w:eastAsia="宋体" w:cs="宋体"/>
                <w:sz w:val="24"/>
                <w:szCs w:val="24"/>
              </w:rPr>
              <w:t>名</w:t>
            </w:r>
          </w:p>
        </w:tc>
        <w:tc>
          <w:tcPr>
            <w:tcW w:w="1408" w:type="dxa"/>
            <w:gridSpan w:val="2"/>
            <w:noWrap w:val="0"/>
            <w:vAlign w:val="top"/>
          </w:tcPr>
          <w:p w14:paraId="67AB5FD9">
            <w:pPr>
              <w:pStyle w:val="20"/>
              <w:rPr>
                <w:rFonts w:hint="eastAsia" w:ascii="宋体" w:hAnsi="宋体" w:eastAsia="宋体" w:cs="宋体"/>
                <w:sz w:val="24"/>
                <w:szCs w:val="24"/>
              </w:rPr>
            </w:pPr>
          </w:p>
        </w:tc>
        <w:tc>
          <w:tcPr>
            <w:tcW w:w="1477" w:type="dxa"/>
            <w:noWrap w:val="0"/>
            <w:vAlign w:val="top"/>
          </w:tcPr>
          <w:p w14:paraId="58BA090D">
            <w:pPr>
              <w:spacing w:before="177" w:line="229" w:lineRule="auto"/>
              <w:ind w:left="336"/>
              <w:rPr>
                <w:rFonts w:hint="eastAsia" w:ascii="宋体" w:hAnsi="宋体" w:eastAsia="宋体" w:cs="宋体"/>
                <w:sz w:val="24"/>
                <w:szCs w:val="24"/>
              </w:rPr>
            </w:pPr>
            <w:r>
              <w:rPr>
                <w:rFonts w:hint="eastAsia" w:ascii="宋体" w:hAnsi="宋体" w:eastAsia="宋体" w:cs="宋体"/>
                <w:sz w:val="24"/>
                <w:szCs w:val="24"/>
              </w:rPr>
              <w:t>性</w:t>
            </w:r>
            <w:r>
              <w:rPr>
                <w:rFonts w:hint="eastAsia" w:ascii="宋体" w:hAnsi="宋体" w:eastAsia="宋体" w:cs="宋体"/>
                <w:spacing w:val="10"/>
                <w:sz w:val="24"/>
                <w:szCs w:val="24"/>
              </w:rPr>
              <w:t xml:space="preserve">  </w:t>
            </w:r>
            <w:r>
              <w:rPr>
                <w:rFonts w:hint="eastAsia" w:ascii="宋体" w:hAnsi="宋体" w:eastAsia="宋体" w:cs="宋体"/>
                <w:sz w:val="24"/>
                <w:szCs w:val="24"/>
              </w:rPr>
              <w:t>别</w:t>
            </w:r>
          </w:p>
        </w:tc>
        <w:tc>
          <w:tcPr>
            <w:tcW w:w="2244" w:type="dxa"/>
            <w:noWrap w:val="0"/>
            <w:vAlign w:val="top"/>
          </w:tcPr>
          <w:p w14:paraId="5A3DBDC2">
            <w:pPr>
              <w:pStyle w:val="20"/>
              <w:rPr>
                <w:rFonts w:hint="eastAsia" w:ascii="宋体" w:hAnsi="宋体" w:eastAsia="宋体" w:cs="宋体"/>
                <w:sz w:val="24"/>
                <w:szCs w:val="24"/>
              </w:rPr>
            </w:pPr>
          </w:p>
        </w:tc>
        <w:tc>
          <w:tcPr>
            <w:tcW w:w="1957" w:type="dxa"/>
            <w:noWrap w:val="0"/>
            <w:vAlign w:val="top"/>
          </w:tcPr>
          <w:p w14:paraId="15FE1487">
            <w:pPr>
              <w:spacing w:before="177" w:line="228" w:lineRule="auto"/>
              <w:ind w:left="488"/>
              <w:rPr>
                <w:rFonts w:hint="eastAsia" w:ascii="宋体" w:hAnsi="宋体" w:eastAsia="宋体" w:cs="宋体"/>
                <w:sz w:val="24"/>
                <w:szCs w:val="24"/>
              </w:rPr>
            </w:pPr>
            <w:r>
              <w:rPr>
                <w:rFonts w:hint="eastAsia" w:ascii="宋体" w:hAnsi="宋体" w:eastAsia="宋体" w:cs="宋体"/>
                <w:sz w:val="24"/>
                <w:szCs w:val="24"/>
              </w:rPr>
              <w:t>年</w:t>
            </w:r>
            <w:r>
              <w:rPr>
                <w:rFonts w:hint="eastAsia" w:ascii="宋体" w:hAnsi="宋体" w:eastAsia="宋体" w:cs="宋体"/>
                <w:spacing w:val="8"/>
                <w:sz w:val="24"/>
                <w:szCs w:val="24"/>
              </w:rPr>
              <w:t xml:space="preserve">   </w:t>
            </w:r>
            <w:r>
              <w:rPr>
                <w:rFonts w:hint="eastAsia" w:ascii="宋体" w:hAnsi="宋体" w:eastAsia="宋体" w:cs="宋体"/>
                <w:sz w:val="24"/>
                <w:szCs w:val="24"/>
              </w:rPr>
              <w:t>龄</w:t>
            </w:r>
          </w:p>
        </w:tc>
        <w:tc>
          <w:tcPr>
            <w:tcW w:w="1521" w:type="dxa"/>
            <w:noWrap w:val="0"/>
            <w:vAlign w:val="top"/>
          </w:tcPr>
          <w:p w14:paraId="526B84A3">
            <w:pPr>
              <w:pStyle w:val="20"/>
              <w:rPr>
                <w:rFonts w:hint="eastAsia" w:ascii="宋体" w:hAnsi="宋体" w:eastAsia="宋体" w:cs="宋体"/>
                <w:sz w:val="24"/>
                <w:szCs w:val="24"/>
              </w:rPr>
            </w:pPr>
          </w:p>
        </w:tc>
      </w:tr>
      <w:tr w14:paraId="7AEA1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989" w:type="dxa"/>
            <w:gridSpan w:val="2"/>
            <w:noWrap w:val="0"/>
            <w:vAlign w:val="top"/>
          </w:tcPr>
          <w:p w14:paraId="6770CD70">
            <w:pPr>
              <w:spacing w:before="175" w:line="228" w:lineRule="auto"/>
              <w:ind w:left="509"/>
              <w:rPr>
                <w:rFonts w:hint="eastAsia" w:ascii="宋体" w:hAnsi="宋体" w:eastAsia="宋体" w:cs="宋体"/>
                <w:sz w:val="24"/>
                <w:szCs w:val="24"/>
              </w:rPr>
            </w:pPr>
            <w:r>
              <w:rPr>
                <w:rFonts w:hint="eastAsia" w:ascii="宋体" w:hAnsi="宋体" w:eastAsia="宋体" w:cs="宋体"/>
                <w:sz w:val="24"/>
                <w:szCs w:val="24"/>
              </w:rPr>
              <w:t>职</w:t>
            </w:r>
            <w:r>
              <w:rPr>
                <w:rFonts w:hint="eastAsia" w:ascii="宋体" w:hAnsi="宋体" w:eastAsia="宋体" w:cs="宋体"/>
                <w:spacing w:val="8"/>
                <w:sz w:val="24"/>
                <w:szCs w:val="24"/>
              </w:rPr>
              <w:t xml:space="preserve">   </w:t>
            </w:r>
            <w:r>
              <w:rPr>
                <w:rFonts w:hint="eastAsia" w:ascii="宋体" w:hAnsi="宋体" w:eastAsia="宋体" w:cs="宋体"/>
                <w:sz w:val="24"/>
                <w:szCs w:val="24"/>
              </w:rPr>
              <w:t>务</w:t>
            </w:r>
          </w:p>
        </w:tc>
        <w:tc>
          <w:tcPr>
            <w:tcW w:w="1408" w:type="dxa"/>
            <w:gridSpan w:val="2"/>
            <w:noWrap w:val="0"/>
            <w:vAlign w:val="top"/>
          </w:tcPr>
          <w:p w14:paraId="55FDF940">
            <w:pPr>
              <w:pStyle w:val="20"/>
              <w:rPr>
                <w:rFonts w:hint="eastAsia" w:ascii="宋体" w:hAnsi="宋体" w:eastAsia="宋体" w:cs="宋体"/>
                <w:sz w:val="24"/>
                <w:szCs w:val="24"/>
              </w:rPr>
            </w:pPr>
          </w:p>
        </w:tc>
        <w:tc>
          <w:tcPr>
            <w:tcW w:w="1477" w:type="dxa"/>
            <w:noWrap w:val="0"/>
            <w:vAlign w:val="top"/>
          </w:tcPr>
          <w:p w14:paraId="7A067DBF">
            <w:pPr>
              <w:spacing w:before="174" w:line="231" w:lineRule="auto"/>
              <w:ind w:left="337"/>
              <w:rPr>
                <w:rFonts w:hint="eastAsia" w:ascii="宋体" w:hAnsi="宋体" w:eastAsia="宋体" w:cs="宋体"/>
                <w:sz w:val="24"/>
                <w:szCs w:val="24"/>
              </w:rPr>
            </w:pPr>
            <w:r>
              <w:rPr>
                <w:rFonts w:hint="eastAsia" w:ascii="宋体" w:hAnsi="宋体" w:eastAsia="宋体" w:cs="宋体"/>
                <w:sz w:val="24"/>
                <w:szCs w:val="24"/>
              </w:rPr>
              <w:t>职</w:t>
            </w:r>
            <w:r>
              <w:rPr>
                <w:rFonts w:hint="eastAsia" w:ascii="宋体" w:hAnsi="宋体" w:eastAsia="宋体" w:cs="宋体"/>
                <w:spacing w:val="9"/>
                <w:sz w:val="24"/>
                <w:szCs w:val="24"/>
              </w:rPr>
              <w:t xml:space="preserve">  </w:t>
            </w:r>
            <w:r>
              <w:rPr>
                <w:rFonts w:hint="eastAsia" w:ascii="宋体" w:hAnsi="宋体" w:eastAsia="宋体" w:cs="宋体"/>
                <w:sz w:val="24"/>
                <w:szCs w:val="24"/>
              </w:rPr>
              <w:t>称</w:t>
            </w:r>
          </w:p>
        </w:tc>
        <w:tc>
          <w:tcPr>
            <w:tcW w:w="2244" w:type="dxa"/>
            <w:noWrap w:val="0"/>
            <w:vAlign w:val="top"/>
          </w:tcPr>
          <w:p w14:paraId="477B86BD">
            <w:pPr>
              <w:pStyle w:val="20"/>
              <w:rPr>
                <w:rFonts w:hint="eastAsia" w:ascii="宋体" w:hAnsi="宋体" w:eastAsia="宋体" w:cs="宋体"/>
                <w:sz w:val="24"/>
                <w:szCs w:val="24"/>
              </w:rPr>
            </w:pPr>
          </w:p>
        </w:tc>
        <w:tc>
          <w:tcPr>
            <w:tcW w:w="1957" w:type="dxa"/>
            <w:noWrap w:val="0"/>
            <w:vAlign w:val="top"/>
          </w:tcPr>
          <w:p w14:paraId="65A4464F">
            <w:pPr>
              <w:spacing w:before="175" w:line="230" w:lineRule="auto"/>
              <w:ind w:left="491"/>
              <w:rPr>
                <w:rFonts w:hint="eastAsia" w:ascii="宋体" w:hAnsi="宋体" w:eastAsia="宋体" w:cs="宋体"/>
                <w:sz w:val="24"/>
                <w:szCs w:val="24"/>
              </w:rPr>
            </w:pPr>
            <w:r>
              <w:rPr>
                <w:rFonts w:hint="eastAsia" w:ascii="宋体" w:hAnsi="宋体" w:eastAsia="宋体" w:cs="宋体"/>
                <w:spacing w:val="-2"/>
                <w:sz w:val="24"/>
                <w:szCs w:val="24"/>
              </w:rPr>
              <w:t>学</w:t>
            </w:r>
            <w:r>
              <w:rPr>
                <w:rFonts w:hint="eastAsia" w:ascii="宋体" w:hAnsi="宋体" w:eastAsia="宋体" w:cs="宋体"/>
                <w:spacing w:val="9"/>
                <w:sz w:val="24"/>
                <w:szCs w:val="24"/>
              </w:rPr>
              <w:t xml:space="preserve">   </w:t>
            </w:r>
            <w:r>
              <w:rPr>
                <w:rFonts w:hint="eastAsia" w:ascii="宋体" w:hAnsi="宋体" w:eastAsia="宋体" w:cs="宋体"/>
                <w:spacing w:val="-2"/>
                <w:sz w:val="24"/>
                <w:szCs w:val="24"/>
              </w:rPr>
              <w:t>历</w:t>
            </w:r>
          </w:p>
        </w:tc>
        <w:tc>
          <w:tcPr>
            <w:tcW w:w="1521" w:type="dxa"/>
            <w:noWrap w:val="0"/>
            <w:vAlign w:val="top"/>
          </w:tcPr>
          <w:p w14:paraId="51DD350B">
            <w:pPr>
              <w:pStyle w:val="20"/>
              <w:rPr>
                <w:rFonts w:hint="eastAsia" w:ascii="宋体" w:hAnsi="宋体" w:eastAsia="宋体" w:cs="宋体"/>
                <w:sz w:val="24"/>
                <w:szCs w:val="24"/>
              </w:rPr>
            </w:pPr>
          </w:p>
        </w:tc>
      </w:tr>
      <w:tr w14:paraId="21FA4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1989" w:type="dxa"/>
            <w:gridSpan w:val="2"/>
            <w:noWrap w:val="0"/>
            <w:vAlign w:val="top"/>
          </w:tcPr>
          <w:p w14:paraId="24CBC877">
            <w:pPr>
              <w:spacing w:before="175" w:line="229" w:lineRule="auto"/>
              <w:ind w:left="248"/>
              <w:rPr>
                <w:rFonts w:hint="eastAsia" w:ascii="宋体" w:hAnsi="宋体" w:eastAsia="宋体" w:cs="宋体"/>
                <w:sz w:val="24"/>
                <w:szCs w:val="24"/>
              </w:rPr>
            </w:pPr>
            <w:r>
              <w:rPr>
                <w:rFonts w:hint="eastAsia" w:ascii="宋体" w:hAnsi="宋体" w:eastAsia="宋体" w:cs="宋体"/>
                <w:spacing w:val="7"/>
                <w:sz w:val="24"/>
                <w:szCs w:val="24"/>
              </w:rPr>
              <w:t>参加工作时间</w:t>
            </w:r>
          </w:p>
        </w:tc>
        <w:tc>
          <w:tcPr>
            <w:tcW w:w="2885" w:type="dxa"/>
            <w:gridSpan w:val="3"/>
            <w:noWrap w:val="0"/>
            <w:vAlign w:val="top"/>
          </w:tcPr>
          <w:p w14:paraId="711BEECF">
            <w:pPr>
              <w:pStyle w:val="20"/>
              <w:rPr>
                <w:rFonts w:hint="eastAsia" w:ascii="宋体" w:hAnsi="宋体" w:eastAsia="宋体" w:cs="宋体"/>
                <w:sz w:val="24"/>
                <w:szCs w:val="24"/>
              </w:rPr>
            </w:pPr>
          </w:p>
        </w:tc>
        <w:tc>
          <w:tcPr>
            <w:tcW w:w="4201" w:type="dxa"/>
            <w:gridSpan w:val="2"/>
            <w:noWrap w:val="0"/>
            <w:vAlign w:val="top"/>
          </w:tcPr>
          <w:p w14:paraId="44EE7900">
            <w:pPr>
              <w:spacing w:before="176" w:line="228" w:lineRule="auto"/>
              <w:ind w:left="377"/>
              <w:rPr>
                <w:rFonts w:hint="eastAsia" w:ascii="宋体" w:hAnsi="宋体" w:eastAsia="宋体" w:cs="宋体"/>
                <w:sz w:val="24"/>
                <w:szCs w:val="24"/>
              </w:rPr>
            </w:pPr>
            <w:r>
              <w:rPr>
                <w:rFonts w:hint="eastAsia" w:ascii="宋体" w:hAnsi="宋体" w:eastAsia="宋体" w:cs="宋体"/>
                <w:spacing w:val="9"/>
                <w:sz w:val="24"/>
                <w:szCs w:val="24"/>
              </w:rPr>
              <w:t>从事工程建设项目管理工作年限</w:t>
            </w:r>
          </w:p>
        </w:tc>
        <w:tc>
          <w:tcPr>
            <w:tcW w:w="1521" w:type="dxa"/>
            <w:noWrap w:val="0"/>
            <w:vAlign w:val="top"/>
          </w:tcPr>
          <w:p w14:paraId="6DFDB344">
            <w:pPr>
              <w:pStyle w:val="20"/>
              <w:rPr>
                <w:rFonts w:hint="eastAsia" w:ascii="宋体" w:hAnsi="宋体" w:eastAsia="宋体" w:cs="宋体"/>
                <w:sz w:val="24"/>
                <w:szCs w:val="24"/>
              </w:rPr>
            </w:pPr>
          </w:p>
        </w:tc>
      </w:tr>
      <w:tr w14:paraId="556D5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0596" w:type="dxa"/>
            <w:gridSpan w:val="8"/>
            <w:noWrap w:val="0"/>
            <w:vAlign w:val="top"/>
          </w:tcPr>
          <w:p w14:paraId="3D983DD6">
            <w:pPr>
              <w:spacing w:before="176" w:line="228" w:lineRule="auto"/>
              <w:ind w:left="2356"/>
              <w:rPr>
                <w:rFonts w:hint="eastAsia" w:ascii="宋体" w:hAnsi="宋体" w:eastAsia="宋体" w:cs="宋体"/>
                <w:sz w:val="24"/>
                <w:szCs w:val="24"/>
              </w:rPr>
            </w:pPr>
            <w:r>
              <w:rPr>
                <w:rFonts w:hint="eastAsia" w:ascii="宋体" w:hAnsi="宋体" w:eastAsia="宋体" w:cs="宋体"/>
                <w:spacing w:val="8"/>
                <w:sz w:val="24"/>
                <w:szCs w:val="24"/>
              </w:rPr>
              <w:t>以项目经理身份参与过的主要业绩（已完工项目）</w:t>
            </w:r>
          </w:p>
        </w:tc>
      </w:tr>
      <w:tr w14:paraId="016FC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890" w:type="dxa"/>
            <w:noWrap w:val="0"/>
            <w:vAlign w:val="top"/>
          </w:tcPr>
          <w:p w14:paraId="217D0AFE">
            <w:pPr>
              <w:spacing w:before="176" w:line="230" w:lineRule="auto"/>
              <w:ind w:left="183"/>
              <w:rPr>
                <w:rFonts w:hint="eastAsia" w:ascii="宋体" w:hAnsi="宋体" w:eastAsia="宋体" w:cs="宋体"/>
                <w:sz w:val="24"/>
                <w:szCs w:val="24"/>
              </w:rPr>
            </w:pPr>
            <w:r>
              <w:rPr>
                <w:rFonts w:hint="eastAsia" w:ascii="宋体" w:hAnsi="宋体" w:eastAsia="宋体" w:cs="宋体"/>
                <w:spacing w:val="5"/>
                <w:sz w:val="24"/>
                <w:szCs w:val="24"/>
              </w:rPr>
              <w:t>序号</w:t>
            </w:r>
          </w:p>
        </w:tc>
        <w:tc>
          <w:tcPr>
            <w:tcW w:w="1767" w:type="dxa"/>
            <w:gridSpan w:val="2"/>
            <w:noWrap w:val="0"/>
            <w:vAlign w:val="top"/>
          </w:tcPr>
          <w:p w14:paraId="52043CE7">
            <w:pPr>
              <w:spacing w:before="176" w:line="229" w:lineRule="auto"/>
              <w:ind w:left="359"/>
              <w:rPr>
                <w:rFonts w:hint="eastAsia" w:ascii="宋体" w:hAnsi="宋体" w:eastAsia="宋体" w:cs="宋体"/>
                <w:sz w:val="24"/>
                <w:szCs w:val="24"/>
              </w:rPr>
            </w:pPr>
            <w:r>
              <w:rPr>
                <w:rFonts w:hint="eastAsia" w:ascii="宋体" w:hAnsi="宋体" w:eastAsia="宋体" w:cs="宋体"/>
                <w:spacing w:val="6"/>
                <w:sz w:val="24"/>
                <w:szCs w:val="24"/>
              </w:rPr>
              <w:t>项目名称</w:t>
            </w:r>
          </w:p>
        </w:tc>
        <w:tc>
          <w:tcPr>
            <w:tcW w:w="2217" w:type="dxa"/>
            <w:gridSpan w:val="2"/>
            <w:noWrap w:val="0"/>
            <w:vAlign w:val="top"/>
          </w:tcPr>
          <w:p w14:paraId="5A108E9D">
            <w:pPr>
              <w:spacing w:before="176" w:line="229" w:lineRule="auto"/>
              <w:ind w:left="557"/>
              <w:rPr>
                <w:rFonts w:hint="eastAsia" w:ascii="宋体" w:hAnsi="宋体" w:eastAsia="宋体" w:cs="宋体"/>
                <w:sz w:val="24"/>
                <w:szCs w:val="24"/>
              </w:rPr>
            </w:pPr>
            <w:r>
              <w:rPr>
                <w:rFonts w:hint="eastAsia" w:ascii="宋体" w:hAnsi="宋体" w:eastAsia="宋体" w:cs="宋体"/>
                <w:spacing w:val="6"/>
                <w:sz w:val="24"/>
                <w:szCs w:val="24"/>
              </w:rPr>
              <w:t>建设单位</w:t>
            </w:r>
          </w:p>
        </w:tc>
        <w:tc>
          <w:tcPr>
            <w:tcW w:w="2244" w:type="dxa"/>
            <w:noWrap w:val="0"/>
            <w:vAlign w:val="top"/>
          </w:tcPr>
          <w:p w14:paraId="72841E37">
            <w:pPr>
              <w:spacing w:before="176" w:line="228" w:lineRule="auto"/>
              <w:ind w:left="260"/>
              <w:rPr>
                <w:rFonts w:hint="eastAsia" w:ascii="宋体" w:hAnsi="宋体" w:eastAsia="宋体" w:cs="宋体"/>
                <w:sz w:val="24"/>
                <w:szCs w:val="24"/>
              </w:rPr>
            </w:pPr>
            <w:r>
              <w:rPr>
                <w:rFonts w:hint="eastAsia" w:ascii="宋体" w:hAnsi="宋体" w:eastAsia="宋体" w:cs="宋体"/>
                <w:spacing w:val="8"/>
                <w:sz w:val="24"/>
                <w:szCs w:val="24"/>
              </w:rPr>
              <w:t>建设内容和规模</w:t>
            </w:r>
          </w:p>
        </w:tc>
        <w:tc>
          <w:tcPr>
            <w:tcW w:w="1957" w:type="dxa"/>
            <w:noWrap w:val="0"/>
            <w:vAlign w:val="top"/>
          </w:tcPr>
          <w:p w14:paraId="6C42E994">
            <w:pPr>
              <w:spacing w:before="176" w:line="228" w:lineRule="auto"/>
              <w:ind w:left="238"/>
              <w:rPr>
                <w:rFonts w:hint="eastAsia" w:ascii="宋体" w:hAnsi="宋体" w:eastAsia="宋体" w:cs="宋体"/>
                <w:sz w:val="24"/>
                <w:szCs w:val="24"/>
              </w:rPr>
            </w:pPr>
            <w:r>
              <w:rPr>
                <w:rFonts w:hint="eastAsia" w:ascii="宋体" w:hAnsi="宋体" w:eastAsia="宋体" w:cs="宋体"/>
                <w:spacing w:val="8"/>
                <w:sz w:val="24"/>
                <w:szCs w:val="24"/>
              </w:rPr>
              <w:t>开、竣工日期</w:t>
            </w:r>
          </w:p>
        </w:tc>
        <w:tc>
          <w:tcPr>
            <w:tcW w:w="1521" w:type="dxa"/>
            <w:noWrap w:val="0"/>
            <w:vAlign w:val="top"/>
          </w:tcPr>
          <w:p w14:paraId="17681DCB">
            <w:pPr>
              <w:spacing w:before="176" w:line="228" w:lineRule="auto"/>
              <w:ind w:left="251"/>
              <w:rPr>
                <w:rFonts w:hint="eastAsia" w:ascii="宋体" w:hAnsi="宋体" w:eastAsia="宋体" w:cs="宋体"/>
                <w:sz w:val="24"/>
                <w:szCs w:val="24"/>
              </w:rPr>
            </w:pPr>
            <w:r>
              <w:rPr>
                <w:rFonts w:hint="eastAsia" w:ascii="宋体" w:hAnsi="宋体" w:eastAsia="宋体" w:cs="宋体"/>
                <w:spacing w:val="7"/>
                <w:sz w:val="24"/>
                <w:szCs w:val="24"/>
              </w:rPr>
              <w:t>质量等级</w:t>
            </w:r>
          </w:p>
        </w:tc>
      </w:tr>
      <w:tr w14:paraId="5871A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890" w:type="dxa"/>
            <w:noWrap w:val="0"/>
            <w:vAlign w:val="top"/>
          </w:tcPr>
          <w:p w14:paraId="0554305A">
            <w:pPr>
              <w:spacing w:before="214" w:line="195" w:lineRule="auto"/>
              <w:ind w:left="359"/>
              <w:rPr>
                <w:rFonts w:hint="eastAsia" w:ascii="宋体" w:hAnsi="宋体" w:eastAsia="宋体" w:cs="宋体"/>
                <w:sz w:val="24"/>
                <w:szCs w:val="24"/>
              </w:rPr>
            </w:pPr>
            <w:r>
              <w:rPr>
                <w:rFonts w:hint="eastAsia" w:ascii="宋体" w:hAnsi="宋体" w:eastAsia="宋体" w:cs="宋体"/>
                <w:sz w:val="24"/>
                <w:szCs w:val="24"/>
              </w:rPr>
              <w:t>1</w:t>
            </w:r>
          </w:p>
        </w:tc>
        <w:tc>
          <w:tcPr>
            <w:tcW w:w="1767" w:type="dxa"/>
            <w:gridSpan w:val="2"/>
            <w:noWrap w:val="0"/>
            <w:vAlign w:val="top"/>
          </w:tcPr>
          <w:p w14:paraId="6F803459">
            <w:pPr>
              <w:pStyle w:val="20"/>
              <w:rPr>
                <w:rFonts w:hint="eastAsia" w:ascii="宋体" w:hAnsi="宋体" w:eastAsia="宋体" w:cs="宋体"/>
                <w:sz w:val="24"/>
                <w:szCs w:val="24"/>
              </w:rPr>
            </w:pPr>
          </w:p>
        </w:tc>
        <w:tc>
          <w:tcPr>
            <w:tcW w:w="2217" w:type="dxa"/>
            <w:gridSpan w:val="2"/>
            <w:noWrap w:val="0"/>
            <w:vAlign w:val="top"/>
          </w:tcPr>
          <w:p w14:paraId="278393E1">
            <w:pPr>
              <w:pStyle w:val="20"/>
              <w:rPr>
                <w:rFonts w:hint="eastAsia" w:ascii="宋体" w:hAnsi="宋体" w:eastAsia="宋体" w:cs="宋体"/>
                <w:sz w:val="24"/>
                <w:szCs w:val="24"/>
              </w:rPr>
            </w:pPr>
          </w:p>
        </w:tc>
        <w:tc>
          <w:tcPr>
            <w:tcW w:w="2244" w:type="dxa"/>
            <w:noWrap w:val="0"/>
            <w:vAlign w:val="top"/>
          </w:tcPr>
          <w:p w14:paraId="3C5FAB19">
            <w:pPr>
              <w:pStyle w:val="20"/>
              <w:rPr>
                <w:rFonts w:hint="eastAsia" w:ascii="宋体" w:hAnsi="宋体" w:eastAsia="宋体" w:cs="宋体"/>
                <w:sz w:val="24"/>
                <w:szCs w:val="24"/>
              </w:rPr>
            </w:pPr>
          </w:p>
        </w:tc>
        <w:tc>
          <w:tcPr>
            <w:tcW w:w="1957" w:type="dxa"/>
            <w:noWrap w:val="0"/>
            <w:vAlign w:val="top"/>
          </w:tcPr>
          <w:p w14:paraId="474877AC">
            <w:pPr>
              <w:pStyle w:val="20"/>
              <w:rPr>
                <w:rFonts w:hint="eastAsia" w:ascii="宋体" w:hAnsi="宋体" w:eastAsia="宋体" w:cs="宋体"/>
                <w:sz w:val="24"/>
                <w:szCs w:val="24"/>
              </w:rPr>
            </w:pPr>
          </w:p>
        </w:tc>
        <w:tc>
          <w:tcPr>
            <w:tcW w:w="1521" w:type="dxa"/>
            <w:noWrap w:val="0"/>
            <w:vAlign w:val="top"/>
          </w:tcPr>
          <w:p w14:paraId="0A1E0050">
            <w:pPr>
              <w:pStyle w:val="20"/>
              <w:rPr>
                <w:rFonts w:hint="eastAsia" w:ascii="宋体" w:hAnsi="宋体" w:eastAsia="宋体" w:cs="宋体"/>
                <w:sz w:val="24"/>
                <w:szCs w:val="24"/>
              </w:rPr>
            </w:pPr>
          </w:p>
        </w:tc>
      </w:tr>
      <w:tr w14:paraId="1C63AA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890" w:type="dxa"/>
            <w:noWrap w:val="0"/>
            <w:vAlign w:val="top"/>
          </w:tcPr>
          <w:p w14:paraId="51F62F32">
            <w:pPr>
              <w:spacing w:before="213" w:line="195" w:lineRule="auto"/>
              <w:ind w:left="339"/>
              <w:rPr>
                <w:rFonts w:hint="eastAsia" w:ascii="宋体" w:hAnsi="宋体" w:eastAsia="宋体" w:cs="宋体"/>
                <w:sz w:val="24"/>
                <w:szCs w:val="24"/>
              </w:rPr>
            </w:pPr>
            <w:r>
              <w:rPr>
                <w:rFonts w:hint="eastAsia" w:ascii="宋体" w:hAnsi="宋体" w:eastAsia="宋体" w:cs="宋体"/>
                <w:sz w:val="24"/>
                <w:szCs w:val="24"/>
              </w:rPr>
              <w:t>2</w:t>
            </w:r>
          </w:p>
        </w:tc>
        <w:tc>
          <w:tcPr>
            <w:tcW w:w="1767" w:type="dxa"/>
            <w:gridSpan w:val="2"/>
            <w:noWrap w:val="0"/>
            <w:vAlign w:val="top"/>
          </w:tcPr>
          <w:p w14:paraId="16830364">
            <w:pPr>
              <w:pStyle w:val="20"/>
              <w:rPr>
                <w:rFonts w:hint="eastAsia" w:ascii="宋体" w:hAnsi="宋体" w:eastAsia="宋体" w:cs="宋体"/>
                <w:sz w:val="24"/>
                <w:szCs w:val="24"/>
              </w:rPr>
            </w:pPr>
          </w:p>
        </w:tc>
        <w:tc>
          <w:tcPr>
            <w:tcW w:w="2217" w:type="dxa"/>
            <w:gridSpan w:val="2"/>
            <w:noWrap w:val="0"/>
            <w:vAlign w:val="top"/>
          </w:tcPr>
          <w:p w14:paraId="75E1B7AF">
            <w:pPr>
              <w:pStyle w:val="20"/>
              <w:rPr>
                <w:rFonts w:hint="eastAsia" w:ascii="宋体" w:hAnsi="宋体" w:eastAsia="宋体" w:cs="宋体"/>
                <w:sz w:val="24"/>
                <w:szCs w:val="24"/>
              </w:rPr>
            </w:pPr>
          </w:p>
        </w:tc>
        <w:tc>
          <w:tcPr>
            <w:tcW w:w="2244" w:type="dxa"/>
            <w:noWrap w:val="0"/>
            <w:vAlign w:val="top"/>
          </w:tcPr>
          <w:p w14:paraId="74964E8C">
            <w:pPr>
              <w:pStyle w:val="20"/>
              <w:rPr>
                <w:rFonts w:hint="eastAsia" w:ascii="宋体" w:hAnsi="宋体" w:eastAsia="宋体" w:cs="宋体"/>
                <w:sz w:val="24"/>
                <w:szCs w:val="24"/>
              </w:rPr>
            </w:pPr>
          </w:p>
        </w:tc>
        <w:tc>
          <w:tcPr>
            <w:tcW w:w="1957" w:type="dxa"/>
            <w:noWrap w:val="0"/>
            <w:vAlign w:val="top"/>
          </w:tcPr>
          <w:p w14:paraId="1FB453FF">
            <w:pPr>
              <w:pStyle w:val="20"/>
              <w:rPr>
                <w:rFonts w:hint="eastAsia" w:ascii="宋体" w:hAnsi="宋体" w:eastAsia="宋体" w:cs="宋体"/>
                <w:sz w:val="24"/>
                <w:szCs w:val="24"/>
              </w:rPr>
            </w:pPr>
          </w:p>
        </w:tc>
        <w:tc>
          <w:tcPr>
            <w:tcW w:w="1521" w:type="dxa"/>
            <w:noWrap w:val="0"/>
            <w:vAlign w:val="top"/>
          </w:tcPr>
          <w:p w14:paraId="637F9026">
            <w:pPr>
              <w:pStyle w:val="20"/>
              <w:rPr>
                <w:rFonts w:hint="eastAsia" w:ascii="宋体" w:hAnsi="宋体" w:eastAsia="宋体" w:cs="宋体"/>
                <w:sz w:val="24"/>
                <w:szCs w:val="24"/>
              </w:rPr>
            </w:pPr>
          </w:p>
        </w:tc>
      </w:tr>
      <w:tr w14:paraId="60C7C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890" w:type="dxa"/>
            <w:noWrap w:val="0"/>
            <w:vAlign w:val="top"/>
          </w:tcPr>
          <w:p w14:paraId="0430F682">
            <w:pPr>
              <w:spacing w:before="213" w:line="195" w:lineRule="auto"/>
              <w:ind w:left="343"/>
              <w:rPr>
                <w:rFonts w:hint="eastAsia" w:ascii="宋体" w:hAnsi="宋体" w:eastAsia="宋体" w:cs="宋体"/>
                <w:sz w:val="24"/>
                <w:szCs w:val="24"/>
              </w:rPr>
            </w:pPr>
            <w:r>
              <w:rPr>
                <w:rFonts w:hint="eastAsia" w:ascii="宋体" w:hAnsi="宋体" w:eastAsia="宋体" w:cs="宋体"/>
                <w:sz w:val="24"/>
                <w:szCs w:val="24"/>
              </w:rPr>
              <w:t>3</w:t>
            </w:r>
          </w:p>
        </w:tc>
        <w:tc>
          <w:tcPr>
            <w:tcW w:w="1767" w:type="dxa"/>
            <w:gridSpan w:val="2"/>
            <w:noWrap w:val="0"/>
            <w:vAlign w:val="top"/>
          </w:tcPr>
          <w:p w14:paraId="6C17ABB3">
            <w:pPr>
              <w:pStyle w:val="20"/>
              <w:rPr>
                <w:rFonts w:hint="eastAsia" w:ascii="宋体" w:hAnsi="宋体" w:eastAsia="宋体" w:cs="宋体"/>
                <w:sz w:val="24"/>
                <w:szCs w:val="24"/>
              </w:rPr>
            </w:pPr>
          </w:p>
        </w:tc>
        <w:tc>
          <w:tcPr>
            <w:tcW w:w="2217" w:type="dxa"/>
            <w:gridSpan w:val="2"/>
            <w:noWrap w:val="0"/>
            <w:vAlign w:val="top"/>
          </w:tcPr>
          <w:p w14:paraId="3668D330">
            <w:pPr>
              <w:pStyle w:val="20"/>
              <w:rPr>
                <w:rFonts w:hint="eastAsia" w:ascii="宋体" w:hAnsi="宋体" w:eastAsia="宋体" w:cs="宋体"/>
                <w:sz w:val="24"/>
                <w:szCs w:val="24"/>
              </w:rPr>
            </w:pPr>
          </w:p>
        </w:tc>
        <w:tc>
          <w:tcPr>
            <w:tcW w:w="2244" w:type="dxa"/>
            <w:noWrap w:val="0"/>
            <w:vAlign w:val="top"/>
          </w:tcPr>
          <w:p w14:paraId="20AA56E6">
            <w:pPr>
              <w:pStyle w:val="20"/>
              <w:rPr>
                <w:rFonts w:hint="eastAsia" w:ascii="宋体" w:hAnsi="宋体" w:eastAsia="宋体" w:cs="宋体"/>
                <w:sz w:val="24"/>
                <w:szCs w:val="24"/>
              </w:rPr>
            </w:pPr>
          </w:p>
        </w:tc>
        <w:tc>
          <w:tcPr>
            <w:tcW w:w="1957" w:type="dxa"/>
            <w:noWrap w:val="0"/>
            <w:vAlign w:val="top"/>
          </w:tcPr>
          <w:p w14:paraId="61442D9D">
            <w:pPr>
              <w:pStyle w:val="20"/>
              <w:rPr>
                <w:rFonts w:hint="eastAsia" w:ascii="宋体" w:hAnsi="宋体" w:eastAsia="宋体" w:cs="宋体"/>
                <w:sz w:val="24"/>
                <w:szCs w:val="24"/>
              </w:rPr>
            </w:pPr>
          </w:p>
        </w:tc>
        <w:tc>
          <w:tcPr>
            <w:tcW w:w="1521" w:type="dxa"/>
            <w:noWrap w:val="0"/>
            <w:vAlign w:val="top"/>
          </w:tcPr>
          <w:p w14:paraId="7E1D585D">
            <w:pPr>
              <w:pStyle w:val="20"/>
              <w:rPr>
                <w:rFonts w:hint="eastAsia" w:ascii="宋体" w:hAnsi="宋体" w:eastAsia="宋体" w:cs="宋体"/>
                <w:sz w:val="24"/>
                <w:szCs w:val="24"/>
              </w:rPr>
            </w:pPr>
          </w:p>
        </w:tc>
      </w:tr>
      <w:tr w14:paraId="4E97C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890" w:type="dxa"/>
            <w:noWrap w:val="0"/>
            <w:vAlign w:val="top"/>
          </w:tcPr>
          <w:p w14:paraId="05E2EACC">
            <w:pPr>
              <w:spacing w:before="177" w:line="325" w:lineRule="exact"/>
              <w:ind w:left="197"/>
              <w:rPr>
                <w:rFonts w:hint="eastAsia" w:ascii="宋体" w:hAnsi="宋体" w:eastAsia="宋体" w:cs="宋体"/>
                <w:sz w:val="24"/>
                <w:szCs w:val="24"/>
              </w:rPr>
            </w:pPr>
            <w:r>
              <w:rPr>
                <w:rFonts w:hint="eastAsia" w:ascii="宋体" w:hAnsi="宋体" w:eastAsia="宋体" w:cs="宋体"/>
                <w:spacing w:val="-2"/>
                <w:position w:val="3"/>
                <w:sz w:val="24"/>
                <w:szCs w:val="24"/>
              </w:rPr>
              <w:t>……</w:t>
            </w:r>
          </w:p>
        </w:tc>
        <w:tc>
          <w:tcPr>
            <w:tcW w:w="1767" w:type="dxa"/>
            <w:gridSpan w:val="2"/>
            <w:noWrap w:val="0"/>
            <w:vAlign w:val="top"/>
          </w:tcPr>
          <w:p w14:paraId="0CCEFE27">
            <w:pPr>
              <w:pStyle w:val="20"/>
              <w:rPr>
                <w:rFonts w:hint="eastAsia" w:ascii="宋体" w:hAnsi="宋体" w:eastAsia="宋体" w:cs="宋体"/>
                <w:sz w:val="24"/>
                <w:szCs w:val="24"/>
              </w:rPr>
            </w:pPr>
          </w:p>
        </w:tc>
        <w:tc>
          <w:tcPr>
            <w:tcW w:w="2217" w:type="dxa"/>
            <w:gridSpan w:val="2"/>
            <w:noWrap w:val="0"/>
            <w:vAlign w:val="top"/>
          </w:tcPr>
          <w:p w14:paraId="7B75FD3A">
            <w:pPr>
              <w:pStyle w:val="20"/>
              <w:rPr>
                <w:rFonts w:hint="eastAsia" w:ascii="宋体" w:hAnsi="宋体" w:eastAsia="宋体" w:cs="宋体"/>
                <w:sz w:val="24"/>
                <w:szCs w:val="24"/>
              </w:rPr>
            </w:pPr>
          </w:p>
        </w:tc>
        <w:tc>
          <w:tcPr>
            <w:tcW w:w="2244" w:type="dxa"/>
            <w:noWrap w:val="0"/>
            <w:vAlign w:val="top"/>
          </w:tcPr>
          <w:p w14:paraId="555660D3">
            <w:pPr>
              <w:pStyle w:val="20"/>
              <w:rPr>
                <w:rFonts w:hint="eastAsia" w:ascii="宋体" w:hAnsi="宋体" w:eastAsia="宋体" w:cs="宋体"/>
                <w:sz w:val="24"/>
                <w:szCs w:val="24"/>
              </w:rPr>
            </w:pPr>
          </w:p>
        </w:tc>
        <w:tc>
          <w:tcPr>
            <w:tcW w:w="1957" w:type="dxa"/>
            <w:noWrap w:val="0"/>
            <w:vAlign w:val="top"/>
          </w:tcPr>
          <w:p w14:paraId="49F91082">
            <w:pPr>
              <w:pStyle w:val="20"/>
              <w:rPr>
                <w:rFonts w:hint="eastAsia" w:ascii="宋体" w:hAnsi="宋体" w:eastAsia="宋体" w:cs="宋体"/>
                <w:sz w:val="24"/>
                <w:szCs w:val="24"/>
              </w:rPr>
            </w:pPr>
          </w:p>
        </w:tc>
        <w:tc>
          <w:tcPr>
            <w:tcW w:w="1521" w:type="dxa"/>
            <w:noWrap w:val="0"/>
            <w:vAlign w:val="top"/>
          </w:tcPr>
          <w:p w14:paraId="3BC3715B">
            <w:pPr>
              <w:pStyle w:val="20"/>
              <w:rPr>
                <w:rFonts w:hint="eastAsia" w:ascii="宋体" w:hAnsi="宋体" w:eastAsia="宋体" w:cs="宋体"/>
                <w:sz w:val="24"/>
                <w:szCs w:val="24"/>
              </w:rPr>
            </w:pPr>
          </w:p>
        </w:tc>
      </w:tr>
    </w:tbl>
    <w:p w14:paraId="65D8F6C9">
      <w:pPr>
        <w:pStyle w:val="5"/>
        <w:spacing w:line="315" w:lineRule="auto"/>
      </w:pPr>
    </w:p>
    <w:p w14:paraId="26708D33">
      <w:pPr>
        <w:pStyle w:val="5"/>
        <w:spacing w:line="315" w:lineRule="auto"/>
      </w:pPr>
    </w:p>
    <w:p w14:paraId="144667E1">
      <w:pPr>
        <w:pStyle w:val="5"/>
        <w:spacing w:line="315" w:lineRule="auto"/>
      </w:pPr>
    </w:p>
    <w:p w14:paraId="76CED43E">
      <w:pPr>
        <w:spacing w:before="78" w:line="220" w:lineRule="auto"/>
        <w:ind w:left="6965"/>
        <w:rPr>
          <w:rFonts w:ascii="宋体" w:hAnsi="宋体" w:eastAsia="宋体" w:cs="宋体"/>
          <w:sz w:val="24"/>
          <w:szCs w:val="24"/>
        </w:rPr>
      </w:pPr>
      <w:r>
        <w:rPr>
          <w:rFonts w:ascii="宋体" w:hAnsi="宋体" w:eastAsia="宋体" w:cs="宋体"/>
          <w:spacing w:val="3"/>
          <w:sz w:val="24"/>
          <w:szCs w:val="24"/>
        </w:rPr>
        <w:t>项目经理</w:t>
      </w:r>
      <w:r>
        <w:rPr>
          <w:rFonts w:ascii="宋体" w:hAnsi="宋体" w:eastAsia="宋体" w:cs="宋体"/>
          <w:spacing w:val="-18"/>
          <w:sz w:val="24"/>
          <w:szCs w:val="24"/>
        </w:rPr>
        <w:t>：（</w:t>
      </w:r>
      <w:r>
        <w:rPr>
          <w:rFonts w:ascii="宋体" w:hAnsi="宋体" w:eastAsia="宋体" w:cs="宋体"/>
          <w:spacing w:val="3"/>
          <w:sz w:val="24"/>
          <w:szCs w:val="24"/>
        </w:rPr>
        <w:t>签字）</w:t>
      </w:r>
    </w:p>
    <w:p w14:paraId="0B99828F">
      <w:pPr>
        <w:pStyle w:val="5"/>
        <w:spacing w:line="255" w:lineRule="auto"/>
      </w:pPr>
    </w:p>
    <w:p w14:paraId="0F06BEC4">
      <w:pPr>
        <w:pStyle w:val="5"/>
        <w:spacing w:line="256" w:lineRule="auto"/>
      </w:pPr>
    </w:p>
    <w:p w14:paraId="10B704C6">
      <w:pPr>
        <w:spacing w:before="78" w:line="220" w:lineRule="auto"/>
        <w:ind w:left="4226"/>
        <w:jc w:val="right"/>
        <w:rPr>
          <w:rFonts w:ascii="宋体" w:hAnsi="宋体" w:eastAsia="宋体" w:cs="宋体"/>
          <w:sz w:val="24"/>
          <w:szCs w:val="24"/>
        </w:rPr>
      </w:pPr>
      <w:r>
        <w:rPr>
          <w:rFonts w:ascii="宋体" w:hAnsi="宋体" w:eastAsia="宋体" w:cs="宋体"/>
          <w:spacing w:val="-4"/>
          <w:sz w:val="24"/>
          <w:szCs w:val="24"/>
        </w:rPr>
        <w:t>年</w:t>
      </w:r>
      <w:r>
        <w:rPr>
          <w:rFonts w:hint="eastAsia" w:ascii="宋体" w:hAnsi="宋体" w:eastAsia="宋体" w:cs="宋体"/>
          <w:spacing w:val="-4"/>
          <w:sz w:val="24"/>
          <w:szCs w:val="24"/>
          <w:lang w:eastAsia="zh-CN"/>
        </w:rPr>
        <w:t xml:space="preserve">   </w:t>
      </w:r>
      <w:r>
        <w:rPr>
          <w:rFonts w:ascii="宋体" w:hAnsi="宋体" w:eastAsia="宋体" w:cs="宋体"/>
          <w:spacing w:val="-4"/>
          <w:sz w:val="24"/>
          <w:szCs w:val="24"/>
        </w:rPr>
        <w:t>月</w:t>
      </w:r>
      <w:r>
        <w:rPr>
          <w:rFonts w:hint="eastAsia" w:ascii="宋体" w:hAnsi="宋体" w:eastAsia="宋体" w:cs="宋体"/>
          <w:spacing w:val="-4"/>
          <w:sz w:val="24"/>
          <w:szCs w:val="24"/>
          <w:lang w:eastAsia="zh-CN"/>
        </w:rPr>
        <w:t xml:space="preserve">   </w:t>
      </w:r>
      <w:r>
        <w:rPr>
          <w:rFonts w:ascii="宋体" w:hAnsi="宋体" w:eastAsia="宋体" w:cs="宋体"/>
          <w:spacing w:val="-4"/>
          <w:sz w:val="24"/>
          <w:szCs w:val="24"/>
        </w:rPr>
        <w:t>日</w:t>
      </w:r>
    </w:p>
    <w:p w14:paraId="29B49CB4">
      <w:pPr>
        <w:pStyle w:val="5"/>
      </w:pPr>
    </w:p>
    <w:p w14:paraId="7BAA5F1A">
      <w:pPr>
        <w:pStyle w:val="5"/>
        <w:spacing w:line="241" w:lineRule="auto"/>
      </w:pPr>
    </w:p>
    <w:p w14:paraId="6A9CC400">
      <w:pPr>
        <w:spacing w:before="65" w:line="228" w:lineRule="auto"/>
        <w:ind w:left="470"/>
        <w:rPr>
          <w:rFonts w:hint="eastAsia" w:ascii="宋体" w:hAnsi="宋体" w:eastAsia="宋体" w:cs="宋体"/>
          <w:sz w:val="24"/>
          <w:szCs w:val="24"/>
        </w:rPr>
      </w:pPr>
      <w:r>
        <w:rPr>
          <w:rFonts w:hint="eastAsia" w:ascii="宋体" w:hAnsi="宋体" w:eastAsia="宋体" w:cs="宋体"/>
          <w:spacing w:val="9"/>
          <w:sz w:val="24"/>
          <w:szCs w:val="24"/>
        </w:rPr>
        <w:t>说明：《项目经理简历表》后应附拟派项目经理以下资料：</w:t>
      </w:r>
    </w:p>
    <w:p w14:paraId="189C0997">
      <w:pPr>
        <w:spacing w:before="152" w:line="228" w:lineRule="auto"/>
        <w:ind w:left="484"/>
        <w:outlineLvl w:val="2"/>
        <w:rPr>
          <w:rFonts w:hint="eastAsia" w:ascii="宋体" w:hAnsi="宋体" w:eastAsia="宋体" w:cs="宋体"/>
          <w:sz w:val="24"/>
          <w:szCs w:val="24"/>
        </w:rPr>
      </w:pPr>
      <w:bookmarkStart w:id="197" w:name="_Toc25271"/>
      <w:r>
        <w:rPr>
          <w:rFonts w:hint="eastAsia" w:ascii="宋体" w:hAnsi="宋体" w:eastAsia="宋体" w:cs="宋体"/>
          <w:spacing w:val="3"/>
          <w:sz w:val="24"/>
          <w:szCs w:val="24"/>
        </w:rPr>
        <w:t>1</w:t>
      </w:r>
      <w:r>
        <w:rPr>
          <w:rFonts w:hint="eastAsia" w:ascii="宋体" w:hAnsi="宋体" w:eastAsia="宋体" w:cs="宋体"/>
          <w:spacing w:val="-14"/>
          <w:sz w:val="24"/>
          <w:szCs w:val="24"/>
        </w:rPr>
        <w:t xml:space="preserve"> </w:t>
      </w:r>
      <w:r>
        <w:rPr>
          <w:rFonts w:hint="eastAsia" w:ascii="宋体" w:hAnsi="宋体" w:eastAsia="宋体" w:cs="宋体"/>
          <w:spacing w:val="3"/>
          <w:sz w:val="24"/>
          <w:szCs w:val="24"/>
        </w:rPr>
        <w:t>．身份证彩色扫描件；</w:t>
      </w:r>
      <w:bookmarkEnd w:id="197"/>
    </w:p>
    <w:p w14:paraId="7DD472FD">
      <w:pPr>
        <w:spacing w:before="153" w:line="228" w:lineRule="auto"/>
        <w:ind w:left="464"/>
        <w:rPr>
          <w:rFonts w:hint="eastAsia" w:ascii="宋体" w:hAnsi="宋体" w:eastAsia="宋体" w:cs="宋体"/>
          <w:sz w:val="24"/>
          <w:szCs w:val="24"/>
        </w:rPr>
      </w:pPr>
      <w:r>
        <w:rPr>
          <w:rFonts w:hint="eastAsia" w:ascii="宋体" w:hAnsi="宋体" w:eastAsia="宋体" w:cs="宋体"/>
          <w:spacing w:val="8"/>
          <w:sz w:val="24"/>
          <w:szCs w:val="24"/>
        </w:rPr>
        <w:t>2</w:t>
      </w:r>
      <w:r>
        <w:rPr>
          <w:rFonts w:hint="eastAsia" w:ascii="宋体" w:hAnsi="宋体" w:eastAsia="宋体" w:cs="宋体"/>
          <w:spacing w:val="-6"/>
          <w:sz w:val="24"/>
          <w:szCs w:val="24"/>
        </w:rPr>
        <w:t xml:space="preserve"> </w:t>
      </w:r>
      <w:r>
        <w:rPr>
          <w:rFonts w:hint="eastAsia" w:ascii="宋体" w:hAnsi="宋体" w:eastAsia="宋体" w:cs="宋体"/>
          <w:spacing w:val="8"/>
          <w:sz w:val="24"/>
          <w:szCs w:val="24"/>
        </w:rPr>
        <w:t>．建造师电子注册证书（在使用有效期内的有效电子证书）彩色扫描件；</w:t>
      </w:r>
    </w:p>
    <w:p w14:paraId="29DF056D">
      <w:pPr>
        <w:spacing w:before="154" w:line="298" w:lineRule="auto"/>
        <w:ind w:left="50" w:right="167" w:firstLine="417"/>
        <w:rPr>
          <w:rFonts w:hint="eastAsia" w:ascii="宋体" w:hAnsi="宋体" w:eastAsia="宋体" w:cs="宋体"/>
          <w:sz w:val="24"/>
          <w:szCs w:val="24"/>
        </w:rPr>
      </w:pPr>
      <w:r>
        <w:rPr>
          <w:rFonts w:hint="eastAsia" w:ascii="宋体" w:hAnsi="宋体" w:eastAsia="宋体" w:cs="宋体"/>
          <w:spacing w:val="8"/>
          <w:sz w:val="24"/>
          <w:szCs w:val="24"/>
        </w:rPr>
        <w:t>3．B 类安全生产考核合格证书彩色扫描件或广东省建筑施工企业管理人员安全生产考核系统考</w:t>
      </w:r>
      <w:r>
        <w:rPr>
          <w:rFonts w:hint="eastAsia" w:ascii="宋体" w:hAnsi="宋体" w:eastAsia="宋体" w:cs="宋体"/>
          <w:spacing w:val="7"/>
          <w:sz w:val="24"/>
          <w:szCs w:val="24"/>
        </w:rPr>
        <w:t>核合格信息彩色扫描件；</w:t>
      </w:r>
    </w:p>
    <w:p w14:paraId="3A28225C">
      <w:pPr>
        <w:spacing w:before="153" w:line="299" w:lineRule="auto"/>
        <w:ind w:left="49" w:right="167" w:firstLine="413"/>
        <w:rPr>
          <w:rFonts w:hint="eastAsia" w:ascii="宋体" w:hAnsi="宋体" w:eastAsia="宋体" w:cs="宋体"/>
          <w:sz w:val="24"/>
          <w:szCs w:val="24"/>
        </w:rPr>
      </w:pPr>
      <w:r>
        <w:rPr>
          <w:rFonts w:hint="eastAsia" w:ascii="宋体" w:hAnsi="宋体" w:eastAsia="宋体" w:cs="宋体"/>
          <w:spacing w:val="8"/>
          <w:sz w:val="24"/>
          <w:szCs w:val="24"/>
        </w:rPr>
        <w:t>4</w:t>
      </w:r>
      <w:r>
        <w:rPr>
          <w:rFonts w:hint="eastAsia" w:ascii="宋体" w:hAnsi="宋体" w:eastAsia="宋体" w:cs="宋体"/>
          <w:spacing w:val="-20"/>
          <w:sz w:val="24"/>
          <w:szCs w:val="24"/>
        </w:rPr>
        <w:t xml:space="preserve"> </w:t>
      </w:r>
      <w:r>
        <w:rPr>
          <w:rFonts w:hint="eastAsia" w:ascii="宋体" w:hAnsi="宋体" w:eastAsia="宋体" w:cs="宋体"/>
          <w:spacing w:val="8"/>
          <w:sz w:val="24"/>
          <w:szCs w:val="24"/>
        </w:rPr>
        <w:t>．在本单位缴纳社保</w:t>
      </w:r>
      <w:r>
        <w:rPr>
          <w:rFonts w:hint="eastAsia" w:ascii="宋体" w:hAnsi="宋体" w:eastAsia="宋体" w:cs="宋体"/>
          <w:sz w:val="24"/>
          <w:szCs w:val="24"/>
          <w:lang w:eastAsia="zh-CN"/>
        </w:rPr>
        <w:t>的</w:t>
      </w:r>
      <w:r>
        <w:rPr>
          <w:rFonts w:hint="eastAsia" w:ascii="宋体" w:hAnsi="宋体" w:eastAsia="宋体" w:cs="宋体"/>
          <w:color w:val="auto"/>
          <w:sz w:val="24"/>
          <w:szCs w:val="24"/>
          <w:lang w:eastAsia="zh-CN"/>
        </w:rPr>
        <w:t>证明（至少</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个月，其中必须有</w:t>
      </w:r>
      <w:r>
        <w:rPr>
          <w:rFonts w:hint="eastAsia" w:ascii="宋体" w:hAnsi="宋体" w:eastAsia="宋体" w:cs="宋体"/>
          <w:color w:val="auto"/>
          <w:sz w:val="24"/>
          <w:szCs w:val="24"/>
          <w:lang w:val="en-US" w:eastAsia="zh-CN"/>
        </w:rPr>
        <w:t>2025年12月</w:t>
      </w:r>
      <w:r>
        <w:rPr>
          <w:rFonts w:hint="eastAsia" w:ascii="宋体" w:hAnsi="宋体" w:eastAsia="宋体" w:cs="宋体"/>
          <w:color w:val="auto"/>
          <w:sz w:val="24"/>
          <w:szCs w:val="24"/>
          <w:lang w:eastAsia="zh-CN"/>
        </w:rPr>
        <w:t>）</w:t>
      </w:r>
      <w:r>
        <w:rPr>
          <w:rFonts w:hint="eastAsia" w:ascii="宋体" w:hAnsi="宋体" w:eastAsia="宋体" w:cs="宋体"/>
          <w:color w:val="auto"/>
          <w:spacing w:val="8"/>
          <w:sz w:val="24"/>
          <w:szCs w:val="24"/>
        </w:rPr>
        <w:t>复印件或打印件。拟</w:t>
      </w:r>
      <w:r>
        <w:rPr>
          <w:rFonts w:hint="eastAsia" w:ascii="宋体" w:hAnsi="宋体" w:eastAsia="宋体" w:cs="宋体"/>
          <w:color w:val="auto"/>
          <w:spacing w:val="9"/>
          <w:sz w:val="24"/>
          <w:szCs w:val="24"/>
        </w:rPr>
        <w:t>派项目经理为退休返聘人员无法提供社保证明的，提供退休证和劳动合同彩色</w:t>
      </w:r>
      <w:r>
        <w:rPr>
          <w:rFonts w:hint="eastAsia" w:ascii="宋体" w:hAnsi="宋体" w:eastAsia="宋体" w:cs="宋体"/>
          <w:spacing w:val="9"/>
          <w:sz w:val="24"/>
          <w:szCs w:val="24"/>
        </w:rPr>
        <w:t>扫描件。</w:t>
      </w:r>
    </w:p>
    <w:p w14:paraId="4CD4A704">
      <w:pPr>
        <w:spacing w:before="150" w:line="300" w:lineRule="auto"/>
        <w:ind w:left="49" w:right="170" w:firstLine="420"/>
        <w:rPr>
          <w:rFonts w:hint="eastAsia" w:ascii="宋体" w:hAnsi="宋体" w:eastAsia="宋体" w:cs="宋体"/>
          <w:sz w:val="24"/>
          <w:szCs w:val="24"/>
        </w:rPr>
      </w:pPr>
      <w:r>
        <w:rPr>
          <w:rFonts w:hint="eastAsia" w:ascii="宋体" w:hAnsi="宋体" w:eastAsia="宋体" w:cs="宋体"/>
          <w:spacing w:val="7"/>
          <w:sz w:val="24"/>
          <w:szCs w:val="24"/>
        </w:rPr>
        <w:t>5</w:t>
      </w:r>
      <w:r>
        <w:rPr>
          <w:rFonts w:hint="eastAsia" w:ascii="宋体" w:hAnsi="宋体" w:eastAsia="宋体" w:cs="宋体"/>
          <w:spacing w:val="-21"/>
          <w:sz w:val="24"/>
          <w:szCs w:val="24"/>
        </w:rPr>
        <w:t xml:space="preserve"> </w:t>
      </w:r>
      <w:r>
        <w:rPr>
          <w:rFonts w:hint="eastAsia" w:ascii="宋体" w:hAnsi="宋体" w:eastAsia="宋体" w:cs="宋体"/>
          <w:spacing w:val="7"/>
          <w:sz w:val="24"/>
          <w:szCs w:val="24"/>
        </w:rPr>
        <w:t>．“进粤企业和人员诚信信息登记平台</w:t>
      </w:r>
      <w:r>
        <w:rPr>
          <w:rFonts w:hint="eastAsia" w:ascii="宋体" w:hAnsi="宋体" w:eastAsia="宋体" w:cs="宋体"/>
          <w:spacing w:val="-73"/>
          <w:sz w:val="24"/>
          <w:szCs w:val="24"/>
        </w:rPr>
        <w:t xml:space="preserve"> </w:t>
      </w:r>
      <w:r>
        <w:rPr>
          <w:rFonts w:hint="eastAsia" w:ascii="宋体" w:hAnsi="宋体" w:eastAsia="宋体" w:cs="宋体"/>
          <w:spacing w:val="7"/>
          <w:sz w:val="24"/>
          <w:szCs w:val="24"/>
        </w:rPr>
        <w:t>”个人（项目经理等）信息</w:t>
      </w:r>
      <w:r>
        <w:rPr>
          <w:rFonts w:hint="eastAsia" w:ascii="宋体" w:hAnsi="宋体" w:eastAsia="宋体" w:cs="宋体"/>
          <w:spacing w:val="6"/>
          <w:sz w:val="24"/>
          <w:szCs w:val="24"/>
        </w:rPr>
        <w:t>情况截图。（适用于省外建</w:t>
      </w:r>
      <w:r>
        <w:rPr>
          <w:rFonts w:hint="eastAsia" w:ascii="宋体" w:hAnsi="宋体" w:eastAsia="宋体" w:cs="宋体"/>
          <w:spacing w:val="4"/>
          <w:sz w:val="24"/>
          <w:szCs w:val="24"/>
        </w:rPr>
        <w:t>筑企业）</w:t>
      </w:r>
    </w:p>
    <w:p w14:paraId="42FA8A31">
      <w:pPr>
        <w:spacing w:line="300" w:lineRule="auto"/>
        <w:rPr>
          <w:rFonts w:ascii="宋体" w:hAnsi="宋体" w:eastAsia="宋体" w:cs="宋体"/>
          <w:sz w:val="20"/>
          <w:szCs w:val="20"/>
        </w:rPr>
        <w:sectPr>
          <w:footerReference r:id="rId22" w:type="default"/>
          <w:pgSz w:w="11906" w:h="16839"/>
          <w:pgMar w:top="720" w:right="720" w:bottom="720" w:left="720" w:header="0" w:footer="1023" w:gutter="0"/>
          <w:cols w:space="720" w:num="1"/>
        </w:sectPr>
      </w:pPr>
    </w:p>
    <w:p w14:paraId="66A8F566">
      <w:pPr>
        <w:spacing w:before="78" w:line="220" w:lineRule="auto"/>
        <w:outlineLvl w:val="2"/>
        <w:rPr>
          <w:rFonts w:ascii="宋体" w:hAnsi="宋体" w:eastAsia="宋体" w:cs="宋体"/>
          <w:b/>
          <w:bCs/>
          <w:spacing w:val="-4"/>
          <w:sz w:val="24"/>
          <w:szCs w:val="24"/>
        </w:rPr>
      </w:pPr>
      <w:bookmarkStart w:id="198" w:name="_Toc19123"/>
      <w:r>
        <w:rPr>
          <w:rFonts w:ascii="宋体" w:hAnsi="宋体" w:eastAsia="宋体" w:cs="宋体"/>
          <w:b/>
          <w:bCs/>
          <w:spacing w:val="-4"/>
          <w:sz w:val="24"/>
          <w:szCs w:val="24"/>
        </w:rPr>
        <w:t>格式九 项目经理任职声明</w:t>
      </w:r>
      <w:bookmarkEnd w:id="198"/>
    </w:p>
    <w:p w14:paraId="515D5638">
      <w:pPr>
        <w:pStyle w:val="5"/>
        <w:spacing w:line="350" w:lineRule="auto"/>
      </w:pPr>
    </w:p>
    <w:p w14:paraId="0E996671">
      <w:pPr>
        <w:pStyle w:val="5"/>
        <w:spacing w:line="350" w:lineRule="auto"/>
      </w:pPr>
    </w:p>
    <w:p w14:paraId="44251D37">
      <w:pPr>
        <w:spacing w:before="98" w:line="220" w:lineRule="auto"/>
        <w:ind w:left="3338"/>
        <w:rPr>
          <w:rFonts w:ascii="宋体" w:hAnsi="宋体" w:eastAsia="宋体" w:cs="宋体"/>
          <w:sz w:val="30"/>
          <w:szCs w:val="30"/>
        </w:rPr>
      </w:pPr>
      <w:bookmarkStart w:id="199" w:name="bookmark157"/>
      <w:bookmarkEnd w:id="199"/>
      <w:r>
        <w:rPr>
          <w:rFonts w:ascii="宋体" w:hAnsi="宋体" w:eastAsia="宋体" w:cs="宋体"/>
          <w:b/>
          <w:bCs/>
          <w:spacing w:val="-5"/>
          <w:sz w:val="30"/>
          <w:szCs w:val="30"/>
        </w:rPr>
        <w:t>项目经理任职声明</w:t>
      </w:r>
    </w:p>
    <w:p w14:paraId="76DBFCB3">
      <w:pPr>
        <w:pStyle w:val="5"/>
        <w:spacing w:line="250" w:lineRule="auto"/>
      </w:pPr>
    </w:p>
    <w:p w14:paraId="3C1352FB">
      <w:pPr>
        <w:pStyle w:val="5"/>
        <w:spacing w:line="250" w:lineRule="auto"/>
      </w:pPr>
    </w:p>
    <w:p w14:paraId="709A6616">
      <w:pPr>
        <w:pStyle w:val="5"/>
        <w:spacing w:line="251" w:lineRule="auto"/>
      </w:pPr>
    </w:p>
    <w:p w14:paraId="0ED87645">
      <w:pPr>
        <w:spacing w:before="78" w:line="221" w:lineRule="auto"/>
        <w:rPr>
          <w:rFonts w:ascii="宋体" w:hAnsi="宋体" w:eastAsia="宋体" w:cs="宋体"/>
          <w:sz w:val="24"/>
          <w:szCs w:val="24"/>
        </w:rPr>
      </w:pPr>
      <w:r>
        <w:rPr>
          <w:rFonts w:ascii="宋体" w:hAnsi="宋体" w:eastAsia="宋体" w:cs="宋体"/>
          <w:spacing w:val="9"/>
          <w:sz w:val="24"/>
          <w:szCs w:val="24"/>
        </w:rPr>
        <w:t>致</w:t>
      </w:r>
      <w:r>
        <w:rPr>
          <w:rFonts w:ascii="宋体" w:hAnsi="宋体" w:eastAsia="宋体" w:cs="宋体"/>
          <w:spacing w:val="-17"/>
          <w:sz w:val="24"/>
          <w:szCs w:val="24"/>
        </w:rPr>
        <w:t>：（</w:t>
      </w:r>
      <w:r>
        <w:rPr>
          <w:rFonts w:ascii="宋体" w:hAnsi="宋体" w:eastAsia="宋体" w:cs="宋体"/>
          <w:spacing w:val="9"/>
          <w:sz w:val="24"/>
          <w:szCs w:val="24"/>
        </w:rPr>
        <w:t>招标人名称</w:t>
      </w:r>
      <w:r>
        <w:rPr>
          <w:rFonts w:ascii="宋体" w:hAnsi="宋体" w:eastAsia="宋体" w:cs="宋体"/>
          <w:spacing w:val="-17"/>
          <w:sz w:val="24"/>
          <w:szCs w:val="24"/>
        </w:rPr>
        <w:t>）：</w:t>
      </w:r>
    </w:p>
    <w:p w14:paraId="53B5C8C6">
      <w:pPr>
        <w:spacing w:before="155" w:line="324" w:lineRule="auto"/>
        <w:ind w:firstLine="480"/>
        <w:rPr>
          <w:rFonts w:ascii="宋体" w:hAnsi="宋体" w:eastAsia="宋体" w:cs="宋体"/>
          <w:sz w:val="24"/>
          <w:szCs w:val="24"/>
        </w:rPr>
      </w:pPr>
      <w:r>
        <w:rPr>
          <w:rFonts w:ascii="宋体" w:hAnsi="宋体" w:eastAsia="宋体" w:cs="宋体"/>
          <w:spacing w:val="-2"/>
          <w:sz w:val="24"/>
          <w:szCs w:val="24"/>
        </w:rPr>
        <w:t>我方在此声明，我方拟派往（项目名称）的项目经理（项目经理姓名）现阶段没有</w:t>
      </w:r>
      <w:r>
        <w:rPr>
          <w:rFonts w:ascii="宋体" w:hAnsi="宋体" w:eastAsia="宋体" w:cs="宋体"/>
          <w:sz w:val="24"/>
          <w:szCs w:val="24"/>
        </w:rPr>
        <w:t>担任任何在施（包括已中标未开工、已开工未竣工）</w:t>
      </w:r>
      <w:r>
        <w:rPr>
          <w:rFonts w:ascii="宋体" w:hAnsi="宋体" w:eastAsia="宋体" w:cs="宋体"/>
          <w:spacing w:val="-1"/>
          <w:sz w:val="24"/>
          <w:szCs w:val="24"/>
        </w:rPr>
        <w:t>建设工程项目的项目经理。</w:t>
      </w:r>
    </w:p>
    <w:p w14:paraId="487C3E00">
      <w:pPr>
        <w:spacing w:before="35" w:line="326" w:lineRule="auto"/>
        <w:ind w:firstLine="481"/>
        <w:rPr>
          <w:rFonts w:ascii="宋体" w:hAnsi="宋体" w:eastAsia="宋体" w:cs="宋体"/>
          <w:sz w:val="24"/>
          <w:szCs w:val="24"/>
        </w:rPr>
      </w:pPr>
      <w:r>
        <w:rPr>
          <w:rFonts w:ascii="宋体" w:hAnsi="宋体" w:eastAsia="宋体" w:cs="宋体"/>
          <w:spacing w:val="-2"/>
          <w:sz w:val="24"/>
          <w:szCs w:val="24"/>
        </w:rPr>
        <w:t>我方保证上述信息的真实和准确，并愿意承担因我方就此弄虚作假所引起的一切法</w:t>
      </w:r>
      <w:r>
        <w:rPr>
          <w:rFonts w:ascii="宋体" w:hAnsi="宋体" w:eastAsia="宋体" w:cs="宋体"/>
          <w:spacing w:val="-3"/>
          <w:sz w:val="24"/>
          <w:szCs w:val="24"/>
        </w:rPr>
        <w:t>律后果。</w:t>
      </w:r>
    </w:p>
    <w:p w14:paraId="50EEB1D8">
      <w:pPr>
        <w:pStyle w:val="5"/>
        <w:spacing w:line="391" w:lineRule="auto"/>
      </w:pPr>
    </w:p>
    <w:p w14:paraId="3EC0013E">
      <w:pPr>
        <w:spacing w:before="78" w:line="220" w:lineRule="auto"/>
        <w:ind w:left="480"/>
        <w:rPr>
          <w:rFonts w:ascii="宋体" w:hAnsi="宋体" w:eastAsia="宋体" w:cs="宋体"/>
          <w:sz w:val="24"/>
          <w:szCs w:val="24"/>
        </w:rPr>
      </w:pPr>
      <w:r>
        <w:rPr>
          <w:rFonts w:ascii="宋体" w:hAnsi="宋体" w:eastAsia="宋体" w:cs="宋体"/>
          <w:spacing w:val="-3"/>
          <w:sz w:val="24"/>
          <w:szCs w:val="24"/>
        </w:rPr>
        <w:t>特此承诺</w:t>
      </w:r>
    </w:p>
    <w:p w14:paraId="77287A1D">
      <w:pPr>
        <w:pStyle w:val="5"/>
        <w:spacing w:line="316" w:lineRule="auto"/>
      </w:pPr>
    </w:p>
    <w:p w14:paraId="07D61364">
      <w:pPr>
        <w:pStyle w:val="5"/>
        <w:spacing w:line="317" w:lineRule="auto"/>
      </w:pPr>
    </w:p>
    <w:p w14:paraId="0B26BF9C">
      <w:pPr>
        <w:pStyle w:val="5"/>
        <w:spacing w:line="317" w:lineRule="auto"/>
      </w:pPr>
    </w:p>
    <w:p w14:paraId="77DCED1F">
      <w:pPr>
        <w:spacing w:before="79" w:line="219" w:lineRule="auto"/>
        <w:jc w:val="right"/>
        <w:rPr>
          <w:rFonts w:ascii="宋体" w:hAnsi="宋体" w:eastAsia="宋体" w:cs="宋体"/>
          <w:sz w:val="24"/>
          <w:szCs w:val="24"/>
        </w:rPr>
      </w:pPr>
      <w:r>
        <w:rPr>
          <w:rFonts w:ascii="宋体" w:hAnsi="宋体" w:eastAsia="宋体" w:cs="宋体"/>
          <w:spacing w:val="2"/>
          <w:sz w:val="24"/>
          <w:szCs w:val="24"/>
        </w:rPr>
        <w:t>投标人</w:t>
      </w:r>
      <w:r>
        <w:rPr>
          <w:rFonts w:ascii="宋体" w:hAnsi="宋体" w:eastAsia="宋体" w:cs="宋体"/>
          <w:spacing w:val="-15"/>
          <w:sz w:val="24"/>
          <w:szCs w:val="24"/>
        </w:rPr>
        <w:t>：</w:t>
      </w:r>
      <w:r>
        <w:rPr>
          <w:rFonts w:ascii="宋体" w:hAnsi="宋体" w:eastAsia="宋体" w:cs="宋体"/>
          <w:sz w:val="24"/>
          <w:szCs w:val="24"/>
          <w:u w:val="single"/>
        </w:rPr>
        <w:t xml:space="preserve">            </w:t>
      </w:r>
      <w:r>
        <w:rPr>
          <w:rFonts w:ascii="宋体" w:hAnsi="宋体" w:eastAsia="宋体" w:cs="宋体"/>
          <w:spacing w:val="-15"/>
          <w:sz w:val="24"/>
          <w:szCs w:val="24"/>
        </w:rPr>
        <w:t>（</w:t>
      </w:r>
      <w:r>
        <w:rPr>
          <w:rFonts w:ascii="宋体" w:hAnsi="宋体" w:eastAsia="宋体" w:cs="宋体"/>
          <w:spacing w:val="2"/>
          <w:sz w:val="24"/>
          <w:szCs w:val="24"/>
        </w:rPr>
        <w:t>盖单位章）</w:t>
      </w:r>
    </w:p>
    <w:p w14:paraId="315B0ECF">
      <w:pPr>
        <w:pStyle w:val="5"/>
        <w:spacing w:line="317" w:lineRule="auto"/>
      </w:pPr>
    </w:p>
    <w:p w14:paraId="62C56157">
      <w:pPr>
        <w:pStyle w:val="5"/>
        <w:spacing w:line="317" w:lineRule="auto"/>
      </w:pPr>
    </w:p>
    <w:p w14:paraId="64D0A4F5">
      <w:pPr>
        <w:pStyle w:val="5"/>
        <w:spacing w:line="317" w:lineRule="auto"/>
      </w:pPr>
    </w:p>
    <w:p w14:paraId="13D204B5">
      <w:pPr>
        <w:spacing w:before="78" w:line="219" w:lineRule="auto"/>
        <w:jc w:val="right"/>
        <w:rPr>
          <w:rFonts w:ascii="宋体" w:hAnsi="宋体" w:eastAsia="宋体" w:cs="宋体"/>
          <w:sz w:val="24"/>
          <w:szCs w:val="24"/>
        </w:rPr>
      </w:pPr>
      <w:r>
        <w:rPr>
          <w:rFonts w:ascii="宋体" w:hAnsi="宋体" w:eastAsia="宋体" w:cs="宋体"/>
          <w:spacing w:val="1"/>
          <w:sz w:val="24"/>
          <w:szCs w:val="24"/>
        </w:rPr>
        <w:t>法定代表人或其委托代理人</w:t>
      </w:r>
      <w:r>
        <w:rPr>
          <w:rFonts w:ascii="宋体" w:hAnsi="宋体" w:eastAsia="宋体" w:cs="宋体"/>
          <w:spacing w:val="-15"/>
          <w:sz w:val="24"/>
          <w:szCs w:val="24"/>
        </w:rPr>
        <w:t>：</w:t>
      </w:r>
      <w:r>
        <w:rPr>
          <w:rFonts w:ascii="宋体" w:hAnsi="宋体" w:eastAsia="宋体" w:cs="宋体"/>
          <w:sz w:val="24"/>
          <w:szCs w:val="24"/>
          <w:u w:val="single"/>
        </w:rPr>
        <w:t xml:space="preserve">       </w:t>
      </w:r>
      <w:r>
        <w:rPr>
          <w:rFonts w:ascii="宋体" w:hAnsi="宋体" w:eastAsia="宋体" w:cs="宋体"/>
          <w:spacing w:val="-15"/>
          <w:sz w:val="24"/>
          <w:szCs w:val="24"/>
        </w:rPr>
        <w:t>（</w:t>
      </w:r>
      <w:r>
        <w:rPr>
          <w:rFonts w:ascii="宋体" w:hAnsi="宋体" w:eastAsia="宋体" w:cs="宋体"/>
          <w:spacing w:val="1"/>
          <w:sz w:val="24"/>
          <w:szCs w:val="24"/>
        </w:rPr>
        <w:t>签字或盖章）</w:t>
      </w:r>
    </w:p>
    <w:p w14:paraId="18B5D369">
      <w:pPr>
        <w:pStyle w:val="5"/>
        <w:spacing w:line="257" w:lineRule="auto"/>
      </w:pPr>
    </w:p>
    <w:p w14:paraId="78944523">
      <w:pPr>
        <w:pStyle w:val="5"/>
        <w:spacing w:line="257" w:lineRule="auto"/>
      </w:pPr>
    </w:p>
    <w:p w14:paraId="7A210690">
      <w:pPr>
        <w:spacing w:before="79" w:line="220" w:lineRule="auto"/>
        <w:ind w:left="6276"/>
        <w:jc w:val="right"/>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7"/>
          <w:sz w:val="24"/>
          <w:szCs w:val="24"/>
        </w:rPr>
        <w:t xml:space="preserve"> </w:t>
      </w:r>
      <w:r>
        <w:rPr>
          <w:rFonts w:hint="eastAsia" w:ascii="宋体" w:hAnsi="宋体" w:eastAsia="宋体" w:cs="宋体"/>
          <w:spacing w:val="7"/>
          <w:sz w:val="24"/>
          <w:szCs w:val="24"/>
          <w:lang w:eastAsia="zh-CN"/>
        </w:rPr>
        <w:t xml:space="preserve"> </w:t>
      </w:r>
      <w:r>
        <w:rPr>
          <w:rFonts w:ascii="宋体" w:hAnsi="宋体" w:eastAsia="宋体" w:cs="宋体"/>
          <w:spacing w:val="7"/>
          <w:sz w:val="24"/>
          <w:szCs w:val="24"/>
        </w:rPr>
        <w:t xml:space="preserve"> </w:t>
      </w:r>
      <w:r>
        <w:rPr>
          <w:rFonts w:ascii="宋体" w:hAnsi="宋体" w:eastAsia="宋体" w:cs="宋体"/>
          <w:spacing w:val="-9"/>
          <w:sz w:val="24"/>
          <w:szCs w:val="24"/>
        </w:rPr>
        <w:t>月</w:t>
      </w:r>
      <w:r>
        <w:rPr>
          <w:rFonts w:ascii="宋体" w:hAnsi="宋体" w:eastAsia="宋体" w:cs="宋体"/>
          <w:spacing w:val="17"/>
          <w:sz w:val="24"/>
          <w:szCs w:val="24"/>
        </w:rPr>
        <w:t xml:space="preserve">   </w:t>
      </w:r>
      <w:r>
        <w:rPr>
          <w:rFonts w:ascii="宋体" w:hAnsi="宋体" w:eastAsia="宋体" w:cs="宋体"/>
          <w:spacing w:val="-9"/>
          <w:sz w:val="24"/>
          <w:szCs w:val="24"/>
        </w:rPr>
        <w:t>日</w:t>
      </w:r>
    </w:p>
    <w:p w14:paraId="5D257BD0">
      <w:pPr>
        <w:spacing w:line="220" w:lineRule="auto"/>
        <w:rPr>
          <w:rFonts w:ascii="宋体" w:hAnsi="宋体" w:eastAsia="宋体" w:cs="宋体"/>
          <w:sz w:val="24"/>
          <w:szCs w:val="24"/>
        </w:rPr>
        <w:sectPr>
          <w:footerReference r:id="rId23" w:type="default"/>
          <w:pgSz w:w="11906" w:h="16839"/>
          <w:pgMar w:top="720" w:right="720" w:bottom="720" w:left="720" w:header="0" w:footer="1023" w:gutter="0"/>
          <w:cols w:space="720" w:num="1"/>
        </w:sectPr>
      </w:pPr>
    </w:p>
    <w:p w14:paraId="379A1D14">
      <w:pPr>
        <w:spacing w:before="78" w:line="220" w:lineRule="auto"/>
        <w:outlineLvl w:val="2"/>
        <w:rPr>
          <w:rFonts w:ascii="宋体" w:hAnsi="宋体" w:eastAsia="宋体" w:cs="宋体"/>
          <w:b/>
          <w:bCs/>
          <w:spacing w:val="-4"/>
          <w:sz w:val="24"/>
          <w:szCs w:val="24"/>
        </w:rPr>
      </w:pPr>
      <w:bookmarkStart w:id="200" w:name="_Toc7909"/>
      <w:r>
        <w:rPr>
          <w:rFonts w:ascii="宋体" w:hAnsi="宋体" w:eastAsia="宋体" w:cs="宋体"/>
          <w:b/>
          <w:bCs/>
          <w:spacing w:val="-4"/>
          <w:sz w:val="24"/>
          <w:szCs w:val="24"/>
        </w:rPr>
        <w:t>格式十 项目技术负责人简历表</w:t>
      </w:r>
      <w:bookmarkEnd w:id="200"/>
    </w:p>
    <w:p w14:paraId="2DCC27E3">
      <w:pPr>
        <w:pStyle w:val="5"/>
        <w:spacing w:line="444" w:lineRule="auto"/>
      </w:pPr>
    </w:p>
    <w:p w14:paraId="135A0D88">
      <w:pPr>
        <w:spacing w:before="97" w:line="219" w:lineRule="auto"/>
        <w:ind w:left="3087"/>
        <w:outlineLvl w:val="1"/>
        <w:rPr>
          <w:rFonts w:ascii="宋体" w:hAnsi="宋体" w:eastAsia="宋体" w:cs="宋体"/>
          <w:sz w:val="30"/>
          <w:szCs w:val="30"/>
        </w:rPr>
      </w:pPr>
      <w:bookmarkStart w:id="201" w:name="_Toc1553"/>
      <w:r>
        <w:rPr>
          <w:rFonts w:ascii="宋体" w:hAnsi="宋体" w:eastAsia="宋体" w:cs="宋体"/>
          <w:b/>
          <w:bCs/>
          <w:spacing w:val="-4"/>
          <w:sz w:val="30"/>
          <w:szCs w:val="30"/>
        </w:rPr>
        <w:t>项目技术负责人简历表</w:t>
      </w:r>
      <w:bookmarkEnd w:id="201"/>
    </w:p>
    <w:p w14:paraId="05476982">
      <w:pPr>
        <w:spacing w:line="240" w:lineRule="exact"/>
      </w:pPr>
    </w:p>
    <w:tbl>
      <w:tblPr>
        <w:tblStyle w:val="14"/>
        <w:tblW w:w="104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6"/>
        <w:gridCol w:w="1083"/>
        <w:gridCol w:w="657"/>
        <w:gridCol w:w="729"/>
        <w:gridCol w:w="1455"/>
        <w:gridCol w:w="2212"/>
        <w:gridCol w:w="1927"/>
        <w:gridCol w:w="1498"/>
      </w:tblGrid>
      <w:tr w14:paraId="5A16C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959" w:type="dxa"/>
            <w:gridSpan w:val="2"/>
            <w:noWrap w:val="0"/>
            <w:vAlign w:val="top"/>
          </w:tcPr>
          <w:p w14:paraId="43CCC7F2">
            <w:pPr>
              <w:spacing w:before="177" w:line="228" w:lineRule="auto"/>
              <w:ind w:left="508"/>
              <w:rPr>
                <w:rFonts w:hint="eastAsia" w:ascii="宋体" w:hAnsi="宋体" w:eastAsia="宋体" w:cs="宋体"/>
                <w:sz w:val="24"/>
                <w:szCs w:val="24"/>
              </w:rPr>
            </w:pPr>
            <w:r>
              <w:rPr>
                <w:rFonts w:hint="eastAsia" w:ascii="宋体" w:hAnsi="宋体" w:eastAsia="宋体" w:cs="宋体"/>
                <w:sz w:val="24"/>
                <w:szCs w:val="24"/>
              </w:rPr>
              <w:t>姓</w:t>
            </w:r>
            <w:r>
              <w:rPr>
                <w:rFonts w:hint="eastAsia" w:ascii="宋体" w:hAnsi="宋体" w:eastAsia="宋体" w:cs="宋体"/>
                <w:spacing w:val="9"/>
                <w:sz w:val="24"/>
                <w:szCs w:val="24"/>
              </w:rPr>
              <w:t xml:space="preserve">   </w:t>
            </w:r>
            <w:r>
              <w:rPr>
                <w:rFonts w:hint="eastAsia" w:ascii="宋体" w:hAnsi="宋体" w:eastAsia="宋体" w:cs="宋体"/>
                <w:sz w:val="24"/>
                <w:szCs w:val="24"/>
              </w:rPr>
              <w:t>名</w:t>
            </w:r>
          </w:p>
        </w:tc>
        <w:tc>
          <w:tcPr>
            <w:tcW w:w="1386" w:type="dxa"/>
            <w:gridSpan w:val="2"/>
            <w:noWrap w:val="0"/>
            <w:vAlign w:val="top"/>
          </w:tcPr>
          <w:p w14:paraId="4C934EE6">
            <w:pPr>
              <w:pStyle w:val="20"/>
              <w:rPr>
                <w:rFonts w:hint="eastAsia" w:ascii="宋体" w:hAnsi="宋体" w:eastAsia="宋体" w:cs="宋体"/>
                <w:sz w:val="24"/>
                <w:szCs w:val="24"/>
              </w:rPr>
            </w:pPr>
          </w:p>
        </w:tc>
        <w:tc>
          <w:tcPr>
            <w:tcW w:w="1455" w:type="dxa"/>
            <w:noWrap w:val="0"/>
            <w:vAlign w:val="top"/>
          </w:tcPr>
          <w:p w14:paraId="3ACBDAED">
            <w:pPr>
              <w:spacing w:before="177" w:line="229" w:lineRule="auto"/>
              <w:ind w:left="336"/>
              <w:rPr>
                <w:rFonts w:hint="eastAsia" w:ascii="宋体" w:hAnsi="宋体" w:eastAsia="宋体" w:cs="宋体"/>
                <w:sz w:val="24"/>
                <w:szCs w:val="24"/>
              </w:rPr>
            </w:pPr>
            <w:r>
              <w:rPr>
                <w:rFonts w:hint="eastAsia" w:ascii="宋体" w:hAnsi="宋体" w:eastAsia="宋体" w:cs="宋体"/>
                <w:sz w:val="24"/>
                <w:szCs w:val="24"/>
              </w:rPr>
              <w:t>性</w:t>
            </w:r>
            <w:r>
              <w:rPr>
                <w:rFonts w:hint="eastAsia" w:ascii="宋体" w:hAnsi="宋体" w:eastAsia="宋体" w:cs="宋体"/>
                <w:spacing w:val="10"/>
                <w:sz w:val="24"/>
                <w:szCs w:val="24"/>
              </w:rPr>
              <w:t xml:space="preserve">  </w:t>
            </w:r>
            <w:r>
              <w:rPr>
                <w:rFonts w:hint="eastAsia" w:ascii="宋体" w:hAnsi="宋体" w:eastAsia="宋体" w:cs="宋体"/>
                <w:sz w:val="24"/>
                <w:szCs w:val="24"/>
              </w:rPr>
              <w:t>别</w:t>
            </w:r>
          </w:p>
        </w:tc>
        <w:tc>
          <w:tcPr>
            <w:tcW w:w="2212" w:type="dxa"/>
            <w:noWrap w:val="0"/>
            <w:vAlign w:val="top"/>
          </w:tcPr>
          <w:p w14:paraId="192290F7">
            <w:pPr>
              <w:pStyle w:val="20"/>
              <w:rPr>
                <w:rFonts w:hint="eastAsia" w:ascii="宋体" w:hAnsi="宋体" w:eastAsia="宋体" w:cs="宋体"/>
                <w:sz w:val="24"/>
                <w:szCs w:val="24"/>
              </w:rPr>
            </w:pPr>
          </w:p>
        </w:tc>
        <w:tc>
          <w:tcPr>
            <w:tcW w:w="1927" w:type="dxa"/>
            <w:noWrap w:val="0"/>
            <w:vAlign w:val="top"/>
          </w:tcPr>
          <w:p w14:paraId="55103F3B">
            <w:pPr>
              <w:spacing w:before="177" w:line="228" w:lineRule="auto"/>
              <w:ind w:left="487"/>
              <w:rPr>
                <w:rFonts w:hint="eastAsia" w:ascii="宋体" w:hAnsi="宋体" w:eastAsia="宋体" w:cs="宋体"/>
                <w:sz w:val="24"/>
                <w:szCs w:val="24"/>
              </w:rPr>
            </w:pPr>
            <w:r>
              <w:rPr>
                <w:rFonts w:hint="eastAsia" w:ascii="宋体" w:hAnsi="宋体" w:eastAsia="宋体" w:cs="宋体"/>
                <w:sz w:val="24"/>
                <w:szCs w:val="24"/>
              </w:rPr>
              <w:t>年</w:t>
            </w:r>
            <w:r>
              <w:rPr>
                <w:rFonts w:hint="eastAsia" w:ascii="宋体" w:hAnsi="宋体" w:eastAsia="宋体" w:cs="宋体"/>
                <w:spacing w:val="8"/>
                <w:sz w:val="24"/>
                <w:szCs w:val="24"/>
              </w:rPr>
              <w:t xml:space="preserve">   </w:t>
            </w:r>
            <w:r>
              <w:rPr>
                <w:rFonts w:hint="eastAsia" w:ascii="宋体" w:hAnsi="宋体" w:eastAsia="宋体" w:cs="宋体"/>
                <w:sz w:val="24"/>
                <w:szCs w:val="24"/>
              </w:rPr>
              <w:t>龄</w:t>
            </w:r>
          </w:p>
        </w:tc>
        <w:tc>
          <w:tcPr>
            <w:tcW w:w="1498" w:type="dxa"/>
            <w:noWrap w:val="0"/>
            <w:vAlign w:val="top"/>
          </w:tcPr>
          <w:p w14:paraId="52D12A64">
            <w:pPr>
              <w:pStyle w:val="20"/>
              <w:rPr>
                <w:rFonts w:hint="eastAsia" w:ascii="宋体" w:hAnsi="宋体" w:eastAsia="宋体" w:cs="宋体"/>
                <w:sz w:val="24"/>
                <w:szCs w:val="24"/>
              </w:rPr>
            </w:pPr>
          </w:p>
        </w:tc>
      </w:tr>
      <w:tr w14:paraId="02BEC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1959" w:type="dxa"/>
            <w:gridSpan w:val="2"/>
            <w:noWrap w:val="0"/>
            <w:vAlign w:val="top"/>
          </w:tcPr>
          <w:p w14:paraId="557392F1">
            <w:pPr>
              <w:spacing w:before="175" w:line="228" w:lineRule="auto"/>
              <w:ind w:left="509"/>
              <w:rPr>
                <w:rFonts w:hint="eastAsia" w:ascii="宋体" w:hAnsi="宋体" w:eastAsia="宋体" w:cs="宋体"/>
                <w:sz w:val="24"/>
                <w:szCs w:val="24"/>
              </w:rPr>
            </w:pPr>
            <w:r>
              <w:rPr>
                <w:rFonts w:hint="eastAsia" w:ascii="宋体" w:hAnsi="宋体" w:eastAsia="宋体" w:cs="宋体"/>
                <w:sz w:val="24"/>
                <w:szCs w:val="24"/>
              </w:rPr>
              <w:t>职</w:t>
            </w:r>
            <w:r>
              <w:rPr>
                <w:rFonts w:hint="eastAsia" w:ascii="宋体" w:hAnsi="宋体" w:eastAsia="宋体" w:cs="宋体"/>
                <w:spacing w:val="8"/>
                <w:sz w:val="24"/>
                <w:szCs w:val="24"/>
              </w:rPr>
              <w:t xml:space="preserve">   </w:t>
            </w:r>
            <w:r>
              <w:rPr>
                <w:rFonts w:hint="eastAsia" w:ascii="宋体" w:hAnsi="宋体" w:eastAsia="宋体" w:cs="宋体"/>
                <w:sz w:val="24"/>
                <w:szCs w:val="24"/>
              </w:rPr>
              <w:t>务</w:t>
            </w:r>
          </w:p>
        </w:tc>
        <w:tc>
          <w:tcPr>
            <w:tcW w:w="1386" w:type="dxa"/>
            <w:gridSpan w:val="2"/>
            <w:noWrap w:val="0"/>
            <w:vAlign w:val="top"/>
          </w:tcPr>
          <w:p w14:paraId="6B6B8C2F">
            <w:pPr>
              <w:pStyle w:val="20"/>
              <w:rPr>
                <w:rFonts w:hint="eastAsia" w:ascii="宋体" w:hAnsi="宋体" w:eastAsia="宋体" w:cs="宋体"/>
                <w:sz w:val="24"/>
                <w:szCs w:val="24"/>
              </w:rPr>
            </w:pPr>
          </w:p>
        </w:tc>
        <w:tc>
          <w:tcPr>
            <w:tcW w:w="1455" w:type="dxa"/>
            <w:noWrap w:val="0"/>
            <w:vAlign w:val="top"/>
          </w:tcPr>
          <w:p w14:paraId="3D6159BE">
            <w:pPr>
              <w:spacing w:before="174" w:line="231" w:lineRule="auto"/>
              <w:ind w:left="337"/>
              <w:rPr>
                <w:rFonts w:hint="eastAsia" w:ascii="宋体" w:hAnsi="宋体" w:eastAsia="宋体" w:cs="宋体"/>
                <w:sz w:val="24"/>
                <w:szCs w:val="24"/>
              </w:rPr>
            </w:pPr>
            <w:r>
              <w:rPr>
                <w:rFonts w:hint="eastAsia" w:ascii="宋体" w:hAnsi="宋体" w:eastAsia="宋体" w:cs="宋体"/>
                <w:sz w:val="24"/>
                <w:szCs w:val="24"/>
              </w:rPr>
              <w:t>职</w:t>
            </w:r>
            <w:r>
              <w:rPr>
                <w:rFonts w:hint="eastAsia" w:ascii="宋体" w:hAnsi="宋体" w:eastAsia="宋体" w:cs="宋体"/>
                <w:spacing w:val="9"/>
                <w:sz w:val="24"/>
                <w:szCs w:val="24"/>
              </w:rPr>
              <w:t xml:space="preserve">  </w:t>
            </w:r>
            <w:r>
              <w:rPr>
                <w:rFonts w:hint="eastAsia" w:ascii="宋体" w:hAnsi="宋体" w:eastAsia="宋体" w:cs="宋体"/>
                <w:sz w:val="24"/>
                <w:szCs w:val="24"/>
              </w:rPr>
              <w:t>称</w:t>
            </w:r>
          </w:p>
        </w:tc>
        <w:tc>
          <w:tcPr>
            <w:tcW w:w="2212" w:type="dxa"/>
            <w:noWrap w:val="0"/>
            <w:vAlign w:val="top"/>
          </w:tcPr>
          <w:p w14:paraId="050143A4">
            <w:pPr>
              <w:pStyle w:val="20"/>
              <w:rPr>
                <w:rFonts w:hint="eastAsia" w:ascii="宋体" w:hAnsi="宋体" w:eastAsia="宋体" w:cs="宋体"/>
                <w:sz w:val="24"/>
                <w:szCs w:val="24"/>
              </w:rPr>
            </w:pPr>
          </w:p>
        </w:tc>
        <w:tc>
          <w:tcPr>
            <w:tcW w:w="1927" w:type="dxa"/>
            <w:noWrap w:val="0"/>
            <w:vAlign w:val="top"/>
          </w:tcPr>
          <w:p w14:paraId="791CA685">
            <w:pPr>
              <w:spacing w:before="175" w:line="230" w:lineRule="auto"/>
              <w:ind w:left="490"/>
              <w:rPr>
                <w:rFonts w:hint="eastAsia" w:ascii="宋体" w:hAnsi="宋体" w:eastAsia="宋体" w:cs="宋体"/>
                <w:sz w:val="24"/>
                <w:szCs w:val="24"/>
              </w:rPr>
            </w:pPr>
            <w:r>
              <w:rPr>
                <w:rFonts w:hint="eastAsia" w:ascii="宋体" w:hAnsi="宋体" w:eastAsia="宋体" w:cs="宋体"/>
                <w:spacing w:val="-2"/>
                <w:sz w:val="24"/>
                <w:szCs w:val="24"/>
              </w:rPr>
              <w:t>学</w:t>
            </w:r>
            <w:r>
              <w:rPr>
                <w:rFonts w:hint="eastAsia" w:ascii="宋体" w:hAnsi="宋体" w:eastAsia="宋体" w:cs="宋体"/>
                <w:spacing w:val="9"/>
                <w:sz w:val="24"/>
                <w:szCs w:val="24"/>
              </w:rPr>
              <w:t xml:space="preserve">   </w:t>
            </w:r>
            <w:r>
              <w:rPr>
                <w:rFonts w:hint="eastAsia" w:ascii="宋体" w:hAnsi="宋体" w:eastAsia="宋体" w:cs="宋体"/>
                <w:spacing w:val="-2"/>
                <w:sz w:val="24"/>
                <w:szCs w:val="24"/>
              </w:rPr>
              <w:t>历</w:t>
            </w:r>
          </w:p>
        </w:tc>
        <w:tc>
          <w:tcPr>
            <w:tcW w:w="1498" w:type="dxa"/>
            <w:noWrap w:val="0"/>
            <w:vAlign w:val="top"/>
          </w:tcPr>
          <w:p w14:paraId="791DDFD5">
            <w:pPr>
              <w:pStyle w:val="20"/>
              <w:rPr>
                <w:rFonts w:hint="eastAsia" w:ascii="宋体" w:hAnsi="宋体" w:eastAsia="宋体" w:cs="宋体"/>
                <w:sz w:val="24"/>
                <w:szCs w:val="24"/>
              </w:rPr>
            </w:pPr>
          </w:p>
        </w:tc>
      </w:tr>
      <w:tr w14:paraId="05F65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trPr>
        <w:tc>
          <w:tcPr>
            <w:tcW w:w="1959" w:type="dxa"/>
            <w:gridSpan w:val="2"/>
            <w:noWrap w:val="0"/>
            <w:vAlign w:val="top"/>
          </w:tcPr>
          <w:p w14:paraId="41F9BDEA">
            <w:pPr>
              <w:spacing w:before="175" w:line="229" w:lineRule="auto"/>
              <w:ind w:left="248"/>
              <w:rPr>
                <w:rFonts w:hint="eastAsia" w:ascii="宋体" w:hAnsi="宋体" w:eastAsia="宋体" w:cs="宋体"/>
                <w:sz w:val="24"/>
                <w:szCs w:val="24"/>
              </w:rPr>
            </w:pPr>
            <w:r>
              <w:rPr>
                <w:rFonts w:hint="eastAsia" w:ascii="宋体" w:hAnsi="宋体" w:eastAsia="宋体" w:cs="宋体"/>
                <w:spacing w:val="7"/>
                <w:sz w:val="24"/>
                <w:szCs w:val="24"/>
              </w:rPr>
              <w:t>参加工作时间</w:t>
            </w:r>
          </w:p>
        </w:tc>
        <w:tc>
          <w:tcPr>
            <w:tcW w:w="2841" w:type="dxa"/>
            <w:gridSpan w:val="3"/>
            <w:noWrap w:val="0"/>
            <w:vAlign w:val="top"/>
          </w:tcPr>
          <w:p w14:paraId="56E98CEB">
            <w:pPr>
              <w:pStyle w:val="20"/>
              <w:rPr>
                <w:rFonts w:hint="eastAsia" w:ascii="宋体" w:hAnsi="宋体" w:eastAsia="宋体" w:cs="宋体"/>
                <w:sz w:val="24"/>
                <w:szCs w:val="24"/>
              </w:rPr>
            </w:pPr>
          </w:p>
        </w:tc>
        <w:tc>
          <w:tcPr>
            <w:tcW w:w="4139" w:type="dxa"/>
            <w:gridSpan w:val="2"/>
            <w:noWrap w:val="0"/>
            <w:vAlign w:val="top"/>
          </w:tcPr>
          <w:p w14:paraId="73F837E9">
            <w:pPr>
              <w:spacing w:before="176" w:line="228" w:lineRule="auto"/>
              <w:ind w:left="377"/>
              <w:rPr>
                <w:rFonts w:hint="eastAsia" w:ascii="宋体" w:hAnsi="宋体" w:eastAsia="宋体" w:cs="宋体"/>
                <w:sz w:val="24"/>
                <w:szCs w:val="24"/>
              </w:rPr>
            </w:pPr>
            <w:r>
              <w:rPr>
                <w:rFonts w:hint="eastAsia" w:ascii="宋体" w:hAnsi="宋体" w:eastAsia="宋体" w:cs="宋体"/>
                <w:spacing w:val="9"/>
                <w:sz w:val="24"/>
                <w:szCs w:val="24"/>
              </w:rPr>
              <w:t>从事工程建设项目管理工作年限</w:t>
            </w:r>
          </w:p>
        </w:tc>
        <w:tc>
          <w:tcPr>
            <w:tcW w:w="1498" w:type="dxa"/>
            <w:noWrap w:val="0"/>
            <w:vAlign w:val="top"/>
          </w:tcPr>
          <w:p w14:paraId="4849394E">
            <w:pPr>
              <w:pStyle w:val="20"/>
              <w:rPr>
                <w:rFonts w:hint="eastAsia" w:ascii="宋体" w:hAnsi="宋体" w:eastAsia="宋体" w:cs="宋体"/>
                <w:sz w:val="24"/>
                <w:szCs w:val="24"/>
              </w:rPr>
            </w:pPr>
          </w:p>
        </w:tc>
      </w:tr>
      <w:tr w14:paraId="77D75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10437" w:type="dxa"/>
            <w:gridSpan w:val="8"/>
            <w:noWrap w:val="0"/>
            <w:vAlign w:val="top"/>
          </w:tcPr>
          <w:p w14:paraId="2FAB8D97">
            <w:pPr>
              <w:spacing w:before="176" w:line="228" w:lineRule="auto"/>
              <w:ind w:left="2041"/>
              <w:rPr>
                <w:rFonts w:hint="eastAsia" w:ascii="宋体" w:hAnsi="宋体" w:eastAsia="宋体" w:cs="宋体"/>
                <w:sz w:val="24"/>
                <w:szCs w:val="24"/>
              </w:rPr>
            </w:pPr>
            <w:r>
              <w:rPr>
                <w:rFonts w:hint="eastAsia" w:ascii="宋体" w:hAnsi="宋体" w:eastAsia="宋体" w:cs="宋体"/>
                <w:spacing w:val="8"/>
                <w:sz w:val="24"/>
                <w:szCs w:val="24"/>
              </w:rPr>
              <w:t>以项目技术负责人身份参与过的主要业绩（已完工项目）</w:t>
            </w:r>
          </w:p>
        </w:tc>
      </w:tr>
      <w:tr w14:paraId="4C6120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trPr>
        <w:tc>
          <w:tcPr>
            <w:tcW w:w="876" w:type="dxa"/>
            <w:noWrap w:val="0"/>
            <w:vAlign w:val="top"/>
          </w:tcPr>
          <w:p w14:paraId="4ECC0310">
            <w:pPr>
              <w:spacing w:before="176" w:line="230" w:lineRule="auto"/>
              <w:ind w:left="183"/>
              <w:rPr>
                <w:rFonts w:hint="eastAsia" w:ascii="宋体" w:hAnsi="宋体" w:eastAsia="宋体" w:cs="宋体"/>
                <w:sz w:val="24"/>
                <w:szCs w:val="24"/>
              </w:rPr>
            </w:pPr>
            <w:r>
              <w:rPr>
                <w:rFonts w:hint="eastAsia" w:ascii="宋体" w:hAnsi="宋体" w:eastAsia="宋体" w:cs="宋体"/>
                <w:spacing w:val="5"/>
                <w:sz w:val="24"/>
                <w:szCs w:val="24"/>
              </w:rPr>
              <w:t>序号</w:t>
            </w:r>
          </w:p>
        </w:tc>
        <w:tc>
          <w:tcPr>
            <w:tcW w:w="1740" w:type="dxa"/>
            <w:gridSpan w:val="2"/>
            <w:noWrap w:val="0"/>
            <w:vAlign w:val="top"/>
          </w:tcPr>
          <w:p w14:paraId="50C309D4">
            <w:pPr>
              <w:spacing w:before="176" w:line="229" w:lineRule="auto"/>
              <w:ind w:left="359"/>
              <w:rPr>
                <w:rFonts w:hint="eastAsia" w:ascii="宋体" w:hAnsi="宋体" w:eastAsia="宋体" w:cs="宋体"/>
                <w:sz w:val="24"/>
                <w:szCs w:val="24"/>
              </w:rPr>
            </w:pPr>
            <w:r>
              <w:rPr>
                <w:rFonts w:hint="eastAsia" w:ascii="宋体" w:hAnsi="宋体" w:eastAsia="宋体" w:cs="宋体"/>
                <w:spacing w:val="6"/>
                <w:sz w:val="24"/>
                <w:szCs w:val="24"/>
              </w:rPr>
              <w:t>项目名称</w:t>
            </w:r>
          </w:p>
        </w:tc>
        <w:tc>
          <w:tcPr>
            <w:tcW w:w="2184" w:type="dxa"/>
            <w:gridSpan w:val="2"/>
            <w:noWrap w:val="0"/>
            <w:vAlign w:val="top"/>
          </w:tcPr>
          <w:p w14:paraId="16C9D0B4">
            <w:pPr>
              <w:spacing w:before="176" w:line="229" w:lineRule="auto"/>
              <w:ind w:left="557"/>
              <w:rPr>
                <w:rFonts w:hint="eastAsia" w:ascii="宋体" w:hAnsi="宋体" w:eastAsia="宋体" w:cs="宋体"/>
                <w:sz w:val="24"/>
                <w:szCs w:val="24"/>
              </w:rPr>
            </w:pPr>
            <w:r>
              <w:rPr>
                <w:rFonts w:hint="eastAsia" w:ascii="宋体" w:hAnsi="宋体" w:eastAsia="宋体" w:cs="宋体"/>
                <w:spacing w:val="6"/>
                <w:sz w:val="24"/>
                <w:szCs w:val="24"/>
              </w:rPr>
              <w:t>建设单位</w:t>
            </w:r>
          </w:p>
        </w:tc>
        <w:tc>
          <w:tcPr>
            <w:tcW w:w="2212" w:type="dxa"/>
            <w:noWrap w:val="0"/>
            <w:vAlign w:val="top"/>
          </w:tcPr>
          <w:p w14:paraId="6DEBEF52">
            <w:pPr>
              <w:spacing w:before="176" w:line="228" w:lineRule="auto"/>
              <w:ind w:left="260"/>
              <w:rPr>
                <w:rFonts w:hint="eastAsia" w:ascii="宋体" w:hAnsi="宋体" w:eastAsia="宋体" w:cs="宋体"/>
                <w:sz w:val="24"/>
                <w:szCs w:val="24"/>
              </w:rPr>
            </w:pPr>
            <w:r>
              <w:rPr>
                <w:rFonts w:hint="eastAsia" w:ascii="宋体" w:hAnsi="宋体" w:eastAsia="宋体" w:cs="宋体"/>
                <w:spacing w:val="8"/>
                <w:sz w:val="24"/>
                <w:szCs w:val="24"/>
              </w:rPr>
              <w:t>建设内容和规模</w:t>
            </w:r>
          </w:p>
        </w:tc>
        <w:tc>
          <w:tcPr>
            <w:tcW w:w="1927" w:type="dxa"/>
            <w:noWrap w:val="0"/>
            <w:vAlign w:val="top"/>
          </w:tcPr>
          <w:p w14:paraId="5E2252A3">
            <w:pPr>
              <w:spacing w:before="176" w:line="228" w:lineRule="auto"/>
              <w:ind w:left="237"/>
              <w:rPr>
                <w:rFonts w:hint="eastAsia" w:ascii="宋体" w:hAnsi="宋体" w:eastAsia="宋体" w:cs="宋体"/>
                <w:sz w:val="24"/>
                <w:szCs w:val="24"/>
              </w:rPr>
            </w:pPr>
            <w:r>
              <w:rPr>
                <w:rFonts w:hint="eastAsia" w:ascii="宋体" w:hAnsi="宋体" w:eastAsia="宋体" w:cs="宋体"/>
                <w:spacing w:val="8"/>
                <w:sz w:val="24"/>
                <w:szCs w:val="24"/>
              </w:rPr>
              <w:t>开、竣工日期</w:t>
            </w:r>
          </w:p>
        </w:tc>
        <w:tc>
          <w:tcPr>
            <w:tcW w:w="1498" w:type="dxa"/>
            <w:noWrap w:val="0"/>
            <w:vAlign w:val="top"/>
          </w:tcPr>
          <w:p w14:paraId="582619F5">
            <w:pPr>
              <w:spacing w:before="176" w:line="228" w:lineRule="auto"/>
              <w:ind w:left="251"/>
              <w:rPr>
                <w:rFonts w:hint="eastAsia" w:ascii="宋体" w:hAnsi="宋体" w:eastAsia="宋体" w:cs="宋体"/>
                <w:sz w:val="24"/>
                <w:szCs w:val="24"/>
              </w:rPr>
            </w:pPr>
            <w:r>
              <w:rPr>
                <w:rFonts w:hint="eastAsia" w:ascii="宋体" w:hAnsi="宋体" w:eastAsia="宋体" w:cs="宋体"/>
                <w:spacing w:val="7"/>
                <w:sz w:val="24"/>
                <w:szCs w:val="24"/>
              </w:rPr>
              <w:t>质量等级</w:t>
            </w:r>
          </w:p>
        </w:tc>
      </w:tr>
      <w:tr w14:paraId="5B80F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876" w:type="dxa"/>
            <w:noWrap w:val="0"/>
            <w:vAlign w:val="top"/>
          </w:tcPr>
          <w:p w14:paraId="37A58845">
            <w:pPr>
              <w:spacing w:before="214" w:line="195" w:lineRule="auto"/>
              <w:ind w:left="359"/>
              <w:rPr>
                <w:rFonts w:hint="eastAsia" w:ascii="宋体" w:hAnsi="宋体" w:eastAsia="宋体" w:cs="宋体"/>
                <w:sz w:val="24"/>
                <w:szCs w:val="24"/>
              </w:rPr>
            </w:pPr>
            <w:r>
              <w:rPr>
                <w:rFonts w:hint="eastAsia" w:ascii="宋体" w:hAnsi="宋体" w:eastAsia="宋体" w:cs="宋体"/>
                <w:sz w:val="24"/>
                <w:szCs w:val="24"/>
              </w:rPr>
              <w:t>1</w:t>
            </w:r>
          </w:p>
        </w:tc>
        <w:tc>
          <w:tcPr>
            <w:tcW w:w="1740" w:type="dxa"/>
            <w:gridSpan w:val="2"/>
            <w:noWrap w:val="0"/>
            <w:vAlign w:val="top"/>
          </w:tcPr>
          <w:p w14:paraId="45883356">
            <w:pPr>
              <w:pStyle w:val="20"/>
              <w:rPr>
                <w:rFonts w:hint="eastAsia" w:ascii="宋体" w:hAnsi="宋体" w:eastAsia="宋体" w:cs="宋体"/>
                <w:sz w:val="24"/>
                <w:szCs w:val="24"/>
              </w:rPr>
            </w:pPr>
          </w:p>
        </w:tc>
        <w:tc>
          <w:tcPr>
            <w:tcW w:w="2184" w:type="dxa"/>
            <w:gridSpan w:val="2"/>
            <w:noWrap w:val="0"/>
            <w:vAlign w:val="top"/>
          </w:tcPr>
          <w:p w14:paraId="25F1BD25">
            <w:pPr>
              <w:pStyle w:val="20"/>
              <w:rPr>
                <w:rFonts w:hint="eastAsia" w:ascii="宋体" w:hAnsi="宋体" w:eastAsia="宋体" w:cs="宋体"/>
                <w:sz w:val="24"/>
                <w:szCs w:val="24"/>
              </w:rPr>
            </w:pPr>
          </w:p>
        </w:tc>
        <w:tc>
          <w:tcPr>
            <w:tcW w:w="2212" w:type="dxa"/>
            <w:noWrap w:val="0"/>
            <w:vAlign w:val="top"/>
          </w:tcPr>
          <w:p w14:paraId="3F5B5799">
            <w:pPr>
              <w:pStyle w:val="20"/>
              <w:rPr>
                <w:rFonts w:hint="eastAsia" w:ascii="宋体" w:hAnsi="宋体" w:eastAsia="宋体" w:cs="宋体"/>
                <w:sz w:val="24"/>
                <w:szCs w:val="24"/>
              </w:rPr>
            </w:pPr>
          </w:p>
        </w:tc>
        <w:tc>
          <w:tcPr>
            <w:tcW w:w="1927" w:type="dxa"/>
            <w:noWrap w:val="0"/>
            <w:vAlign w:val="top"/>
          </w:tcPr>
          <w:p w14:paraId="35FAF79B">
            <w:pPr>
              <w:pStyle w:val="20"/>
              <w:rPr>
                <w:rFonts w:hint="eastAsia" w:ascii="宋体" w:hAnsi="宋体" w:eastAsia="宋体" w:cs="宋体"/>
                <w:sz w:val="24"/>
                <w:szCs w:val="24"/>
              </w:rPr>
            </w:pPr>
          </w:p>
        </w:tc>
        <w:tc>
          <w:tcPr>
            <w:tcW w:w="1498" w:type="dxa"/>
            <w:noWrap w:val="0"/>
            <w:vAlign w:val="top"/>
          </w:tcPr>
          <w:p w14:paraId="36C96527">
            <w:pPr>
              <w:pStyle w:val="20"/>
              <w:rPr>
                <w:rFonts w:hint="eastAsia" w:ascii="宋体" w:hAnsi="宋体" w:eastAsia="宋体" w:cs="宋体"/>
                <w:sz w:val="24"/>
                <w:szCs w:val="24"/>
              </w:rPr>
            </w:pPr>
          </w:p>
        </w:tc>
      </w:tr>
      <w:tr w14:paraId="3A54E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876" w:type="dxa"/>
            <w:noWrap w:val="0"/>
            <w:vAlign w:val="top"/>
          </w:tcPr>
          <w:p w14:paraId="236A1170">
            <w:pPr>
              <w:spacing w:before="213" w:line="195" w:lineRule="auto"/>
              <w:ind w:left="339"/>
              <w:rPr>
                <w:rFonts w:hint="eastAsia" w:ascii="宋体" w:hAnsi="宋体" w:eastAsia="宋体" w:cs="宋体"/>
                <w:sz w:val="24"/>
                <w:szCs w:val="24"/>
              </w:rPr>
            </w:pPr>
            <w:r>
              <w:rPr>
                <w:rFonts w:hint="eastAsia" w:ascii="宋体" w:hAnsi="宋体" w:eastAsia="宋体" w:cs="宋体"/>
                <w:sz w:val="24"/>
                <w:szCs w:val="24"/>
              </w:rPr>
              <w:t>2</w:t>
            </w:r>
          </w:p>
        </w:tc>
        <w:tc>
          <w:tcPr>
            <w:tcW w:w="1740" w:type="dxa"/>
            <w:gridSpan w:val="2"/>
            <w:noWrap w:val="0"/>
            <w:vAlign w:val="top"/>
          </w:tcPr>
          <w:p w14:paraId="633677D6">
            <w:pPr>
              <w:pStyle w:val="20"/>
              <w:rPr>
                <w:rFonts w:hint="eastAsia" w:ascii="宋体" w:hAnsi="宋体" w:eastAsia="宋体" w:cs="宋体"/>
                <w:sz w:val="24"/>
                <w:szCs w:val="24"/>
              </w:rPr>
            </w:pPr>
          </w:p>
        </w:tc>
        <w:tc>
          <w:tcPr>
            <w:tcW w:w="2184" w:type="dxa"/>
            <w:gridSpan w:val="2"/>
            <w:noWrap w:val="0"/>
            <w:vAlign w:val="top"/>
          </w:tcPr>
          <w:p w14:paraId="54FBC29B">
            <w:pPr>
              <w:pStyle w:val="20"/>
              <w:rPr>
                <w:rFonts w:hint="eastAsia" w:ascii="宋体" w:hAnsi="宋体" w:eastAsia="宋体" w:cs="宋体"/>
                <w:sz w:val="24"/>
                <w:szCs w:val="24"/>
              </w:rPr>
            </w:pPr>
          </w:p>
        </w:tc>
        <w:tc>
          <w:tcPr>
            <w:tcW w:w="2212" w:type="dxa"/>
            <w:noWrap w:val="0"/>
            <w:vAlign w:val="top"/>
          </w:tcPr>
          <w:p w14:paraId="214B08FA">
            <w:pPr>
              <w:pStyle w:val="20"/>
              <w:rPr>
                <w:rFonts w:hint="eastAsia" w:ascii="宋体" w:hAnsi="宋体" w:eastAsia="宋体" w:cs="宋体"/>
                <w:sz w:val="24"/>
                <w:szCs w:val="24"/>
              </w:rPr>
            </w:pPr>
          </w:p>
        </w:tc>
        <w:tc>
          <w:tcPr>
            <w:tcW w:w="1927" w:type="dxa"/>
            <w:noWrap w:val="0"/>
            <w:vAlign w:val="top"/>
          </w:tcPr>
          <w:p w14:paraId="0B01E8FB">
            <w:pPr>
              <w:pStyle w:val="20"/>
              <w:rPr>
                <w:rFonts w:hint="eastAsia" w:ascii="宋体" w:hAnsi="宋体" w:eastAsia="宋体" w:cs="宋体"/>
                <w:sz w:val="24"/>
                <w:szCs w:val="24"/>
              </w:rPr>
            </w:pPr>
          </w:p>
        </w:tc>
        <w:tc>
          <w:tcPr>
            <w:tcW w:w="1498" w:type="dxa"/>
            <w:noWrap w:val="0"/>
            <w:vAlign w:val="top"/>
          </w:tcPr>
          <w:p w14:paraId="70973EBD">
            <w:pPr>
              <w:pStyle w:val="20"/>
              <w:rPr>
                <w:rFonts w:hint="eastAsia" w:ascii="宋体" w:hAnsi="宋体" w:eastAsia="宋体" w:cs="宋体"/>
                <w:sz w:val="24"/>
                <w:szCs w:val="24"/>
              </w:rPr>
            </w:pPr>
          </w:p>
        </w:tc>
      </w:tr>
      <w:tr w14:paraId="45352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876" w:type="dxa"/>
            <w:noWrap w:val="0"/>
            <w:vAlign w:val="top"/>
          </w:tcPr>
          <w:p w14:paraId="658E07CF">
            <w:pPr>
              <w:spacing w:before="178" w:line="324" w:lineRule="exact"/>
              <w:ind w:left="197"/>
              <w:rPr>
                <w:rFonts w:hint="eastAsia" w:ascii="宋体" w:hAnsi="宋体" w:eastAsia="宋体" w:cs="宋体"/>
                <w:sz w:val="24"/>
                <w:szCs w:val="24"/>
              </w:rPr>
            </w:pPr>
            <w:r>
              <w:rPr>
                <w:rFonts w:hint="eastAsia" w:ascii="宋体" w:hAnsi="宋体" w:eastAsia="宋体" w:cs="宋体"/>
                <w:spacing w:val="-2"/>
                <w:position w:val="3"/>
                <w:sz w:val="24"/>
                <w:szCs w:val="24"/>
              </w:rPr>
              <w:t>……</w:t>
            </w:r>
          </w:p>
        </w:tc>
        <w:tc>
          <w:tcPr>
            <w:tcW w:w="1740" w:type="dxa"/>
            <w:gridSpan w:val="2"/>
            <w:noWrap w:val="0"/>
            <w:vAlign w:val="top"/>
          </w:tcPr>
          <w:p w14:paraId="173F2276">
            <w:pPr>
              <w:pStyle w:val="20"/>
              <w:rPr>
                <w:rFonts w:hint="eastAsia" w:ascii="宋体" w:hAnsi="宋体" w:eastAsia="宋体" w:cs="宋体"/>
                <w:sz w:val="24"/>
                <w:szCs w:val="24"/>
              </w:rPr>
            </w:pPr>
          </w:p>
        </w:tc>
        <w:tc>
          <w:tcPr>
            <w:tcW w:w="2184" w:type="dxa"/>
            <w:gridSpan w:val="2"/>
            <w:noWrap w:val="0"/>
            <w:vAlign w:val="top"/>
          </w:tcPr>
          <w:p w14:paraId="1FE2FC71">
            <w:pPr>
              <w:pStyle w:val="20"/>
              <w:rPr>
                <w:rFonts w:hint="eastAsia" w:ascii="宋体" w:hAnsi="宋体" w:eastAsia="宋体" w:cs="宋体"/>
                <w:sz w:val="24"/>
                <w:szCs w:val="24"/>
              </w:rPr>
            </w:pPr>
          </w:p>
        </w:tc>
        <w:tc>
          <w:tcPr>
            <w:tcW w:w="2212" w:type="dxa"/>
            <w:noWrap w:val="0"/>
            <w:vAlign w:val="top"/>
          </w:tcPr>
          <w:p w14:paraId="68498E20">
            <w:pPr>
              <w:pStyle w:val="20"/>
              <w:rPr>
                <w:rFonts w:hint="eastAsia" w:ascii="宋体" w:hAnsi="宋体" w:eastAsia="宋体" w:cs="宋体"/>
                <w:sz w:val="24"/>
                <w:szCs w:val="24"/>
              </w:rPr>
            </w:pPr>
          </w:p>
        </w:tc>
        <w:tc>
          <w:tcPr>
            <w:tcW w:w="1927" w:type="dxa"/>
            <w:noWrap w:val="0"/>
            <w:vAlign w:val="top"/>
          </w:tcPr>
          <w:p w14:paraId="0A84D8E9">
            <w:pPr>
              <w:pStyle w:val="20"/>
              <w:rPr>
                <w:rFonts w:hint="eastAsia" w:ascii="宋体" w:hAnsi="宋体" w:eastAsia="宋体" w:cs="宋体"/>
                <w:sz w:val="24"/>
                <w:szCs w:val="24"/>
              </w:rPr>
            </w:pPr>
          </w:p>
        </w:tc>
        <w:tc>
          <w:tcPr>
            <w:tcW w:w="1498" w:type="dxa"/>
            <w:noWrap w:val="0"/>
            <w:vAlign w:val="top"/>
          </w:tcPr>
          <w:p w14:paraId="0B1BF1BB">
            <w:pPr>
              <w:pStyle w:val="20"/>
              <w:rPr>
                <w:rFonts w:hint="eastAsia" w:ascii="宋体" w:hAnsi="宋体" w:eastAsia="宋体" w:cs="宋体"/>
                <w:sz w:val="24"/>
                <w:szCs w:val="24"/>
              </w:rPr>
            </w:pPr>
          </w:p>
        </w:tc>
      </w:tr>
      <w:tr w14:paraId="745546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876" w:type="dxa"/>
            <w:noWrap w:val="0"/>
            <w:vAlign w:val="top"/>
          </w:tcPr>
          <w:p w14:paraId="348A8219">
            <w:pPr>
              <w:pStyle w:val="20"/>
              <w:rPr>
                <w:rFonts w:hint="eastAsia" w:ascii="宋体" w:hAnsi="宋体" w:eastAsia="宋体" w:cs="宋体"/>
                <w:sz w:val="24"/>
                <w:szCs w:val="24"/>
              </w:rPr>
            </w:pPr>
          </w:p>
        </w:tc>
        <w:tc>
          <w:tcPr>
            <w:tcW w:w="1740" w:type="dxa"/>
            <w:gridSpan w:val="2"/>
            <w:noWrap w:val="0"/>
            <w:vAlign w:val="top"/>
          </w:tcPr>
          <w:p w14:paraId="3AA5308A">
            <w:pPr>
              <w:pStyle w:val="20"/>
              <w:rPr>
                <w:rFonts w:hint="eastAsia" w:ascii="宋体" w:hAnsi="宋体" w:eastAsia="宋体" w:cs="宋体"/>
                <w:sz w:val="24"/>
                <w:szCs w:val="24"/>
              </w:rPr>
            </w:pPr>
          </w:p>
        </w:tc>
        <w:tc>
          <w:tcPr>
            <w:tcW w:w="2184" w:type="dxa"/>
            <w:gridSpan w:val="2"/>
            <w:noWrap w:val="0"/>
            <w:vAlign w:val="top"/>
          </w:tcPr>
          <w:p w14:paraId="6E6DF9C2">
            <w:pPr>
              <w:pStyle w:val="20"/>
              <w:rPr>
                <w:rFonts w:hint="eastAsia" w:ascii="宋体" w:hAnsi="宋体" w:eastAsia="宋体" w:cs="宋体"/>
                <w:sz w:val="24"/>
                <w:szCs w:val="24"/>
              </w:rPr>
            </w:pPr>
          </w:p>
        </w:tc>
        <w:tc>
          <w:tcPr>
            <w:tcW w:w="2212" w:type="dxa"/>
            <w:noWrap w:val="0"/>
            <w:vAlign w:val="top"/>
          </w:tcPr>
          <w:p w14:paraId="618C7BE7">
            <w:pPr>
              <w:pStyle w:val="20"/>
              <w:rPr>
                <w:rFonts w:hint="eastAsia" w:ascii="宋体" w:hAnsi="宋体" w:eastAsia="宋体" w:cs="宋体"/>
                <w:sz w:val="24"/>
                <w:szCs w:val="24"/>
              </w:rPr>
            </w:pPr>
          </w:p>
        </w:tc>
        <w:tc>
          <w:tcPr>
            <w:tcW w:w="1927" w:type="dxa"/>
            <w:noWrap w:val="0"/>
            <w:vAlign w:val="top"/>
          </w:tcPr>
          <w:p w14:paraId="6DD0ED35">
            <w:pPr>
              <w:pStyle w:val="20"/>
              <w:rPr>
                <w:rFonts w:hint="eastAsia" w:ascii="宋体" w:hAnsi="宋体" w:eastAsia="宋体" w:cs="宋体"/>
                <w:sz w:val="24"/>
                <w:szCs w:val="24"/>
              </w:rPr>
            </w:pPr>
          </w:p>
        </w:tc>
        <w:tc>
          <w:tcPr>
            <w:tcW w:w="1498" w:type="dxa"/>
            <w:noWrap w:val="0"/>
            <w:vAlign w:val="top"/>
          </w:tcPr>
          <w:p w14:paraId="47255D7D">
            <w:pPr>
              <w:pStyle w:val="20"/>
              <w:rPr>
                <w:rFonts w:hint="eastAsia" w:ascii="宋体" w:hAnsi="宋体" w:eastAsia="宋体" w:cs="宋体"/>
                <w:sz w:val="24"/>
                <w:szCs w:val="24"/>
              </w:rPr>
            </w:pPr>
          </w:p>
        </w:tc>
      </w:tr>
      <w:tr w14:paraId="03361D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876" w:type="dxa"/>
            <w:noWrap w:val="0"/>
            <w:vAlign w:val="top"/>
          </w:tcPr>
          <w:p w14:paraId="00D9E9B7">
            <w:pPr>
              <w:pStyle w:val="20"/>
              <w:rPr>
                <w:rFonts w:hint="eastAsia" w:ascii="宋体" w:hAnsi="宋体" w:eastAsia="宋体" w:cs="宋体"/>
                <w:sz w:val="24"/>
                <w:szCs w:val="24"/>
              </w:rPr>
            </w:pPr>
          </w:p>
        </w:tc>
        <w:tc>
          <w:tcPr>
            <w:tcW w:w="1740" w:type="dxa"/>
            <w:gridSpan w:val="2"/>
            <w:noWrap w:val="0"/>
            <w:vAlign w:val="top"/>
          </w:tcPr>
          <w:p w14:paraId="27899B74">
            <w:pPr>
              <w:pStyle w:val="20"/>
              <w:rPr>
                <w:rFonts w:hint="eastAsia" w:ascii="宋体" w:hAnsi="宋体" w:eastAsia="宋体" w:cs="宋体"/>
                <w:sz w:val="24"/>
                <w:szCs w:val="24"/>
              </w:rPr>
            </w:pPr>
          </w:p>
        </w:tc>
        <w:tc>
          <w:tcPr>
            <w:tcW w:w="2184" w:type="dxa"/>
            <w:gridSpan w:val="2"/>
            <w:noWrap w:val="0"/>
            <w:vAlign w:val="top"/>
          </w:tcPr>
          <w:p w14:paraId="6AAEABFE">
            <w:pPr>
              <w:pStyle w:val="20"/>
              <w:rPr>
                <w:rFonts w:hint="eastAsia" w:ascii="宋体" w:hAnsi="宋体" w:eastAsia="宋体" w:cs="宋体"/>
                <w:sz w:val="24"/>
                <w:szCs w:val="24"/>
              </w:rPr>
            </w:pPr>
          </w:p>
        </w:tc>
        <w:tc>
          <w:tcPr>
            <w:tcW w:w="2212" w:type="dxa"/>
            <w:noWrap w:val="0"/>
            <w:vAlign w:val="top"/>
          </w:tcPr>
          <w:p w14:paraId="7461F029">
            <w:pPr>
              <w:pStyle w:val="20"/>
              <w:rPr>
                <w:rFonts w:hint="eastAsia" w:ascii="宋体" w:hAnsi="宋体" w:eastAsia="宋体" w:cs="宋体"/>
                <w:sz w:val="24"/>
                <w:szCs w:val="24"/>
              </w:rPr>
            </w:pPr>
          </w:p>
        </w:tc>
        <w:tc>
          <w:tcPr>
            <w:tcW w:w="1927" w:type="dxa"/>
            <w:noWrap w:val="0"/>
            <w:vAlign w:val="top"/>
          </w:tcPr>
          <w:p w14:paraId="0303D7E7">
            <w:pPr>
              <w:pStyle w:val="20"/>
              <w:rPr>
                <w:rFonts w:hint="eastAsia" w:ascii="宋体" w:hAnsi="宋体" w:eastAsia="宋体" w:cs="宋体"/>
                <w:sz w:val="24"/>
                <w:szCs w:val="24"/>
              </w:rPr>
            </w:pPr>
          </w:p>
        </w:tc>
        <w:tc>
          <w:tcPr>
            <w:tcW w:w="1498" w:type="dxa"/>
            <w:noWrap w:val="0"/>
            <w:vAlign w:val="top"/>
          </w:tcPr>
          <w:p w14:paraId="715424AC">
            <w:pPr>
              <w:pStyle w:val="20"/>
              <w:rPr>
                <w:rFonts w:hint="eastAsia" w:ascii="宋体" w:hAnsi="宋体" w:eastAsia="宋体" w:cs="宋体"/>
                <w:sz w:val="24"/>
                <w:szCs w:val="24"/>
              </w:rPr>
            </w:pPr>
          </w:p>
        </w:tc>
      </w:tr>
    </w:tbl>
    <w:p w14:paraId="57C778C0">
      <w:pPr>
        <w:pStyle w:val="5"/>
        <w:spacing w:line="314" w:lineRule="auto"/>
        <w:rPr>
          <w:rFonts w:hint="eastAsia" w:ascii="宋体" w:hAnsi="宋体" w:eastAsia="宋体" w:cs="宋体"/>
          <w:sz w:val="24"/>
          <w:szCs w:val="24"/>
        </w:rPr>
      </w:pPr>
    </w:p>
    <w:p w14:paraId="34E21B6A">
      <w:pPr>
        <w:pStyle w:val="5"/>
        <w:spacing w:line="315" w:lineRule="auto"/>
        <w:rPr>
          <w:rFonts w:hint="eastAsia" w:ascii="宋体" w:hAnsi="宋体" w:eastAsia="宋体" w:cs="宋体"/>
          <w:sz w:val="24"/>
          <w:szCs w:val="24"/>
        </w:rPr>
      </w:pPr>
    </w:p>
    <w:p w14:paraId="57957CCA">
      <w:pPr>
        <w:pStyle w:val="5"/>
        <w:spacing w:line="315" w:lineRule="auto"/>
        <w:rPr>
          <w:rFonts w:hint="eastAsia" w:ascii="宋体" w:hAnsi="宋体" w:eastAsia="宋体" w:cs="宋体"/>
          <w:sz w:val="24"/>
          <w:szCs w:val="24"/>
        </w:rPr>
      </w:pPr>
    </w:p>
    <w:p w14:paraId="6478E3A6">
      <w:pPr>
        <w:spacing w:before="78" w:line="220" w:lineRule="auto"/>
        <w:ind w:left="5165"/>
        <w:jc w:val="right"/>
        <w:rPr>
          <w:rFonts w:hint="eastAsia" w:ascii="宋体" w:hAnsi="宋体" w:eastAsia="宋体" w:cs="宋体"/>
          <w:sz w:val="24"/>
          <w:szCs w:val="24"/>
        </w:rPr>
      </w:pPr>
      <w:r>
        <w:rPr>
          <w:rFonts w:hint="eastAsia" w:ascii="宋体" w:hAnsi="宋体" w:eastAsia="宋体" w:cs="宋体"/>
          <w:spacing w:val="2"/>
          <w:sz w:val="24"/>
          <w:szCs w:val="24"/>
        </w:rPr>
        <w:t>项目技术负责人</w:t>
      </w:r>
      <w:r>
        <w:rPr>
          <w:rFonts w:hint="eastAsia" w:ascii="宋体" w:hAnsi="宋体" w:eastAsia="宋体" w:cs="宋体"/>
          <w:spacing w:val="-18"/>
          <w:sz w:val="24"/>
          <w:szCs w:val="24"/>
        </w:rPr>
        <w:t>：</w:t>
      </w:r>
      <w:r>
        <w:rPr>
          <w:rFonts w:hint="eastAsia" w:ascii="宋体" w:hAnsi="宋体" w:eastAsia="宋体" w:cs="宋体"/>
          <w:sz w:val="24"/>
          <w:szCs w:val="24"/>
          <w:u w:val="single"/>
        </w:rPr>
        <w:t xml:space="preserve">         </w:t>
      </w:r>
      <w:r>
        <w:rPr>
          <w:rFonts w:hint="eastAsia" w:ascii="宋体" w:hAnsi="宋体" w:eastAsia="宋体" w:cs="宋体"/>
          <w:spacing w:val="-18"/>
          <w:sz w:val="24"/>
          <w:szCs w:val="24"/>
        </w:rPr>
        <w:t>（</w:t>
      </w:r>
      <w:r>
        <w:rPr>
          <w:rFonts w:hint="eastAsia" w:ascii="宋体" w:hAnsi="宋体" w:eastAsia="宋体" w:cs="宋体"/>
          <w:spacing w:val="2"/>
          <w:sz w:val="24"/>
          <w:szCs w:val="24"/>
        </w:rPr>
        <w:t>签字）</w:t>
      </w:r>
    </w:p>
    <w:p w14:paraId="5E333CC2">
      <w:pPr>
        <w:pStyle w:val="5"/>
        <w:spacing w:line="256" w:lineRule="auto"/>
        <w:jc w:val="right"/>
        <w:rPr>
          <w:rFonts w:hint="eastAsia" w:ascii="宋体" w:hAnsi="宋体" w:eastAsia="宋体" w:cs="宋体"/>
          <w:sz w:val="24"/>
          <w:szCs w:val="24"/>
        </w:rPr>
      </w:pPr>
    </w:p>
    <w:p w14:paraId="5C72532D">
      <w:pPr>
        <w:pStyle w:val="5"/>
        <w:spacing w:line="257" w:lineRule="auto"/>
        <w:jc w:val="right"/>
        <w:rPr>
          <w:rFonts w:hint="eastAsia" w:ascii="宋体" w:hAnsi="宋体" w:eastAsia="宋体" w:cs="宋体"/>
          <w:sz w:val="24"/>
          <w:szCs w:val="24"/>
        </w:rPr>
      </w:pPr>
    </w:p>
    <w:p w14:paraId="53633BE2">
      <w:pPr>
        <w:spacing w:before="78" w:line="220" w:lineRule="auto"/>
        <w:ind w:left="6566"/>
        <w:jc w:val="right"/>
        <w:rPr>
          <w:rFonts w:hint="eastAsia" w:ascii="宋体" w:hAnsi="宋体" w:eastAsia="宋体" w:cs="宋体"/>
          <w:sz w:val="24"/>
          <w:szCs w:val="24"/>
        </w:rPr>
      </w:pPr>
      <w:r>
        <w:rPr>
          <w:rFonts w:hint="eastAsia" w:ascii="宋体" w:hAnsi="宋体" w:eastAsia="宋体" w:cs="宋体"/>
          <w:spacing w:val="-9"/>
          <w:sz w:val="24"/>
          <w:szCs w:val="24"/>
        </w:rPr>
        <w:t>年</w:t>
      </w:r>
      <w:r>
        <w:rPr>
          <w:rFonts w:hint="eastAsia" w:ascii="宋体" w:hAnsi="宋体" w:eastAsia="宋体" w:cs="宋体"/>
          <w:spacing w:val="5"/>
          <w:sz w:val="24"/>
          <w:szCs w:val="24"/>
        </w:rPr>
        <w:t xml:space="preserve">   </w:t>
      </w:r>
      <w:r>
        <w:rPr>
          <w:rFonts w:hint="eastAsia" w:ascii="宋体" w:hAnsi="宋体" w:eastAsia="宋体" w:cs="宋体"/>
          <w:spacing w:val="-9"/>
          <w:sz w:val="24"/>
          <w:szCs w:val="24"/>
        </w:rPr>
        <w:t>月</w:t>
      </w:r>
      <w:r>
        <w:rPr>
          <w:rFonts w:hint="eastAsia" w:ascii="宋体" w:hAnsi="宋体" w:eastAsia="宋体" w:cs="宋体"/>
          <w:spacing w:val="17"/>
          <w:sz w:val="24"/>
          <w:szCs w:val="24"/>
        </w:rPr>
        <w:t xml:space="preserve">   </w:t>
      </w:r>
      <w:r>
        <w:rPr>
          <w:rFonts w:hint="eastAsia" w:ascii="宋体" w:hAnsi="宋体" w:eastAsia="宋体" w:cs="宋体"/>
          <w:spacing w:val="-9"/>
          <w:sz w:val="24"/>
          <w:szCs w:val="24"/>
        </w:rPr>
        <w:t>日</w:t>
      </w:r>
    </w:p>
    <w:p w14:paraId="0EF005D6">
      <w:pPr>
        <w:spacing w:before="65" w:line="228" w:lineRule="auto"/>
        <w:ind w:left="470"/>
        <w:rPr>
          <w:rFonts w:hint="eastAsia" w:ascii="宋体" w:hAnsi="宋体" w:eastAsia="宋体" w:cs="宋体"/>
          <w:sz w:val="24"/>
          <w:szCs w:val="24"/>
        </w:rPr>
      </w:pPr>
      <w:r>
        <w:rPr>
          <w:rFonts w:hint="eastAsia" w:ascii="宋体" w:hAnsi="宋体" w:eastAsia="宋体" w:cs="宋体"/>
          <w:spacing w:val="9"/>
          <w:sz w:val="24"/>
          <w:szCs w:val="24"/>
        </w:rPr>
        <w:t>说明：《项目技术负责人简历表》后应附拟派项目技术负责人以下资料：</w:t>
      </w:r>
    </w:p>
    <w:p w14:paraId="0752A5A6">
      <w:pPr>
        <w:spacing w:before="155" w:line="228" w:lineRule="auto"/>
        <w:ind w:left="484"/>
        <w:rPr>
          <w:rFonts w:hint="eastAsia" w:ascii="宋体" w:hAnsi="宋体" w:eastAsia="宋体" w:cs="宋体"/>
          <w:sz w:val="24"/>
          <w:szCs w:val="24"/>
        </w:rPr>
      </w:pPr>
      <w:r>
        <w:rPr>
          <w:rFonts w:hint="eastAsia" w:ascii="宋体" w:hAnsi="宋体" w:eastAsia="宋体" w:cs="宋体"/>
          <w:spacing w:val="3"/>
          <w:sz w:val="24"/>
          <w:szCs w:val="24"/>
        </w:rPr>
        <w:t>1</w:t>
      </w:r>
      <w:r>
        <w:rPr>
          <w:rFonts w:hint="eastAsia" w:ascii="宋体" w:hAnsi="宋体" w:eastAsia="宋体" w:cs="宋体"/>
          <w:spacing w:val="-14"/>
          <w:sz w:val="24"/>
          <w:szCs w:val="24"/>
        </w:rPr>
        <w:t xml:space="preserve"> </w:t>
      </w:r>
      <w:r>
        <w:rPr>
          <w:rFonts w:hint="eastAsia" w:ascii="宋体" w:hAnsi="宋体" w:eastAsia="宋体" w:cs="宋体"/>
          <w:spacing w:val="3"/>
          <w:sz w:val="24"/>
          <w:szCs w:val="24"/>
        </w:rPr>
        <w:t>．身份证彩色扫描件；</w:t>
      </w:r>
    </w:p>
    <w:p w14:paraId="6F17B112">
      <w:pPr>
        <w:spacing w:before="151" w:line="228" w:lineRule="auto"/>
        <w:ind w:left="464"/>
        <w:rPr>
          <w:rFonts w:hint="eastAsia" w:ascii="宋体" w:hAnsi="宋体" w:eastAsia="宋体" w:cs="宋体"/>
          <w:sz w:val="24"/>
          <w:szCs w:val="24"/>
        </w:rPr>
      </w:pPr>
      <w:r>
        <w:rPr>
          <w:rFonts w:hint="eastAsia" w:ascii="宋体" w:hAnsi="宋体" w:eastAsia="宋体" w:cs="宋体"/>
          <w:spacing w:val="5"/>
          <w:sz w:val="24"/>
          <w:szCs w:val="24"/>
        </w:rPr>
        <w:t>2</w:t>
      </w:r>
      <w:r>
        <w:rPr>
          <w:rFonts w:hint="eastAsia" w:ascii="宋体" w:hAnsi="宋体" w:eastAsia="宋体" w:cs="宋体"/>
          <w:spacing w:val="-16"/>
          <w:sz w:val="24"/>
          <w:szCs w:val="24"/>
        </w:rPr>
        <w:t xml:space="preserve"> </w:t>
      </w:r>
      <w:r>
        <w:rPr>
          <w:rFonts w:hint="eastAsia" w:ascii="宋体" w:hAnsi="宋体" w:eastAsia="宋体" w:cs="宋体"/>
          <w:spacing w:val="5"/>
          <w:sz w:val="24"/>
          <w:szCs w:val="24"/>
        </w:rPr>
        <w:t>．职称证彩色扫描件；</w:t>
      </w:r>
    </w:p>
    <w:p w14:paraId="21A89EDD">
      <w:pPr>
        <w:spacing w:before="153" w:line="299" w:lineRule="auto"/>
        <w:ind w:left="47" w:right="95" w:firstLine="420"/>
        <w:rPr>
          <w:rFonts w:hint="eastAsia" w:ascii="宋体" w:hAnsi="宋体" w:eastAsia="宋体" w:cs="宋体"/>
          <w:color w:val="auto"/>
          <w:sz w:val="24"/>
          <w:szCs w:val="24"/>
        </w:rPr>
      </w:pPr>
      <w:r>
        <w:rPr>
          <w:rFonts w:hint="eastAsia" w:ascii="宋体" w:hAnsi="宋体" w:eastAsia="宋体" w:cs="宋体"/>
          <w:spacing w:val="8"/>
          <w:sz w:val="24"/>
          <w:szCs w:val="24"/>
        </w:rPr>
        <w:t>3</w:t>
      </w:r>
      <w:r>
        <w:rPr>
          <w:rFonts w:hint="eastAsia" w:ascii="宋体" w:hAnsi="宋体" w:eastAsia="宋体" w:cs="宋体"/>
          <w:spacing w:val="-21"/>
          <w:sz w:val="24"/>
          <w:szCs w:val="24"/>
        </w:rPr>
        <w:t xml:space="preserve"> </w:t>
      </w:r>
      <w:r>
        <w:rPr>
          <w:rFonts w:hint="eastAsia" w:ascii="宋体" w:hAnsi="宋体" w:eastAsia="宋体" w:cs="宋体"/>
          <w:spacing w:val="8"/>
          <w:sz w:val="24"/>
          <w:szCs w:val="24"/>
        </w:rPr>
        <w:t>．在本单位缴纳社保的证</w:t>
      </w:r>
      <w:r>
        <w:rPr>
          <w:rFonts w:hint="eastAsia" w:ascii="宋体" w:hAnsi="宋体" w:eastAsia="宋体" w:cs="宋体"/>
          <w:color w:val="auto"/>
          <w:spacing w:val="8"/>
          <w:sz w:val="24"/>
          <w:szCs w:val="24"/>
        </w:rPr>
        <w:t>明（</w:t>
      </w:r>
      <w:r>
        <w:rPr>
          <w:rFonts w:hint="eastAsia" w:ascii="宋体" w:hAnsi="宋体" w:eastAsia="宋体" w:cs="宋体"/>
          <w:color w:val="auto"/>
          <w:sz w:val="24"/>
          <w:szCs w:val="24"/>
          <w:lang w:eastAsia="zh-CN"/>
        </w:rPr>
        <w:t>至少</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个月，其中必须有</w:t>
      </w:r>
      <w:r>
        <w:rPr>
          <w:rFonts w:hint="eastAsia" w:ascii="宋体" w:hAnsi="宋体" w:eastAsia="宋体" w:cs="宋体"/>
          <w:color w:val="auto"/>
          <w:sz w:val="24"/>
          <w:szCs w:val="24"/>
          <w:lang w:val="en-US" w:eastAsia="zh-CN"/>
        </w:rPr>
        <w:t>2025年12月</w:t>
      </w:r>
      <w:r>
        <w:rPr>
          <w:rFonts w:hint="eastAsia" w:ascii="宋体" w:hAnsi="宋体" w:eastAsia="宋体" w:cs="宋体"/>
          <w:color w:val="auto"/>
          <w:spacing w:val="8"/>
          <w:sz w:val="24"/>
          <w:szCs w:val="24"/>
        </w:rPr>
        <w:t>）彩色扫描件。</w:t>
      </w:r>
      <w:r>
        <w:rPr>
          <w:rFonts w:hint="eastAsia" w:ascii="宋体" w:hAnsi="宋体" w:eastAsia="宋体" w:cs="宋体"/>
          <w:color w:val="auto"/>
          <w:sz w:val="24"/>
          <w:szCs w:val="24"/>
        </w:rPr>
        <w:t xml:space="preserve"> </w:t>
      </w:r>
      <w:r>
        <w:rPr>
          <w:rFonts w:hint="eastAsia" w:ascii="宋体" w:hAnsi="宋体" w:eastAsia="宋体" w:cs="宋体"/>
          <w:color w:val="auto"/>
          <w:spacing w:val="10"/>
          <w:sz w:val="24"/>
          <w:szCs w:val="24"/>
        </w:rPr>
        <w:t>拟派项目技术负责人为退休返聘人员无法提供社</w:t>
      </w:r>
      <w:r>
        <w:rPr>
          <w:rFonts w:hint="eastAsia" w:ascii="宋体" w:hAnsi="宋体" w:eastAsia="宋体" w:cs="宋体"/>
          <w:color w:val="auto"/>
          <w:spacing w:val="9"/>
          <w:sz w:val="24"/>
          <w:szCs w:val="24"/>
        </w:rPr>
        <w:t>保证明的，提供退休证和劳动合同彩色扫描件。</w:t>
      </w:r>
    </w:p>
    <w:p w14:paraId="02417D76">
      <w:pPr>
        <w:spacing w:before="153" w:line="228" w:lineRule="auto"/>
        <w:ind w:left="463"/>
        <w:rPr>
          <w:rFonts w:hint="eastAsia" w:ascii="宋体" w:hAnsi="宋体" w:eastAsia="宋体" w:cs="宋体"/>
          <w:sz w:val="24"/>
          <w:szCs w:val="24"/>
        </w:rPr>
      </w:pPr>
      <w:r>
        <w:rPr>
          <w:rFonts w:hint="eastAsia" w:ascii="宋体" w:hAnsi="宋体" w:eastAsia="宋体" w:cs="宋体"/>
          <w:color w:val="auto"/>
          <w:spacing w:val="8"/>
          <w:sz w:val="24"/>
          <w:szCs w:val="24"/>
        </w:rPr>
        <w:t>4</w:t>
      </w:r>
      <w:r>
        <w:rPr>
          <w:rFonts w:hint="eastAsia" w:ascii="宋体" w:hAnsi="宋体" w:eastAsia="宋体" w:cs="宋体"/>
          <w:color w:val="auto"/>
          <w:spacing w:val="-22"/>
          <w:sz w:val="24"/>
          <w:szCs w:val="24"/>
        </w:rPr>
        <w:t xml:space="preserve"> </w:t>
      </w:r>
      <w:r>
        <w:rPr>
          <w:rFonts w:hint="eastAsia" w:ascii="宋体" w:hAnsi="宋体" w:eastAsia="宋体" w:cs="宋体"/>
          <w:color w:val="auto"/>
          <w:spacing w:val="8"/>
          <w:sz w:val="24"/>
          <w:szCs w:val="24"/>
        </w:rPr>
        <w:t>．“进粤企业和人员诚信信息登记平台</w:t>
      </w:r>
      <w:r>
        <w:rPr>
          <w:rFonts w:hint="eastAsia" w:ascii="宋体" w:hAnsi="宋体" w:eastAsia="宋体" w:cs="宋体"/>
          <w:color w:val="auto"/>
          <w:spacing w:val="-70"/>
          <w:sz w:val="24"/>
          <w:szCs w:val="24"/>
        </w:rPr>
        <w:t xml:space="preserve"> </w:t>
      </w:r>
      <w:r>
        <w:rPr>
          <w:rFonts w:hint="eastAsia" w:ascii="宋体" w:hAnsi="宋体" w:eastAsia="宋体" w:cs="宋体"/>
          <w:color w:val="auto"/>
          <w:spacing w:val="8"/>
          <w:sz w:val="24"/>
          <w:szCs w:val="24"/>
        </w:rPr>
        <w:t>”个人信息情况截图。（适用于省外</w:t>
      </w:r>
      <w:r>
        <w:rPr>
          <w:rFonts w:hint="eastAsia" w:ascii="宋体" w:hAnsi="宋体" w:eastAsia="宋体" w:cs="宋体"/>
          <w:spacing w:val="8"/>
          <w:sz w:val="24"/>
          <w:szCs w:val="24"/>
        </w:rPr>
        <w:t>建筑企业）</w:t>
      </w:r>
    </w:p>
    <w:p w14:paraId="4AB1A863">
      <w:pPr>
        <w:spacing w:line="228" w:lineRule="auto"/>
        <w:rPr>
          <w:rFonts w:ascii="宋体" w:hAnsi="宋体" w:eastAsia="宋体" w:cs="宋体"/>
          <w:sz w:val="20"/>
          <w:szCs w:val="20"/>
        </w:rPr>
        <w:sectPr>
          <w:footerReference r:id="rId24" w:type="default"/>
          <w:pgSz w:w="11906" w:h="16839"/>
          <w:pgMar w:top="720" w:right="720" w:bottom="720" w:left="720" w:header="0" w:footer="1023" w:gutter="0"/>
          <w:cols w:space="720" w:num="1"/>
        </w:sectPr>
      </w:pPr>
    </w:p>
    <w:p w14:paraId="0CB06E5C">
      <w:pPr>
        <w:spacing w:before="78" w:line="220" w:lineRule="auto"/>
        <w:outlineLvl w:val="2"/>
        <w:rPr>
          <w:rFonts w:ascii="宋体" w:hAnsi="宋体" w:eastAsia="宋体" w:cs="宋体"/>
          <w:b/>
          <w:bCs/>
          <w:spacing w:val="-4"/>
          <w:sz w:val="24"/>
          <w:szCs w:val="24"/>
        </w:rPr>
      </w:pPr>
      <w:bookmarkStart w:id="202" w:name="_Toc19637"/>
      <w:r>
        <w:rPr>
          <w:rFonts w:ascii="宋体" w:hAnsi="宋体" w:eastAsia="宋体" w:cs="宋体"/>
          <w:b/>
          <w:bCs/>
          <w:spacing w:val="-4"/>
          <w:sz w:val="24"/>
          <w:szCs w:val="24"/>
        </w:rPr>
        <w:t>格式十一 项目管理机构组成表</w:t>
      </w:r>
      <w:bookmarkEnd w:id="202"/>
    </w:p>
    <w:p w14:paraId="74B7E5D8">
      <w:pPr>
        <w:pStyle w:val="5"/>
        <w:spacing w:line="351" w:lineRule="auto"/>
      </w:pPr>
    </w:p>
    <w:p w14:paraId="2DCAF2C4">
      <w:pPr>
        <w:pStyle w:val="5"/>
        <w:spacing w:line="351" w:lineRule="auto"/>
      </w:pPr>
    </w:p>
    <w:p w14:paraId="46005532">
      <w:pPr>
        <w:spacing w:before="97" w:line="219" w:lineRule="auto"/>
        <w:ind w:left="3200"/>
        <w:outlineLvl w:val="1"/>
        <w:rPr>
          <w:rFonts w:ascii="宋体" w:hAnsi="宋体" w:eastAsia="宋体" w:cs="宋体"/>
          <w:sz w:val="30"/>
          <w:szCs w:val="30"/>
        </w:rPr>
      </w:pPr>
      <w:bookmarkStart w:id="203" w:name="bookmark158"/>
      <w:bookmarkEnd w:id="203"/>
      <w:bookmarkStart w:id="204" w:name="_Toc19973"/>
      <w:r>
        <w:rPr>
          <w:rFonts w:ascii="宋体" w:hAnsi="宋体" w:eastAsia="宋体" w:cs="宋体"/>
          <w:b/>
          <w:bCs/>
          <w:spacing w:val="-4"/>
          <w:sz w:val="30"/>
          <w:szCs w:val="30"/>
        </w:rPr>
        <w:t>项目管理机构组成表</w:t>
      </w:r>
      <w:bookmarkEnd w:id="204"/>
    </w:p>
    <w:p w14:paraId="4697E9B5">
      <w:pPr>
        <w:spacing w:before="7"/>
      </w:pPr>
    </w:p>
    <w:tbl>
      <w:tblPr>
        <w:tblStyle w:val="14"/>
        <w:tblW w:w="102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7"/>
        <w:gridCol w:w="2068"/>
        <w:gridCol w:w="1671"/>
        <w:gridCol w:w="1085"/>
        <w:gridCol w:w="1069"/>
        <w:gridCol w:w="1654"/>
        <w:gridCol w:w="2054"/>
      </w:tblGrid>
      <w:tr w14:paraId="3EB6F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677" w:type="dxa"/>
            <w:noWrap w:val="0"/>
            <w:vAlign w:val="top"/>
          </w:tcPr>
          <w:p w14:paraId="7E447445">
            <w:pPr>
              <w:spacing w:before="229" w:line="231" w:lineRule="auto"/>
              <w:ind w:left="90"/>
              <w:rPr>
                <w:rFonts w:hint="eastAsia" w:ascii="宋体" w:hAnsi="宋体" w:eastAsia="宋体" w:cs="宋体"/>
                <w:sz w:val="24"/>
                <w:szCs w:val="24"/>
              </w:rPr>
            </w:pPr>
            <w:r>
              <w:rPr>
                <w:rFonts w:hint="eastAsia" w:ascii="宋体" w:hAnsi="宋体" w:eastAsia="宋体" w:cs="宋体"/>
                <w:spacing w:val="4"/>
                <w:sz w:val="24"/>
                <w:szCs w:val="24"/>
              </w:rPr>
              <w:t>序号</w:t>
            </w:r>
          </w:p>
        </w:tc>
        <w:tc>
          <w:tcPr>
            <w:tcW w:w="2068" w:type="dxa"/>
            <w:noWrap w:val="0"/>
            <w:vAlign w:val="top"/>
          </w:tcPr>
          <w:p w14:paraId="183AF982">
            <w:pPr>
              <w:spacing w:before="228" w:line="231" w:lineRule="auto"/>
              <w:ind w:left="707"/>
              <w:rPr>
                <w:rFonts w:hint="eastAsia" w:ascii="宋体" w:hAnsi="宋体" w:eastAsia="宋体" w:cs="宋体"/>
                <w:sz w:val="24"/>
                <w:szCs w:val="24"/>
              </w:rPr>
            </w:pPr>
            <w:r>
              <w:rPr>
                <w:rFonts w:hint="eastAsia" w:ascii="宋体" w:hAnsi="宋体" w:eastAsia="宋体" w:cs="宋体"/>
                <w:spacing w:val="-2"/>
                <w:sz w:val="24"/>
                <w:szCs w:val="24"/>
              </w:rPr>
              <w:t>岗位</w:t>
            </w:r>
          </w:p>
        </w:tc>
        <w:tc>
          <w:tcPr>
            <w:tcW w:w="1671" w:type="dxa"/>
            <w:noWrap w:val="0"/>
            <w:vAlign w:val="top"/>
          </w:tcPr>
          <w:p w14:paraId="2DD1C2D5">
            <w:pPr>
              <w:spacing w:before="228" w:line="231" w:lineRule="auto"/>
              <w:ind w:left="522"/>
              <w:rPr>
                <w:rFonts w:hint="eastAsia" w:ascii="宋体" w:hAnsi="宋体" w:eastAsia="宋体" w:cs="宋体"/>
                <w:sz w:val="24"/>
                <w:szCs w:val="24"/>
              </w:rPr>
            </w:pPr>
            <w:r>
              <w:rPr>
                <w:rFonts w:hint="eastAsia" w:ascii="宋体" w:hAnsi="宋体" w:eastAsia="宋体" w:cs="宋体"/>
                <w:spacing w:val="4"/>
                <w:sz w:val="24"/>
                <w:szCs w:val="24"/>
              </w:rPr>
              <w:t>姓名</w:t>
            </w:r>
          </w:p>
        </w:tc>
        <w:tc>
          <w:tcPr>
            <w:tcW w:w="1085" w:type="dxa"/>
            <w:noWrap w:val="0"/>
            <w:vAlign w:val="top"/>
          </w:tcPr>
          <w:p w14:paraId="2733AD2F">
            <w:pPr>
              <w:spacing w:before="228" w:line="230" w:lineRule="auto"/>
              <w:ind w:left="268"/>
              <w:rPr>
                <w:rFonts w:hint="eastAsia" w:ascii="宋体" w:hAnsi="宋体" w:eastAsia="宋体" w:cs="宋体"/>
                <w:sz w:val="24"/>
                <w:szCs w:val="24"/>
              </w:rPr>
            </w:pPr>
            <w:r>
              <w:rPr>
                <w:rFonts w:hint="eastAsia" w:ascii="宋体" w:hAnsi="宋体" w:eastAsia="宋体" w:cs="宋体"/>
                <w:spacing w:val="4"/>
                <w:sz w:val="24"/>
                <w:szCs w:val="24"/>
              </w:rPr>
              <w:t>性别</w:t>
            </w:r>
          </w:p>
        </w:tc>
        <w:tc>
          <w:tcPr>
            <w:tcW w:w="1069" w:type="dxa"/>
            <w:noWrap w:val="0"/>
            <w:vAlign w:val="top"/>
          </w:tcPr>
          <w:p w14:paraId="27AD30BD">
            <w:pPr>
              <w:spacing w:before="229" w:line="231" w:lineRule="auto"/>
              <w:ind w:left="261"/>
              <w:rPr>
                <w:rFonts w:hint="eastAsia" w:ascii="宋体" w:hAnsi="宋体" w:eastAsia="宋体" w:cs="宋体"/>
                <w:sz w:val="24"/>
                <w:szCs w:val="24"/>
              </w:rPr>
            </w:pPr>
            <w:r>
              <w:rPr>
                <w:rFonts w:hint="eastAsia" w:ascii="宋体" w:hAnsi="宋体" w:eastAsia="宋体" w:cs="宋体"/>
                <w:spacing w:val="4"/>
                <w:sz w:val="24"/>
                <w:szCs w:val="24"/>
              </w:rPr>
              <w:t>年龄</w:t>
            </w:r>
          </w:p>
        </w:tc>
        <w:tc>
          <w:tcPr>
            <w:tcW w:w="1654" w:type="dxa"/>
            <w:noWrap w:val="0"/>
            <w:vAlign w:val="top"/>
          </w:tcPr>
          <w:p w14:paraId="049EC756">
            <w:pPr>
              <w:spacing w:before="228" w:line="230" w:lineRule="auto"/>
              <w:ind w:left="516"/>
              <w:rPr>
                <w:rFonts w:hint="eastAsia" w:ascii="宋体" w:hAnsi="宋体" w:eastAsia="宋体" w:cs="宋体"/>
                <w:sz w:val="24"/>
                <w:szCs w:val="24"/>
              </w:rPr>
            </w:pPr>
            <w:r>
              <w:rPr>
                <w:rFonts w:hint="eastAsia" w:ascii="宋体" w:hAnsi="宋体" w:eastAsia="宋体" w:cs="宋体"/>
                <w:spacing w:val="4"/>
                <w:sz w:val="24"/>
                <w:szCs w:val="24"/>
              </w:rPr>
              <w:t>职称</w:t>
            </w:r>
          </w:p>
        </w:tc>
        <w:tc>
          <w:tcPr>
            <w:tcW w:w="2054" w:type="dxa"/>
            <w:noWrap w:val="0"/>
            <w:vAlign w:val="top"/>
          </w:tcPr>
          <w:p w14:paraId="5E23EE1C">
            <w:pPr>
              <w:spacing w:before="228" w:line="230" w:lineRule="auto"/>
              <w:ind w:left="687"/>
              <w:rPr>
                <w:rFonts w:hint="eastAsia" w:ascii="宋体" w:hAnsi="宋体" w:eastAsia="宋体" w:cs="宋体"/>
                <w:sz w:val="24"/>
                <w:szCs w:val="24"/>
              </w:rPr>
            </w:pPr>
            <w:r>
              <w:rPr>
                <w:rFonts w:hint="eastAsia" w:ascii="宋体" w:hAnsi="宋体" w:eastAsia="宋体" w:cs="宋体"/>
                <w:spacing w:val="4"/>
                <w:sz w:val="24"/>
                <w:szCs w:val="24"/>
              </w:rPr>
              <w:t>备注</w:t>
            </w:r>
          </w:p>
        </w:tc>
      </w:tr>
      <w:tr w14:paraId="235C27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677" w:type="dxa"/>
            <w:noWrap w:val="0"/>
            <w:vAlign w:val="top"/>
          </w:tcPr>
          <w:p w14:paraId="7AA88A32">
            <w:pPr>
              <w:spacing w:before="185" w:line="195" w:lineRule="auto"/>
              <w:ind w:left="263"/>
              <w:rPr>
                <w:rFonts w:hint="eastAsia" w:ascii="宋体" w:hAnsi="宋体" w:eastAsia="宋体" w:cs="宋体"/>
                <w:sz w:val="24"/>
                <w:szCs w:val="24"/>
              </w:rPr>
            </w:pPr>
            <w:r>
              <w:rPr>
                <w:rFonts w:hint="eastAsia" w:ascii="宋体" w:hAnsi="宋体" w:eastAsia="宋体" w:cs="宋体"/>
                <w:sz w:val="24"/>
                <w:szCs w:val="24"/>
              </w:rPr>
              <w:t>1</w:t>
            </w:r>
          </w:p>
        </w:tc>
        <w:tc>
          <w:tcPr>
            <w:tcW w:w="2068" w:type="dxa"/>
            <w:noWrap w:val="0"/>
            <w:vAlign w:val="top"/>
          </w:tcPr>
          <w:p w14:paraId="279FB07E">
            <w:pPr>
              <w:spacing w:before="150" w:line="229" w:lineRule="auto"/>
              <w:ind w:left="486"/>
              <w:rPr>
                <w:rFonts w:hint="eastAsia" w:ascii="宋体" w:hAnsi="宋体" w:eastAsia="宋体" w:cs="宋体"/>
                <w:sz w:val="24"/>
                <w:szCs w:val="24"/>
              </w:rPr>
            </w:pPr>
            <w:r>
              <w:rPr>
                <w:rFonts w:hint="eastAsia" w:ascii="宋体" w:hAnsi="宋体" w:eastAsia="宋体" w:cs="宋体"/>
                <w:spacing w:val="6"/>
                <w:sz w:val="24"/>
                <w:szCs w:val="24"/>
              </w:rPr>
              <w:t>项目经理</w:t>
            </w:r>
          </w:p>
        </w:tc>
        <w:tc>
          <w:tcPr>
            <w:tcW w:w="1671" w:type="dxa"/>
            <w:noWrap w:val="0"/>
            <w:vAlign w:val="top"/>
          </w:tcPr>
          <w:p w14:paraId="0112858D">
            <w:pPr>
              <w:pStyle w:val="20"/>
              <w:rPr>
                <w:rFonts w:hint="eastAsia" w:ascii="宋体" w:hAnsi="宋体" w:eastAsia="宋体" w:cs="宋体"/>
                <w:sz w:val="24"/>
                <w:szCs w:val="24"/>
              </w:rPr>
            </w:pPr>
          </w:p>
        </w:tc>
        <w:tc>
          <w:tcPr>
            <w:tcW w:w="1085" w:type="dxa"/>
            <w:noWrap w:val="0"/>
            <w:vAlign w:val="top"/>
          </w:tcPr>
          <w:p w14:paraId="3F32C60A">
            <w:pPr>
              <w:pStyle w:val="20"/>
              <w:rPr>
                <w:rFonts w:hint="eastAsia" w:ascii="宋体" w:hAnsi="宋体" w:eastAsia="宋体" w:cs="宋体"/>
                <w:sz w:val="24"/>
                <w:szCs w:val="24"/>
              </w:rPr>
            </w:pPr>
          </w:p>
        </w:tc>
        <w:tc>
          <w:tcPr>
            <w:tcW w:w="1069" w:type="dxa"/>
            <w:noWrap w:val="0"/>
            <w:vAlign w:val="top"/>
          </w:tcPr>
          <w:p w14:paraId="0EE1831B">
            <w:pPr>
              <w:pStyle w:val="20"/>
              <w:rPr>
                <w:rFonts w:hint="eastAsia" w:ascii="宋体" w:hAnsi="宋体" w:eastAsia="宋体" w:cs="宋体"/>
                <w:sz w:val="24"/>
                <w:szCs w:val="24"/>
              </w:rPr>
            </w:pPr>
          </w:p>
        </w:tc>
        <w:tc>
          <w:tcPr>
            <w:tcW w:w="1654" w:type="dxa"/>
            <w:noWrap w:val="0"/>
            <w:vAlign w:val="top"/>
          </w:tcPr>
          <w:p w14:paraId="06092DBB">
            <w:pPr>
              <w:pStyle w:val="20"/>
              <w:rPr>
                <w:rFonts w:hint="eastAsia" w:ascii="宋体" w:hAnsi="宋体" w:eastAsia="宋体" w:cs="宋体"/>
                <w:sz w:val="24"/>
                <w:szCs w:val="24"/>
              </w:rPr>
            </w:pPr>
          </w:p>
        </w:tc>
        <w:tc>
          <w:tcPr>
            <w:tcW w:w="2054" w:type="dxa"/>
            <w:noWrap w:val="0"/>
            <w:vAlign w:val="top"/>
          </w:tcPr>
          <w:p w14:paraId="16904425">
            <w:pPr>
              <w:pStyle w:val="20"/>
              <w:rPr>
                <w:rFonts w:hint="eastAsia" w:ascii="宋体" w:hAnsi="宋体" w:eastAsia="宋体" w:cs="宋体"/>
                <w:sz w:val="24"/>
                <w:szCs w:val="24"/>
              </w:rPr>
            </w:pPr>
          </w:p>
        </w:tc>
      </w:tr>
      <w:tr w14:paraId="215BF0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trPr>
        <w:tc>
          <w:tcPr>
            <w:tcW w:w="677" w:type="dxa"/>
            <w:noWrap w:val="0"/>
            <w:vAlign w:val="top"/>
          </w:tcPr>
          <w:p w14:paraId="7F9EFEEF">
            <w:pPr>
              <w:spacing w:before="187" w:line="195" w:lineRule="auto"/>
              <w:ind w:left="243"/>
              <w:rPr>
                <w:rFonts w:hint="eastAsia" w:ascii="宋体" w:hAnsi="宋体" w:eastAsia="宋体" w:cs="宋体"/>
                <w:sz w:val="24"/>
                <w:szCs w:val="24"/>
              </w:rPr>
            </w:pPr>
            <w:r>
              <w:rPr>
                <w:rFonts w:hint="eastAsia" w:ascii="宋体" w:hAnsi="宋体" w:eastAsia="宋体" w:cs="宋体"/>
                <w:sz w:val="24"/>
                <w:szCs w:val="24"/>
              </w:rPr>
              <w:t>2</w:t>
            </w:r>
          </w:p>
        </w:tc>
        <w:tc>
          <w:tcPr>
            <w:tcW w:w="2068" w:type="dxa"/>
            <w:noWrap w:val="0"/>
            <w:vAlign w:val="top"/>
          </w:tcPr>
          <w:p w14:paraId="3AD6FE09">
            <w:pPr>
              <w:spacing w:before="152" w:line="228" w:lineRule="auto"/>
              <w:ind w:left="172"/>
              <w:rPr>
                <w:rFonts w:hint="eastAsia" w:ascii="宋体" w:hAnsi="宋体" w:eastAsia="宋体" w:cs="宋体"/>
                <w:sz w:val="24"/>
                <w:szCs w:val="24"/>
              </w:rPr>
            </w:pPr>
            <w:r>
              <w:rPr>
                <w:rFonts w:hint="eastAsia" w:ascii="宋体" w:hAnsi="宋体" w:eastAsia="宋体" w:cs="宋体"/>
                <w:spacing w:val="8"/>
                <w:sz w:val="24"/>
                <w:szCs w:val="24"/>
              </w:rPr>
              <w:t>项目技术负责人</w:t>
            </w:r>
          </w:p>
        </w:tc>
        <w:tc>
          <w:tcPr>
            <w:tcW w:w="1671" w:type="dxa"/>
            <w:noWrap w:val="0"/>
            <w:vAlign w:val="top"/>
          </w:tcPr>
          <w:p w14:paraId="44EEDBB0">
            <w:pPr>
              <w:pStyle w:val="20"/>
              <w:rPr>
                <w:rFonts w:hint="eastAsia" w:ascii="宋体" w:hAnsi="宋体" w:eastAsia="宋体" w:cs="宋体"/>
                <w:sz w:val="24"/>
                <w:szCs w:val="24"/>
              </w:rPr>
            </w:pPr>
          </w:p>
        </w:tc>
        <w:tc>
          <w:tcPr>
            <w:tcW w:w="1085" w:type="dxa"/>
            <w:noWrap w:val="0"/>
            <w:vAlign w:val="top"/>
          </w:tcPr>
          <w:p w14:paraId="6F074631">
            <w:pPr>
              <w:pStyle w:val="20"/>
              <w:rPr>
                <w:rFonts w:hint="eastAsia" w:ascii="宋体" w:hAnsi="宋体" w:eastAsia="宋体" w:cs="宋体"/>
                <w:sz w:val="24"/>
                <w:szCs w:val="24"/>
              </w:rPr>
            </w:pPr>
          </w:p>
        </w:tc>
        <w:tc>
          <w:tcPr>
            <w:tcW w:w="1069" w:type="dxa"/>
            <w:noWrap w:val="0"/>
            <w:vAlign w:val="top"/>
          </w:tcPr>
          <w:p w14:paraId="313C221B">
            <w:pPr>
              <w:pStyle w:val="20"/>
              <w:rPr>
                <w:rFonts w:hint="eastAsia" w:ascii="宋体" w:hAnsi="宋体" w:eastAsia="宋体" w:cs="宋体"/>
                <w:sz w:val="24"/>
                <w:szCs w:val="24"/>
              </w:rPr>
            </w:pPr>
          </w:p>
        </w:tc>
        <w:tc>
          <w:tcPr>
            <w:tcW w:w="1654" w:type="dxa"/>
            <w:noWrap w:val="0"/>
            <w:vAlign w:val="top"/>
          </w:tcPr>
          <w:p w14:paraId="466D2EF1">
            <w:pPr>
              <w:pStyle w:val="20"/>
              <w:rPr>
                <w:rFonts w:hint="eastAsia" w:ascii="宋体" w:hAnsi="宋体" w:eastAsia="宋体" w:cs="宋体"/>
                <w:sz w:val="24"/>
                <w:szCs w:val="24"/>
              </w:rPr>
            </w:pPr>
          </w:p>
        </w:tc>
        <w:tc>
          <w:tcPr>
            <w:tcW w:w="2054" w:type="dxa"/>
            <w:noWrap w:val="0"/>
            <w:vAlign w:val="top"/>
          </w:tcPr>
          <w:p w14:paraId="375574BB">
            <w:pPr>
              <w:pStyle w:val="20"/>
              <w:rPr>
                <w:rFonts w:hint="eastAsia" w:ascii="宋体" w:hAnsi="宋体" w:eastAsia="宋体" w:cs="宋体"/>
                <w:sz w:val="24"/>
                <w:szCs w:val="24"/>
              </w:rPr>
            </w:pPr>
          </w:p>
        </w:tc>
      </w:tr>
      <w:tr w14:paraId="6FEB9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677" w:type="dxa"/>
            <w:noWrap w:val="0"/>
            <w:vAlign w:val="top"/>
          </w:tcPr>
          <w:p w14:paraId="5D0EE86F">
            <w:pPr>
              <w:spacing w:before="189" w:line="195" w:lineRule="auto"/>
              <w:ind w:left="247"/>
              <w:rPr>
                <w:rFonts w:hint="eastAsia" w:ascii="宋体" w:hAnsi="宋体" w:eastAsia="宋体" w:cs="宋体"/>
                <w:sz w:val="24"/>
                <w:szCs w:val="24"/>
              </w:rPr>
            </w:pPr>
            <w:r>
              <w:rPr>
                <w:rFonts w:hint="eastAsia" w:ascii="宋体" w:hAnsi="宋体" w:eastAsia="宋体" w:cs="宋体"/>
                <w:sz w:val="24"/>
                <w:szCs w:val="24"/>
              </w:rPr>
              <w:t>3</w:t>
            </w:r>
          </w:p>
        </w:tc>
        <w:tc>
          <w:tcPr>
            <w:tcW w:w="2068" w:type="dxa"/>
            <w:noWrap w:val="0"/>
            <w:vAlign w:val="top"/>
          </w:tcPr>
          <w:p w14:paraId="3A050CB5">
            <w:pPr>
              <w:spacing w:before="153" w:line="229" w:lineRule="auto"/>
              <w:ind w:left="378"/>
              <w:rPr>
                <w:rFonts w:hint="eastAsia" w:ascii="宋体" w:hAnsi="宋体" w:eastAsia="宋体" w:cs="宋体"/>
                <w:sz w:val="24"/>
                <w:szCs w:val="24"/>
              </w:rPr>
            </w:pPr>
            <w:r>
              <w:rPr>
                <w:rFonts w:hint="eastAsia" w:ascii="宋体" w:hAnsi="宋体" w:eastAsia="宋体" w:cs="宋体"/>
                <w:spacing w:val="7"/>
                <w:sz w:val="24"/>
                <w:szCs w:val="24"/>
              </w:rPr>
              <w:t>专职安全员</w:t>
            </w:r>
          </w:p>
        </w:tc>
        <w:tc>
          <w:tcPr>
            <w:tcW w:w="1671" w:type="dxa"/>
            <w:noWrap w:val="0"/>
            <w:vAlign w:val="top"/>
          </w:tcPr>
          <w:p w14:paraId="2E31E956">
            <w:pPr>
              <w:pStyle w:val="20"/>
              <w:rPr>
                <w:rFonts w:hint="eastAsia" w:ascii="宋体" w:hAnsi="宋体" w:eastAsia="宋体" w:cs="宋体"/>
                <w:sz w:val="24"/>
                <w:szCs w:val="24"/>
              </w:rPr>
            </w:pPr>
          </w:p>
        </w:tc>
        <w:tc>
          <w:tcPr>
            <w:tcW w:w="1085" w:type="dxa"/>
            <w:noWrap w:val="0"/>
            <w:vAlign w:val="top"/>
          </w:tcPr>
          <w:p w14:paraId="57C8C0AA">
            <w:pPr>
              <w:pStyle w:val="20"/>
              <w:rPr>
                <w:rFonts w:hint="eastAsia" w:ascii="宋体" w:hAnsi="宋体" w:eastAsia="宋体" w:cs="宋体"/>
                <w:sz w:val="24"/>
                <w:szCs w:val="24"/>
              </w:rPr>
            </w:pPr>
          </w:p>
        </w:tc>
        <w:tc>
          <w:tcPr>
            <w:tcW w:w="1069" w:type="dxa"/>
            <w:noWrap w:val="0"/>
            <w:vAlign w:val="top"/>
          </w:tcPr>
          <w:p w14:paraId="356C6811">
            <w:pPr>
              <w:pStyle w:val="20"/>
              <w:rPr>
                <w:rFonts w:hint="eastAsia" w:ascii="宋体" w:hAnsi="宋体" w:eastAsia="宋体" w:cs="宋体"/>
                <w:sz w:val="24"/>
                <w:szCs w:val="24"/>
              </w:rPr>
            </w:pPr>
          </w:p>
        </w:tc>
        <w:tc>
          <w:tcPr>
            <w:tcW w:w="1654" w:type="dxa"/>
            <w:noWrap w:val="0"/>
            <w:vAlign w:val="top"/>
          </w:tcPr>
          <w:p w14:paraId="1547BB43">
            <w:pPr>
              <w:pStyle w:val="20"/>
              <w:rPr>
                <w:rFonts w:hint="eastAsia" w:ascii="宋体" w:hAnsi="宋体" w:eastAsia="宋体" w:cs="宋体"/>
                <w:sz w:val="24"/>
                <w:szCs w:val="24"/>
              </w:rPr>
            </w:pPr>
          </w:p>
        </w:tc>
        <w:tc>
          <w:tcPr>
            <w:tcW w:w="2054" w:type="dxa"/>
            <w:noWrap w:val="0"/>
            <w:vAlign w:val="top"/>
          </w:tcPr>
          <w:p w14:paraId="389A7E2C">
            <w:pPr>
              <w:pStyle w:val="20"/>
              <w:rPr>
                <w:rFonts w:hint="eastAsia" w:ascii="宋体" w:hAnsi="宋体" w:eastAsia="宋体" w:cs="宋体"/>
                <w:sz w:val="24"/>
                <w:szCs w:val="24"/>
              </w:rPr>
            </w:pPr>
          </w:p>
        </w:tc>
      </w:tr>
      <w:tr w14:paraId="6076E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677" w:type="dxa"/>
            <w:noWrap w:val="0"/>
            <w:vAlign w:val="top"/>
          </w:tcPr>
          <w:p w14:paraId="27BE924C">
            <w:pPr>
              <w:spacing w:before="188" w:line="195" w:lineRule="auto"/>
              <w:ind w:left="242"/>
              <w:rPr>
                <w:rFonts w:hint="eastAsia" w:ascii="宋体" w:hAnsi="宋体" w:eastAsia="宋体" w:cs="宋体"/>
                <w:sz w:val="24"/>
                <w:szCs w:val="24"/>
              </w:rPr>
            </w:pPr>
            <w:r>
              <w:rPr>
                <w:rFonts w:hint="eastAsia" w:ascii="宋体" w:hAnsi="宋体" w:eastAsia="宋体" w:cs="宋体"/>
                <w:spacing w:val="1"/>
                <w:sz w:val="24"/>
                <w:szCs w:val="24"/>
              </w:rPr>
              <w:t>4</w:t>
            </w:r>
          </w:p>
        </w:tc>
        <w:tc>
          <w:tcPr>
            <w:tcW w:w="2068" w:type="dxa"/>
            <w:noWrap w:val="0"/>
            <w:vAlign w:val="top"/>
          </w:tcPr>
          <w:p w14:paraId="5BC5AD03">
            <w:pPr>
              <w:spacing w:before="152" w:line="230" w:lineRule="auto"/>
              <w:ind w:left="588"/>
              <w:rPr>
                <w:rFonts w:hint="eastAsia" w:ascii="宋体" w:hAnsi="宋体" w:eastAsia="宋体" w:cs="宋体"/>
                <w:sz w:val="24"/>
                <w:szCs w:val="24"/>
              </w:rPr>
            </w:pPr>
            <w:r>
              <w:rPr>
                <w:rFonts w:hint="eastAsia" w:ascii="宋体" w:hAnsi="宋体" w:eastAsia="宋体" w:cs="宋体"/>
                <w:spacing w:val="7"/>
                <w:sz w:val="24"/>
                <w:szCs w:val="24"/>
              </w:rPr>
              <w:t>施工员</w:t>
            </w:r>
          </w:p>
        </w:tc>
        <w:tc>
          <w:tcPr>
            <w:tcW w:w="1671" w:type="dxa"/>
            <w:noWrap w:val="0"/>
            <w:vAlign w:val="top"/>
          </w:tcPr>
          <w:p w14:paraId="0447CB44">
            <w:pPr>
              <w:pStyle w:val="20"/>
              <w:rPr>
                <w:rFonts w:hint="eastAsia" w:ascii="宋体" w:hAnsi="宋体" w:eastAsia="宋体" w:cs="宋体"/>
                <w:sz w:val="24"/>
                <w:szCs w:val="24"/>
              </w:rPr>
            </w:pPr>
          </w:p>
        </w:tc>
        <w:tc>
          <w:tcPr>
            <w:tcW w:w="1085" w:type="dxa"/>
            <w:noWrap w:val="0"/>
            <w:vAlign w:val="top"/>
          </w:tcPr>
          <w:p w14:paraId="56C30738">
            <w:pPr>
              <w:pStyle w:val="20"/>
              <w:rPr>
                <w:rFonts w:hint="eastAsia" w:ascii="宋体" w:hAnsi="宋体" w:eastAsia="宋体" w:cs="宋体"/>
                <w:sz w:val="24"/>
                <w:szCs w:val="24"/>
              </w:rPr>
            </w:pPr>
          </w:p>
        </w:tc>
        <w:tc>
          <w:tcPr>
            <w:tcW w:w="1069" w:type="dxa"/>
            <w:noWrap w:val="0"/>
            <w:vAlign w:val="top"/>
          </w:tcPr>
          <w:p w14:paraId="714675F0">
            <w:pPr>
              <w:pStyle w:val="20"/>
              <w:rPr>
                <w:rFonts w:hint="eastAsia" w:ascii="宋体" w:hAnsi="宋体" w:eastAsia="宋体" w:cs="宋体"/>
                <w:sz w:val="24"/>
                <w:szCs w:val="24"/>
              </w:rPr>
            </w:pPr>
          </w:p>
        </w:tc>
        <w:tc>
          <w:tcPr>
            <w:tcW w:w="1654" w:type="dxa"/>
            <w:noWrap w:val="0"/>
            <w:vAlign w:val="top"/>
          </w:tcPr>
          <w:p w14:paraId="387AD870">
            <w:pPr>
              <w:pStyle w:val="20"/>
              <w:rPr>
                <w:rFonts w:hint="eastAsia" w:ascii="宋体" w:hAnsi="宋体" w:eastAsia="宋体" w:cs="宋体"/>
                <w:sz w:val="24"/>
                <w:szCs w:val="24"/>
              </w:rPr>
            </w:pPr>
          </w:p>
        </w:tc>
        <w:tc>
          <w:tcPr>
            <w:tcW w:w="2054" w:type="dxa"/>
            <w:noWrap w:val="0"/>
            <w:vAlign w:val="top"/>
          </w:tcPr>
          <w:p w14:paraId="0395D024">
            <w:pPr>
              <w:pStyle w:val="20"/>
              <w:rPr>
                <w:rFonts w:hint="eastAsia" w:ascii="宋体" w:hAnsi="宋体" w:eastAsia="宋体" w:cs="宋体"/>
                <w:sz w:val="24"/>
                <w:szCs w:val="24"/>
              </w:rPr>
            </w:pPr>
          </w:p>
        </w:tc>
      </w:tr>
      <w:tr w14:paraId="7466E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677" w:type="dxa"/>
            <w:noWrap w:val="0"/>
            <w:vAlign w:val="top"/>
          </w:tcPr>
          <w:p w14:paraId="7F94C9A0">
            <w:pPr>
              <w:spacing w:before="193" w:line="192" w:lineRule="auto"/>
              <w:ind w:left="248"/>
              <w:rPr>
                <w:rFonts w:hint="eastAsia" w:ascii="宋体" w:hAnsi="宋体" w:eastAsia="宋体" w:cs="宋体"/>
                <w:sz w:val="24"/>
                <w:szCs w:val="24"/>
              </w:rPr>
            </w:pPr>
            <w:r>
              <w:rPr>
                <w:rFonts w:hint="eastAsia" w:ascii="宋体" w:hAnsi="宋体" w:eastAsia="宋体" w:cs="宋体"/>
                <w:sz w:val="24"/>
                <w:szCs w:val="24"/>
              </w:rPr>
              <w:t>5</w:t>
            </w:r>
          </w:p>
        </w:tc>
        <w:tc>
          <w:tcPr>
            <w:tcW w:w="2068" w:type="dxa"/>
            <w:noWrap w:val="0"/>
            <w:vAlign w:val="top"/>
          </w:tcPr>
          <w:p w14:paraId="32CF6A1C">
            <w:pPr>
              <w:spacing w:before="154" w:line="229" w:lineRule="auto"/>
              <w:ind w:left="589"/>
              <w:rPr>
                <w:rFonts w:hint="eastAsia" w:ascii="宋体" w:hAnsi="宋体" w:eastAsia="宋体" w:cs="宋体"/>
                <w:sz w:val="24"/>
                <w:szCs w:val="24"/>
              </w:rPr>
            </w:pPr>
            <w:r>
              <w:rPr>
                <w:rFonts w:hint="eastAsia" w:ascii="宋体" w:hAnsi="宋体" w:eastAsia="宋体" w:cs="宋体"/>
                <w:spacing w:val="6"/>
                <w:sz w:val="24"/>
                <w:szCs w:val="24"/>
              </w:rPr>
              <w:t>质量员</w:t>
            </w:r>
          </w:p>
        </w:tc>
        <w:tc>
          <w:tcPr>
            <w:tcW w:w="1671" w:type="dxa"/>
            <w:noWrap w:val="0"/>
            <w:vAlign w:val="top"/>
          </w:tcPr>
          <w:p w14:paraId="42040550">
            <w:pPr>
              <w:pStyle w:val="20"/>
              <w:rPr>
                <w:rFonts w:hint="eastAsia" w:ascii="宋体" w:hAnsi="宋体" w:eastAsia="宋体" w:cs="宋体"/>
                <w:sz w:val="24"/>
                <w:szCs w:val="24"/>
              </w:rPr>
            </w:pPr>
          </w:p>
        </w:tc>
        <w:tc>
          <w:tcPr>
            <w:tcW w:w="1085" w:type="dxa"/>
            <w:noWrap w:val="0"/>
            <w:vAlign w:val="top"/>
          </w:tcPr>
          <w:p w14:paraId="018C0397">
            <w:pPr>
              <w:pStyle w:val="20"/>
              <w:rPr>
                <w:rFonts w:hint="eastAsia" w:ascii="宋体" w:hAnsi="宋体" w:eastAsia="宋体" w:cs="宋体"/>
                <w:sz w:val="24"/>
                <w:szCs w:val="24"/>
              </w:rPr>
            </w:pPr>
          </w:p>
        </w:tc>
        <w:tc>
          <w:tcPr>
            <w:tcW w:w="1069" w:type="dxa"/>
            <w:noWrap w:val="0"/>
            <w:vAlign w:val="top"/>
          </w:tcPr>
          <w:p w14:paraId="034A5467">
            <w:pPr>
              <w:pStyle w:val="20"/>
              <w:rPr>
                <w:rFonts w:hint="eastAsia" w:ascii="宋体" w:hAnsi="宋体" w:eastAsia="宋体" w:cs="宋体"/>
                <w:sz w:val="24"/>
                <w:szCs w:val="24"/>
              </w:rPr>
            </w:pPr>
          </w:p>
        </w:tc>
        <w:tc>
          <w:tcPr>
            <w:tcW w:w="1654" w:type="dxa"/>
            <w:noWrap w:val="0"/>
            <w:vAlign w:val="top"/>
          </w:tcPr>
          <w:p w14:paraId="18C497CE">
            <w:pPr>
              <w:pStyle w:val="20"/>
              <w:rPr>
                <w:rFonts w:hint="eastAsia" w:ascii="宋体" w:hAnsi="宋体" w:eastAsia="宋体" w:cs="宋体"/>
                <w:sz w:val="24"/>
                <w:szCs w:val="24"/>
              </w:rPr>
            </w:pPr>
          </w:p>
        </w:tc>
        <w:tc>
          <w:tcPr>
            <w:tcW w:w="2054" w:type="dxa"/>
            <w:noWrap w:val="0"/>
            <w:vAlign w:val="top"/>
          </w:tcPr>
          <w:p w14:paraId="6161E2B2">
            <w:pPr>
              <w:pStyle w:val="20"/>
              <w:rPr>
                <w:rFonts w:hint="eastAsia" w:ascii="宋体" w:hAnsi="宋体" w:eastAsia="宋体" w:cs="宋体"/>
                <w:sz w:val="24"/>
                <w:szCs w:val="24"/>
              </w:rPr>
            </w:pPr>
          </w:p>
        </w:tc>
      </w:tr>
      <w:tr w14:paraId="54E7A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677" w:type="dxa"/>
            <w:noWrap w:val="0"/>
            <w:vAlign w:val="top"/>
          </w:tcPr>
          <w:p w14:paraId="30A43701">
            <w:pPr>
              <w:spacing w:before="191" w:line="195" w:lineRule="auto"/>
              <w:ind w:left="247"/>
              <w:rPr>
                <w:rFonts w:hint="eastAsia" w:ascii="宋体" w:hAnsi="宋体" w:eastAsia="宋体" w:cs="宋体"/>
                <w:sz w:val="24"/>
                <w:szCs w:val="24"/>
              </w:rPr>
            </w:pPr>
            <w:r>
              <w:rPr>
                <w:rFonts w:hint="eastAsia" w:ascii="宋体" w:hAnsi="宋体" w:eastAsia="宋体" w:cs="宋体"/>
                <w:sz w:val="24"/>
                <w:szCs w:val="24"/>
              </w:rPr>
              <w:t>6</w:t>
            </w:r>
          </w:p>
        </w:tc>
        <w:tc>
          <w:tcPr>
            <w:tcW w:w="2068" w:type="dxa"/>
            <w:noWrap w:val="0"/>
            <w:vAlign w:val="top"/>
          </w:tcPr>
          <w:p w14:paraId="775E915D">
            <w:pPr>
              <w:spacing w:before="155" w:line="228" w:lineRule="auto"/>
              <w:ind w:left="589"/>
              <w:rPr>
                <w:rFonts w:hint="eastAsia" w:ascii="宋体" w:hAnsi="宋体" w:eastAsia="宋体" w:cs="宋体"/>
                <w:sz w:val="24"/>
                <w:szCs w:val="24"/>
              </w:rPr>
            </w:pPr>
            <w:r>
              <w:rPr>
                <w:rFonts w:hint="eastAsia" w:ascii="宋体" w:hAnsi="宋体" w:eastAsia="宋体" w:cs="宋体"/>
                <w:spacing w:val="6"/>
                <w:sz w:val="24"/>
                <w:szCs w:val="24"/>
              </w:rPr>
              <w:t>材料员</w:t>
            </w:r>
          </w:p>
        </w:tc>
        <w:tc>
          <w:tcPr>
            <w:tcW w:w="1671" w:type="dxa"/>
            <w:noWrap w:val="0"/>
            <w:vAlign w:val="top"/>
          </w:tcPr>
          <w:p w14:paraId="683A03DC">
            <w:pPr>
              <w:pStyle w:val="20"/>
              <w:rPr>
                <w:rFonts w:hint="eastAsia" w:ascii="宋体" w:hAnsi="宋体" w:eastAsia="宋体" w:cs="宋体"/>
                <w:sz w:val="24"/>
                <w:szCs w:val="24"/>
              </w:rPr>
            </w:pPr>
          </w:p>
        </w:tc>
        <w:tc>
          <w:tcPr>
            <w:tcW w:w="1085" w:type="dxa"/>
            <w:noWrap w:val="0"/>
            <w:vAlign w:val="top"/>
          </w:tcPr>
          <w:p w14:paraId="56EA51F9">
            <w:pPr>
              <w:pStyle w:val="20"/>
              <w:rPr>
                <w:rFonts w:hint="eastAsia" w:ascii="宋体" w:hAnsi="宋体" w:eastAsia="宋体" w:cs="宋体"/>
                <w:sz w:val="24"/>
                <w:szCs w:val="24"/>
              </w:rPr>
            </w:pPr>
          </w:p>
        </w:tc>
        <w:tc>
          <w:tcPr>
            <w:tcW w:w="1069" w:type="dxa"/>
            <w:noWrap w:val="0"/>
            <w:vAlign w:val="top"/>
          </w:tcPr>
          <w:p w14:paraId="5542635B">
            <w:pPr>
              <w:pStyle w:val="20"/>
              <w:rPr>
                <w:rFonts w:hint="eastAsia" w:ascii="宋体" w:hAnsi="宋体" w:eastAsia="宋体" w:cs="宋体"/>
                <w:sz w:val="24"/>
                <w:szCs w:val="24"/>
              </w:rPr>
            </w:pPr>
          </w:p>
        </w:tc>
        <w:tc>
          <w:tcPr>
            <w:tcW w:w="1654" w:type="dxa"/>
            <w:noWrap w:val="0"/>
            <w:vAlign w:val="top"/>
          </w:tcPr>
          <w:p w14:paraId="01BAAE44">
            <w:pPr>
              <w:pStyle w:val="20"/>
              <w:rPr>
                <w:rFonts w:hint="eastAsia" w:ascii="宋体" w:hAnsi="宋体" w:eastAsia="宋体" w:cs="宋体"/>
                <w:sz w:val="24"/>
                <w:szCs w:val="24"/>
              </w:rPr>
            </w:pPr>
          </w:p>
        </w:tc>
        <w:tc>
          <w:tcPr>
            <w:tcW w:w="2054" w:type="dxa"/>
            <w:noWrap w:val="0"/>
            <w:vAlign w:val="top"/>
          </w:tcPr>
          <w:p w14:paraId="56CF4EFF">
            <w:pPr>
              <w:pStyle w:val="20"/>
              <w:rPr>
                <w:rFonts w:hint="eastAsia" w:ascii="宋体" w:hAnsi="宋体" w:eastAsia="宋体" w:cs="宋体"/>
                <w:sz w:val="24"/>
                <w:szCs w:val="24"/>
              </w:rPr>
            </w:pPr>
          </w:p>
        </w:tc>
      </w:tr>
      <w:tr w14:paraId="4B0956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677" w:type="dxa"/>
            <w:noWrap w:val="0"/>
            <w:vAlign w:val="top"/>
          </w:tcPr>
          <w:p w14:paraId="7634954A">
            <w:pPr>
              <w:spacing w:before="192" w:line="192" w:lineRule="auto"/>
              <w:ind w:left="246"/>
              <w:rPr>
                <w:rFonts w:hint="eastAsia" w:ascii="宋体" w:hAnsi="宋体" w:eastAsia="宋体" w:cs="宋体"/>
                <w:sz w:val="24"/>
                <w:szCs w:val="24"/>
              </w:rPr>
            </w:pPr>
            <w:r>
              <w:rPr>
                <w:rFonts w:hint="eastAsia" w:ascii="宋体" w:hAnsi="宋体" w:eastAsia="宋体" w:cs="宋体"/>
                <w:sz w:val="24"/>
                <w:szCs w:val="24"/>
              </w:rPr>
              <w:t>7</w:t>
            </w:r>
          </w:p>
        </w:tc>
        <w:tc>
          <w:tcPr>
            <w:tcW w:w="2068" w:type="dxa"/>
            <w:noWrap w:val="0"/>
            <w:vAlign w:val="top"/>
          </w:tcPr>
          <w:p w14:paraId="3197FBF4">
            <w:pPr>
              <w:spacing w:before="154" w:line="229" w:lineRule="auto"/>
              <w:ind w:left="598"/>
              <w:rPr>
                <w:rFonts w:hint="eastAsia" w:ascii="宋体" w:hAnsi="宋体" w:eastAsia="宋体" w:cs="宋体"/>
                <w:sz w:val="24"/>
                <w:szCs w:val="24"/>
              </w:rPr>
            </w:pPr>
            <w:r>
              <w:rPr>
                <w:rFonts w:hint="eastAsia" w:ascii="宋体" w:hAnsi="宋体" w:eastAsia="宋体" w:cs="宋体"/>
                <w:spacing w:val="3"/>
                <w:sz w:val="24"/>
                <w:szCs w:val="24"/>
              </w:rPr>
              <w:t>资料员</w:t>
            </w:r>
          </w:p>
        </w:tc>
        <w:tc>
          <w:tcPr>
            <w:tcW w:w="1671" w:type="dxa"/>
            <w:noWrap w:val="0"/>
            <w:vAlign w:val="top"/>
          </w:tcPr>
          <w:p w14:paraId="36CD65DD">
            <w:pPr>
              <w:pStyle w:val="20"/>
              <w:rPr>
                <w:rFonts w:hint="eastAsia" w:ascii="宋体" w:hAnsi="宋体" w:eastAsia="宋体" w:cs="宋体"/>
                <w:sz w:val="24"/>
                <w:szCs w:val="24"/>
              </w:rPr>
            </w:pPr>
          </w:p>
        </w:tc>
        <w:tc>
          <w:tcPr>
            <w:tcW w:w="1085" w:type="dxa"/>
            <w:noWrap w:val="0"/>
            <w:vAlign w:val="top"/>
          </w:tcPr>
          <w:p w14:paraId="03F112D6">
            <w:pPr>
              <w:pStyle w:val="20"/>
              <w:rPr>
                <w:rFonts w:hint="eastAsia" w:ascii="宋体" w:hAnsi="宋体" w:eastAsia="宋体" w:cs="宋体"/>
                <w:sz w:val="24"/>
                <w:szCs w:val="24"/>
              </w:rPr>
            </w:pPr>
          </w:p>
        </w:tc>
        <w:tc>
          <w:tcPr>
            <w:tcW w:w="1069" w:type="dxa"/>
            <w:noWrap w:val="0"/>
            <w:vAlign w:val="top"/>
          </w:tcPr>
          <w:p w14:paraId="1F85F6D4">
            <w:pPr>
              <w:pStyle w:val="20"/>
              <w:rPr>
                <w:rFonts w:hint="eastAsia" w:ascii="宋体" w:hAnsi="宋体" w:eastAsia="宋体" w:cs="宋体"/>
                <w:sz w:val="24"/>
                <w:szCs w:val="24"/>
              </w:rPr>
            </w:pPr>
          </w:p>
        </w:tc>
        <w:tc>
          <w:tcPr>
            <w:tcW w:w="1654" w:type="dxa"/>
            <w:noWrap w:val="0"/>
            <w:vAlign w:val="top"/>
          </w:tcPr>
          <w:p w14:paraId="692D5D23">
            <w:pPr>
              <w:pStyle w:val="20"/>
              <w:rPr>
                <w:rFonts w:hint="eastAsia" w:ascii="宋体" w:hAnsi="宋体" w:eastAsia="宋体" w:cs="宋体"/>
                <w:sz w:val="24"/>
                <w:szCs w:val="24"/>
              </w:rPr>
            </w:pPr>
          </w:p>
        </w:tc>
        <w:tc>
          <w:tcPr>
            <w:tcW w:w="2054" w:type="dxa"/>
            <w:noWrap w:val="0"/>
            <w:vAlign w:val="top"/>
          </w:tcPr>
          <w:p w14:paraId="262A351B">
            <w:pPr>
              <w:pStyle w:val="20"/>
              <w:rPr>
                <w:rFonts w:hint="eastAsia" w:ascii="宋体" w:hAnsi="宋体" w:eastAsia="宋体" w:cs="宋体"/>
                <w:sz w:val="24"/>
                <w:szCs w:val="24"/>
              </w:rPr>
            </w:pPr>
          </w:p>
        </w:tc>
      </w:tr>
      <w:tr w14:paraId="41C2E1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677" w:type="dxa"/>
            <w:noWrap w:val="0"/>
            <w:vAlign w:val="top"/>
          </w:tcPr>
          <w:p w14:paraId="1947B82E">
            <w:pPr>
              <w:spacing w:before="154" w:line="325" w:lineRule="exact"/>
              <w:ind w:left="104"/>
              <w:rPr>
                <w:rFonts w:hint="eastAsia" w:ascii="宋体" w:hAnsi="宋体" w:eastAsia="宋体" w:cs="宋体"/>
                <w:sz w:val="24"/>
                <w:szCs w:val="24"/>
              </w:rPr>
            </w:pPr>
            <w:r>
              <w:rPr>
                <w:rFonts w:hint="eastAsia" w:ascii="宋体" w:hAnsi="宋体" w:eastAsia="宋体" w:cs="宋体"/>
                <w:spacing w:val="-2"/>
                <w:position w:val="3"/>
                <w:sz w:val="24"/>
                <w:szCs w:val="24"/>
              </w:rPr>
              <w:t>……</w:t>
            </w:r>
          </w:p>
        </w:tc>
        <w:tc>
          <w:tcPr>
            <w:tcW w:w="2068" w:type="dxa"/>
            <w:noWrap w:val="0"/>
            <w:vAlign w:val="top"/>
          </w:tcPr>
          <w:p w14:paraId="3EA950D3">
            <w:pPr>
              <w:pStyle w:val="20"/>
              <w:rPr>
                <w:rFonts w:hint="eastAsia" w:ascii="宋体" w:hAnsi="宋体" w:eastAsia="宋体" w:cs="宋体"/>
                <w:sz w:val="24"/>
                <w:szCs w:val="24"/>
              </w:rPr>
            </w:pPr>
          </w:p>
        </w:tc>
        <w:tc>
          <w:tcPr>
            <w:tcW w:w="1671" w:type="dxa"/>
            <w:noWrap w:val="0"/>
            <w:vAlign w:val="top"/>
          </w:tcPr>
          <w:p w14:paraId="77448D07">
            <w:pPr>
              <w:pStyle w:val="20"/>
              <w:rPr>
                <w:rFonts w:hint="eastAsia" w:ascii="宋体" w:hAnsi="宋体" w:eastAsia="宋体" w:cs="宋体"/>
                <w:sz w:val="24"/>
                <w:szCs w:val="24"/>
              </w:rPr>
            </w:pPr>
          </w:p>
        </w:tc>
        <w:tc>
          <w:tcPr>
            <w:tcW w:w="1085" w:type="dxa"/>
            <w:noWrap w:val="0"/>
            <w:vAlign w:val="top"/>
          </w:tcPr>
          <w:p w14:paraId="0C1E64D1">
            <w:pPr>
              <w:pStyle w:val="20"/>
              <w:rPr>
                <w:rFonts w:hint="eastAsia" w:ascii="宋体" w:hAnsi="宋体" w:eastAsia="宋体" w:cs="宋体"/>
                <w:sz w:val="24"/>
                <w:szCs w:val="24"/>
              </w:rPr>
            </w:pPr>
          </w:p>
        </w:tc>
        <w:tc>
          <w:tcPr>
            <w:tcW w:w="1069" w:type="dxa"/>
            <w:noWrap w:val="0"/>
            <w:vAlign w:val="top"/>
          </w:tcPr>
          <w:p w14:paraId="7FAB7C28">
            <w:pPr>
              <w:pStyle w:val="20"/>
              <w:rPr>
                <w:rFonts w:hint="eastAsia" w:ascii="宋体" w:hAnsi="宋体" w:eastAsia="宋体" w:cs="宋体"/>
                <w:sz w:val="24"/>
                <w:szCs w:val="24"/>
              </w:rPr>
            </w:pPr>
          </w:p>
        </w:tc>
        <w:tc>
          <w:tcPr>
            <w:tcW w:w="1654" w:type="dxa"/>
            <w:noWrap w:val="0"/>
            <w:vAlign w:val="top"/>
          </w:tcPr>
          <w:p w14:paraId="1FF038CD">
            <w:pPr>
              <w:pStyle w:val="20"/>
              <w:rPr>
                <w:rFonts w:hint="eastAsia" w:ascii="宋体" w:hAnsi="宋体" w:eastAsia="宋体" w:cs="宋体"/>
                <w:sz w:val="24"/>
                <w:szCs w:val="24"/>
              </w:rPr>
            </w:pPr>
          </w:p>
        </w:tc>
        <w:tc>
          <w:tcPr>
            <w:tcW w:w="2054" w:type="dxa"/>
            <w:noWrap w:val="0"/>
            <w:vAlign w:val="top"/>
          </w:tcPr>
          <w:p w14:paraId="2D1B795A">
            <w:pPr>
              <w:pStyle w:val="20"/>
              <w:rPr>
                <w:rFonts w:hint="eastAsia" w:ascii="宋体" w:hAnsi="宋体" w:eastAsia="宋体" w:cs="宋体"/>
                <w:sz w:val="24"/>
                <w:szCs w:val="24"/>
              </w:rPr>
            </w:pPr>
          </w:p>
        </w:tc>
      </w:tr>
    </w:tbl>
    <w:p w14:paraId="3FC7B63E">
      <w:pPr>
        <w:pStyle w:val="5"/>
        <w:spacing w:line="395" w:lineRule="auto"/>
        <w:rPr>
          <w:rFonts w:hint="eastAsia" w:ascii="宋体" w:hAnsi="宋体" w:eastAsia="宋体" w:cs="宋体"/>
          <w:sz w:val="24"/>
          <w:szCs w:val="24"/>
        </w:rPr>
      </w:pPr>
    </w:p>
    <w:p w14:paraId="3C1E1619">
      <w:pPr>
        <w:spacing w:before="65" w:line="228" w:lineRule="auto"/>
        <w:ind w:left="434"/>
        <w:rPr>
          <w:rFonts w:hint="eastAsia" w:ascii="宋体" w:hAnsi="宋体" w:eastAsia="宋体" w:cs="宋体"/>
          <w:sz w:val="24"/>
          <w:szCs w:val="24"/>
        </w:rPr>
      </w:pPr>
      <w:r>
        <w:rPr>
          <w:rFonts w:hint="eastAsia" w:ascii="宋体" w:hAnsi="宋体" w:eastAsia="宋体" w:cs="宋体"/>
          <w:spacing w:val="2"/>
          <w:sz w:val="24"/>
          <w:szCs w:val="24"/>
        </w:rPr>
        <w:t>说明：</w:t>
      </w:r>
    </w:p>
    <w:p w14:paraId="4C62ADA5">
      <w:pPr>
        <w:spacing w:before="153" w:line="228" w:lineRule="auto"/>
        <w:jc w:val="right"/>
        <w:rPr>
          <w:rFonts w:hint="eastAsia" w:ascii="宋体" w:hAnsi="宋体" w:eastAsia="宋体" w:cs="宋体"/>
          <w:sz w:val="24"/>
          <w:szCs w:val="24"/>
        </w:rPr>
      </w:pPr>
      <w:r>
        <w:rPr>
          <w:rFonts w:hint="eastAsia" w:ascii="宋体" w:hAnsi="宋体" w:eastAsia="宋体" w:cs="宋体"/>
          <w:spacing w:val="4"/>
          <w:sz w:val="24"/>
          <w:szCs w:val="24"/>
        </w:rPr>
        <w:t>1</w:t>
      </w:r>
      <w:r>
        <w:rPr>
          <w:rFonts w:hint="eastAsia" w:ascii="宋体" w:hAnsi="宋体" w:eastAsia="宋体" w:cs="宋体"/>
          <w:spacing w:val="-21"/>
          <w:sz w:val="24"/>
          <w:szCs w:val="24"/>
        </w:rPr>
        <w:t xml:space="preserve"> </w:t>
      </w:r>
      <w:r>
        <w:rPr>
          <w:rFonts w:hint="eastAsia" w:ascii="宋体" w:hAnsi="宋体" w:eastAsia="宋体" w:cs="宋体"/>
          <w:spacing w:val="4"/>
          <w:sz w:val="24"/>
          <w:szCs w:val="24"/>
        </w:rPr>
        <w:t>．《项目管理机构组成表》后应附表中拟派人</w:t>
      </w:r>
      <w:r>
        <w:rPr>
          <w:rFonts w:hint="eastAsia" w:ascii="宋体" w:hAnsi="宋体" w:eastAsia="宋体" w:cs="宋体"/>
          <w:spacing w:val="3"/>
          <w:sz w:val="24"/>
          <w:szCs w:val="24"/>
        </w:rPr>
        <w:t>员（项目经理、项目技术负责人除外）以下资料：</w:t>
      </w:r>
    </w:p>
    <w:p w14:paraId="1C207B30">
      <w:pPr>
        <w:spacing w:before="154" w:line="228" w:lineRule="auto"/>
        <w:ind w:left="448"/>
        <w:rPr>
          <w:rFonts w:hint="eastAsia" w:ascii="宋体" w:hAnsi="宋体" w:eastAsia="宋体" w:cs="宋体"/>
          <w:sz w:val="24"/>
          <w:szCs w:val="24"/>
        </w:rPr>
      </w:pPr>
      <w:r>
        <w:rPr>
          <w:rFonts w:hint="eastAsia" w:ascii="宋体" w:hAnsi="宋体" w:eastAsia="宋体" w:cs="宋体"/>
          <w:spacing w:val="3"/>
          <w:sz w:val="24"/>
          <w:szCs w:val="24"/>
        </w:rPr>
        <w:t>1</w:t>
      </w:r>
      <w:r>
        <w:rPr>
          <w:rFonts w:hint="eastAsia" w:ascii="宋体" w:hAnsi="宋体" w:eastAsia="宋体" w:cs="宋体"/>
          <w:spacing w:val="-14"/>
          <w:sz w:val="24"/>
          <w:szCs w:val="24"/>
        </w:rPr>
        <w:t xml:space="preserve"> </w:t>
      </w:r>
      <w:r>
        <w:rPr>
          <w:rFonts w:hint="eastAsia" w:ascii="宋体" w:hAnsi="宋体" w:eastAsia="宋体" w:cs="宋体"/>
          <w:spacing w:val="3"/>
          <w:sz w:val="24"/>
          <w:szCs w:val="24"/>
        </w:rPr>
        <w:t>．身份证彩色扫描件；</w:t>
      </w:r>
    </w:p>
    <w:p w14:paraId="545FB220">
      <w:pPr>
        <w:spacing w:before="152" w:line="228" w:lineRule="auto"/>
        <w:ind w:left="428"/>
        <w:rPr>
          <w:rFonts w:hint="eastAsia" w:ascii="宋体" w:hAnsi="宋体" w:eastAsia="宋体" w:cs="宋体"/>
          <w:color w:val="auto"/>
          <w:sz w:val="24"/>
          <w:szCs w:val="24"/>
        </w:rPr>
      </w:pPr>
      <w:r>
        <w:rPr>
          <w:rFonts w:hint="eastAsia" w:ascii="宋体" w:hAnsi="宋体" w:eastAsia="宋体" w:cs="宋体"/>
          <w:spacing w:val="5"/>
          <w:sz w:val="24"/>
          <w:szCs w:val="24"/>
        </w:rPr>
        <w:t>2</w:t>
      </w:r>
      <w:r>
        <w:rPr>
          <w:rFonts w:hint="eastAsia" w:ascii="宋体" w:hAnsi="宋体" w:eastAsia="宋体" w:cs="宋体"/>
          <w:spacing w:val="-16"/>
          <w:sz w:val="24"/>
          <w:szCs w:val="24"/>
        </w:rPr>
        <w:t xml:space="preserve"> </w:t>
      </w:r>
      <w:r>
        <w:rPr>
          <w:rFonts w:hint="eastAsia" w:ascii="宋体" w:hAnsi="宋体" w:eastAsia="宋体" w:cs="宋体"/>
          <w:spacing w:val="5"/>
          <w:sz w:val="24"/>
          <w:szCs w:val="24"/>
        </w:rPr>
        <w:t>．岗位证或培训证</w:t>
      </w:r>
      <w:r>
        <w:rPr>
          <w:rFonts w:hint="eastAsia" w:ascii="宋体" w:hAnsi="宋体" w:eastAsia="宋体" w:cs="宋体"/>
          <w:color w:val="auto"/>
          <w:spacing w:val="5"/>
          <w:sz w:val="24"/>
          <w:szCs w:val="24"/>
        </w:rPr>
        <w:t>彩色扫描件；</w:t>
      </w:r>
    </w:p>
    <w:p w14:paraId="15C08D2E">
      <w:pPr>
        <w:spacing w:before="153" w:line="299" w:lineRule="auto"/>
        <w:ind w:left="11" w:right="89" w:firstLine="420"/>
        <w:rPr>
          <w:rFonts w:hint="eastAsia" w:ascii="宋体" w:hAnsi="宋体" w:eastAsia="宋体" w:cs="宋体"/>
          <w:color w:val="auto"/>
          <w:sz w:val="24"/>
          <w:szCs w:val="24"/>
        </w:rPr>
      </w:pPr>
      <w:r>
        <w:rPr>
          <w:rFonts w:hint="eastAsia" w:ascii="宋体" w:hAnsi="宋体" w:eastAsia="宋体" w:cs="宋体"/>
          <w:color w:val="auto"/>
          <w:spacing w:val="9"/>
          <w:sz w:val="24"/>
          <w:szCs w:val="24"/>
        </w:rPr>
        <w:t>3</w:t>
      </w:r>
      <w:r>
        <w:rPr>
          <w:rFonts w:hint="eastAsia" w:ascii="宋体" w:hAnsi="宋体" w:eastAsia="宋体" w:cs="宋体"/>
          <w:color w:val="auto"/>
          <w:spacing w:val="-21"/>
          <w:sz w:val="24"/>
          <w:szCs w:val="24"/>
        </w:rPr>
        <w:t xml:space="preserve"> </w:t>
      </w:r>
      <w:r>
        <w:rPr>
          <w:rFonts w:hint="eastAsia" w:ascii="宋体" w:hAnsi="宋体" w:eastAsia="宋体" w:cs="宋体"/>
          <w:color w:val="auto"/>
          <w:spacing w:val="9"/>
          <w:sz w:val="24"/>
          <w:szCs w:val="24"/>
        </w:rPr>
        <w:t>．在本单位缴纳社保的证明（</w:t>
      </w:r>
      <w:r>
        <w:rPr>
          <w:rFonts w:hint="eastAsia" w:ascii="宋体" w:hAnsi="宋体" w:eastAsia="宋体" w:cs="宋体"/>
          <w:color w:val="auto"/>
          <w:sz w:val="24"/>
          <w:szCs w:val="24"/>
          <w:lang w:eastAsia="zh-CN"/>
        </w:rPr>
        <w:t>至少</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个月，其中必须有</w:t>
      </w:r>
      <w:r>
        <w:rPr>
          <w:rFonts w:hint="eastAsia" w:ascii="宋体" w:hAnsi="宋体" w:eastAsia="宋体" w:cs="宋体"/>
          <w:color w:val="auto"/>
          <w:sz w:val="24"/>
          <w:szCs w:val="24"/>
          <w:lang w:val="en-US" w:eastAsia="zh-CN"/>
        </w:rPr>
        <w:t>2025年12月</w:t>
      </w:r>
      <w:r>
        <w:rPr>
          <w:rFonts w:hint="eastAsia" w:ascii="宋体" w:hAnsi="宋体" w:eastAsia="宋体" w:cs="宋体"/>
          <w:color w:val="auto"/>
          <w:spacing w:val="8"/>
          <w:sz w:val="24"/>
          <w:szCs w:val="24"/>
        </w:rPr>
        <w:t>）彩色扫描件。</w:t>
      </w:r>
      <w:r>
        <w:rPr>
          <w:rFonts w:hint="eastAsia" w:ascii="宋体" w:hAnsi="宋体" w:eastAsia="宋体" w:cs="宋体"/>
          <w:color w:val="auto"/>
          <w:sz w:val="24"/>
          <w:szCs w:val="24"/>
        </w:rPr>
        <w:t xml:space="preserve"> </w:t>
      </w:r>
      <w:r>
        <w:rPr>
          <w:rFonts w:hint="eastAsia" w:ascii="宋体" w:hAnsi="宋体" w:eastAsia="宋体" w:cs="宋体"/>
          <w:color w:val="auto"/>
          <w:spacing w:val="10"/>
          <w:sz w:val="24"/>
          <w:szCs w:val="24"/>
        </w:rPr>
        <w:t>拟派项目技术负责人为退休返聘人员无法提供社</w:t>
      </w:r>
      <w:r>
        <w:rPr>
          <w:rFonts w:hint="eastAsia" w:ascii="宋体" w:hAnsi="宋体" w:eastAsia="宋体" w:cs="宋体"/>
          <w:color w:val="auto"/>
          <w:spacing w:val="9"/>
          <w:sz w:val="24"/>
          <w:szCs w:val="24"/>
        </w:rPr>
        <w:t>保证明的，提供退休证和劳动合同彩色扫描件。</w:t>
      </w:r>
    </w:p>
    <w:p w14:paraId="075D8640">
      <w:pPr>
        <w:spacing w:before="152" w:line="228" w:lineRule="auto"/>
        <w:ind w:left="442"/>
        <w:rPr>
          <w:rFonts w:hint="eastAsia" w:ascii="宋体" w:hAnsi="宋体" w:eastAsia="宋体" w:cs="宋体"/>
          <w:sz w:val="24"/>
          <w:szCs w:val="24"/>
        </w:rPr>
      </w:pPr>
      <w:r>
        <w:rPr>
          <w:rFonts w:hint="eastAsia" w:ascii="宋体" w:hAnsi="宋体" w:eastAsia="宋体" w:cs="宋体"/>
          <w:color w:val="auto"/>
          <w:spacing w:val="8"/>
          <w:sz w:val="24"/>
          <w:szCs w:val="24"/>
        </w:rPr>
        <w:t>（4）“进粤企业和人员诚信信息登记平台</w:t>
      </w:r>
      <w:r>
        <w:rPr>
          <w:rFonts w:hint="eastAsia" w:ascii="宋体" w:hAnsi="宋体" w:eastAsia="宋体" w:cs="宋体"/>
          <w:color w:val="auto"/>
          <w:spacing w:val="-54"/>
          <w:sz w:val="24"/>
          <w:szCs w:val="24"/>
        </w:rPr>
        <w:t xml:space="preserve"> </w:t>
      </w:r>
      <w:r>
        <w:rPr>
          <w:rFonts w:hint="eastAsia" w:ascii="宋体" w:hAnsi="宋体" w:eastAsia="宋体" w:cs="宋体"/>
          <w:color w:val="auto"/>
          <w:spacing w:val="8"/>
          <w:sz w:val="24"/>
          <w:szCs w:val="24"/>
        </w:rPr>
        <w:t>”个人信息情况截图。（</w:t>
      </w:r>
      <w:r>
        <w:rPr>
          <w:rFonts w:hint="eastAsia" w:ascii="宋体" w:hAnsi="宋体" w:eastAsia="宋体" w:cs="宋体"/>
          <w:spacing w:val="8"/>
          <w:sz w:val="24"/>
          <w:szCs w:val="24"/>
        </w:rPr>
        <w:t>适用于省外建筑企业）</w:t>
      </w:r>
    </w:p>
    <w:p w14:paraId="020696C0">
      <w:pPr>
        <w:spacing w:before="153" w:line="299" w:lineRule="auto"/>
        <w:ind w:left="16" w:right="40" w:firstLine="411"/>
        <w:rPr>
          <w:rFonts w:hint="eastAsia" w:ascii="宋体" w:hAnsi="宋体" w:eastAsia="宋体" w:cs="宋体"/>
          <w:sz w:val="24"/>
          <w:szCs w:val="24"/>
        </w:rPr>
      </w:pPr>
      <w:r>
        <w:rPr>
          <w:rFonts w:hint="eastAsia" w:ascii="宋体" w:hAnsi="宋体" w:eastAsia="宋体" w:cs="宋体"/>
          <w:spacing w:val="8"/>
          <w:sz w:val="24"/>
          <w:szCs w:val="24"/>
        </w:rPr>
        <w:t>2</w:t>
      </w:r>
      <w:r>
        <w:rPr>
          <w:rFonts w:hint="eastAsia" w:ascii="宋体" w:hAnsi="宋体" w:eastAsia="宋体" w:cs="宋体"/>
          <w:spacing w:val="-21"/>
          <w:sz w:val="24"/>
          <w:szCs w:val="24"/>
        </w:rPr>
        <w:t xml:space="preserve"> </w:t>
      </w:r>
      <w:r>
        <w:rPr>
          <w:rFonts w:hint="eastAsia" w:ascii="宋体" w:hAnsi="宋体" w:eastAsia="宋体" w:cs="宋体"/>
          <w:spacing w:val="8"/>
          <w:sz w:val="24"/>
          <w:szCs w:val="24"/>
        </w:rPr>
        <w:t>．联合体投标的，《项目管理机构组成表》应包括联合体成员单位参与项目管理</w:t>
      </w:r>
      <w:r>
        <w:rPr>
          <w:rFonts w:hint="eastAsia" w:ascii="宋体" w:hAnsi="宋体" w:eastAsia="宋体" w:cs="宋体"/>
          <w:spacing w:val="7"/>
          <w:sz w:val="24"/>
          <w:szCs w:val="24"/>
        </w:rPr>
        <w:t>机构的人员，</w:t>
      </w:r>
      <w:r>
        <w:rPr>
          <w:rFonts w:hint="eastAsia" w:ascii="宋体" w:hAnsi="宋体" w:eastAsia="宋体" w:cs="宋体"/>
          <w:sz w:val="24"/>
          <w:szCs w:val="24"/>
        </w:rPr>
        <w:t xml:space="preserve"> </w:t>
      </w:r>
      <w:r>
        <w:rPr>
          <w:rFonts w:hint="eastAsia" w:ascii="宋体" w:hAnsi="宋体" w:eastAsia="宋体" w:cs="宋体"/>
          <w:spacing w:val="7"/>
          <w:sz w:val="24"/>
          <w:szCs w:val="24"/>
        </w:rPr>
        <w:t>并提供以上所需资料。</w:t>
      </w:r>
    </w:p>
    <w:p w14:paraId="5A3ADF7F">
      <w:pPr>
        <w:pStyle w:val="5"/>
        <w:spacing w:line="248" w:lineRule="auto"/>
        <w:rPr>
          <w:rFonts w:hint="eastAsia" w:ascii="宋体" w:hAnsi="宋体" w:eastAsia="宋体" w:cs="宋体"/>
          <w:sz w:val="24"/>
          <w:szCs w:val="24"/>
        </w:rPr>
      </w:pPr>
    </w:p>
    <w:p w14:paraId="67A2B768">
      <w:pPr>
        <w:pStyle w:val="5"/>
        <w:spacing w:line="248" w:lineRule="auto"/>
        <w:rPr>
          <w:rFonts w:hint="eastAsia" w:ascii="宋体" w:hAnsi="宋体" w:eastAsia="宋体" w:cs="宋体"/>
          <w:sz w:val="24"/>
          <w:szCs w:val="24"/>
        </w:rPr>
      </w:pPr>
    </w:p>
    <w:p w14:paraId="7CE135AC">
      <w:pPr>
        <w:pStyle w:val="5"/>
        <w:spacing w:line="248" w:lineRule="auto"/>
      </w:pPr>
    </w:p>
    <w:p w14:paraId="19EF39F9">
      <w:pPr>
        <w:pStyle w:val="5"/>
        <w:spacing w:line="248" w:lineRule="auto"/>
      </w:pPr>
    </w:p>
    <w:p w14:paraId="4A400F55">
      <w:pPr>
        <w:pStyle w:val="5"/>
        <w:spacing w:line="249" w:lineRule="auto"/>
      </w:pPr>
    </w:p>
    <w:p w14:paraId="63D9AEA8">
      <w:pPr>
        <w:spacing w:before="79" w:line="220" w:lineRule="auto"/>
        <w:ind w:left="13"/>
        <w:rPr>
          <w:rFonts w:ascii="宋体" w:hAnsi="宋体" w:eastAsia="宋体" w:cs="宋体"/>
          <w:b/>
          <w:bCs/>
          <w:color w:val="0000FF"/>
          <w:spacing w:val="-2"/>
          <w:sz w:val="24"/>
          <w:szCs w:val="24"/>
        </w:rPr>
      </w:pPr>
    </w:p>
    <w:p w14:paraId="228CB16C">
      <w:pPr>
        <w:spacing w:before="79" w:line="220" w:lineRule="auto"/>
        <w:ind w:left="13"/>
        <w:rPr>
          <w:rFonts w:ascii="宋体" w:hAnsi="宋体" w:eastAsia="宋体" w:cs="宋体"/>
          <w:b/>
          <w:bCs/>
          <w:color w:val="0000FF"/>
          <w:spacing w:val="-2"/>
          <w:sz w:val="24"/>
          <w:szCs w:val="24"/>
        </w:rPr>
      </w:pPr>
    </w:p>
    <w:p w14:paraId="0E38AC12">
      <w:pPr>
        <w:spacing w:before="79" w:line="220" w:lineRule="auto"/>
        <w:ind w:left="13"/>
        <w:rPr>
          <w:rFonts w:ascii="宋体" w:hAnsi="宋体" w:eastAsia="宋体" w:cs="宋体"/>
          <w:b/>
          <w:bCs/>
          <w:color w:val="0000FF"/>
          <w:spacing w:val="-2"/>
          <w:sz w:val="24"/>
          <w:szCs w:val="24"/>
        </w:rPr>
      </w:pPr>
    </w:p>
    <w:p w14:paraId="099CA6ED">
      <w:pPr>
        <w:spacing w:before="79" w:line="220" w:lineRule="auto"/>
        <w:ind w:left="13"/>
        <w:rPr>
          <w:rFonts w:ascii="宋体" w:hAnsi="宋体" w:eastAsia="宋体" w:cs="宋体"/>
          <w:b/>
          <w:bCs/>
          <w:color w:val="0000FF"/>
          <w:spacing w:val="-2"/>
          <w:sz w:val="24"/>
          <w:szCs w:val="24"/>
        </w:rPr>
      </w:pPr>
    </w:p>
    <w:p w14:paraId="66E49499">
      <w:pPr>
        <w:spacing w:before="78" w:line="220" w:lineRule="auto"/>
        <w:outlineLvl w:val="2"/>
        <w:rPr>
          <w:rFonts w:ascii="宋体" w:hAnsi="宋体" w:eastAsia="宋体" w:cs="宋体"/>
          <w:b/>
          <w:bCs/>
          <w:spacing w:val="-4"/>
          <w:sz w:val="24"/>
          <w:szCs w:val="24"/>
        </w:rPr>
      </w:pPr>
      <w:bookmarkStart w:id="205" w:name="_Toc11599"/>
      <w:r>
        <w:rPr>
          <w:rFonts w:ascii="宋体" w:hAnsi="宋体" w:eastAsia="宋体" w:cs="宋体"/>
          <w:b/>
          <w:bCs/>
          <w:spacing w:val="-4"/>
          <w:sz w:val="24"/>
          <w:szCs w:val="24"/>
        </w:rPr>
        <w:t>格式十二 建造师查询页（有效期+建造师签字）</w:t>
      </w:r>
      <w:bookmarkEnd w:id="205"/>
    </w:p>
    <w:p w14:paraId="764E0C78">
      <w:pPr>
        <w:pStyle w:val="3"/>
      </w:pPr>
      <w:r>
        <w:rPr>
          <w:position w:val="-235"/>
        </w:rPr>
        <w:drawing>
          <wp:inline distT="0" distB="0" distL="114300" distR="114300">
            <wp:extent cx="6419850" cy="9060815"/>
            <wp:effectExtent l="0" t="0" r="0" b="6985"/>
            <wp:docPr id="14" name="IM 124"/>
            <wp:cNvGraphicFramePr/>
            <a:graphic xmlns:a="http://schemas.openxmlformats.org/drawingml/2006/main">
              <a:graphicData uri="http://schemas.openxmlformats.org/drawingml/2006/picture">
                <pic:pic xmlns:pic="http://schemas.openxmlformats.org/drawingml/2006/picture">
                  <pic:nvPicPr>
                    <pic:cNvPr id="14" name="IM 124"/>
                    <pic:cNvPicPr/>
                  </pic:nvPicPr>
                  <pic:blipFill>
                    <a:blip r:embed="rId42"/>
                    <a:stretch>
                      <a:fillRect/>
                    </a:stretch>
                  </pic:blipFill>
                  <pic:spPr>
                    <a:xfrm>
                      <a:off x="0" y="0"/>
                      <a:ext cx="6419850" cy="9060815"/>
                    </a:xfrm>
                    <a:prstGeom prst="rect">
                      <a:avLst/>
                    </a:prstGeom>
                    <a:noFill/>
                    <a:ln>
                      <a:noFill/>
                    </a:ln>
                  </pic:spPr>
                </pic:pic>
              </a:graphicData>
            </a:graphic>
          </wp:inline>
        </w:drawing>
      </w:r>
    </w:p>
    <w:p w14:paraId="5C760729">
      <w:pPr>
        <w:spacing w:line="220" w:lineRule="auto"/>
        <w:rPr>
          <w:rFonts w:ascii="宋体" w:hAnsi="宋体" w:eastAsia="宋体" w:cs="宋体"/>
          <w:sz w:val="24"/>
          <w:szCs w:val="24"/>
        </w:rPr>
        <w:sectPr>
          <w:footerReference r:id="rId25" w:type="default"/>
          <w:pgSz w:w="11906" w:h="16839"/>
          <w:pgMar w:top="720" w:right="720" w:bottom="720" w:left="720" w:header="0" w:footer="1023" w:gutter="0"/>
          <w:cols w:space="720" w:num="1"/>
        </w:sectPr>
      </w:pPr>
    </w:p>
    <w:p w14:paraId="104F2F70">
      <w:pPr>
        <w:spacing w:line="10744" w:lineRule="exact"/>
      </w:pPr>
      <w:r>
        <w:rPr>
          <w:position w:val="-214"/>
        </w:rPr>
        <w:drawing>
          <wp:inline distT="0" distB="0" distL="114300" distR="114300">
            <wp:extent cx="6285865" cy="6925310"/>
            <wp:effectExtent l="0" t="0" r="635" b="8890"/>
            <wp:docPr id="15" name="IM 126"/>
            <wp:cNvGraphicFramePr/>
            <a:graphic xmlns:a="http://schemas.openxmlformats.org/drawingml/2006/main">
              <a:graphicData uri="http://schemas.openxmlformats.org/drawingml/2006/picture">
                <pic:pic xmlns:pic="http://schemas.openxmlformats.org/drawingml/2006/picture">
                  <pic:nvPicPr>
                    <pic:cNvPr id="15" name="IM 126"/>
                    <pic:cNvPicPr/>
                  </pic:nvPicPr>
                  <pic:blipFill>
                    <a:blip r:embed="rId43"/>
                    <a:stretch>
                      <a:fillRect/>
                    </a:stretch>
                  </pic:blipFill>
                  <pic:spPr>
                    <a:xfrm>
                      <a:off x="0" y="0"/>
                      <a:ext cx="6285865" cy="6925310"/>
                    </a:xfrm>
                    <a:prstGeom prst="rect">
                      <a:avLst/>
                    </a:prstGeom>
                    <a:noFill/>
                    <a:ln>
                      <a:noFill/>
                    </a:ln>
                  </pic:spPr>
                </pic:pic>
              </a:graphicData>
            </a:graphic>
          </wp:inline>
        </w:drawing>
      </w:r>
    </w:p>
    <w:p w14:paraId="55B1CB71">
      <w:pPr>
        <w:spacing w:line="10744" w:lineRule="exact"/>
        <w:sectPr>
          <w:footerReference r:id="rId26" w:type="default"/>
          <w:pgSz w:w="11906" w:h="16839"/>
          <w:pgMar w:top="720" w:right="720" w:bottom="720" w:left="720" w:header="0" w:footer="1023" w:gutter="0"/>
          <w:cols w:space="720" w:num="1"/>
        </w:sectPr>
      </w:pPr>
    </w:p>
    <w:p w14:paraId="6E07ACBD">
      <w:pPr>
        <w:spacing w:before="78" w:line="220" w:lineRule="auto"/>
        <w:outlineLvl w:val="2"/>
        <w:rPr>
          <w:rFonts w:ascii="宋体" w:hAnsi="宋体" w:eastAsia="宋体" w:cs="宋体"/>
          <w:b/>
          <w:bCs/>
          <w:spacing w:val="-4"/>
          <w:sz w:val="24"/>
          <w:szCs w:val="24"/>
        </w:rPr>
      </w:pPr>
      <w:bookmarkStart w:id="206" w:name="_Toc31981"/>
      <w:r>
        <w:rPr>
          <w:rFonts w:ascii="宋体" w:hAnsi="宋体" w:eastAsia="宋体" w:cs="宋体"/>
          <w:b/>
          <w:bCs/>
          <w:spacing w:val="-4"/>
          <w:sz w:val="24"/>
          <w:szCs w:val="24"/>
        </w:rPr>
        <w:t>格式十三：</w:t>
      </w:r>
      <w:bookmarkEnd w:id="206"/>
    </w:p>
    <w:p w14:paraId="2927DC1A">
      <w:pPr>
        <w:pStyle w:val="5"/>
        <w:spacing w:line="269" w:lineRule="auto"/>
      </w:pPr>
    </w:p>
    <w:p w14:paraId="18928474">
      <w:pPr>
        <w:spacing w:before="101" w:line="377" w:lineRule="auto"/>
        <w:ind w:left="3259" w:right="41" w:hanging="3213"/>
        <w:rPr>
          <w:rFonts w:ascii="宋体" w:hAnsi="宋体" w:eastAsia="宋体" w:cs="宋体"/>
          <w:sz w:val="31"/>
          <w:szCs w:val="31"/>
        </w:rPr>
      </w:pPr>
      <w:bookmarkStart w:id="207" w:name="bookmark160"/>
      <w:bookmarkEnd w:id="207"/>
      <w:r>
        <w:rPr>
          <w:rFonts w:ascii="宋体" w:hAnsi="宋体" w:eastAsia="宋体" w:cs="宋体"/>
          <w:b/>
          <w:bCs/>
          <w:spacing w:val="7"/>
          <w:sz w:val="31"/>
          <w:szCs w:val="31"/>
        </w:rPr>
        <w:t>危险性较大的分部分项工程清单及超过一定规模的危险性较大的</w:t>
      </w:r>
      <w:r>
        <w:rPr>
          <w:rFonts w:ascii="宋体" w:hAnsi="宋体" w:eastAsia="宋体" w:cs="宋体"/>
          <w:spacing w:val="8"/>
          <w:sz w:val="31"/>
          <w:szCs w:val="31"/>
        </w:rPr>
        <w:t xml:space="preserve"> </w:t>
      </w:r>
      <w:r>
        <w:rPr>
          <w:rFonts w:ascii="宋体" w:hAnsi="宋体" w:eastAsia="宋体" w:cs="宋体"/>
          <w:b/>
          <w:bCs/>
          <w:spacing w:val="5"/>
          <w:sz w:val="31"/>
          <w:szCs w:val="31"/>
        </w:rPr>
        <w:t>分部分项工程清单</w:t>
      </w:r>
    </w:p>
    <w:p w14:paraId="2E6C62BA">
      <w:pPr>
        <w:spacing w:before="6" w:line="326" w:lineRule="auto"/>
        <w:ind w:left="5" w:firstLine="492"/>
        <w:rPr>
          <w:rFonts w:ascii="宋体" w:hAnsi="宋体" w:eastAsia="宋体" w:cs="宋体"/>
          <w:sz w:val="24"/>
          <w:szCs w:val="24"/>
        </w:rPr>
      </w:pPr>
      <w:r>
        <w:rPr>
          <w:rFonts w:ascii="宋体" w:hAnsi="宋体" w:eastAsia="宋体" w:cs="宋体"/>
          <w:spacing w:val="-1"/>
          <w:sz w:val="24"/>
          <w:szCs w:val="24"/>
        </w:rPr>
        <w:t>1、根据中华人民共和国住房和城乡建设部令第37号《危险性较大的分部分项工程</w:t>
      </w:r>
      <w:r>
        <w:rPr>
          <w:rFonts w:ascii="宋体" w:hAnsi="宋体" w:eastAsia="宋体" w:cs="宋体"/>
          <w:spacing w:val="8"/>
          <w:sz w:val="24"/>
          <w:szCs w:val="24"/>
        </w:rPr>
        <w:t xml:space="preserve"> </w:t>
      </w:r>
      <w:r>
        <w:rPr>
          <w:rFonts w:ascii="宋体" w:hAnsi="宋体" w:eastAsia="宋体" w:cs="宋体"/>
          <w:spacing w:val="-2"/>
          <w:sz w:val="24"/>
          <w:szCs w:val="24"/>
        </w:rPr>
        <w:t>安全管理规定》（以下简称“37号文</w:t>
      </w:r>
      <w:r>
        <w:rPr>
          <w:rFonts w:ascii="宋体" w:hAnsi="宋体" w:eastAsia="宋体" w:cs="宋体"/>
          <w:spacing w:val="-88"/>
          <w:sz w:val="24"/>
          <w:szCs w:val="24"/>
        </w:rPr>
        <w:t xml:space="preserve"> </w:t>
      </w:r>
      <w:r>
        <w:rPr>
          <w:rFonts w:ascii="宋体" w:hAnsi="宋体" w:eastAsia="宋体" w:cs="宋体"/>
          <w:spacing w:val="-2"/>
          <w:sz w:val="24"/>
          <w:szCs w:val="24"/>
        </w:rPr>
        <w:t>”</w:t>
      </w:r>
      <w:r>
        <w:rPr>
          <w:rFonts w:ascii="宋体" w:hAnsi="宋体" w:eastAsia="宋体" w:cs="宋体"/>
          <w:spacing w:val="-11"/>
          <w:sz w:val="24"/>
          <w:szCs w:val="24"/>
        </w:rPr>
        <w:t>），</w:t>
      </w:r>
      <w:r>
        <w:rPr>
          <w:rFonts w:ascii="宋体" w:hAnsi="宋体" w:eastAsia="宋体" w:cs="宋体"/>
          <w:spacing w:val="-2"/>
          <w:sz w:val="24"/>
          <w:szCs w:val="24"/>
        </w:rPr>
        <w:t>投标人在投标时须补充完善危大工程清单并</w:t>
      </w:r>
      <w:r>
        <w:rPr>
          <w:rFonts w:ascii="宋体" w:hAnsi="宋体" w:eastAsia="宋体" w:cs="宋体"/>
          <w:sz w:val="24"/>
          <w:szCs w:val="24"/>
        </w:rPr>
        <w:t xml:space="preserve"> </w:t>
      </w:r>
      <w:r>
        <w:rPr>
          <w:rFonts w:ascii="宋体" w:hAnsi="宋体" w:eastAsia="宋体" w:cs="宋体"/>
          <w:spacing w:val="-2"/>
          <w:sz w:val="24"/>
          <w:szCs w:val="24"/>
        </w:rPr>
        <w:t>明确相应的安全管理措施。</w:t>
      </w:r>
    </w:p>
    <w:p w14:paraId="17D0C879">
      <w:pPr>
        <w:spacing w:before="208" w:line="326" w:lineRule="auto"/>
        <w:ind w:left="1" w:firstLine="481"/>
        <w:rPr>
          <w:rFonts w:ascii="宋体" w:hAnsi="宋体" w:eastAsia="宋体" w:cs="宋体"/>
          <w:sz w:val="24"/>
          <w:szCs w:val="24"/>
        </w:rPr>
      </w:pPr>
      <w:r>
        <w:rPr>
          <w:rFonts w:ascii="宋体" w:hAnsi="宋体" w:eastAsia="宋体" w:cs="宋体"/>
          <w:spacing w:val="-2"/>
          <w:sz w:val="24"/>
          <w:szCs w:val="24"/>
        </w:rPr>
        <w:t>2、招标人根据设计文件的要求及37号文、粤建规范〔2019〕2号文的规定列出“危</w:t>
      </w:r>
      <w:r>
        <w:rPr>
          <w:rFonts w:ascii="宋体" w:hAnsi="宋体" w:eastAsia="宋体" w:cs="宋体"/>
          <w:spacing w:val="18"/>
          <w:sz w:val="24"/>
          <w:szCs w:val="24"/>
        </w:rPr>
        <w:t xml:space="preserve"> </w:t>
      </w:r>
      <w:r>
        <w:rPr>
          <w:rFonts w:ascii="宋体" w:hAnsi="宋体" w:eastAsia="宋体" w:cs="宋体"/>
          <w:spacing w:val="-2"/>
          <w:sz w:val="24"/>
          <w:szCs w:val="24"/>
        </w:rPr>
        <w:t>险性较大的分部分项工程清单及超过一定规模的危</w:t>
      </w:r>
      <w:r>
        <w:rPr>
          <w:rFonts w:ascii="宋体" w:hAnsi="宋体" w:eastAsia="宋体" w:cs="宋体"/>
          <w:spacing w:val="-3"/>
          <w:sz w:val="24"/>
          <w:szCs w:val="24"/>
        </w:rPr>
        <w:t>险性较大的分部分项工程清单</w:t>
      </w:r>
      <w:r>
        <w:rPr>
          <w:rFonts w:ascii="宋体" w:hAnsi="宋体" w:eastAsia="宋体" w:cs="宋体"/>
          <w:spacing w:val="-88"/>
          <w:sz w:val="24"/>
          <w:szCs w:val="24"/>
        </w:rPr>
        <w:t xml:space="preserve"> </w:t>
      </w:r>
      <w:r>
        <w:rPr>
          <w:rFonts w:ascii="宋体" w:hAnsi="宋体" w:eastAsia="宋体" w:cs="宋体"/>
          <w:spacing w:val="-3"/>
          <w:sz w:val="24"/>
          <w:szCs w:val="24"/>
        </w:rPr>
        <w:t>”中与</w:t>
      </w:r>
      <w:r>
        <w:rPr>
          <w:rFonts w:ascii="宋体" w:hAnsi="宋体" w:eastAsia="宋体" w:cs="宋体"/>
          <w:sz w:val="24"/>
          <w:szCs w:val="24"/>
        </w:rPr>
        <w:t xml:space="preserve"> </w:t>
      </w:r>
      <w:r>
        <w:rPr>
          <w:rFonts w:ascii="宋体" w:hAnsi="宋体" w:eastAsia="宋体" w:cs="宋体"/>
          <w:spacing w:val="-5"/>
          <w:sz w:val="24"/>
          <w:szCs w:val="24"/>
        </w:rPr>
        <w:t>本招标项目相关的清单项，具体详见第5点“打</w:t>
      </w:r>
      <w:r>
        <w:rPr>
          <w:rFonts w:ascii="宋体" w:hAnsi="宋体" w:eastAsia="宋体" w:cs="宋体"/>
          <w:spacing w:val="-34"/>
          <w:sz w:val="24"/>
          <w:szCs w:val="24"/>
        </w:rPr>
        <w:t xml:space="preserve"> </w:t>
      </w:r>
      <w:r>
        <w:rPr>
          <w:rFonts w:ascii="宋体" w:hAnsi="宋体" w:eastAsia="宋体" w:cs="宋体"/>
          <w:spacing w:val="-5"/>
          <w:sz w:val="24"/>
          <w:szCs w:val="24"/>
        </w:rPr>
        <w:t>√</w:t>
      </w:r>
      <w:r>
        <w:rPr>
          <w:rFonts w:ascii="宋体" w:hAnsi="宋体" w:eastAsia="宋体" w:cs="宋体"/>
          <w:spacing w:val="-88"/>
          <w:sz w:val="24"/>
          <w:szCs w:val="24"/>
        </w:rPr>
        <w:t xml:space="preserve"> </w:t>
      </w:r>
      <w:r>
        <w:rPr>
          <w:rFonts w:ascii="宋体" w:hAnsi="宋体" w:eastAsia="宋体" w:cs="宋体"/>
          <w:spacing w:val="-5"/>
          <w:sz w:val="24"/>
          <w:szCs w:val="24"/>
        </w:rPr>
        <w:t>”标识。</w:t>
      </w:r>
    </w:p>
    <w:p w14:paraId="35F8C3D8">
      <w:pPr>
        <w:spacing w:before="209" w:line="299" w:lineRule="auto"/>
        <w:ind w:left="3" w:right="72" w:firstLine="488"/>
        <w:rPr>
          <w:rFonts w:ascii="宋体" w:hAnsi="宋体" w:eastAsia="宋体" w:cs="宋体"/>
          <w:sz w:val="24"/>
          <w:szCs w:val="24"/>
        </w:rPr>
      </w:pPr>
      <w:r>
        <w:rPr>
          <w:rFonts w:ascii="宋体" w:hAnsi="宋体" w:eastAsia="宋体" w:cs="宋体"/>
          <w:spacing w:val="-3"/>
          <w:sz w:val="24"/>
          <w:szCs w:val="24"/>
        </w:rPr>
        <w:t>（1）投标单位同意建设单位在清单中标识的该</w:t>
      </w:r>
      <w:r>
        <w:rPr>
          <w:rFonts w:ascii="宋体" w:hAnsi="宋体" w:eastAsia="宋体" w:cs="宋体"/>
          <w:spacing w:val="-4"/>
          <w:sz w:val="24"/>
          <w:szCs w:val="24"/>
        </w:rPr>
        <w:t>项请在对应项打“</w:t>
      </w:r>
      <w:r>
        <w:rPr>
          <w:rFonts w:ascii="宋体" w:hAnsi="宋体" w:eastAsia="宋体" w:cs="宋体"/>
          <w:spacing w:val="-51"/>
          <w:sz w:val="24"/>
          <w:szCs w:val="24"/>
        </w:rPr>
        <w:t xml:space="preserve"> </w:t>
      </w:r>
      <w:r>
        <w:rPr>
          <w:rFonts w:ascii="宋体" w:hAnsi="宋体" w:eastAsia="宋体" w:cs="宋体"/>
          <w:spacing w:val="-4"/>
          <w:sz w:val="24"/>
          <w:szCs w:val="24"/>
        </w:rPr>
        <w:t>√</w:t>
      </w:r>
      <w:r>
        <w:rPr>
          <w:rFonts w:ascii="宋体" w:hAnsi="宋体" w:eastAsia="宋体" w:cs="宋体"/>
          <w:spacing w:val="-88"/>
          <w:sz w:val="24"/>
          <w:szCs w:val="24"/>
        </w:rPr>
        <w:t xml:space="preserve"> </w:t>
      </w:r>
      <w:r>
        <w:rPr>
          <w:rFonts w:ascii="宋体" w:hAnsi="宋体" w:eastAsia="宋体" w:cs="宋体"/>
          <w:spacing w:val="-4"/>
          <w:sz w:val="24"/>
          <w:szCs w:val="24"/>
        </w:rPr>
        <w:t>”标识，并与</w:t>
      </w:r>
      <w:r>
        <w:rPr>
          <w:rFonts w:ascii="宋体" w:hAnsi="宋体" w:eastAsia="宋体" w:cs="宋体"/>
          <w:sz w:val="24"/>
          <w:szCs w:val="24"/>
        </w:rPr>
        <w:t xml:space="preserve"> </w:t>
      </w:r>
      <w:r>
        <w:rPr>
          <w:rFonts w:ascii="宋体" w:hAnsi="宋体" w:eastAsia="宋体" w:cs="宋体"/>
          <w:spacing w:val="-1"/>
          <w:sz w:val="24"/>
          <w:szCs w:val="24"/>
        </w:rPr>
        <w:t>投标文件中提供相应的安全管理措施。</w:t>
      </w:r>
    </w:p>
    <w:p w14:paraId="1EE9C651">
      <w:pPr>
        <w:spacing w:before="208" w:line="299" w:lineRule="auto"/>
        <w:ind w:left="2" w:right="72" w:firstLine="489"/>
        <w:rPr>
          <w:rFonts w:ascii="宋体" w:hAnsi="宋体" w:eastAsia="宋体" w:cs="宋体"/>
          <w:sz w:val="24"/>
          <w:szCs w:val="24"/>
        </w:rPr>
      </w:pPr>
      <w:r>
        <w:rPr>
          <w:rFonts w:ascii="宋体" w:hAnsi="宋体" w:eastAsia="宋体" w:cs="宋体"/>
          <w:spacing w:val="-3"/>
          <w:sz w:val="24"/>
          <w:szCs w:val="24"/>
        </w:rPr>
        <w:t>（2）投标单位对清单中认为需要补充的该项请</w:t>
      </w:r>
      <w:r>
        <w:rPr>
          <w:rFonts w:ascii="宋体" w:hAnsi="宋体" w:eastAsia="宋体" w:cs="宋体"/>
          <w:spacing w:val="-4"/>
          <w:sz w:val="24"/>
          <w:szCs w:val="24"/>
        </w:rPr>
        <w:t>在对应项打“</w:t>
      </w:r>
      <w:r>
        <w:rPr>
          <w:rFonts w:ascii="宋体" w:hAnsi="宋体" w:eastAsia="宋体" w:cs="宋体"/>
          <w:spacing w:val="-51"/>
          <w:sz w:val="24"/>
          <w:szCs w:val="24"/>
        </w:rPr>
        <w:t xml:space="preserve"> </w:t>
      </w:r>
      <w:r>
        <w:rPr>
          <w:rFonts w:ascii="宋体" w:hAnsi="宋体" w:eastAsia="宋体" w:cs="宋体"/>
          <w:spacing w:val="-4"/>
          <w:sz w:val="24"/>
          <w:szCs w:val="24"/>
        </w:rPr>
        <w:t>√</w:t>
      </w:r>
      <w:r>
        <w:rPr>
          <w:rFonts w:ascii="宋体" w:hAnsi="宋体" w:eastAsia="宋体" w:cs="宋体"/>
          <w:spacing w:val="-88"/>
          <w:sz w:val="24"/>
          <w:szCs w:val="24"/>
        </w:rPr>
        <w:t xml:space="preserve"> </w:t>
      </w:r>
      <w:r>
        <w:rPr>
          <w:rFonts w:ascii="宋体" w:hAnsi="宋体" w:eastAsia="宋体" w:cs="宋体"/>
          <w:spacing w:val="-4"/>
          <w:sz w:val="24"/>
          <w:szCs w:val="24"/>
        </w:rPr>
        <w:t>”标识，并与投标</w:t>
      </w:r>
      <w:r>
        <w:rPr>
          <w:rFonts w:ascii="宋体" w:hAnsi="宋体" w:eastAsia="宋体" w:cs="宋体"/>
          <w:sz w:val="24"/>
          <w:szCs w:val="24"/>
        </w:rPr>
        <w:t xml:space="preserve"> </w:t>
      </w:r>
      <w:r>
        <w:rPr>
          <w:rFonts w:ascii="宋体" w:hAnsi="宋体" w:eastAsia="宋体" w:cs="宋体"/>
          <w:spacing w:val="-1"/>
          <w:sz w:val="24"/>
          <w:szCs w:val="24"/>
        </w:rPr>
        <w:t>文件中提供相应的安全管理措施。</w:t>
      </w:r>
    </w:p>
    <w:p w14:paraId="090400B5">
      <w:pPr>
        <w:spacing w:before="210" w:line="300" w:lineRule="auto"/>
        <w:ind w:right="72" w:firstLine="492"/>
        <w:rPr>
          <w:rFonts w:ascii="宋体" w:hAnsi="宋体" w:eastAsia="宋体" w:cs="宋体"/>
          <w:sz w:val="24"/>
          <w:szCs w:val="24"/>
        </w:rPr>
      </w:pPr>
      <w:r>
        <w:rPr>
          <w:rFonts w:ascii="宋体" w:hAnsi="宋体" w:eastAsia="宋体" w:cs="宋体"/>
          <w:spacing w:val="-3"/>
          <w:sz w:val="24"/>
          <w:szCs w:val="24"/>
        </w:rPr>
        <w:t>（3）投标单位不同意建设单位在清单中标识的该项请在对应项打“</w:t>
      </w:r>
      <w:r>
        <w:rPr>
          <w:rFonts w:ascii="宋体" w:hAnsi="宋体" w:eastAsia="宋体" w:cs="宋体"/>
          <w:spacing w:val="-66"/>
          <w:sz w:val="24"/>
          <w:szCs w:val="24"/>
        </w:rPr>
        <w:t xml:space="preserve"> </w:t>
      </w:r>
      <w:r>
        <w:rPr>
          <w:rFonts w:ascii="宋体" w:hAnsi="宋体" w:eastAsia="宋体" w:cs="宋体"/>
          <w:spacing w:val="-3"/>
          <w:sz w:val="24"/>
          <w:szCs w:val="24"/>
        </w:rPr>
        <w:t>×</w:t>
      </w:r>
      <w:r>
        <w:rPr>
          <w:rFonts w:ascii="宋体" w:hAnsi="宋体" w:eastAsia="宋体" w:cs="宋体"/>
          <w:spacing w:val="-88"/>
          <w:sz w:val="24"/>
          <w:szCs w:val="24"/>
        </w:rPr>
        <w:t xml:space="preserve"> </w:t>
      </w:r>
      <w:r>
        <w:rPr>
          <w:rFonts w:ascii="宋体" w:hAnsi="宋体" w:eastAsia="宋体" w:cs="宋体"/>
          <w:spacing w:val="-3"/>
          <w:sz w:val="24"/>
          <w:szCs w:val="24"/>
        </w:rPr>
        <w:t>”标识，并</w:t>
      </w:r>
      <w:r>
        <w:rPr>
          <w:rFonts w:ascii="宋体" w:hAnsi="宋体" w:eastAsia="宋体" w:cs="宋体"/>
          <w:sz w:val="24"/>
          <w:szCs w:val="24"/>
        </w:rPr>
        <w:t xml:space="preserve"> </w:t>
      </w:r>
      <w:r>
        <w:rPr>
          <w:rFonts w:ascii="宋体" w:hAnsi="宋体" w:eastAsia="宋体" w:cs="宋体"/>
          <w:spacing w:val="-1"/>
          <w:sz w:val="24"/>
          <w:szCs w:val="24"/>
        </w:rPr>
        <w:t>在备注栏填上相关说明。</w:t>
      </w:r>
    </w:p>
    <w:p w14:paraId="78179952">
      <w:pPr>
        <w:spacing w:before="207" w:line="371" w:lineRule="auto"/>
        <w:ind w:firstLine="484"/>
        <w:jc w:val="both"/>
        <w:rPr>
          <w:rFonts w:ascii="宋体" w:hAnsi="宋体" w:eastAsia="宋体" w:cs="宋体"/>
          <w:color w:val="auto"/>
          <w:sz w:val="24"/>
          <w:szCs w:val="24"/>
        </w:rPr>
      </w:pPr>
      <w:r>
        <w:rPr>
          <w:rFonts w:ascii="宋体" w:hAnsi="宋体" w:eastAsia="宋体" w:cs="宋体"/>
          <w:b/>
          <w:bCs/>
          <w:color w:val="auto"/>
          <w:spacing w:val="-4"/>
          <w:sz w:val="24"/>
          <w:szCs w:val="24"/>
          <w:u w:val="single"/>
        </w:rPr>
        <w:t>3、投标单位应当在投标时根据招标人提供的下述第5点清单，</w:t>
      </w:r>
      <w:r>
        <w:rPr>
          <w:rFonts w:ascii="宋体" w:hAnsi="宋体" w:eastAsia="宋体" w:cs="宋体"/>
          <w:b/>
          <w:bCs/>
          <w:color w:val="auto"/>
          <w:spacing w:val="-5"/>
          <w:sz w:val="24"/>
          <w:szCs w:val="24"/>
          <w:u w:val="single"/>
        </w:rPr>
        <w:t>在投标施工组织中回</w:t>
      </w:r>
      <w:r>
        <w:rPr>
          <w:rFonts w:ascii="宋体" w:hAnsi="宋体" w:eastAsia="宋体" w:cs="宋体"/>
          <w:b/>
          <w:bCs/>
          <w:color w:val="auto"/>
          <w:spacing w:val="-4"/>
          <w:sz w:val="24"/>
          <w:szCs w:val="24"/>
          <w:u w:val="single"/>
        </w:rPr>
        <w:t>应建设单位提供的危大工程清单，补充相应的安全管理措施。（为减轻标书编制</w:t>
      </w:r>
      <w:r>
        <w:rPr>
          <w:rFonts w:ascii="宋体" w:hAnsi="宋体" w:eastAsia="宋体" w:cs="宋体"/>
          <w:b/>
          <w:bCs/>
          <w:color w:val="auto"/>
          <w:spacing w:val="-5"/>
          <w:sz w:val="24"/>
          <w:szCs w:val="24"/>
          <w:u w:val="single"/>
        </w:rPr>
        <w:t>的工作</w:t>
      </w:r>
      <w:r>
        <w:rPr>
          <w:rFonts w:ascii="宋体" w:hAnsi="宋体" w:eastAsia="宋体" w:cs="宋体"/>
          <w:color w:val="auto"/>
          <w:sz w:val="24"/>
          <w:szCs w:val="24"/>
        </w:rPr>
        <w:t xml:space="preserve"> </w:t>
      </w:r>
      <w:r>
        <w:rPr>
          <w:rFonts w:ascii="宋体" w:hAnsi="宋体" w:eastAsia="宋体" w:cs="宋体"/>
          <w:b/>
          <w:bCs/>
          <w:color w:val="auto"/>
          <w:spacing w:val="-2"/>
          <w:sz w:val="24"/>
          <w:szCs w:val="24"/>
          <w:u w:val="single"/>
        </w:rPr>
        <w:t>量，投标单位回应的危大工程清单该部分的页数应控制在3页内）</w:t>
      </w:r>
    </w:p>
    <w:p w14:paraId="76C93547">
      <w:pPr>
        <w:spacing w:before="33" w:line="326" w:lineRule="auto"/>
        <w:ind w:left="1" w:firstLine="478"/>
        <w:rPr>
          <w:rFonts w:ascii="宋体" w:hAnsi="宋体" w:eastAsia="宋体" w:cs="宋体"/>
          <w:sz w:val="24"/>
          <w:szCs w:val="24"/>
        </w:rPr>
      </w:pPr>
      <w:r>
        <w:rPr>
          <w:rFonts w:ascii="宋体" w:hAnsi="宋体" w:eastAsia="宋体" w:cs="宋体"/>
          <w:sz w:val="24"/>
          <w:szCs w:val="24"/>
        </w:rPr>
        <w:t>4、对于超过一定规模的危大工程，中标单位应当组织召开</w:t>
      </w:r>
      <w:r>
        <w:rPr>
          <w:rFonts w:ascii="宋体" w:hAnsi="宋体" w:eastAsia="宋体" w:cs="宋体"/>
          <w:spacing w:val="-1"/>
          <w:sz w:val="24"/>
          <w:szCs w:val="24"/>
        </w:rPr>
        <w:t>专家论证会对专项施工</w:t>
      </w:r>
      <w:r>
        <w:rPr>
          <w:rFonts w:ascii="宋体" w:hAnsi="宋体" w:eastAsia="宋体" w:cs="宋体"/>
          <w:sz w:val="24"/>
          <w:szCs w:val="24"/>
        </w:rPr>
        <w:t xml:space="preserve"> </w:t>
      </w:r>
      <w:r>
        <w:rPr>
          <w:rFonts w:ascii="宋体" w:hAnsi="宋体" w:eastAsia="宋体" w:cs="宋体"/>
          <w:spacing w:val="-2"/>
          <w:sz w:val="24"/>
          <w:szCs w:val="24"/>
        </w:rPr>
        <w:t>方案进行论证。实行施工总承包的，由施工总承包单位组织召开专家论证会。专家论证</w:t>
      </w:r>
      <w:r>
        <w:rPr>
          <w:rFonts w:ascii="宋体" w:hAnsi="宋体" w:eastAsia="宋体" w:cs="宋体"/>
          <w:spacing w:val="16"/>
          <w:sz w:val="24"/>
          <w:szCs w:val="24"/>
        </w:rPr>
        <w:t xml:space="preserve"> </w:t>
      </w:r>
      <w:r>
        <w:rPr>
          <w:rFonts w:ascii="宋体" w:hAnsi="宋体" w:eastAsia="宋体" w:cs="宋体"/>
          <w:spacing w:val="-1"/>
          <w:sz w:val="24"/>
          <w:szCs w:val="24"/>
        </w:rPr>
        <w:t>前专项施工方案应当通过施工总承包单位审核和总监理工程师审查。</w:t>
      </w:r>
    </w:p>
    <w:p w14:paraId="1A915BC8">
      <w:pPr>
        <w:spacing w:before="208" w:line="301" w:lineRule="auto"/>
        <w:ind w:firstLine="484"/>
        <w:rPr>
          <w:rFonts w:ascii="宋体" w:hAnsi="宋体" w:eastAsia="宋体" w:cs="宋体"/>
          <w:sz w:val="24"/>
          <w:szCs w:val="24"/>
        </w:rPr>
      </w:pPr>
      <w:r>
        <w:rPr>
          <w:rFonts w:ascii="宋体" w:hAnsi="宋体" w:eastAsia="宋体" w:cs="宋体"/>
          <w:spacing w:val="2"/>
          <w:sz w:val="24"/>
          <w:szCs w:val="24"/>
        </w:rPr>
        <w:t>5、危险性较大的分部分项工程清单及超过一</w:t>
      </w:r>
      <w:r>
        <w:rPr>
          <w:rFonts w:ascii="宋体" w:hAnsi="宋体" w:eastAsia="宋体" w:cs="宋体"/>
          <w:spacing w:val="1"/>
          <w:sz w:val="24"/>
          <w:szCs w:val="24"/>
        </w:rPr>
        <w:t>定规模的危险性较大的分部分项工程</w:t>
      </w:r>
      <w:r>
        <w:rPr>
          <w:rFonts w:ascii="宋体" w:hAnsi="宋体" w:eastAsia="宋体" w:cs="宋体"/>
          <w:sz w:val="24"/>
          <w:szCs w:val="24"/>
        </w:rPr>
        <w:t xml:space="preserve"> </w:t>
      </w:r>
      <w:r>
        <w:rPr>
          <w:rFonts w:ascii="宋体" w:hAnsi="宋体" w:eastAsia="宋体" w:cs="宋体"/>
          <w:spacing w:val="-4"/>
          <w:sz w:val="24"/>
          <w:szCs w:val="24"/>
        </w:rPr>
        <w:t>清单：</w:t>
      </w:r>
    </w:p>
    <w:p w14:paraId="17B443A7">
      <w:pPr>
        <w:spacing w:line="78" w:lineRule="exact"/>
      </w:pPr>
    </w:p>
    <w:tbl>
      <w:tblPr>
        <w:tblStyle w:val="14"/>
        <w:tblW w:w="10218"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80"/>
        <w:gridCol w:w="1352"/>
        <w:gridCol w:w="1352"/>
        <w:gridCol w:w="2434"/>
      </w:tblGrid>
      <w:tr w14:paraId="17035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5080" w:type="dxa"/>
            <w:noWrap w:val="0"/>
            <w:vAlign w:val="top"/>
          </w:tcPr>
          <w:p w14:paraId="54763D47">
            <w:pPr>
              <w:spacing w:before="133" w:line="220" w:lineRule="auto"/>
              <w:ind w:left="624"/>
              <w:rPr>
                <w:rFonts w:ascii="宋体" w:hAnsi="宋体" w:eastAsia="宋体" w:cs="宋体"/>
                <w:sz w:val="24"/>
                <w:szCs w:val="24"/>
              </w:rPr>
            </w:pPr>
            <w:r>
              <w:rPr>
                <w:rFonts w:ascii="宋体" w:hAnsi="宋体" w:eastAsia="宋体" w:cs="宋体"/>
                <w:b/>
                <w:bCs/>
                <w:spacing w:val="-3"/>
                <w:sz w:val="24"/>
                <w:szCs w:val="24"/>
              </w:rPr>
              <w:t>一、危险性较大的分部分项工程清单</w:t>
            </w:r>
          </w:p>
        </w:tc>
        <w:tc>
          <w:tcPr>
            <w:tcW w:w="1352" w:type="dxa"/>
            <w:noWrap w:val="0"/>
            <w:vAlign w:val="top"/>
          </w:tcPr>
          <w:p w14:paraId="445D46AC">
            <w:pPr>
              <w:spacing w:before="133" w:line="221" w:lineRule="auto"/>
              <w:ind w:left="206"/>
              <w:rPr>
                <w:rFonts w:ascii="宋体" w:hAnsi="宋体" w:eastAsia="宋体" w:cs="宋体"/>
                <w:sz w:val="24"/>
                <w:szCs w:val="24"/>
              </w:rPr>
            </w:pPr>
            <w:r>
              <w:rPr>
                <w:rFonts w:ascii="宋体" w:hAnsi="宋体" w:eastAsia="宋体" w:cs="宋体"/>
                <w:spacing w:val="-4"/>
                <w:sz w:val="24"/>
                <w:szCs w:val="24"/>
              </w:rPr>
              <w:t>建设单位</w:t>
            </w:r>
          </w:p>
        </w:tc>
        <w:tc>
          <w:tcPr>
            <w:tcW w:w="1352" w:type="dxa"/>
            <w:noWrap w:val="0"/>
            <w:vAlign w:val="top"/>
          </w:tcPr>
          <w:p w14:paraId="4D4883F5">
            <w:pPr>
              <w:spacing w:before="133" w:line="221" w:lineRule="auto"/>
              <w:ind w:left="205"/>
              <w:rPr>
                <w:rFonts w:ascii="宋体" w:hAnsi="宋体" w:eastAsia="宋体" w:cs="宋体"/>
                <w:sz w:val="24"/>
                <w:szCs w:val="24"/>
              </w:rPr>
            </w:pPr>
            <w:r>
              <w:rPr>
                <w:rFonts w:ascii="宋体" w:hAnsi="宋体" w:eastAsia="宋体" w:cs="宋体"/>
                <w:b/>
                <w:bCs/>
                <w:spacing w:val="-5"/>
                <w:sz w:val="24"/>
                <w:szCs w:val="24"/>
              </w:rPr>
              <w:t>投标单位</w:t>
            </w:r>
          </w:p>
        </w:tc>
        <w:tc>
          <w:tcPr>
            <w:tcW w:w="2434" w:type="dxa"/>
            <w:noWrap w:val="0"/>
            <w:vAlign w:val="top"/>
          </w:tcPr>
          <w:p w14:paraId="13382513">
            <w:pPr>
              <w:spacing w:before="133" w:line="222" w:lineRule="auto"/>
              <w:ind w:left="360"/>
              <w:rPr>
                <w:rFonts w:ascii="宋体" w:hAnsi="宋体" w:eastAsia="宋体" w:cs="宋体"/>
                <w:sz w:val="24"/>
                <w:szCs w:val="24"/>
              </w:rPr>
            </w:pPr>
            <w:r>
              <w:rPr>
                <w:rFonts w:ascii="宋体" w:hAnsi="宋体" w:eastAsia="宋体" w:cs="宋体"/>
                <w:spacing w:val="-7"/>
                <w:sz w:val="24"/>
                <w:szCs w:val="24"/>
              </w:rPr>
              <w:t>备注</w:t>
            </w:r>
          </w:p>
        </w:tc>
      </w:tr>
      <w:tr w14:paraId="0693C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5080" w:type="dxa"/>
            <w:noWrap w:val="0"/>
            <w:vAlign w:val="top"/>
          </w:tcPr>
          <w:p w14:paraId="04003B9E">
            <w:pPr>
              <w:spacing w:before="128" w:line="221" w:lineRule="auto"/>
              <w:ind w:left="120"/>
              <w:rPr>
                <w:rFonts w:ascii="宋体" w:hAnsi="宋体" w:eastAsia="宋体" w:cs="宋体"/>
                <w:sz w:val="24"/>
                <w:szCs w:val="24"/>
              </w:rPr>
            </w:pPr>
            <w:r>
              <w:rPr>
                <w:rFonts w:ascii="宋体" w:hAnsi="宋体" w:eastAsia="宋体" w:cs="宋体"/>
                <w:spacing w:val="-3"/>
                <w:sz w:val="24"/>
                <w:szCs w:val="24"/>
              </w:rPr>
              <w:t>一、基坑支护</w:t>
            </w:r>
          </w:p>
        </w:tc>
        <w:tc>
          <w:tcPr>
            <w:tcW w:w="1352" w:type="dxa"/>
            <w:noWrap w:val="0"/>
            <w:vAlign w:val="top"/>
          </w:tcPr>
          <w:p w14:paraId="6D70EBB8">
            <w:pPr>
              <w:spacing w:before="128" w:line="223" w:lineRule="auto"/>
              <w:ind w:left="54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5"/>
                <w:sz w:val="24"/>
                <w:szCs w:val="24"/>
              </w:rPr>
              <w:t xml:space="preserve">  </w:t>
            </w:r>
            <w:r>
              <w:rPr>
                <w:rFonts w:ascii="宋体" w:hAnsi="宋体" w:eastAsia="宋体" w:cs="宋体"/>
                <w:spacing w:val="-19"/>
                <w:w w:val="94"/>
                <w:sz w:val="24"/>
                <w:szCs w:val="24"/>
              </w:rPr>
              <w:t>)</w:t>
            </w:r>
          </w:p>
        </w:tc>
        <w:tc>
          <w:tcPr>
            <w:tcW w:w="1352" w:type="dxa"/>
            <w:noWrap w:val="0"/>
            <w:vAlign w:val="top"/>
          </w:tcPr>
          <w:p w14:paraId="7194F17F">
            <w:pPr>
              <w:spacing w:before="12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434" w:type="dxa"/>
            <w:noWrap w:val="0"/>
            <w:vAlign w:val="top"/>
          </w:tcPr>
          <w:p w14:paraId="1979EB05">
            <w:pPr>
              <w:pStyle w:val="20"/>
            </w:pPr>
          </w:p>
        </w:tc>
      </w:tr>
      <w:tr w14:paraId="7AEF1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trPr>
        <w:tc>
          <w:tcPr>
            <w:tcW w:w="5080" w:type="dxa"/>
            <w:noWrap w:val="0"/>
            <w:vAlign w:val="top"/>
          </w:tcPr>
          <w:p w14:paraId="727E691B">
            <w:pPr>
              <w:spacing w:before="129" w:line="328" w:lineRule="auto"/>
              <w:ind w:left="135" w:right="68" w:hanging="8"/>
              <w:rPr>
                <w:rFonts w:ascii="宋体" w:hAnsi="宋体" w:eastAsia="宋体" w:cs="宋体"/>
                <w:sz w:val="24"/>
                <w:szCs w:val="24"/>
              </w:rPr>
            </w:pPr>
            <w:r>
              <w:rPr>
                <w:rFonts w:ascii="宋体" w:hAnsi="宋体" w:eastAsia="宋体" w:cs="宋体"/>
                <w:spacing w:val="-4"/>
                <w:sz w:val="24"/>
                <w:szCs w:val="24"/>
              </w:rPr>
              <w:t>（一）开挖深度超过</w:t>
            </w:r>
            <w:r>
              <w:rPr>
                <w:rFonts w:ascii="宋体" w:hAnsi="宋体" w:eastAsia="宋体" w:cs="宋体"/>
                <w:spacing w:val="-29"/>
                <w:sz w:val="24"/>
                <w:szCs w:val="24"/>
              </w:rPr>
              <w:t xml:space="preserve"> </w:t>
            </w:r>
            <w:r>
              <w:rPr>
                <w:rFonts w:ascii="宋体" w:hAnsi="宋体" w:eastAsia="宋体" w:cs="宋体"/>
                <w:spacing w:val="-4"/>
                <w:sz w:val="24"/>
                <w:szCs w:val="24"/>
              </w:rPr>
              <w:t>3m（含</w:t>
            </w:r>
            <w:r>
              <w:rPr>
                <w:rFonts w:ascii="宋体" w:hAnsi="宋体" w:eastAsia="宋体" w:cs="宋体"/>
                <w:spacing w:val="-46"/>
                <w:sz w:val="24"/>
                <w:szCs w:val="24"/>
              </w:rPr>
              <w:t xml:space="preserve"> </w:t>
            </w:r>
            <w:r>
              <w:rPr>
                <w:rFonts w:ascii="宋体" w:hAnsi="宋体" w:eastAsia="宋体" w:cs="宋体"/>
                <w:spacing w:val="-4"/>
                <w:sz w:val="24"/>
                <w:szCs w:val="24"/>
              </w:rPr>
              <w:t>3m）的基坑（槽）</w:t>
            </w:r>
            <w:r>
              <w:rPr>
                <w:rFonts w:ascii="宋体" w:hAnsi="宋体" w:eastAsia="宋体" w:cs="宋体"/>
                <w:sz w:val="24"/>
                <w:szCs w:val="24"/>
              </w:rPr>
              <w:t xml:space="preserve"> </w:t>
            </w:r>
            <w:r>
              <w:rPr>
                <w:rFonts w:ascii="宋体" w:hAnsi="宋体" w:eastAsia="宋体" w:cs="宋体"/>
                <w:spacing w:val="-3"/>
                <w:sz w:val="24"/>
                <w:szCs w:val="24"/>
              </w:rPr>
              <w:t>的土方开挖、支护、降水工程。</w:t>
            </w:r>
          </w:p>
        </w:tc>
        <w:tc>
          <w:tcPr>
            <w:tcW w:w="1352" w:type="dxa"/>
            <w:noWrap w:val="0"/>
            <w:vAlign w:val="top"/>
          </w:tcPr>
          <w:p w14:paraId="31F452D5">
            <w:pPr>
              <w:pStyle w:val="20"/>
              <w:spacing w:line="297" w:lineRule="auto"/>
            </w:pPr>
          </w:p>
          <w:p w14:paraId="0166B88D">
            <w:pPr>
              <w:spacing w:before="78" w:line="223" w:lineRule="auto"/>
              <w:ind w:left="396"/>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5"/>
                <w:sz w:val="24"/>
                <w:szCs w:val="24"/>
              </w:rPr>
              <w:t xml:space="preserve">  </w:t>
            </w:r>
            <w:r>
              <w:rPr>
                <w:rFonts w:ascii="宋体" w:hAnsi="宋体" w:eastAsia="宋体" w:cs="宋体"/>
                <w:spacing w:val="-19"/>
                <w:w w:val="94"/>
                <w:sz w:val="24"/>
                <w:szCs w:val="24"/>
              </w:rPr>
              <w:t>)</w:t>
            </w:r>
          </w:p>
        </w:tc>
        <w:tc>
          <w:tcPr>
            <w:tcW w:w="1352" w:type="dxa"/>
            <w:noWrap w:val="0"/>
            <w:vAlign w:val="top"/>
          </w:tcPr>
          <w:p w14:paraId="4C6C90CA">
            <w:pPr>
              <w:pStyle w:val="20"/>
              <w:spacing w:line="297" w:lineRule="auto"/>
            </w:pPr>
          </w:p>
          <w:p w14:paraId="51061F26">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434" w:type="dxa"/>
            <w:noWrap w:val="0"/>
            <w:vAlign w:val="top"/>
          </w:tcPr>
          <w:p w14:paraId="2DA5AA2C">
            <w:pPr>
              <w:pStyle w:val="20"/>
            </w:pPr>
          </w:p>
        </w:tc>
      </w:tr>
    </w:tbl>
    <w:p w14:paraId="5FBDF5F4">
      <w:pPr>
        <w:pStyle w:val="5"/>
        <w:spacing w:line="73" w:lineRule="exact"/>
        <w:rPr>
          <w:sz w:val="6"/>
        </w:rPr>
      </w:pPr>
    </w:p>
    <w:p w14:paraId="35D715AD">
      <w:pPr>
        <w:spacing w:line="73" w:lineRule="exact"/>
        <w:rPr>
          <w:sz w:val="6"/>
          <w:szCs w:val="6"/>
        </w:rPr>
        <w:sectPr>
          <w:footerReference r:id="rId27" w:type="default"/>
          <w:pgSz w:w="11906" w:h="16839"/>
          <w:pgMar w:top="720" w:right="720" w:bottom="720" w:left="720" w:header="0" w:footer="1023" w:gutter="0"/>
          <w:cols w:space="720" w:num="1"/>
        </w:sectPr>
      </w:pPr>
    </w:p>
    <w:p w14:paraId="76D3F07D">
      <w:pPr>
        <w:spacing w:before="41"/>
      </w:pPr>
    </w:p>
    <w:p w14:paraId="3F5D5A9D">
      <w:pPr>
        <w:spacing w:before="41"/>
      </w:pPr>
    </w:p>
    <w:p w14:paraId="5EA15106">
      <w:pPr>
        <w:spacing w:before="40"/>
      </w:pPr>
    </w:p>
    <w:tbl>
      <w:tblPr>
        <w:tblStyle w:val="14"/>
        <w:tblW w:w="103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80"/>
        <w:gridCol w:w="1352"/>
        <w:gridCol w:w="1352"/>
        <w:gridCol w:w="2537"/>
      </w:tblGrid>
      <w:tr w14:paraId="5F780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3" w:hRule="atLeast"/>
        </w:trPr>
        <w:tc>
          <w:tcPr>
            <w:tcW w:w="5080" w:type="dxa"/>
            <w:noWrap w:val="0"/>
            <w:vAlign w:val="top"/>
          </w:tcPr>
          <w:p w14:paraId="165F22B0">
            <w:pPr>
              <w:spacing w:before="132" w:line="354" w:lineRule="auto"/>
              <w:ind w:left="116" w:right="108" w:firstLine="11"/>
              <w:jc w:val="both"/>
              <w:rPr>
                <w:rFonts w:ascii="宋体" w:hAnsi="宋体" w:eastAsia="宋体" w:cs="宋体"/>
                <w:sz w:val="24"/>
                <w:szCs w:val="24"/>
              </w:rPr>
            </w:pPr>
            <w:bookmarkStart w:id="208" w:name="bookmark161"/>
            <w:bookmarkEnd w:id="208"/>
            <w:r>
              <w:rPr>
                <w:rFonts w:ascii="宋体" w:hAnsi="宋体" w:eastAsia="宋体" w:cs="宋体"/>
                <w:spacing w:val="-2"/>
                <w:sz w:val="24"/>
                <w:szCs w:val="24"/>
              </w:rPr>
              <w:t>（二）开挖深度虽未超过</w:t>
            </w:r>
            <w:r>
              <w:rPr>
                <w:rFonts w:ascii="宋体" w:hAnsi="宋体" w:eastAsia="宋体" w:cs="宋体"/>
                <w:spacing w:val="-40"/>
                <w:sz w:val="24"/>
                <w:szCs w:val="24"/>
              </w:rPr>
              <w:t xml:space="preserve"> </w:t>
            </w:r>
            <w:r>
              <w:rPr>
                <w:rFonts w:ascii="宋体" w:hAnsi="宋体" w:eastAsia="宋体" w:cs="宋体"/>
                <w:spacing w:val="-2"/>
                <w:sz w:val="24"/>
                <w:szCs w:val="24"/>
              </w:rPr>
              <w:t>3m，但地质条件、周</w:t>
            </w:r>
            <w:r>
              <w:rPr>
                <w:rFonts w:ascii="宋体" w:hAnsi="宋体" w:eastAsia="宋体" w:cs="宋体"/>
                <w:sz w:val="24"/>
                <w:szCs w:val="24"/>
              </w:rPr>
              <w:t xml:space="preserve"> </w:t>
            </w:r>
            <w:r>
              <w:rPr>
                <w:rFonts w:ascii="宋体" w:hAnsi="宋体" w:eastAsia="宋体" w:cs="宋体"/>
                <w:spacing w:val="-1"/>
                <w:sz w:val="24"/>
                <w:szCs w:val="24"/>
              </w:rPr>
              <w:t>围环境和地下管线复杂，或影响毗邻建、构筑</w:t>
            </w:r>
            <w:r>
              <w:rPr>
                <w:rFonts w:ascii="宋体" w:hAnsi="宋体" w:eastAsia="宋体" w:cs="宋体"/>
                <w:spacing w:val="9"/>
                <w:sz w:val="24"/>
                <w:szCs w:val="24"/>
              </w:rPr>
              <w:t xml:space="preserve"> </w:t>
            </w:r>
            <w:r>
              <w:rPr>
                <w:rFonts w:ascii="宋体" w:hAnsi="宋体" w:eastAsia="宋体" w:cs="宋体"/>
                <w:spacing w:val="-1"/>
                <w:sz w:val="24"/>
                <w:szCs w:val="24"/>
              </w:rPr>
              <w:t>物安全的基坑（槽）的土方开挖、支护、降水</w:t>
            </w:r>
            <w:r>
              <w:rPr>
                <w:rFonts w:ascii="宋体" w:hAnsi="宋体" w:eastAsia="宋体" w:cs="宋体"/>
                <w:spacing w:val="9"/>
                <w:sz w:val="24"/>
                <w:szCs w:val="24"/>
              </w:rPr>
              <w:t xml:space="preserve"> </w:t>
            </w:r>
            <w:r>
              <w:rPr>
                <w:rFonts w:ascii="宋体" w:hAnsi="宋体" w:eastAsia="宋体" w:cs="宋体"/>
                <w:spacing w:val="-4"/>
                <w:sz w:val="24"/>
                <w:szCs w:val="24"/>
              </w:rPr>
              <w:t>工程。</w:t>
            </w:r>
          </w:p>
        </w:tc>
        <w:tc>
          <w:tcPr>
            <w:tcW w:w="1352" w:type="dxa"/>
            <w:noWrap w:val="0"/>
            <w:vAlign w:val="top"/>
          </w:tcPr>
          <w:p w14:paraId="66DA9A8C">
            <w:pPr>
              <w:pStyle w:val="20"/>
              <w:spacing w:line="263" w:lineRule="auto"/>
            </w:pPr>
          </w:p>
          <w:p w14:paraId="425AFCF8">
            <w:pPr>
              <w:pStyle w:val="20"/>
              <w:spacing w:line="263" w:lineRule="auto"/>
            </w:pPr>
          </w:p>
          <w:p w14:paraId="4E7CC0B3">
            <w:pPr>
              <w:pStyle w:val="20"/>
              <w:spacing w:line="264" w:lineRule="auto"/>
            </w:pPr>
          </w:p>
          <w:p w14:paraId="2F5BFB3F">
            <w:pPr>
              <w:spacing w:before="7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6A16C391">
            <w:pPr>
              <w:pStyle w:val="20"/>
              <w:spacing w:line="263" w:lineRule="auto"/>
            </w:pPr>
          </w:p>
          <w:p w14:paraId="1B02372A">
            <w:pPr>
              <w:pStyle w:val="20"/>
              <w:spacing w:line="263" w:lineRule="auto"/>
            </w:pPr>
          </w:p>
          <w:p w14:paraId="5EA9C311">
            <w:pPr>
              <w:pStyle w:val="20"/>
              <w:spacing w:line="264" w:lineRule="auto"/>
            </w:pPr>
          </w:p>
          <w:p w14:paraId="39C5826A">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37" w:type="dxa"/>
            <w:noWrap w:val="0"/>
            <w:vAlign w:val="top"/>
          </w:tcPr>
          <w:p w14:paraId="61B87439">
            <w:pPr>
              <w:pStyle w:val="20"/>
            </w:pPr>
          </w:p>
        </w:tc>
      </w:tr>
      <w:tr w14:paraId="3022E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5080" w:type="dxa"/>
            <w:noWrap w:val="0"/>
            <w:vAlign w:val="top"/>
          </w:tcPr>
          <w:p w14:paraId="544F1E72">
            <w:pPr>
              <w:spacing w:before="128" w:line="219" w:lineRule="auto"/>
              <w:ind w:left="120"/>
              <w:rPr>
                <w:rFonts w:ascii="宋体" w:hAnsi="宋体" w:eastAsia="宋体" w:cs="宋体"/>
                <w:sz w:val="24"/>
                <w:szCs w:val="24"/>
              </w:rPr>
            </w:pPr>
            <w:r>
              <w:rPr>
                <w:rFonts w:ascii="宋体" w:hAnsi="宋体" w:eastAsia="宋体" w:cs="宋体"/>
                <w:spacing w:val="-2"/>
                <w:sz w:val="24"/>
                <w:szCs w:val="24"/>
              </w:rPr>
              <w:t>二、模板工程及支撑体系</w:t>
            </w:r>
          </w:p>
        </w:tc>
        <w:tc>
          <w:tcPr>
            <w:tcW w:w="1352" w:type="dxa"/>
            <w:noWrap w:val="0"/>
            <w:vAlign w:val="top"/>
          </w:tcPr>
          <w:p w14:paraId="123D53D3">
            <w:pPr>
              <w:spacing w:before="12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03570561">
            <w:pPr>
              <w:spacing w:before="12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37" w:type="dxa"/>
            <w:noWrap w:val="0"/>
            <w:vAlign w:val="top"/>
          </w:tcPr>
          <w:p w14:paraId="592C8D21">
            <w:pPr>
              <w:pStyle w:val="20"/>
            </w:pPr>
          </w:p>
        </w:tc>
      </w:tr>
      <w:tr w14:paraId="4AAC4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1" w:hRule="atLeast"/>
        </w:trPr>
        <w:tc>
          <w:tcPr>
            <w:tcW w:w="5080" w:type="dxa"/>
            <w:noWrap w:val="0"/>
            <w:vAlign w:val="top"/>
          </w:tcPr>
          <w:p w14:paraId="56A0DD88">
            <w:pPr>
              <w:spacing w:before="128" w:line="328" w:lineRule="auto"/>
              <w:ind w:left="123" w:right="25" w:firstLine="4"/>
              <w:rPr>
                <w:rFonts w:ascii="宋体" w:hAnsi="宋体" w:eastAsia="宋体" w:cs="宋体"/>
                <w:sz w:val="24"/>
                <w:szCs w:val="24"/>
              </w:rPr>
            </w:pPr>
            <w:r>
              <w:rPr>
                <w:rFonts w:ascii="宋体" w:hAnsi="宋体" w:eastAsia="宋体" w:cs="宋体"/>
                <w:spacing w:val="-6"/>
                <w:sz w:val="24"/>
                <w:szCs w:val="24"/>
              </w:rPr>
              <w:t>（一）各类工具式模板工程：包括滑模、爬模、</w:t>
            </w:r>
            <w:r>
              <w:rPr>
                <w:rFonts w:ascii="宋体" w:hAnsi="宋体" w:eastAsia="宋体" w:cs="宋体"/>
                <w:spacing w:val="6"/>
                <w:sz w:val="24"/>
                <w:szCs w:val="24"/>
              </w:rPr>
              <w:t xml:space="preserve"> </w:t>
            </w:r>
            <w:r>
              <w:rPr>
                <w:rFonts w:ascii="宋体" w:hAnsi="宋体" w:eastAsia="宋体" w:cs="宋体"/>
                <w:spacing w:val="-2"/>
                <w:sz w:val="24"/>
                <w:szCs w:val="24"/>
              </w:rPr>
              <w:t>飞模、隧道模等工程。</w:t>
            </w:r>
          </w:p>
        </w:tc>
        <w:tc>
          <w:tcPr>
            <w:tcW w:w="1352" w:type="dxa"/>
            <w:noWrap w:val="0"/>
            <w:vAlign w:val="top"/>
          </w:tcPr>
          <w:p w14:paraId="140E4066">
            <w:pPr>
              <w:pStyle w:val="20"/>
              <w:spacing w:line="293" w:lineRule="auto"/>
            </w:pPr>
          </w:p>
          <w:p w14:paraId="1EA15140">
            <w:pPr>
              <w:spacing w:before="7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68798981">
            <w:pPr>
              <w:pStyle w:val="20"/>
              <w:spacing w:line="293" w:lineRule="auto"/>
            </w:pPr>
          </w:p>
          <w:p w14:paraId="29062496">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37" w:type="dxa"/>
            <w:noWrap w:val="0"/>
            <w:vAlign w:val="top"/>
          </w:tcPr>
          <w:p w14:paraId="7C3242E7">
            <w:pPr>
              <w:pStyle w:val="20"/>
            </w:pPr>
          </w:p>
        </w:tc>
      </w:tr>
      <w:tr w14:paraId="3DE00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5" w:hRule="atLeast"/>
        </w:trPr>
        <w:tc>
          <w:tcPr>
            <w:tcW w:w="5080" w:type="dxa"/>
            <w:noWrap w:val="0"/>
            <w:vAlign w:val="top"/>
          </w:tcPr>
          <w:p w14:paraId="1661FD5F">
            <w:pPr>
              <w:spacing w:before="131" w:line="362" w:lineRule="auto"/>
              <w:ind w:left="115" w:right="105" w:firstLine="12"/>
              <w:rPr>
                <w:rFonts w:ascii="宋体" w:hAnsi="宋体" w:eastAsia="宋体" w:cs="宋体"/>
                <w:sz w:val="24"/>
                <w:szCs w:val="24"/>
              </w:rPr>
            </w:pPr>
            <w:r>
              <w:rPr>
                <w:rFonts w:ascii="宋体" w:hAnsi="宋体" w:eastAsia="宋体" w:cs="宋体"/>
                <w:spacing w:val="-5"/>
                <w:sz w:val="24"/>
                <w:szCs w:val="24"/>
              </w:rPr>
              <w:t>（二）混凝土模板支撑工程：搭设高度</w:t>
            </w:r>
            <w:r>
              <w:rPr>
                <w:rFonts w:ascii="宋体" w:hAnsi="宋体" w:eastAsia="宋体" w:cs="宋体"/>
                <w:spacing w:val="-43"/>
                <w:sz w:val="24"/>
                <w:szCs w:val="24"/>
              </w:rPr>
              <w:t xml:space="preserve"> </w:t>
            </w:r>
            <w:r>
              <w:rPr>
                <w:rFonts w:ascii="宋体" w:hAnsi="宋体" w:eastAsia="宋体" w:cs="宋体"/>
                <w:spacing w:val="-5"/>
                <w:sz w:val="24"/>
                <w:szCs w:val="24"/>
              </w:rPr>
              <w:t>5m</w:t>
            </w:r>
            <w:r>
              <w:rPr>
                <w:rFonts w:ascii="宋体" w:hAnsi="宋体" w:eastAsia="宋体" w:cs="宋体"/>
                <w:spacing w:val="-52"/>
                <w:sz w:val="24"/>
                <w:szCs w:val="24"/>
              </w:rPr>
              <w:t xml:space="preserve"> </w:t>
            </w:r>
            <w:r>
              <w:rPr>
                <w:rFonts w:ascii="宋体" w:hAnsi="宋体" w:eastAsia="宋体" w:cs="宋体"/>
                <w:spacing w:val="-5"/>
                <w:sz w:val="24"/>
                <w:szCs w:val="24"/>
              </w:rPr>
              <w:t>及以</w:t>
            </w:r>
            <w:r>
              <w:rPr>
                <w:rFonts w:ascii="宋体" w:hAnsi="宋体" w:eastAsia="宋体" w:cs="宋体"/>
                <w:sz w:val="24"/>
                <w:szCs w:val="24"/>
              </w:rPr>
              <w:t xml:space="preserve"> </w:t>
            </w:r>
            <w:r>
              <w:rPr>
                <w:rFonts w:ascii="宋体" w:hAnsi="宋体" w:eastAsia="宋体" w:cs="宋体"/>
                <w:spacing w:val="-10"/>
                <w:sz w:val="24"/>
                <w:szCs w:val="24"/>
              </w:rPr>
              <w:t>上，或搭设跨度</w:t>
            </w:r>
            <w:r>
              <w:rPr>
                <w:rFonts w:ascii="宋体" w:hAnsi="宋体" w:eastAsia="宋体" w:cs="宋体"/>
                <w:spacing w:val="-33"/>
                <w:sz w:val="24"/>
                <w:szCs w:val="24"/>
              </w:rPr>
              <w:t xml:space="preserve"> </w:t>
            </w:r>
            <w:r>
              <w:rPr>
                <w:rFonts w:ascii="宋体" w:hAnsi="宋体" w:eastAsia="宋体" w:cs="宋体"/>
                <w:spacing w:val="-10"/>
                <w:sz w:val="24"/>
                <w:szCs w:val="24"/>
              </w:rPr>
              <w:t>10m</w:t>
            </w:r>
            <w:r>
              <w:rPr>
                <w:rFonts w:ascii="宋体" w:hAnsi="宋体" w:eastAsia="宋体" w:cs="宋体"/>
                <w:spacing w:val="-51"/>
                <w:sz w:val="24"/>
                <w:szCs w:val="24"/>
              </w:rPr>
              <w:t xml:space="preserve"> </w:t>
            </w:r>
            <w:r>
              <w:rPr>
                <w:rFonts w:ascii="宋体" w:hAnsi="宋体" w:eastAsia="宋体" w:cs="宋体"/>
                <w:spacing w:val="-10"/>
                <w:sz w:val="24"/>
                <w:szCs w:val="24"/>
              </w:rPr>
              <w:t>及以上，或施工总荷</w:t>
            </w:r>
            <w:r>
              <w:rPr>
                <w:rFonts w:ascii="宋体" w:hAnsi="宋体" w:eastAsia="宋体" w:cs="宋体"/>
                <w:spacing w:val="-11"/>
                <w:sz w:val="24"/>
                <w:szCs w:val="24"/>
              </w:rPr>
              <w:t>载（荷</w:t>
            </w:r>
            <w:r>
              <w:rPr>
                <w:rFonts w:ascii="宋体" w:hAnsi="宋体" w:eastAsia="宋体" w:cs="宋体"/>
                <w:sz w:val="24"/>
                <w:szCs w:val="24"/>
              </w:rPr>
              <w:t xml:space="preserve"> </w:t>
            </w:r>
            <w:r>
              <w:rPr>
                <w:rFonts w:ascii="宋体" w:hAnsi="宋体" w:eastAsia="宋体" w:cs="宋体"/>
                <w:spacing w:val="-2"/>
                <w:sz w:val="24"/>
                <w:szCs w:val="24"/>
              </w:rPr>
              <w:t>载效应基本组合的设计值，以下简称设计值）</w:t>
            </w:r>
            <w:r>
              <w:rPr>
                <w:rFonts w:ascii="宋体" w:hAnsi="宋体" w:eastAsia="宋体" w:cs="宋体"/>
                <w:spacing w:val="14"/>
                <w:sz w:val="24"/>
                <w:szCs w:val="24"/>
              </w:rPr>
              <w:t xml:space="preserve"> </w:t>
            </w:r>
            <w:r>
              <w:rPr>
                <w:rFonts w:ascii="宋体" w:hAnsi="宋体" w:eastAsia="宋体" w:cs="宋体"/>
                <w:spacing w:val="-14"/>
                <w:sz w:val="24"/>
                <w:szCs w:val="24"/>
              </w:rPr>
              <w:t>10kN/m2</w:t>
            </w:r>
            <w:r>
              <w:rPr>
                <w:rFonts w:ascii="宋体" w:hAnsi="宋体" w:eastAsia="宋体" w:cs="宋体"/>
                <w:spacing w:val="-35"/>
                <w:sz w:val="24"/>
                <w:szCs w:val="24"/>
              </w:rPr>
              <w:t xml:space="preserve"> </w:t>
            </w:r>
            <w:r>
              <w:rPr>
                <w:rFonts w:ascii="宋体" w:hAnsi="宋体" w:eastAsia="宋体" w:cs="宋体"/>
                <w:spacing w:val="-14"/>
                <w:sz w:val="24"/>
                <w:szCs w:val="24"/>
              </w:rPr>
              <w:t>及以上，或集中线荷载（设计值）15kN/m</w:t>
            </w:r>
            <w:r>
              <w:rPr>
                <w:rFonts w:ascii="宋体" w:hAnsi="宋体" w:eastAsia="宋体" w:cs="宋体"/>
                <w:sz w:val="24"/>
                <w:szCs w:val="24"/>
              </w:rPr>
              <w:t xml:space="preserve"> </w:t>
            </w:r>
            <w:r>
              <w:rPr>
                <w:rFonts w:ascii="宋体" w:hAnsi="宋体" w:eastAsia="宋体" w:cs="宋体"/>
                <w:spacing w:val="-1"/>
                <w:sz w:val="24"/>
                <w:szCs w:val="24"/>
              </w:rPr>
              <w:t>及以上，或高度大于支撑水平投影宽度且相对</w:t>
            </w:r>
            <w:r>
              <w:rPr>
                <w:rFonts w:ascii="宋体" w:hAnsi="宋体" w:eastAsia="宋体" w:cs="宋体"/>
                <w:spacing w:val="10"/>
                <w:sz w:val="24"/>
                <w:szCs w:val="24"/>
              </w:rPr>
              <w:t xml:space="preserve"> </w:t>
            </w:r>
            <w:r>
              <w:rPr>
                <w:rFonts w:ascii="宋体" w:hAnsi="宋体" w:eastAsia="宋体" w:cs="宋体"/>
                <w:spacing w:val="-1"/>
                <w:sz w:val="24"/>
                <w:szCs w:val="24"/>
              </w:rPr>
              <w:t>独立无联系构件的混凝土模板支撑工程。</w:t>
            </w:r>
          </w:p>
        </w:tc>
        <w:tc>
          <w:tcPr>
            <w:tcW w:w="1352" w:type="dxa"/>
            <w:noWrap w:val="0"/>
            <w:vAlign w:val="top"/>
          </w:tcPr>
          <w:p w14:paraId="2EF3EF38">
            <w:pPr>
              <w:pStyle w:val="20"/>
              <w:spacing w:line="255" w:lineRule="auto"/>
            </w:pPr>
          </w:p>
          <w:p w14:paraId="105B5A7D">
            <w:pPr>
              <w:pStyle w:val="20"/>
              <w:spacing w:line="255" w:lineRule="auto"/>
            </w:pPr>
          </w:p>
          <w:p w14:paraId="7A385698">
            <w:pPr>
              <w:pStyle w:val="20"/>
              <w:spacing w:line="255" w:lineRule="auto"/>
            </w:pPr>
          </w:p>
          <w:p w14:paraId="6816B7B7">
            <w:pPr>
              <w:pStyle w:val="20"/>
              <w:spacing w:line="255" w:lineRule="auto"/>
            </w:pPr>
          </w:p>
          <w:p w14:paraId="69962414">
            <w:pPr>
              <w:pStyle w:val="20"/>
              <w:spacing w:line="256" w:lineRule="auto"/>
            </w:pPr>
          </w:p>
          <w:p w14:paraId="5C029933">
            <w:pPr>
              <w:spacing w:before="78" w:line="223" w:lineRule="auto"/>
              <w:ind w:left="42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3"/>
                <w:sz w:val="24"/>
                <w:szCs w:val="24"/>
              </w:rPr>
              <w:t xml:space="preserve">   </w:t>
            </w:r>
            <w:r>
              <w:rPr>
                <w:rFonts w:ascii="宋体" w:hAnsi="宋体" w:eastAsia="宋体" w:cs="宋体"/>
                <w:spacing w:val="-19"/>
                <w:w w:val="94"/>
                <w:sz w:val="24"/>
                <w:szCs w:val="24"/>
              </w:rPr>
              <w:t>)</w:t>
            </w:r>
          </w:p>
        </w:tc>
        <w:tc>
          <w:tcPr>
            <w:tcW w:w="1352" w:type="dxa"/>
            <w:noWrap w:val="0"/>
            <w:vAlign w:val="top"/>
          </w:tcPr>
          <w:p w14:paraId="544F9567">
            <w:pPr>
              <w:pStyle w:val="20"/>
              <w:spacing w:line="255" w:lineRule="auto"/>
            </w:pPr>
          </w:p>
          <w:p w14:paraId="031D0488">
            <w:pPr>
              <w:pStyle w:val="20"/>
              <w:spacing w:line="255" w:lineRule="auto"/>
            </w:pPr>
          </w:p>
          <w:p w14:paraId="0AD5987A">
            <w:pPr>
              <w:pStyle w:val="20"/>
              <w:spacing w:line="255" w:lineRule="auto"/>
            </w:pPr>
          </w:p>
          <w:p w14:paraId="3B8B7DF6">
            <w:pPr>
              <w:pStyle w:val="20"/>
              <w:spacing w:line="255" w:lineRule="auto"/>
            </w:pPr>
          </w:p>
          <w:p w14:paraId="78937E0B">
            <w:pPr>
              <w:pStyle w:val="20"/>
              <w:spacing w:line="256" w:lineRule="auto"/>
            </w:pPr>
          </w:p>
          <w:p w14:paraId="235EBEA6">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37" w:type="dxa"/>
            <w:noWrap w:val="0"/>
            <w:vAlign w:val="top"/>
          </w:tcPr>
          <w:p w14:paraId="47B6E8D4">
            <w:pPr>
              <w:pStyle w:val="20"/>
            </w:pPr>
          </w:p>
        </w:tc>
      </w:tr>
      <w:tr w14:paraId="557F2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1" w:hRule="atLeast"/>
        </w:trPr>
        <w:tc>
          <w:tcPr>
            <w:tcW w:w="5080" w:type="dxa"/>
            <w:noWrap w:val="0"/>
            <w:vAlign w:val="top"/>
          </w:tcPr>
          <w:p w14:paraId="7D3494AF">
            <w:pPr>
              <w:spacing w:before="130" w:line="327" w:lineRule="auto"/>
              <w:ind w:left="117" w:right="168" w:firstLine="10"/>
              <w:rPr>
                <w:rFonts w:ascii="宋体" w:hAnsi="宋体" w:eastAsia="宋体" w:cs="宋体"/>
                <w:sz w:val="24"/>
                <w:szCs w:val="24"/>
              </w:rPr>
            </w:pPr>
            <w:r>
              <w:rPr>
                <w:rFonts w:ascii="宋体" w:hAnsi="宋体" w:eastAsia="宋体" w:cs="宋体"/>
                <w:spacing w:val="-2"/>
                <w:sz w:val="24"/>
                <w:szCs w:val="24"/>
              </w:rPr>
              <w:t>（三）承重支撑体系：用于钢结构安装等满堂</w:t>
            </w:r>
            <w:r>
              <w:rPr>
                <w:rFonts w:ascii="宋体" w:hAnsi="宋体" w:eastAsia="宋体" w:cs="宋体"/>
                <w:spacing w:val="18"/>
                <w:sz w:val="24"/>
                <w:szCs w:val="24"/>
              </w:rPr>
              <w:t xml:space="preserve"> </w:t>
            </w:r>
            <w:r>
              <w:rPr>
                <w:rFonts w:ascii="宋体" w:hAnsi="宋体" w:eastAsia="宋体" w:cs="宋体"/>
                <w:spacing w:val="-3"/>
                <w:sz w:val="24"/>
                <w:szCs w:val="24"/>
              </w:rPr>
              <w:t>支撑体系。</w:t>
            </w:r>
          </w:p>
        </w:tc>
        <w:tc>
          <w:tcPr>
            <w:tcW w:w="1352" w:type="dxa"/>
            <w:noWrap w:val="0"/>
            <w:vAlign w:val="top"/>
          </w:tcPr>
          <w:p w14:paraId="3A8D01C2">
            <w:pPr>
              <w:pStyle w:val="20"/>
              <w:spacing w:line="296" w:lineRule="auto"/>
            </w:pPr>
          </w:p>
          <w:p w14:paraId="7DC35086">
            <w:pPr>
              <w:spacing w:before="78" w:line="223" w:lineRule="auto"/>
              <w:ind w:left="30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527EECBF">
            <w:pPr>
              <w:pStyle w:val="20"/>
              <w:spacing w:line="296" w:lineRule="auto"/>
            </w:pPr>
          </w:p>
          <w:p w14:paraId="3409C6AD">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37" w:type="dxa"/>
            <w:noWrap w:val="0"/>
            <w:vAlign w:val="top"/>
          </w:tcPr>
          <w:p w14:paraId="735FF33F">
            <w:pPr>
              <w:pStyle w:val="20"/>
            </w:pPr>
          </w:p>
        </w:tc>
      </w:tr>
      <w:tr w14:paraId="1BB6D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5080" w:type="dxa"/>
            <w:noWrap w:val="0"/>
            <w:vAlign w:val="top"/>
          </w:tcPr>
          <w:p w14:paraId="6D4195BE">
            <w:pPr>
              <w:spacing w:before="130" w:line="219" w:lineRule="auto"/>
              <w:ind w:left="356"/>
              <w:rPr>
                <w:rFonts w:ascii="宋体" w:hAnsi="宋体" w:eastAsia="宋体" w:cs="宋体"/>
                <w:sz w:val="24"/>
                <w:szCs w:val="24"/>
              </w:rPr>
            </w:pPr>
            <w:r>
              <w:rPr>
                <w:rFonts w:ascii="宋体" w:hAnsi="宋体" w:eastAsia="宋体" w:cs="宋体"/>
                <w:spacing w:val="-1"/>
                <w:sz w:val="24"/>
                <w:szCs w:val="24"/>
              </w:rPr>
              <w:t>三、起重吊装及起重机械安装拆卸工程</w:t>
            </w:r>
          </w:p>
        </w:tc>
        <w:tc>
          <w:tcPr>
            <w:tcW w:w="1352" w:type="dxa"/>
            <w:noWrap w:val="0"/>
            <w:vAlign w:val="top"/>
          </w:tcPr>
          <w:p w14:paraId="4BC32BAF">
            <w:pPr>
              <w:spacing w:before="129"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7D5906C2">
            <w:pPr>
              <w:spacing w:before="129"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37" w:type="dxa"/>
            <w:noWrap w:val="0"/>
            <w:vAlign w:val="top"/>
          </w:tcPr>
          <w:p w14:paraId="26FFCCDD">
            <w:pPr>
              <w:pStyle w:val="20"/>
            </w:pPr>
          </w:p>
        </w:tc>
      </w:tr>
      <w:tr w14:paraId="0B188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trPr>
        <w:tc>
          <w:tcPr>
            <w:tcW w:w="5080" w:type="dxa"/>
            <w:noWrap w:val="0"/>
            <w:vAlign w:val="top"/>
          </w:tcPr>
          <w:p w14:paraId="27AF350E">
            <w:pPr>
              <w:spacing w:before="131" w:line="327" w:lineRule="auto"/>
              <w:ind w:left="144" w:right="168" w:hanging="17"/>
              <w:rPr>
                <w:rFonts w:ascii="宋体" w:hAnsi="宋体" w:eastAsia="宋体" w:cs="宋体"/>
                <w:sz w:val="24"/>
                <w:szCs w:val="24"/>
              </w:rPr>
            </w:pPr>
            <w:r>
              <w:rPr>
                <w:rFonts w:ascii="宋体" w:hAnsi="宋体" w:eastAsia="宋体" w:cs="宋体"/>
                <w:spacing w:val="-2"/>
                <w:sz w:val="24"/>
                <w:szCs w:val="24"/>
              </w:rPr>
              <w:t>（一）采用非常规起重设备、方法，且单件起</w:t>
            </w:r>
            <w:r>
              <w:rPr>
                <w:rFonts w:ascii="宋体" w:hAnsi="宋体" w:eastAsia="宋体" w:cs="宋体"/>
                <w:spacing w:val="18"/>
                <w:sz w:val="24"/>
                <w:szCs w:val="24"/>
              </w:rPr>
              <w:t xml:space="preserve"> </w:t>
            </w:r>
            <w:r>
              <w:rPr>
                <w:rFonts w:ascii="宋体" w:hAnsi="宋体" w:eastAsia="宋体" w:cs="宋体"/>
                <w:spacing w:val="-4"/>
                <w:sz w:val="24"/>
                <w:szCs w:val="24"/>
              </w:rPr>
              <w:t>吊重量在</w:t>
            </w:r>
            <w:r>
              <w:rPr>
                <w:rFonts w:ascii="宋体" w:hAnsi="宋体" w:eastAsia="宋体" w:cs="宋体"/>
                <w:spacing w:val="-32"/>
                <w:sz w:val="24"/>
                <w:szCs w:val="24"/>
              </w:rPr>
              <w:t xml:space="preserve"> </w:t>
            </w:r>
            <w:r>
              <w:rPr>
                <w:rFonts w:ascii="宋体" w:hAnsi="宋体" w:eastAsia="宋体" w:cs="宋体"/>
                <w:spacing w:val="-4"/>
                <w:sz w:val="24"/>
                <w:szCs w:val="24"/>
              </w:rPr>
              <w:t>10kN</w:t>
            </w:r>
            <w:r>
              <w:rPr>
                <w:rFonts w:ascii="宋体" w:hAnsi="宋体" w:eastAsia="宋体" w:cs="宋体"/>
                <w:spacing w:val="-52"/>
                <w:sz w:val="24"/>
                <w:szCs w:val="24"/>
              </w:rPr>
              <w:t xml:space="preserve"> </w:t>
            </w:r>
            <w:r>
              <w:rPr>
                <w:rFonts w:ascii="宋体" w:hAnsi="宋体" w:eastAsia="宋体" w:cs="宋体"/>
                <w:spacing w:val="-4"/>
                <w:sz w:val="24"/>
                <w:szCs w:val="24"/>
              </w:rPr>
              <w:t>及以上的起重吊装工程。</w:t>
            </w:r>
          </w:p>
        </w:tc>
        <w:tc>
          <w:tcPr>
            <w:tcW w:w="1352" w:type="dxa"/>
            <w:noWrap w:val="0"/>
            <w:vAlign w:val="top"/>
          </w:tcPr>
          <w:p w14:paraId="60661BF8">
            <w:pPr>
              <w:pStyle w:val="20"/>
              <w:spacing w:line="297" w:lineRule="auto"/>
            </w:pPr>
          </w:p>
          <w:p w14:paraId="7B86F017">
            <w:pPr>
              <w:spacing w:before="7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71F78648">
            <w:pPr>
              <w:pStyle w:val="20"/>
              <w:spacing w:line="297" w:lineRule="auto"/>
            </w:pPr>
          </w:p>
          <w:p w14:paraId="048265E5">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37" w:type="dxa"/>
            <w:noWrap w:val="0"/>
            <w:vAlign w:val="top"/>
          </w:tcPr>
          <w:p w14:paraId="340461D4">
            <w:pPr>
              <w:pStyle w:val="20"/>
            </w:pPr>
          </w:p>
        </w:tc>
      </w:tr>
      <w:tr w14:paraId="156F4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5080" w:type="dxa"/>
            <w:noWrap w:val="0"/>
            <w:vAlign w:val="top"/>
          </w:tcPr>
          <w:p w14:paraId="21D7E9F8">
            <w:pPr>
              <w:spacing w:before="132" w:line="219" w:lineRule="auto"/>
              <w:ind w:left="127"/>
              <w:rPr>
                <w:rFonts w:ascii="宋体" w:hAnsi="宋体" w:eastAsia="宋体" w:cs="宋体"/>
                <w:sz w:val="24"/>
                <w:szCs w:val="24"/>
              </w:rPr>
            </w:pPr>
            <w:r>
              <w:rPr>
                <w:rFonts w:ascii="宋体" w:hAnsi="宋体" w:eastAsia="宋体" w:cs="宋体"/>
                <w:spacing w:val="-2"/>
                <w:sz w:val="24"/>
                <w:szCs w:val="24"/>
              </w:rPr>
              <w:t>（二）采用起重机械进行安装的工程。</w:t>
            </w:r>
          </w:p>
        </w:tc>
        <w:tc>
          <w:tcPr>
            <w:tcW w:w="1352" w:type="dxa"/>
            <w:noWrap w:val="0"/>
            <w:vAlign w:val="top"/>
          </w:tcPr>
          <w:p w14:paraId="1A85CB68">
            <w:pPr>
              <w:spacing w:before="131" w:line="223" w:lineRule="auto"/>
              <w:ind w:left="30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153C6A75">
            <w:pPr>
              <w:spacing w:before="131"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37" w:type="dxa"/>
            <w:noWrap w:val="0"/>
            <w:vAlign w:val="top"/>
          </w:tcPr>
          <w:p w14:paraId="0F52CCE4">
            <w:pPr>
              <w:pStyle w:val="20"/>
            </w:pPr>
          </w:p>
        </w:tc>
      </w:tr>
      <w:tr w14:paraId="440373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5080" w:type="dxa"/>
            <w:noWrap w:val="0"/>
            <w:vAlign w:val="top"/>
          </w:tcPr>
          <w:p w14:paraId="2FFB9E69">
            <w:pPr>
              <w:spacing w:before="130" w:line="219" w:lineRule="auto"/>
              <w:ind w:left="127"/>
              <w:rPr>
                <w:rFonts w:ascii="宋体" w:hAnsi="宋体" w:eastAsia="宋体" w:cs="宋体"/>
                <w:sz w:val="24"/>
                <w:szCs w:val="24"/>
              </w:rPr>
            </w:pPr>
            <w:r>
              <w:rPr>
                <w:rFonts w:ascii="宋体" w:hAnsi="宋体" w:eastAsia="宋体" w:cs="宋体"/>
                <w:spacing w:val="-2"/>
                <w:sz w:val="24"/>
                <w:szCs w:val="24"/>
              </w:rPr>
              <w:t>（三）起重机械安装和拆卸工程。</w:t>
            </w:r>
          </w:p>
        </w:tc>
        <w:tc>
          <w:tcPr>
            <w:tcW w:w="1352" w:type="dxa"/>
            <w:noWrap w:val="0"/>
            <w:vAlign w:val="top"/>
          </w:tcPr>
          <w:p w14:paraId="73BB161D">
            <w:pPr>
              <w:spacing w:before="129" w:line="223" w:lineRule="auto"/>
              <w:ind w:left="30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26F96BAA">
            <w:pPr>
              <w:spacing w:before="129"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37" w:type="dxa"/>
            <w:noWrap w:val="0"/>
            <w:vAlign w:val="top"/>
          </w:tcPr>
          <w:p w14:paraId="749AB62A">
            <w:pPr>
              <w:pStyle w:val="20"/>
            </w:pPr>
          </w:p>
        </w:tc>
      </w:tr>
      <w:tr w14:paraId="1935D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5080" w:type="dxa"/>
            <w:noWrap w:val="0"/>
            <w:vAlign w:val="top"/>
          </w:tcPr>
          <w:p w14:paraId="57C930F7">
            <w:pPr>
              <w:spacing w:before="131" w:line="219" w:lineRule="auto"/>
              <w:ind w:left="138"/>
              <w:rPr>
                <w:rFonts w:ascii="宋体" w:hAnsi="宋体" w:eastAsia="宋体" w:cs="宋体"/>
                <w:sz w:val="24"/>
                <w:szCs w:val="24"/>
              </w:rPr>
            </w:pPr>
            <w:r>
              <w:rPr>
                <w:rFonts w:ascii="宋体" w:hAnsi="宋体" w:eastAsia="宋体" w:cs="宋体"/>
                <w:spacing w:val="-5"/>
                <w:sz w:val="24"/>
                <w:szCs w:val="24"/>
              </w:rPr>
              <w:t>四、脚手架工程</w:t>
            </w:r>
          </w:p>
        </w:tc>
        <w:tc>
          <w:tcPr>
            <w:tcW w:w="1352" w:type="dxa"/>
            <w:noWrap w:val="0"/>
            <w:vAlign w:val="top"/>
          </w:tcPr>
          <w:p w14:paraId="05AFEF2B">
            <w:pPr>
              <w:spacing w:before="130" w:line="223" w:lineRule="auto"/>
              <w:ind w:left="48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5"/>
                <w:sz w:val="24"/>
                <w:szCs w:val="24"/>
              </w:rPr>
              <w:t xml:space="preserve">  </w:t>
            </w:r>
            <w:r>
              <w:rPr>
                <w:rFonts w:ascii="宋体" w:hAnsi="宋体" w:eastAsia="宋体" w:cs="宋体"/>
                <w:spacing w:val="-19"/>
                <w:w w:val="94"/>
                <w:sz w:val="24"/>
                <w:szCs w:val="24"/>
              </w:rPr>
              <w:t>)</w:t>
            </w:r>
          </w:p>
        </w:tc>
        <w:tc>
          <w:tcPr>
            <w:tcW w:w="1352" w:type="dxa"/>
            <w:noWrap w:val="0"/>
            <w:vAlign w:val="top"/>
          </w:tcPr>
          <w:p w14:paraId="3DDBB4E9">
            <w:pPr>
              <w:spacing w:before="130"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37" w:type="dxa"/>
            <w:noWrap w:val="0"/>
            <w:vAlign w:val="top"/>
          </w:tcPr>
          <w:p w14:paraId="22A7438B">
            <w:pPr>
              <w:pStyle w:val="20"/>
            </w:pPr>
          </w:p>
        </w:tc>
      </w:tr>
      <w:tr w14:paraId="06E6B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1" w:hRule="atLeast"/>
        </w:trPr>
        <w:tc>
          <w:tcPr>
            <w:tcW w:w="5080" w:type="dxa"/>
            <w:noWrap w:val="0"/>
            <w:vAlign w:val="top"/>
          </w:tcPr>
          <w:p w14:paraId="19E83A2B">
            <w:pPr>
              <w:spacing w:before="130" w:line="327" w:lineRule="auto"/>
              <w:ind w:left="117" w:right="168" w:firstLine="10"/>
              <w:rPr>
                <w:rFonts w:ascii="宋体" w:hAnsi="宋体" w:eastAsia="宋体" w:cs="宋体"/>
                <w:sz w:val="24"/>
                <w:szCs w:val="24"/>
              </w:rPr>
            </w:pPr>
            <w:r>
              <w:rPr>
                <w:rFonts w:ascii="宋体" w:hAnsi="宋体" w:eastAsia="宋体" w:cs="宋体"/>
                <w:spacing w:val="-2"/>
                <w:sz w:val="24"/>
                <w:szCs w:val="24"/>
              </w:rPr>
              <w:t>（一）搭设高度</w:t>
            </w:r>
            <w:r>
              <w:rPr>
                <w:rFonts w:ascii="宋体" w:hAnsi="宋体" w:eastAsia="宋体" w:cs="宋体"/>
                <w:spacing w:val="-48"/>
                <w:sz w:val="24"/>
                <w:szCs w:val="24"/>
              </w:rPr>
              <w:t xml:space="preserve"> </w:t>
            </w:r>
            <w:r>
              <w:rPr>
                <w:rFonts w:ascii="宋体" w:hAnsi="宋体" w:eastAsia="宋体" w:cs="宋体"/>
                <w:spacing w:val="-2"/>
                <w:sz w:val="24"/>
                <w:szCs w:val="24"/>
              </w:rPr>
              <w:t>24m</w:t>
            </w:r>
            <w:r>
              <w:rPr>
                <w:rFonts w:ascii="宋体" w:hAnsi="宋体" w:eastAsia="宋体" w:cs="宋体"/>
                <w:spacing w:val="-52"/>
                <w:sz w:val="24"/>
                <w:szCs w:val="24"/>
              </w:rPr>
              <w:t xml:space="preserve"> </w:t>
            </w:r>
            <w:r>
              <w:rPr>
                <w:rFonts w:ascii="宋体" w:hAnsi="宋体" w:eastAsia="宋体" w:cs="宋体"/>
                <w:spacing w:val="-2"/>
                <w:sz w:val="24"/>
                <w:szCs w:val="24"/>
              </w:rPr>
              <w:t>及以上的落地式钢管脚手</w:t>
            </w:r>
            <w:r>
              <w:rPr>
                <w:rFonts w:ascii="宋体" w:hAnsi="宋体" w:eastAsia="宋体" w:cs="宋体"/>
                <w:sz w:val="24"/>
                <w:szCs w:val="24"/>
              </w:rPr>
              <w:t xml:space="preserve"> </w:t>
            </w:r>
            <w:r>
              <w:rPr>
                <w:rFonts w:ascii="宋体" w:hAnsi="宋体" w:eastAsia="宋体" w:cs="宋体"/>
                <w:spacing w:val="-1"/>
                <w:sz w:val="24"/>
                <w:szCs w:val="24"/>
              </w:rPr>
              <w:t>架工程（包括采光井、电梯井脚手架）。</w:t>
            </w:r>
          </w:p>
        </w:tc>
        <w:tc>
          <w:tcPr>
            <w:tcW w:w="1352" w:type="dxa"/>
            <w:noWrap w:val="0"/>
            <w:vAlign w:val="top"/>
          </w:tcPr>
          <w:p w14:paraId="3529AE8D">
            <w:pPr>
              <w:pStyle w:val="20"/>
              <w:spacing w:line="297" w:lineRule="auto"/>
            </w:pPr>
          </w:p>
          <w:p w14:paraId="4107A382">
            <w:pPr>
              <w:spacing w:before="78" w:line="223" w:lineRule="auto"/>
              <w:ind w:left="42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3"/>
                <w:sz w:val="24"/>
                <w:szCs w:val="24"/>
              </w:rPr>
              <w:t xml:space="preserve">   </w:t>
            </w:r>
            <w:r>
              <w:rPr>
                <w:rFonts w:ascii="宋体" w:hAnsi="宋体" w:eastAsia="宋体" w:cs="宋体"/>
                <w:spacing w:val="-19"/>
                <w:w w:val="94"/>
                <w:sz w:val="24"/>
                <w:szCs w:val="24"/>
              </w:rPr>
              <w:t>)</w:t>
            </w:r>
          </w:p>
        </w:tc>
        <w:tc>
          <w:tcPr>
            <w:tcW w:w="1352" w:type="dxa"/>
            <w:noWrap w:val="0"/>
            <w:vAlign w:val="top"/>
          </w:tcPr>
          <w:p w14:paraId="39676AC6">
            <w:pPr>
              <w:pStyle w:val="20"/>
              <w:spacing w:line="297" w:lineRule="auto"/>
            </w:pPr>
          </w:p>
          <w:p w14:paraId="704CA50C">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37" w:type="dxa"/>
            <w:noWrap w:val="0"/>
            <w:vAlign w:val="top"/>
          </w:tcPr>
          <w:p w14:paraId="2A16A3FB">
            <w:pPr>
              <w:pStyle w:val="20"/>
            </w:pPr>
          </w:p>
        </w:tc>
      </w:tr>
      <w:tr w14:paraId="58735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5080" w:type="dxa"/>
            <w:noWrap w:val="0"/>
            <w:vAlign w:val="top"/>
          </w:tcPr>
          <w:p w14:paraId="52E7E4CC">
            <w:pPr>
              <w:spacing w:before="131" w:line="219" w:lineRule="auto"/>
              <w:ind w:left="127"/>
              <w:rPr>
                <w:rFonts w:ascii="宋体" w:hAnsi="宋体" w:eastAsia="宋体" w:cs="宋体"/>
                <w:sz w:val="24"/>
                <w:szCs w:val="24"/>
              </w:rPr>
            </w:pPr>
            <w:r>
              <w:rPr>
                <w:rFonts w:ascii="宋体" w:hAnsi="宋体" w:eastAsia="宋体" w:cs="宋体"/>
                <w:spacing w:val="-2"/>
                <w:sz w:val="24"/>
                <w:szCs w:val="24"/>
              </w:rPr>
              <w:t>（二）附着式升降脚手架工程。</w:t>
            </w:r>
          </w:p>
        </w:tc>
        <w:tc>
          <w:tcPr>
            <w:tcW w:w="1352" w:type="dxa"/>
            <w:noWrap w:val="0"/>
            <w:vAlign w:val="top"/>
          </w:tcPr>
          <w:p w14:paraId="6DE54FDD">
            <w:pPr>
              <w:spacing w:before="130" w:line="223" w:lineRule="auto"/>
              <w:ind w:left="24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1"/>
                <w:sz w:val="24"/>
                <w:szCs w:val="24"/>
              </w:rPr>
              <w:t xml:space="preserve">      </w:t>
            </w:r>
            <w:r>
              <w:rPr>
                <w:rFonts w:ascii="宋体" w:hAnsi="宋体" w:eastAsia="宋体" w:cs="宋体"/>
                <w:spacing w:val="-19"/>
                <w:w w:val="94"/>
                <w:sz w:val="24"/>
                <w:szCs w:val="24"/>
              </w:rPr>
              <w:t>)</w:t>
            </w:r>
          </w:p>
        </w:tc>
        <w:tc>
          <w:tcPr>
            <w:tcW w:w="1352" w:type="dxa"/>
            <w:noWrap w:val="0"/>
            <w:vAlign w:val="top"/>
          </w:tcPr>
          <w:p w14:paraId="05C8BD96">
            <w:pPr>
              <w:spacing w:before="130"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37" w:type="dxa"/>
            <w:noWrap w:val="0"/>
            <w:vAlign w:val="top"/>
          </w:tcPr>
          <w:p w14:paraId="12598423">
            <w:pPr>
              <w:pStyle w:val="20"/>
            </w:pPr>
          </w:p>
        </w:tc>
      </w:tr>
      <w:tr w14:paraId="489F32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5080" w:type="dxa"/>
            <w:noWrap w:val="0"/>
            <w:vAlign w:val="top"/>
          </w:tcPr>
          <w:p w14:paraId="4C574B42">
            <w:pPr>
              <w:spacing w:before="132" w:line="219" w:lineRule="auto"/>
              <w:ind w:left="127"/>
              <w:rPr>
                <w:rFonts w:ascii="宋体" w:hAnsi="宋体" w:eastAsia="宋体" w:cs="宋体"/>
                <w:sz w:val="24"/>
                <w:szCs w:val="24"/>
              </w:rPr>
            </w:pPr>
            <w:r>
              <w:rPr>
                <w:rFonts w:ascii="宋体" w:hAnsi="宋体" w:eastAsia="宋体" w:cs="宋体"/>
                <w:spacing w:val="-2"/>
                <w:sz w:val="24"/>
                <w:szCs w:val="24"/>
              </w:rPr>
              <w:t>（三）悬挑式脚手架工程。</w:t>
            </w:r>
          </w:p>
        </w:tc>
        <w:tc>
          <w:tcPr>
            <w:tcW w:w="1352" w:type="dxa"/>
            <w:noWrap w:val="0"/>
            <w:vAlign w:val="top"/>
          </w:tcPr>
          <w:p w14:paraId="0A19875E">
            <w:pPr>
              <w:spacing w:before="131" w:line="223" w:lineRule="auto"/>
              <w:ind w:left="24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1"/>
                <w:sz w:val="24"/>
                <w:szCs w:val="24"/>
              </w:rPr>
              <w:t xml:space="preserve">      </w:t>
            </w:r>
            <w:r>
              <w:rPr>
                <w:rFonts w:ascii="宋体" w:hAnsi="宋体" w:eastAsia="宋体" w:cs="宋体"/>
                <w:spacing w:val="-19"/>
                <w:w w:val="94"/>
                <w:sz w:val="24"/>
                <w:szCs w:val="24"/>
              </w:rPr>
              <w:t>)</w:t>
            </w:r>
          </w:p>
        </w:tc>
        <w:tc>
          <w:tcPr>
            <w:tcW w:w="1352" w:type="dxa"/>
            <w:noWrap w:val="0"/>
            <w:vAlign w:val="top"/>
          </w:tcPr>
          <w:p w14:paraId="69D40342">
            <w:pPr>
              <w:spacing w:before="131"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37" w:type="dxa"/>
            <w:noWrap w:val="0"/>
            <w:vAlign w:val="top"/>
          </w:tcPr>
          <w:p w14:paraId="105FE9F9">
            <w:pPr>
              <w:pStyle w:val="20"/>
            </w:pPr>
          </w:p>
        </w:tc>
      </w:tr>
      <w:tr w14:paraId="3E5853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5080" w:type="dxa"/>
            <w:noWrap w:val="0"/>
            <w:vAlign w:val="top"/>
          </w:tcPr>
          <w:p w14:paraId="7DD59132">
            <w:pPr>
              <w:spacing w:before="131" w:line="220" w:lineRule="auto"/>
              <w:ind w:left="127"/>
              <w:rPr>
                <w:rFonts w:ascii="宋体" w:hAnsi="宋体" w:eastAsia="宋体" w:cs="宋体"/>
                <w:sz w:val="24"/>
                <w:szCs w:val="24"/>
              </w:rPr>
            </w:pPr>
            <w:r>
              <w:rPr>
                <w:rFonts w:ascii="宋体" w:hAnsi="宋体" w:eastAsia="宋体" w:cs="宋体"/>
                <w:spacing w:val="-3"/>
                <w:sz w:val="24"/>
                <w:szCs w:val="24"/>
              </w:rPr>
              <w:t>（四）高处作业吊篮。</w:t>
            </w:r>
          </w:p>
        </w:tc>
        <w:tc>
          <w:tcPr>
            <w:tcW w:w="1352" w:type="dxa"/>
            <w:noWrap w:val="0"/>
            <w:vAlign w:val="top"/>
          </w:tcPr>
          <w:p w14:paraId="2C49B12C">
            <w:pPr>
              <w:spacing w:before="131"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7CD26710">
            <w:pPr>
              <w:spacing w:before="131"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37" w:type="dxa"/>
            <w:noWrap w:val="0"/>
            <w:vAlign w:val="top"/>
          </w:tcPr>
          <w:p w14:paraId="41669D93">
            <w:pPr>
              <w:pStyle w:val="20"/>
            </w:pPr>
          </w:p>
        </w:tc>
      </w:tr>
      <w:tr w14:paraId="7937D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5080" w:type="dxa"/>
            <w:noWrap w:val="0"/>
            <w:vAlign w:val="top"/>
          </w:tcPr>
          <w:p w14:paraId="26E20AA8">
            <w:pPr>
              <w:spacing w:before="132" w:line="220" w:lineRule="auto"/>
              <w:ind w:left="127"/>
              <w:rPr>
                <w:rFonts w:ascii="宋体" w:hAnsi="宋体" w:eastAsia="宋体" w:cs="宋体"/>
                <w:sz w:val="24"/>
                <w:szCs w:val="24"/>
              </w:rPr>
            </w:pPr>
            <w:r>
              <w:rPr>
                <w:rFonts w:ascii="宋体" w:hAnsi="宋体" w:eastAsia="宋体" w:cs="宋体"/>
                <w:spacing w:val="-2"/>
                <w:sz w:val="24"/>
                <w:szCs w:val="24"/>
              </w:rPr>
              <w:t>（五）卸料平台、操作平台工程。</w:t>
            </w:r>
          </w:p>
        </w:tc>
        <w:tc>
          <w:tcPr>
            <w:tcW w:w="1352" w:type="dxa"/>
            <w:noWrap w:val="0"/>
            <w:vAlign w:val="top"/>
          </w:tcPr>
          <w:p w14:paraId="52FF5892">
            <w:pPr>
              <w:spacing w:before="132" w:line="223" w:lineRule="auto"/>
              <w:ind w:left="24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1"/>
                <w:sz w:val="24"/>
                <w:szCs w:val="24"/>
              </w:rPr>
              <w:t xml:space="preserve">      </w:t>
            </w:r>
            <w:r>
              <w:rPr>
                <w:rFonts w:ascii="宋体" w:hAnsi="宋体" w:eastAsia="宋体" w:cs="宋体"/>
                <w:spacing w:val="-19"/>
                <w:w w:val="94"/>
                <w:sz w:val="24"/>
                <w:szCs w:val="24"/>
              </w:rPr>
              <w:t>)</w:t>
            </w:r>
          </w:p>
        </w:tc>
        <w:tc>
          <w:tcPr>
            <w:tcW w:w="1352" w:type="dxa"/>
            <w:noWrap w:val="0"/>
            <w:vAlign w:val="top"/>
          </w:tcPr>
          <w:p w14:paraId="732D5255">
            <w:pPr>
              <w:spacing w:before="132"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37" w:type="dxa"/>
            <w:noWrap w:val="0"/>
            <w:vAlign w:val="top"/>
          </w:tcPr>
          <w:p w14:paraId="1035AC0E">
            <w:pPr>
              <w:pStyle w:val="20"/>
            </w:pPr>
          </w:p>
        </w:tc>
      </w:tr>
      <w:tr w14:paraId="0ADAF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5080" w:type="dxa"/>
            <w:noWrap w:val="0"/>
            <w:vAlign w:val="top"/>
          </w:tcPr>
          <w:p w14:paraId="16FC27DB">
            <w:pPr>
              <w:spacing w:before="133" w:line="219" w:lineRule="auto"/>
              <w:ind w:left="127"/>
              <w:rPr>
                <w:rFonts w:ascii="宋体" w:hAnsi="宋体" w:eastAsia="宋体" w:cs="宋体"/>
                <w:sz w:val="24"/>
                <w:szCs w:val="24"/>
              </w:rPr>
            </w:pPr>
            <w:r>
              <w:rPr>
                <w:rFonts w:ascii="宋体" w:hAnsi="宋体" w:eastAsia="宋体" w:cs="宋体"/>
                <w:spacing w:val="-2"/>
                <w:sz w:val="24"/>
                <w:szCs w:val="24"/>
              </w:rPr>
              <w:t>（六）异型脚手架工程。</w:t>
            </w:r>
          </w:p>
        </w:tc>
        <w:tc>
          <w:tcPr>
            <w:tcW w:w="1352" w:type="dxa"/>
            <w:noWrap w:val="0"/>
            <w:vAlign w:val="top"/>
          </w:tcPr>
          <w:p w14:paraId="44662C48">
            <w:pPr>
              <w:spacing w:before="132"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62A98C23">
            <w:pPr>
              <w:spacing w:before="132"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37" w:type="dxa"/>
            <w:noWrap w:val="0"/>
            <w:vAlign w:val="top"/>
          </w:tcPr>
          <w:p w14:paraId="06C99B2B">
            <w:pPr>
              <w:pStyle w:val="20"/>
            </w:pPr>
          </w:p>
        </w:tc>
      </w:tr>
    </w:tbl>
    <w:p w14:paraId="79C94676">
      <w:pPr>
        <w:pStyle w:val="5"/>
      </w:pPr>
    </w:p>
    <w:p w14:paraId="4246D491">
      <w:pPr>
        <w:spacing w:before="41"/>
      </w:pPr>
    </w:p>
    <w:p w14:paraId="6A4E2E45">
      <w:pPr>
        <w:spacing w:before="41"/>
      </w:pPr>
    </w:p>
    <w:p w14:paraId="2AA96F44">
      <w:pPr>
        <w:spacing w:before="40"/>
      </w:pPr>
    </w:p>
    <w:tbl>
      <w:tblPr>
        <w:tblStyle w:val="14"/>
        <w:tblW w:w="103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80"/>
        <w:gridCol w:w="1352"/>
        <w:gridCol w:w="1352"/>
        <w:gridCol w:w="2522"/>
      </w:tblGrid>
      <w:tr w14:paraId="003AB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5080" w:type="dxa"/>
            <w:noWrap w:val="0"/>
            <w:vAlign w:val="top"/>
          </w:tcPr>
          <w:p w14:paraId="524450E1">
            <w:pPr>
              <w:spacing w:before="131" w:line="220" w:lineRule="auto"/>
              <w:ind w:left="120"/>
              <w:rPr>
                <w:rFonts w:ascii="宋体" w:hAnsi="宋体" w:eastAsia="宋体" w:cs="宋体"/>
                <w:sz w:val="24"/>
                <w:szCs w:val="24"/>
              </w:rPr>
            </w:pPr>
            <w:bookmarkStart w:id="209" w:name="bookmark162"/>
            <w:bookmarkEnd w:id="209"/>
            <w:r>
              <w:rPr>
                <w:rFonts w:ascii="宋体" w:hAnsi="宋体" w:eastAsia="宋体" w:cs="宋体"/>
                <w:spacing w:val="-3"/>
                <w:sz w:val="24"/>
                <w:szCs w:val="24"/>
              </w:rPr>
              <w:t>五、拆除工程</w:t>
            </w:r>
          </w:p>
        </w:tc>
        <w:tc>
          <w:tcPr>
            <w:tcW w:w="1352" w:type="dxa"/>
            <w:noWrap w:val="0"/>
            <w:vAlign w:val="top"/>
          </w:tcPr>
          <w:p w14:paraId="6FB86097">
            <w:pPr>
              <w:spacing w:before="131" w:line="223" w:lineRule="auto"/>
              <w:ind w:left="48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5"/>
                <w:sz w:val="24"/>
                <w:szCs w:val="24"/>
              </w:rPr>
              <w:t xml:space="preserve">  </w:t>
            </w:r>
            <w:r>
              <w:rPr>
                <w:rFonts w:ascii="宋体" w:hAnsi="宋体" w:eastAsia="宋体" w:cs="宋体"/>
                <w:spacing w:val="-19"/>
                <w:w w:val="94"/>
                <w:sz w:val="24"/>
                <w:szCs w:val="24"/>
              </w:rPr>
              <w:t>)</w:t>
            </w:r>
          </w:p>
        </w:tc>
        <w:tc>
          <w:tcPr>
            <w:tcW w:w="1352" w:type="dxa"/>
            <w:noWrap w:val="0"/>
            <w:vAlign w:val="top"/>
          </w:tcPr>
          <w:p w14:paraId="41F55E09">
            <w:pPr>
              <w:spacing w:before="131"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473DB88C">
            <w:pPr>
              <w:pStyle w:val="20"/>
            </w:pPr>
          </w:p>
        </w:tc>
      </w:tr>
      <w:tr w14:paraId="5DC89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trPr>
        <w:tc>
          <w:tcPr>
            <w:tcW w:w="5080" w:type="dxa"/>
            <w:noWrap w:val="0"/>
            <w:vAlign w:val="top"/>
          </w:tcPr>
          <w:p w14:paraId="3FC35EAF">
            <w:pPr>
              <w:spacing w:before="126" w:line="329" w:lineRule="auto"/>
              <w:ind w:left="117" w:right="168"/>
              <w:rPr>
                <w:rFonts w:ascii="宋体" w:hAnsi="宋体" w:eastAsia="宋体" w:cs="宋体"/>
                <w:sz w:val="24"/>
                <w:szCs w:val="24"/>
              </w:rPr>
            </w:pPr>
            <w:r>
              <w:rPr>
                <w:rFonts w:ascii="宋体" w:hAnsi="宋体" w:eastAsia="宋体" w:cs="宋体"/>
                <w:spacing w:val="-1"/>
                <w:sz w:val="24"/>
                <w:szCs w:val="24"/>
              </w:rPr>
              <w:t>可能影响行人、交通、电力设施、通讯设施或</w:t>
            </w:r>
            <w:r>
              <w:rPr>
                <w:rFonts w:ascii="宋体" w:hAnsi="宋体" w:eastAsia="宋体" w:cs="宋体"/>
                <w:spacing w:val="7"/>
                <w:sz w:val="24"/>
                <w:szCs w:val="24"/>
              </w:rPr>
              <w:t xml:space="preserve"> </w:t>
            </w:r>
            <w:r>
              <w:rPr>
                <w:rFonts w:ascii="宋体" w:hAnsi="宋体" w:eastAsia="宋体" w:cs="宋体"/>
                <w:spacing w:val="-1"/>
                <w:sz w:val="24"/>
                <w:szCs w:val="24"/>
              </w:rPr>
              <w:t>其它建、构筑物安全的拆除工程。</w:t>
            </w:r>
          </w:p>
        </w:tc>
        <w:tc>
          <w:tcPr>
            <w:tcW w:w="1352" w:type="dxa"/>
            <w:noWrap w:val="0"/>
            <w:vAlign w:val="top"/>
          </w:tcPr>
          <w:p w14:paraId="0ADDE10E">
            <w:pPr>
              <w:pStyle w:val="20"/>
              <w:spacing w:line="294" w:lineRule="auto"/>
            </w:pPr>
          </w:p>
          <w:p w14:paraId="2E3240D6">
            <w:pPr>
              <w:spacing w:before="78" w:line="223" w:lineRule="auto"/>
              <w:ind w:left="30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541A1D17">
            <w:pPr>
              <w:pStyle w:val="20"/>
              <w:spacing w:line="294" w:lineRule="auto"/>
            </w:pPr>
          </w:p>
          <w:p w14:paraId="1469BA47">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1D34A60E">
            <w:pPr>
              <w:pStyle w:val="20"/>
            </w:pPr>
          </w:p>
        </w:tc>
      </w:tr>
      <w:tr w14:paraId="3987F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5080" w:type="dxa"/>
            <w:noWrap w:val="0"/>
            <w:vAlign w:val="top"/>
          </w:tcPr>
          <w:p w14:paraId="3AA37118">
            <w:pPr>
              <w:spacing w:before="126" w:line="221" w:lineRule="auto"/>
              <w:ind w:left="358"/>
              <w:rPr>
                <w:rFonts w:ascii="宋体" w:hAnsi="宋体" w:eastAsia="宋体" w:cs="宋体"/>
                <w:sz w:val="24"/>
                <w:szCs w:val="24"/>
              </w:rPr>
            </w:pPr>
            <w:r>
              <w:rPr>
                <w:rFonts w:ascii="宋体" w:hAnsi="宋体" w:eastAsia="宋体" w:cs="宋体"/>
                <w:spacing w:val="-2"/>
                <w:sz w:val="24"/>
                <w:szCs w:val="24"/>
              </w:rPr>
              <w:t>六、暗挖工程</w:t>
            </w:r>
          </w:p>
        </w:tc>
        <w:tc>
          <w:tcPr>
            <w:tcW w:w="1352" w:type="dxa"/>
            <w:noWrap w:val="0"/>
            <w:vAlign w:val="top"/>
          </w:tcPr>
          <w:p w14:paraId="686CA676">
            <w:pPr>
              <w:spacing w:before="126"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103A0E0C">
            <w:pPr>
              <w:spacing w:before="126"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7BE666AE">
            <w:pPr>
              <w:pStyle w:val="20"/>
            </w:pPr>
          </w:p>
        </w:tc>
      </w:tr>
      <w:tr w14:paraId="09C951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1" w:hRule="atLeast"/>
        </w:trPr>
        <w:tc>
          <w:tcPr>
            <w:tcW w:w="5080" w:type="dxa"/>
            <w:noWrap w:val="0"/>
            <w:vAlign w:val="top"/>
          </w:tcPr>
          <w:p w14:paraId="1B944DC4">
            <w:pPr>
              <w:spacing w:before="128" w:line="328" w:lineRule="auto"/>
              <w:ind w:left="119" w:right="168" w:hanging="4"/>
              <w:rPr>
                <w:rFonts w:ascii="宋体" w:hAnsi="宋体" w:eastAsia="宋体" w:cs="宋体"/>
                <w:sz w:val="24"/>
                <w:szCs w:val="24"/>
              </w:rPr>
            </w:pPr>
            <w:r>
              <w:rPr>
                <w:rFonts w:ascii="宋体" w:hAnsi="宋体" w:eastAsia="宋体" w:cs="宋体"/>
                <w:spacing w:val="-1"/>
                <w:sz w:val="24"/>
                <w:szCs w:val="24"/>
              </w:rPr>
              <w:t>采用矿山法、盾构法、顶管法施工的隧道、洞</w:t>
            </w:r>
            <w:r>
              <w:rPr>
                <w:rFonts w:ascii="宋体" w:hAnsi="宋体" w:eastAsia="宋体" w:cs="宋体"/>
                <w:spacing w:val="10"/>
                <w:sz w:val="24"/>
                <w:szCs w:val="24"/>
              </w:rPr>
              <w:t xml:space="preserve"> </w:t>
            </w:r>
            <w:r>
              <w:rPr>
                <w:rFonts w:ascii="宋体" w:hAnsi="宋体" w:eastAsia="宋体" w:cs="宋体"/>
                <w:spacing w:val="-4"/>
                <w:sz w:val="24"/>
                <w:szCs w:val="24"/>
              </w:rPr>
              <w:t>室工程。</w:t>
            </w:r>
          </w:p>
        </w:tc>
        <w:tc>
          <w:tcPr>
            <w:tcW w:w="1352" w:type="dxa"/>
            <w:noWrap w:val="0"/>
            <w:vAlign w:val="top"/>
          </w:tcPr>
          <w:p w14:paraId="60C90ED5">
            <w:pPr>
              <w:pStyle w:val="20"/>
              <w:spacing w:line="294" w:lineRule="auto"/>
            </w:pPr>
          </w:p>
          <w:p w14:paraId="68AD01AC">
            <w:pPr>
              <w:spacing w:before="7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10D34B92">
            <w:pPr>
              <w:pStyle w:val="20"/>
              <w:spacing w:line="294" w:lineRule="auto"/>
            </w:pPr>
          </w:p>
          <w:p w14:paraId="2943B296">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3C582FFE">
            <w:pPr>
              <w:pStyle w:val="20"/>
            </w:pPr>
          </w:p>
        </w:tc>
      </w:tr>
      <w:tr w14:paraId="25BA62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5080" w:type="dxa"/>
            <w:noWrap w:val="0"/>
            <w:vAlign w:val="top"/>
          </w:tcPr>
          <w:p w14:paraId="323F5D21">
            <w:pPr>
              <w:spacing w:before="129" w:line="222" w:lineRule="auto"/>
              <w:ind w:left="115"/>
              <w:rPr>
                <w:rFonts w:ascii="宋体" w:hAnsi="宋体" w:eastAsia="宋体" w:cs="宋体"/>
                <w:sz w:val="24"/>
                <w:szCs w:val="24"/>
              </w:rPr>
            </w:pPr>
            <w:r>
              <w:rPr>
                <w:rFonts w:ascii="宋体" w:hAnsi="宋体" w:eastAsia="宋体" w:cs="宋体"/>
                <w:spacing w:val="-3"/>
                <w:sz w:val="24"/>
                <w:szCs w:val="24"/>
              </w:rPr>
              <w:t>七、其它</w:t>
            </w:r>
          </w:p>
        </w:tc>
        <w:tc>
          <w:tcPr>
            <w:tcW w:w="1352" w:type="dxa"/>
            <w:noWrap w:val="0"/>
            <w:vAlign w:val="top"/>
          </w:tcPr>
          <w:p w14:paraId="198EA8F0">
            <w:pPr>
              <w:spacing w:before="129"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256B23BA">
            <w:pPr>
              <w:spacing w:before="129"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0F01F2EB">
            <w:pPr>
              <w:pStyle w:val="20"/>
            </w:pPr>
          </w:p>
        </w:tc>
      </w:tr>
      <w:tr w14:paraId="7999E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5080" w:type="dxa"/>
            <w:noWrap w:val="0"/>
            <w:vAlign w:val="top"/>
          </w:tcPr>
          <w:p w14:paraId="2BDC0709">
            <w:pPr>
              <w:spacing w:before="128" w:line="219" w:lineRule="auto"/>
              <w:ind w:left="127"/>
              <w:rPr>
                <w:rFonts w:ascii="宋体" w:hAnsi="宋体" w:eastAsia="宋体" w:cs="宋体"/>
                <w:sz w:val="24"/>
                <w:szCs w:val="24"/>
              </w:rPr>
            </w:pPr>
            <w:r>
              <w:rPr>
                <w:rFonts w:ascii="宋体" w:hAnsi="宋体" w:eastAsia="宋体" w:cs="宋体"/>
                <w:spacing w:val="-2"/>
                <w:sz w:val="24"/>
                <w:szCs w:val="24"/>
              </w:rPr>
              <w:t>（一）建筑幕墙安装工程。</w:t>
            </w:r>
          </w:p>
        </w:tc>
        <w:tc>
          <w:tcPr>
            <w:tcW w:w="1352" w:type="dxa"/>
            <w:noWrap w:val="0"/>
            <w:vAlign w:val="top"/>
          </w:tcPr>
          <w:p w14:paraId="3D8E9A3B">
            <w:pPr>
              <w:spacing w:before="127"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1048A8DC">
            <w:pPr>
              <w:spacing w:before="127"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2F2807E4">
            <w:pPr>
              <w:pStyle w:val="20"/>
            </w:pPr>
          </w:p>
        </w:tc>
      </w:tr>
      <w:tr w14:paraId="262719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5080" w:type="dxa"/>
            <w:noWrap w:val="0"/>
            <w:vAlign w:val="top"/>
          </w:tcPr>
          <w:p w14:paraId="26C2E0A9">
            <w:pPr>
              <w:spacing w:before="128" w:line="221" w:lineRule="auto"/>
              <w:ind w:left="127"/>
              <w:rPr>
                <w:rFonts w:ascii="宋体" w:hAnsi="宋体" w:eastAsia="宋体" w:cs="宋体"/>
                <w:sz w:val="24"/>
                <w:szCs w:val="24"/>
              </w:rPr>
            </w:pPr>
            <w:r>
              <w:rPr>
                <w:rFonts w:ascii="宋体" w:hAnsi="宋体" w:eastAsia="宋体" w:cs="宋体"/>
                <w:spacing w:val="-2"/>
                <w:sz w:val="24"/>
                <w:szCs w:val="24"/>
              </w:rPr>
              <w:t>（二）钢结构、网架和索膜结构安装工程。</w:t>
            </w:r>
          </w:p>
        </w:tc>
        <w:tc>
          <w:tcPr>
            <w:tcW w:w="1352" w:type="dxa"/>
            <w:noWrap w:val="0"/>
            <w:vAlign w:val="top"/>
          </w:tcPr>
          <w:p w14:paraId="49F2FDDD">
            <w:pPr>
              <w:spacing w:before="12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13017513">
            <w:pPr>
              <w:spacing w:before="12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3D858402">
            <w:pPr>
              <w:pStyle w:val="20"/>
            </w:pPr>
          </w:p>
        </w:tc>
      </w:tr>
      <w:tr w14:paraId="3A1BC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5080" w:type="dxa"/>
            <w:noWrap w:val="0"/>
            <w:vAlign w:val="top"/>
          </w:tcPr>
          <w:p w14:paraId="14003A9B">
            <w:pPr>
              <w:spacing w:before="128" w:line="220" w:lineRule="auto"/>
              <w:ind w:left="127"/>
              <w:rPr>
                <w:rFonts w:ascii="宋体" w:hAnsi="宋体" w:eastAsia="宋体" w:cs="宋体"/>
                <w:sz w:val="24"/>
                <w:szCs w:val="24"/>
              </w:rPr>
            </w:pPr>
            <w:r>
              <w:rPr>
                <w:rFonts w:ascii="宋体" w:hAnsi="宋体" w:eastAsia="宋体" w:cs="宋体"/>
                <w:spacing w:val="-2"/>
                <w:sz w:val="24"/>
                <w:szCs w:val="24"/>
              </w:rPr>
              <w:t>（三）人工挖孔桩工程。</w:t>
            </w:r>
          </w:p>
        </w:tc>
        <w:tc>
          <w:tcPr>
            <w:tcW w:w="1352" w:type="dxa"/>
            <w:noWrap w:val="0"/>
            <w:vAlign w:val="top"/>
          </w:tcPr>
          <w:p w14:paraId="511DCA9D">
            <w:pPr>
              <w:spacing w:before="12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3B703E25">
            <w:pPr>
              <w:spacing w:before="12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03D38BBC">
            <w:pPr>
              <w:pStyle w:val="20"/>
            </w:pPr>
          </w:p>
        </w:tc>
      </w:tr>
      <w:tr w14:paraId="34B71F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5080" w:type="dxa"/>
            <w:noWrap w:val="0"/>
            <w:vAlign w:val="top"/>
          </w:tcPr>
          <w:p w14:paraId="5DAE6434">
            <w:pPr>
              <w:spacing w:before="129" w:line="220" w:lineRule="auto"/>
              <w:ind w:left="127"/>
              <w:rPr>
                <w:rFonts w:ascii="宋体" w:hAnsi="宋体" w:eastAsia="宋体" w:cs="宋体"/>
                <w:sz w:val="24"/>
                <w:szCs w:val="24"/>
              </w:rPr>
            </w:pPr>
            <w:r>
              <w:rPr>
                <w:rFonts w:ascii="宋体" w:hAnsi="宋体" w:eastAsia="宋体" w:cs="宋体"/>
                <w:spacing w:val="-3"/>
                <w:sz w:val="24"/>
                <w:szCs w:val="24"/>
              </w:rPr>
              <w:t>（四）水下作业工程。</w:t>
            </w:r>
          </w:p>
        </w:tc>
        <w:tc>
          <w:tcPr>
            <w:tcW w:w="1352" w:type="dxa"/>
            <w:noWrap w:val="0"/>
            <w:vAlign w:val="top"/>
          </w:tcPr>
          <w:p w14:paraId="20287C47">
            <w:pPr>
              <w:spacing w:before="129"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110522FD">
            <w:pPr>
              <w:spacing w:before="129"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5C898741">
            <w:pPr>
              <w:pStyle w:val="20"/>
            </w:pPr>
          </w:p>
        </w:tc>
      </w:tr>
      <w:tr w14:paraId="18C2E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5080" w:type="dxa"/>
            <w:noWrap w:val="0"/>
            <w:vAlign w:val="top"/>
          </w:tcPr>
          <w:p w14:paraId="49F8E52E">
            <w:pPr>
              <w:spacing w:before="129" w:line="220" w:lineRule="auto"/>
              <w:ind w:left="127"/>
              <w:rPr>
                <w:rFonts w:ascii="宋体" w:hAnsi="宋体" w:eastAsia="宋体" w:cs="宋体"/>
                <w:sz w:val="24"/>
                <w:szCs w:val="24"/>
              </w:rPr>
            </w:pPr>
            <w:r>
              <w:rPr>
                <w:rFonts w:ascii="宋体" w:hAnsi="宋体" w:eastAsia="宋体" w:cs="宋体"/>
                <w:spacing w:val="-2"/>
                <w:sz w:val="24"/>
                <w:szCs w:val="24"/>
              </w:rPr>
              <w:t>（五）装配式建筑混凝土预制构件安装工程。</w:t>
            </w:r>
          </w:p>
        </w:tc>
        <w:tc>
          <w:tcPr>
            <w:tcW w:w="1352" w:type="dxa"/>
            <w:noWrap w:val="0"/>
            <w:vAlign w:val="top"/>
          </w:tcPr>
          <w:p w14:paraId="4EA8DFDD">
            <w:pPr>
              <w:spacing w:before="129"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22EF19FC">
            <w:pPr>
              <w:spacing w:before="129"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337DC7AF">
            <w:pPr>
              <w:pStyle w:val="20"/>
            </w:pPr>
          </w:p>
        </w:tc>
      </w:tr>
      <w:tr w14:paraId="37F96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5" w:hRule="atLeast"/>
        </w:trPr>
        <w:tc>
          <w:tcPr>
            <w:tcW w:w="5080" w:type="dxa"/>
            <w:noWrap w:val="0"/>
            <w:vAlign w:val="top"/>
          </w:tcPr>
          <w:p w14:paraId="6D43474F">
            <w:pPr>
              <w:spacing w:before="129" w:line="345" w:lineRule="auto"/>
              <w:ind w:left="117" w:right="168" w:firstLine="10"/>
              <w:jc w:val="both"/>
              <w:rPr>
                <w:rFonts w:ascii="宋体" w:hAnsi="宋体" w:eastAsia="宋体" w:cs="宋体"/>
                <w:sz w:val="24"/>
                <w:szCs w:val="24"/>
              </w:rPr>
            </w:pPr>
            <w:r>
              <w:rPr>
                <w:rFonts w:ascii="宋体" w:hAnsi="宋体" w:eastAsia="宋体" w:cs="宋体"/>
                <w:spacing w:val="-2"/>
                <w:sz w:val="24"/>
                <w:szCs w:val="24"/>
              </w:rPr>
              <w:t>（六）采用新技术、新工艺、新材料、新设备</w:t>
            </w:r>
            <w:r>
              <w:rPr>
                <w:rFonts w:ascii="宋体" w:hAnsi="宋体" w:eastAsia="宋体" w:cs="宋体"/>
                <w:spacing w:val="18"/>
                <w:sz w:val="24"/>
                <w:szCs w:val="24"/>
              </w:rPr>
              <w:t xml:space="preserve"> </w:t>
            </w:r>
            <w:r>
              <w:rPr>
                <w:rFonts w:ascii="宋体" w:hAnsi="宋体" w:eastAsia="宋体" w:cs="宋体"/>
                <w:spacing w:val="-1"/>
                <w:sz w:val="24"/>
                <w:szCs w:val="24"/>
              </w:rPr>
              <w:t>可能影响工程施工安全，尚无国家、行业及地</w:t>
            </w:r>
            <w:r>
              <w:rPr>
                <w:rFonts w:ascii="宋体" w:hAnsi="宋体" w:eastAsia="宋体" w:cs="宋体"/>
                <w:spacing w:val="8"/>
                <w:sz w:val="24"/>
                <w:szCs w:val="24"/>
              </w:rPr>
              <w:t xml:space="preserve"> </w:t>
            </w:r>
            <w:r>
              <w:rPr>
                <w:rFonts w:ascii="宋体" w:hAnsi="宋体" w:eastAsia="宋体" w:cs="宋体"/>
                <w:spacing w:val="-1"/>
                <w:sz w:val="24"/>
                <w:szCs w:val="24"/>
              </w:rPr>
              <w:t>方技术标准的分部分项工程。</w:t>
            </w:r>
          </w:p>
        </w:tc>
        <w:tc>
          <w:tcPr>
            <w:tcW w:w="1352" w:type="dxa"/>
            <w:noWrap w:val="0"/>
            <w:vAlign w:val="top"/>
          </w:tcPr>
          <w:p w14:paraId="77FFA958">
            <w:pPr>
              <w:pStyle w:val="20"/>
              <w:spacing w:line="270" w:lineRule="auto"/>
            </w:pPr>
          </w:p>
          <w:p w14:paraId="383509BC">
            <w:pPr>
              <w:pStyle w:val="20"/>
              <w:spacing w:line="271" w:lineRule="auto"/>
            </w:pPr>
          </w:p>
          <w:p w14:paraId="098AAF94">
            <w:pPr>
              <w:spacing w:before="7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7A4922C4">
            <w:pPr>
              <w:pStyle w:val="20"/>
              <w:spacing w:line="270" w:lineRule="auto"/>
            </w:pPr>
          </w:p>
          <w:p w14:paraId="525826B1">
            <w:pPr>
              <w:pStyle w:val="20"/>
              <w:spacing w:line="271" w:lineRule="auto"/>
            </w:pPr>
          </w:p>
          <w:p w14:paraId="0AD97F11">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34C33449">
            <w:pPr>
              <w:pStyle w:val="20"/>
            </w:pPr>
          </w:p>
        </w:tc>
      </w:tr>
      <w:tr w14:paraId="0058B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trPr>
        <w:tc>
          <w:tcPr>
            <w:tcW w:w="5080" w:type="dxa"/>
            <w:noWrap w:val="0"/>
            <w:vAlign w:val="top"/>
          </w:tcPr>
          <w:p w14:paraId="6BBA4E14">
            <w:pPr>
              <w:spacing w:before="129" w:line="328" w:lineRule="auto"/>
              <w:ind w:left="115" w:right="108" w:firstLine="4"/>
              <w:rPr>
                <w:rFonts w:ascii="宋体" w:hAnsi="宋体" w:eastAsia="宋体" w:cs="宋体"/>
                <w:sz w:val="24"/>
                <w:szCs w:val="24"/>
              </w:rPr>
            </w:pPr>
            <w:r>
              <w:rPr>
                <w:rFonts w:ascii="宋体" w:hAnsi="宋体" w:eastAsia="宋体" w:cs="宋体"/>
                <w:b/>
                <w:bCs/>
                <w:spacing w:val="-1"/>
                <w:sz w:val="24"/>
                <w:szCs w:val="24"/>
              </w:rPr>
              <w:t>二、超过一定规模的危险性较大的分部分项工</w:t>
            </w:r>
            <w:r>
              <w:rPr>
                <w:rFonts w:ascii="宋体" w:hAnsi="宋体" w:eastAsia="宋体" w:cs="宋体"/>
                <w:spacing w:val="15"/>
                <w:sz w:val="24"/>
                <w:szCs w:val="24"/>
              </w:rPr>
              <w:t xml:space="preserve"> </w:t>
            </w:r>
            <w:r>
              <w:rPr>
                <w:rFonts w:ascii="宋体" w:hAnsi="宋体" w:eastAsia="宋体" w:cs="宋体"/>
                <w:b/>
                <w:bCs/>
                <w:spacing w:val="-5"/>
                <w:sz w:val="24"/>
                <w:szCs w:val="24"/>
              </w:rPr>
              <w:t>程清单</w:t>
            </w:r>
          </w:p>
        </w:tc>
        <w:tc>
          <w:tcPr>
            <w:tcW w:w="1352" w:type="dxa"/>
            <w:noWrap w:val="0"/>
            <w:vAlign w:val="top"/>
          </w:tcPr>
          <w:p w14:paraId="1E296BB9">
            <w:pPr>
              <w:pStyle w:val="20"/>
              <w:spacing w:line="295" w:lineRule="auto"/>
            </w:pPr>
          </w:p>
          <w:p w14:paraId="537B993D">
            <w:pPr>
              <w:spacing w:before="78" w:line="221" w:lineRule="auto"/>
              <w:ind w:left="206"/>
              <w:rPr>
                <w:rFonts w:ascii="宋体" w:hAnsi="宋体" w:eastAsia="宋体" w:cs="宋体"/>
                <w:sz w:val="24"/>
                <w:szCs w:val="24"/>
              </w:rPr>
            </w:pPr>
            <w:r>
              <w:rPr>
                <w:rFonts w:ascii="宋体" w:hAnsi="宋体" w:eastAsia="宋体" w:cs="宋体"/>
                <w:spacing w:val="-4"/>
                <w:sz w:val="24"/>
                <w:szCs w:val="24"/>
              </w:rPr>
              <w:t>建设单位</w:t>
            </w:r>
          </w:p>
        </w:tc>
        <w:tc>
          <w:tcPr>
            <w:tcW w:w="1352" w:type="dxa"/>
            <w:noWrap w:val="0"/>
            <w:vAlign w:val="top"/>
          </w:tcPr>
          <w:p w14:paraId="540A0907">
            <w:pPr>
              <w:pStyle w:val="20"/>
              <w:spacing w:line="295" w:lineRule="auto"/>
            </w:pPr>
          </w:p>
          <w:p w14:paraId="3373C950">
            <w:pPr>
              <w:spacing w:before="78" w:line="221" w:lineRule="auto"/>
              <w:ind w:left="119"/>
              <w:rPr>
                <w:rFonts w:ascii="宋体" w:hAnsi="宋体" w:eastAsia="宋体" w:cs="宋体"/>
                <w:sz w:val="24"/>
                <w:szCs w:val="24"/>
              </w:rPr>
            </w:pPr>
            <w:r>
              <w:rPr>
                <w:rFonts w:ascii="宋体" w:hAnsi="宋体" w:eastAsia="宋体" w:cs="宋体"/>
                <w:b/>
                <w:bCs/>
                <w:spacing w:val="-5"/>
                <w:sz w:val="24"/>
                <w:szCs w:val="24"/>
              </w:rPr>
              <w:t>投标单位</w:t>
            </w:r>
          </w:p>
        </w:tc>
        <w:tc>
          <w:tcPr>
            <w:tcW w:w="2522" w:type="dxa"/>
            <w:noWrap w:val="0"/>
            <w:vAlign w:val="top"/>
          </w:tcPr>
          <w:p w14:paraId="28C67812">
            <w:pPr>
              <w:pStyle w:val="20"/>
              <w:spacing w:line="295" w:lineRule="auto"/>
            </w:pPr>
          </w:p>
          <w:p w14:paraId="601A4D74">
            <w:pPr>
              <w:spacing w:before="78" w:line="222" w:lineRule="auto"/>
              <w:ind w:left="300"/>
              <w:rPr>
                <w:rFonts w:ascii="宋体" w:hAnsi="宋体" w:eastAsia="宋体" w:cs="宋体"/>
                <w:sz w:val="24"/>
                <w:szCs w:val="24"/>
              </w:rPr>
            </w:pPr>
            <w:r>
              <w:rPr>
                <w:rFonts w:ascii="宋体" w:hAnsi="宋体" w:eastAsia="宋体" w:cs="宋体"/>
                <w:spacing w:val="-7"/>
                <w:sz w:val="24"/>
                <w:szCs w:val="24"/>
              </w:rPr>
              <w:t>备注</w:t>
            </w:r>
          </w:p>
        </w:tc>
      </w:tr>
      <w:tr w14:paraId="0F04F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5080" w:type="dxa"/>
            <w:noWrap w:val="0"/>
            <w:vAlign w:val="top"/>
          </w:tcPr>
          <w:p w14:paraId="68346A15">
            <w:pPr>
              <w:spacing w:before="129" w:line="221" w:lineRule="auto"/>
              <w:ind w:left="120"/>
              <w:rPr>
                <w:rFonts w:ascii="宋体" w:hAnsi="宋体" w:eastAsia="宋体" w:cs="宋体"/>
                <w:sz w:val="24"/>
                <w:szCs w:val="24"/>
              </w:rPr>
            </w:pPr>
            <w:r>
              <w:rPr>
                <w:rFonts w:ascii="宋体" w:hAnsi="宋体" w:eastAsia="宋体" w:cs="宋体"/>
                <w:spacing w:val="-2"/>
                <w:sz w:val="24"/>
                <w:szCs w:val="24"/>
              </w:rPr>
              <w:t>一、深基坑工程</w:t>
            </w:r>
          </w:p>
        </w:tc>
        <w:tc>
          <w:tcPr>
            <w:tcW w:w="1352" w:type="dxa"/>
            <w:noWrap w:val="0"/>
            <w:vAlign w:val="top"/>
          </w:tcPr>
          <w:p w14:paraId="0798DDAB">
            <w:pPr>
              <w:spacing w:before="129" w:line="223" w:lineRule="auto"/>
              <w:ind w:left="30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45A3F031">
            <w:pPr>
              <w:spacing w:before="129"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50694842">
            <w:pPr>
              <w:pStyle w:val="20"/>
            </w:pPr>
          </w:p>
        </w:tc>
      </w:tr>
      <w:tr w14:paraId="60919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trPr>
        <w:tc>
          <w:tcPr>
            <w:tcW w:w="5080" w:type="dxa"/>
            <w:noWrap w:val="0"/>
            <w:vAlign w:val="top"/>
          </w:tcPr>
          <w:p w14:paraId="39F44A16">
            <w:pPr>
              <w:spacing w:before="131" w:line="327" w:lineRule="auto"/>
              <w:ind w:left="117" w:right="105"/>
              <w:rPr>
                <w:rFonts w:ascii="宋体" w:hAnsi="宋体" w:eastAsia="宋体" w:cs="宋体"/>
                <w:sz w:val="24"/>
                <w:szCs w:val="24"/>
              </w:rPr>
            </w:pPr>
            <w:r>
              <w:rPr>
                <w:rFonts w:ascii="宋体" w:hAnsi="宋体" w:eastAsia="宋体" w:cs="宋体"/>
                <w:spacing w:val="-5"/>
                <w:sz w:val="24"/>
                <w:szCs w:val="24"/>
              </w:rPr>
              <w:t>开挖深度超过</w:t>
            </w:r>
            <w:r>
              <w:rPr>
                <w:rFonts w:ascii="宋体" w:hAnsi="宋体" w:eastAsia="宋体" w:cs="宋体"/>
                <w:spacing w:val="-34"/>
                <w:sz w:val="24"/>
                <w:szCs w:val="24"/>
              </w:rPr>
              <w:t xml:space="preserve"> </w:t>
            </w:r>
            <w:r>
              <w:rPr>
                <w:rFonts w:ascii="宋体" w:hAnsi="宋体" w:eastAsia="宋体" w:cs="宋体"/>
                <w:spacing w:val="-5"/>
                <w:sz w:val="24"/>
                <w:szCs w:val="24"/>
              </w:rPr>
              <w:t>5m（含</w:t>
            </w:r>
            <w:r>
              <w:rPr>
                <w:rFonts w:ascii="宋体" w:hAnsi="宋体" w:eastAsia="宋体" w:cs="宋体"/>
                <w:spacing w:val="-45"/>
                <w:sz w:val="24"/>
                <w:szCs w:val="24"/>
              </w:rPr>
              <w:t xml:space="preserve"> </w:t>
            </w:r>
            <w:r>
              <w:rPr>
                <w:rFonts w:ascii="宋体" w:hAnsi="宋体" w:eastAsia="宋体" w:cs="宋体"/>
                <w:spacing w:val="-5"/>
                <w:sz w:val="24"/>
                <w:szCs w:val="24"/>
              </w:rPr>
              <w:t>5m）的基坑（槽）的土方</w:t>
            </w:r>
            <w:r>
              <w:rPr>
                <w:rFonts w:ascii="宋体" w:hAnsi="宋体" w:eastAsia="宋体" w:cs="宋体"/>
                <w:sz w:val="24"/>
                <w:szCs w:val="24"/>
              </w:rPr>
              <w:t xml:space="preserve"> </w:t>
            </w:r>
            <w:r>
              <w:rPr>
                <w:rFonts w:ascii="宋体" w:hAnsi="宋体" w:eastAsia="宋体" w:cs="宋体"/>
                <w:spacing w:val="-1"/>
                <w:sz w:val="24"/>
                <w:szCs w:val="24"/>
              </w:rPr>
              <w:t>开挖、支护、降水工程。</w:t>
            </w:r>
          </w:p>
        </w:tc>
        <w:tc>
          <w:tcPr>
            <w:tcW w:w="1352" w:type="dxa"/>
            <w:noWrap w:val="0"/>
            <w:vAlign w:val="top"/>
          </w:tcPr>
          <w:p w14:paraId="71362DE4">
            <w:pPr>
              <w:pStyle w:val="20"/>
              <w:spacing w:line="295" w:lineRule="auto"/>
            </w:pPr>
          </w:p>
          <w:p w14:paraId="3615E29B">
            <w:pPr>
              <w:spacing w:before="78" w:line="223" w:lineRule="auto"/>
              <w:ind w:left="30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01C23F3A">
            <w:pPr>
              <w:pStyle w:val="20"/>
              <w:spacing w:line="295" w:lineRule="auto"/>
            </w:pPr>
          </w:p>
          <w:p w14:paraId="505D060C">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66D58F4F">
            <w:pPr>
              <w:pStyle w:val="20"/>
            </w:pPr>
          </w:p>
        </w:tc>
      </w:tr>
      <w:tr w14:paraId="73AED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5080" w:type="dxa"/>
            <w:noWrap w:val="0"/>
            <w:vAlign w:val="top"/>
          </w:tcPr>
          <w:p w14:paraId="602319FB">
            <w:pPr>
              <w:spacing w:before="130" w:line="219" w:lineRule="auto"/>
              <w:ind w:left="120"/>
              <w:rPr>
                <w:rFonts w:ascii="宋体" w:hAnsi="宋体" w:eastAsia="宋体" w:cs="宋体"/>
                <w:sz w:val="24"/>
                <w:szCs w:val="24"/>
              </w:rPr>
            </w:pPr>
            <w:r>
              <w:rPr>
                <w:rFonts w:ascii="宋体" w:hAnsi="宋体" w:eastAsia="宋体" w:cs="宋体"/>
                <w:spacing w:val="-2"/>
                <w:sz w:val="24"/>
                <w:szCs w:val="24"/>
              </w:rPr>
              <w:t>二、模板工程及支撑体系</w:t>
            </w:r>
          </w:p>
        </w:tc>
        <w:tc>
          <w:tcPr>
            <w:tcW w:w="1352" w:type="dxa"/>
            <w:noWrap w:val="0"/>
            <w:vAlign w:val="top"/>
          </w:tcPr>
          <w:p w14:paraId="1E186127">
            <w:pPr>
              <w:spacing w:before="129" w:line="223" w:lineRule="auto"/>
              <w:ind w:left="30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5439C555">
            <w:pPr>
              <w:spacing w:before="129"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3E4DCE93">
            <w:pPr>
              <w:pStyle w:val="20"/>
            </w:pPr>
          </w:p>
        </w:tc>
      </w:tr>
      <w:tr w14:paraId="0FEBA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1" w:hRule="atLeast"/>
        </w:trPr>
        <w:tc>
          <w:tcPr>
            <w:tcW w:w="5080" w:type="dxa"/>
            <w:noWrap w:val="0"/>
            <w:vAlign w:val="top"/>
          </w:tcPr>
          <w:p w14:paraId="06D97C8E">
            <w:pPr>
              <w:spacing w:before="130" w:line="327" w:lineRule="auto"/>
              <w:ind w:left="123" w:right="25" w:firstLine="4"/>
              <w:rPr>
                <w:rFonts w:ascii="宋体" w:hAnsi="宋体" w:eastAsia="宋体" w:cs="宋体"/>
                <w:sz w:val="24"/>
                <w:szCs w:val="24"/>
              </w:rPr>
            </w:pPr>
            <w:r>
              <w:rPr>
                <w:rFonts w:ascii="宋体" w:hAnsi="宋体" w:eastAsia="宋体" w:cs="宋体"/>
                <w:spacing w:val="-6"/>
                <w:sz w:val="24"/>
                <w:szCs w:val="24"/>
              </w:rPr>
              <w:t>（一）各类工具式模板工程：包括滑模、爬模、</w:t>
            </w:r>
            <w:r>
              <w:rPr>
                <w:rFonts w:ascii="宋体" w:hAnsi="宋体" w:eastAsia="宋体" w:cs="宋体"/>
                <w:spacing w:val="6"/>
                <w:sz w:val="24"/>
                <w:szCs w:val="24"/>
              </w:rPr>
              <w:t xml:space="preserve"> </w:t>
            </w:r>
            <w:r>
              <w:rPr>
                <w:rFonts w:ascii="宋体" w:hAnsi="宋体" w:eastAsia="宋体" w:cs="宋体"/>
                <w:spacing w:val="-2"/>
                <w:sz w:val="24"/>
                <w:szCs w:val="24"/>
              </w:rPr>
              <w:t>飞模、隧道模等工程。</w:t>
            </w:r>
          </w:p>
        </w:tc>
        <w:tc>
          <w:tcPr>
            <w:tcW w:w="1352" w:type="dxa"/>
            <w:noWrap w:val="0"/>
            <w:vAlign w:val="top"/>
          </w:tcPr>
          <w:p w14:paraId="566953A6">
            <w:pPr>
              <w:pStyle w:val="20"/>
              <w:spacing w:line="294" w:lineRule="auto"/>
            </w:pPr>
          </w:p>
          <w:p w14:paraId="7D3B35C7">
            <w:pPr>
              <w:spacing w:before="78" w:line="223" w:lineRule="auto"/>
              <w:ind w:left="30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733CF4A5">
            <w:pPr>
              <w:pStyle w:val="20"/>
              <w:spacing w:line="294" w:lineRule="auto"/>
            </w:pPr>
          </w:p>
          <w:p w14:paraId="134565E8">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123CFEF9">
            <w:pPr>
              <w:pStyle w:val="20"/>
            </w:pPr>
          </w:p>
        </w:tc>
      </w:tr>
      <w:tr w14:paraId="22051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8" w:hRule="atLeast"/>
        </w:trPr>
        <w:tc>
          <w:tcPr>
            <w:tcW w:w="5080" w:type="dxa"/>
            <w:noWrap w:val="0"/>
            <w:vAlign w:val="top"/>
          </w:tcPr>
          <w:p w14:paraId="46F98D0A">
            <w:pPr>
              <w:spacing w:before="132" w:line="353" w:lineRule="auto"/>
              <w:ind w:left="116" w:right="6" w:firstLine="11"/>
              <w:jc w:val="both"/>
              <w:rPr>
                <w:rFonts w:ascii="宋体" w:hAnsi="宋体" w:eastAsia="宋体" w:cs="宋体"/>
                <w:sz w:val="24"/>
                <w:szCs w:val="24"/>
              </w:rPr>
            </w:pPr>
            <w:r>
              <w:rPr>
                <w:rFonts w:ascii="宋体" w:hAnsi="宋体" w:eastAsia="宋体" w:cs="宋体"/>
                <w:spacing w:val="-2"/>
                <w:sz w:val="24"/>
                <w:szCs w:val="24"/>
              </w:rPr>
              <w:t>（二）混凝土模板支撑工程：搭设高度8m</w:t>
            </w:r>
            <w:r>
              <w:rPr>
                <w:rFonts w:ascii="宋体" w:hAnsi="宋体" w:eastAsia="宋体" w:cs="宋体"/>
                <w:spacing w:val="-38"/>
                <w:sz w:val="24"/>
                <w:szCs w:val="24"/>
              </w:rPr>
              <w:t xml:space="preserve"> </w:t>
            </w:r>
            <w:r>
              <w:rPr>
                <w:rFonts w:ascii="宋体" w:hAnsi="宋体" w:eastAsia="宋体" w:cs="宋体"/>
                <w:spacing w:val="-2"/>
                <w:sz w:val="24"/>
                <w:szCs w:val="24"/>
              </w:rPr>
              <w:t>及以</w:t>
            </w:r>
            <w:r>
              <w:rPr>
                <w:rFonts w:ascii="宋体" w:hAnsi="宋体" w:eastAsia="宋体" w:cs="宋体"/>
                <w:sz w:val="24"/>
                <w:szCs w:val="24"/>
              </w:rPr>
              <w:t xml:space="preserve"> </w:t>
            </w:r>
            <w:r>
              <w:rPr>
                <w:rFonts w:ascii="宋体" w:hAnsi="宋体" w:eastAsia="宋体" w:cs="宋体"/>
                <w:spacing w:val="-11"/>
                <w:sz w:val="24"/>
                <w:szCs w:val="24"/>
              </w:rPr>
              <w:t>上，或搭设跨度</w:t>
            </w:r>
            <w:r>
              <w:rPr>
                <w:rFonts w:ascii="宋体" w:hAnsi="宋体" w:eastAsia="宋体" w:cs="宋体"/>
                <w:spacing w:val="-15"/>
                <w:sz w:val="24"/>
                <w:szCs w:val="24"/>
              </w:rPr>
              <w:t xml:space="preserve"> </w:t>
            </w:r>
            <w:r>
              <w:rPr>
                <w:rFonts w:ascii="宋体" w:hAnsi="宋体" w:eastAsia="宋体" w:cs="宋体"/>
                <w:spacing w:val="-11"/>
                <w:sz w:val="24"/>
                <w:szCs w:val="24"/>
              </w:rPr>
              <w:t>18m</w:t>
            </w:r>
            <w:r>
              <w:rPr>
                <w:rFonts w:ascii="宋体" w:hAnsi="宋体" w:eastAsia="宋体" w:cs="宋体"/>
                <w:spacing w:val="-51"/>
                <w:sz w:val="24"/>
                <w:szCs w:val="24"/>
              </w:rPr>
              <w:t xml:space="preserve"> </w:t>
            </w:r>
            <w:r>
              <w:rPr>
                <w:rFonts w:ascii="宋体" w:hAnsi="宋体" w:eastAsia="宋体" w:cs="宋体"/>
                <w:spacing w:val="-11"/>
                <w:sz w:val="24"/>
                <w:szCs w:val="24"/>
              </w:rPr>
              <w:t>及以上，或施工总荷载（设</w:t>
            </w:r>
            <w:r>
              <w:rPr>
                <w:rFonts w:ascii="宋体" w:hAnsi="宋体" w:eastAsia="宋体" w:cs="宋体"/>
                <w:sz w:val="24"/>
                <w:szCs w:val="24"/>
              </w:rPr>
              <w:t xml:space="preserve"> </w:t>
            </w:r>
            <w:r>
              <w:rPr>
                <w:rFonts w:ascii="宋体" w:hAnsi="宋体" w:eastAsia="宋体" w:cs="宋体"/>
                <w:spacing w:val="-11"/>
                <w:sz w:val="24"/>
                <w:szCs w:val="24"/>
              </w:rPr>
              <w:t>计值）15kN/m2</w:t>
            </w:r>
            <w:r>
              <w:rPr>
                <w:rFonts w:ascii="宋体" w:hAnsi="宋体" w:eastAsia="宋体" w:cs="宋体"/>
                <w:spacing w:val="-51"/>
                <w:sz w:val="24"/>
                <w:szCs w:val="24"/>
              </w:rPr>
              <w:t xml:space="preserve"> </w:t>
            </w:r>
            <w:r>
              <w:rPr>
                <w:rFonts w:ascii="宋体" w:hAnsi="宋体" w:eastAsia="宋体" w:cs="宋体"/>
                <w:spacing w:val="-11"/>
                <w:sz w:val="24"/>
                <w:szCs w:val="24"/>
              </w:rPr>
              <w:t>及以上，或集中线荷载（设</w:t>
            </w:r>
            <w:r>
              <w:rPr>
                <w:rFonts w:ascii="宋体" w:hAnsi="宋体" w:eastAsia="宋体" w:cs="宋体"/>
                <w:spacing w:val="-12"/>
                <w:sz w:val="24"/>
                <w:szCs w:val="24"/>
              </w:rPr>
              <w:t>计值）</w:t>
            </w:r>
            <w:r>
              <w:rPr>
                <w:rFonts w:ascii="宋体" w:hAnsi="宋体" w:eastAsia="宋体" w:cs="宋体"/>
                <w:sz w:val="24"/>
                <w:szCs w:val="24"/>
              </w:rPr>
              <w:t xml:space="preserve"> </w:t>
            </w:r>
            <w:r>
              <w:rPr>
                <w:rFonts w:ascii="宋体" w:hAnsi="宋体" w:eastAsia="宋体" w:cs="宋体"/>
                <w:spacing w:val="-2"/>
                <w:sz w:val="24"/>
                <w:szCs w:val="24"/>
              </w:rPr>
              <w:t>20kN/m</w:t>
            </w:r>
            <w:r>
              <w:rPr>
                <w:rFonts w:ascii="宋体" w:hAnsi="宋体" w:eastAsia="宋体" w:cs="宋体"/>
                <w:spacing w:val="-51"/>
                <w:sz w:val="24"/>
                <w:szCs w:val="24"/>
              </w:rPr>
              <w:t xml:space="preserve"> </w:t>
            </w:r>
            <w:r>
              <w:rPr>
                <w:rFonts w:ascii="宋体" w:hAnsi="宋体" w:eastAsia="宋体" w:cs="宋体"/>
                <w:spacing w:val="-2"/>
                <w:sz w:val="24"/>
                <w:szCs w:val="24"/>
              </w:rPr>
              <w:t>及以上。</w:t>
            </w:r>
          </w:p>
        </w:tc>
        <w:tc>
          <w:tcPr>
            <w:tcW w:w="1352" w:type="dxa"/>
            <w:noWrap w:val="0"/>
            <w:vAlign w:val="top"/>
          </w:tcPr>
          <w:p w14:paraId="7838ED4C">
            <w:pPr>
              <w:pStyle w:val="20"/>
              <w:spacing w:line="262" w:lineRule="auto"/>
            </w:pPr>
          </w:p>
          <w:p w14:paraId="556CEE4C">
            <w:pPr>
              <w:pStyle w:val="20"/>
              <w:spacing w:line="263" w:lineRule="auto"/>
            </w:pPr>
          </w:p>
          <w:p w14:paraId="30688EAF">
            <w:pPr>
              <w:pStyle w:val="20"/>
              <w:spacing w:line="263" w:lineRule="auto"/>
            </w:pPr>
          </w:p>
          <w:p w14:paraId="7CA42970">
            <w:pPr>
              <w:spacing w:before="7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0E80349F">
            <w:pPr>
              <w:pStyle w:val="20"/>
              <w:spacing w:line="262" w:lineRule="auto"/>
            </w:pPr>
          </w:p>
          <w:p w14:paraId="6669E819">
            <w:pPr>
              <w:pStyle w:val="20"/>
              <w:spacing w:line="263" w:lineRule="auto"/>
            </w:pPr>
          </w:p>
          <w:p w14:paraId="491780C0">
            <w:pPr>
              <w:pStyle w:val="20"/>
              <w:spacing w:line="263" w:lineRule="auto"/>
            </w:pPr>
          </w:p>
          <w:p w14:paraId="2D40DB25">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29E43015">
            <w:pPr>
              <w:pStyle w:val="20"/>
            </w:pPr>
          </w:p>
        </w:tc>
      </w:tr>
      <w:tr w14:paraId="363BA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5080" w:type="dxa"/>
            <w:noWrap w:val="0"/>
            <w:vAlign w:val="top"/>
          </w:tcPr>
          <w:p w14:paraId="40893523">
            <w:pPr>
              <w:spacing w:before="131" w:line="220" w:lineRule="auto"/>
              <w:ind w:left="127"/>
              <w:rPr>
                <w:rFonts w:ascii="宋体" w:hAnsi="宋体" w:eastAsia="宋体" w:cs="宋体"/>
                <w:sz w:val="24"/>
                <w:szCs w:val="24"/>
              </w:rPr>
            </w:pPr>
            <w:r>
              <w:rPr>
                <w:rFonts w:ascii="宋体" w:hAnsi="宋体" w:eastAsia="宋体" w:cs="宋体"/>
                <w:spacing w:val="-2"/>
                <w:sz w:val="24"/>
                <w:szCs w:val="24"/>
              </w:rPr>
              <w:t>（三）承重支撑体系：用于钢结构安装等满堂</w:t>
            </w:r>
          </w:p>
        </w:tc>
        <w:tc>
          <w:tcPr>
            <w:tcW w:w="1352" w:type="dxa"/>
            <w:noWrap w:val="0"/>
            <w:vAlign w:val="top"/>
          </w:tcPr>
          <w:p w14:paraId="78814447">
            <w:pPr>
              <w:spacing w:before="131"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2A2AF5D6">
            <w:pPr>
              <w:spacing w:before="131"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6F886978">
            <w:pPr>
              <w:pStyle w:val="20"/>
            </w:pPr>
          </w:p>
        </w:tc>
      </w:tr>
      <w:tr w14:paraId="03021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5080" w:type="dxa"/>
            <w:noWrap w:val="0"/>
            <w:vAlign w:val="top"/>
          </w:tcPr>
          <w:p w14:paraId="53ABF5AF">
            <w:pPr>
              <w:spacing w:before="131" w:line="220" w:lineRule="auto"/>
              <w:ind w:left="117"/>
              <w:rPr>
                <w:rFonts w:ascii="宋体" w:hAnsi="宋体" w:eastAsia="宋体" w:cs="宋体"/>
                <w:sz w:val="24"/>
                <w:szCs w:val="24"/>
              </w:rPr>
            </w:pPr>
            <w:r>
              <w:rPr>
                <w:rFonts w:ascii="宋体" w:hAnsi="宋体" w:eastAsia="宋体" w:cs="宋体"/>
                <w:spacing w:val="-2"/>
                <w:sz w:val="24"/>
                <w:szCs w:val="24"/>
              </w:rPr>
              <w:t>支撑体系，承受单点集中荷载</w:t>
            </w:r>
            <w:r>
              <w:rPr>
                <w:rFonts w:ascii="宋体" w:hAnsi="宋体" w:eastAsia="宋体" w:cs="宋体"/>
                <w:spacing w:val="-40"/>
                <w:sz w:val="24"/>
                <w:szCs w:val="24"/>
              </w:rPr>
              <w:t xml:space="preserve"> </w:t>
            </w:r>
            <w:r>
              <w:rPr>
                <w:rFonts w:ascii="宋体" w:hAnsi="宋体" w:eastAsia="宋体" w:cs="宋体"/>
                <w:spacing w:val="-2"/>
                <w:sz w:val="24"/>
                <w:szCs w:val="24"/>
              </w:rPr>
              <w:t>7kN</w:t>
            </w:r>
            <w:r>
              <w:rPr>
                <w:rFonts w:ascii="宋体" w:hAnsi="宋体" w:eastAsia="宋体" w:cs="宋体"/>
                <w:spacing w:val="-52"/>
                <w:sz w:val="24"/>
                <w:szCs w:val="24"/>
              </w:rPr>
              <w:t xml:space="preserve"> </w:t>
            </w:r>
            <w:r>
              <w:rPr>
                <w:rFonts w:ascii="宋体" w:hAnsi="宋体" w:eastAsia="宋体" w:cs="宋体"/>
                <w:spacing w:val="-2"/>
                <w:sz w:val="24"/>
                <w:szCs w:val="24"/>
              </w:rPr>
              <w:t>及以上。</w:t>
            </w:r>
          </w:p>
        </w:tc>
        <w:tc>
          <w:tcPr>
            <w:tcW w:w="1352" w:type="dxa"/>
            <w:noWrap w:val="0"/>
            <w:vAlign w:val="top"/>
          </w:tcPr>
          <w:p w14:paraId="487967BD">
            <w:pPr>
              <w:pStyle w:val="20"/>
            </w:pPr>
          </w:p>
        </w:tc>
        <w:tc>
          <w:tcPr>
            <w:tcW w:w="1352" w:type="dxa"/>
            <w:noWrap w:val="0"/>
            <w:vAlign w:val="top"/>
          </w:tcPr>
          <w:p w14:paraId="7A0EA44C">
            <w:pPr>
              <w:pStyle w:val="20"/>
            </w:pPr>
          </w:p>
        </w:tc>
        <w:tc>
          <w:tcPr>
            <w:tcW w:w="2522" w:type="dxa"/>
            <w:noWrap w:val="0"/>
            <w:vAlign w:val="top"/>
          </w:tcPr>
          <w:p w14:paraId="0F3AB397">
            <w:pPr>
              <w:pStyle w:val="20"/>
            </w:pPr>
          </w:p>
        </w:tc>
      </w:tr>
      <w:tr w14:paraId="7029A4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5080" w:type="dxa"/>
            <w:noWrap w:val="0"/>
            <w:vAlign w:val="top"/>
          </w:tcPr>
          <w:p w14:paraId="5144B0BF">
            <w:pPr>
              <w:spacing w:before="128" w:line="219" w:lineRule="auto"/>
              <w:ind w:left="356"/>
              <w:rPr>
                <w:rFonts w:ascii="宋体" w:hAnsi="宋体" w:eastAsia="宋体" w:cs="宋体"/>
                <w:sz w:val="24"/>
                <w:szCs w:val="24"/>
              </w:rPr>
            </w:pPr>
            <w:r>
              <w:rPr>
                <w:rFonts w:ascii="宋体" w:hAnsi="宋体" w:eastAsia="宋体" w:cs="宋体"/>
                <w:spacing w:val="-1"/>
                <w:sz w:val="24"/>
                <w:szCs w:val="24"/>
              </w:rPr>
              <w:t>三、起重吊装及起重机械安装拆卸工程</w:t>
            </w:r>
          </w:p>
        </w:tc>
        <w:tc>
          <w:tcPr>
            <w:tcW w:w="1352" w:type="dxa"/>
            <w:noWrap w:val="0"/>
            <w:vAlign w:val="top"/>
          </w:tcPr>
          <w:p w14:paraId="453D0AC8">
            <w:pPr>
              <w:spacing w:before="127" w:line="223" w:lineRule="auto"/>
              <w:ind w:left="42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3"/>
                <w:sz w:val="24"/>
                <w:szCs w:val="24"/>
              </w:rPr>
              <w:t xml:space="preserve">   </w:t>
            </w:r>
            <w:r>
              <w:rPr>
                <w:rFonts w:ascii="宋体" w:hAnsi="宋体" w:eastAsia="宋体" w:cs="宋体"/>
                <w:spacing w:val="-19"/>
                <w:w w:val="94"/>
                <w:sz w:val="24"/>
                <w:szCs w:val="24"/>
              </w:rPr>
              <w:t>)</w:t>
            </w:r>
          </w:p>
        </w:tc>
        <w:tc>
          <w:tcPr>
            <w:tcW w:w="1352" w:type="dxa"/>
            <w:noWrap w:val="0"/>
            <w:vAlign w:val="top"/>
          </w:tcPr>
          <w:p w14:paraId="58C86A90">
            <w:pPr>
              <w:spacing w:before="127"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0BAC591B">
            <w:pPr>
              <w:pStyle w:val="20"/>
            </w:pPr>
          </w:p>
        </w:tc>
      </w:tr>
      <w:tr w14:paraId="1B849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trPr>
        <w:tc>
          <w:tcPr>
            <w:tcW w:w="5080" w:type="dxa"/>
            <w:noWrap w:val="0"/>
            <w:vAlign w:val="top"/>
          </w:tcPr>
          <w:p w14:paraId="27146C0A">
            <w:pPr>
              <w:spacing w:before="129" w:line="328" w:lineRule="auto"/>
              <w:ind w:left="144" w:right="168" w:hanging="17"/>
              <w:rPr>
                <w:rFonts w:ascii="宋体" w:hAnsi="宋体" w:eastAsia="宋体" w:cs="宋体"/>
                <w:sz w:val="24"/>
                <w:szCs w:val="24"/>
              </w:rPr>
            </w:pPr>
            <w:r>
              <w:rPr>
                <w:rFonts w:ascii="宋体" w:hAnsi="宋体" w:eastAsia="宋体" w:cs="宋体"/>
                <w:spacing w:val="-2"/>
                <w:sz w:val="24"/>
                <w:szCs w:val="24"/>
              </w:rPr>
              <w:t>（一）采用非常规起重设备、方法，且单件起</w:t>
            </w:r>
            <w:r>
              <w:rPr>
                <w:rFonts w:ascii="宋体" w:hAnsi="宋体" w:eastAsia="宋体" w:cs="宋体"/>
                <w:spacing w:val="18"/>
                <w:sz w:val="24"/>
                <w:szCs w:val="24"/>
              </w:rPr>
              <w:t xml:space="preserve"> </w:t>
            </w:r>
            <w:r>
              <w:rPr>
                <w:rFonts w:ascii="宋体" w:hAnsi="宋体" w:eastAsia="宋体" w:cs="宋体"/>
                <w:spacing w:val="-4"/>
                <w:sz w:val="24"/>
                <w:szCs w:val="24"/>
              </w:rPr>
              <w:t>吊重量在</w:t>
            </w:r>
            <w:r>
              <w:rPr>
                <w:rFonts w:ascii="宋体" w:hAnsi="宋体" w:eastAsia="宋体" w:cs="宋体"/>
                <w:spacing w:val="-28"/>
                <w:sz w:val="24"/>
                <w:szCs w:val="24"/>
              </w:rPr>
              <w:t xml:space="preserve"> </w:t>
            </w:r>
            <w:r>
              <w:rPr>
                <w:rFonts w:ascii="宋体" w:hAnsi="宋体" w:eastAsia="宋体" w:cs="宋体"/>
                <w:spacing w:val="-4"/>
                <w:sz w:val="24"/>
                <w:szCs w:val="24"/>
              </w:rPr>
              <w:t>100kN</w:t>
            </w:r>
            <w:r>
              <w:rPr>
                <w:rFonts w:ascii="宋体" w:hAnsi="宋体" w:eastAsia="宋体" w:cs="宋体"/>
                <w:spacing w:val="-52"/>
                <w:sz w:val="24"/>
                <w:szCs w:val="24"/>
              </w:rPr>
              <w:t xml:space="preserve"> </w:t>
            </w:r>
            <w:r>
              <w:rPr>
                <w:rFonts w:ascii="宋体" w:hAnsi="宋体" w:eastAsia="宋体" w:cs="宋体"/>
                <w:spacing w:val="-4"/>
                <w:sz w:val="24"/>
                <w:szCs w:val="24"/>
              </w:rPr>
              <w:t>及以上的起重吊装工程。</w:t>
            </w:r>
          </w:p>
        </w:tc>
        <w:tc>
          <w:tcPr>
            <w:tcW w:w="1352" w:type="dxa"/>
            <w:noWrap w:val="0"/>
            <w:vAlign w:val="top"/>
          </w:tcPr>
          <w:p w14:paraId="6B6E0BEB">
            <w:pPr>
              <w:pStyle w:val="20"/>
              <w:spacing w:line="295" w:lineRule="auto"/>
            </w:pPr>
          </w:p>
          <w:p w14:paraId="24D6E8C7">
            <w:pPr>
              <w:spacing w:before="7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43166C7A">
            <w:pPr>
              <w:pStyle w:val="20"/>
              <w:spacing w:line="295" w:lineRule="auto"/>
            </w:pPr>
          </w:p>
          <w:p w14:paraId="1CA816D5">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6A8053F8">
            <w:pPr>
              <w:pStyle w:val="20"/>
            </w:pPr>
          </w:p>
        </w:tc>
      </w:tr>
      <w:tr w14:paraId="352530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5" w:hRule="atLeast"/>
        </w:trPr>
        <w:tc>
          <w:tcPr>
            <w:tcW w:w="5080" w:type="dxa"/>
            <w:noWrap w:val="0"/>
            <w:vAlign w:val="top"/>
          </w:tcPr>
          <w:p w14:paraId="1335A90A">
            <w:pPr>
              <w:spacing w:before="129" w:line="345" w:lineRule="auto"/>
              <w:ind w:left="115" w:right="105" w:firstLine="12"/>
              <w:jc w:val="both"/>
              <w:rPr>
                <w:rFonts w:ascii="宋体" w:hAnsi="宋体" w:eastAsia="宋体" w:cs="宋体"/>
                <w:sz w:val="24"/>
                <w:szCs w:val="24"/>
              </w:rPr>
            </w:pPr>
            <w:r>
              <w:rPr>
                <w:rFonts w:ascii="宋体" w:hAnsi="宋体" w:eastAsia="宋体" w:cs="宋体"/>
                <w:spacing w:val="-12"/>
                <w:sz w:val="24"/>
                <w:szCs w:val="24"/>
              </w:rPr>
              <w:t>（二）起重量</w:t>
            </w:r>
            <w:r>
              <w:rPr>
                <w:rFonts w:hint="eastAsia" w:ascii="宋体" w:hAnsi="宋体" w:eastAsia="宋体" w:cs="宋体"/>
                <w:spacing w:val="-12"/>
                <w:sz w:val="24"/>
                <w:szCs w:val="24"/>
                <w:lang w:val="en-US" w:eastAsia="zh-CN"/>
              </w:rPr>
              <w:t>3264.84</w:t>
            </w:r>
            <w:r>
              <w:rPr>
                <w:rFonts w:ascii="宋体" w:hAnsi="宋体" w:eastAsia="宋体" w:cs="宋体"/>
                <w:spacing w:val="-12"/>
                <w:sz w:val="24"/>
                <w:szCs w:val="24"/>
              </w:rPr>
              <w:t>kN</w:t>
            </w:r>
            <w:r>
              <w:rPr>
                <w:rFonts w:ascii="宋体" w:hAnsi="宋体" w:eastAsia="宋体" w:cs="宋体"/>
                <w:spacing w:val="-51"/>
                <w:sz w:val="24"/>
                <w:szCs w:val="24"/>
              </w:rPr>
              <w:t xml:space="preserve"> </w:t>
            </w:r>
            <w:r>
              <w:rPr>
                <w:rFonts w:ascii="宋体" w:hAnsi="宋体" w:eastAsia="宋体" w:cs="宋体"/>
                <w:spacing w:val="-12"/>
                <w:sz w:val="24"/>
                <w:szCs w:val="24"/>
              </w:rPr>
              <w:t>及以上，或搭设总高度</w:t>
            </w:r>
            <w:r>
              <w:rPr>
                <w:rFonts w:ascii="宋体" w:hAnsi="宋体" w:eastAsia="宋体" w:cs="宋体"/>
                <w:spacing w:val="-48"/>
                <w:sz w:val="24"/>
                <w:szCs w:val="24"/>
              </w:rPr>
              <w:t xml:space="preserve"> </w:t>
            </w:r>
            <w:r>
              <w:rPr>
                <w:rFonts w:ascii="宋体" w:hAnsi="宋体" w:eastAsia="宋体" w:cs="宋体"/>
                <w:spacing w:val="-12"/>
                <w:sz w:val="24"/>
                <w:szCs w:val="24"/>
              </w:rPr>
              <w:t>200m</w:t>
            </w:r>
            <w:r>
              <w:rPr>
                <w:rFonts w:ascii="宋体" w:hAnsi="宋体" w:eastAsia="宋体" w:cs="宋体"/>
                <w:sz w:val="24"/>
                <w:szCs w:val="24"/>
              </w:rPr>
              <w:t xml:space="preserve"> </w:t>
            </w:r>
            <w:r>
              <w:rPr>
                <w:rFonts w:ascii="宋体" w:hAnsi="宋体" w:eastAsia="宋体" w:cs="宋体"/>
                <w:spacing w:val="-4"/>
                <w:sz w:val="24"/>
                <w:szCs w:val="24"/>
              </w:rPr>
              <w:t>及以上，或搭设基础标高在</w:t>
            </w:r>
            <w:r>
              <w:rPr>
                <w:rFonts w:ascii="宋体" w:hAnsi="宋体" w:eastAsia="宋体" w:cs="宋体"/>
                <w:spacing w:val="-48"/>
                <w:sz w:val="24"/>
                <w:szCs w:val="24"/>
              </w:rPr>
              <w:t xml:space="preserve"> </w:t>
            </w:r>
            <w:r>
              <w:rPr>
                <w:rFonts w:ascii="宋体" w:hAnsi="宋体" w:eastAsia="宋体" w:cs="宋体"/>
                <w:spacing w:val="-4"/>
                <w:sz w:val="24"/>
                <w:szCs w:val="24"/>
              </w:rPr>
              <w:t>200m</w:t>
            </w:r>
            <w:r>
              <w:rPr>
                <w:rFonts w:ascii="宋体" w:hAnsi="宋体" w:eastAsia="宋体" w:cs="宋体"/>
                <w:spacing w:val="-51"/>
                <w:sz w:val="24"/>
                <w:szCs w:val="24"/>
              </w:rPr>
              <w:t xml:space="preserve"> </w:t>
            </w:r>
            <w:r>
              <w:rPr>
                <w:rFonts w:ascii="宋体" w:hAnsi="宋体" w:eastAsia="宋体" w:cs="宋体"/>
                <w:spacing w:val="-4"/>
                <w:sz w:val="24"/>
                <w:szCs w:val="24"/>
              </w:rPr>
              <w:t>及以上的起重</w:t>
            </w:r>
            <w:r>
              <w:rPr>
                <w:rFonts w:ascii="宋体" w:hAnsi="宋体" w:eastAsia="宋体" w:cs="宋体"/>
                <w:sz w:val="24"/>
                <w:szCs w:val="24"/>
              </w:rPr>
              <w:t xml:space="preserve"> </w:t>
            </w:r>
            <w:r>
              <w:rPr>
                <w:rFonts w:ascii="宋体" w:hAnsi="宋体" w:eastAsia="宋体" w:cs="宋体"/>
                <w:spacing w:val="-1"/>
                <w:sz w:val="24"/>
                <w:szCs w:val="24"/>
              </w:rPr>
              <w:t>机械安装和拆卸工程。</w:t>
            </w:r>
          </w:p>
        </w:tc>
        <w:tc>
          <w:tcPr>
            <w:tcW w:w="1352" w:type="dxa"/>
            <w:noWrap w:val="0"/>
            <w:vAlign w:val="top"/>
          </w:tcPr>
          <w:p w14:paraId="67CFE637">
            <w:pPr>
              <w:pStyle w:val="20"/>
              <w:spacing w:line="270" w:lineRule="auto"/>
            </w:pPr>
          </w:p>
          <w:p w14:paraId="5E827BF1">
            <w:pPr>
              <w:pStyle w:val="20"/>
              <w:spacing w:line="270" w:lineRule="auto"/>
            </w:pPr>
          </w:p>
          <w:p w14:paraId="3E6BCCD3">
            <w:pPr>
              <w:spacing w:before="7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250F4FB9">
            <w:pPr>
              <w:pStyle w:val="20"/>
              <w:spacing w:line="270" w:lineRule="auto"/>
            </w:pPr>
          </w:p>
          <w:p w14:paraId="178904A7">
            <w:pPr>
              <w:pStyle w:val="20"/>
              <w:spacing w:line="270" w:lineRule="auto"/>
            </w:pPr>
          </w:p>
          <w:p w14:paraId="6B0FE6E7">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42351689">
            <w:pPr>
              <w:pStyle w:val="20"/>
            </w:pPr>
          </w:p>
        </w:tc>
      </w:tr>
      <w:tr w14:paraId="1E596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5080" w:type="dxa"/>
            <w:noWrap w:val="0"/>
            <w:vAlign w:val="top"/>
          </w:tcPr>
          <w:p w14:paraId="35520E5D">
            <w:pPr>
              <w:spacing w:before="128" w:line="219" w:lineRule="auto"/>
              <w:ind w:left="138"/>
              <w:rPr>
                <w:rFonts w:ascii="宋体" w:hAnsi="宋体" w:eastAsia="宋体" w:cs="宋体"/>
                <w:sz w:val="24"/>
                <w:szCs w:val="24"/>
              </w:rPr>
            </w:pPr>
            <w:r>
              <w:rPr>
                <w:rFonts w:ascii="宋体" w:hAnsi="宋体" w:eastAsia="宋体" w:cs="宋体"/>
                <w:spacing w:val="-5"/>
                <w:sz w:val="24"/>
                <w:szCs w:val="24"/>
              </w:rPr>
              <w:t>四、脚手架工程</w:t>
            </w:r>
          </w:p>
        </w:tc>
        <w:tc>
          <w:tcPr>
            <w:tcW w:w="1352" w:type="dxa"/>
            <w:noWrap w:val="0"/>
            <w:vAlign w:val="top"/>
          </w:tcPr>
          <w:p w14:paraId="48D21436">
            <w:pPr>
              <w:spacing w:before="127"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210E7C3E">
            <w:pPr>
              <w:spacing w:before="127"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788E5D04">
            <w:pPr>
              <w:pStyle w:val="20"/>
            </w:pPr>
          </w:p>
        </w:tc>
      </w:tr>
      <w:tr w14:paraId="4E34E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1" w:hRule="atLeast"/>
        </w:trPr>
        <w:tc>
          <w:tcPr>
            <w:tcW w:w="5080" w:type="dxa"/>
            <w:noWrap w:val="0"/>
            <w:vAlign w:val="top"/>
          </w:tcPr>
          <w:p w14:paraId="00594707">
            <w:pPr>
              <w:spacing w:before="128" w:line="328" w:lineRule="auto"/>
              <w:ind w:left="117" w:right="168" w:firstLine="10"/>
              <w:rPr>
                <w:rFonts w:ascii="宋体" w:hAnsi="宋体" w:eastAsia="宋体" w:cs="宋体"/>
                <w:sz w:val="24"/>
                <w:szCs w:val="24"/>
              </w:rPr>
            </w:pPr>
            <w:r>
              <w:rPr>
                <w:rFonts w:ascii="宋体" w:hAnsi="宋体" w:eastAsia="宋体" w:cs="宋体"/>
                <w:spacing w:val="-3"/>
                <w:sz w:val="24"/>
                <w:szCs w:val="24"/>
              </w:rPr>
              <w:t>（一）搭设高度</w:t>
            </w:r>
            <w:r>
              <w:rPr>
                <w:rFonts w:ascii="宋体" w:hAnsi="宋体" w:eastAsia="宋体" w:cs="宋体"/>
                <w:spacing w:val="-28"/>
                <w:sz w:val="24"/>
                <w:szCs w:val="24"/>
              </w:rPr>
              <w:t xml:space="preserve"> </w:t>
            </w:r>
            <w:r>
              <w:rPr>
                <w:rFonts w:ascii="宋体" w:hAnsi="宋体" w:eastAsia="宋体" w:cs="宋体"/>
                <w:spacing w:val="-3"/>
                <w:sz w:val="24"/>
                <w:szCs w:val="24"/>
              </w:rPr>
              <w:t>50m</w:t>
            </w:r>
            <w:r>
              <w:rPr>
                <w:rFonts w:ascii="宋体" w:hAnsi="宋体" w:eastAsia="宋体" w:cs="宋体"/>
                <w:spacing w:val="-51"/>
                <w:sz w:val="24"/>
                <w:szCs w:val="24"/>
              </w:rPr>
              <w:t xml:space="preserve"> </w:t>
            </w:r>
            <w:r>
              <w:rPr>
                <w:rFonts w:ascii="宋体" w:hAnsi="宋体" w:eastAsia="宋体" w:cs="宋体"/>
                <w:spacing w:val="-3"/>
                <w:sz w:val="24"/>
                <w:szCs w:val="24"/>
              </w:rPr>
              <w:t>及以上的落地式钢管脚手</w:t>
            </w:r>
            <w:r>
              <w:rPr>
                <w:rFonts w:ascii="宋体" w:hAnsi="宋体" w:eastAsia="宋体" w:cs="宋体"/>
                <w:sz w:val="24"/>
                <w:szCs w:val="24"/>
              </w:rPr>
              <w:t xml:space="preserve"> </w:t>
            </w:r>
            <w:r>
              <w:rPr>
                <w:rFonts w:ascii="宋体" w:hAnsi="宋体" w:eastAsia="宋体" w:cs="宋体"/>
                <w:spacing w:val="-3"/>
                <w:sz w:val="24"/>
                <w:szCs w:val="24"/>
              </w:rPr>
              <w:t>架工程。</w:t>
            </w:r>
          </w:p>
        </w:tc>
        <w:tc>
          <w:tcPr>
            <w:tcW w:w="1352" w:type="dxa"/>
            <w:noWrap w:val="0"/>
            <w:vAlign w:val="top"/>
          </w:tcPr>
          <w:p w14:paraId="005A024D">
            <w:pPr>
              <w:pStyle w:val="20"/>
              <w:spacing w:line="296" w:lineRule="auto"/>
            </w:pPr>
          </w:p>
          <w:p w14:paraId="200449DB">
            <w:pPr>
              <w:spacing w:before="7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2AC4A5ED">
            <w:pPr>
              <w:pStyle w:val="20"/>
              <w:spacing w:line="296" w:lineRule="auto"/>
            </w:pPr>
          </w:p>
          <w:p w14:paraId="148441AF">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0EBF756C">
            <w:pPr>
              <w:pStyle w:val="20"/>
            </w:pPr>
          </w:p>
        </w:tc>
      </w:tr>
      <w:tr w14:paraId="04FB2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trPr>
        <w:tc>
          <w:tcPr>
            <w:tcW w:w="5080" w:type="dxa"/>
            <w:noWrap w:val="0"/>
            <w:vAlign w:val="top"/>
          </w:tcPr>
          <w:p w14:paraId="27245EC1">
            <w:pPr>
              <w:spacing w:before="131" w:line="327" w:lineRule="auto"/>
              <w:ind w:left="116" w:right="105" w:firstLine="11"/>
              <w:rPr>
                <w:rFonts w:ascii="宋体" w:hAnsi="宋体" w:eastAsia="宋体" w:cs="宋体"/>
                <w:sz w:val="24"/>
                <w:szCs w:val="24"/>
              </w:rPr>
            </w:pPr>
            <w:r>
              <w:rPr>
                <w:rFonts w:ascii="宋体" w:hAnsi="宋体" w:eastAsia="宋体" w:cs="宋体"/>
                <w:spacing w:val="-6"/>
                <w:sz w:val="24"/>
                <w:szCs w:val="24"/>
              </w:rPr>
              <w:t>（二）提升高度在</w:t>
            </w:r>
            <w:r>
              <w:rPr>
                <w:rFonts w:ascii="宋体" w:hAnsi="宋体" w:eastAsia="宋体" w:cs="宋体"/>
                <w:spacing w:val="-16"/>
                <w:sz w:val="24"/>
                <w:szCs w:val="24"/>
              </w:rPr>
              <w:t xml:space="preserve"> </w:t>
            </w:r>
            <w:r>
              <w:rPr>
                <w:rFonts w:ascii="宋体" w:hAnsi="宋体" w:eastAsia="宋体" w:cs="宋体"/>
                <w:spacing w:val="-6"/>
                <w:sz w:val="24"/>
                <w:szCs w:val="24"/>
              </w:rPr>
              <w:t>150m</w:t>
            </w:r>
            <w:r>
              <w:rPr>
                <w:rFonts w:ascii="宋体" w:hAnsi="宋体" w:eastAsia="宋体" w:cs="宋体"/>
                <w:spacing w:val="-52"/>
                <w:sz w:val="24"/>
                <w:szCs w:val="24"/>
              </w:rPr>
              <w:t xml:space="preserve"> </w:t>
            </w:r>
            <w:r>
              <w:rPr>
                <w:rFonts w:ascii="宋体" w:hAnsi="宋体" w:eastAsia="宋体" w:cs="宋体"/>
                <w:spacing w:val="-6"/>
                <w:sz w:val="24"/>
                <w:szCs w:val="24"/>
              </w:rPr>
              <w:t>及以上的附着式升降脚</w:t>
            </w:r>
            <w:r>
              <w:rPr>
                <w:rFonts w:ascii="宋体" w:hAnsi="宋体" w:eastAsia="宋体" w:cs="宋体"/>
                <w:sz w:val="24"/>
                <w:szCs w:val="24"/>
              </w:rPr>
              <w:t xml:space="preserve"> </w:t>
            </w:r>
            <w:r>
              <w:rPr>
                <w:rFonts w:ascii="宋体" w:hAnsi="宋体" w:eastAsia="宋体" w:cs="宋体"/>
                <w:spacing w:val="-1"/>
                <w:sz w:val="24"/>
                <w:szCs w:val="24"/>
              </w:rPr>
              <w:t>手架工程或附着式升降操作平台工程。</w:t>
            </w:r>
          </w:p>
        </w:tc>
        <w:tc>
          <w:tcPr>
            <w:tcW w:w="1352" w:type="dxa"/>
            <w:noWrap w:val="0"/>
            <w:vAlign w:val="top"/>
          </w:tcPr>
          <w:p w14:paraId="0BC39BA4">
            <w:pPr>
              <w:pStyle w:val="20"/>
              <w:spacing w:line="296" w:lineRule="auto"/>
            </w:pPr>
          </w:p>
          <w:p w14:paraId="69BF1216">
            <w:pPr>
              <w:spacing w:before="7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7C344A36">
            <w:pPr>
              <w:pStyle w:val="20"/>
              <w:spacing w:line="296" w:lineRule="auto"/>
            </w:pPr>
          </w:p>
          <w:p w14:paraId="74D3ABFF">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5CEB6492">
            <w:pPr>
              <w:pStyle w:val="20"/>
            </w:pPr>
          </w:p>
        </w:tc>
      </w:tr>
      <w:tr w14:paraId="06E01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trPr>
        <w:tc>
          <w:tcPr>
            <w:tcW w:w="5080" w:type="dxa"/>
            <w:noWrap w:val="0"/>
            <w:vAlign w:val="top"/>
          </w:tcPr>
          <w:p w14:paraId="6D532DD5">
            <w:pPr>
              <w:spacing w:before="129" w:line="328" w:lineRule="auto"/>
              <w:ind w:left="115" w:right="168" w:firstLine="12"/>
              <w:rPr>
                <w:rFonts w:ascii="宋体" w:hAnsi="宋体" w:eastAsia="宋体" w:cs="宋体"/>
                <w:sz w:val="24"/>
                <w:szCs w:val="24"/>
              </w:rPr>
            </w:pPr>
            <w:r>
              <w:rPr>
                <w:rFonts w:ascii="宋体" w:hAnsi="宋体" w:eastAsia="宋体" w:cs="宋体"/>
                <w:spacing w:val="-2"/>
                <w:sz w:val="24"/>
                <w:szCs w:val="24"/>
              </w:rPr>
              <w:t>（三）分段架体搭设高度</w:t>
            </w:r>
            <w:r>
              <w:rPr>
                <w:rFonts w:ascii="宋体" w:hAnsi="宋体" w:eastAsia="宋体" w:cs="宋体"/>
                <w:spacing w:val="-48"/>
                <w:sz w:val="24"/>
                <w:szCs w:val="24"/>
              </w:rPr>
              <w:t xml:space="preserve"> </w:t>
            </w:r>
            <w:r>
              <w:rPr>
                <w:rFonts w:ascii="宋体" w:hAnsi="宋体" w:eastAsia="宋体" w:cs="宋体"/>
                <w:spacing w:val="-2"/>
                <w:sz w:val="24"/>
                <w:szCs w:val="24"/>
              </w:rPr>
              <w:t>20m</w:t>
            </w:r>
            <w:r>
              <w:rPr>
                <w:rFonts w:ascii="宋体" w:hAnsi="宋体" w:eastAsia="宋体" w:cs="宋体"/>
                <w:spacing w:val="-52"/>
                <w:sz w:val="24"/>
                <w:szCs w:val="24"/>
              </w:rPr>
              <w:t xml:space="preserve"> </w:t>
            </w:r>
            <w:r>
              <w:rPr>
                <w:rFonts w:ascii="宋体" w:hAnsi="宋体" w:eastAsia="宋体" w:cs="宋体"/>
                <w:spacing w:val="-2"/>
                <w:sz w:val="24"/>
                <w:szCs w:val="24"/>
              </w:rPr>
              <w:t>及以上的悬挑式</w:t>
            </w:r>
            <w:r>
              <w:rPr>
                <w:rFonts w:ascii="宋体" w:hAnsi="宋体" w:eastAsia="宋体" w:cs="宋体"/>
                <w:sz w:val="24"/>
                <w:szCs w:val="24"/>
              </w:rPr>
              <w:t xml:space="preserve"> </w:t>
            </w:r>
            <w:r>
              <w:rPr>
                <w:rFonts w:ascii="宋体" w:hAnsi="宋体" w:eastAsia="宋体" w:cs="宋体"/>
                <w:spacing w:val="-2"/>
                <w:sz w:val="24"/>
                <w:szCs w:val="24"/>
              </w:rPr>
              <w:t>脚手架工程。</w:t>
            </w:r>
          </w:p>
        </w:tc>
        <w:tc>
          <w:tcPr>
            <w:tcW w:w="1352" w:type="dxa"/>
            <w:noWrap w:val="0"/>
            <w:vAlign w:val="top"/>
          </w:tcPr>
          <w:p w14:paraId="0651191C">
            <w:pPr>
              <w:pStyle w:val="20"/>
              <w:spacing w:line="297" w:lineRule="auto"/>
            </w:pPr>
          </w:p>
          <w:p w14:paraId="64A9A8BF">
            <w:pPr>
              <w:spacing w:before="7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6EC08DA6">
            <w:pPr>
              <w:pStyle w:val="20"/>
              <w:spacing w:line="297" w:lineRule="auto"/>
            </w:pPr>
          </w:p>
          <w:p w14:paraId="5D9E745F">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365CD864">
            <w:pPr>
              <w:pStyle w:val="20"/>
            </w:pPr>
          </w:p>
        </w:tc>
      </w:tr>
      <w:tr w14:paraId="57A38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5080" w:type="dxa"/>
            <w:noWrap w:val="0"/>
            <w:vAlign w:val="top"/>
          </w:tcPr>
          <w:p w14:paraId="55EFFB2E">
            <w:pPr>
              <w:spacing w:before="131" w:line="220" w:lineRule="auto"/>
              <w:ind w:left="120"/>
              <w:rPr>
                <w:rFonts w:ascii="宋体" w:hAnsi="宋体" w:eastAsia="宋体" w:cs="宋体"/>
                <w:sz w:val="24"/>
                <w:szCs w:val="24"/>
              </w:rPr>
            </w:pPr>
            <w:r>
              <w:rPr>
                <w:rFonts w:ascii="宋体" w:hAnsi="宋体" w:eastAsia="宋体" w:cs="宋体"/>
                <w:spacing w:val="-3"/>
                <w:sz w:val="24"/>
                <w:szCs w:val="24"/>
              </w:rPr>
              <w:t>五、拆除工程</w:t>
            </w:r>
          </w:p>
        </w:tc>
        <w:tc>
          <w:tcPr>
            <w:tcW w:w="1352" w:type="dxa"/>
            <w:noWrap w:val="0"/>
            <w:vAlign w:val="top"/>
          </w:tcPr>
          <w:p w14:paraId="2D37118D">
            <w:pPr>
              <w:spacing w:before="158" w:line="223" w:lineRule="auto"/>
              <w:ind w:left="42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3"/>
                <w:sz w:val="24"/>
                <w:szCs w:val="24"/>
              </w:rPr>
              <w:t xml:space="preserve">   </w:t>
            </w:r>
            <w:r>
              <w:rPr>
                <w:rFonts w:ascii="宋体" w:hAnsi="宋体" w:eastAsia="宋体" w:cs="宋体"/>
                <w:spacing w:val="-19"/>
                <w:w w:val="94"/>
                <w:sz w:val="24"/>
                <w:szCs w:val="24"/>
              </w:rPr>
              <w:t>)</w:t>
            </w:r>
          </w:p>
        </w:tc>
        <w:tc>
          <w:tcPr>
            <w:tcW w:w="1352" w:type="dxa"/>
            <w:noWrap w:val="0"/>
            <w:vAlign w:val="top"/>
          </w:tcPr>
          <w:p w14:paraId="6461A508">
            <w:pPr>
              <w:spacing w:before="15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42B7AC46">
            <w:pPr>
              <w:pStyle w:val="20"/>
            </w:pPr>
          </w:p>
        </w:tc>
      </w:tr>
      <w:tr w14:paraId="038CB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8" w:hRule="atLeast"/>
        </w:trPr>
        <w:tc>
          <w:tcPr>
            <w:tcW w:w="5080" w:type="dxa"/>
            <w:noWrap w:val="0"/>
            <w:vAlign w:val="top"/>
          </w:tcPr>
          <w:p w14:paraId="1225343D">
            <w:pPr>
              <w:spacing w:before="132" w:line="353" w:lineRule="auto"/>
              <w:ind w:left="115" w:right="168" w:firstLine="12"/>
              <w:rPr>
                <w:rFonts w:ascii="宋体" w:hAnsi="宋体" w:eastAsia="宋体" w:cs="宋体"/>
                <w:sz w:val="24"/>
                <w:szCs w:val="24"/>
              </w:rPr>
            </w:pPr>
            <w:r>
              <w:rPr>
                <w:rFonts w:ascii="宋体" w:hAnsi="宋体" w:eastAsia="宋体" w:cs="宋体"/>
                <w:spacing w:val="-2"/>
                <w:sz w:val="24"/>
                <w:szCs w:val="24"/>
              </w:rPr>
              <w:t>（一）码头、桥梁、高架、烟囱、水塔或拆除</w:t>
            </w:r>
            <w:r>
              <w:rPr>
                <w:rFonts w:ascii="宋体" w:hAnsi="宋体" w:eastAsia="宋体" w:cs="宋体"/>
                <w:spacing w:val="18"/>
                <w:sz w:val="24"/>
                <w:szCs w:val="24"/>
              </w:rPr>
              <w:t xml:space="preserve"> </w:t>
            </w:r>
            <w:r>
              <w:rPr>
                <w:rFonts w:ascii="宋体" w:hAnsi="宋体" w:eastAsia="宋体" w:cs="宋体"/>
                <w:spacing w:val="-1"/>
                <w:sz w:val="24"/>
                <w:szCs w:val="24"/>
              </w:rPr>
              <w:t>中容易引起有毒有害气（液）体或粉尘扩散、</w:t>
            </w:r>
            <w:r>
              <w:rPr>
                <w:rFonts w:ascii="宋体" w:hAnsi="宋体" w:eastAsia="宋体" w:cs="宋体"/>
                <w:spacing w:val="10"/>
                <w:sz w:val="24"/>
                <w:szCs w:val="24"/>
              </w:rPr>
              <w:t xml:space="preserve"> </w:t>
            </w:r>
            <w:r>
              <w:rPr>
                <w:rFonts w:ascii="宋体" w:hAnsi="宋体" w:eastAsia="宋体" w:cs="宋体"/>
                <w:spacing w:val="-1"/>
                <w:sz w:val="24"/>
                <w:szCs w:val="24"/>
              </w:rPr>
              <w:t>易燃易爆事故发生的特殊建、构筑物的拆除工</w:t>
            </w:r>
            <w:r>
              <w:rPr>
                <w:rFonts w:ascii="宋体" w:hAnsi="宋体" w:eastAsia="宋体" w:cs="宋体"/>
                <w:spacing w:val="10"/>
                <w:sz w:val="24"/>
                <w:szCs w:val="24"/>
              </w:rPr>
              <w:t xml:space="preserve"> </w:t>
            </w:r>
            <w:r>
              <w:rPr>
                <w:rFonts w:ascii="宋体" w:hAnsi="宋体" w:eastAsia="宋体" w:cs="宋体"/>
                <w:spacing w:val="-5"/>
                <w:sz w:val="24"/>
                <w:szCs w:val="24"/>
              </w:rPr>
              <w:t>程。</w:t>
            </w:r>
          </w:p>
        </w:tc>
        <w:tc>
          <w:tcPr>
            <w:tcW w:w="1352" w:type="dxa"/>
            <w:noWrap w:val="0"/>
            <w:vAlign w:val="top"/>
          </w:tcPr>
          <w:p w14:paraId="4BD40441">
            <w:pPr>
              <w:pStyle w:val="20"/>
              <w:spacing w:line="262" w:lineRule="auto"/>
            </w:pPr>
          </w:p>
          <w:p w14:paraId="189897A8">
            <w:pPr>
              <w:pStyle w:val="20"/>
              <w:spacing w:line="262" w:lineRule="auto"/>
            </w:pPr>
          </w:p>
          <w:p w14:paraId="7B74CA29">
            <w:pPr>
              <w:pStyle w:val="20"/>
              <w:spacing w:line="262" w:lineRule="auto"/>
            </w:pPr>
          </w:p>
          <w:p w14:paraId="7A035D5D">
            <w:pPr>
              <w:spacing w:before="7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6208B5A6">
            <w:pPr>
              <w:pStyle w:val="20"/>
              <w:spacing w:line="262" w:lineRule="auto"/>
            </w:pPr>
          </w:p>
          <w:p w14:paraId="181430E9">
            <w:pPr>
              <w:pStyle w:val="20"/>
              <w:spacing w:line="262" w:lineRule="auto"/>
            </w:pPr>
          </w:p>
          <w:p w14:paraId="0E4EE4B5">
            <w:pPr>
              <w:pStyle w:val="20"/>
              <w:spacing w:line="262" w:lineRule="auto"/>
            </w:pPr>
          </w:p>
          <w:p w14:paraId="5DEE0FAD">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0FBE3AAA">
            <w:pPr>
              <w:pStyle w:val="20"/>
            </w:pPr>
          </w:p>
        </w:tc>
      </w:tr>
      <w:tr w14:paraId="797F1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trPr>
        <w:tc>
          <w:tcPr>
            <w:tcW w:w="5080" w:type="dxa"/>
            <w:noWrap w:val="0"/>
            <w:vAlign w:val="top"/>
          </w:tcPr>
          <w:p w14:paraId="34493BAF">
            <w:pPr>
              <w:spacing w:before="131" w:line="327" w:lineRule="auto"/>
              <w:ind w:left="117" w:right="168" w:firstLine="10"/>
              <w:rPr>
                <w:rFonts w:ascii="宋体" w:hAnsi="宋体" w:eastAsia="宋体" w:cs="宋体"/>
                <w:sz w:val="24"/>
                <w:szCs w:val="24"/>
              </w:rPr>
            </w:pPr>
            <w:r>
              <w:rPr>
                <w:rFonts w:ascii="宋体" w:hAnsi="宋体" w:eastAsia="宋体" w:cs="宋体"/>
                <w:spacing w:val="-2"/>
                <w:sz w:val="24"/>
                <w:szCs w:val="24"/>
              </w:rPr>
              <w:t>（二）文物保护建筑、优秀历史建筑或历史文</w:t>
            </w:r>
            <w:r>
              <w:rPr>
                <w:rFonts w:ascii="宋体" w:hAnsi="宋体" w:eastAsia="宋体" w:cs="宋体"/>
                <w:spacing w:val="18"/>
                <w:sz w:val="24"/>
                <w:szCs w:val="24"/>
              </w:rPr>
              <w:t xml:space="preserve"> </w:t>
            </w:r>
            <w:r>
              <w:rPr>
                <w:rFonts w:ascii="宋体" w:hAnsi="宋体" w:eastAsia="宋体" w:cs="宋体"/>
                <w:spacing w:val="-1"/>
                <w:sz w:val="24"/>
                <w:szCs w:val="24"/>
              </w:rPr>
              <w:t>化风貌区影响范围内的拆除工程。</w:t>
            </w:r>
          </w:p>
        </w:tc>
        <w:tc>
          <w:tcPr>
            <w:tcW w:w="1352" w:type="dxa"/>
            <w:noWrap w:val="0"/>
            <w:vAlign w:val="top"/>
          </w:tcPr>
          <w:p w14:paraId="3C80FFAB">
            <w:pPr>
              <w:pStyle w:val="20"/>
              <w:spacing w:line="297" w:lineRule="auto"/>
            </w:pPr>
          </w:p>
          <w:p w14:paraId="48C0092D">
            <w:pPr>
              <w:spacing w:before="7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0435EE3B">
            <w:pPr>
              <w:pStyle w:val="20"/>
              <w:spacing w:line="297" w:lineRule="auto"/>
            </w:pPr>
          </w:p>
          <w:p w14:paraId="3182D833">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09B06B33">
            <w:pPr>
              <w:pStyle w:val="20"/>
            </w:pPr>
          </w:p>
        </w:tc>
      </w:tr>
      <w:tr w14:paraId="7BE889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080" w:type="dxa"/>
            <w:noWrap w:val="0"/>
            <w:vAlign w:val="top"/>
          </w:tcPr>
          <w:p w14:paraId="4E1AACB3">
            <w:pPr>
              <w:spacing w:before="131" w:line="221" w:lineRule="auto"/>
              <w:ind w:left="118"/>
              <w:rPr>
                <w:rFonts w:ascii="宋体" w:hAnsi="宋体" w:eastAsia="宋体" w:cs="宋体"/>
                <w:sz w:val="24"/>
                <w:szCs w:val="24"/>
              </w:rPr>
            </w:pPr>
            <w:r>
              <w:rPr>
                <w:rFonts w:ascii="宋体" w:hAnsi="宋体" w:eastAsia="宋体" w:cs="宋体"/>
                <w:spacing w:val="-2"/>
                <w:sz w:val="24"/>
                <w:szCs w:val="24"/>
              </w:rPr>
              <w:t>六、暗挖工程</w:t>
            </w:r>
          </w:p>
        </w:tc>
        <w:tc>
          <w:tcPr>
            <w:tcW w:w="1352" w:type="dxa"/>
            <w:noWrap w:val="0"/>
            <w:vAlign w:val="top"/>
          </w:tcPr>
          <w:p w14:paraId="7A2A77EE">
            <w:pPr>
              <w:spacing w:before="140"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036759C5">
            <w:pPr>
              <w:spacing w:before="140"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2D0FF6E8">
            <w:pPr>
              <w:pStyle w:val="20"/>
            </w:pPr>
          </w:p>
        </w:tc>
      </w:tr>
      <w:tr w14:paraId="4D2F9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trPr>
        <w:tc>
          <w:tcPr>
            <w:tcW w:w="5080" w:type="dxa"/>
            <w:noWrap w:val="0"/>
            <w:vAlign w:val="top"/>
          </w:tcPr>
          <w:p w14:paraId="0D2F611B">
            <w:pPr>
              <w:spacing w:before="131" w:line="327" w:lineRule="auto"/>
              <w:ind w:left="119" w:right="168" w:hanging="4"/>
              <w:rPr>
                <w:rFonts w:ascii="宋体" w:hAnsi="宋体" w:eastAsia="宋体" w:cs="宋体"/>
                <w:sz w:val="24"/>
                <w:szCs w:val="24"/>
              </w:rPr>
            </w:pPr>
            <w:r>
              <w:rPr>
                <w:rFonts w:ascii="宋体" w:hAnsi="宋体" w:eastAsia="宋体" w:cs="宋体"/>
                <w:spacing w:val="-1"/>
                <w:sz w:val="24"/>
                <w:szCs w:val="24"/>
              </w:rPr>
              <w:t>采用矿山法、盾构法、顶管法施工的隧道、洞</w:t>
            </w:r>
            <w:r>
              <w:rPr>
                <w:rFonts w:ascii="宋体" w:hAnsi="宋体" w:eastAsia="宋体" w:cs="宋体"/>
                <w:spacing w:val="10"/>
                <w:sz w:val="24"/>
                <w:szCs w:val="24"/>
              </w:rPr>
              <w:t xml:space="preserve"> </w:t>
            </w:r>
            <w:r>
              <w:rPr>
                <w:rFonts w:ascii="宋体" w:hAnsi="宋体" w:eastAsia="宋体" w:cs="宋体"/>
                <w:spacing w:val="-4"/>
                <w:sz w:val="24"/>
                <w:szCs w:val="24"/>
              </w:rPr>
              <w:t>室工程。</w:t>
            </w:r>
          </w:p>
        </w:tc>
        <w:tc>
          <w:tcPr>
            <w:tcW w:w="1352" w:type="dxa"/>
            <w:noWrap w:val="0"/>
            <w:vAlign w:val="top"/>
          </w:tcPr>
          <w:p w14:paraId="76B0D131">
            <w:pPr>
              <w:pStyle w:val="20"/>
              <w:spacing w:line="298" w:lineRule="auto"/>
            </w:pPr>
          </w:p>
          <w:p w14:paraId="759414A3">
            <w:pPr>
              <w:spacing w:before="7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422C8223">
            <w:pPr>
              <w:pStyle w:val="20"/>
              <w:spacing w:line="298" w:lineRule="auto"/>
            </w:pPr>
          </w:p>
          <w:p w14:paraId="30436F5D">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6564D964">
            <w:pPr>
              <w:pStyle w:val="20"/>
            </w:pPr>
          </w:p>
        </w:tc>
      </w:tr>
      <w:tr w14:paraId="2FE0AF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5080" w:type="dxa"/>
            <w:noWrap w:val="0"/>
            <w:vAlign w:val="top"/>
          </w:tcPr>
          <w:p w14:paraId="1D28C83A">
            <w:pPr>
              <w:spacing w:before="130" w:line="222" w:lineRule="auto"/>
              <w:ind w:left="115"/>
              <w:rPr>
                <w:rFonts w:ascii="宋体" w:hAnsi="宋体" w:eastAsia="宋体" w:cs="宋体"/>
                <w:sz w:val="24"/>
                <w:szCs w:val="24"/>
              </w:rPr>
            </w:pPr>
            <w:r>
              <w:rPr>
                <w:rFonts w:ascii="宋体" w:hAnsi="宋体" w:eastAsia="宋体" w:cs="宋体"/>
                <w:spacing w:val="-3"/>
                <w:sz w:val="24"/>
                <w:szCs w:val="24"/>
              </w:rPr>
              <w:t>七、其它</w:t>
            </w:r>
          </w:p>
        </w:tc>
        <w:tc>
          <w:tcPr>
            <w:tcW w:w="1352" w:type="dxa"/>
            <w:noWrap w:val="0"/>
            <w:vAlign w:val="top"/>
          </w:tcPr>
          <w:p w14:paraId="4B7842AF">
            <w:pPr>
              <w:spacing w:before="130"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42CB9DB7">
            <w:pPr>
              <w:spacing w:before="130"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41B0F681">
            <w:pPr>
              <w:pStyle w:val="20"/>
            </w:pPr>
          </w:p>
        </w:tc>
      </w:tr>
      <w:tr w14:paraId="211870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1" w:hRule="atLeast"/>
        </w:trPr>
        <w:tc>
          <w:tcPr>
            <w:tcW w:w="5080" w:type="dxa"/>
            <w:noWrap w:val="0"/>
            <w:vAlign w:val="top"/>
          </w:tcPr>
          <w:p w14:paraId="4047DDB7">
            <w:pPr>
              <w:spacing w:before="130" w:line="327" w:lineRule="auto"/>
              <w:ind w:left="115" w:right="168" w:firstLine="12"/>
              <w:rPr>
                <w:rFonts w:ascii="宋体" w:hAnsi="宋体" w:eastAsia="宋体" w:cs="宋体"/>
                <w:sz w:val="24"/>
                <w:szCs w:val="24"/>
              </w:rPr>
            </w:pPr>
            <w:r>
              <w:rPr>
                <w:rFonts w:ascii="宋体" w:hAnsi="宋体" w:eastAsia="宋体" w:cs="宋体"/>
                <w:spacing w:val="-3"/>
                <w:sz w:val="24"/>
                <w:szCs w:val="24"/>
              </w:rPr>
              <w:t>（一）施工高度</w:t>
            </w:r>
            <w:r>
              <w:rPr>
                <w:rFonts w:ascii="宋体" w:hAnsi="宋体" w:eastAsia="宋体" w:cs="宋体"/>
                <w:spacing w:val="-28"/>
                <w:sz w:val="24"/>
                <w:szCs w:val="24"/>
              </w:rPr>
              <w:t xml:space="preserve"> </w:t>
            </w:r>
            <w:r>
              <w:rPr>
                <w:rFonts w:ascii="宋体" w:hAnsi="宋体" w:eastAsia="宋体" w:cs="宋体"/>
                <w:spacing w:val="-3"/>
                <w:sz w:val="24"/>
                <w:szCs w:val="24"/>
              </w:rPr>
              <w:t>50m</w:t>
            </w:r>
            <w:r>
              <w:rPr>
                <w:rFonts w:ascii="宋体" w:hAnsi="宋体" w:eastAsia="宋体" w:cs="宋体"/>
                <w:spacing w:val="-51"/>
                <w:sz w:val="24"/>
                <w:szCs w:val="24"/>
              </w:rPr>
              <w:t xml:space="preserve"> </w:t>
            </w:r>
            <w:r>
              <w:rPr>
                <w:rFonts w:ascii="宋体" w:hAnsi="宋体" w:eastAsia="宋体" w:cs="宋体"/>
                <w:spacing w:val="-3"/>
                <w:sz w:val="24"/>
                <w:szCs w:val="24"/>
              </w:rPr>
              <w:t>及以上的建筑幕墙安装工</w:t>
            </w:r>
            <w:r>
              <w:rPr>
                <w:rFonts w:ascii="宋体" w:hAnsi="宋体" w:eastAsia="宋体" w:cs="宋体"/>
                <w:sz w:val="24"/>
                <w:szCs w:val="24"/>
              </w:rPr>
              <w:t xml:space="preserve"> </w:t>
            </w:r>
            <w:r>
              <w:rPr>
                <w:rFonts w:ascii="宋体" w:hAnsi="宋体" w:eastAsia="宋体" w:cs="宋体"/>
                <w:spacing w:val="-5"/>
                <w:sz w:val="24"/>
                <w:szCs w:val="24"/>
              </w:rPr>
              <w:t>程。</w:t>
            </w:r>
          </w:p>
        </w:tc>
        <w:tc>
          <w:tcPr>
            <w:tcW w:w="1352" w:type="dxa"/>
            <w:noWrap w:val="0"/>
            <w:vAlign w:val="top"/>
          </w:tcPr>
          <w:p w14:paraId="33689F45">
            <w:pPr>
              <w:pStyle w:val="20"/>
              <w:spacing w:line="297" w:lineRule="auto"/>
            </w:pPr>
          </w:p>
          <w:p w14:paraId="155EB539">
            <w:pPr>
              <w:spacing w:before="7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47C13610">
            <w:pPr>
              <w:pStyle w:val="20"/>
              <w:spacing w:line="297" w:lineRule="auto"/>
            </w:pPr>
          </w:p>
          <w:p w14:paraId="20CD460F">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7D48AC7D">
            <w:pPr>
              <w:pStyle w:val="20"/>
            </w:pPr>
          </w:p>
        </w:tc>
      </w:tr>
      <w:tr w14:paraId="39492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5080" w:type="dxa"/>
            <w:noWrap w:val="0"/>
            <w:vAlign w:val="top"/>
          </w:tcPr>
          <w:p w14:paraId="0A5FA03C">
            <w:pPr>
              <w:spacing w:before="130" w:line="221" w:lineRule="auto"/>
              <w:ind w:left="127"/>
              <w:rPr>
                <w:rFonts w:ascii="宋体" w:hAnsi="宋体" w:eastAsia="宋体" w:cs="宋体"/>
                <w:sz w:val="24"/>
                <w:szCs w:val="24"/>
              </w:rPr>
            </w:pPr>
            <w:r>
              <w:rPr>
                <w:rFonts w:ascii="宋体" w:hAnsi="宋体" w:eastAsia="宋体" w:cs="宋体"/>
                <w:spacing w:val="-2"/>
                <w:sz w:val="24"/>
                <w:szCs w:val="24"/>
              </w:rPr>
              <w:t>（二）跨度</w:t>
            </w:r>
            <w:r>
              <w:rPr>
                <w:rFonts w:ascii="宋体" w:hAnsi="宋体" w:eastAsia="宋体" w:cs="宋体"/>
                <w:spacing w:val="-37"/>
                <w:sz w:val="24"/>
                <w:szCs w:val="24"/>
              </w:rPr>
              <w:t xml:space="preserve"> </w:t>
            </w:r>
            <w:r>
              <w:rPr>
                <w:rFonts w:ascii="宋体" w:hAnsi="宋体" w:eastAsia="宋体" w:cs="宋体"/>
                <w:spacing w:val="-2"/>
                <w:sz w:val="24"/>
                <w:szCs w:val="24"/>
              </w:rPr>
              <w:t>36m</w:t>
            </w:r>
            <w:r>
              <w:rPr>
                <w:rFonts w:ascii="宋体" w:hAnsi="宋体" w:eastAsia="宋体" w:cs="宋体"/>
                <w:spacing w:val="-51"/>
                <w:sz w:val="24"/>
                <w:szCs w:val="24"/>
              </w:rPr>
              <w:t xml:space="preserve"> </w:t>
            </w:r>
            <w:r>
              <w:rPr>
                <w:rFonts w:ascii="宋体" w:hAnsi="宋体" w:eastAsia="宋体" w:cs="宋体"/>
                <w:spacing w:val="-2"/>
                <w:sz w:val="24"/>
                <w:szCs w:val="24"/>
              </w:rPr>
              <w:t>及以上的钢结构安装工程，或</w:t>
            </w:r>
          </w:p>
        </w:tc>
        <w:tc>
          <w:tcPr>
            <w:tcW w:w="1352" w:type="dxa"/>
            <w:noWrap w:val="0"/>
            <w:vAlign w:val="top"/>
          </w:tcPr>
          <w:p w14:paraId="38F225F3">
            <w:pPr>
              <w:spacing w:before="130"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5364753E">
            <w:pPr>
              <w:spacing w:before="130"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522" w:type="dxa"/>
            <w:noWrap w:val="0"/>
            <w:vAlign w:val="top"/>
          </w:tcPr>
          <w:p w14:paraId="3AFF7A72">
            <w:pPr>
              <w:pStyle w:val="20"/>
            </w:pPr>
          </w:p>
        </w:tc>
      </w:tr>
    </w:tbl>
    <w:p w14:paraId="2808BEB4">
      <w:pPr>
        <w:spacing w:before="40"/>
      </w:pPr>
    </w:p>
    <w:tbl>
      <w:tblPr>
        <w:tblStyle w:val="14"/>
        <w:tblW w:w="10192" w:type="dxa"/>
        <w:tblInd w:w="1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80"/>
        <w:gridCol w:w="1352"/>
        <w:gridCol w:w="1352"/>
        <w:gridCol w:w="2408"/>
      </w:tblGrid>
      <w:tr w14:paraId="1C835B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5080" w:type="dxa"/>
            <w:noWrap w:val="0"/>
            <w:vAlign w:val="top"/>
          </w:tcPr>
          <w:p w14:paraId="2A44325D">
            <w:pPr>
              <w:spacing w:before="131" w:line="221" w:lineRule="auto"/>
              <w:ind w:left="116"/>
              <w:rPr>
                <w:rFonts w:ascii="宋体" w:hAnsi="宋体" w:eastAsia="宋体" w:cs="宋体"/>
                <w:sz w:val="24"/>
                <w:szCs w:val="24"/>
              </w:rPr>
            </w:pPr>
            <w:r>
              <w:rPr>
                <w:rFonts w:ascii="宋体" w:hAnsi="宋体" w:eastAsia="宋体" w:cs="宋体"/>
                <w:spacing w:val="-2"/>
                <w:sz w:val="24"/>
                <w:szCs w:val="24"/>
              </w:rPr>
              <w:t>跨度</w:t>
            </w:r>
            <w:r>
              <w:rPr>
                <w:rFonts w:ascii="宋体" w:hAnsi="宋体" w:eastAsia="宋体" w:cs="宋体"/>
                <w:spacing w:val="-37"/>
                <w:sz w:val="24"/>
                <w:szCs w:val="24"/>
              </w:rPr>
              <w:t xml:space="preserve"> </w:t>
            </w:r>
            <w:r>
              <w:rPr>
                <w:rFonts w:ascii="宋体" w:hAnsi="宋体" w:eastAsia="宋体" w:cs="宋体"/>
                <w:spacing w:val="-2"/>
                <w:sz w:val="24"/>
                <w:szCs w:val="24"/>
              </w:rPr>
              <w:t>60m</w:t>
            </w:r>
            <w:r>
              <w:rPr>
                <w:rFonts w:ascii="宋体" w:hAnsi="宋体" w:eastAsia="宋体" w:cs="宋体"/>
                <w:spacing w:val="-52"/>
                <w:sz w:val="24"/>
                <w:szCs w:val="24"/>
              </w:rPr>
              <w:t xml:space="preserve"> </w:t>
            </w:r>
            <w:r>
              <w:rPr>
                <w:rFonts w:ascii="宋体" w:hAnsi="宋体" w:eastAsia="宋体" w:cs="宋体"/>
                <w:spacing w:val="-2"/>
                <w:sz w:val="24"/>
                <w:szCs w:val="24"/>
              </w:rPr>
              <w:t>及以上的网架和索膜结构安装工程。</w:t>
            </w:r>
          </w:p>
        </w:tc>
        <w:tc>
          <w:tcPr>
            <w:tcW w:w="1352" w:type="dxa"/>
            <w:noWrap w:val="0"/>
            <w:vAlign w:val="top"/>
          </w:tcPr>
          <w:p w14:paraId="606B1BBC">
            <w:pPr>
              <w:pStyle w:val="20"/>
            </w:pPr>
          </w:p>
        </w:tc>
        <w:tc>
          <w:tcPr>
            <w:tcW w:w="1352" w:type="dxa"/>
            <w:noWrap w:val="0"/>
            <w:vAlign w:val="top"/>
          </w:tcPr>
          <w:p w14:paraId="67DA3E5E">
            <w:pPr>
              <w:pStyle w:val="20"/>
            </w:pPr>
          </w:p>
        </w:tc>
        <w:tc>
          <w:tcPr>
            <w:tcW w:w="2408" w:type="dxa"/>
            <w:noWrap w:val="0"/>
            <w:vAlign w:val="top"/>
          </w:tcPr>
          <w:p w14:paraId="5F7CA7BC">
            <w:pPr>
              <w:pStyle w:val="20"/>
            </w:pPr>
          </w:p>
        </w:tc>
      </w:tr>
      <w:tr w14:paraId="5E0048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5080" w:type="dxa"/>
            <w:noWrap w:val="0"/>
            <w:vAlign w:val="top"/>
          </w:tcPr>
          <w:p w14:paraId="36808440">
            <w:pPr>
              <w:spacing w:before="127" w:line="220" w:lineRule="auto"/>
              <w:jc w:val="right"/>
              <w:rPr>
                <w:rFonts w:ascii="宋体" w:hAnsi="宋体" w:eastAsia="宋体" w:cs="宋体"/>
                <w:sz w:val="24"/>
                <w:szCs w:val="24"/>
              </w:rPr>
            </w:pPr>
            <w:r>
              <w:rPr>
                <w:rFonts w:ascii="宋体" w:hAnsi="宋体" w:eastAsia="宋体" w:cs="宋体"/>
                <w:spacing w:val="-7"/>
                <w:sz w:val="24"/>
                <w:szCs w:val="24"/>
              </w:rPr>
              <w:t>（三）开挖深度</w:t>
            </w:r>
            <w:r>
              <w:rPr>
                <w:rFonts w:ascii="宋体" w:hAnsi="宋体" w:eastAsia="宋体" w:cs="宋体"/>
                <w:spacing w:val="-33"/>
                <w:sz w:val="24"/>
                <w:szCs w:val="24"/>
              </w:rPr>
              <w:t xml:space="preserve"> </w:t>
            </w:r>
            <w:r>
              <w:rPr>
                <w:rFonts w:ascii="宋体" w:hAnsi="宋体" w:eastAsia="宋体" w:cs="宋体"/>
                <w:spacing w:val="-7"/>
                <w:sz w:val="24"/>
                <w:szCs w:val="24"/>
              </w:rPr>
              <w:t>16m</w:t>
            </w:r>
            <w:r>
              <w:rPr>
                <w:rFonts w:ascii="宋体" w:hAnsi="宋体" w:eastAsia="宋体" w:cs="宋体"/>
                <w:spacing w:val="-52"/>
                <w:sz w:val="24"/>
                <w:szCs w:val="24"/>
              </w:rPr>
              <w:t xml:space="preserve"> </w:t>
            </w:r>
            <w:r>
              <w:rPr>
                <w:rFonts w:ascii="宋体" w:hAnsi="宋体" w:eastAsia="宋体" w:cs="宋体"/>
                <w:spacing w:val="-7"/>
                <w:sz w:val="24"/>
                <w:szCs w:val="24"/>
              </w:rPr>
              <w:t>及以上的人工挖孔桩工程。</w:t>
            </w:r>
          </w:p>
        </w:tc>
        <w:tc>
          <w:tcPr>
            <w:tcW w:w="1352" w:type="dxa"/>
            <w:noWrap w:val="0"/>
            <w:vAlign w:val="top"/>
          </w:tcPr>
          <w:p w14:paraId="5B66D35F">
            <w:pPr>
              <w:spacing w:before="127"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22B163D9">
            <w:pPr>
              <w:spacing w:before="127"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408" w:type="dxa"/>
            <w:noWrap w:val="0"/>
            <w:vAlign w:val="top"/>
          </w:tcPr>
          <w:p w14:paraId="376B0211">
            <w:pPr>
              <w:pStyle w:val="20"/>
            </w:pPr>
          </w:p>
        </w:tc>
      </w:tr>
      <w:tr w14:paraId="7E78A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80" w:type="dxa"/>
            <w:noWrap w:val="0"/>
            <w:vAlign w:val="top"/>
          </w:tcPr>
          <w:p w14:paraId="77357B16">
            <w:pPr>
              <w:spacing w:before="129" w:line="220" w:lineRule="auto"/>
              <w:ind w:left="127"/>
              <w:rPr>
                <w:rFonts w:ascii="宋体" w:hAnsi="宋体" w:eastAsia="宋体" w:cs="宋体"/>
                <w:sz w:val="24"/>
                <w:szCs w:val="24"/>
              </w:rPr>
            </w:pPr>
            <w:r>
              <w:rPr>
                <w:rFonts w:ascii="宋体" w:hAnsi="宋体" w:eastAsia="宋体" w:cs="宋体"/>
                <w:spacing w:val="-3"/>
                <w:sz w:val="24"/>
                <w:szCs w:val="24"/>
              </w:rPr>
              <w:t>（四）水下作业工程。</w:t>
            </w:r>
          </w:p>
        </w:tc>
        <w:tc>
          <w:tcPr>
            <w:tcW w:w="1352" w:type="dxa"/>
            <w:noWrap w:val="0"/>
            <w:vAlign w:val="top"/>
          </w:tcPr>
          <w:p w14:paraId="0366A2EB">
            <w:pPr>
              <w:spacing w:before="163"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3D66A5AB">
            <w:pPr>
              <w:spacing w:before="163"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408" w:type="dxa"/>
            <w:noWrap w:val="0"/>
            <w:vAlign w:val="top"/>
          </w:tcPr>
          <w:p w14:paraId="486B0FBA">
            <w:pPr>
              <w:pStyle w:val="20"/>
            </w:pPr>
          </w:p>
        </w:tc>
      </w:tr>
      <w:tr w14:paraId="39E14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1" w:hRule="atLeast"/>
        </w:trPr>
        <w:tc>
          <w:tcPr>
            <w:tcW w:w="5080" w:type="dxa"/>
            <w:noWrap w:val="0"/>
            <w:vAlign w:val="top"/>
          </w:tcPr>
          <w:p w14:paraId="12E9A8D9">
            <w:pPr>
              <w:spacing w:before="130" w:line="327" w:lineRule="auto"/>
              <w:ind w:left="115" w:right="25" w:firstLine="12"/>
              <w:rPr>
                <w:rFonts w:ascii="宋体" w:hAnsi="宋体" w:eastAsia="宋体" w:cs="宋体"/>
                <w:sz w:val="24"/>
                <w:szCs w:val="24"/>
              </w:rPr>
            </w:pPr>
            <w:r>
              <w:rPr>
                <w:rFonts w:ascii="宋体" w:hAnsi="宋体" w:eastAsia="宋体" w:cs="宋体"/>
                <w:spacing w:val="-8"/>
                <w:sz w:val="24"/>
                <w:szCs w:val="24"/>
              </w:rPr>
              <w:t>（五）重量</w:t>
            </w:r>
            <w:r>
              <w:rPr>
                <w:rFonts w:ascii="宋体" w:hAnsi="宋体" w:eastAsia="宋体" w:cs="宋体"/>
                <w:spacing w:val="-48"/>
                <w:sz w:val="24"/>
                <w:szCs w:val="24"/>
              </w:rPr>
              <w:t xml:space="preserve"> </w:t>
            </w:r>
            <w:r>
              <w:rPr>
                <w:rFonts w:ascii="宋体" w:hAnsi="宋体" w:eastAsia="宋体" w:cs="宋体"/>
                <w:spacing w:val="-8"/>
                <w:sz w:val="24"/>
                <w:szCs w:val="24"/>
              </w:rPr>
              <w:t>1000kN及以上的大型结构整体顶升、</w:t>
            </w:r>
            <w:r>
              <w:rPr>
                <w:rFonts w:ascii="宋体" w:hAnsi="宋体" w:eastAsia="宋体" w:cs="宋体"/>
                <w:sz w:val="24"/>
                <w:szCs w:val="24"/>
              </w:rPr>
              <w:t xml:space="preserve"> </w:t>
            </w:r>
            <w:r>
              <w:rPr>
                <w:rFonts w:ascii="宋体" w:hAnsi="宋体" w:eastAsia="宋体" w:cs="宋体"/>
                <w:spacing w:val="-1"/>
                <w:sz w:val="24"/>
                <w:szCs w:val="24"/>
              </w:rPr>
              <w:t>平移、转体等施工工艺。</w:t>
            </w:r>
          </w:p>
        </w:tc>
        <w:tc>
          <w:tcPr>
            <w:tcW w:w="1352" w:type="dxa"/>
            <w:noWrap w:val="0"/>
            <w:vAlign w:val="top"/>
          </w:tcPr>
          <w:p w14:paraId="0D0FB668">
            <w:pPr>
              <w:pStyle w:val="20"/>
              <w:spacing w:line="296" w:lineRule="auto"/>
            </w:pPr>
          </w:p>
          <w:p w14:paraId="101EA440">
            <w:pPr>
              <w:spacing w:before="7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18D10841">
            <w:pPr>
              <w:pStyle w:val="20"/>
              <w:spacing w:line="296" w:lineRule="auto"/>
            </w:pPr>
          </w:p>
          <w:p w14:paraId="28D45C0F">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408" w:type="dxa"/>
            <w:noWrap w:val="0"/>
            <w:vAlign w:val="top"/>
          </w:tcPr>
          <w:p w14:paraId="4E0FD894">
            <w:pPr>
              <w:pStyle w:val="20"/>
            </w:pPr>
          </w:p>
        </w:tc>
      </w:tr>
      <w:tr w14:paraId="7C0236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9" w:hRule="atLeast"/>
        </w:trPr>
        <w:tc>
          <w:tcPr>
            <w:tcW w:w="5080" w:type="dxa"/>
            <w:noWrap w:val="0"/>
            <w:vAlign w:val="top"/>
          </w:tcPr>
          <w:p w14:paraId="15E3C3D7">
            <w:pPr>
              <w:spacing w:before="129" w:line="346" w:lineRule="auto"/>
              <w:ind w:left="117" w:right="168" w:firstLine="10"/>
              <w:jc w:val="both"/>
              <w:rPr>
                <w:rFonts w:ascii="宋体" w:hAnsi="宋体" w:eastAsia="宋体" w:cs="宋体"/>
                <w:sz w:val="24"/>
                <w:szCs w:val="24"/>
              </w:rPr>
            </w:pPr>
            <w:r>
              <w:rPr>
                <w:rFonts w:ascii="宋体" w:hAnsi="宋体" w:eastAsia="宋体" w:cs="宋体"/>
                <w:spacing w:val="-2"/>
                <w:sz w:val="24"/>
                <w:szCs w:val="24"/>
              </w:rPr>
              <w:t>（六）采用新技术、新工艺、新材料、新设备</w:t>
            </w:r>
            <w:r>
              <w:rPr>
                <w:rFonts w:ascii="宋体" w:hAnsi="宋体" w:eastAsia="宋体" w:cs="宋体"/>
                <w:spacing w:val="18"/>
                <w:sz w:val="24"/>
                <w:szCs w:val="24"/>
              </w:rPr>
              <w:t xml:space="preserve"> </w:t>
            </w:r>
            <w:r>
              <w:rPr>
                <w:rFonts w:ascii="宋体" w:hAnsi="宋体" w:eastAsia="宋体" w:cs="宋体"/>
                <w:spacing w:val="-1"/>
                <w:sz w:val="24"/>
                <w:szCs w:val="24"/>
              </w:rPr>
              <w:t>可能影响工程施工安全，尚无国家、行业及地</w:t>
            </w:r>
            <w:r>
              <w:rPr>
                <w:rFonts w:ascii="宋体" w:hAnsi="宋体" w:eastAsia="宋体" w:cs="宋体"/>
                <w:spacing w:val="8"/>
                <w:sz w:val="24"/>
                <w:szCs w:val="24"/>
              </w:rPr>
              <w:t xml:space="preserve"> </w:t>
            </w:r>
            <w:r>
              <w:rPr>
                <w:rFonts w:ascii="宋体" w:hAnsi="宋体" w:eastAsia="宋体" w:cs="宋体"/>
                <w:spacing w:val="-1"/>
                <w:sz w:val="24"/>
                <w:szCs w:val="24"/>
              </w:rPr>
              <w:t>方技术标准的分部分项工程。</w:t>
            </w:r>
          </w:p>
        </w:tc>
        <w:tc>
          <w:tcPr>
            <w:tcW w:w="1352" w:type="dxa"/>
            <w:noWrap w:val="0"/>
            <w:vAlign w:val="top"/>
          </w:tcPr>
          <w:p w14:paraId="6E7D5FB0">
            <w:pPr>
              <w:pStyle w:val="20"/>
              <w:spacing w:line="272" w:lineRule="auto"/>
            </w:pPr>
          </w:p>
          <w:p w14:paraId="078A2C91">
            <w:pPr>
              <w:pStyle w:val="20"/>
              <w:spacing w:line="272" w:lineRule="auto"/>
            </w:pPr>
          </w:p>
          <w:p w14:paraId="516A9AD6">
            <w:pPr>
              <w:spacing w:before="78" w:line="223" w:lineRule="auto"/>
              <w:ind w:left="365"/>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1352" w:type="dxa"/>
            <w:noWrap w:val="0"/>
            <w:vAlign w:val="top"/>
          </w:tcPr>
          <w:p w14:paraId="559D044E">
            <w:pPr>
              <w:pStyle w:val="20"/>
              <w:spacing w:line="272" w:lineRule="auto"/>
            </w:pPr>
          </w:p>
          <w:p w14:paraId="38D161FE">
            <w:pPr>
              <w:pStyle w:val="20"/>
              <w:spacing w:line="272" w:lineRule="auto"/>
            </w:pPr>
          </w:p>
          <w:p w14:paraId="0F723ED7">
            <w:pPr>
              <w:spacing w:before="78" w:line="223" w:lineRule="auto"/>
              <w:ind w:left="367"/>
              <w:rPr>
                <w:rFonts w:ascii="宋体" w:hAnsi="宋体" w:eastAsia="宋体" w:cs="宋体"/>
                <w:sz w:val="24"/>
                <w:szCs w:val="24"/>
              </w:rPr>
            </w:pPr>
            <w:r>
              <w:rPr>
                <w:rFonts w:ascii="宋体" w:hAnsi="宋体" w:eastAsia="宋体" w:cs="宋体"/>
                <w:spacing w:val="-19"/>
                <w:w w:val="94"/>
                <w:sz w:val="24"/>
                <w:szCs w:val="24"/>
              </w:rPr>
              <w:t>(</w:t>
            </w:r>
            <w:r>
              <w:rPr>
                <w:rFonts w:ascii="宋体" w:hAnsi="宋体" w:eastAsia="宋体" w:cs="宋体"/>
                <w:spacing w:val="2"/>
                <w:sz w:val="24"/>
                <w:szCs w:val="24"/>
              </w:rPr>
              <w:t xml:space="preserve">    </w:t>
            </w:r>
            <w:r>
              <w:rPr>
                <w:rFonts w:ascii="宋体" w:hAnsi="宋体" w:eastAsia="宋体" w:cs="宋体"/>
                <w:spacing w:val="-19"/>
                <w:w w:val="94"/>
                <w:sz w:val="24"/>
                <w:szCs w:val="24"/>
              </w:rPr>
              <w:t>)</w:t>
            </w:r>
          </w:p>
        </w:tc>
        <w:tc>
          <w:tcPr>
            <w:tcW w:w="2408" w:type="dxa"/>
            <w:noWrap w:val="0"/>
            <w:vAlign w:val="top"/>
          </w:tcPr>
          <w:p w14:paraId="325DB4F6">
            <w:pPr>
              <w:pStyle w:val="20"/>
            </w:pPr>
          </w:p>
        </w:tc>
      </w:tr>
    </w:tbl>
    <w:p w14:paraId="09AA8E1E">
      <w:pPr>
        <w:pStyle w:val="5"/>
        <w:spacing w:line="288" w:lineRule="auto"/>
      </w:pPr>
    </w:p>
    <w:p w14:paraId="449F1988">
      <w:pPr>
        <w:pStyle w:val="5"/>
        <w:spacing w:line="288" w:lineRule="auto"/>
      </w:pPr>
    </w:p>
    <w:p w14:paraId="2A13D527">
      <w:pPr>
        <w:spacing w:before="21" w:line="376" w:lineRule="exact"/>
        <w:ind w:firstLine="520" w:firstLineChars="200"/>
        <w:rPr>
          <w:rFonts w:hint="eastAsia" w:ascii="宋体" w:hAnsi="宋体" w:eastAsia="宋体" w:cs="宋体"/>
          <w:color w:val="auto"/>
          <w:spacing w:val="9"/>
          <w:sz w:val="24"/>
          <w:szCs w:val="24"/>
          <w:lang w:eastAsia="zh-CN"/>
        </w:rPr>
      </w:pPr>
      <w:r>
        <w:rPr>
          <w:rFonts w:hint="eastAsia" w:ascii="宋体" w:hAnsi="宋体" w:eastAsia="宋体" w:cs="宋体"/>
          <w:color w:val="auto"/>
          <w:spacing w:val="10"/>
          <w:sz w:val="24"/>
          <w:szCs w:val="24"/>
        </w:rPr>
        <w:t>备注：1.根据《危险性较大的分部分项工程安全管理</w:t>
      </w:r>
      <w:r>
        <w:rPr>
          <w:rFonts w:hint="eastAsia" w:ascii="宋体" w:hAnsi="宋体" w:eastAsia="宋体" w:cs="宋体"/>
          <w:color w:val="auto"/>
          <w:spacing w:val="9"/>
          <w:sz w:val="24"/>
          <w:szCs w:val="24"/>
        </w:rPr>
        <w:t>规定》，该《危险性较大的分部分项工程清单及超</w:t>
      </w:r>
      <w:r>
        <w:rPr>
          <w:rFonts w:hint="eastAsia" w:ascii="宋体" w:hAnsi="宋体" w:eastAsia="宋体" w:cs="宋体"/>
          <w:color w:val="auto"/>
          <w:sz w:val="24"/>
          <w:szCs w:val="24"/>
        </w:rPr>
        <w:t xml:space="preserve"> </w:t>
      </w:r>
      <w:r>
        <w:rPr>
          <w:rFonts w:hint="eastAsia" w:ascii="宋体" w:hAnsi="宋体" w:eastAsia="宋体" w:cs="宋体"/>
          <w:color w:val="auto"/>
          <w:spacing w:val="9"/>
          <w:sz w:val="24"/>
          <w:szCs w:val="24"/>
        </w:rPr>
        <w:t>过一定规模的危险性较大的分部分项工程清单》</w:t>
      </w:r>
      <w:r>
        <w:rPr>
          <w:rFonts w:hint="eastAsia" w:ascii="宋体" w:hAnsi="宋体" w:eastAsia="宋体" w:cs="宋体"/>
          <w:color w:val="auto"/>
          <w:spacing w:val="9"/>
          <w:sz w:val="24"/>
          <w:szCs w:val="24"/>
          <w:lang w:eastAsia="zh-CN"/>
        </w:rPr>
        <w:t>应由建设单位组织勘察、设计等单位在招标文件中“勾选（对应项打“</w:t>
      </w:r>
      <w:r>
        <w:rPr>
          <w:rFonts w:eastAsia="宋体"/>
          <w:color w:val="auto"/>
          <w:spacing w:val="9"/>
          <w:sz w:val="24"/>
          <w:szCs w:val="24"/>
          <w:lang w:eastAsia="zh-CN"/>
        </w:rPr>
        <w:t>√</w:t>
      </w:r>
      <w:r>
        <w:rPr>
          <w:rFonts w:hint="eastAsia" w:ascii="宋体" w:hAnsi="宋体" w:eastAsia="宋体" w:cs="宋体"/>
          <w:color w:val="auto"/>
          <w:spacing w:val="9"/>
          <w:sz w:val="24"/>
          <w:szCs w:val="24"/>
          <w:lang w:eastAsia="zh-CN"/>
        </w:rPr>
        <w:t>”标识”危险性较大的分部分项工程。</w:t>
      </w:r>
    </w:p>
    <w:p w14:paraId="08646324">
      <w:pPr>
        <w:spacing w:before="21" w:line="376" w:lineRule="exact"/>
        <w:ind w:firstLine="512" w:firstLineChars="200"/>
        <w:rPr>
          <w:rFonts w:hint="eastAsia" w:ascii="宋体" w:hAnsi="宋体" w:eastAsia="宋体" w:cs="宋体"/>
          <w:color w:val="auto"/>
          <w:sz w:val="24"/>
          <w:szCs w:val="24"/>
        </w:rPr>
      </w:pPr>
      <w:r>
        <w:rPr>
          <w:rFonts w:hint="eastAsia" w:ascii="宋体" w:hAnsi="宋体" w:eastAsia="宋体" w:cs="宋体"/>
          <w:color w:val="auto"/>
          <w:spacing w:val="8"/>
          <w:sz w:val="24"/>
          <w:szCs w:val="24"/>
        </w:rPr>
        <w:t>2.该《危险性较大的分部分项工程清单及超过一定规模的危险性较</w:t>
      </w:r>
      <w:r>
        <w:rPr>
          <w:rFonts w:hint="eastAsia" w:ascii="宋体" w:hAnsi="宋体" w:eastAsia="宋体" w:cs="宋体"/>
          <w:color w:val="auto"/>
          <w:spacing w:val="7"/>
          <w:sz w:val="24"/>
          <w:szCs w:val="24"/>
        </w:rPr>
        <w:t>大的分部分项工程清单》在办理</w:t>
      </w:r>
      <w:r>
        <w:rPr>
          <w:rFonts w:hint="eastAsia" w:ascii="宋体" w:hAnsi="宋体" w:eastAsia="宋体" w:cs="宋体"/>
          <w:color w:val="auto"/>
          <w:sz w:val="24"/>
          <w:szCs w:val="24"/>
        </w:rPr>
        <w:t xml:space="preserve"> </w:t>
      </w:r>
      <w:r>
        <w:rPr>
          <w:rFonts w:hint="eastAsia" w:ascii="宋体" w:hAnsi="宋体" w:eastAsia="宋体" w:cs="宋体"/>
          <w:color w:val="auto"/>
          <w:spacing w:val="10"/>
          <w:sz w:val="24"/>
          <w:szCs w:val="24"/>
        </w:rPr>
        <w:t>建设项目施工许可时必须提供，且各地建设行政主管部门可按照《广东省建设工</w:t>
      </w:r>
      <w:r>
        <w:rPr>
          <w:rFonts w:hint="eastAsia" w:ascii="宋体" w:hAnsi="宋体" w:eastAsia="宋体" w:cs="宋体"/>
          <w:color w:val="auto"/>
          <w:spacing w:val="9"/>
          <w:sz w:val="24"/>
          <w:szCs w:val="24"/>
        </w:rPr>
        <w:t>程项目招标中标后监督</w:t>
      </w:r>
      <w:r>
        <w:rPr>
          <w:rFonts w:hint="eastAsia" w:ascii="宋体" w:hAnsi="宋体" w:eastAsia="宋体" w:cs="宋体"/>
          <w:color w:val="auto"/>
          <w:sz w:val="24"/>
          <w:szCs w:val="24"/>
        </w:rPr>
        <w:t xml:space="preserve"> </w:t>
      </w:r>
      <w:r>
        <w:rPr>
          <w:rFonts w:hint="eastAsia" w:ascii="宋体" w:hAnsi="宋体" w:eastAsia="宋体" w:cs="宋体"/>
          <w:color w:val="auto"/>
          <w:spacing w:val="8"/>
          <w:sz w:val="24"/>
          <w:szCs w:val="24"/>
        </w:rPr>
        <w:t>检查办法》相关规定开展检查。</w:t>
      </w:r>
    </w:p>
    <w:p w14:paraId="35215AAA">
      <w:pPr>
        <w:spacing w:before="28" w:line="228" w:lineRule="auto"/>
        <w:ind w:left="567"/>
        <w:rPr>
          <w:rFonts w:hint="eastAsia" w:ascii="宋体" w:hAnsi="宋体" w:eastAsia="宋体" w:cs="宋体"/>
          <w:color w:val="auto"/>
          <w:spacing w:val="8"/>
          <w:sz w:val="24"/>
          <w:szCs w:val="24"/>
          <w:lang w:eastAsia="zh-CN"/>
        </w:rPr>
      </w:pPr>
      <w:r>
        <w:rPr>
          <w:rFonts w:hint="eastAsia" w:ascii="宋体" w:hAnsi="宋体" w:eastAsia="宋体" w:cs="宋体"/>
          <w:color w:val="auto"/>
          <w:spacing w:val="9"/>
          <w:sz w:val="24"/>
          <w:szCs w:val="24"/>
        </w:rPr>
        <w:t>3.如果需要（如需要通过计算编制专项方案，或者需要专家论证</w:t>
      </w:r>
      <w:r>
        <w:rPr>
          <w:rFonts w:hint="eastAsia" w:ascii="宋体" w:hAnsi="宋体" w:eastAsia="宋体" w:cs="宋体"/>
          <w:color w:val="auto"/>
          <w:spacing w:val="15"/>
          <w:sz w:val="24"/>
          <w:szCs w:val="24"/>
        </w:rPr>
        <w:t>），</w:t>
      </w:r>
      <w:r>
        <w:rPr>
          <w:rFonts w:hint="eastAsia" w:ascii="宋体" w:hAnsi="宋体" w:eastAsia="宋体" w:cs="宋体"/>
          <w:color w:val="auto"/>
          <w:spacing w:val="9"/>
          <w:sz w:val="24"/>
          <w:szCs w:val="24"/>
        </w:rPr>
        <w:t>可中</w:t>
      </w:r>
      <w:r>
        <w:rPr>
          <w:rFonts w:hint="eastAsia" w:ascii="宋体" w:hAnsi="宋体" w:eastAsia="宋体" w:cs="宋体"/>
          <w:color w:val="auto"/>
          <w:spacing w:val="8"/>
          <w:sz w:val="24"/>
          <w:szCs w:val="24"/>
        </w:rPr>
        <w:t>标后提供详细版</w:t>
      </w:r>
      <w:r>
        <w:rPr>
          <w:rFonts w:hint="eastAsia" w:ascii="宋体" w:hAnsi="宋体" w:eastAsia="宋体" w:cs="宋体"/>
          <w:color w:val="auto"/>
          <w:spacing w:val="8"/>
          <w:sz w:val="24"/>
          <w:szCs w:val="24"/>
          <w:lang w:eastAsia="zh-CN"/>
        </w:rPr>
        <w:t>。</w:t>
      </w:r>
    </w:p>
    <w:p w14:paraId="18012BA1">
      <w:pPr>
        <w:spacing w:line="228" w:lineRule="auto"/>
        <w:rPr>
          <w:rFonts w:ascii="宋体" w:hAnsi="宋体" w:eastAsia="宋体" w:cs="宋体"/>
          <w:sz w:val="19"/>
          <w:szCs w:val="19"/>
        </w:rPr>
        <w:sectPr>
          <w:footerReference r:id="rId28" w:type="default"/>
          <w:pgSz w:w="11906" w:h="16839"/>
          <w:pgMar w:top="720" w:right="720" w:bottom="720" w:left="720" w:header="0" w:footer="1023" w:gutter="0"/>
          <w:cols w:space="720" w:num="1"/>
        </w:sectPr>
      </w:pPr>
    </w:p>
    <w:p w14:paraId="523B3B93">
      <w:pPr>
        <w:spacing w:before="78" w:line="220" w:lineRule="auto"/>
        <w:outlineLvl w:val="2"/>
        <w:rPr>
          <w:rFonts w:ascii="宋体" w:hAnsi="宋体" w:eastAsia="宋体" w:cs="宋体"/>
          <w:b/>
          <w:bCs/>
          <w:spacing w:val="-4"/>
          <w:sz w:val="24"/>
          <w:szCs w:val="24"/>
        </w:rPr>
      </w:pPr>
      <w:bookmarkStart w:id="210" w:name="_Toc16400"/>
      <w:r>
        <w:rPr>
          <w:rFonts w:ascii="宋体" w:hAnsi="宋体" w:eastAsia="宋体" w:cs="宋体"/>
          <w:b/>
          <w:bCs/>
          <w:spacing w:val="-4"/>
          <w:sz w:val="24"/>
          <w:szCs w:val="24"/>
        </w:rPr>
        <w:t>格式十四</w:t>
      </w:r>
      <w:bookmarkEnd w:id="210"/>
    </w:p>
    <w:p w14:paraId="4CB8311E">
      <w:pPr>
        <w:pStyle w:val="5"/>
        <w:spacing w:line="244" w:lineRule="auto"/>
      </w:pPr>
    </w:p>
    <w:p w14:paraId="52EC52CB">
      <w:pPr>
        <w:pStyle w:val="5"/>
        <w:spacing w:line="244" w:lineRule="auto"/>
      </w:pPr>
    </w:p>
    <w:p w14:paraId="314FAB88">
      <w:pPr>
        <w:spacing w:before="140" w:line="604" w:lineRule="exact"/>
        <w:ind w:left="2338"/>
        <w:rPr>
          <w:rFonts w:ascii="宋体" w:hAnsi="宋体" w:eastAsia="宋体" w:cs="宋体"/>
          <w:sz w:val="28"/>
          <w:szCs w:val="28"/>
        </w:rPr>
      </w:pPr>
      <w:r>
        <w:rPr>
          <w:rFonts w:ascii="宋体" w:hAnsi="宋体" w:eastAsia="宋体" w:cs="宋体"/>
          <w:b/>
          <w:bCs/>
          <w:spacing w:val="4"/>
          <w:position w:val="3"/>
          <w:sz w:val="28"/>
          <w:szCs w:val="28"/>
        </w:rPr>
        <w:t>投标保证金信用承诺函</w:t>
      </w:r>
    </w:p>
    <w:p w14:paraId="16A9695C">
      <w:pPr>
        <w:pStyle w:val="5"/>
        <w:spacing w:line="408" w:lineRule="auto"/>
      </w:pPr>
    </w:p>
    <w:p w14:paraId="56207A5C">
      <w:pPr>
        <w:spacing w:before="101" w:line="257" w:lineRule="auto"/>
        <w:ind w:left="3" w:firstLine="965"/>
        <w:jc w:val="both"/>
        <w:rPr>
          <w:rFonts w:hint="eastAsia" w:ascii="宋体" w:hAnsi="宋体" w:eastAsia="宋体" w:cs="宋体"/>
          <w:sz w:val="24"/>
          <w:szCs w:val="24"/>
        </w:rPr>
      </w:pPr>
      <w:r>
        <w:rPr>
          <w:rFonts w:hint="eastAsia" w:ascii="宋体" w:hAnsi="宋体" w:eastAsia="宋体" w:cs="宋体"/>
          <w:b/>
          <w:bCs/>
          <w:spacing w:val="7"/>
          <w:sz w:val="24"/>
          <w:szCs w:val="24"/>
        </w:rPr>
        <w:t>一、</w:t>
      </w:r>
      <w:r>
        <w:rPr>
          <w:rFonts w:hint="eastAsia" w:ascii="宋体" w:hAnsi="宋体" w:eastAsia="宋体" w:cs="宋体"/>
          <w:spacing w:val="7"/>
          <w:sz w:val="24"/>
          <w:szCs w:val="24"/>
        </w:rPr>
        <w:t>我单位参加</w:t>
      </w:r>
      <w:r>
        <w:rPr>
          <w:rFonts w:hint="eastAsia" w:ascii="宋体" w:hAnsi="宋体" w:eastAsia="宋体" w:cs="宋体"/>
          <w:color w:val="D8D8D8"/>
          <w:spacing w:val="7"/>
          <w:sz w:val="24"/>
          <w:szCs w:val="24"/>
          <w:u w:val="single"/>
        </w:rPr>
        <w:t xml:space="preserve">  （工程项目名称）  </w:t>
      </w:r>
      <w:r>
        <w:rPr>
          <w:rFonts w:hint="eastAsia" w:ascii="宋体" w:hAnsi="宋体" w:eastAsia="宋体" w:cs="宋体"/>
          <w:color w:val="D8D8D8"/>
          <w:spacing w:val="-116"/>
          <w:sz w:val="24"/>
          <w:szCs w:val="24"/>
        </w:rPr>
        <w:t xml:space="preserve"> </w:t>
      </w:r>
      <w:r>
        <w:rPr>
          <w:rFonts w:hint="eastAsia" w:ascii="宋体" w:hAnsi="宋体" w:eastAsia="宋体" w:cs="宋体"/>
          <w:spacing w:val="7"/>
          <w:sz w:val="24"/>
          <w:szCs w:val="24"/>
        </w:rPr>
        <w:t>的投标活动，</w:t>
      </w:r>
      <w:r>
        <w:rPr>
          <w:rFonts w:hint="eastAsia" w:ascii="宋体" w:hAnsi="宋体" w:eastAsia="宋体" w:cs="宋体"/>
          <w:spacing w:val="6"/>
          <w:sz w:val="24"/>
          <w:szCs w:val="24"/>
        </w:rPr>
        <w:t>现承</w:t>
      </w:r>
      <w:r>
        <w:rPr>
          <w:rFonts w:hint="eastAsia" w:ascii="宋体" w:hAnsi="宋体" w:eastAsia="宋体" w:cs="宋体"/>
          <w:sz w:val="24"/>
          <w:szCs w:val="24"/>
        </w:rPr>
        <w:t xml:space="preserve"> </w:t>
      </w:r>
      <w:r>
        <w:rPr>
          <w:rFonts w:hint="eastAsia" w:ascii="宋体" w:hAnsi="宋体" w:eastAsia="宋体" w:cs="宋体"/>
          <w:spacing w:val="9"/>
          <w:sz w:val="24"/>
          <w:szCs w:val="24"/>
        </w:rPr>
        <w:t>诺：将严格按照法律法规规定参与交易活动，按照招标文件要求</w:t>
      </w:r>
      <w:r>
        <w:rPr>
          <w:rFonts w:hint="eastAsia" w:ascii="宋体" w:hAnsi="宋体" w:eastAsia="宋体" w:cs="宋体"/>
          <w:spacing w:val="13"/>
          <w:sz w:val="24"/>
          <w:szCs w:val="24"/>
        </w:rPr>
        <w:t xml:space="preserve"> </w:t>
      </w:r>
      <w:r>
        <w:rPr>
          <w:rFonts w:hint="eastAsia" w:ascii="宋体" w:hAnsi="宋体" w:eastAsia="宋体" w:cs="宋体"/>
          <w:spacing w:val="9"/>
          <w:sz w:val="24"/>
          <w:szCs w:val="24"/>
        </w:rPr>
        <w:t>依法履行投标人义务；我方若出现违反《中华人民共和国招标投</w:t>
      </w:r>
      <w:r>
        <w:rPr>
          <w:rFonts w:hint="eastAsia" w:ascii="宋体" w:hAnsi="宋体" w:eastAsia="宋体" w:cs="宋体"/>
          <w:spacing w:val="13"/>
          <w:sz w:val="24"/>
          <w:szCs w:val="24"/>
        </w:rPr>
        <w:t xml:space="preserve"> </w:t>
      </w:r>
      <w:r>
        <w:rPr>
          <w:rFonts w:hint="eastAsia" w:ascii="宋体" w:hAnsi="宋体" w:eastAsia="宋体" w:cs="宋体"/>
          <w:spacing w:val="9"/>
          <w:sz w:val="24"/>
          <w:szCs w:val="24"/>
        </w:rPr>
        <w:t>标法》、《中华人民共和国招标投标法实施条例》、《电子招标投标办法》等有关法律法规的行为，将于投标有效期内全额付清</w:t>
      </w:r>
      <w:r>
        <w:rPr>
          <w:rFonts w:hint="eastAsia" w:ascii="宋体" w:hAnsi="宋体" w:eastAsia="宋体" w:cs="宋体"/>
          <w:spacing w:val="13"/>
          <w:sz w:val="24"/>
          <w:szCs w:val="24"/>
        </w:rPr>
        <w:t xml:space="preserve"> </w:t>
      </w:r>
      <w:r>
        <w:rPr>
          <w:rFonts w:hint="eastAsia" w:ascii="宋体" w:hAnsi="宋体" w:eastAsia="宋体" w:cs="宋体"/>
          <w:spacing w:val="7"/>
          <w:sz w:val="24"/>
          <w:szCs w:val="24"/>
        </w:rPr>
        <w:t>招标文件规定的投标保证金</w:t>
      </w:r>
      <w:r>
        <w:rPr>
          <w:rFonts w:hint="eastAsia" w:ascii="宋体" w:hAnsi="宋体" w:eastAsia="宋体" w:cs="宋体"/>
          <w:spacing w:val="-153"/>
          <w:sz w:val="24"/>
          <w:szCs w:val="24"/>
        </w:rPr>
        <w:t xml:space="preserve"> </w:t>
      </w:r>
      <w:r>
        <w:rPr>
          <w:rFonts w:hint="eastAsia" w:ascii="宋体" w:hAnsi="宋体" w:eastAsia="宋体" w:cs="宋体"/>
          <w:spacing w:val="5"/>
          <w:sz w:val="24"/>
          <w:szCs w:val="24"/>
          <w:u w:val="single"/>
        </w:rPr>
        <w:t xml:space="preserve">     </w:t>
      </w:r>
      <w:r>
        <w:rPr>
          <w:rFonts w:hint="eastAsia" w:ascii="宋体" w:hAnsi="宋体" w:eastAsia="宋体" w:cs="宋体"/>
          <w:spacing w:val="-138"/>
          <w:sz w:val="24"/>
          <w:szCs w:val="24"/>
        </w:rPr>
        <w:t xml:space="preserve"> </w:t>
      </w:r>
      <w:r>
        <w:rPr>
          <w:rFonts w:hint="eastAsia" w:ascii="宋体" w:hAnsi="宋体" w:eastAsia="宋体" w:cs="宋体"/>
          <w:spacing w:val="7"/>
          <w:sz w:val="24"/>
          <w:szCs w:val="24"/>
        </w:rPr>
        <w:t>元。</w:t>
      </w:r>
    </w:p>
    <w:p w14:paraId="566694ED">
      <w:pPr>
        <w:spacing w:before="48" w:line="252" w:lineRule="auto"/>
        <w:ind w:left="1" w:firstLine="647"/>
        <w:jc w:val="both"/>
        <w:rPr>
          <w:rFonts w:hint="eastAsia" w:ascii="宋体" w:hAnsi="宋体" w:eastAsia="宋体" w:cs="宋体"/>
          <w:sz w:val="24"/>
          <w:szCs w:val="24"/>
        </w:rPr>
      </w:pPr>
      <w:r>
        <w:rPr>
          <w:rFonts w:hint="eastAsia" w:ascii="宋体" w:hAnsi="宋体" w:eastAsia="宋体" w:cs="宋体"/>
          <w:spacing w:val="9"/>
          <w:sz w:val="24"/>
          <w:szCs w:val="24"/>
        </w:rPr>
        <w:t>二、至投标文件提交当天，本公司无严重不良信用记录或存在曾作出虚假承诺的情形，且不属于韶关市建筑市场信用管理平</w:t>
      </w:r>
      <w:r>
        <w:rPr>
          <w:rFonts w:hint="eastAsia" w:ascii="宋体" w:hAnsi="宋体" w:eastAsia="宋体" w:cs="宋体"/>
          <w:spacing w:val="5"/>
          <w:sz w:val="24"/>
          <w:szCs w:val="24"/>
        </w:rPr>
        <w:t>台公布的信用等级为</w:t>
      </w:r>
      <w:r>
        <w:rPr>
          <w:rFonts w:hint="eastAsia" w:ascii="宋体" w:hAnsi="宋体" w:eastAsia="宋体" w:cs="宋体"/>
          <w:spacing w:val="-62"/>
          <w:sz w:val="24"/>
          <w:szCs w:val="24"/>
        </w:rPr>
        <w:t xml:space="preserve"> </w:t>
      </w:r>
      <w:r>
        <w:rPr>
          <w:rFonts w:hint="eastAsia" w:ascii="宋体" w:hAnsi="宋体" w:eastAsia="宋体" w:cs="宋体"/>
          <w:spacing w:val="5"/>
          <w:sz w:val="24"/>
          <w:szCs w:val="24"/>
        </w:rPr>
        <w:t>B</w:t>
      </w:r>
      <w:r>
        <w:rPr>
          <w:rFonts w:hint="eastAsia" w:ascii="宋体" w:hAnsi="宋体" w:eastAsia="宋体" w:cs="宋体"/>
          <w:spacing w:val="-57"/>
          <w:sz w:val="24"/>
          <w:szCs w:val="24"/>
        </w:rPr>
        <w:t xml:space="preserve"> </w:t>
      </w:r>
      <w:r>
        <w:rPr>
          <w:rFonts w:hint="eastAsia" w:ascii="宋体" w:hAnsi="宋体" w:eastAsia="宋体" w:cs="宋体"/>
          <w:spacing w:val="5"/>
          <w:sz w:val="24"/>
          <w:szCs w:val="24"/>
        </w:rPr>
        <w:t>级、C</w:t>
      </w:r>
      <w:r>
        <w:rPr>
          <w:rFonts w:hint="eastAsia" w:ascii="宋体" w:hAnsi="宋体" w:eastAsia="宋体" w:cs="宋体"/>
          <w:spacing w:val="-57"/>
          <w:sz w:val="24"/>
          <w:szCs w:val="24"/>
        </w:rPr>
        <w:t xml:space="preserve"> </w:t>
      </w:r>
      <w:r>
        <w:rPr>
          <w:rFonts w:hint="eastAsia" w:ascii="宋体" w:hAnsi="宋体" w:eastAsia="宋体" w:cs="宋体"/>
          <w:spacing w:val="5"/>
          <w:sz w:val="24"/>
          <w:szCs w:val="24"/>
        </w:rPr>
        <w:t>级、D</w:t>
      </w:r>
      <w:r>
        <w:rPr>
          <w:rFonts w:hint="eastAsia" w:ascii="宋体" w:hAnsi="宋体" w:eastAsia="宋体" w:cs="宋体"/>
          <w:spacing w:val="-57"/>
          <w:sz w:val="24"/>
          <w:szCs w:val="24"/>
        </w:rPr>
        <w:t xml:space="preserve"> </w:t>
      </w:r>
      <w:r>
        <w:rPr>
          <w:rFonts w:hint="eastAsia" w:ascii="宋体" w:hAnsi="宋体" w:eastAsia="宋体" w:cs="宋体"/>
          <w:spacing w:val="5"/>
          <w:sz w:val="24"/>
          <w:szCs w:val="24"/>
        </w:rPr>
        <w:t>级的企业。</w:t>
      </w:r>
    </w:p>
    <w:p w14:paraId="75E9C26F">
      <w:pPr>
        <w:spacing w:before="52" w:line="247" w:lineRule="auto"/>
        <w:ind w:left="6" w:right="2" w:firstLine="638"/>
        <w:rPr>
          <w:rFonts w:hint="eastAsia" w:ascii="宋体" w:hAnsi="宋体" w:eastAsia="宋体" w:cs="宋体"/>
          <w:sz w:val="24"/>
          <w:szCs w:val="24"/>
        </w:rPr>
      </w:pPr>
      <w:r>
        <w:rPr>
          <w:rFonts w:hint="eastAsia" w:ascii="宋体" w:hAnsi="宋体" w:eastAsia="宋体" w:cs="宋体"/>
          <w:spacing w:val="9"/>
          <w:sz w:val="24"/>
          <w:szCs w:val="24"/>
        </w:rPr>
        <w:t>本企业对以上承诺和声明负责。如有虚假，愿接受行政主管</w:t>
      </w:r>
      <w:r>
        <w:rPr>
          <w:rFonts w:hint="eastAsia" w:ascii="宋体" w:hAnsi="宋体" w:eastAsia="宋体" w:cs="宋体"/>
          <w:spacing w:val="8"/>
          <w:sz w:val="24"/>
          <w:szCs w:val="24"/>
        </w:rPr>
        <w:t>部门作出的处罚，并承担以下后果：</w:t>
      </w:r>
    </w:p>
    <w:p w14:paraId="2BE61066">
      <w:pPr>
        <w:spacing w:before="48" w:line="225" w:lineRule="auto"/>
        <w:ind w:left="656"/>
        <w:rPr>
          <w:rFonts w:hint="eastAsia" w:ascii="宋体" w:hAnsi="宋体" w:eastAsia="宋体" w:cs="宋体"/>
          <w:sz w:val="24"/>
          <w:szCs w:val="24"/>
        </w:rPr>
      </w:pPr>
      <w:r>
        <w:rPr>
          <w:rFonts w:hint="eastAsia" w:ascii="宋体" w:hAnsi="宋体" w:eastAsia="宋体" w:cs="宋体"/>
          <w:spacing w:val="8"/>
          <w:sz w:val="24"/>
          <w:szCs w:val="24"/>
        </w:rPr>
        <w:t>（一）取消本单位在本项目中的投标资格或中标资格；</w:t>
      </w:r>
    </w:p>
    <w:p w14:paraId="058CA117">
      <w:pPr>
        <w:spacing w:before="64" w:line="225" w:lineRule="auto"/>
        <w:ind w:left="656"/>
        <w:rPr>
          <w:rFonts w:hint="eastAsia" w:ascii="宋体" w:hAnsi="宋体" w:eastAsia="宋体" w:cs="宋体"/>
          <w:sz w:val="24"/>
          <w:szCs w:val="24"/>
        </w:rPr>
      </w:pPr>
      <w:r>
        <w:rPr>
          <w:rFonts w:hint="eastAsia" w:ascii="宋体" w:hAnsi="宋体" w:eastAsia="宋体" w:cs="宋体"/>
          <w:spacing w:val="8"/>
          <w:sz w:val="24"/>
          <w:szCs w:val="24"/>
        </w:rPr>
        <w:t>（二）将本单位不良行为纳入信用信息管理系统；</w:t>
      </w:r>
    </w:p>
    <w:p w14:paraId="38D40CC6">
      <w:pPr>
        <w:spacing w:before="60" w:line="244" w:lineRule="auto"/>
        <w:ind w:left="41" w:right="2" w:firstLine="615"/>
        <w:rPr>
          <w:rFonts w:hint="eastAsia" w:ascii="宋体" w:hAnsi="宋体" w:eastAsia="宋体" w:cs="宋体"/>
          <w:sz w:val="24"/>
          <w:szCs w:val="24"/>
        </w:rPr>
      </w:pPr>
      <w:r>
        <w:rPr>
          <w:rFonts w:hint="eastAsia" w:ascii="宋体" w:hAnsi="宋体" w:eastAsia="宋体" w:cs="宋体"/>
          <w:spacing w:val="9"/>
          <w:sz w:val="24"/>
          <w:szCs w:val="24"/>
        </w:rPr>
        <w:t>（三）主动在产生不良行为所在的各县（市、区）行</w:t>
      </w:r>
      <w:r>
        <w:rPr>
          <w:rFonts w:hint="eastAsia" w:ascii="宋体" w:hAnsi="宋体" w:eastAsia="宋体" w:cs="宋体"/>
          <w:spacing w:val="8"/>
          <w:sz w:val="24"/>
          <w:szCs w:val="24"/>
        </w:rPr>
        <w:t>政区域</w:t>
      </w:r>
      <w:r>
        <w:rPr>
          <w:rFonts w:hint="eastAsia" w:ascii="宋体" w:hAnsi="宋体" w:eastAsia="宋体" w:cs="宋体"/>
          <w:spacing w:val="6"/>
          <w:sz w:val="24"/>
          <w:szCs w:val="24"/>
        </w:rPr>
        <w:t>内不参加房建市政工程项目的投标活动一年；</w:t>
      </w:r>
    </w:p>
    <w:p w14:paraId="63C45F6F">
      <w:pPr>
        <w:spacing w:before="63" w:line="225" w:lineRule="auto"/>
        <w:ind w:left="656"/>
        <w:rPr>
          <w:rFonts w:hint="eastAsia" w:ascii="宋体" w:hAnsi="宋体" w:eastAsia="宋体" w:cs="宋体"/>
          <w:sz w:val="24"/>
          <w:szCs w:val="24"/>
        </w:rPr>
      </w:pPr>
      <w:r>
        <w:rPr>
          <w:rFonts w:hint="eastAsia" w:ascii="宋体" w:hAnsi="宋体" w:eastAsia="宋体" w:cs="宋体"/>
          <w:spacing w:val="7"/>
          <w:sz w:val="24"/>
          <w:szCs w:val="24"/>
        </w:rPr>
        <w:t>（四）应付的赔偿责任和相应法律责任。</w:t>
      </w:r>
    </w:p>
    <w:p w14:paraId="5C788DC3">
      <w:pPr>
        <w:pStyle w:val="5"/>
        <w:spacing w:line="329" w:lineRule="auto"/>
        <w:rPr>
          <w:rFonts w:hint="eastAsia" w:ascii="宋体" w:hAnsi="宋体" w:eastAsia="宋体" w:cs="宋体"/>
          <w:sz w:val="24"/>
          <w:szCs w:val="24"/>
        </w:rPr>
      </w:pPr>
    </w:p>
    <w:p w14:paraId="3F0BF684">
      <w:pPr>
        <w:spacing w:before="102" w:line="225" w:lineRule="auto"/>
        <w:ind w:left="845"/>
        <w:rPr>
          <w:rFonts w:hint="eastAsia" w:ascii="宋体" w:hAnsi="宋体" w:eastAsia="宋体" w:cs="宋体"/>
          <w:sz w:val="24"/>
          <w:szCs w:val="24"/>
        </w:rPr>
      </w:pPr>
      <w:r>
        <w:rPr>
          <w:rFonts w:hint="eastAsia" w:ascii="宋体" w:hAnsi="宋体" w:eastAsia="宋体" w:cs="宋体"/>
          <w:spacing w:val="7"/>
          <w:sz w:val="24"/>
          <w:szCs w:val="24"/>
        </w:rPr>
        <w:t>单位名称（公章</w:t>
      </w:r>
      <w:r>
        <w:rPr>
          <w:rFonts w:hint="eastAsia" w:ascii="宋体" w:hAnsi="宋体" w:eastAsia="宋体" w:cs="宋体"/>
          <w:spacing w:val="1"/>
          <w:sz w:val="24"/>
          <w:szCs w:val="24"/>
        </w:rPr>
        <w:t>）：</w:t>
      </w:r>
    </w:p>
    <w:p w14:paraId="5D049898">
      <w:pPr>
        <w:pStyle w:val="5"/>
        <w:spacing w:line="457" w:lineRule="auto"/>
        <w:rPr>
          <w:rFonts w:hint="eastAsia" w:ascii="宋体" w:hAnsi="宋体" w:eastAsia="宋体" w:cs="宋体"/>
          <w:sz w:val="24"/>
          <w:szCs w:val="24"/>
        </w:rPr>
      </w:pPr>
    </w:p>
    <w:p w14:paraId="75541916">
      <w:pPr>
        <w:spacing w:before="100" w:line="225" w:lineRule="auto"/>
        <w:ind w:left="850"/>
        <w:rPr>
          <w:rFonts w:hint="eastAsia" w:ascii="宋体" w:hAnsi="宋体" w:eastAsia="宋体" w:cs="宋体"/>
          <w:sz w:val="24"/>
          <w:szCs w:val="24"/>
        </w:rPr>
      </w:pPr>
      <w:r>
        <w:rPr>
          <w:rFonts w:hint="eastAsia" w:ascii="宋体" w:hAnsi="宋体" w:eastAsia="宋体" w:cs="宋体"/>
          <w:spacing w:val="6"/>
          <w:sz w:val="24"/>
          <w:szCs w:val="24"/>
        </w:rPr>
        <w:t>统一社会信用代码：</w:t>
      </w:r>
    </w:p>
    <w:p w14:paraId="1CF58FD4">
      <w:pPr>
        <w:pStyle w:val="5"/>
        <w:spacing w:line="457" w:lineRule="auto"/>
        <w:rPr>
          <w:rFonts w:hint="eastAsia" w:ascii="宋体" w:hAnsi="宋体" w:eastAsia="宋体" w:cs="宋体"/>
          <w:sz w:val="24"/>
          <w:szCs w:val="24"/>
        </w:rPr>
      </w:pPr>
    </w:p>
    <w:p w14:paraId="7879C0B1">
      <w:pPr>
        <w:spacing w:before="102" w:line="543" w:lineRule="auto"/>
        <w:ind w:left="844" w:right="5000"/>
        <w:rPr>
          <w:rFonts w:hint="eastAsia" w:ascii="宋体" w:hAnsi="宋体" w:eastAsia="宋体" w:cs="宋体"/>
          <w:sz w:val="24"/>
          <w:szCs w:val="24"/>
        </w:rPr>
      </w:pPr>
      <w:r>
        <w:rPr>
          <w:rFonts w:hint="eastAsia" w:ascii="宋体" w:hAnsi="宋体" w:eastAsia="宋体" w:cs="宋体"/>
          <w:spacing w:val="8"/>
          <w:sz w:val="24"/>
          <w:szCs w:val="24"/>
        </w:rPr>
        <w:t>法定代表人（签字</w:t>
      </w:r>
      <w:r>
        <w:rPr>
          <w:rFonts w:hint="eastAsia" w:ascii="宋体" w:hAnsi="宋体" w:eastAsia="宋体" w:cs="宋体"/>
          <w:spacing w:val="-29"/>
          <w:sz w:val="24"/>
          <w:szCs w:val="24"/>
        </w:rPr>
        <w:t>）：</w:t>
      </w:r>
      <w:r>
        <w:rPr>
          <w:rFonts w:hint="eastAsia" w:ascii="宋体" w:hAnsi="宋体" w:eastAsia="宋体" w:cs="宋体"/>
          <w:sz w:val="24"/>
          <w:szCs w:val="24"/>
        </w:rPr>
        <w:t xml:space="preserve"> </w:t>
      </w:r>
      <w:r>
        <w:rPr>
          <w:rFonts w:hint="eastAsia" w:ascii="宋体" w:hAnsi="宋体" w:eastAsia="宋体" w:cs="宋体"/>
          <w:spacing w:val="-6"/>
          <w:sz w:val="24"/>
          <w:szCs w:val="24"/>
        </w:rPr>
        <w:t>年</w:t>
      </w:r>
      <w:r>
        <w:rPr>
          <w:rFonts w:hint="eastAsia" w:ascii="宋体" w:hAnsi="宋体" w:eastAsia="宋体" w:cs="宋体"/>
          <w:spacing w:val="12"/>
          <w:sz w:val="24"/>
          <w:szCs w:val="24"/>
        </w:rPr>
        <w:t xml:space="preserve">   </w:t>
      </w:r>
      <w:r>
        <w:rPr>
          <w:rFonts w:hint="eastAsia" w:ascii="宋体" w:hAnsi="宋体" w:eastAsia="宋体" w:cs="宋体"/>
          <w:spacing w:val="-6"/>
          <w:sz w:val="24"/>
          <w:szCs w:val="24"/>
        </w:rPr>
        <w:t>月</w:t>
      </w:r>
      <w:r>
        <w:rPr>
          <w:rFonts w:hint="eastAsia" w:ascii="宋体" w:hAnsi="宋体" w:eastAsia="宋体" w:cs="宋体"/>
          <w:spacing w:val="39"/>
          <w:sz w:val="24"/>
          <w:szCs w:val="24"/>
        </w:rPr>
        <w:t xml:space="preserve">  </w:t>
      </w:r>
      <w:r>
        <w:rPr>
          <w:rFonts w:hint="eastAsia" w:ascii="宋体" w:hAnsi="宋体" w:eastAsia="宋体" w:cs="宋体"/>
          <w:spacing w:val="-6"/>
          <w:sz w:val="24"/>
          <w:szCs w:val="24"/>
        </w:rPr>
        <w:t>日</w:t>
      </w:r>
    </w:p>
    <w:p w14:paraId="7DC8F0E5">
      <w:pPr>
        <w:spacing w:line="543" w:lineRule="auto"/>
        <w:rPr>
          <w:rFonts w:hint="eastAsia" w:ascii="宋体" w:hAnsi="宋体" w:eastAsia="宋体" w:cs="宋体"/>
          <w:sz w:val="24"/>
          <w:szCs w:val="24"/>
        </w:rPr>
        <w:sectPr>
          <w:footerReference r:id="rId29" w:type="default"/>
          <w:pgSz w:w="11906" w:h="16839"/>
          <w:pgMar w:top="720" w:right="720" w:bottom="720" w:left="720" w:header="0" w:footer="1023" w:gutter="0"/>
          <w:cols w:space="720" w:num="1"/>
        </w:sectPr>
      </w:pPr>
    </w:p>
    <w:p w14:paraId="058CA255">
      <w:pPr>
        <w:spacing w:before="78" w:line="220" w:lineRule="auto"/>
        <w:outlineLvl w:val="2"/>
        <w:rPr>
          <w:rFonts w:ascii="宋体" w:hAnsi="宋体" w:eastAsia="宋体" w:cs="宋体"/>
          <w:b/>
          <w:bCs/>
          <w:spacing w:val="-4"/>
          <w:sz w:val="24"/>
          <w:szCs w:val="24"/>
        </w:rPr>
      </w:pPr>
      <w:bookmarkStart w:id="211" w:name="_Toc12640"/>
      <w:r>
        <w:rPr>
          <w:rFonts w:ascii="宋体" w:hAnsi="宋体" w:eastAsia="宋体" w:cs="宋体"/>
          <w:b/>
          <w:bCs/>
          <w:spacing w:val="-4"/>
          <w:sz w:val="24"/>
          <w:szCs w:val="24"/>
        </w:rPr>
        <w:t>格式十</w:t>
      </w:r>
      <w:r>
        <w:rPr>
          <w:rFonts w:hint="eastAsia" w:ascii="宋体" w:hAnsi="宋体" w:eastAsia="宋体" w:cs="宋体"/>
          <w:b/>
          <w:bCs/>
          <w:spacing w:val="-4"/>
          <w:sz w:val="24"/>
          <w:szCs w:val="24"/>
          <w:lang w:eastAsia="zh-CN"/>
        </w:rPr>
        <w:t>五</w:t>
      </w:r>
      <w:r>
        <w:rPr>
          <w:rFonts w:ascii="宋体" w:hAnsi="宋体" w:eastAsia="宋体" w:cs="宋体"/>
          <w:b/>
          <w:bCs/>
          <w:spacing w:val="-4"/>
          <w:sz w:val="24"/>
          <w:szCs w:val="24"/>
        </w:rPr>
        <w:t xml:space="preserve">  原件一览表</w:t>
      </w:r>
      <w:bookmarkEnd w:id="211"/>
    </w:p>
    <w:tbl>
      <w:tblPr>
        <w:tblStyle w:val="14"/>
        <w:tblW w:w="10240" w:type="dxa"/>
        <w:tblInd w:w="12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2"/>
        <w:gridCol w:w="1691"/>
        <w:gridCol w:w="103"/>
        <w:gridCol w:w="2136"/>
        <w:gridCol w:w="1044"/>
        <w:gridCol w:w="782"/>
        <w:gridCol w:w="846"/>
        <w:gridCol w:w="1076"/>
        <w:gridCol w:w="1770"/>
      </w:tblGrid>
      <w:tr w14:paraId="5456A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10240" w:type="dxa"/>
            <w:gridSpan w:val="9"/>
            <w:noWrap w:val="0"/>
            <w:vAlign w:val="top"/>
          </w:tcPr>
          <w:p w14:paraId="015C9BD3">
            <w:pPr>
              <w:spacing w:before="132" w:line="220" w:lineRule="auto"/>
              <w:ind w:left="3965"/>
              <w:rPr>
                <w:rFonts w:ascii="宋体" w:hAnsi="宋体" w:eastAsia="宋体" w:cs="宋体"/>
                <w:sz w:val="24"/>
                <w:szCs w:val="24"/>
              </w:rPr>
            </w:pPr>
            <w:r>
              <w:rPr>
                <w:rFonts w:ascii="宋体" w:hAnsi="宋体" w:eastAsia="宋体" w:cs="宋体"/>
                <w:b/>
                <w:bCs/>
                <w:spacing w:val="-5"/>
                <w:sz w:val="24"/>
                <w:szCs w:val="24"/>
              </w:rPr>
              <w:t>原件一览表</w:t>
            </w:r>
          </w:p>
        </w:tc>
      </w:tr>
      <w:tr w14:paraId="5E19B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2586" w:type="dxa"/>
            <w:gridSpan w:val="3"/>
            <w:noWrap w:val="0"/>
            <w:vAlign w:val="top"/>
          </w:tcPr>
          <w:p w14:paraId="1BE7F4E4">
            <w:pPr>
              <w:pStyle w:val="20"/>
              <w:spacing w:line="253" w:lineRule="auto"/>
              <w:rPr>
                <w:sz w:val="24"/>
                <w:szCs w:val="24"/>
              </w:rPr>
            </w:pPr>
          </w:p>
          <w:p w14:paraId="00DD81DC">
            <w:pPr>
              <w:spacing w:before="62" w:line="230" w:lineRule="auto"/>
              <w:rPr>
                <w:rFonts w:ascii="宋体" w:hAnsi="宋体" w:eastAsia="宋体" w:cs="宋体"/>
                <w:sz w:val="24"/>
                <w:szCs w:val="24"/>
              </w:rPr>
            </w:pPr>
            <w:r>
              <w:rPr>
                <w:rFonts w:ascii="宋体" w:hAnsi="宋体" w:eastAsia="宋体" w:cs="宋体"/>
                <w:spacing w:val="7"/>
                <w:sz w:val="24"/>
                <w:szCs w:val="24"/>
              </w:rPr>
              <w:t>工程名称</w:t>
            </w:r>
          </w:p>
        </w:tc>
        <w:tc>
          <w:tcPr>
            <w:tcW w:w="7654" w:type="dxa"/>
            <w:gridSpan w:val="6"/>
            <w:noWrap w:val="0"/>
            <w:vAlign w:val="top"/>
          </w:tcPr>
          <w:p w14:paraId="2F348EE4">
            <w:pPr>
              <w:pStyle w:val="20"/>
              <w:rPr>
                <w:sz w:val="24"/>
                <w:szCs w:val="24"/>
              </w:rPr>
            </w:pPr>
          </w:p>
        </w:tc>
      </w:tr>
      <w:tr w14:paraId="276D2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trPr>
        <w:tc>
          <w:tcPr>
            <w:tcW w:w="2586" w:type="dxa"/>
            <w:gridSpan w:val="3"/>
            <w:noWrap w:val="0"/>
            <w:vAlign w:val="top"/>
          </w:tcPr>
          <w:p w14:paraId="1E616F62">
            <w:pPr>
              <w:spacing w:before="150" w:line="230" w:lineRule="auto"/>
              <w:rPr>
                <w:rFonts w:ascii="宋体" w:hAnsi="宋体" w:eastAsia="宋体" w:cs="宋体"/>
                <w:sz w:val="24"/>
                <w:szCs w:val="24"/>
              </w:rPr>
            </w:pPr>
            <w:r>
              <w:rPr>
                <w:rFonts w:ascii="宋体" w:hAnsi="宋体" w:eastAsia="宋体" w:cs="宋体"/>
                <w:spacing w:val="7"/>
                <w:sz w:val="24"/>
                <w:szCs w:val="24"/>
              </w:rPr>
              <w:t>投标人名称</w:t>
            </w:r>
            <w:r>
              <w:rPr>
                <w:rFonts w:ascii="宋体" w:hAnsi="宋体" w:eastAsia="宋体" w:cs="宋体"/>
                <w:spacing w:val="5"/>
                <w:sz w:val="24"/>
                <w:szCs w:val="24"/>
              </w:rPr>
              <w:t>(请务必填写单位全称)</w:t>
            </w:r>
          </w:p>
        </w:tc>
        <w:tc>
          <w:tcPr>
            <w:tcW w:w="7654" w:type="dxa"/>
            <w:gridSpan w:val="6"/>
            <w:noWrap w:val="0"/>
            <w:vAlign w:val="top"/>
          </w:tcPr>
          <w:p w14:paraId="730A7B36">
            <w:pPr>
              <w:pStyle w:val="20"/>
              <w:rPr>
                <w:sz w:val="24"/>
                <w:szCs w:val="24"/>
              </w:rPr>
            </w:pPr>
          </w:p>
        </w:tc>
      </w:tr>
      <w:tr w14:paraId="26892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5" w:hRule="atLeast"/>
        </w:trPr>
        <w:tc>
          <w:tcPr>
            <w:tcW w:w="2586" w:type="dxa"/>
            <w:gridSpan w:val="3"/>
            <w:noWrap w:val="0"/>
            <w:vAlign w:val="top"/>
          </w:tcPr>
          <w:p w14:paraId="56BF37B2">
            <w:pPr>
              <w:spacing w:before="151"/>
              <w:ind w:right="149"/>
              <w:rPr>
                <w:rFonts w:ascii="宋体" w:hAnsi="宋体" w:eastAsia="宋体" w:cs="宋体"/>
                <w:sz w:val="24"/>
                <w:szCs w:val="24"/>
              </w:rPr>
            </w:pPr>
            <w:r>
              <w:rPr>
                <w:rFonts w:ascii="宋体" w:hAnsi="宋体" w:eastAsia="宋体" w:cs="宋体"/>
                <w:spacing w:val="8"/>
                <w:sz w:val="24"/>
                <w:szCs w:val="24"/>
              </w:rPr>
              <w:t>投标人法定代表人或其委托代理人签名</w:t>
            </w:r>
          </w:p>
        </w:tc>
        <w:tc>
          <w:tcPr>
            <w:tcW w:w="3180" w:type="dxa"/>
            <w:gridSpan w:val="2"/>
            <w:noWrap w:val="0"/>
            <w:vAlign w:val="top"/>
          </w:tcPr>
          <w:p w14:paraId="7387B24B">
            <w:pPr>
              <w:pStyle w:val="20"/>
              <w:rPr>
                <w:sz w:val="24"/>
                <w:szCs w:val="24"/>
              </w:rPr>
            </w:pPr>
          </w:p>
        </w:tc>
        <w:tc>
          <w:tcPr>
            <w:tcW w:w="1628" w:type="dxa"/>
            <w:gridSpan w:val="2"/>
            <w:noWrap w:val="0"/>
            <w:vAlign w:val="top"/>
          </w:tcPr>
          <w:p w14:paraId="4F1EF4C9">
            <w:pPr>
              <w:spacing w:before="151" w:line="312" w:lineRule="auto"/>
              <w:ind w:right="175"/>
              <w:rPr>
                <w:rFonts w:ascii="宋体" w:hAnsi="宋体" w:eastAsia="宋体" w:cs="宋体"/>
                <w:sz w:val="24"/>
                <w:szCs w:val="24"/>
              </w:rPr>
            </w:pPr>
            <w:r>
              <w:rPr>
                <w:rFonts w:ascii="宋体" w:hAnsi="宋体" w:eastAsia="宋体" w:cs="宋体"/>
                <w:spacing w:val="5"/>
                <w:sz w:val="24"/>
                <w:szCs w:val="24"/>
              </w:rPr>
              <w:t>手机</w:t>
            </w:r>
            <w:r>
              <w:rPr>
                <w:rFonts w:ascii="宋体" w:hAnsi="宋体" w:eastAsia="宋体" w:cs="宋体"/>
                <w:spacing w:val="2"/>
                <w:sz w:val="24"/>
                <w:szCs w:val="24"/>
              </w:rPr>
              <w:t>号码</w:t>
            </w:r>
          </w:p>
        </w:tc>
        <w:tc>
          <w:tcPr>
            <w:tcW w:w="2846" w:type="dxa"/>
            <w:gridSpan w:val="2"/>
            <w:noWrap w:val="0"/>
            <w:vAlign w:val="top"/>
          </w:tcPr>
          <w:p w14:paraId="728C59E0">
            <w:pPr>
              <w:pStyle w:val="20"/>
              <w:rPr>
                <w:sz w:val="24"/>
                <w:szCs w:val="24"/>
              </w:rPr>
            </w:pPr>
          </w:p>
        </w:tc>
      </w:tr>
      <w:tr w14:paraId="5BEC5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10240" w:type="dxa"/>
            <w:gridSpan w:val="9"/>
            <w:noWrap w:val="0"/>
            <w:vAlign w:val="top"/>
          </w:tcPr>
          <w:p w14:paraId="7DC17F12">
            <w:pPr>
              <w:spacing w:before="62" w:line="228" w:lineRule="auto"/>
              <w:ind w:left="3361"/>
              <w:rPr>
                <w:rFonts w:ascii="宋体" w:hAnsi="宋体" w:eastAsia="宋体" w:cs="宋体"/>
                <w:sz w:val="24"/>
                <w:szCs w:val="24"/>
              </w:rPr>
            </w:pPr>
            <w:r>
              <w:rPr>
                <w:rFonts w:ascii="宋体" w:hAnsi="宋体" w:eastAsia="宋体" w:cs="宋体"/>
                <w:spacing w:val="8"/>
                <w:sz w:val="24"/>
                <w:szCs w:val="24"/>
              </w:rPr>
              <w:t>递交的证明材料原件如下：</w:t>
            </w:r>
          </w:p>
        </w:tc>
      </w:tr>
      <w:tr w14:paraId="3BA0A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792" w:type="dxa"/>
            <w:noWrap w:val="0"/>
            <w:vAlign w:val="top"/>
          </w:tcPr>
          <w:p w14:paraId="660EC027">
            <w:pPr>
              <w:pStyle w:val="20"/>
              <w:spacing w:line="257" w:lineRule="auto"/>
              <w:rPr>
                <w:sz w:val="24"/>
                <w:szCs w:val="24"/>
              </w:rPr>
            </w:pPr>
          </w:p>
          <w:p w14:paraId="21706B2C">
            <w:pPr>
              <w:spacing w:before="62" w:line="230" w:lineRule="auto"/>
              <w:ind w:left="155"/>
              <w:rPr>
                <w:rFonts w:ascii="宋体" w:hAnsi="宋体" w:eastAsia="宋体" w:cs="宋体"/>
                <w:sz w:val="24"/>
                <w:szCs w:val="24"/>
              </w:rPr>
            </w:pPr>
            <w:r>
              <w:rPr>
                <w:rFonts w:ascii="宋体" w:hAnsi="宋体" w:eastAsia="宋体" w:cs="宋体"/>
                <w:spacing w:val="5"/>
                <w:sz w:val="24"/>
                <w:szCs w:val="24"/>
              </w:rPr>
              <w:t>序号</w:t>
            </w:r>
          </w:p>
        </w:tc>
        <w:tc>
          <w:tcPr>
            <w:tcW w:w="5756" w:type="dxa"/>
            <w:gridSpan w:val="5"/>
            <w:noWrap w:val="0"/>
            <w:vAlign w:val="top"/>
          </w:tcPr>
          <w:p w14:paraId="411DD154">
            <w:pPr>
              <w:pStyle w:val="20"/>
              <w:spacing w:line="257" w:lineRule="auto"/>
              <w:rPr>
                <w:sz w:val="24"/>
                <w:szCs w:val="24"/>
              </w:rPr>
            </w:pPr>
          </w:p>
          <w:p w14:paraId="0D1418BF">
            <w:pPr>
              <w:spacing w:before="61" w:line="228" w:lineRule="auto"/>
              <w:ind w:left="1765"/>
              <w:rPr>
                <w:rFonts w:ascii="宋体" w:hAnsi="宋体" w:eastAsia="宋体" w:cs="宋体"/>
                <w:sz w:val="24"/>
                <w:szCs w:val="24"/>
              </w:rPr>
            </w:pPr>
            <w:r>
              <w:rPr>
                <w:rFonts w:ascii="宋体" w:hAnsi="宋体" w:eastAsia="宋体" w:cs="宋体"/>
                <w:spacing w:val="8"/>
                <w:sz w:val="24"/>
                <w:szCs w:val="24"/>
              </w:rPr>
              <w:t>证明材料原件名称</w:t>
            </w:r>
          </w:p>
        </w:tc>
        <w:tc>
          <w:tcPr>
            <w:tcW w:w="1922" w:type="dxa"/>
            <w:gridSpan w:val="2"/>
            <w:noWrap w:val="0"/>
            <w:vAlign w:val="top"/>
          </w:tcPr>
          <w:p w14:paraId="77DB7AA2">
            <w:pPr>
              <w:pStyle w:val="20"/>
              <w:spacing w:line="256" w:lineRule="auto"/>
              <w:rPr>
                <w:sz w:val="24"/>
                <w:szCs w:val="24"/>
              </w:rPr>
            </w:pPr>
          </w:p>
          <w:p w14:paraId="723D7F07">
            <w:pPr>
              <w:spacing w:before="62" w:line="230" w:lineRule="auto"/>
              <w:ind w:left="664"/>
              <w:rPr>
                <w:rFonts w:ascii="宋体" w:hAnsi="宋体" w:eastAsia="宋体" w:cs="宋体"/>
                <w:sz w:val="24"/>
                <w:szCs w:val="24"/>
              </w:rPr>
            </w:pPr>
            <w:r>
              <w:rPr>
                <w:rFonts w:ascii="宋体" w:hAnsi="宋体" w:eastAsia="宋体" w:cs="宋体"/>
                <w:spacing w:val="4"/>
                <w:sz w:val="24"/>
                <w:szCs w:val="24"/>
              </w:rPr>
              <w:t>单位</w:t>
            </w:r>
          </w:p>
        </w:tc>
        <w:tc>
          <w:tcPr>
            <w:tcW w:w="1770" w:type="dxa"/>
            <w:noWrap w:val="0"/>
            <w:vAlign w:val="top"/>
          </w:tcPr>
          <w:p w14:paraId="36C3606C">
            <w:pPr>
              <w:pStyle w:val="20"/>
              <w:spacing w:line="256" w:lineRule="auto"/>
              <w:rPr>
                <w:sz w:val="24"/>
                <w:szCs w:val="24"/>
              </w:rPr>
            </w:pPr>
          </w:p>
          <w:p w14:paraId="58772EB6">
            <w:pPr>
              <w:spacing w:before="62" w:line="229" w:lineRule="auto"/>
              <w:ind w:left="592"/>
              <w:rPr>
                <w:rFonts w:ascii="宋体" w:hAnsi="宋体" w:eastAsia="宋体" w:cs="宋体"/>
                <w:sz w:val="24"/>
                <w:szCs w:val="24"/>
              </w:rPr>
            </w:pPr>
            <w:r>
              <w:rPr>
                <w:rFonts w:ascii="宋体" w:hAnsi="宋体" w:eastAsia="宋体" w:cs="宋体"/>
                <w:spacing w:val="4"/>
                <w:sz w:val="24"/>
                <w:szCs w:val="24"/>
              </w:rPr>
              <w:t>数量</w:t>
            </w:r>
          </w:p>
        </w:tc>
      </w:tr>
      <w:tr w14:paraId="17399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792" w:type="dxa"/>
            <w:noWrap w:val="0"/>
            <w:vAlign w:val="top"/>
          </w:tcPr>
          <w:p w14:paraId="716D871A">
            <w:pPr>
              <w:spacing w:before="287" w:line="184" w:lineRule="auto"/>
              <w:ind w:left="317"/>
              <w:rPr>
                <w:rFonts w:ascii="宋体" w:hAnsi="宋体" w:eastAsia="宋体" w:cs="宋体"/>
                <w:sz w:val="24"/>
                <w:szCs w:val="24"/>
              </w:rPr>
            </w:pPr>
            <w:r>
              <w:rPr>
                <w:rFonts w:ascii="宋体" w:hAnsi="宋体" w:eastAsia="宋体" w:cs="宋体"/>
                <w:sz w:val="24"/>
                <w:szCs w:val="24"/>
              </w:rPr>
              <w:t>1</w:t>
            </w:r>
          </w:p>
        </w:tc>
        <w:tc>
          <w:tcPr>
            <w:tcW w:w="5756" w:type="dxa"/>
            <w:gridSpan w:val="5"/>
            <w:noWrap w:val="0"/>
            <w:vAlign w:val="top"/>
          </w:tcPr>
          <w:p w14:paraId="2F317470">
            <w:pPr>
              <w:pStyle w:val="20"/>
              <w:rPr>
                <w:sz w:val="24"/>
                <w:szCs w:val="24"/>
              </w:rPr>
            </w:pPr>
          </w:p>
        </w:tc>
        <w:tc>
          <w:tcPr>
            <w:tcW w:w="1922" w:type="dxa"/>
            <w:gridSpan w:val="2"/>
            <w:noWrap w:val="0"/>
            <w:vAlign w:val="top"/>
          </w:tcPr>
          <w:p w14:paraId="108F15CA">
            <w:pPr>
              <w:pStyle w:val="20"/>
              <w:rPr>
                <w:sz w:val="24"/>
                <w:szCs w:val="24"/>
              </w:rPr>
            </w:pPr>
          </w:p>
        </w:tc>
        <w:tc>
          <w:tcPr>
            <w:tcW w:w="1770" w:type="dxa"/>
            <w:noWrap w:val="0"/>
            <w:vAlign w:val="top"/>
          </w:tcPr>
          <w:p w14:paraId="30FB33E3">
            <w:pPr>
              <w:pStyle w:val="20"/>
              <w:rPr>
                <w:sz w:val="24"/>
                <w:szCs w:val="24"/>
              </w:rPr>
            </w:pPr>
          </w:p>
        </w:tc>
      </w:tr>
      <w:tr w14:paraId="6D429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792" w:type="dxa"/>
            <w:noWrap w:val="0"/>
            <w:vAlign w:val="top"/>
          </w:tcPr>
          <w:p w14:paraId="42904663">
            <w:pPr>
              <w:spacing w:before="288" w:line="183" w:lineRule="auto"/>
              <w:ind w:left="302"/>
              <w:rPr>
                <w:rFonts w:ascii="宋体" w:hAnsi="宋体" w:eastAsia="宋体" w:cs="宋体"/>
                <w:sz w:val="24"/>
                <w:szCs w:val="24"/>
              </w:rPr>
            </w:pPr>
            <w:r>
              <w:rPr>
                <w:rFonts w:ascii="宋体" w:hAnsi="宋体" w:eastAsia="宋体" w:cs="宋体"/>
                <w:sz w:val="24"/>
                <w:szCs w:val="24"/>
              </w:rPr>
              <w:t>2</w:t>
            </w:r>
          </w:p>
        </w:tc>
        <w:tc>
          <w:tcPr>
            <w:tcW w:w="5756" w:type="dxa"/>
            <w:gridSpan w:val="5"/>
            <w:noWrap w:val="0"/>
            <w:vAlign w:val="top"/>
          </w:tcPr>
          <w:p w14:paraId="1B8DDF53">
            <w:pPr>
              <w:pStyle w:val="20"/>
              <w:rPr>
                <w:sz w:val="24"/>
                <w:szCs w:val="24"/>
              </w:rPr>
            </w:pPr>
          </w:p>
        </w:tc>
        <w:tc>
          <w:tcPr>
            <w:tcW w:w="1922" w:type="dxa"/>
            <w:gridSpan w:val="2"/>
            <w:noWrap w:val="0"/>
            <w:vAlign w:val="top"/>
          </w:tcPr>
          <w:p w14:paraId="0F348A23">
            <w:pPr>
              <w:pStyle w:val="20"/>
              <w:rPr>
                <w:sz w:val="24"/>
                <w:szCs w:val="24"/>
              </w:rPr>
            </w:pPr>
          </w:p>
        </w:tc>
        <w:tc>
          <w:tcPr>
            <w:tcW w:w="1770" w:type="dxa"/>
            <w:noWrap w:val="0"/>
            <w:vAlign w:val="top"/>
          </w:tcPr>
          <w:p w14:paraId="6ACFB367">
            <w:pPr>
              <w:pStyle w:val="20"/>
              <w:rPr>
                <w:sz w:val="24"/>
                <w:szCs w:val="24"/>
              </w:rPr>
            </w:pPr>
          </w:p>
        </w:tc>
      </w:tr>
      <w:tr w14:paraId="5BB88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792" w:type="dxa"/>
            <w:noWrap w:val="0"/>
            <w:vAlign w:val="top"/>
          </w:tcPr>
          <w:p w14:paraId="2BD3E6AF">
            <w:pPr>
              <w:spacing w:before="287" w:line="183" w:lineRule="auto"/>
              <w:ind w:left="304"/>
              <w:rPr>
                <w:rFonts w:ascii="宋体" w:hAnsi="宋体" w:eastAsia="宋体" w:cs="宋体"/>
                <w:sz w:val="24"/>
                <w:szCs w:val="24"/>
              </w:rPr>
            </w:pPr>
            <w:r>
              <w:rPr>
                <w:rFonts w:ascii="宋体" w:hAnsi="宋体" w:eastAsia="宋体" w:cs="宋体"/>
                <w:sz w:val="24"/>
                <w:szCs w:val="24"/>
              </w:rPr>
              <w:t>3</w:t>
            </w:r>
          </w:p>
        </w:tc>
        <w:tc>
          <w:tcPr>
            <w:tcW w:w="5756" w:type="dxa"/>
            <w:gridSpan w:val="5"/>
            <w:noWrap w:val="0"/>
            <w:vAlign w:val="top"/>
          </w:tcPr>
          <w:p w14:paraId="63ED10C3">
            <w:pPr>
              <w:pStyle w:val="20"/>
              <w:rPr>
                <w:sz w:val="24"/>
                <w:szCs w:val="24"/>
              </w:rPr>
            </w:pPr>
          </w:p>
        </w:tc>
        <w:tc>
          <w:tcPr>
            <w:tcW w:w="1922" w:type="dxa"/>
            <w:gridSpan w:val="2"/>
            <w:noWrap w:val="0"/>
            <w:vAlign w:val="top"/>
          </w:tcPr>
          <w:p w14:paraId="57F1E483">
            <w:pPr>
              <w:pStyle w:val="20"/>
              <w:rPr>
                <w:sz w:val="24"/>
                <w:szCs w:val="24"/>
              </w:rPr>
            </w:pPr>
          </w:p>
        </w:tc>
        <w:tc>
          <w:tcPr>
            <w:tcW w:w="1770" w:type="dxa"/>
            <w:noWrap w:val="0"/>
            <w:vAlign w:val="top"/>
          </w:tcPr>
          <w:p w14:paraId="37F106EC">
            <w:pPr>
              <w:pStyle w:val="20"/>
              <w:rPr>
                <w:sz w:val="24"/>
                <w:szCs w:val="24"/>
              </w:rPr>
            </w:pPr>
          </w:p>
        </w:tc>
      </w:tr>
      <w:tr w14:paraId="7B01C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792" w:type="dxa"/>
            <w:noWrap w:val="0"/>
            <w:vAlign w:val="top"/>
          </w:tcPr>
          <w:p w14:paraId="5DDC9C58">
            <w:pPr>
              <w:pStyle w:val="20"/>
              <w:spacing w:line="348" w:lineRule="auto"/>
              <w:rPr>
                <w:sz w:val="24"/>
                <w:szCs w:val="24"/>
              </w:rPr>
            </w:pPr>
          </w:p>
          <w:p w14:paraId="13F94F94">
            <w:pPr>
              <w:spacing w:before="78" w:line="99" w:lineRule="exact"/>
              <w:ind w:left="186"/>
              <w:rPr>
                <w:rFonts w:ascii="宋体" w:hAnsi="宋体" w:eastAsia="宋体" w:cs="宋体"/>
                <w:sz w:val="24"/>
                <w:szCs w:val="24"/>
              </w:rPr>
            </w:pPr>
            <w:r>
              <w:rPr>
                <w:rFonts w:ascii="宋体" w:hAnsi="宋体" w:eastAsia="宋体" w:cs="宋体"/>
                <w:position w:val="1"/>
                <w:sz w:val="24"/>
                <w:szCs w:val="24"/>
              </w:rPr>
              <w:t>...</w:t>
            </w:r>
          </w:p>
        </w:tc>
        <w:tc>
          <w:tcPr>
            <w:tcW w:w="5756" w:type="dxa"/>
            <w:gridSpan w:val="5"/>
            <w:noWrap w:val="0"/>
            <w:vAlign w:val="top"/>
          </w:tcPr>
          <w:p w14:paraId="359EC6BB">
            <w:pPr>
              <w:pStyle w:val="20"/>
              <w:rPr>
                <w:sz w:val="24"/>
                <w:szCs w:val="24"/>
              </w:rPr>
            </w:pPr>
          </w:p>
        </w:tc>
        <w:tc>
          <w:tcPr>
            <w:tcW w:w="1922" w:type="dxa"/>
            <w:gridSpan w:val="2"/>
            <w:noWrap w:val="0"/>
            <w:vAlign w:val="top"/>
          </w:tcPr>
          <w:p w14:paraId="5D2C275B">
            <w:pPr>
              <w:pStyle w:val="20"/>
              <w:rPr>
                <w:sz w:val="24"/>
                <w:szCs w:val="24"/>
              </w:rPr>
            </w:pPr>
          </w:p>
        </w:tc>
        <w:tc>
          <w:tcPr>
            <w:tcW w:w="1770" w:type="dxa"/>
            <w:noWrap w:val="0"/>
            <w:vAlign w:val="top"/>
          </w:tcPr>
          <w:p w14:paraId="3E7A9E54">
            <w:pPr>
              <w:pStyle w:val="20"/>
              <w:rPr>
                <w:sz w:val="24"/>
                <w:szCs w:val="24"/>
              </w:rPr>
            </w:pPr>
          </w:p>
        </w:tc>
      </w:tr>
      <w:tr w14:paraId="0ADEB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1" w:hRule="atLeast"/>
        </w:trPr>
        <w:tc>
          <w:tcPr>
            <w:tcW w:w="792" w:type="dxa"/>
            <w:noWrap w:val="0"/>
            <w:vAlign w:val="top"/>
          </w:tcPr>
          <w:p w14:paraId="5E92749B">
            <w:pPr>
              <w:pStyle w:val="20"/>
              <w:spacing w:line="274" w:lineRule="auto"/>
              <w:rPr>
                <w:sz w:val="24"/>
                <w:szCs w:val="24"/>
              </w:rPr>
            </w:pPr>
          </w:p>
          <w:p w14:paraId="122E9E81">
            <w:pPr>
              <w:pStyle w:val="20"/>
              <w:spacing w:line="275" w:lineRule="auto"/>
              <w:rPr>
                <w:sz w:val="24"/>
                <w:szCs w:val="24"/>
              </w:rPr>
            </w:pPr>
          </w:p>
          <w:p w14:paraId="0A462AAF">
            <w:pPr>
              <w:pStyle w:val="20"/>
              <w:spacing w:line="275" w:lineRule="auto"/>
              <w:rPr>
                <w:sz w:val="24"/>
                <w:szCs w:val="24"/>
              </w:rPr>
            </w:pPr>
          </w:p>
          <w:p w14:paraId="298DB255">
            <w:pPr>
              <w:spacing w:before="62" w:line="233" w:lineRule="auto"/>
              <w:ind w:left="29"/>
              <w:rPr>
                <w:rFonts w:ascii="宋体" w:hAnsi="宋体" w:eastAsia="宋体" w:cs="宋体"/>
                <w:sz w:val="24"/>
                <w:szCs w:val="24"/>
              </w:rPr>
            </w:pPr>
            <w:r>
              <w:rPr>
                <w:rFonts w:ascii="宋体" w:hAnsi="宋体" w:eastAsia="宋体" w:cs="宋体"/>
                <w:spacing w:val="3"/>
                <w:sz w:val="24"/>
                <w:szCs w:val="24"/>
              </w:rPr>
              <w:t>注意：</w:t>
            </w:r>
          </w:p>
        </w:tc>
        <w:tc>
          <w:tcPr>
            <w:tcW w:w="9448" w:type="dxa"/>
            <w:gridSpan w:val="8"/>
            <w:noWrap w:val="0"/>
            <w:vAlign w:val="top"/>
          </w:tcPr>
          <w:p w14:paraId="1D8033FC">
            <w:pPr>
              <w:spacing w:before="148"/>
              <w:ind w:left="111" w:right="107" w:firstLine="483"/>
              <w:jc w:val="both"/>
              <w:rPr>
                <w:rFonts w:ascii="宋体" w:hAnsi="宋体" w:eastAsia="宋体" w:cs="宋体"/>
                <w:sz w:val="24"/>
                <w:szCs w:val="24"/>
              </w:rPr>
            </w:pPr>
            <w:r>
              <w:rPr>
                <w:rFonts w:ascii="宋体" w:hAnsi="宋体" w:eastAsia="宋体" w:cs="宋体"/>
                <w:spacing w:val="7"/>
                <w:sz w:val="24"/>
                <w:szCs w:val="24"/>
              </w:rPr>
              <w:t>该表一式两份，两份表格投标人均需如实填写各项内容，两份表格的填写内容应一致。一</w:t>
            </w:r>
            <w:r>
              <w:rPr>
                <w:rFonts w:ascii="宋体" w:hAnsi="宋体" w:eastAsia="宋体" w:cs="宋体"/>
                <w:spacing w:val="9"/>
                <w:sz w:val="24"/>
                <w:szCs w:val="24"/>
              </w:rPr>
              <w:t>份贴于装纳原件的文件袋（箱</w:t>
            </w:r>
            <w:r>
              <w:rPr>
                <w:rFonts w:ascii="宋体" w:hAnsi="宋体" w:eastAsia="宋体" w:cs="宋体"/>
                <w:spacing w:val="20"/>
                <w:sz w:val="24"/>
                <w:szCs w:val="24"/>
              </w:rPr>
              <w:t>），</w:t>
            </w:r>
            <w:r>
              <w:rPr>
                <w:rFonts w:ascii="宋体" w:hAnsi="宋体" w:eastAsia="宋体" w:cs="宋体"/>
                <w:spacing w:val="9"/>
                <w:sz w:val="24"/>
                <w:szCs w:val="24"/>
              </w:rPr>
              <w:t>一份在递交文件袋（箱）时由招标代理机构、投标人签字后交招标代理机构。招标代理机构仅代签收装纳原件的文件袋（箱</w:t>
            </w:r>
            <w:r>
              <w:rPr>
                <w:rFonts w:ascii="宋体" w:hAnsi="宋体" w:eastAsia="宋体" w:cs="宋体"/>
                <w:spacing w:val="19"/>
                <w:sz w:val="24"/>
                <w:szCs w:val="24"/>
              </w:rPr>
              <w:t>），</w:t>
            </w:r>
            <w:r>
              <w:rPr>
                <w:rFonts w:ascii="宋体" w:hAnsi="宋体" w:eastAsia="宋体" w:cs="宋体"/>
                <w:spacing w:val="9"/>
                <w:sz w:val="24"/>
                <w:szCs w:val="24"/>
              </w:rPr>
              <w:t>而不对文件袋（箱）中资</w:t>
            </w:r>
            <w:r>
              <w:rPr>
                <w:rFonts w:ascii="宋体" w:hAnsi="宋体" w:eastAsia="宋体" w:cs="宋体"/>
                <w:spacing w:val="5"/>
                <w:sz w:val="24"/>
                <w:szCs w:val="24"/>
              </w:rPr>
              <w:t>料的数量、</w:t>
            </w:r>
            <w:r>
              <w:rPr>
                <w:rFonts w:ascii="宋体" w:hAnsi="宋体" w:eastAsia="宋体" w:cs="宋体"/>
                <w:spacing w:val="-45"/>
                <w:sz w:val="24"/>
                <w:szCs w:val="24"/>
              </w:rPr>
              <w:t xml:space="preserve"> </w:t>
            </w:r>
            <w:r>
              <w:rPr>
                <w:rFonts w:ascii="宋体" w:hAnsi="宋体" w:eastAsia="宋体" w:cs="宋体"/>
                <w:spacing w:val="5"/>
                <w:sz w:val="24"/>
                <w:szCs w:val="24"/>
              </w:rPr>
              <w:t>内容及真实性负责。</w:t>
            </w:r>
          </w:p>
        </w:tc>
      </w:tr>
      <w:tr w14:paraId="375D0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7" w:hRule="atLeast"/>
        </w:trPr>
        <w:tc>
          <w:tcPr>
            <w:tcW w:w="2483" w:type="dxa"/>
            <w:gridSpan w:val="2"/>
            <w:noWrap w:val="0"/>
            <w:vAlign w:val="top"/>
          </w:tcPr>
          <w:p w14:paraId="6BA0A3D3">
            <w:pPr>
              <w:pStyle w:val="20"/>
              <w:spacing w:line="289" w:lineRule="auto"/>
              <w:rPr>
                <w:sz w:val="24"/>
                <w:szCs w:val="24"/>
              </w:rPr>
            </w:pPr>
          </w:p>
          <w:p w14:paraId="127D0A61">
            <w:pPr>
              <w:spacing w:before="61" w:line="404" w:lineRule="auto"/>
              <w:ind w:left="760" w:right="153" w:hanging="600"/>
              <w:rPr>
                <w:rFonts w:ascii="宋体" w:hAnsi="宋体" w:eastAsia="宋体" w:cs="宋体"/>
                <w:sz w:val="24"/>
                <w:szCs w:val="24"/>
              </w:rPr>
            </w:pPr>
            <w:r>
              <w:rPr>
                <w:rFonts w:ascii="宋体" w:hAnsi="宋体" w:eastAsia="宋体" w:cs="宋体"/>
                <w:spacing w:val="8"/>
                <w:sz w:val="24"/>
                <w:szCs w:val="24"/>
              </w:rPr>
              <w:t>接收原件经办人(招标</w:t>
            </w:r>
            <w:r>
              <w:rPr>
                <w:rFonts w:ascii="宋体" w:hAnsi="宋体" w:eastAsia="宋体" w:cs="宋体"/>
                <w:spacing w:val="5"/>
                <w:sz w:val="24"/>
                <w:szCs w:val="24"/>
              </w:rPr>
              <w:t xml:space="preserve"> </w:t>
            </w:r>
            <w:r>
              <w:rPr>
                <w:rFonts w:ascii="宋体" w:hAnsi="宋体" w:eastAsia="宋体" w:cs="宋体"/>
                <w:spacing w:val="3"/>
                <w:sz w:val="24"/>
                <w:szCs w:val="24"/>
              </w:rPr>
              <w:t>代理)：</w:t>
            </w:r>
          </w:p>
        </w:tc>
        <w:tc>
          <w:tcPr>
            <w:tcW w:w="2239" w:type="dxa"/>
            <w:gridSpan w:val="2"/>
            <w:noWrap w:val="0"/>
            <w:vAlign w:val="top"/>
          </w:tcPr>
          <w:p w14:paraId="03892402">
            <w:pPr>
              <w:pStyle w:val="20"/>
              <w:rPr>
                <w:sz w:val="24"/>
                <w:szCs w:val="24"/>
              </w:rPr>
            </w:pPr>
          </w:p>
        </w:tc>
        <w:tc>
          <w:tcPr>
            <w:tcW w:w="1826" w:type="dxa"/>
            <w:gridSpan w:val="2"/>
            <w:noWrap w:val="0"/>
            <w:vAlign w:val="top"/>
          </w:tcPr>
          <w:p w14:paraId="45C23F95">
            <w:pPr>
              <w:pStyle w:val="20"/>
              <w:spacing w:line="288" w:lineRule="auto"/>
              <w:rPr>
                <w:sz w:val="24"/>
                <w:szCs w:val="24"/>
              </w:rPr>
            </w:pPr>
          </w:p>
          <w:p w14:paraId="56523518">
            <w:pPr>
              <w:pStyle w:val="20"/>
              <w:spacing w:line="289" w:lineRule="auto"/>
              <w:rPr>
                <w:sz w:val="24"/>
                <w:szCs w:val="24"/>
              </w:rPr>
            </w:pPr>
          </w:p>
          <w:p w14:paraId="7ECEDEF2">
            <w:pPr>
              <w:spacing w:before="62" w:line="229" w:lineRule="auto"/>
              <w:ind w:left="315"/>
              <w:rPr>
                <w:rFonts w:ascii="宋体" w:hAnsi="宋体" w:eastAsia="宋体" w:cs="宋体"/>
                <w:sz w:val="24"/>
                <w:szCs w:val="24"/>
              </w:rPr>
            </w:pPr>
            <w:r>
              <w:rPr>
                <w:rFonts w:ascii="宋体" w:hAnsi="宋体" w:eastAsia="宋体" w:cs="宋体"/>
                <w:spacing w:val="6"/>
                <w:sz w:val="24"/>
                <w:szCs w:val="24"/>
              </w:rPr>
              <w:t>接收时间：</w:t>
            </w:r>
          </w:p>
        </w:tc>
        <w:tc>
          <w:tcPr>
            <w:tcW w:w="3692" w:type="dxa"/>
            <w:gridSpan w:val="3"/>
            <w:noWrap w:val="0"/>
            <w:vAlign w:val="top"/>
          </w:tcPr>
          <w:p w14:paraId="451D2B46">
            <w:pPr>
              <w:pStyle w:val="20"/>
              <w:spacing w:line="288" w:lineRule="auto"/>
              <w:rPr>
                <w:sz w:val="24"/>
                <w:szCs w:val="24"/>
              </w:rPr>
            </w:pPr>
          </w:p>
          <w:p w14:paraId="5B36A3C8">
            <w:pPr>
              <w:pStyle w:val="20"/>
              <w:spacing w:line="289" w:lineRule="auto"/>
              <w:rPr>
                <w:sz w:val="24"/>
                <w:szCs w:val="24"/>
              </w:rPr>
            </w:pPr>
          </w:p>
          <w:p w14:paraId="515D249F">
            <w:pPr>
              <w:spacing w:before="62" w:line="229" w:lineRule="auto"/>
              <w:ind w:left="714"/>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10"/>
                <w:sz w:val="24"/>
                <w:szCs w:val="24"/>
              </w:rPr>
              <w:t xml:space="preserve">   </w:t>
            </w:r>
            <w:r>
              <w:rPr>
                <w:rFonts w:ascii="宋体" w:hAnsi="宋体" w:eastAsia="宋体" w:cs="宋体"/>
                <w:spacing w:val="-9"/>
                <w:sz w:val="24"/>
                <w:szCs w:val="24"/>
              </w:rPr>
              <w:t>月</w:t>
            </w:r>
            <w:r>
              <w:rPr>
                <w:rFonts w:ascii="宋体" w:hAnsi="宋体" w:eastAsia="宋体" w:cs="宋体"/>
                <w:spacing w:val="19"/>
                <w:sz w:val="24"/>
                <w:szCs w:val="24"/>
              </w:rPr>
              <w:t xml:space="preserve">   </w:t>
            </w:r>
            <w:r>
              <w:rPr>
                <w:rFonts w:ascii="宋体" w:hAnsi="宋体" w:eastAsia="宋体" w:cs="宋体"/>
                <w:spacing w:val="-9"/>
                <w:sz w:val="24"/>
                <w:szCs w:val="24"/>
              </w:rPr>
              <w:t>日</w:t>
            </w:r>
            <w:r>
              <w:rPr>
                <w:rFonts w:ascii="宋体" w:hAnsi="宋体" w:eastAsia="宋体" w:cs="宋体"/>
                <w:spacing w:val="10"/>
                <w:sz w:val="24"/>
                <w:szCs w:val="24"/>
              </w:rPr>
              <w:t xml:space="preserve">   </w:t>
            </w:r>
            <w:r>
              <w:rPr>
                <w:rFonts w:ascii="宋体" w:hAnsi="宋体" w:eastAsia="宋体" w:cs="宋体"/>
                <w:spacing w:val="-9"/>
                <w:sz w:val="24"/>
                <w:szCs w:val="24"/>
              </w:rPr>
              <w:t>时</w:t>
            </w:r>
            <w:r>
              <w:rPr>
                <w:rFonts w:ascii="宋体" w:hAnsi="宋体" w:eastAsia="宋体" w:cs="宋体"/>
                <w:spacing w:val="12"/>
                <w:sz w:val="24"/>
                <w:szCs w:val="24"/>
              </w:rPr>
              <w:t xml:space="preserve">  </w:t>
            </w:r>
            <w:r>
              <w:rPr>
                <w:rFonts w:ascii="宋体" w:hAnsi="宋体" w:eastAsia="宋体" w:cs="宋体"/>
                <w:spacing w:val="-9"/>
                <w:sz w:val="24"/>
                <w:szCs w:val="24"/>
              </w:rPr>
              <w:t>分</w:t>
            </w:r>
          </w:p>
        </w:tc>
      </w:tr>
      <w:tr w14:paraId="57313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2" w:hRule="atLeast"/>
        </w:trPr>
        <w:tc>
          <w:tcPr>
            <w:tcW w:w="2483" w:type="dxa"/>
            <w:gridSpan w:val="2"/>
            <w:noWrap w:val="0"/>
            <w:vAlign w:val="top"/>
          </w:tcPr>
          <w:p w14:paraId="0C568DAD">
            <w:pPr>
              <w:spacing w:before="155" w:line="405" w:lineRule="auto"/>
              <w:ind w:left="861" w:right="153" w:hanging="699"/>
              <w:rPr>
                <w:rFonts w:ascii="宋体" w:hAnsi="宋体" w:eastAsia="宋体" w:cs="宋体"/>
                <w:sz w:val="24"/>
                <w:szCs w:val="24"/>
              </w:rPr>
            </w:pPr>
            <w:r>
              <w:rPr>
                <w:rFonts w:ascii="宋体" w:hAnsi="宋体" w:eastAsia="宋体" w:cs="宋体"/>
                <w:spacing w:val="8"/>
                <w:sz w:val="24"/>
                <w:szCs w:val="24"/>
              </w:rPr>
              <w:t>退还原件接收人(投标</w:t>
            </w:r>
            <w:r>
              <w:rPr>
                <w:rFonts w:ascii="宋体" w:hAnsi="宋体" w:eastAsia="宋体" w:cs="宋体"/>
                <w:spacing w:val="3"/>
                <w:sz w:val="24"/>
                <w:szCs w:val="24"/>
              </w:rPr>
              <w:t xml:space="preserve"> </w:t>
            </w:r>
            <w:r>
              <w:rPr>
                <w:rFonts w:ascii="宋体" w:hAnsi="宋体" w:eastAsia="宋体" w:cs="宋体"/>
                <w:spacing w:val="2"/>
                <w:sz w:val="24"/>
                <w:szCs w:val="24"/>
              </w:rPr>
              <w:t>人)：</w:t>
            </w:r>
          </w:p>
        </w:tc>
        <w:tc>
          <w:tcPr>
            <w:tcW w:w="2239" w:type="dxa"/>
            <w:gridSpan w:val="2"/>
            <w:noWrap w:val="0"/>
            <w:vAlign w:val="top"/>
          </w:tcPr>
          <w:p w14:paraId="0E9B9716">
            <w:pPr>
              <w:pStyle w:val="20"/>
              <w:rPr>
                <w:sz w:val="24"/>
                <w:szCs w:val="24"/>
              </w:rPr>
            </w:pPr>
          </w:p>
        </w:tc>
        <w:tc>
          <w:tcPr>
            <w:tcW w:w="1826" w:type="dxa"/>
            <w:gridSpan w:val="2"/>
            <w:noWrap w:val="0"/>
            <w:vAlign w:val="top"/>
          </w:tcPr>
          <w:p w14:paraId="55061A26">
            <w:pPr>
              <w:pStyle w:val="20"/>
              <w:spacing w:line="336" w:lineRule="auto"/>
              <w:rPr>
                <w:sz w:val="24"/>
                <w:szCs w:val="24"/>
              </w:rPr>
            </w:pPr>
          </w:p>
          <w:p w14:paraId="35CB6612">
            <w:pPr>
              <w:spacing w:before="61" w:line="231" w:lineRule="auto"/>
              <w:ind w:left="317"/>
              <w:rPr>
                <w:rFonts w:ascii="宋体" w:hAnsi="宋体" w:eastAsia="宋体" w:cs="宋体"/>
                <w:sz w:val="24"/>
                <w:szCs w:val="24"/>
              </w:rPr>
            </w:pPr>
            <w:r>
              <w:rPr>
                <w:rFonts w:ascii="宋体" w:hAnsi="宋体" w:eastAsia="宋体" w:cs="宋体"/>
                <w:spacing w:val="6"/>
                <w:sz w:val="24"/>
                <w:szCs w:val="24"/>
              </w:rPr>
              <w:t>退还时间：</w:t>
            </w:r>
          </w:p>
        </w:tc>
        <w:tc>
          <w:tcPr>
            <w:tcW w:w="3692" w:type="dxa"/>
            <w:gridSpan w:val="3"/>
            <w:noWrap w:val="0"/>
            <w:vAlign w:val="top"/>
          </w:tcPr>
          <w:p w14:paraId="7C98BCDE">
            <w:pPr>
              <w:pStyle w:val="20"/>
              <w:spacing w:line="335" w:lineRule="auto"/>
              <w:rPr>
                <w:sz w:val="24"/>
                <w:szCs w:val="24"/>
              </w:rPr>
            </w:pPr>
          </w:p>
          <w:p w14:paraId="0345FC52">
            <w:pPr>
              <w:spacing w:before="62" w:line="229" w:lineRule="auto"/>
              <w:ind w:left="714"/>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10"/>
                <w:sz w:val="24"/>
                <w:szCs w:val="24"/>
              </w:rPr>
              <w:t xml:space="preserve">   </w:t>
            </w:r>
            <w:r>
              <w:rPr>
                <w:rFonts w:ascii="宋体" w:hAnsi="宋体" w:eastAsia="宋体" w:cs="宋体"/>
                <w:spacing w:val="-9"/>
                <w:sz w:val="24"/>
                <w:szCs w:val="24"/>
              </w:rPr>
              <w:t>月</w:t>
            </w:r>
            <w:r>
              <w:rPr>
                <w:rFonts w:ascii="宋体" w:hAnsi="宋体" w:eastAsia="宋体" w:cs="宋体"/>
                <w:spacing w:val="19"/>
                <w:sz w:val="24"/>
                <w:szCs w:val="24"/>
              </w:rPr>
              <w:t xml:space="preserve">   </w:t>
            </w:r>
            <w:r>
              <w:rPr>
                <w:rFonts w:ascii="宋体" w:hAnsi="宋体" w:eastAsia="宋体" w:cs="宋体"/>
                <w:spacing w:val="-9"/>
                <w:sz w:val="24"/>
                <w:szCs w:val="24"/>
              </w:rPr>
              <w:t>日</w:t>
            </w:r>
            <w:r>
              <w:rPr>
                <w:rFonts w:ascii="宋体" w:hAnsi="宋体" w:eastAsia="宋体" w:cs="宋体"/>
                <w:spacing w:val="10"/>
                <w:sz w:val="24"/>
                <w:szCs w:val="24"/>
              </w:rPr>
              <w:t xml:space="preserve">   </w:t>
            </w:r>
            <w:r>
              <w:rPr>
                <w:rFonts w:ascii="宋体" w:hAnsi="宋体" w:eastAsia="宋体" w:cs="宋体"/>
                <w:spacing w:val="-9"/>
                <w:sz w:val="24"/>
                <w:szCs w:val="24"/>
              </w:rPr>
              <w:t>时</w:t>
            </w:r>
            <w:r>
              <w:rPr>
                <w:rFonts w:ascii="宋体" w:hAnsi="宋体" w:eastAsia="宋体" w:cs="宋体"/>
                <w:spacing w:val="10"/>
                <w:sz w:val="24"/>
                <w:szCs w:val="24"/>
              </w:rPr>
              <w:t xml:space="preserve">   </w:t>
            </w:r>
            <w:r>
              <w:rPr>
                <w:rFonts w:ascii="宋体" w:hAnsi="宋体" w:eastAsia="宋体" w:cs="宋体"/>
                <w:spacing w:val="-9"/>
                <w:sz w:val="24"/>
                <w:szCs w:val="24"/>
              </w:rPr>
              <w:t>分</w:t>
            </w:r>
          </w:p>
        </w:tc>
      </w:tr>
    </w:tbl>
    <w:p w14:paraId="2C35F089">
      <w:pPr>
        <w:pStyle w:val="5"/>
      </w:pPr>
    </w:p>
    <w:p w14:paraId="33D15053">
      <w:pPr>
        <w:sectPr>
          <w:footerReference r:id="rId30" w:type="default"/>
          <w:pgSz w:w="11906" w:h="16839"/>
          <w:pgMar w:top="720" w:right="720" w:bottom="720" w:left="720" w:header="0" w:footer="1023" w:gutter="0"/>
          <w:cols w:space="720" w:num="1"/>
        </w:sectPr>
      </w:pPr>
    </w:p>
    <w:p w14:paraId="2E539F79">
      <w:pPr>
        <w:spacing w:before="78" w:line="219" w:lineRule="auto"/>
        <w:ind w:left="3139"/>
        <w:outlineLvl w:val="1"/>
        <w:rPr>
          <w:rFonts w:ascii="宋体" w:hAnsi="宋体" w:eastAsia="宋体" w:cs="宋体"/>
          <w:sz w:val="24"/>
          <w:szCs w:val="24"/>
        </w:rPr>
      </w:pPr>
      <w:bookmarkStart w:id="212" w:name="bookmark107"/>
      <w:bookmarkEnd w:id="212"/>
      <w:bookmarkStart w:id="213" w:name="_Toc31536"/>
      <w:r>
        <w:rPr>
          <w:rFonts w:ascii="宋体" w:hAnsi="宋体" w:eastAsia="宋体" w:cs="宋体"/>
          <w:b/>
          <w:bCs/>
          <w:spacing w:val="-3"/>
          <w:sz w:val="24"/>
          <w:szCs w:val="24"/>
        </w:rPr>
        <w:t>第七章</w:t>
      </w:r>
      <w:r>
        <w:rPr>
          <w:rFonts w:ascii="宋体" w:hAnsi="宋体" w:eastAsia="宋体" w:cs="宋体"/>
          <w:spacing w:val="-3"/>
          <w:sz w:val="24"/>
          <w:szCs w:val="24"/>
        </w:rPr>
        <w:t xml:space="preserve"> </w:t>
      </w:r>
      <w:r>
        <w:rPr>
          <w:rFonts w:ascii="宋体" w:hAnsi="宋体" w:eastAsia="宋体" w:cs="宋体"/>
          <w:b/>
          <w:bCs/>
          <w:spacing w:val="-3"/>
          <w:sz w:val="24"/>
          <w:szCs w:val="24"/>
        </w:rPr>
        <w:t>建设工程施工合同</w:t>
      </w:r>
      <w:bookmarkEnd w:id="213"/>
    </w:p>
    <w:p w14:paraId="35523341">
      <w:pPr>
        <w:pStyle w:val="5"/>
        <w:spacing w:line="257" w:lineRule="auto"/>
      </w:pPr>
    </w:p>
    <w:p w14:paraId="1C05508C">
      <w:pPr>
        <w:pStyle w:val="5"/>
        <w:spacing w:line="257" w:lineRule="auto"/>
      </w:pPr>
    </w:p>
    <w:p w14:paraId="14FE79D9">
      <w:pPr>
        <w:spacing w:before="78" w:line="324" w:lineRule="auto"/>
        <w:ind w:firstLine="480"/>
        <w:rPr>
          <w:rFonts w:ascii="宋体" w:hAnsi="宋体" w:eastAsia="宋体" w:cs="宋体"/>
          <w:sz w:val="24"/>
          <w:szCs w:val="24"/>
        </w:rPr>
      </w:pPr>
      <w:r>
        <w:rPr>
          <w:rFonts w:ascii="宋体" w:hAnsi="宋体" w:eastAsia="宋体" w:cs="宋体"/>
          <w:spacing w:val="-3"/>
          <w:sz w:val="24"/>
          <w:szCs w:val="24"/>
        </w:rPr>
        <w:t>（略</w:t>
      </w:r>
      <w:r>
        <w:rPr>
          <w:rFonts w:ascii="宋体" w:hAnsi="宋体" w:eastAsia="宋体" w:cs="宋体"/>
          <w:spacing w:val="-10"/>
          <w:sz w:val="24"/>
          <w:szCs w:val="24"/>
        </w:rPr>
        <w:t>），</w:t>
      </w:r>
      <w:r>
        <w:rPr>
          <w:rFonts w:ascii="宋体" w:hAnsi="宋体" w:eastAsia="宋体" w:cs="宋体"/>
          <w:spacing w:val="-3"/>
          <w:sz w:val="24"/>
          <w:szCs w:val="24"/>
        </w:rPr>
        <w:t>按《广东省建设工程标准施工合同》（</w:t>
      </w:r>
      <w:r>
        <w:rPr>
          <w:rFonts w:ascii="Times New Roman" w:hAnsi="Times New Roman" w:eastAsia="Times New Roman" w:cs="Times New Roman"/>
          <w:spacing w:val="-3"/>
          <w:sz w:val="24"/>
          <w:szCs w:val="24"/>
        </w:rPr>
        <w:t xml:space="preserve">2009 </w:t>
      </w:r>
      <w:r>
        <w:rPr>
          <w:rFonts w:ascii="宋体" w:hAnsi="宋体" w:eastAsia="宋体" w:cs="宋体"/>
          <w:spacing w:val="-3"/>
          <w:sz w:val="24"/>
          <w:szCs w:val="24"/>
        </w:rPr>
        <w:t>年版）或《建设工程施工合同</w:t>
      </w:r>
      <w:r>
        <w:rPr>
          <w:rFonts w:ascii="宋体" w:hAnsi="宋体" w:eastAsia="宋体" w:cs="宋体"/>
          <w:spacing w:val="1"/>
          <w:sz w:val="24"/>
          <w:szCs w:val="24"/>
        </w:rPr>
        <w:t xml:space="preserve"> </w:t>
      </w:r>
      <w:r>
        <w:rPr>
          <w:rFonts w:ascii="宋体" w:hAnsi="宋体" w:eastAsia="宋体" w:cs="宋体"/>
          <w:spacing w:val="-1"/>
          <w:sz w:val="24"/>
          <w:szCs w:val="24"/>
        </w:rPr>
        <w:t>（示范文本）》（</w:t>
      </w:r>
      <w:r>
        <w:rPr>
          <w:rFonts w:ascii="Times New Roman" w:hAnsi="Times New Roman" w:eastAsia="Times New Roman" w:cs="Times New Roman"/>
          <w:spacing w:val="-1"/>
          <w:sz w:val="24"/>
          <w:szCs w:val="24"/>
        </w:rPr>
        <w:t>GF</w:t>
      </w:r>
      <w:r>
        <w:rPr>
          <w:rFonts w:ascii="宋体" w:hAnsi="宋体" w:eastAsia="宋体" w:cs="宋体"/>
          <w:spacing w:val="-1"/>
          <w:sz w:val="24"/>
          <w:szCs w:val="24"/>
        </w:rPr>
        <w:t>—</w:t>
      </w:r>
      <w:r>
        <w:rPr>
          <w:rFonts w:ascii="Times New Roman" w:hAnsi="Times New Roman" w:eastAsia="Times New Roman" w:cs="Times New Roman"/>
          <w:spacing w:val="-1"/>
          <w:sz w:val="24"/>
          <w:szCs w:val="24"/>
        </w:rPr>
        <w:t>2017</w:t>
      </w:r>
      <w:r>
        <w:rPr>
          <w:rFonts w:ascii="宋体" w:hAnsi="宋体" w:eastAsia="宋体" w:cs="宋体"/>
          <w:spacing w:val="-1"/>
          <w:sz w:val="24"/>
          <w:szCs w:val="24"/>
        </w:rPr>
        <w:t>—</w:t>
      </w:r>
      <w:r>
        <w:rPr>
          <w:rFonts w:ascii="Times New Roman" w:hAnsi="Times New Roman" w:eastAsia="Times New Roman" w:cs="Times New Roman"/>
          <w:spacing w:val="-1"/>
          <w:sz w:val="24"/>
          <w:szCs w:val="24"/>
        </w:rPr>
        <w:t>0201</w:t>
      </w:r>
      <w:r>
        <w:rPr>
          <w:rFonts w:ascii="宋体" w:hAnsi="宋体" w:eastAsia="宋体" w:cs="宋体"/>
          <w:spacing w:val="-1"/>
          <w:sz w:val="24"/>
          <w:szCs w:val="24"/>
        </w:rPr>
        <w:t>）执行。</w:t>
      </w:r>
    </w:p>
    <w:sectPr>
      <w:footerReference r:id="rId31" w:type="default"/>
      <w:pgSz w:w="11906" w:h="16839"/>
      <w:pgMar w:top="720" w:right="720" w:bottom="720" w:left="720" w:header="0" w:footer="102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85115">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7C711D9">
                          <w:pPr>
                            <w:pStyle w:val="10"/>
                          </w:pPr>
                          <w:r>
                            <w:fldChar w:fldCharType="begin"/>
                          </w:r>
                          <w:r>
                            <w:instrText xml:space="preserve"> PAGE  \* MERGEFORMAT </w:instrText>
                          </w:r>
                          <w:r>
                            <w:fldChar w:fldCharType="separate"/>
                          </w:r>
                          <w:r>
                            <w:rPr>
                              <w:lang/>
                            </w:rP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F9BIk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dUK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DF9BIk5AgAAcQQAAA4AAAAAAAAAAQAgAAAAHwEAAGRycy9lMm9Eb2Mu&#10;eG1sUEsFBgAAAAAGAAYAWQEAAMoFAAAAAA==&#10;">
              <v:fill on="f" focussize="0,0"/>
              <v:stroke on="f" weight="0.5pt"/>
              <v:imagedata o:title=""/>
              <o:lock v:ext="edit" aspectratio="f"/>
              <v:textbox inset="0mm,0mm,0mm,0mm" style="mso-fit-shape-to-text:t;">
                <w:txbxContent>
                  <w:p w14:paraId="07C711D9">
                    <w:pPr>
                      <w:pStyle w:val="10"/>
                    </w:pPr>
                    <w:r>
                      <w:fldChar w:fldCharType="begin"/>
                    </w:r>
                    <w:r>
                      <w:instrText xml:space="preserve"> PAGE  \* MERGEFORMAT </w:instrText>
                    </w:r>
                    <w:r>
                      <w:fldChar w:fldCharType="separate"/>
                    </w:r>
                    <w:r>
                      <w:rPr>
                        <w:lang/>
                      </w:rPr>
                      <w:t>4</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E4C8C">
    <w:pPr>
      <w:pStyle w:val="10"/>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8184960">
                          <w:pPr>
                            <w:pStyle w:val="10"/>
                          </w:pPr>
                          <w:r>
                            <w:fldChar w:fldCharType="begin"/>
                          </w:r>
                          <w:r>
                            <w:instrText xml:space="preserve"> PAGE  \* MERGEFORMAT </w:instrText>
                          </w:r>
                          <w:r>
                            <w:fldChar w:fldCharType="separate"/>
                          </w:r>
                          <w:r>
                            <w:rPr>
                              <w:lang/>
                            </w:rP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rKJ7M6AgAAcQQAAA4AAABkcnMvZTJvRG9jLnhtbK1UzY7TMBC+I/EO&#10;lu80aVes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ayiezOgIAAHEEAAAOAAAAAAAAAAEAIAAAAB8BAABkcnMvZTJvRG9j&#10;LnhtbFBLBQYAAAAABgAGAFkBAADLBQAAAAA=&#10;">
              <v:fill on="f" focussize="0,0"/>
              <v:stroke on="f" weight="0.5pt"/>
              <v:imagedata o:title=""/>
              <o:lock v:ext="edit" aspectratio="f"/>
              <v:textbox inset="0mm,0mm,0mm,0mm" style="mso-fit-shape-to-text:t;">
                <w:txbxContent>
                  <w:p w14:paraId="78184960">
                    <w:pPr>
                      <w:pStyle w:val="10"/>
                    </w:pPr>
                    <w:r>
                      <w:fldChar w:fldCharType="begin"/>
                    </w:r>
                    <w:r>
                      <w:instrText xml:space="preserve"> PAGE  \* MERGEFORMAT </w:instrText>
                    </w:r>
                    <w:r>
                      <w:fldChar w:fldCharType="separate"/>
                    </w:r>
                    <w:r>
                      <w:rPr>
                        <w:lang/>
                      </w:rPr>
                      <w:t>58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30644">
    <w:pPr>
      <w:pStyle w:val="10"/>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1D95A17">
                          <w:pPr>
                            <w:pStyle w:val="10"/>
                          </w:pPr>
                          <w:r>
                            <w:fldChar w:fldCharType="begin"/>
                          </w:r>
                          <w:r>
                            <w:instrText xml:space="preserve"> PAGE  \* MERGEFORMAT </w:instrText>
                          </w:r>
                          <w:r>
                            <w:fldChar w:fldCharType="separate"/>
                          </w:r>
                          <w:r>
                            <w:rPr>
                              <w:lang/>
                            </w:rP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1g6fc6AgAAcQQAAA4AAABkcnMvZTJvRG9jLnhtbK1UzY7TMBC+I/EO&#10;lu80adGu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v36K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AdYOn3OgIAAHEEAAAOAAAAAAAAAAEAIAAAAB8BAABkcnMvZTJvRG9j&#10;LnhtbFBLBQYAAAAABgAGAFkBAADLBQAAAAA=&#10;">
              <v:fill on="f" focussize="0,0"/>
              <v:stroke on="f" weight="0.5pt"/>
              <v:imagedata o:title=""/>
              <o:lock v:ext="edit" aspectratio="f"/>
              <v:textbox inset="0mm,0mm,0mm,0mm" style="mso-fit-shape-to-text:t;">
                <w:txbxContent>
                  <w:p w14:paraId="71D95A17">
                    <w:pPr>
                      <w:pStyle w:val="10"/>
                    </w:pPr>
                    <w:r>
                      <w:fldChar w:fldCharType="begin"/>
                    </w:r>
                    <w:r>
                      <w:instrText xml:space="preserve"> PAGE  \* MERGEFORMAT </w:instrText>
                    </w:r>
                    <w:r>
                      <w:fldChar w:fldCharType="separate"/>
                    </w:r>
                    <w:r>
                      <w:rPr>
                        <w:lang/>
                      </w:rPr>
                      <w:t>59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9749A">
    <w:pPr>
      <w:pStyle w:val="10"/>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7BBF693">
                          <w:pPr>
                            <w:pStyle w:val="10"/>
                          </w:pPr>
                          <w:r>
                            <w:fldChar w:fldCharType="begin"/>
                          </w:r>
                          <w:r>
                            <w:instrText xml:space="preserve"> PAGE  \* MERGEFORMAT </w:instrText>
                          </w:r>
                          <w:r>
                            <w:fldChar w:fldCharType="separate"/>
                          </w:r>
                          <w:r>
                            <w:rPr>
                              <w:lang/>
                            </w:rP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HPjs5AgAAc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DKHPjs5AgAAcQQAAA4AAAAAAAAAAQAgAAAAHwEAAGRycy9lMm9Eb2Mu&#10;eG1sUEsFBgAAAAAGAAYAWQEAAMoFAAAAAA==&#10;">
              <v:fill on="f" focussize="0,0"/>
              <v:stroke on="f" weight="0.5pt"/>
              <v:imagedata o:title=""/>
              <o:lock v:ext="edit" aspectratio="f"/>
              <v:textbox inset="0mm,0mm,0mm,0mm" style="mso-fit-shape-to-text:t;">
                <w:txbxContent>
                  <w:p w14:paraId="47BBF693">
                    <w:pPr>
                      <w:pStyle w:val="10"/>
                    </w:pPr>
                    <w:r>
                      <w:fldChar w:fldCharType="begin"/>
                    </w:r>
                    <w:r>
                      <w:instrText xml:space="preserve"> PAGE  \* MERGEFORMAT </w:instrText>
                    </w:r>
                    <w:r>
                      <w:fldChar w:fldCharType="separate"/>
                    </w:r>
                    <w:r>
                      <w:rPr>
                        <w:lang/>
                      </w:rPr>
                      <w:t>61</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055BC">
    <w:pPr>
      <w:pStyle w:val="10"/>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9BB462C">
                          <w:pPr>
                            <w:pStyle w:val="10"/>
                          </w:pPr>
                          <w:r>
                            <w:fldChar w:fldCharType="begin"/>
                          </w:r>
                          <w:r>
                            <w:instrText xml:space="preserve"> PAGE  \* MERGEFORMAT </w:instrText>
                          </w:r>
                          <w:r>
                            <w:fldChar w:fldCharType="separate"/>
                          </w:r>
                          <w:r>
                            <w:rPr>
                              <w:lang/>
                            </w:rP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1dH46AgAAcQ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fU6KZQsdP37+d&#10;fvw6/fxKcAeBWutniHuwiAzdW9NhbIZ7j8vIu6ucir9gROCHvMeLvKILhMdH08l0msPF4RsOwM8e&#10;n1vnwzthFIlGQR36l2Rlh40PfegQErNps26kTD2UmrQFvXr9J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ATNXR+OgIAAHEEAAAOAAAAAAAAAAEAIAAAAB8BAABkcnMvZTJvRG9j&#10;LnhtbFBLBQYAAAAABgAGAFkBAADLBQAAAAA=&#10;">
              <v:fill on="f" focussize="0,0"/>
              <v:stroke on="f" weight="0.5pt"/>
              <v:imagedata o:title=""/>
              <o:lock v:ext="edit" aspectratio="f"/>
              <v:textbox inset="0mm,0mm,0mm,0mm" style="mso-fit-shape-to-text:t;">
                <w:txbxContent>
                  <w:p w14:paraId="59BB462C">
                    <w:pPr>
                      <w:pStyle w:val="10"/>
                    </w:pPr>
                    <w:r>
                      <w:fldChar w:fldCharType="begin"/>
                    </w:r>
                    <w:r>
                      <w:instrText xml:space="preserve"> PAGE  \* MERGEFORMAT </w:instrText>
                    </w:r>
                    <w:r>
                      <w:fldChar w:fldCharType="separate"/>
                    </w:r>
                    <w:r>
                      <w:rPr>
                        <w:lang/>
                      </w:rPr>
                      <w:t>62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15E0F">
    <w:pPr>
      <w:pStyle w:val="10"/>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FC9428C">
                          <w:pPr>
                            <w:pStyle w:val="10"/>
                          </w:pPr>
                          <w:r>
                            <w:fldChar w:fldCharType="begin"/>
                          </w:r>
                          <w:r>
                            <w:instrText xml:space="preserve"> PAGE  \* MERGEFORMAT </w:instrText>
                          </w:r>
                          <w:r>
                            <w:fldChar w:fldCharType="separate"/>
                          </w:r>
                          <w:r>
                            <w:rPr>
                              <w:lang/>
                            </w:rP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FcXI4AgAAc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kVxcjgCAABzBAAADgAAAAAAAAABACAAAAAfAQAAZHJzL2Uyb0RvYy54&#10;bWxQSwUGAAAAAAYABgBZAQAAyQUAAAAA&#10;">
              <v:fill on="f" focussize="0,0"/>
              <v:stroke on="f" weight="0.5pt"/>
              <v:imagedata o:title=""/>
              <o:lock v:ext="edit" aspectratio="f"/>
              <v:textbox inset="0mm,0mm,0mm,0mm" style="mso-fit-shape-to-text:t;">
                <w:txbxContent>
                  <w:p w14:paraId="2FC9428C">
                    <w:pPr>
                      <w:pStyle w:val="10"/>
                    </w:pPr>
                    <w:r>
                      <w:fldChar w:fldCharType="begin"/>
                    </w:r>
                    <w:r>
                      <w:instrText xml:space="preserve"> PAGE  \* MERGEFORMAT </w:instrText>
                    </w:r>
                    <w:r>
                      <w:fldChar w:fldCharType="separate"/>
                    </w:r>
                    <w:r>
                      <w:rPr>
                        <w:lang/>
                      </w:rPr>
                      <w:t>63</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1AEE3">
    <w:pPr>
      <w:pStyle w:val="10"/>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951F6FE">
                          <w:pPr>
                            <w:pStyle w:val="10"/>
                          </w:pPr>
                          <w:r>
                            <w:fldChar w:fldCharType="begin"/>
                          </w:r>
                          <w:r>
                            <w:instrText xml:space="preserve"> PAGE  \* MERGEFORMAT </w:instrText>
                          </w:r>
                          <w:r>
                            <w:fldChar w:fldCharType="separate"/>
                          </w:r>
                          <w:r>
                            <w:rPr>
                              <w:lang/>
                            </w:rP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FesX/g5AgAAcwQAAA4AAAAAAAAAAQAgAAAAHwEAAGRycy9lMm9Eb2Mu&#10;eG1sUEsFBgAAAAAGAAYAWQEAAMoFAAAAAA==&#10;">
              <v:fill on="f" focussize="0,0"/>
              <v:stroke on="f" weight="0.5pt"/>
              <v:imagedata o:title=""/>
              <o:lock v:ext="edit" aspectratio="f"/>
              <v:textbox inset="0mm,0mm,0mm,0mm" style="mso-fit-shape-to-text:t;">
                <w:txbxContent>
                  <w:p w14:paraId="0951F6FE">
                    <w:pPr>
                      <w:pStyle w:val="10"/>
                    </w:pPr>
                    <w:r>
                      <w:fldChar w:fldCharType="begin"/>
                    </w:r>
                    <w:r>
                      <w:instrText xml:space="preserve"> PAGE  \* MERGEFORMAT </w:instrText>
                    </w:r>
                    <w:r>
                      <w:fldChar w:fldCharType="separate"/>
                    </w:r>
                    <w:r>
                      <w:rPr>
                        <w:lang/>
                      </w:rPr>
                      <w:t>64</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42EB0">
    <w:pPr>
      <w:pStyle w:val="10"/>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BC8680D">
                          <w:pPr>
                            <w:pStyle w:val="10"/>
                          </w:pPr>
                          <w:r>
                            <w:fldChar w:fldCharType="begin"/>
                          </w:r>
                          <w:r>
                            <w:instrText xml:space="preserve"> PAGE  \* MERGEFORMAT </w:instrText>
                          </w:r>
                          <w:r>
                            <w:fldChar w:fldCharType="separate"/>
                          </w:r>
                          <w:r>
                            <w:rPr>
                              <w:lang/>
                            </w:rP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GRXb06AgAAcw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hkV29OgIAAHMEAAAOAAAAAAAAAAEAIAAAAB8BAABkcnMvZTJvRG9j&#10;LnhtbFBLBQYAAAAABgAGAFkBAADLBQAAAAA=&#10;">
              <v:fill on="f" focussize="0,0"/>
              <v:stroke on="f" weight="0.5pt"/>
              <v:imagedata o:title=""/>
              <o:lock v:ext="edit" aspectratio="f"/>
              <v:textbox inset="0mm,0mm,0mm,0mm" style="mso-fit-shape-to-text:t;">
                <w:txbxContent>
                  <w:p w14:paraId="7BC8680D">
                    <w:pPr>
                      <w:pStyle w:val="10"/>
                    </w:pPr>
                    <w:r>
                      <w:fldChar w:fldCharType="begin"/>
                    </w:r>
                    <w:r>
                      <w:instrText xml:space="preserve"> PAGE  \* MERGEFORMAT </w:instrText>
                    </w:r>
                    <w:r>
                      <w:fldChar w:fldCharType="separate"/>
                    </w:r>
                    <w:r>
                      <w:rPr>
                        <w:lang/>
                      </w:rPr>
                      <w:t>66</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2254A">
    <w:pPr>
      <w:pStyle w:val="10"/>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F72AAF2">
                          <w:pPr>
                            <w:pStyle w:val="10"/>
                          </w:pPr>
                          <w:r>
                            <w:fldChar w:fldCharType="begin"/>
                          </w:r>
                          <w:r>
                            <w:instrText xml:space="preserve"> PAGE  \* MERGEFORMAT </w:instrText>
                          </w:r>
                          <w:r>
                            <w:fldChar w:fldCharType="separate"/>
                          </w:r>
                          <w:r>
                            <w:rPr>
                              <w:lang/>
                            </w:rP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A3ZvIVOgIAAHMEAAAOAAAAAAAAAAEAIAAAAB8BAABkcnMvZTJvRG9j&#10;LnhtbFBLBQYAAAAABgAGAFkBAADLBQAAAAA=&#10;">
              <v:fill on="f" focussize="0,0"/>
              <v:stroke on="f" weight="0.5pt"/>
              <v:imagedata o:title=""/>
              <o:lock v:ext="edit" aspectratio="f"/>
              <v:textbox inset="0mm,0mm,0mm,0mm" style="mso-fit-shape-to-text:t;">
                <w:txbxContent>
                  <w:p w14:paraId="6F72AAF2">
                    <w:pPr>
                      <w:pStyle w:val="10"/>
                    </w:pPr>
                    <w:r>
                      <w:fldChar w:fldCharType="begin"/>
                    </w:r>
                    <w:r>
                      <w:instrText xml:space="preserve"> PAGE  \* MERGEFORMAT </w:instrText>
                    </w:r>
                    <w:r>
                      <w:fldChar w:fldCharType="separate"/>
                    </w:r>
                    <w:r>
                      <w:rPr>
                        <w:lang/>
                      </w:rPr>
                      <w:t>67</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489F1">
    <w:pPr>
      <w:pStyle w:val="10"/>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AA49235">
                          <w:pPr>
                            <w:pStyle w:val="10"/>
                          </w:pPr>
                          <w:r>
                            <w:fldChar w:fldCharType="begin"/>
                          </w:r>
                          <w:r>
                            <w:instrText xml:space="preserve"> PAGE  \* MERGEFORMAT </w:instrText>
                          </w:r>
                          <w:r>
                            <w:fldChar w:fldCharType="separate"/>
                          </w:r>
                          <w:r>
                            <w:rPr>
                              <w:lang/>
                            </w:rP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Mx4czc5AgAAcwQAAA4AAAAAAAAAAQAgAAAAHwEAAGRycy9lMm9Eb2Mu&#10;eG1sUEsFBgAAAAAGAAYAWQEAAMoFAAAAAA==&#10;">
              <v:fill on="f" focussize="0,0"/>
              <v:stroke on="f" weight="0.5pt"/>
              <v:imagedata o:title=""/>
              <o:lock v:ext="edit" aspectratio="f"/>
              <v:textbox inset="0mm,0mm,0mm,0mm" style="mso-fit-shape-to-text:t;">
                <w:txbxContent>
                  <w:p w14:paraId="2AA49235">
                    <w:pPr>
                      <w:pStyle w:val="10"/>
                    </w:pPr>
                    <w:r>
                      <w:fldChar w:fldCharType="begin"/>
                    </w:r>
                    <w:r>
                      <w:instrText xml:space="preserve"> PAGE  \* MERGEFORMAT </w:instrText>
                    </w:r>
                    <w:r>
                      <w:fldChar w:fldCharType="separate"/>
                    </w:r>
                    <w:r>
                      <w:rPr>
                        <w:lang/>
                      </w:rPr>
                      <w:t>68</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D20C7">
    <w:pPr>
      <w:pStyle w:val="10"/>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514F6C5">
                          <w:pPr>
                            <w:pStyle w:val="10"/>
                          </w:pPr>
                          <w:r>
                            <w:fldChar w:fldCharType="begin"/>
                          </w:r>
                          <w:r>
                            <w:instrText xml:space="preserve"> PAGE  \* MERGEFORMAT </w:instrText>
                          </w:r>
                          <w:r>
                            <w:fldChar w:fldCharType="separate"/>
                          </w:r>
                          <w:r>
                            <w:rPr>
                              <w:lang/>
                            </w:rP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qP3J86AgAAc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aj9yfOgIAAHMEAAAOAAAAAAAAAAEAIAAAAB8BAABkcnMvZTJvRG9j&#10;LnhtbFBLBQYAAAAABgAGAFkBAADLBQAAAAA=&#10;">
              <v:fill on="f" focussize="0,0"/>
              <v:stroke on="f" weight="0.5pt"/>
              <v:imagedata o:title=""/>
              <o:lock v:ext="edit" aspectratio="f"/>
              <v:textbox inset="0mm,0mm,0mm,0mm" style="mso-fit-shape-to-text:t;">
                <w:txbxContent>
                  <w:p w14:paraId="6514F6C5">
                    <w:pPr>
                      <w:pStyle w:val="10"/>
                    </w:pPr>
                    <w:r>
                      <w:fldChar w:fldCharType="begin"/>
                    </w:r>
                    <w:r>
                      <w:instrText xml:space="preserve"> PAGE  \* MERGEFORMAT </w:instrText>
                    </w:r>
                    <w:r>
                      <w:fldChar w:fldCharType="separate"/>
                    </w:r>
                    <w:r>
                      <w:rPr>
                        <w:lang/>
                      </w:rPr>
                      <w:t>70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E5752">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02C4E5">
                          <w:pPr>
                            <w:pStyle w:val="10"/>
                          </w:pPr>
                          <w:r>
                            <w:fldChar w:fldCharType="begin"/>
                          </w:r>
                          <w:r>
                            <w:instrText xml:space="preserve"> PAGE  \* MERGEFORMAT </w:instrText>
                          </w:r>
                          <w:r>
                            <w:fldChar w:fldCharType="separate"/>
                          </w:r>
                          <w:r>
                            <w:rPr>
                              <w:lang/>
                            </w:rP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Xys05AgAAcQQAAA4AAABkcnMvZTJvRG9jLnhtbK1UzY7TMBC+I/EO&#10;lu80aYGlqp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bXys05AgAAcQQAAA4AAAAAAAAAAQAgAAAAHwEAAGRycy9lMm9Eb2Mu&#10;eG1sUEsFBgAAAAAGAAYAWQEAAMoFAAAAAA==&#10;">
              <v:fill on="f" focussize="0,0"/>
              <v:stroke on="f" weight="0.5pt"/>
              <v:imagedata o:title=""/>
              <o:lock v:ext="edit" aspectratio="f"/>
              <v:textbox inset="0mm,0mm,0mm,0mm" style="mso-fit-shape-to-text:t;">
                <w:txbxContent>
                  <w:p w14:paraId="5402C4E5">
                    <w:pPr>
                      <w:pStyle w:val="10"/>
                    </w:pPr>
                    <w:r>
                      <w:fldChar w:fldCharType="begin"/>
                    </w:r>
                    <w:r>
                      <w:instrText xml:space="preserve"> PAGE  \* MERGEFORMAT </w:instrText>
                    </w:r>
                    <w:r>
                      <w:fldChar w:fldCharType="separate"/>
                    </w:r>
                    <w:r>
                      <w:rPr>
                        <w:lang/>
                      </w:rPr>
                      <w:t>10</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254A4">
    <w:pPr>
      <w:pStyle w:val="10"/>
    </w:pPr>
    <w: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97626E7">
                          <w:pPr>
                            <w:pStyle w:val="10"/>
                          </w:pPr>
                          <w:r>
                            <w:fldChar w:fldCharType="begin"/>
                          </w:r>
                          <w:r>
                            <w:instrText xml:space="preserve"> PAGE  \* MERGEFORMAT </w:instrText>
                          </w:r>
                          <w:r>
                            <w:fldChar w:fldCharType="separate"/>
                          </w:r>
                          <w:r>
                            <w:rPr>
                              <w:lang/>
                            </w:rP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epZNzgCAABzBAAADgAAAAAAAAABACAAAAAfAQAAZHJzL2Uyb0RvYy54&#10;bWxQSwUGAAAAAAYABgBZAQAAyQUAAAAA&#10;">
              <v:fill on="f" focussize="0,0"/>
              <v:stroke on="f" weight="0.5pt"/>
              <v:imagedata o:title=""/>
              <o:lock v:ext="edit" aspectratio="f"/>
              <v:textbox inset="0mm,0mm,0mm,0mm" style="mso-fit-shape-to-text:t;">
                <w:txbxContent>
                  <w:p w14:paraId="597626E7">
                    <w:pPr>
                      <w:pStyle w:val="10"/>
                    </w:pPr>
                    <w:r>
                      <w:fldChar w:fldCharType="begin"/>
                    </w:r>
                    <w:r>
                      <w:instrText xml:space="preserve"> PAGE  \* MERGEFORMAT </w:instrText>
                    </w:r>
                    <w:r>
                      <w:fldChar w:fldCharType="separate"/>
                    </w:r>
                    <w:r>
                      <w:rPr>
                        <w:lang/>
                      </w:rPr>
                      <w:t>71</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D07D4">
    <w:pPr>
      <w:pStyle w:val="10"/>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58AD128">
                          <w:pPr>
                            <w:pStyle w:val="10"/>
                          </w:pPr>
                          <w:r>
                            <w:fldChar w:fldCharType="begin"/>
                          </w:r>
                          <w:r>
                            <w:instrText xml:space="preserve"> PAGE  \* MERGEFORMAT </w:instrText>
                          </w:r>
                          <w:r>
                            <w:fldChar w:fldCharType="separate"/>
                          </w:r>
                          <w:r>
                            <w:rPr>
                              <w:lang/>
                            </w:rP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d9p86AgAAcw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DbHfafOgIAAHMEAAAOAAAAAAAAAAEAIAAAAB8BAABkcnMvZTJvRG9j&#10;LnhtbFBLBQYAAAAABgAGAFkBAADLBQAAAAA=&#10;">
              <v:fill on="f" focussize="0,0"/>
              <v:stroke on="f" weight="0.5pt"/>
              <v:imagedata o:title=""/>
              <o:lock v:ext="edit" aspectratio="f"/>
              <v:textbox inset="0mm,0mm,0mm,0mm" style="mso-fit-shape-to-text:t;">
                <w:txbxContent>
                  <w:p w14:paraId="458AD128">
                    <w:pPr>
                      <w:pStyle w:val="10"/>
                    </w:pPr>
                    <w:r>
                      <w:fldChar w:fldCharType="begin"/>
                    </w:r>
                    <w:r>
                      <w:instrText xml:space="preserve"> PAGE  \* MERGEFORMAT </w:instrText>
                    </w:r>
                    <w:r>
                      <w:fldChar w:fldCharType="separate"/>
                    </w:r>
                    <w:r>
                      <w:rPr>
                        <w:lang/>
                      </w:rPr>
                      <w:t>72</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C352F">
    <w:pPr>
      <w:pStyle w:val="10"/>
    </w:pP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36381AC">
                          <w:pPr>
                            <w:pStyle w:val="10"/>
                          </w:pPr>
                          <w:r>
                            <w:fldChar w:fldCharType="begin"/>
                          </w:r>
                          <w:r>
                            <w:instrText xml:space="preserve"> PAGE  \* MERGEFORMAT </w:instrText>
                          </w:r>
                          <w:r>
                            <w:fldChar w:fldCharType="separate"/>
                          </w:r>
                          <w:r>
                            <w:rPr>
                              <w:lang/>
                            </w:rP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fCNEk6AgAAcw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HwjRJOgIAAHMEAAAOAAAAAAAAAAEAIAAAAB8BAABkcnMvZTJvRG9j&#10;LnhtbFBLBQYAAAAABgAGAFkBAADLBQAAAAA=&#10;">
              <v:fill on="f" focussize="0,0"/>
              <v:stroke on="f" weight="0.5pt"/>
              <v:imagedata o:title=""/>
              <o:lock v:ext="edit" aspectratio="f"/>
              <v:textbox inset="0mm,0mm,0mm,0mm" style="mso-fit-shape-to-text:t;">
                <w:txbxContent>
                  <w:p w14:paraId="236381AC">
                    <w:pPr>
                      <w:pStyle w:val="10"/>
                    </w:pPr>
                    <w:r>
                      <w:fldChar w:fldCharType="begin"/>
                    </w:r>
                    <w:r>
                      <w:instrText xml:space="preserve"> PAGE  \* MERGEFORMAT </w:instrText>
                    </w:r>
                    <w:r>
                      <w:fldChar w:fldCharType="separate"/>
                    </w:r>
                    <w:r>
                      <w:rPr>
                        <w:lang/>
                      </w:rPr>
                      <w:t>76</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F4D32">
    <w:pPr>
      <w:pStyle w:val="10"/>
    </w:pPr>
    <w: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02E602B">
                          <w:pPr>
                            <w:pStyle w:val="10"/>
                          </w:pPr>
                          <w:r>
                            <w:fldChar w:fldCharType="begin"/>
                          </w:r>
                          <w:r>
                            <w:instrText xml:space="preserve"> PAGE  \* MERGEFORMAT </w:instrText>
                          </w:r>
                          <w:r>
                            <w:fldChar w:fldCharType="separate"/>
                          </w:r>
                          <w:r>
                            <w:rPr>
                              <w:lang/>
                            </w:rP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ImaQ6AgAAcw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AnCJmkOgIAAHMEAAAOAAAAAAAAAAEAIAAAAB8BAABkcnMvZTJvRG9j&#10;LnhtbFBLBQYAAAAABgAGAFkBAADLBQAAAAA=&#10;">
              <v:fill on="f" focussize="0,0"/>
              <v:stroke on="f" weight="0.5pt"/>
              <v:imagedata o:title=""/>
              <o:lock v:ext="edit" aspectratio="f"/>
              <v:textbox inset="0mm,0mm,0mm,0mm" style="mso-fit-shape-to-text:t;">
                <w:txbxContent>
                  <w:p w14:paraId="602E602B">
                    <w:pPr>
                      <w:pStyle w:val="10"/>
                    </w:pPr>
                    <w:r>
                      <w:fldChar w:fldCharType="begin"/>
                    </w:r>
                    <w:r>
                      <w:instrText xml:space="preserve"> PAGE  \* MERGEFORMAT </w:instrText>
                    </w:r>
                    <w:r>
                      <w:fldChar w:fldCharType="separate"/>
                    </w:r>
                    <w:r>
                      <w:rPr>
                        <w:lang/>
                      </w:rPr>
                      <w:t>77</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A08DC">
    <w:pPr>
      <w:pStyle w:val="10"/>
    </w:pPr>
    <w: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 name="文本框 1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32FB8BB">
                          <w:pPr>
                            <w:pStyle w:val="10"/>
                          </w:pPr>
                          <w:r>
                            <w:fldChar w:fldCharType="begin"/>
                          </w:r>
                          <w:r>
                            <w:instrText xml:space="preserve"> PAGE  \* MERGEFORMAT </w:instrText>
                          </w:r>
                          <w:r>
                            <w:fldChar w:fldCharType="separate"/>
                          </w:r>
                          <w:r>
                            <w:rPr>
                              <w:lang/>
                            </w:rP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Ngw6AgAAcw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x/zYMOgIAAHMEAAAOAAAAAAAAAAEAIAAAAB8BAABkcnMvZTJvRG9j&#10;LnhtbFBLBQYAAAAABgAGAFkBAADLBQAAAAA=&#10;">
              <v:fill on="f" focussize="0,0"/>
              <v:stroke on="f" weight="0.5pt"/>
              <v:imagedata o:title=""/>
              <o:lock v:ext="edit" aspectratio="f"/>
              <v:textbox inset="0mm,0mm,0mm,0mm" style="mso-fit-shape-to-text:t;">
                <w:txbxContent>
                  <w:p w14:paraId="132FB8BB">
                    <w:pPr>
                      <w:pStyle w:val="10"/>
                    </w:pPr>
                    <w:r>
                      <w:fldChar w:fldCharType="begin"/>
                    </w:r>
                    <w:r>
                      <w:instrText xml:space="preserve"> PAGE  \* MERGEFORMAT </w:instrText>
                    </w:r>
                    <w:r>
                      <w:fldChar w:fldCharType="separate"/>
                    </w:r>
                    <w:r>
                      <w:rPr>
                        <w:lang/>
                      </w:rPr>
                      <w:t>78</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15F2B">
    <w:pPr>
      <w:pStyle w:val="10"/>
    </w:pPr>
    <w: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36864E">
                          <w:pPr>
                            <w:pStyle w:val="10"/>
                          </w:pPr>
                          <w:r>
                            <w:fldChar w:fldCharType="begin"/>
                          </w:r>
                          <w:r>
                            <w:instrText xml:space="preserve"> PAGE  \* MERGEFORMAT </w:instrText>
                          </w:r>
                          <w:r>
                            <w:fldChar w:fldCharType="separate"/>
                          </w:r>
                          <w:r>
                            <w:rPr>
                              <w:lang/>
                            </w:rP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hty45AgAAc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Erhty45AgAAcwQAAA4AAAAAAAAAAQAgAAAAHwEAAGRycy9lMm9Eb2Mu&#10;eG1sUEsFBgAAAAAGAAYAWQEAAMoFAAAAAA==&#10;">
              <v:fill on="f" focussize="0,0"/>
              <v:stroke on="f" weight="0.5pt"/>
              <v:imagedata o:title=""/>
              <o:lock v:ext="edit" aspectratio="f"/>
              <v:textbox inset="0mm,0mm,0mm,0mm" style="mso-fit-shape-to-text:t;">
                <w:txbxContent>
                  <w:p w14:paraId="5B36864E">
                    <w:pPr>
                      <w:pStyle w:val="10"/>
                    </w:pPr>
                    <w:r>
                      <w:fldChar w:fldCharType="begin"/>
                    </w:r>
                    <w:r>
                      <w:instrText xml:space="preserve"> PAGE  \* MERGEFORMAT </w:instrText>
                    </w:r>
                    <w:r>
                      <w:fldChar w:fldCharType="separate"/>
                    </w:r>
                    <w:r>
                      <w:rPr>
                        <w:lang/>
                      </w:rPr>
                      <w:t>79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761EE">
    <w:pPr>
      <w:spacing w:line="179" w:lineRule="auto"/>
      <w:ind w:left="4353"/>
      <w:rPr>
        <w:rFonts w:ascii="宋体" w:hAnsi="宋体" w:eastAsia="宋体" w:cs="宋体"/>
        <w:sz w:val="19"/>
        <w:szCs w:val="19"/>
      </w:rPr>
    </w:pPr>
    <w:r>
      <w:rPr>
        <w:rFonts w:hint="eastAsia" w:ascii="宋体" w:hAnsi="宋体" w:eastAsia="宋体" w:cs="宋体"/>
        <w:sz w:val="19"/>
        <w:szCs w:val="19"/>
        <w:lang w:eastAsia="zh-CN"/>
      </w:rPr>
      <w:t xml:space="preserve">        </w:t>
    </w:r>
    <w:r>
      <w:rPr>
        <w:rFonts w:hint="eastAsia" w:ascii="宋体" w:hAnsi="宋体" w:eastAsia="宋体" w:cs="宋体"/>
        <w:color w:val="auto"/>
        <w:sz w:val="19"/>
        <w:szCs w:val="19"/>
        <w:lang w:eastAsia="zh-CN"/>
      </w:rPr>
      <w:t>11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C7427">
    <w:pPr>
      <w:pStyle w:val="1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C9ED466">
                          <w:pPr>
                            <w:pStyle w:val="10"/>
                          </w:pPr>
                          <w:r>
                            <w:fldChar w:fldCharType="begin"/>
                          </w:r>
                          <w:r>
                            <w:instrText xml:space="preserve"> PAGE  \* MERGEFORMAT </w:instrText>
                          </w:r>
                          <w:r>
                            <w:fldChar w:fldCharType="separate"/>
                          </w:r>
                          <w:r>
                            <w:rPr>
                              <w:lang/>
                            </w:rP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VG1DA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FUbUMDgCAABxBAAADgAAAAAAAAABACAAAAAfAQAAZHJzL2Uyb0RvYy54&#10;bWxQSwUGAAAAAAYABgBZAQAAyQUAAAAA&#10;">
              <v:fill on="f" focussize="0,0"/>
              <v:stroke on="f" weight="0.5pt"/>
              <v:imagedata o:title=""/>
              <o:lock v:ext="edit" aspectratio="f"/>
              <v:textbox inset="0mm,0mm,0mm,0mm" style="mso-fit-shape-to-text:t;">
                <w:txbxContent>
                  <w:p w14:paraId="1C9ED466">
                    <w:pPr>
                      <w:pStyle w:val="10"/>
                    </w:pPr>
                    <w:r>
                      <w:fldChar w:fldCharType="begin"/>
                    </w:r>
                    <w:r>
                      <w:instrText xml:space="preserve"> PAGE  \* MERGEFORMAT </w:instrText>
                    </w:r>
                    <w:r>
                      <w:fldChar w:fldCharType="separate"/>
                    </w:r>
                    <w:r>
                      <w:rPr>
                        <w:lang/>
                      </w:rPr>
                      <w:t>37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31785">
    <w:pPr>
      <w:pStyle w:val="1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DE86C22">
                          <w:pPr>
                            <w:pStyle w:val="10"/>
                          </w:pPr>
                          <w:r>
                            <w:fldChar w:fldCharType="begin"/>
                          </w:r>
                          <w:r>
                            <w:instrText xml:space="preserve"> PAGE  \* MERGEFORMAT </w:instrText>
                          </w:r>
                          <w:r>
                            <w:fldChar w:fldCharType="separate"/>
                          </w:r>
                          <w:r>
                            <w:rPr>
                              <w:lang/>
                            </w:rP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aQC/86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ZF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2kAv/OgIAAHEEAAAOAAAAAAAAAAEAIAAAAB8BAABkcnMvZTJvRG9j&#10;LnhtbFBLBQYAAAAABgAGAFkBAADLBQAAAAA=&#10;">
              <v:fill on="f" focussize="0,0"/>
              <v:stroke on="f" weight="0.5pt"/>
              <v:imagedata o:title=""/>
              <o:lock v:ext="edit" aspectratio="f"/>
              <v:textbox inset="0mm,0mm,0mm,0mm" style="mso-fit-shape-to-text:t;">
                <w:txbxContent>
                  <w:p w14:paraId="2DE86C22">
                    <w:pPr>
                      <w:pStyle w:val="10"/>
                    </w:pPr>
                    <w:r>
                      <w:fldChar w:fldCharType="begin"/>
                    </w:r>
                    <w:r>
                      <w:instrText xml:space="preserve"> PAGE  \* MERGEFORMAT </w:instrText>
                    </w:r>
                    <w:r>
                      <w:fldChar w:fldCharType="separate"/>
                    </w:r>
                    <w:r>
                      <w:rPr>
                        <w:lang/>
                      </w:rPr>
                      <w:t>40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03A57">
    <w:pPr>
      <w:pStyle w:val="1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EFCCA94">
                          <w:pPr>
                            <w:pStyle w:val="10"/>
                          </w:pPr>
                          <w:r>
                            <w:fldChar w:fldCharType="begin"/>
                          </w:r>
                          <w:r>
                            <w:instrText xml:space="preserve"> PAGE  \* MERGEFORMAT </w:instrText>
                          </w:r>
                          <w:r>
                            <w:fldChar w:fldCharType="separate"/>
                          </w:r>
                          <w:r>
                            <w:rPr>
                              <w:lang/>
                            </w:rP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E6xbs6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ZFSWaKXT8/OP7&#10;+efv869vBHcQqLF+jrgHi8jQvjMtxma497iMvNvSqfgLRgR+yHu6yCvaQHh8NJvOZmO4OHzDAfjZ&#10;03PrfHgvjCLRyKlD/5Ks7Lj1oQsdQmI2bTa1lKmHUpMmp9dvr8b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DxOsW7OgIAAHEEAAAOAAAAAAAAAAEAIAAAAB8BAABkcnMvZTJvRG9j&#10;LnhtbFBLBQYAAAAABgAGAFkBAADLBQAAAAA=&#10;">
              <v:fill on="f" focussize="0,0"/>
              <v:stroke on="f" weight="0.5pt"/>
              <v:imagedata o:title=""/>
              <o:lock v:ext="edit" aspectratio="f"/>
              <v:textbox inset="0mm,0mm,0mm,0mm" style="mso-fit-shape-to-text:t;">
                <w:txbxContent>
                  <w:p w14:paraId="3EFCCA94">
                    <w:pPr>
                      <w:pStyle w:val="10"/>
                    </w:pPr>
                    <w:r>
                      <w:fldChar w:fldCharType="begin"/>
                    </w:r>
                    <w:r>
                      <w:instrText xml:space="preserve"> PAGE  \* MERGEFORMAT </w:instrText>
                    </w:r>
                    <w:r>
                      <w:fldChar w:fldCharType="separate"/>
                    </w:r>
                    <w:r>
                      <w:rPr>
                        <w:lang/>
                      </w:rPr>
                      <w:t>43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FC359">
    <w:pPr>
      <w:pStyle w:val="1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5B4810">
                          <w:pPr>
                            <w:pStyle w:val="10"/>
                          </w:pPr>
                          <w:r>
                            <w:fldChar w:fldCharType="begin"/>
                          </w:r>
                          <w:r>
                            <w:instrText xml:space="preserve"> PAGE  \* MERGEFORMAT </w:instrText>
                          </w:r>
                          <w:r>
                            <w:fldChar w:fldCharType="separate"/>
                          </w:r>
                          <w:r>
                            <w:rPr>
                              <w:lang/>
                            </w:rP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NeUDE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f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NeUDE5AgAAcQQAAA4AAAAAAAAAAQAgAAAAHwEAAGRycy9lMm9Eb2Mu&#10;eG1sUEsFBgAAAAAGAAYAWQEAAMoFAAAAAA==&#10;">
              <v:fill on="f" focussize="0,0"/>
              <v:stroke on="f" weight="0.5pt"/>
              <v:imagedata o:title=""/>
              <o:lock v:ext="edit" aspectratio="f"/>
              <v:textbox inset="0mm,0mm,0mm,0mm" style="mso-fit-shape-to-text:t;">
                <w:txbxContent>
                  <w:p w14:paraId="4D5B4810">
                    <w:pPr>
                      <w:pStyle w:val="10"/>
                    </w:pPr>
                    <w:r>
                      <w:fldChar w:fldCharType="begin"/>
                    </w:r>
                    <w:r>
                      <w:instrText xml:space="preserve"> PAGE  \* MERGEFORMAT </w:instrText>
                    </w:r>
                    <w:r>
                      <w:fldChar w:fldCharType="separate"/>
                    </w:r>
                    <w:r>
                      <w:rPr>
                        <w:lang/>
                      </w:rPr>
                      <w:t>55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0DEE2">
    <w:pPr>
      <w:pStyle w:val="10"/>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B866408">
                          <w:pPr>
                            <w:pStyle w:val="10"/>
                          </w:pPr>
                          <w:r>
                            <w:fldChar w:fldCharType="begin"/>
                          </w:r>
                          <w:r>
                            <w:instrText xml:space="preserve"> PAGE  \* MERGEFORMAT </w:instrText>
                          </w:r>
                          <w:r>
                            <w:fldChar w:fldCharType="separate"/>
                          </w:r>
                          <w:r>
                            <w:rPr>
                              <w:lang/>
                            </w:rP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vWDI5AgAAc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f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P9vWDI5AgAAcQQAAA4AAAAAAAAAAQAgAAAAHwEAAGRycy9lMm9Eb2Mu&#10;eG1sUEsFBgAAAAAGAAYAWQEAAMoFAAAAAA==&#10;">
              <v:fill on="f" focussize="0,0"/>
              <v:stroke on="f" weight="0.5pt"/>
              <v:imagedata o:title=""/>
              <o:lock v:ext="edit" aspectratio="f"/>
              <v:textbox inset="0mm,0mm,0mm,0mm" style="mso-fit-shape-to-text:t;">
                <w:txbxContent>
                  <w:p w14:paraId="7B866408">
                    <w:pPr>
                      <w:pStyle w:val="10"/>
                    </w:pPr>
                    <w:r>
                      <w:fldChar w:fldCharType="begin"/>
                    </w:r>
                    <w:r>
                      <w:instrText xml:space="preserve"> PAGE  \* MERGEFORMAT </w:instrText>
                    </w:r>
                    <w:r>
                      <w:fldChar w:fldCharType="separate"/>
                    </w:r>
                    <w:r>
                      <w:rPr>
                        <w:lang/>
                      </w:rPr>
                      <w:t>56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EA5B9">
    <w:pPr>
      <w:pStyle w:val="10"/>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54B8D5C">
                          <w:pPr>
                            <w:pStyle w:val="10"/>
                          </w:pPr>
                          <w:r>
                            <w:fldChar w:fldCharType="begin"/>
                          </w:r>
                          <w:r>
                            <w:instrText xml:space="preserve"> PAGE  \* MERGEFORMAT </w:instrText>
                          </w:r>
                          <w:r>
                            <w:fldChar w:fldCharType="separate"/>
                          </w:r>
                          <w:r>
                            <w:rPr>
                              <w:lang/>
                            </w:rP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iusjk5AgAAcQQAAA4AAABkcnMvZTJvRG9jLnhtbK1UzY7TMBC+I/EO&#10;lu80aRGrUj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Niusjk5AgAAcQQAAA4AAAAAAAAAAQAgAAAAHwEAAGRycy9lMm9Eb2Mu&#10;eG1sUEsFBgAAAAAGAAYAWQEAAMoFAAAAAA==&#10;">
              <v:fill on="f" focussize="0,0"/>
              <v:stroke on="f" weight="0.5pt"/>
              <v:imagedata o:title=""/>
              <o:lock v:ext="edit" aspectratio="f"/>
              <v:textbox inset="0mm,0mm,0mm,0mm" style="mso-fit-shape-to-text:t;">
                <w:txbxContent>
                  <w:p w14:paraId="054B8D5C">
                    <w:pPr>
                      <w:pStyle w:val="10"/>
                    </w:pPr>
                    <w:r>
                      <w:fldChar w:fldCharType="begin"/>
                    </w:r>
                    <w:r>
                      <w:instrText xml:space="preserve"> PAGE  \* MERGEFORMAT </w:instrText>
                    </w:r>
                    <w:r>
                      <w:fldChar w:fldCharType="separate"/>
                    </w:r>
                    <w:r>
                      <w:rPr>
                        <w:lang/>
                      </w:rPr>
                      <w:t>57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17288">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55D5A">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C5E09">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5AE93">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98CA0A"/>
    <w:multiLevelType w:val="singleLevel"/>
    <w:tmpl w:val="9598CA0A"/>
    <w:lvl w:ilvl="0" w:tentative="0">
      <w:start w:val="2"/>
      <w:numFmt w:val="decimal"/>
      <w:suff w:val="nothing"/>
      <w:lvlText w:val="（%1）"/>
      <w:lvlJc w:val="left"/>
    </w:lvl>
  </w:abstractNum>
  <w:abstractNum w:abstractNumId="1">
    <w:nsid w:val="0C1928B3"/>
    <w:multiLevelType w:val="singleLevel"/>
    <w:tmpl w:val="0C1928B3"/>
    <w:lvl w:ilvl="0" w:tentative="0">
      <w:start w:val="1"/>
      <w:numFmt w:val="decimal"/>
      <w:lvlText w:val="%1."/>
      <w:lvlJc w:val="left"/>
      <w:pPr>
        <w:tabs>
          <w:tab w:val="left" w:pos="312"/>
        </w:tabs>
      </w:pPr>
    </w:lvl>
  </w:abstractNum>
  <w:abstractNum w:abstractNumId="2">
    <w:nsid w:val="1C9E44F3"/>
    <w:multiLevelType w:val="singleLevel"/>
    <w:tmpl w:val="1C9E44F3"/>
    <w:lvl w:ilvl="0" w:tentative="0">
      <w:start w:val="1"/>
      <w:numFmt w:val="decimal"/>
      <w:suff w:val="nothing"/>
      <w:lvlText w:val="（%1）"/>
      <w:lvlJc w:val="left"/>
    </w:lvl>
  </w:abstractNum>
  <w:abstractNum w:abstractNumId="3">
    <w:nsid w:val="55C64E0C"/>
    <w:multiLevelType w:val="singleLevel"/>
    <w:tmpl w:val="55C64E0C"/>
    <w:lvl w:ilvl="0" w:tentative="0">
      <w:start w:val="12"/>
      <w:numFmt w:val="decimal"/>
      <w:suff w:val="space"/>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500"/>
  <w:hyphenationZone w:val="360"/>
  <w:displayHorizontalDrawingGridEvery w:val="1"/>
  <w:displayVerticalDrawingGridEvery w:val="1"/>
  <w:noPunctuationKerning w:val="1"/>
  <w:characterSpacingControl w:val="doNotCompress"/>
  <w:hdrShapeDefaults>
    <o:shapelayout v:ext="edit">
      <o:idmap v:ext="edit" data="2"/>
    </o:shapelayout>
  </w:hdrShapeDefaults>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3NDNiNTkyMmE5MjI2YTc0NmRiNWQyNjA5M2E0Y2MifQ=="/>
    <w:docVar w:name="KSO_WPS_MARK_KEY" w:val="6f1ed6e0-1a31-40b8-b5e7-63682a01dd85"/>
  </w:docVars>
  <w:rsids>
    <w:rsidRoot w:val="00D93B1F"/>
    <w:rsid w:val="002271DC"/>
    <w:rsid w:val="0061778C"/>
    <w:rsid w:val="007902EC"/>
    <w:rsid w:val="008145AB"/>
    <w:rsid w:val="00A47D6E"/>
    <w:rsid w:val="00D93B1F"/>
    <w:rsid w:val="00DD4CCE"/>
    <w:rsid w:val="00E365EF"/>
    <w:rsid w:val="014D560B"/>
    <w:rsid w:val="01A22C15"/>
    <w:rsid w:val="024149A6"/>
    <w:rsid w:val="02B16337"/>
    <w:rsid w:val="02CC766F"/>
    <w:rsid w:val="031317CC"/>
    <w:rsid w:val="03F95EBB"/>
    <w:rsid w:val="0462389C"/>
    <w:rsid w:val="053D5C48"/>
    <w:rsid w:val="057E0DE3"/>
    <w:rsid w:val="07582125"/>
    <w:rsid w:val="079C6E84"/>
    <w:rsid w:val="082B68AC"/>
    <w:rsid w:val="097F6AA4"/>
    <w:rsid w:val="0A2166A1"/>
    <w:rsid w:val="0A9B6453"/>
    <w:rsid w:val="0AA51080"/>
    <w:rsid w:val="0B0A655D"/>
    <w:rsid w:val="0B293A5F"/>
    <w:rsid w:val="0C8A1D9B"/>
    <w:rsid w:val="0C8F1302"/>
    <w:rsid w:val="0C973FB3"/>
    <w:rsid w:val="0D7F57E0"/>
    <w:rsid w:val="0D973F92"/>
    <w:rsid w:val="0EA0228A"/>
    <w:rsid w:val="0EF27F68"/>
    <w:rsid w:val="0F0806AD"/>
    <w:rsid w:val="102C1EAA"/>
    <w:rsid w:val="1201405C"/>
    <w:rsid w:val="127001C5"/>
    <w:rsid w:val="12EF74A1"/>
    <w:rsid w:val="14AF7C1B"/>
    <w:rsid w:val="154E1149"/>
    <w:rsid w:val="15721866"/>
    <w:rsid w:val="15FF253D"/>
    <w:rsid w:val="175B58E8"/>
    <w:rsid w:val="17E94CA2"/>
    <w:rsid w:val="185748BA"/>
    <w:rsid w:val="19067AD5"/>
    <w:rsid w:val="19636CD6"/>
    <w:rsid w:val="19A327C1"/>
    <w:rsid w:val="19EF40C6"/>
    <w:rsid w:val="1A9F3D3E"/>
    <w:rsid w:val="1B3A75C2"/>
    <w:rsid w:val="1B520060"/>
    <w:rsid w:val="1BC872C4"/>
    <w:rsid w:val="1CF0262F"/>
    <w:rsid w:val="1D962329"/>
    <w:rsid w:val="1E3648CB"/>
    <w:rsid w:val="1EC75611"/>
    <w:rsid w:val="20895274"/>
    <w:rsid w:val="22182566"/>
    <w:rsid w:val="22B1623C"/>
    <w:rsid w:val="23113827"/>
    <w:rsid w:val="24B95358"/>
    <w:rsid w:val="25EF3DCB"/>
    <w:rsid w:val="267408B9"/>
    <w:rsid w:val="26864004"/>
    <w:rsid w:val="26F57B3D"/>
    <w:rsid w:val="27FC7AB5"/>
    <w:rsid w:val="281318C7"/>
    <w:rsid w:val="28136333"/>
    <w:rsid w:val="28AF4C06"/>
    <w:rsid w:val="298B2C60"/>
    <w:rsid w:val="2A170EE6"/>
    <w:rsid w:val="2A6F0DB7"/>
    <w:rsid w:val="2B2C33CC"/>
    <w:rsid w:val="2B7946DC"/>
    <w:rsid w:val="2BB47B2D"/>
    <w:rsid w:val="2C5456F4"/>
    <w:rsid w:val="2CC71519"/>
    <w:rsid w:val="2D7473DA"/>
    <w:rsid w:val="2DF42420"/>
    <w:rsid w:val="2E0A283D"/>
    <w:rsid w:val="2E7E14C9"/>
    <w:rsid w:val="2EFD490F"/>
    <w:rsid w:val="304F5031"/>
    <w:rsid w:val="30800BE7"/>
    <w:rsid w:val="31F33790"/>
    <w:rsid w:val="32F742BF"/>
    <w:rsid w:val="333A41AC"/>
    <w:rsid w:val="3525070E"/>
    <w:rsid w:val="354971CF"/>
    <w:rsid w:val="35DB7EC8"/>
    <w:rsid w:val="36716471"/>
    <w:rsid w:val="36A857EE"/>
    <w:rsid w:val="37F963E3"/>
    <w:rsid w:val="386D5023"/>
    <w:rsid w:val="38D26C34"/>
    <w:rsid w:val="395D4987"/>
    <w:rsid w:val="3B653D90"/>
    <w:rsid w:val="3C1852A6"/>
    <w:rsid w:val="3C2D2697"/>
    <w:rsid w:val="3C3B1478"/>
    <w:rsid w:val="3D6A6DA8"/>
    <w:rsid w:val="3D9F7A2D"/>
    <w:rsid w:val="3EF67200"/>
    <w:rsid w:val="3FE01B1C"/>
    <w:rsid w:val="40046D13"/>
    <w:rsid w:val="40AF61D9"/>
    <w:rsid w:val="45905EAD"/>
    <w:rsid w:val="45DF68CB"/>
    <w:rsid w:val="45E5269D"/>
    <w:rsid w:val="460A64D2"/>
    <w:rsid w:val="464C7C9B"/>
    <w:rsid w:val="474D04FA"/>
    <w:rsid w:val="477200AE"/>
    <w:rsid w:val="48425B85"/>
    <w:rsid w:val="48BB76E5"/>
    <w:rsid w:val="48F74BC1"/>
    <w:rsid w:val="4A1B1471"/>
    <w:rsid w:val="4B524331"/>
    <w:rsid w:val="4C6C5AF1"/>
    <w:rsid w:val="4C8C6E2A"/>
    <w:rsid w:val="4CC16D7F"/>
    <w:rsid w:val="4CE313E9"/>
    <w:rsid w:val="4D502A5D"/>
    <w:rsid w:val="4E7645C9"/>
    <w:rsid w:val="4E893884"/>
    <w:rsid w:val="4EF632AE"/>
    <w:rsid w:val="4F190832"/>
    <w:rsid w:val="4FE91D32"/>
    <w:rsid w:val="50970BDD"/>
    <w:rsid w:val="50B415EA"/>
    <w:rsid w:val="50B909AE"/>
    <w:rsid w:val="50C406E4"/>
    <w:rsid w:val="51F6115F"/>
    <w:rsid w:val="52784C06"/>
    <w:rsid w:val="541C1980"/>
    <w:rsid w:val="54F226E1"/>
    <w:rsid w:val="5525144D"/>
    <w:rsid w:val="553265E9"/>
    <w:rsid w:val="554178E8"/>
    <w:rsid w:val="555A2916"/>
    <w:rsid w:val="557529F8"/>
    <w:rsid w:val="55781588"/>
    <w:rsid w:val="56010AA6"/>
    <w:rsid w:val="56326745"/>
    <w:rsid w:val="56F83D0C"/>
    <w:rsid w:val="572763EB"/>
    <w:rsid w:val="575B631B"/>
    <w:rsid w:val="57766A4D"/>
    <w:rsid w:val="57830607"/>
    <w:rsid w:val="58871392"/>
    <w:rsid w:val="5A4D499A"/>
    <w:rsid w:val="5A537966"/>
    <w:rsid w:val="5A772246"/>
    <w:rsid w:val="5A7D0C9E"/>
    <w:rsid w:val="5ACF389A"/>
    <w:rsid w:val="5AEB2B24"/>
    <w:rsid w:val="5C13353F"/>
    <w:rsid w:val="5CFF3BED"/>
    <w:rsid w:val="5E0B123F"/>
    <w:rsid w:val="5E9860A7"/>
    <w:rsid w:val="5EE52C75"/>
    <w:rsid w:val="5F4D399B"/>
    <w:rsid w:val="5FD54C27"/>
    <w:rsid w:val="6101712B"/>
    <w:rsid w:val="611D6D37"/>
    <w:rsid w:val="61844626"/>
    <w:rsid w:val="61E810F3"/>
    <w:rsid w:val="626817A1"/>
    <w:rsid w:val="62D31D59"/>
    <w:rsid w:val="6338060C"/>
    <w:rsid w:val="6369312B"/>
    <w:rsid w:val="6375486C"/>
    <w:rsid w:val="6507503C"/>
    <w:rsid w:val="662866E1"/>
    <w:rsid w:val="66CF67CF"/>
    <w:rsid w:val="66DD63E5"/>
    <w:rsid w:val="66EA3218"/>
    <w:rsid w:val="66F97A54"/>
    <w:rsid w:val="67476787"/>
    <w:rsid w:val="67EB5541"/>
    <w:rsid w:val="694C01BA"/>
    <w:rsid w:val="69656389"/>
    <w:rsid w:val="6A6E23B2"/>
    <w:rsid w:val="6A7E0C8B"/>
    <w:rsid w:val="6A9242F2"/>
    <w:rsid w:val="6AEE0CB8"/>
    <w:rsid w:val="6B8003A5"/>
    <w:rsid w:val="6C1C0677"/>
    <w:rsid w:val="6C7207B7"/>
    <w:rsid w:val="6D123973"/>
    <w:rsid w:val="6E551AFF"/>
    <w:rsid w:val="6F4D4C8B"/>
    <w:rsid w:val="708A1883"/>
    <w:rsid w:val="70ED2282"/>
    <w:rsid w:val="71833CDA"/>
    <w:rsid w:val="71871A0A"/>
    <w:rsid w:val="71926AF8"/>
    <w:rsid w:val="719B55D2"/>
    <w:rsid w:val="728577B6"/>
    <w:rsid w:val="733C302D"/>
    <w:rsid w:val="73520086"/>
    <w:rsid w:val="747F3DA7"/>
    <w:rsid w:val="74F02341"/>
    <w:rsid w:val="759A26B8"/>
    <w:rsid w:val="75AF7C6E"/>
    <w:rsid w:val="75B8488D"/>
    <w:rsid w:val="76A21419"/>
    <w:rsid w:val="76CC2E67"/>
    <w:rsid w:val="77354CF9"/>
    <w:rsid w:val="773D3837"/>
    <w:rsid w:val="78F3578F"/>
    <w:rsid w:val="7A3A25F4"/>
    <w:rsid w:val="7AAE3295"/>
    <w:rsid w:val="7B610879"/>
    <w:rsid w:val="7B806ECE"/>
    <w:rsid w:val="7BC7188B"/>
    <w:rsid w:val="7D195DC1"/>
    <w:rsid w:val="7E6934C5"/>
    <w:rsid w:val="7F777DF7"/>
    <w:rsid w:val="7FA5532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3">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uiPriority w:val="0"/>
    <w:tblPr>
      <w:tblStyle w:val="14"/>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next w:val="6"/>
    <w:semiHidden/>
    <w:qFormat/>
    <w:uiPriority w:val="0"/>
    <w:rPr>
      <w:rFonts w:ascii="Arial" w:hAnsi="Arial" w:eastAsia="Arial" w:cs="Arial"/>
      <w:sz w:val="21"/>
      <w:szCs w:val="21"/>
      <w:lang w:val="en-US" w:eastAsia="en-US" w:bidi="ar-SA"/>
    </w:rPr>
  </w:style>
  <w:style w:type="paragraph" w:styleId="6">
    <w:name w:val="Body Text 2"/>
    <w:basedOn w:val="1"/>
    <w:next w:val="5"/>
    <w:qFormat/>
    <w:uiPriority w:val="0"/>
    <w:pPr>
      <w:spacing w:line="500" w:lineRule="exact"/>
    </w:pPr>
    <w:rPr>
      <w:rFonts w:hint="default"/>
    </w:rPr>
  </w:style>
  <w:style w:type="paragraph" w:styleId="7">
    <w:name w:val="toc 3"/>
    <w:basedOn w:val="1"/>
    <w:next w:val="1"/>
    <w:uiPriority w:val="0"/>
    <w:pPr>
      <w:ind w:left="840" w:leftChars="400"/>
    </w:pPr>
  </w:style>
  <w:style w:type="paragraph" w:styleId="8">
    <w:name w:val="Plain Text"/>
    <w:basedOn w:val="1"/>
    <w:uiPriority w:val="0"/>
    <w:rPr>
      <w:rFonts w:ascii="宋体" w:hAnsi="Courier New" w:eastAsia="宋体" w:cs="Courier New"/>
      <w:szCs w:val="21"/>
    </w:rPr>
  </w:style>
  <w:style w:type="paragraph" w:styleId="9">
    <w:name w:val="Balloon Text"/>
    <w:basedOn w:val="1"/>
    <w:link w:val="17"/>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link w:val="18"/>
    <w:uiPriority w:val="0"/>
    <w:pPr>
      <w:pBdr>
        <w:bottom w:val="single" w:color="auto" w:sz="6" w:space="1"/>
      </w:pBdr>
      <w:tabs>
        <w:tab w:val="center" w:pos="4153"/>
        <w:tab w:val="right" w:pos="8306"/>
      </w:tabs>
      <w:jc w:val="center"/>
    </w:pPr>
    <w:rPr>
      <w:sz w:val="18"/>
      <w:szCs w:val="18"/>
    </w:rPr>
  </w:style>
  <w:style w:type="paragraph" w:styleId="12">
    <w:name w:val="toc 1"/>
    <w:basedOn w:val="1"/>
    <w:next w:val="1"/>
    <w:uiPriority w:val="0"/>
  </w:style>
  <w:style w:type="paragraph" w:styleId="13">
    <w:name w:val="toc 2"/>
    <w:basedOn w:val="1"/>
    <w:next w:val="1"/>
    <w:uiPriority w:val="0"/>
    <w:pPr>
      <w:ind w:left="420" w:leftChars="200"/>
    </w:pPr>
  </w:style>
  <w:style w:type="table" w:styleId="15">
    <w:name w:val="Table Grid"/>
    <w:basedOn w:val="14"/>
    <w:qFormat/>
    <w:uiPriority w:val="0"/>
    <w:pPr>
      <w:widowControl w:val="0"/>
      <w:jc w:val="both"/>
    </w:pPr>
    <w:tblPr>
      <w:tblStyle w:val="1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批注框文本 Char"/>
    <w:link w:val="9"/>
    <w:uiPriority w:val="0"/>
    <w:rPr>
      <w:rFonts w:ascii="Arial" w:hAnsi="Arial" w:eastAsia="Arial" w:cs="Arial"/>
      <w:snapToGrid/>
      <w:color w:val="000000"/>
      <w:sz w:val="18"/>
      <w:szCs w:val="18"/>
      <w:lang w:eastAsia="en-US"/>
    </w:rPr>
  </w:style>
  <w:style w:type="character" w:customStyle="1" w:styleId="18">
    <w:name w:val="页眉 Char"/>
    <w:link w:val="11"/>
    <w:uiPriority w:val="0"/>
    <w:rPr>
      <w:rFonts w:ascii="Arial" w:hAnsi="Arial" w:eastAsia="Arial" w:cs="Arial"/>
      <w:snapToGrid/>
      <w:color w:val="000000"/>
      <w:sz w:val="18"/>
      <w:szCs w:val="18"/>
      <w:lang w:eastAsia="en-US"/>
    </w:rPr>
  </w:style>
  <w:style w:type="table" w:customStyle="1" w:styleId="19">
    <w:name w:val="Table Normal"/>
    <w:unhideWhenUsed/>
    <w:qFormat/>
    <w:uiPriority w:val="0"/>
    <w:rPr>
      <w:lang w:val="en-US" w:eastAsia="zh-CN" w:bidi="ar-SA"/>
    </w:rPr>
    <w:tblPr>
      <w:tblStyle w:val="14"/>
      <w:tblCellMar>
        <w:top w:w="0" w:type="dxa"/>
        <w:left w:w="0" w:type="dxa"/>
        <w:bottom w:w="0" w:type="dxa"/>
        <w:right w:w="0" w:type="dxa"/>
      </w:tblCellMar>
    </w:tblPr>
  </w:style>
  <w:style w:type="paragraph" w:customStyle="1" w:styleId="20">
    <w:name w:val="Table Text"/>
    <w:basedOn w:val="1"/>
    <w:semiHidden/>
    <w:qFormat/>
    <w:uiPriority w:val="0"/>
    <w:rPr>
      <w:rFonts w:ascii="Arial" w:hAnsi="Arial" w:eastAsia="Arial" w:cs="Arial"/>
      <w:sz w:val="21"/>
      <w:szCs w:val="21"/>
      <w:lang w:val="en-US" w:eastAsia="en-US" w:bidi="ar-SA"/>
    </w:rPr>
  </w:style>
  <w:style w:type="paragraph" w:customStyle="1" w:styleId="21">
    <w:name w:val="正文 New New New New New New New New"/>
    <w:qFormat/>
    <w:uiPriority w:val="0"/>
    <w:pPr>
      <w:widowControl w:val="0"/>
      <w:jc w:val="both"/>
    </w:pPr>
    <w:rPr>
      <w:rFonts w:eastAsia="楷体_GB2312"/>
      <w:kern w:val="2"/>
      <w:sz w:val="21"/>
      <w:lang w:val="en-US" w:eastAsia="zh-CN" w:bidi="ar-SA"/>
    </w:rPr>
  </w:style>
  <w:style w:type="paragraph" w:customStyle="1" w:styleId="22">
    <w:name w:val="正文 New New New"/>
    <w:qFormat/>
    <w:uiPriority w:val="0"/>
    <w:pPr>
      <w:widowControl w:val="0"/>
      <w:jc w:val="both"/>
    </w:pPr>
    <w:rPr>
      <w:kern w:val="2"/>
      <w:sz w:val="21"/>
      <w:szCs w:val="24"/>
      <w:lang w:val="en-US" w:eastAsia="zh-CN" w:bidi="ar-SA"/>
    </w:rPr>
  </w:style>
  <w:style w:type="paragraph" w:customStyle="1" w:styleId="23">
    <w:name w:val="正文 New New New New New New New New New New New New New New"/>
    <w:qFormat/>
    <w:uiPriority w:val="0"/>
    <w:pPr>
      <w:widowControl w:val="0"/>
      <w:jc w:val="both"/>
    </w:pPr>
    <w:rPr>
      <w:rFonts w:eastAsia="楷体_GB2312"/>
      <w:kern w:val="2"/>
      <w:sz w:val="21"/>
      <w:lang w:val="en-US" w:eastAsia="zh-CN" w:bidi="ar-SA"/>
    </w:rPr>
  </w:style>
  <w:style w:type="paragraph" w:customStyle="1" w:styleId="24">
    <w:name w:val="正文 New New New New New New New New New New New New New New New New New New New New New New New New New"/>
    <w:qFormat/>
    <w:uiPriority w:val="0"/>
    <w:pPr>
      <w:widowControl w:val="0"/>
      <w:spacing w:line="360" w:lineRule="auto"/>
      <w:jc w:val="both"/>
    </w:pPr>
    <w:rPr>
      <w:rFonts w:ascii="宋体"/>
      <w:kern w:val="2"/>
      <w:sz w:val="24"/>
      <w:szCs w:val="24"/>
      <w:lang w:val="en-US" w:eastAsia="zh-CN" w:bidi="ar-SA"/>
    </w:rPr>
  </w:style>
  <w:style w:type="paragraph" w:customStyle="1" w:styleId="25">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26">
    <w:name w:val="WPSOffice手动目录 1"/>
    <w:uiPriority w:val="0"/>
    <w:rPr>
      <w:lang w:val="en-US" w:eastAsia="zh-CN" w:bidi="ar-SA"/>
    </w:rPr>
  </w:style>
  <w:style w:type="paragraph" w:customStyle="1" w:styleId="27">
    <w:name w:val="WPSOffice手动目录 2"/>
    <w:uiPriority w:val="0"/>
    <w:pPr>
      <w:ind w:leftChars="200"/>
    </w:pPr>
    <w:rPr>
      <w:lang w:val="en-US" w:eastAsia="zh-CN" w:bidi="ar-SA"/>
    </w:rPr>
  </w:style>
  <w:style w:type="paragraph" w:customStyle="1" w:styleId="28">
    <w:name w:val="WPSOffice手动目录 3"/>
    <w:uiPriority w:val="0"/>
    <w:pPr>
      <w:ind w:leftChars="400"/>
    </w:pPr>
    <w:rPr>
      <w:lang w:val="en-US" w:eastAsia="zh-CN" w:bidi="ar-SA"/>
    </w:rPr>
  </w:style>
  <w:style w:type="paragraph" w:customStyle="1" w:styleId="29">
    <w:name w:val="正文缩进1"/>
    <w:basedOn w:val="1"/>
    <w:qFormat/>
    <w:uiPriority w:val="0"/>
    <w:pPr>
      <w:widowControl/>
      <w:ind w:firstLine="420"/>
      <w:jc w:val="left"/>
    </w:pPr>
    <w:rPr>
      <w:kern w:val="0"/>
    </w:rPr>
  </w:style>
  <w:style w:type="paragraph" w:customStyle="1" w:styleId="30">
    <w:name w:val="正文 New New New New New New New New New New New New New New New New New New New New New New New New New New New New New New New New New New New New New New New New"/>
    <w:qFormat/>
    <w:uiPriority w:val="0"/>
    <w:pPr>
      <w:widowControl w:val="0"/>
      <w:jc w:val="both"/>
    </w:pPr>
    <w:rPr>
      <w:rFonts w:eastAsia="楷体_GB2312"/>
      <w:kern w:val="2"/>
      <w:sz w:val="21"/>
      <w:lang w:val="en-US" w:eastAsia="zh-CN" w:bidi="ar-SA"/>
    </w:rPr>
  </w:style>
  <w:style w:type="paragraph" w:customStyle="1" w:styleId="31">
    <w:name w:val="正文 New New New New New New New New New New New"/>
    <w:qFormat/>
    <w:uiPriority w:val="0"/>
    <w:pPr>
      <w:widowControl w:val="0"/>
      <w:jc w:val="both"/>
    </w:pPr>
    <w:rPr>
      <w:rFonts w:eastAsia="楷体_GB2312"/>
      <w:kern w:val="2"/>
      <w:sz w:val="21"/>
      <w:lang w:val="en-US" w:eastAsia="zh-CN" w:bidi="ar-SA"/>
    </w:rPr>
  </w:style>
  <w:style w:type="paragraph" w:customStyle="1" w:styleId="32">
    <w:name w:val="正文 New New New New New New New New New New New New New New New"/>
    <w:qFormat/>
    <w:uiPriority w:val="0"/>
    <w:pPr>
      <w:widowControl w:val="0"/>
      <w:jc w:val="both"/>
    </w:pPr>
    <w:rPr>
      <w:rFonts w:eastAsia="楷体_GB2312"/>
      <w:kern w:val="2"/>
      <w:sz w:val="21"/>
      <w:lang w:val="en-US" w:eastAsia="zh-CN" w:bidi="ar-SA"/>
    </w:rPr>
  </w:style>
  <w:style w:type="paragraph" w:customStyle="1" w:styleId="33">
    <w:name w:val="样式 宋体 行距: 1.5 倍行距"/>
    <w:basedOn w:val="34"/>
    <w:next w:val="1"/>
    <w:qFormat/>
    <w:uiPriority w:val="99"/>
    <w:pPr>
      <w:jc w:val="center"/>
    </w:pPr>
    <w:rPr>
      <w:b/>
    </w:rPr>
  </w:style>
  <w:style w:type="paragraph" w:customStyle="1" w:styleId="3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3"/>
    <w:qFormat/>
    <w:uiPriority w:val="0"/>
    <w:pPr>
      <w:widowControl w:val="0"/>
      <w:jc w:val="both"/>
    </w:pPr>
    <w:rPr>
      <w:rFonts w:ascii="Calibri" w:hAnsi="Calibri" w:cs="黑体"/>
      <w:kern w:val="2"/>
      <w:sz w:val="21"/>
      <w:szCs w:val="24"/>
      <w:lang w:val="en-US" w:eastAsia="zh-CN" w:bidi="ar-SA"/>
    </w:rPr>
  </w:style>
  <w:style w:type="paragraph" w:customStyle="1" w:styleId="35">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36">
    <w:name w:val="NormalCharacter"/>
    <w:semiHidden/>
    <w:qFormat/>
    <w:uiPriority w:val="0"/>
    <w:rPr>
      <w:rFonts w:ascii="Times New Roman" w:hAnsi="Times New Roman" w:eastAsia="宋体" w:cs="Times New Roman"/>
      <w:kern w:val="2"/>
      <w:sz w:val="21"/>
      <w:lang w:val="en-US" w:eastAsia="zh-CN" w:bidi="ar-SA"/>
    </w:rPr>
  </w:style>
  <w:style w:type="paragraph" w:customStyle="1" w:styleId="37">
    <w:name w:val="正文 New New New New New New New New New New"/>
    <w:basedOn w:val="1"/>
    <w:qFormat/>
    <w:uiPriority w:val="0"/>
    <w:pPr>
      <w:spacing w:line="240" w:lineRule="auto"/>
    </w:pPr>
    <w:rPr>
      <w:rFonts w:ascii="Times New Roman" w:eastAsia="楷体_GB2312"/>
      <w:sz w:val="21"/>
      <w:szCs w:val="21"/>
    </w:rPr>
  </w:style>
  <w:style w:type="paragraph" w:customStyle="1" w:styleId="38">
    <w:name w:val="正文缩进 New"/>
    <w:basedOn w:val="39"/>
    <w:qFormat/>
    <w:uiPriority w:val="0"/>
    <w:pPr>
      <w:widowControl/>
      <w:ind w:firstLine="420"/>
      <w:jc w:val="left"/>
    </w:pPr>
    <w:rPr>
      <w:kern w:val="0"/>
      <w:sz w:val="20"/>
    </w:rPr>
  </w:style>
  <w:style w:type="paragraph" w:customStyle="1" w:styleId="39">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0">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6" Type="http://schemas.openxmlformats.org/officeDocument/2006/relationships/fontTable" Target="fontTable.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11.png"/><Relationship Id="rId42" Type="http://schemas.openxmlformats.org/officeDocument/2006/relationships/image" Target="media/image10.jpeg"/><Relationship Id="rId41" Type="http://schemas.openxmlformats.org/officeDocument/2006/relationships/image" Target="media/image9.png"/><Relationship Id="rId40" Type="http://schemas.openxmlformats.org/officeDocument/2006/relationships/image" Target="media/image8.png"/><Relationship Id="rId4" Type="http://schemas.openxmlformats.org/officeDocument/2006/relationships/footer" Target="footer1.xml"/><Relationship Id="rId39" Type="http://schemas.openxmlformats.org/officeDocument/2006/relationships/image" Target="media/image7.png"/><Relationship Id="rId38" Type="http://schemas.openxmlformats.org/officeDocument/2006/relationships/image" Target="media/image6.png"/><Relationship Id="rId37" Type="http://schemas.openxmlformats.org/officeDocument/2006/relationships/image" Target="media/image5.png"/><Relationship Id="rId36" Type="http://schemas.openxmlformats.org/officeDocument/2006/relationships/image" Target="media/image4.png"/><Relationship Id="rId35" Type="http://schemas.openxmlformats.org/officeDocument/2006/relationships/image" Target="media/image3.png"/><Relationship Id="rId34" Type="http://schemas.openxmlformats.org/officeDocument/2006/relationships/image" Target="media/image2.png"/><Relationship Id="rId33" Type="http://schemas.openxmlformats.org/officeDocument/2006/relationships/image" Target="media/image1.png"/><Relationship Id="rId32" Type="http://schemas.openxmlformats.org/officeDocument/2006/relationships/theme" Target="theme/theme1.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header" Target="header1.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77</Pages>
  <Words>50151</Words>
  <Characters>53684</Characters>
  <Lines>459</Lines>
  <Paragraphs>129</Paragraphs>
  <TotalTime>12</TotalTime>
  <ScaleCrop>false</ScaleCrop>
  <LinksUpToDate>false</LinksUpToDate>
  <CharactersWithSpaces>55812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2024-07-04T19:08:00Z</dcterms:created>
  <dc:creator>Administrator</dc:creator>
  <cp:lastModifiedBy>Chen~小璇</cp:lastModifiedBy>
  <dcterms:modified xsi:type="dcterms:W3CDTF">2025-12-31T02:56:27Z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2024-07-30T11:15:44Z</vt:filetime>
  </property>
  <property fmtid="{D5CDD505-2E9C-101B-9397-08002B2CF9AE}" pid="4" name="KSOProductBuildVer">
    <vt:lpwstr>2052-12.1.0.24657</vt:lpwstr>
  </property>
  <property fmtid="{D5CDD505-2E9C-101B-9397-08002B2CF9AE}" pid="5" name="ICV">
    <vt:lpwstr>23AAA842227D4D0C90755406F576AD51_13</vt:lpwstr>
  </property>
  <property fmtid="{D5CDD505-2E9C-101B-9397-08002B2CF9AE}" pid="6" name="KSOTemplateDocerSaveRecord">
    <vt:lpwstr>eyJoZGlkIjoiNmE2MjU1M2Y2MTVhMmFjZjNkNTQwYTQ5YjQ3Y2Y3NWIiLCJ1c2VySWQiOiI0MDAzMzAyOTkifQ==</vt:lpwstr>
  </property>
</Properties>
</file>