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1E4E7F8">
      <w:pPr>
        <w:pStyle w:val="104"/>
        <w:wordWrap w:val="0"/>
        <w:adjustRightInd w:val="0"/>
        <w:snapToGrid w:val="0"/>
        <w:spacing w:line="360" w:lineRule="auto"/>
        <w:jc w:val="center"/>
        <w:rPr>
          <w:rFonts w:hint="eastAsia" w:ascii="宋体" w:hAnsi="宋体" w:eastAsia="宋体" w:cs="宋体"/>
          <w:snapToGrid w:val="0"/>
          <w:color w:val="auto"/>
          <w:kern w:val="0"/>
          <w:sz w:val="36"/>
          <w:szCs w:val="20"/>
          <w:highlight w:val="none"/>
          <w:u w:val="single"/>
        </w:rPr>
      </w:pPr>
      <w:r>
        <w:rPr>
          <w:rFonts w:hint="eastAsia" w:ascii="宋体" w:hAnsi="宋体" w:eastAsia="宋体" w:cs="宋体"/>
          <w:b/>
          <w:snapToGrid w:val="0"/>
          <w:color w:val="auto"/>
          <w:kern w:val="0"/>
          <w:sz w:val="48"/>
          <w:szCs w:val="48"/>
          <w:highlight w:val="none"/>
          <w:lang w:val="en-US" w:eastAsia="zh-CN"/>
        </w:rPr>
        <w:t>白石镇乡村振兴示范带项目工程施工</w:t>
      </w:r>
    </w:p>
    <w:p w14:paraId="5542D802">
      <w:pPr>
        <w:pStyle w:val="104"/>
        <w:wordWrap w:val="0"/>
        <w:adjustRightInd w:val="0"/>
        <w:snapToGrid w:val="0"/>
        <w:spacing w:line="360" w:lineRule="auto"/>
        <w:rPr>
          <w:rFonts w:hint="eastAsia" w:ascii="宋体" w:hAnsi="宋体" w:eastAsia="宋体" w:cs="宋体"/>
          <w:snapToGrid w:val="0"/>
          <w:color w:val="auto"/>
          <w:kern w:val="0"/>
          <w:sz w:val="36"/>
          <w:highlight w:val="none"/>
          <w:u w:val="single"/>
        </w:rPr>
      </w:pPr>
    </w:p>
    <w:p w14:paraId="47F40127">
      <w:pPr>
        <w:rPr>
          <w:rFonts w:hint="eastAsia" w:ascii="宋体" w:hAnsi="宋体" w:eastAsia="宋体" w:cs="宋体"/>
          <w:color w:val="auto"/>
        </w:rPr>
      </w:pPr>
    </w:p>
    <w:p w14:paraId="5A84CC65">
      <w:pPr>
        <w:pStyle w:val="6"/>
        <w:rPr>
          <w:rFonts w:hint="eastAsia" w:ascii="宋体" w:hAnsi="宋体" w:eastAsia="宋体" w:cs="宋体"/>
          <w:color w:val="auto"/>
        </w:rPr>
      </w:pPr>
    </w:p>
    <w:p w14:paraId="468DC4E6">
      <w:pPr>
        <w:pStyle w:val="104"/>
        <w:wordWrap w:val="0"/>
        <w:adjustRightInd w:val="0"/>
        <w:snapToGrid w:val="0"/>
        <w:spacing w:line="360" w:lineRule="auto"/>
        <w:jc w:val="center"/>
        <w:rPr>
          <w:rFonts w:hint="eastAsia" w:ascii="宋体" w:hAnsi="宋体" w:eastAsia="宋体" w:cs="宋体"/>
          <w:b/>
          <w:bCs/>
          <w:snapToGrid w:val="0"/>
          <w:color w:val="auto"/>
          <w:kern w:val="0"/>
          <w:sz w:val="72"/>
          <w:szCs w:val="72"/>
          <w:highlight w:val="none"/>
          <w14:shadow w14:blurRad="50800" w14:dist="38100" w14:dir="2700000" w14:sx="100000" w14:sy="100000" w14:kx="0" w14:ky="0" w14:algn="tl">
            <w14:srgbClr w14:val="000000">
              <w14:alpha w14:val="60000"/>
            </w14:srgbClr>
          </w14:shadow>
        </w:rPr>
      </w:pPr>
      <w:r>
        <w:rPr>
          <w:rFonts w:hint="eastAsia" w:ascii="宋体" w:hAnsi="宋体" w:eastAsia="宋体" w:cs="宋体"/>
          <w:b/>
          <w:bCs/>
          <w:snapToGrid w:val="0"/>
          <w:color w:val="auto"/>
          <w:kern w:val="0"/>
          <w:sz w:val="72"/>
          <w:szCs w:val="72"/>
          <w:highlight w:val="none"/>
          <w14:shadow w14:blurRad="50800" w14:dist="38100" w14:dir="2700000" w14:sx="100000" w14:sy="100000" w14:kx="0" w14:ky="0" w14:algn="tl">
            <w14:srgbClr w14:val="000000">
              <w14:alpha w14:val="60000"/>
            </w14:srgbClr>
          </w14:shadow>
        </w:rPr>
        <w:t>招标文件</w:t>
      </w:r>
    </w:p>
    <w:p w14:paraId="759BB127">
      <w:pPr>
        <w:wordWrap w:val="0"/>
        <w:adjustRightInd w:val="0"/>
        <w:snapToGrid w:val="0"/>
        <w:rPr>
          <w:rFonts w:hint="eastAsia" w:ascii="宋体" w:hAnsi="宋体" w:eastAsia="宋体" w:cs="宋体"/>
          <w:b/>
          <w:bCs/>
          <w:snapToGrid w:val="0"/>
          <w:color w:val="auto"/>
          <w:kern w:val="0"/>
          <w:sz w:val="48"/>
          <w:szCs w:val="48"/>
          <w:highlight w:val="none"/>
        </w:rPr>
      </w:pPr>
    </w:p>
    <w:p w14:paraId="33F67AC1">
      <w:pPr>
        <w:pStyle w:val="10"/>
        <w:rPr>
          <w:rFonts w:hint="eastAsia" w:ascii="宋体" w:hAnsi="宋体" w:eastAsia="宋体" w:cs="宋体"/>
          <w:color w:val="auto"/>
          <w:highlight w:val="none"/>
        </w:rPr>
      </w:pPr>
    </w:p>
    <w:tbl>
      <w:tblPr>
        <w:tblStyle w:val="30"/>
        <w:tblW w:w="9728" w:type="dxa"/>
        <w:tblInd w:w="-100" w:type="dxa"/>
        <w:tblLayout w:type="fixed"/>
        <w:tblCellMar>
          <w:top w:w="0" w:type="dxa"/>
          <w:left w:w="0" w:type="dxa"/>
          <w:bottom w:w="0" w:type="dxa"/>
          <w:right w:w="0" w:type="dxa"/>
        </w:tblCellMar>
      </w:tblPr>
      <w:tblGrid>
        <w:gridCol w:w="4708"/>
        <w:gridCol w:w="5020"/>
      </w:tblGrid>
      <w:tr w14:paraId="24803AE6">
        <w:tblPrEx>
          <w:tblCellMar>
            <w:top w:w="0" w:type="dxa"/>
            <w:left w:w="0" w:type="dxa"/>
            <w:bottom w:w="0" w:type="dxa"/>
            <w:right w:w="0" w:type="dxa"/>
          </w:tblCellMar>
        </w:tblPrEx>
        <w:trPr>
          <w:trHeight w:val="1205" w:hRule="atLeast"/>
        </w:trPr>
        <w:tc>
          <w:tcPr>
            <w:tcW w:w="4708" w:type="dxa"/>
            <w:noWrap w:val="0"/>
            <w:vAlign w:val="center"/>
          </w:tcPr>
          <w:p w14:paraId="0258E065">
            <w:pPr>
              <w:pStyle w:val="132"/>
              <w:wordWrap w:val="0"/>
              <w:adjustRightInd w:val="0"/>
              <w:snapToGrid w:val="0"/>
              <w:spacing w:line="240" w:lineRule="auto"/>
              <w:jc w:val="distribute"/>
              <w:rPr>
                <w:rFonts w:hint="eastAsia" w:ascii="宋体" w:hAnsi="宋体" w:eastAsia="宋体" w:cs="宋体"/>
                <w:snapToGrid w:val="0"/>
                <w:color w:val="auto"/>
                <w:kern w:val="0"/>
                <w:sz w:val="28"/>
                <w:highlight w:val="none"/>
              </w:rPr>
            </w:pPr>
            <w:r>
              <w:rPr>
                <w:rFonts w:hint="eastAsia" w:ascii="宋体" w:hAnsi="宋体" w:eastAsia="宋体" w:cs="宋体"/>
                <w:snapToGrid w:val="0"/>
                <w:color w:val="auto"/>
                <w:kern w:val="0"/>
                <w:sz w:val="28"/>
                <w:highlight w:val="none"/>
              </w:rPr>
              <w:t xml:space="preserve"> 招     标     人（盖单位章）：</w:t>
            </w:r>
          </w:p>
        </w:tc>
        <w:tc>
          <w:tcPr>
            <w:tcW w:w="5020" w:type="dxa"/>
            <w:noWrap w:val="0"/>
            <w:vAlign w:val="center"/>
          </w:tcPr>
          <w:p w14:paraId="10A9CB0B">
            <w:pPr>
              <w:pStyle w:val="132"/>
              <w:wordWrap w:val="0"/>
              <w:adjustRightInd w:val="0"/>
              <w:snapToGrid w:val="0"/>
              <w:spacing w:line="240" w:lineRule="auto"/>
              <w:rPr>
                <w:rFonts w:hint="eastAsia" w:ascii="宋体" w:hAnsi="宋体" w:eastAsia="宋体" w:cs="宋体"/>
                <w:snapToGrid w:val="0"/>
                <w:color w:val="auto"/>
                <w:kern w:val="0"/>
                <w:sz w:val="28"/>
                <w:szCs w:val="28"/>
                <w:highlight w:val="none"/>
              </w:rPr>
            </w:pPr>
            <w:r>
              <w:rPr>
                <w:rFonts w:hint="eastAsia" w:ascii="宋体" w:hAnsi="宋体" w:eastAsia="宋体" w:cs="宋体"/>
                <w:snapToGrid w:val="0"/>
                <w:color w:val="auto"/>
                <w:kern w:val="0"/>
                <w:sz w:val="28"/>
                <w:szCs w:val="28"/>
                <w:highlight w:val="none"/>
                <w:lang w:eastAsia="zh-CN"/>
              </w:rPr>
              <w:t>乐昌市白石镇人民政府</w:t>
            </w:r>
          </w:p>
        </w:tc>
      </w:tr>
      <w:tr w14:paraId="505655B0">
        <w:tblPrEx>
          <w:tblCellMar>
            <w:top w:w="0" w:type="dxa"/>
            <w:left w:w="0" w:type="dxa"/>
            <w:bottom w:w="0" w:type="dxa"/>
            <w:right w:w="0" w:type="dxa"/>
          </w:tblCellMar>
        </w:tblPrEx>
        <w:trPr>
          <w:trHeight w:val="1130" w:hRule="atLeast"/>
        </w:trPr>
        <w:tc>
          <w:tcPr>
            <w:tcW w:w="4708" w:type="dxa"/>
            <w:noWrap w:val="0"/>
            <w:vAlign w:val="center"/>
          </w:tcPr>
          <w:p w14:paraId="0665CC3C">
            <w:pPr>
              <w:pStyle w:val="132"/>
              <w:wordWrap w:val="0"/>
              <w:adjustRightInd w:val="0"/>
              <w:snapToGrid w:val="0"/>
              <w:spacing w:line="240" w:lineRule="auto"/>
              <w:jc w:val="distribute"/>
              <w:rPr>
                <w:rFonts w:hint="eastAsia" w:ascii="宋体" w:hAnsi="宋体" w:eastAsia="宋体" w:cs="宋体"/>
                <w:snapToGrid w:val="0"/>
                <w:color w:val="auto"/>
                <w:kern w:val="0"/>
                <w:sz w:val="28"/>
                <w:highlight w:val="none"/>
              </w:rPr>
            </w:pPr>
            <w:r>
              <w:rPr>
                <w:rFonts w:hint="eastAsia" w:ascii="宋体" w:hAnsi="宋体" w:eastAsia="宋体" w:cs="宋体"/>
                <w:snapToGrid w:val="0"/>
                <w:color w:val="auto"/>
                <w:kern w:val="0"/>
                <w:sz w:val="28"/>
                <w:highlight w:val="none"/>
              </w:rPr>
              <w:t xml:space="preserve"> 招标人工作领导小组负责人（签字）：</w:t>
            </w:r>
          </w:p>
        </w:tc>
        <w:tc>
          <w:tcPr>
            <w:tcW w:w="5020" w:type="dxa"/>
            <w:noWrap w:val="0"/>
            <w:vAlign w:val="center"/>
          </w:tcPr>
          <w:p w14:paraId="67E41C51">
            <w:pPr>
              <w:pStyle w:val="132"/>
              <w:wordWrap w:val="0"/>
              <w:adjustRightInd w:val="0"/>
              <w:snapToGrid w:val="0"/>
              <w:spacing w:line="240" w:lineRule="auto"/>
              <w:rPr>
                <w:rFonts w:hint="eastAsia" w:ascii="宋体" w:hAnsi="宋体" w:eastAsia="宋体" w:cs="宋体"/>
                <w:snapToGrid w:val="0"/>
                <w:color w:val="auto"/>
                <w:kern w:val="0"/>
                <w:sz w:val="28"/>
                <w:szCs w:val="28"/>
                <w:highlight w:val="none"/>
              </w:rPr>
            </w:pPr>
          </w:p>
        </w:tc>
      </w:tr>
      <w:tr w14:paraId="0A0EA0D6">
        <w:tblPrEx>
          <w:tblCellMar>
            <w:top w:w="0" w:type="dxa"/>
            <w:left w:w="0" w:type="dxa"/>
            <w:bottom w:w="0" w:type="dxa"/>
            <w:right w:w="0" w:type="dxa"/>
          </w:tblCellMar>
        </w:tblPrEx>
        <w:trPr>
          <w:trHeight w:val="1190" w:hRule="atLeast"/>
        </w:trPr>
        <w:tc>
          <w:tcPr>
            <w:tcW w:w="4708" w:type="dxa"/>
            <w:noWrap w:val="0"/>
            <w:vAlign w:val="center"/>
          </w:tcPr>
          <w:p w14:paraId="2F8964E4">
            <w:pPr>
              <w:pStyle w:val="132"/>
              <w:wordWrap w:val="0"/>
              <w:adjustRightInd w:val="0"/>
              <w:snapToGrid w:val="0"/>
              <w:spacing w:line="240" w:lineRule="auto"/>
              <w:jc w:val="distribute"/>
              <w:rPr>
                <w:rFonts w:hint="eastAsia" w:ascii="宋体" w:hAnsi="宋体" w:eastAsia="宋体" w:cs="宋体"/>
                <w:snapToGrid w:val="0"/>
                <w:color w:val="auto"/>
                <w:kern w:val="0"/>
                <w:sz w:val="28"/>
                <w:highlight w:val="none"/>
              </w:rPr>
            </w:pPr>
            <w:r>
              <w:rPr>
                <w:rFonts w:hint="eastAsia" w:ascii="宋体" w:hAnsi="宋体" w:eastAsia="宋体" w:cs="宋体"/>
                <w:snapToGrid w:val="0"/>
                <w:color w:val="auto"/>
                <w:kern w:val="0"/>
                <w:sz w:val="28"/>
                <w:highlight w:val="none"/>
              </w:rPr>
              <w:t xml:space="preserve"> 招 标 代 理 机 构 （盖单位章）：</w:t>
            </w:r>
          </w:p>
        </w:tc>
        <w:tc>
          <w:tcPr>
            <w:tcW w:w="5020" w:type="dxa"/>
            <w:noWrap w:val="0"/>
            <w:vAlign w:val="center"/>
          </w:tcPr>
          <w:p w14:paraId="5904D003">
            <w:pPr>
              <w:pStyle w:val="132"/>
              <w:wordWrap w:val="0"/>
              <w:adjustRightInd w:val="0"/>
              <w:snapToGrid w:val="0"/>
              <w:spacing w:line="240" w:lineRule="auto"/>
              <w:rPr>
                <w:rFonts w:hint="eastAsia" w:ascii="宋体" w:hAnsi="宋体" w:eastAsia="宋体" w:cs="宋体"/>
                <w:snapToGrid w:val="0"/>
                <w:color w:val="auto"/>
                <w:kern w:val="0"/>
                <w:sz w:val="28"/>
                <w:szCs w:val="28"/>
                <w:highlight w:val="none"/>
              </w:rPr>
            </w:pPr>
            <w:r>
              <w:rPr>
                <w:rFonts w:hint="eastAsia" w:ascii="宋体" w:hAnsi="宋体" w:eastAsia="宋体" w:cs="宋体"/>
                <w:snapToGrid w:val="0"/>
                <w:color w:val="auto"/>
                <w:kern w:val="0"/>
                <w:sz w:val="28"/>
                <w:szCs w:val="28"/>
                <w:highlight w:val="none"/>
                <w:lang w:eastAsia="zh-CN"/>
              </w:rPr>
              <w:t>广东穗源工程项目管理有限公司</w:t>
            </w:r>
          </w:p>
        </w:tc>
      </w:tr>
      <w:tr w14:paraId="2A1D3D73">
        <w:tblPrEx>
          <w:tblCellMar>
            <w:top w:w="0" w:type="dxa"/>
            <w:left w:w="0" w:type="dxa"/>
            <w:bottom w:w="0" w:type="dxa"/>
            <w:right w:w="0" w:type="dxa"/>
          </w:tblCellMar>
        </w:tblPrEx>
        <w:trPr>
          <w:trHeight w:val="1185" w:hRule="atLeast"/>
        </w:trPr>
        <w:tc>
          <w:tcPr>
            <w:tcW w:w="4708" w:type="dxa"/>
            <w:noWrap w:val="0"/>
            <w:vAlign w:val="center"/>
          </w:tcPr>
          <w:p w14:paraId="7C63534D">
            <w:pPr>
              <w:pStyle w:val="132"/>
              <w:wordWrap w:val="0"/>
              <w:adjustRightInd w:val="0"/>
              <w:snapToGrid w:val="0"/>
              <w:spacing w:line="240" w:lineRule="auto"/>
              <w:jc w:val="distribute"/>
              <w:rPr>
                <w:rFonts w:hint="eastAsia" w:ascii="宋体" w:hAnsi="宋体" w:eastAsia="宋体" w:cs="宋体"/>
                <w:snapToGrid w:val="0"/>
                <w:color w:val="auto"/>
                <w:kern w:val="0"/>
                <w:sz w:val="28"/>
                <w:highlight w:val="none"/>
              </w:rPr>
            </w:pPr>
            <w:r>
              <w:rPr>
                <w:rFonts w:hint="eastAsia" w:ascii="宋体" w:hAnsi="宋体" w:eastAsia="宋体" w:cs="宋体"/>
                <w:snapToGrid w:val="0"/>
                <w:color w:val="auto"/>
                <w:kern w:val="0"/>
                <w:sz w:val="28"/>
                <w:highlight w:val="none"/>
              </w:rPr>
              <w:t xml:space="preserve"> 招标文件编制人（签字）：</w:t>
            </w:r>
          </w:p>
        </w:tc>
        <w:tc>
          <w:tcPr>
            <w:tcW w:w="5020" w:type="dxa"/>
            <w:noWrap w:val="0"/>
            <w:vAlign w:val="center"/>
          </w:tcPr>
          <w:p w14:paraId="0130EA5C">
            <w:pPr>
              <w:pStyle w:val="132"/>
              <w:wordWrap w:val="0"/>
              <w:adjustRightInd w:val="0"/>
              <w:snapToGrid w:val="0"/>
              <w:spacing w:line="240" w:lineRule="auto"/>
              <w:rPr>
                <w:rFonts w:hint="eastAsia" w:ascii="宋体" w:hAnsi="宋体" w:eastAsia="宋体" w:cs="宋体"/>
                <w:snapToGrid w:val="0"/>
                <w:color w:val="auto"/>
                <w:kern w:val="0"/>
                <w:sz w:val="28"/>
                <w:szCs w:val="28"/>
                <w:highlight w:val="none"/>
              </w:rPr>
            </w:pPr>
          </w:p>
        </w:tc>
      </w:tr>
      <w:tr w14:paraId="12A406AF">
        <w:tblPrEx>
          <w:tblCellMar>
            <w:top w:w="0" w:type="dxa"/>
            <w:left w:w="0" w:type="dxa"/>
            <w:bottom w:w="0" w:type="dxa"/>
            <w:right w:w="0" w:type="dxa"/>
          </w:tblCellMar>
        </w:tblPrEx>
        <w:trPr>
          <w:trHeight w:val="1185" w:hRule="atLeast"/>
        </w:trPr>
        <w:tc>
          <w:tcPr>
            <w:tcW w:w="4708" w:type="dxa"/>
            <w:noWrap w:val="0"/>
            <w:vAlign w:val="center"/>
          </w:tcPr>
          <w:p w14:paraId="1E941685">
            <w:pPr>
              <w:pStyle w:val="132"/>
              <w:wordWrap w:val="0"/>
              <w:adjustRightInd w:val="0"/>
              <w:snapToGrid w:val="0"/>
              <w:spacing w:line="240" w:lineRule="auto"/>
              <w:jc w:val="distribute"/>
              <w:rPr>
                <w:rFonts w:hint="eastAsia" w:ascii="宋体" w:hAnsi="宋体" w:eastAsia="宋体" w:cs="宋体"/>
                <w:snapToGrid w:val="0"/>
                <w:color w:val="auto"/>
                <w:kern w:val="0"/>
                <w:sz w:val="28"/>
                <w:highlight w:val="none"/>
              </w:rPr>
            </w:pPr>
            <w:r>
              <w:rPr>
                <w:rFonts w:hint="eastAsia" w:ascii="宋体" w:hAnsi="宋体" w:eastAsia="宋体" w:cs="宋体"/>
                <w:snapToGrid w:val="0"/>
                <w:color w:val="auto"/>
                <w:kern w:val="0"/>
                <w:sz w:val="28"/>
                <w:highlight w:val="none"/>
              </w:rPr>
              <w:t xml:space="preserve"> 招标代理机构项目负责人（签字）：</w:t>
            </w:r>
          </w:p>
        </w:tc>
        <w:tc>
          <w:tcPr>
            <w:tcW w:w="5020" w:type="dxa"/>
            <w:noWrap w:val="0"/>
            <w:vAlign w:val="center"/>
          </w:tcPr>
          <w:p w14:paraId="76DD85E2">
            <w:pPr>
              <w:pStyle w:val="132"/>
              <w:wordWrap w:val="0"/>
              <w:adjustRightInd w:val="0"/>
              <w:snapToGrid w:val="0"/>
              <w:spacing w:line="240" w:lineRule="auto"/>
              <w:rPr>
                <w:rFonts w:hint="eastAsia" w:ascii="宋体" w:hAnsi="宋体" w:eastAsia="宋体" w:cs="宋体"/>
                <w:snapToGrid w:val="0"/>
                <w:color w:val="auto"/>
                <w:kern w:val="0"/>
                <w:sz w:val="28"/>
                <w:szCs w:val="28"/>
                <w:highlight w:val="none"/>
              </w:rPr>
            </w:pPr>
          </w:p>
        </w:tc>
      </w:tr>
      <w:tr w14:paraId="2AE31B85">
        <w:tblPrEx>
          <w:tblCellMar>
            <w:top w:w="0" w:type="dxa"/>
            <w:left w:w="0" w:type="dxa"/>
            <w:bottom w:w="0" w:type="dxa"/>
            <w:right w:w="0" w:type="dxa"/>
          </w:tblCellMar>
        </w:tblPrEx>
        <w:trPr>
          <w:trHeight w:val="892" w:hRule="atLeast"/>
        </w:trPr>
        <w:tc>
          <w:tcPr>
            <w:tcW w:w="4708" w:type="dxa"/>
            <w:noWrap w:val="0"/>
            <w:vAlign w:val="center"/>
          </w:tcPr>
          <w:p w14:paraId="769A6FE6">
            <w:pPr>
              <w:pStyle w:val="132"/>
              <w:wordWrap w:val="0"/>
              <w:adjustRightInd w:val="0"/>
              <w:snapToGrid w:val="0"/>
              <w:spacing w:line="240" w:lineRule="auto"/>
              <w:jc w:val="distribute"/>
              <w:rPr>
                <w:rFonts w:hint="eastAsia" w:ascii="宋体" w:hAnsi="宋体" w:eastAsia="宋体" w:cs="宋体"/>
                <w:snapToGrid w:val="0"/>
                <w:color w:val="auto"/>
                <w:kern w:val="0"/>
                <w:sz w:val="28"/>
                <w:highlight w:val="none"/>
              </w:rPr>
            </w:pPr>
            <w:r>
              <w:rPr>
                <w:rFonts w:hint="eastAsia" w:ascii="宋体" w:hAnsi="宋体" w:eastAsia="宋体" w:cs="宋体"/>
                <w:snapToGrid w:val="0"/>
                <w:color w:val="auto"/>
                <w:kern w:val="0"/>
                <w:sz w:val="28"/>
                <w:highlight w:val="none"/>
              </w:rPr>
              <w:t xml:space="preserve"> 招标文件编制日期：</w:t>
            </w:r>
          </w:p>
        </w:tc>
        <w:tc>
          <w:tcPr>
            <w:tcW w:w="5020" w:type="dxa"/>
            <w:noWrap w:val="0"/>
            <w:vAlign w:val="center"/>
          </w:tcPr>
          <w:p w14:paraId="4065A6D2">
            <w:pPr>
              <w:pStyle w:val="132"/>
              <w:wordWrap w:val="0"/>
              <w:adjustRightInd w:val="0"/>
              <w:snapToGrid w:val="0"/>
              <w:spacing w:line="240" w:lineRule="auto"/>
              <w:rPr>
                <w:rFonts w:hint="eastAsia" w:ascii="宋体" w:hAnsi="宋体" w:eastAsia="宋体" w:cs="宋体"/>
                <w:snapToGrid w:val="0"/>
                <w:color w:val="auto"/>
                <w:kern w:val="0"/>
                <w:sz w:val="28"/>
                <w:highlight w:val="none"/>
              </w:rPr>
            </w:pPr>
            <w:r>
              <w:rPr>
                <w:rFonts w:hint="eastAsia" w:ascii="宋体" w:hAnsi="宋体" w:eastAsia="宋体" w:cs="宋体"/>
                <w:snapToGrid w:val="0"/>
                <w:color w:val="auto"/>
                <w:kern w:val="0"/>
                <w:sz w:val="28"/>
                <w:highlight w:val="none"/>
                <w:lang w:val="en-US" w:eastAsia="zh-CN"/>
              </w:rPr>
              <w:t>2025</w:t>
            </w:r>
            <w:r>
              <w:rPr>
                <w:rFonts w:hint="eastAsia" w:ascii="宋体" w:hAnsi="宋体" w:eastAsia="宋体" w:cs="宋体"/>
                <w:snapToGrid w:val="0"/>
                <w:color w:val="auto"/>
                <w:kern w:val="0"/>
                <w:sz w:val="28"/>
                <w:highlight w:val="none"/>
              </w:rPr>
              <w:t>年</w:t>
            </w:r>
            <w:r>
              <w:rPr>
                <w:rFonts w:hint="eastAsia" w:ascii="宋体" w:hAnsi="宋体" w:eastAsia="宋体" w:cs="宋体"/>
                <w:snapToGrid w:val="0"/>
                <w:color w:val="auto"/>
                <w:kern w:val="0"/>
                <w:sz w:val="28"/>
                <w:highlight w:val="none"/>
                <w:lang w:val="en-US" w:eastAsia="zh-CN"/>
              </w:rPr>
              <w:t>11</w:t>
            </w:r>
            <w:r>
              <w:rPr>
                <w:rFonts w:hint="eastAsia" w:ascii="宋体" w:hAnsi="宋体" w:eastAsia="宋体" w:cs="宋体"/>
                <w:snapToGrid w:val="0"/>
                <w:color w:val="auto"/>
                <w:kern w:val="0"/>
                <w:sz w:val="28"/>
                <w:highlight w:val="none"/>
              </w:rPr>
              <w:t>月</w:t>
            </w:r>
          </w:p>
        </w:tc>
      </w:tr>
    </w:tbl>
    <w:p w14:paraId="6D92AB77">
      <w:pPr>
        <w:tabs>
          <w:tab w:val="left" w:pos="4935"/>
        </w:tabs>
        <w:wordWrap w:val="0"/>
        <w:adjustRightInd w:val="0"/>
        <w:snapToGrid w:val="0"/>
        <w:jc w:val="center"/>
        <w:rPr>
          <w:rFonts w:hint="eastAsia" w:ascii="宋体" w:hAnsi="宋体" w:eastAsia="宋体" w:cs="宋体"/>
          <w:b/>
          <w:snapToGrid w:val="0"/>
          <w:color w:val="auto"/>
          <w:kern w:val="0"/>
          <w:sz w:val="28"/>
          <w:szCs w:val="28"/>
          <w:highlight w:val="none"/>
        </w:rPr>
        <w:sectPr>
          <w:footerReference r:id="rId5" w:type="default"/>
          <w:endnotePr>
            <w:numFmt w:val="decimal"/>
          </w:endnotePr>
          <w:pgSz w:w="11906" w:h="16838"/>
          <w:pgMar w:top="1134" w:right="1134" w:bottom="1134" w:left="1134" w:header="850" w:footer="992" w:gutter="0"/>
          <w:pgBorders>
            <w:top w:val="none" w:sz="0" w:space="0"/>
            <w:left w:val="none" w:sz="0" w:space="0"/>
            <w:bottom w:val="none" w:sz="0" w:space="0"/>
            <w:right w:val="none" w:sz="0" w:space="0"/>
          </w:pgBorders>
          <w:pgNumType w:start="1"/>
          <w:cols w:space="720" w:num="1"/>
          <w:docGrid w:linePitch="327" w:charSpace="0"/>
        </w:sectPr>
      </w:pPr>
    </w:p>
    <w:p w14:paraId="5743CAD4">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4C5A3157">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458A10D6">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0472E155">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56B92B2C">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65F59A1E">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0E27BFFD">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779A8B20">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7D704B15">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03A6C86C">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769B7F41">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2159F95D">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6997E976">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4E64ADEE">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62D82045">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23D7FE0B">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7B4EE72C">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343C9A2C">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2253D997">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6A1FCC31">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19E69AA4">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41AC95EE">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7CF439E8">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12DC3E91">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06360384">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53D07953">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5C51944A">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795F6213">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3EF053CA">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0AE001D5">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617161F4">
      <w:pPr>
        <w:rPr>
          <w:rFonts w:hint="eastAsia" w:ascii="宋体" w:hAnsi="宋体" w:eastAsia="宋体" w:cs="宋体"/>
          <w:b/>
          <w:snapToGrid w:val="0"/>
          <w:color w:val="auto"/>
          <w:kern w:val="0"/>
          <w:sz w:val="44"/>
          <w:szCs w:val="44"/>
          <w:highlight w:val="none"/>
          <w:lang w:val="en-US" w:eastAsia="zh-CN" w:bidi="ar-SA"/>
        </w:rPr>
      </w:pPr>
      <w:r>
        <w:rPr>
          <w:rFonts w:hint="eastAsia" w:ascii="宋体" w:hAnsi="宋体" w:eastAsia="宋体" w:cs="宋体"/>
          <w:b/>
          <w:snapToGrid w:val="0"/>
          <w:color w:val="auto"/>
          <w:kern w:val="0"/>
          <w:sz w:val="44"/>
          <w:szCs w:val="44"/>
          <w:highlight w:val="none"/>
          <w:lang w:val="en-US" w:eastAsia="zh-CN" w:bidi="ar-SA"/>
        </w:rPr>
        <w:br w:type="page"/>
      </w:r>
    </w:p>
    <w:p w14:paraId="597EAB36">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r>
        <w:rPr>
          <w:rFonts w:hint="eastAsia" w:ascii="宋体" w:hAnsi="宋体" w:eastAsia="宋体" w:cs="宋体"/>
          <w:b/>
          <w:snapToGrid w:val="0"/>
          <w:color w:val="auto"/>
          <w:kern w:val="0"/>
          <w:sz w:val="44"/>
          <w:szCs w:val="44"/>
          <w:highlight w:val="none"/>
          <w:lang w:val="en-US" w:eastAsia="zh-CN" w:bidi="ar-SA"/>
        </w:rPr>
        <w:t>目    录</w:t>
      </w:r>
    </w:p>
    <w:p w14:paraId="2E95E0AC">
      <w:pPr>
        <w:pStyle w:val="21"/>
        <w:keepNext w:val="0"/>
        <w:keepLines w:val="0"/>
        <w:pageBreakBefore w:val="0"/>
        <w:widowControl w:val="0"/>
        <w:tabs>
          <w:tab w:val="right" w:leader="dot" w:pos="8844"/>
        </w:tabs>
        <w:kinsoku/>
        <w:wordWrap/>
        <w:overflowPunct/>
        <w:topLinePunct w:val="0"/>
        <w:autoSpaceDE/>
        <w:autoSpaceDN/>
        <w:bidi w:val="0"/>
        <w:adjustRightInd/>
        <w:snapToGrid/>
        <w:spacing w:before="0" w:beforeLines="0" w:after="0" w:afterLines="0" w:line="360" w:lineRule="auto"/>
        <w:ind w:left="0"/>
        <w:jc w:val="center"/>
        <w:textAlignment w:val="auto"/>
        <w:rPr>
          <w:rFonts w:hint="eastAsia" w:ascii="宋体" w:hAnsi="宋体" w:eastAsia="宋体" w:cs="宋体"/>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TOC \o "1-3" \h \u </w:instrText>
      </w:r>
      <w:r>
        <w:rPr>
          <w:rFonts w:hint="eastAsia" w:ascii="宋体" w:hAnsi="宋体" w:eastAsia="宋体" w:cs="宋体"/>
          <w:color w:val="auto"/>
          <w:highlight w:val="none"/>
        </w:rPr>
        <w:fldChar w:fldCharType="separate"/>
      </w:r>
      <w:r>
        <w:rPr>
          <w:rFonts w:hint="eastAsia" w:ascii="宋体" w:hAnsi="宋体" w:eastAsia="宋体" w:cs="宋体"/>
          <w:b/>
          <w:bCs/>
          <w:color w:val="auto"/>
          <w:highlight w:val="none"/>
        </w:rPr>
        <w:fldChar w:fldCharType="begin"/>
      </w:r>
      <w:r>
        <w:rPr>
          <w:rFonts w:hint="eastAsia" w:ascii="宋体" w:hAnsi="宋体" w:eastAsia="宋体" w:cs="宋体"/>
          <w:b/>
          <w:bCs/>
          <w:color w:val="auto"/>
          <w:highlight w:val="none"/>
        </w:rPr>
        <w:instrText xml:space="preserve"> HYPERLINK \l _Toc14635 </w:instrText>
      </w:r>
      <w:r>
        <w:rPr>
          <w:rFonts w:hint="eastAsia" w:ascii="宋体" w:hAnsi="宋体" w:eastAsia="宋体" w:cs="宋体"/>
          <w:b/>
          <w:bCs/>
          <w:color w:val="auto"/>
          <w:highlight w:val="none"/>
        </w:rPr>
        <w:fldChar w:fldCharType="separate"/>
      </w:r>
      <w:r>
        <w:rPr>
          <w:rFonts w:hint="eastAsia" w:ascii="宋体" w:hAnsi="宋体" w:eastAsia="宋体" w:cs="宋体"/>
          <w:b/>
          <w:bCs/>
          <w:snapToGrid w:val="0"/>
          <w:color w:val="auto"/>
          <w:highlight w:val="none"/>
        </w:rPr>
        <w:t>第一章 投标人须知</w:t>
      </w:r>
      <w:r>
        <w:rPr>
          <w:rFonts w:hint="eastAsia" w:ascii="宋体" w:hAnsi="宋体" w:eastAsia="宋体" w:cs="宋体"/>
          <w:b/>
          <w:bCs/>
          <w:color w:val="auto"/>
        </w:rPr>
        <w:tab/>
      </w:r>
      <w:r>
        <w:rPr>
          <w:rFonts w:hint="eastAsia" w:ascii="宋体" w:hAnsi="宋体" w:eastAsia="宋体" w:cs="宋体"/>
          <w:b/>
          <w:bCs/>
          <w:color w:val="auto"/>
        </w:rPr>
        <w:fldChar w:fldCharType="begin"/>
      </w:r>
      <w:r>
        <w:rPr>
          <w:rFonts w:hint="eastAsia" w:ascii="宋体" w:hAnsi="宋体" w:eastAsia="宋体" w:cs="宋体"/>
          <w:b/>
          <w:bCs/>
          <w:color w:val="auto"/>
        </w:rPr>
        <w:instrText xml:space="preserve"> PAGEREF _Toc14635 \h </w:instrText>
      </w:r>
      <w:r>
        <w:rPr>
          <w:rFonts w:hint="eastAsia" w:ascii="宋体" w:hAnsi="宋体" w:eastAsia="宋体" w:cs="宋体"/>
          <w:b/>
          <w:bCs/>
          <w:color w:val="auto"/>
        </w:rPr>
        <w:fldChar w:fldCharType="separate"/>
      </w:r>
      <w:r>
        <w:rPr>
          <w:rFonts w:hint="eastAsia" w:ascii="宋体" w:hAnsi="宋体" w:eastAsia="宋体" w:cs="宋体"/>
          <w:b/>
          <w:bCs/>
          <w:color w:val="auto"/>
        </w:rPr>
        <w:t>1</w:t>
      </w:r>
      <w:r>
        <w:rPr>
          <w:rFonts w:hint="eastAsia" w:ascii="宋体" w:hAnsi="宋体" w:eastAsia="宋体" w:cs="宋体"/>
          <w:b/>
          <w:bCs/>
          <w:color w:val="auto"/>
        </w:rPr>
        <w:fldChar w:fldCharType="end"/>
      </w:r>
      <w:r>
        <w:rPr>
          <w:rFonts w:hint="eastAsia" w:ascii="宋体" w:hAnsi="宋体" w:eastAsia="宋体" w:cs="宋体"/>
          <w:b/>
          <w:bCs/>
          <w:color w:val="auto"/>
          <w:highlight w:val="none"/>
        </w:rPr>
        <w:fldChar w:fldCharType="end"/>
      </w:r>
    </w:p>
    <w:p w14:paraId="7D21D9EF">
      <w:pPr>
        <w:pStyle w:val="25"/>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240" w:firstLineChars="100"/>
        <w:jc w:val="center"/>
        <w:textAlignment w:val="auto"/>
        <w:rPr>
          <w:rFonts w:hint="eastAsia" w:ascii="宋体" w:hAnsi="宋体" w:eastAsia="宋体" w:cs="宋体"/>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_Toc22622 </w:instrText>
      </w:r>
      <w:r>
        <w:rPr>
          <w:rFonts w:hint="eastAsia" w:ascii="宋体" w:hAnsi="宋体" w:eastAsia="宋体" w:cs="宋体"/>
          <w:color w:val="auto"/>
          <w:highlight w:val="none"/>
        </w:rPr>
        <w:fldChar w:fldCharType="separate"/>
      </w:r>
      <w:r>
        <w:rPr>
          <w:rFonts w:hint="eastAsia" w:ascii="宋体" w:hAnsi="宋体" w:eastAsia="宋体" w:cs="宋体"/>
          <w:color w:val="auto"/>
        </w:rPr>
        <w:t>第一节 投标人须知前附表</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_Toc22622 \h </w:instrText>
      </w:r>
      <w:r>
        <w:rPr>
          <w:rFonts w:hint="eastAsia" w:ascii="宋体" w:hAnsi="宋体" w:eastAsia="宋体" w:cs="宋体"/>
          <w:color w:val="auto"/>
        </w:rPr>
        <w:fldChar w:fldCharType="separate"/>
      </w:r>
      <w:r>
        <w:rPr>
          <w:rFonts w:hint="eastAsia" w:ascii="宋体" w:hAnsi="宋体" w:eastAsia="宋体" w:cs="宋体"/>
          <w:color w:val="auto"/>
        </w:rPr>
        <w:t>1</w:t>
      </w:r>
      <w:r>
        <w:rPr>
          <w:rFonts w:hint="eastAsia" w:ascii="宋体" w:hAnsi="宋体" w:eastAsia="宋体" w:cs="宋体"/>
          <w:color w:val="auto"/>
        </w:rPr>
        <w:fldChar w:fldCharType="end"/>
      </w:r>
      <w:r>
        <w:rPr>
          <w:rFonts w:hint="eastAsia" w:ascii="宋体" w:hAnsi="宋体" w:eastAsia="宋体" w:cs="宋体"/>
          <w:color w:val="auto"/>
          <w:highlight w:val="none"/>
        </w:rPr>
        <w:fldChar w:fldCharType="end"/>
      </w:r>
    </w:p>
    <w:p w14:paraId="2D87D76C">
      <w:pPr>
        <w:pStyle w:val="25"/>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240" w:firstLineChars="100"/>
        <w:jc w:val="center"/>
        <w:textAlignment w:val="auto"/>
        <w:rPr>
          <w:rFonts w:hint="eastAsia" w:ascii="宋体" w:hAnsi="宋体" w:eastAsia="宋体" w:cs="宋体"/>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_Toc27937 </w:instrText>
      </w:r>
      <w:r>
        <w:rPr>
          <w:rFonts w:hint="eastAsia" w:ascii="宋体" w:hAnsi="宋体" w:eastAsia="宋体" w:cs="宋体"/>
          <w:color w:val="auto"/>
          <w:highlight w:val="none"/>
        </w:rPr>
        <w:fldChar w:fldCharType="separate"/>
      </w:r>
      <w:r>
        <w:rPr>
          <w:rFonts w:hint="eastAsia" w:ascii="宋体" w:hAnsi="宋体" w:eastAsia="宋体" w:cs="宋体"/>
          <w:color w:val="auto"/>
        </w:rPr>
        <w:t>第二节 重要事项时间地点一览表</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_Toc27937 \h </w:instrText>
      </w:r>
      <w:r>
        <w:rPr>
          <w:rFonts w:hint="eastAsia" w:ascii="宋体" w:hAnsi="宋体" w:eastAsia="宋体" w:cs="宋体"/>
          <w:color w:val="auto"/>
        </w:rPr>
        <w:fldChar w:fldCharType="separate"/>
      </w:r>
      <w:r>
        <w:rPr>
          <w:rFonts w:hint="eastAsia" w:ascii="宋体" w:hAnsi="宋体" w:eastAsia="宋体" w:cs="宋体"/>
          <w:color w:val="auto"/>
        </w:rPr>
        <w:t>6</w:t>
      </w:r>
      <w:r>
        <w:rPr>
          <w:rFonts w:hint="eastAsia" w:ascii="宋体" w:hAnsi="宋体" w:eastAsia="宋体" w:cs="宋体"/>
          <w:color w:val="auto"/>
        </w:rPr>
        <w:fldChar w:fldCharType="end"/>
      </w:r>
      <w:r>
        <w:rPr>
          <w:rFonts w:hint="eastAsia" w:ascii="宋体" w:hAnsi="宋体" w:eastAsia="宋体" w:cs="宋体"/>
          <w:color w:val="auto"/>
          <w:highlight w:val="none"/>
        </w:rPr>
        <w:fldChar w:fldCharType="end"/>
      </w:r>
    </w:p>
    <w:p w14:paraId="7D70C156">
      <w:pPr>
        <w:pStyle w:val="25"/>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240" w:firstLineChars="100"/>
        <w:jc w:val="center"/>
        <w:textAlignment w:val="auto"/>
        <w:rPr>
          <w:rFonts w:hint="eastAsia" w:ascii="宋体" w:hAnsi="宋体" w:eastAsia="宋体" w:cs="宋体"/>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_Toc30390 </w:instrText>
      </w:r>
      <w:r>
        <w:rPr>
          <w:rFonts w:hint="eastAsia" w:ascii="宋体" w:hAnsi="宋体" w:eastAsia="宋体" w:cs="宋体"/>
          <w:color w:val="auto"/>
          <w:highlight w:val="none"/>
        </w:rPr>
        <w:fldChar w:fldCharType="separate"/>
      </w:r>
      <w:r>
        <w:rPr>
          <w:rFonts w:hint="eastAsia" w:ascii="宋体" w:hAnsi="宋体" w:eastAsia="宋体" w:cs="宋体"/>
          <w:color w:val="auto"/>
        </w:rPr>
        <w:t>第三节 投标人须知正文</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_Toc30390 \h </w:instrText>
      </w:r>
      <w:r>
        <w:rPr>
          <w:rFonts w:hint="eastAsia" w:ascii="宋体" w:hAnsi="宋体" w:eastAsia="宋体" w:cs="宋体"/>
          <w:color w:val="auto"/>
        </w:rPr>
        <w:fldChar w:fldCharType="separate"/>
      </w:r>
      <w:r>
        <w:rPr>
          <w:rFonts w:hint="eastAsia" w:ascii="宋体" w:hAnsi="宋体" w:eastAsia="宋体" w:cs="宋体"/>
          <w:color w:val="auto"/>
        </w:rPr>
        <w:t>7</w:t>
      </w:r>
      <w:r>
        <w:rPr>
          <w:rFonts w:hint="eastAsia" w:ascii="宋体" w:hAnsi="宋体" w:eastAsia="宋体" w:cs="宋体"/>
          <w:color w:val="auto"/>
        </w:rPr>
        <w:fldChar w:fldCharType="end"/>
      </w:r>
      <w:r>
        <w:rPr>
          <w:rFonts w:hint="eastAsia" w:ascii="宋体" w:hAnsi="宋体" w:eastAsia="宋体" w:cs="宋体"/>
          <w:color w:val="auto"/>
          <w:highlight w:val="none"/>
        </w:rPr>
        <w:fldChar w:fldCharType="end"/>
      </w:r>
    </w:p>
    <w:p w14:paraId="0A66191F">
      <w:pPr>
        <w:pStyle w:val="15"/>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_Toc25995 </w:instrText>
      </w:r>
      <w:r>
        <w:rPr>
          <w:rFonts w:hint="eastAsia" w:ascii="宋体" w:hAnsi="宋体" w:eastAsia="宋体" w:cs="宋体"/>
          <w:color w:val="auto"/>
          <w:highlight w:val="none"/>
        </w:rPr>
        <w:fldChar w:fldCharType="separate"/>
      </w:r>
      <w:r>
        <w:rPr>
          <w:rFonts w:hint="eastAsia" w:ascii="宋体" w:hAnsi="宋体" w:eastAsia="宋体" w:cs="宋体"/>
          <w:color w:val="auto"/>
        </w:rPr>
        <w:t>1．项目概况、招标范围和标段划分、投标费用</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_Toc25995 \h </w:instrText>
      </w:r>
      <w:r>
        <w:rPr>
          <w:rFonts w:hint="eastAsia" w:ascii="宋体" w:hAnsi="宋体" w:eastAsia="宋体" w:cs="宋体"/>
          <w:color w:val="auto"/>
        </w:rPr>
        <w:fldChar w:fldCharType="separate"/>
      </w:r>
      <w:r>
        <w:rPr>
          <w:rFonts w:hint="eastAsia" w:ascii="宋体" w:hAnsi="宋体" w:eastAsia="宋体" w:cs="宋体"/>
          <w:color w:val="auto"/>
        </w:rPr>
        <w:t>7</w:t>
      </w:r>
      <w:r>
        <w:rPr>
          <w:rFonts w:hint="eastAsia" w:ascii="宋体" w:hAnsi="宋体" w:eastAsia="宋体" w:cs="宋体"/>
          <w:color w:val="auto"/>
        </w:rPr>
        <w:fldChar w:fldCharType="end"/>
      </w:r>
      <w:r>
        <w:rPr>
          <w:rFonts w:hint="eastAsia" w:ascii="宋体" w:hAnsi="宋体" w:eastAsia="宋体" w:cs="宋体"/>
          <w:color w:val="auto"/>
          <w:highlight w:val="none"/>
        </w:rPr>
        <w:fldChar w:fldCharType="end"/>
      </w:r>
    </w:p>
    <w:p w14:paraId="6FFD99FA">
      <w:pPr>
        <w:pStyle w:val="15"/>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_Toc14498 </w:instrText>
      </w:r>
      <w:r>
        <w:rPr>
          <w:rFonts w:hint="eastAsia" w:ascii="宋体" w:hAnsi="宋体" w:eastAsia="宋体" w:cs="宋体"/>
          <w:color w:val="auto"/>
          <w:highlight w:val="none"/>
        </w:rPr>
        <w:fldChar w:fldCharType="separate"/>
      </w:r>
      <w:r>
        <w:rPr>
          <w:rFonts w:hint="eastAsia" w:ascii="宋体" w:hAnsi="宋体" w:eastAsia="宋体" w:cs="宋体"/>
          <w:color w:val="auto"/>
        </w:rPr>
        <w:t>2．投标人资格要求</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_Toc14498 \h </w:instrText>
      </w:r>
      <w:r>
        <w:rPr>
          <w:rFonts w:hint="eastAsia" w:ascii="宋体" w:hAnsi="宋体" w:eastAsia="宋体" w:cs="宋体"/>
          <w:color w:val="auto"/>
        </w:rPr>
        <w:fldChar w:fldCharType="separate"/>
      </w:r>
      <w:r>
        <w:rPr>
          <w:rFonts w:hint="eastAsia" w:ascii="宋体" w:hAnsi="宋体" w:eastAsia="宋体" w:cs="宋体"/>
          <w:color w:val="auto"/>
        </w:rPr>
        <w:t>7</w:t>
      </w:r>
      <w:r>
        <w:rPr>
          <w:rFonts w:hint="eastAsia" w:ascii="宋体" w:hAnsi="宋体" w:eastAsia="宋体" w:cs="宋体"/>
          <w:color w:val="auto"/>
        </w:rPr>
        <w:fldChar w:fldCharType="end"/>
      </w:r>
      <w:r>
        <w:rPr>
          <w:rFonts w:hint="eastAsia" w:ascii="宋体" w:hAnsi="宋体" w:eastAsia="宋体" w:cs="宋体"/>
          <w:color w:val="auto"/>
          <w:highlight w:val="none"/>
        </w:rPr>
        <w:fldChar w:fldCharType="end"/>
      </w:r>
    </w:p>
    <w:p w14:paraId="006D6B72">
      <w:pPr>
        <w:pStyle w:val="15"/>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_Toc6745 </w:instrText>
      </w:r>
      <w:r>
        <w:rPr>
          <w:rFonts w:hint="eastAsia" w:ascii="宋体" w:hAnsi="宋体" w:eastAsia="宋体" w:cs="宋体"/>
          <w:color w:val="auto"/>
          <w:highlight w:val="none"/>
        </w:rPr>
        <w:fldChar w:fldCharType="separate"/>
      </w:r>
      <w:r>
        <w:rPr>
          <w:rFonts w:hint="eastAsia" w:ascii="宋体" w:hAnsi="宋体" w:eastAsia="宋体" w:cs="宋体"/>
          <w:color w:val="auto"/>
        </w:rPr>
        <w:t>3．招标文件的获取、提问和答疑</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_Toc6745 \h </w:instrText>
      </w:r>
      <w:r>
        <w:rPr>
          <w:rFonts w:hint="eastAsia" w:ascii="宋体" w:hAnsi="宋体" w:eastAsia="宋体" w:cs="宋体"/>
          <w:color w:val="auto"/>
        </w:rPr>
        <w:fldChar w:fldCharType="separate"/>
      </w:r>
      <w:r>
        <w:rPr>
          <w:rFonts w:hint="eastAsia" w:ascii="宋体" w:hAnsi="宋体" w:eastAsia="宋体" w:cs="宋体"/>
          <w:color w:val="auto"/>
        </w:rPr>
        <w:t>9</w:t>
      </w:r>
      <w:r>
        <w:rPr>
          <w:rFonts w:hint="eastAsia" w:ascii="宋体" w:hAnsi="宋体" w:eastAsia="宋体" w:cs="宋体"/>
          <w:color w:val="auto"/>
        </w:rPr>
        <w:fldChar w:fldCharType="end"/>
      </w:r>
      <w:r>
        <w:rPr>
          <w:rFonts w:hint="eastAsia" w:ascii="宋体" w:hAnsi="宋体" w:eastAsia="宋体" w:cs="宋体"/>
          <w:color w:val="auto"/>
          <w:highlight w:val="none"/>
        </w:rPr>
        <w:fldChar w:fldCharType="end"/>
      </w:r>
    </w:p>
    <w:p w14:paraId="49A96413">
      <w:pPr>
        <w:pStyle w:val="15"/>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_Toc10093 </w:instrText>
      </w:r>
      <w:r>
        <w:rPr>
          <w:rFonts w:hint="eastAsia" w:ascii="宋体" w:hAnsi="宋体" w:eastAsia="宋体" w:cs="宋体"/>
          <w:color w:val="auto"/>
          <w:highlight w:val="none"/>
        </w:rPr>
        <w:fldChar w:fldCharType="separate"/>
      </w:r>
      <w:r>
        <w:rPr>
          <w:rFonts w:hint="eastAsia" w:ascii="宋体" w:hAnsi="宋体" w:eastAsia="宋体" w:cs="宋体"/>
          <w:color w:val="auto"/>
          <w:lang w:val="en-US" w:eastAsia="zh-CN"/>
        </w:rPr>
        <w:t>4．</w:t>
      </w:r>
      <w:r>
        <w:rPr>
          <w:rFonts w:hint="eastAsia" w:ascii="宋体" w:hAnsi="宋体" w:eastAsia="宋体" w:cs="宋体"/>
          <w:color w:val="auto"/>
        </w:rPr>
        <w:t>工期要求</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_Toc10093 \h </w:instrText>
      </w:r>
      <w:r>
        <w:rPr>
          <w:rFonts w:hint="eastAsia" w:ascii="宋体" w:hAnsi="宋体" w:eastAsia="宋体" w:cs="宋体"/>
          <w:color w:val="auto"/>
        </w:rPr>
        <w:fldChar w:fldCharType="separate"/>
      </w:r>
      <w:r>
        <w:rPr>
          <w:rFonts w:hint="eastAsia" w:ascii="宋体" w:hAnsi="宋体" w:eastAsia="宋体" w:cs="宋体"/>
          <w:color w:val="auto"/>
        </w:rPr>
        <w:t>11</w:t>
      </w:r>
      <w:r>
        <w:rPr>
          <w:rFonts w:hint="eastAsia" w:ascii="宋体" w:hAnsi="宋体" w:eastAsia="宋体" w:cs="宋体"/>
          <w:color w:val="auto"/>
        </w:rPr>
        <w:fldChar w:fldCharType="end"/>
      </w:r>
      <w:r>
        <w:rPr>
          <w:rFonts w:hint="eastAsia" w:ascii="宋体" w:hAnsi="宋体" w:eastAsia="宋体" w:cs="宋体"/>
          <w:color w:val="auto"/>
          <w:highlight w:val="none"/>
        </w:rPr>
        <w:fldChar w:fldCharType="end"/>
      </w:r>
    </w:p>
    <w:p w14:paraId="6C6B950A">
      <w:pPr>
        <w:pStyle w:val="15"/>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_Toc762 </w:instrText>
      </w:r>
      <w:r>
        <w:rPr>
          <w:rFonts w:hint="eastAsia" w:ascii="宋体" w:hAnsi="宋体" w:eastAsia="宋体" w:cs="宋体"/>
          <w:color w:val="auto"/>
          <w:highlight w:val="none"/>
        </w:rPr>
        <w:fldChar w:fldCharType="separate"/>
      </w:r>
      <w:r>
        <w:rPr>
          <w:rFonts w:hint="eastAsia" w:ascii="宋体" w:hAnsi="宋体" w:eastAsia="宋体" w:cs="宋体"/>
          <w:color w:val="auto"/>
        </w:rPr>
        <w:t>5．质量标准和材料、机械要求</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_Toc762 \h </w:instrText>
      </w:r>
      <w:r>
        <w:rPr>
          <w:rFonts w:hint="eastAsia" w:ascii="宋体" w:hAnsi="宋体" w:eastAsia="宋体" w:cs="宋体"/>
          <w:color w:val="auto"/>
        </w:rPr>
        <w:fldChar w:fldCharType="separate"/>
      </w:r>
      <w:r>
        <w:rPr>
          <w:rFonts w:hint="eastAsia" w:ascii="宋体" w:hAnsi="宋体" w:eastAsia="宋体" w:cs="宋体"/>
          <w:color w:val="auto"/>
        </w:rPr>
        <w:t>11</w:t>
      </w:r>
      <w:r>
        <w:rPr>
          <w:rFonts w:hint="eastAsia" w:ascii="宋体" w:hAnsi="宋体" w:eastAsia="宋体" w:cs="宋体"/>
          <w:color w:val="auto"/>
        </w:rPr>
        <w:fldChar w:fldCharType="end"/>
      </w:r>
      <w:r>
        <w:rPr>
          <w:rFonts w:hint="eastAsia" w:ascii="宋体" w:hAnsi="宋体" w:eastAsia="宋体" w:cs="宋体"/>
          <w:color w:val="auto"/>
          <w:highlight w:val="none"/>
        </w:rPr>
        <w:fldChar w:fldCharType="end"/>
      </w:r>
    </w:p>
    <w:p w14:paraId="131FAF1F">
      <w:pPr>
        <w:pStyle w:val="15"/>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_Toc23462 </w:instrText>
      </w:r>
      <w:r>
        <w:rPr>
          <w:rFonts w:hint="eastAsia" w:ascii="宋体" w:hAnsi="宋体" w:eastAsia="宋体" w:cs="宋体"/>
          <w:color w:val="auto"/>
          <w:highlight w:val="none"/>
        </w:rPr>
        <w:fldChar w:fldCharType="separate"/>
      </w:r>
      <w:r>
        <w:rPr>
          <w:rFonts w:hint="eastAsia" w:ascii="宋体" w:hAnsi="宋体" w:eastAsia="宋体" w:cs="宋体"/>
          <w:color w:val="auto"/>
        </w:rPr>
        <w:t>6．施工条件及现场踏勘</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_Toc23462 \h </w:instrText>
      </w:r>
      <w:r>
        <w:rPr>
          <w:rFonts w:hint="eastAsia" w:ascii="宋体" w:hAnsi="宋体" w:eastAsia="宋体" w:cs="宋体"/>
          <w:color w:val="auto"/>
        </w:rPr>
        <w:fldChar w:fldCharType="separate"/>
      </w:r>
      <w:r>
        <w:rPr>
          <w:rFonts w:hint="eastAsia" w:ascii="宋体" w:hAnsi="宋体" w:eastAsia="宋体" w:cs="宋体"/>
          <w:color w:val="auto"/>
        </w:rPr>
        <w:t>12</w:t>
      </w:r>
      <w:r>
        <w:rPr>
          <w:rFonts w:hint="eastAsia" w:ascii="宋体" w:hAnsi="宋体" w:eastAsia="宋体" w:cs="宋体"/>
          <w:color w:val="auto"/>
        </w:rPr>
        <w:fldChar w:fldCharType="end"/>
      </w:r>
      <w:r>
        <w:rPr>
          <w:rFonts w:hint="eastAsia" w:ascii="宋体" w:hAnsi="宋体" w:eastAsia="宋体" w:cs="宋体"/>
          <w:color w:val="auto"/>
          <w:highlight w:val="none"/>
        </w:rPr>
        <w:fldChar w:fldCharType="end"/>
      </w:r>
    </w:p>
    <w:p w14:paraId="14A7B6E9">
      <w:pPr>
        <w:pStyle w:val="15"/>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_Toc29845 </w:instrText>
      </w:r>
      <w:r>
        <w:rPr>
          <w:rFonts w:hint="eastAsia" w:ascii="宋体" w:hAnsi="宋体" w:eastAsia="宋体" w:cs="宋体"/>
          <w:color w:val="auto"/>
          <w:highlight w:val="none"/>
        </w:rPr>
        <w:fldChar w:fldCharType="separate"/>
      </w:r>
      <w:r>
        <w:rPr>
          <w:rFonts w:hint="eastAsia" w:ascii="宋体" w:hAnsi="宋体" w:eastAsia="宋体" w:cs="宋体"/>
          <w:color w:val="auto"/>
        </w:rPr>
        <w:t>7．招标文件的提问和答疑</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_Toc29845 \h </w:instrText>
      </w:r>
      <w:r>
        <w:rPr>
          <w:rFonts w:hint="eastAsia" w:ascii="宋体" w:hAnsi="宋体" w:eastAsia="宋体" w:cs="宋体"/>
          <w:color w:val="auto"/>
        </w:rPr>
        <w:fldChar w:fldCharType="separate"/>
      </w:r>
      <w:r>
        <w:rPr>
          <w:rFonts w:hint="eastAsia" w:ascii="宋体" w:hAnsi="宋体" w:eastAsia="宋体" w:cs="宋体"/>
          <w:color w:val="auto"/>
        </w:rPr>
        <w:t>12</w:t>
      </w:r>
      <w:r>
        <w:rPr>
          <w:rFonts w:hint="eastAsia" w:ascii="宋体" w:hAnsi="宋体" w:eastAsia="宋体" w:cs="宋体"/>
          <w:color w:val="auto"/>
        </w:rPr>
        <w:fldChar w:fldCharType="end"/>
      </w:r>
      <w:r>
        <w:rPr>
          <w:rFonts w:hint="eastAsia" w:ascii="宋体" w:hAnsi="宋体" w:eastAsia="宋体" w:cs="宋体"/>
          <w:color w:val="auto"/>
          <w:highlight w:val="none"/>
        </w:rPr>
        <w:fldChar w:fldCharType="end"/>
      </w:r>
    </w:p>
    <w:p w14:paraId="1143485F">
      <w:pPr>
        <w:pStyle w:val="15"/>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_Toc21026 </w:instrText>
      </w:r>
      <w:r>
        <w:rPr>
          <w:rFonts w:hint="eastAsia" w:ascii="宋体" w:hAnsi="宋体" w:eastAsia="宋体" w:cs="宋体"/>
          <w:color w:val="auto"/>
          <w:highlight w:val="none"/>
        </w:rPr>
        <w:fldChar w:fldCharType="separate"/>
      </w:r>
      <w:r>
        <w:rPr>
          <w:rFonts w:hint="eastAsia" w:ascii="宋体" w:hAnsi="宋体" w:eastAsia="宋体" w:cs="宋体"/>
          <w:color w:val="auto"/>
        </w:rPr>
        <w:t>8．</w:t>
      </w:r>
      <w:r>
        <w:rPr>
          <w:rFonts w:hint="eastAsia" w:ascii="宋体" w:hAnsi="宋体" w:eastAsia="宋体" w:cs="宋体"/>
          <w:color w:val="auto"/>
          <w:lang w:val="en-US" w:eastAsia="zh-CN"/>
        </w:rPr>
        <w:t>最高投标限价</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_Toc21026 \h </w:instrText>
      </w:r>
      <w:r>
        <w:rPr>
          <w:rFonts w:hint="eastAsia" w:ascii="宋体" w:hAnsi="宋体" w:eastAsia="宋体" w:cs="宋体"/>
          <w:color w:val="auto"/>
        </w:rPr>
        <w:fldChar w:fldCharType="separate"/>
      </w:r>
      <w:r>
        <w:rPr>
          <w:rFonts w:hint="eastAsia" w:ascii="宋体" w:hAnsi="宋体" w:eastAsia="宋体" w:cs="宋体"/>
          <w:color w:val="auto"/>
        </w:rPr>
        <w:t>13</w:t>
      </w:r>
      <w:r>
        <w:rPr>
          <w:rFonts w:hint="eastAsia" w:ascii="宋体" w:hAnsi="宋体" w:eastAsia="宋体" w:cs="宋体"/>
          <w:color w:val="auto"/>
        </w:rPr>
        <w:fldChar w:fldCharType="end"/>
      </w:r>
      <w:r>
        <w:rPr>
          <w:rFonts w:hint="eastAsia" w:ascii="宋体" w:hAnsi="宋体" w:eastAsia="宋体" w:cs="宋体"/>
          <w:color w:val="auto"/>
          <w:highlight w:val="none"/>
        </w:rPr>
        <w:fldChar w:fldCharType="end"/>
      </w:r>
    </w:p>
    <w:p w14:paraId="2104ADA7">
      <w:pPr>
        <w:pStyle w:val="15"/>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_Toc19680 </w:instrText>
      </w:r>
      <w:r>
        <w:rPr>
          <w:rFonts w:hint="eastAsia" w:ascii="宋体" w:hAnsi="宋体" w:eastAsia="宋体" w:cs="宋体"/>
          <w:color w:val="auto"/>
          <w:highlight w:val="none"/>
        </w:rPr>
        <w:fldChar w:fldCharType="separate"/>
      </w:r>
      <w:r>
        <w:rPr>
          <w:rFonts w:hint="eastAsia" w:ascii="宋体" w:hAnsi="宋体" w:eastAsia="宋体" w:cs="宋体"/>
          <w:color w:val="auto"/>
        </w:rPr>
        <w:t>9．投标报价</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_Toc19680 \h </w:instrText>
      </w:r>
      <w:r>
        <w:rPr>
          <w:rFonts w:hint="eastAsia" w:ascii="宋体" w:hAnsi="宋体" w:eastAsia="宋体" w:cs="宋体"/>
          <w:color w:val="auto"/>
        </w:rPr>
        <w:fldChar w:fldCharType="separate"/>
      </w:r>
      <w:r>
        <w:rPr>
          <w:rFonts w:hint="eastAsia" w:ascii="宋体" w:hAnsi="宋体" w:eastAsia="宋体" w:cs="宋体"/>
          <w:color w:val="auto"/>
        </w:rPr>
        <w:t>14</w:t>
      </w:r>
      <w:r>
        <w:rPr>
          <w:rFonts w:hint="eastAsia" w:ascii="宋体" w:hAnsi="宋体" w:eastAsia="宋体" w:cs="宋体"/>
          <w:color w:val="auto"/>
        </w:rPr>
        <w:fldChar w:fldCharType="end"/>
      </w:r>
      <w:r>
        <w:rPr>
          <w:rFonts w:hint="eastAsia" w:ascii="宋体" w:hAnsi="宋体" w:eastAsia="宋体" w:cs="宋体"/>
          <w:color w:val="auto"/>
          <w:highlight w:val="none"/>
        </w:rPr>
        <w:fldChar w:fldCharType="end"/>
      </w:r>
    </w:p>
    <w:p w14:paraId="02C82BB4">
      <w:pPr>
        <w:pStyle w:val="15"/>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_Toc15652 </w:instrText>
      </w:r>
      <w:r>
        <w:rPr>
          <w:rFonts w:hint="eastAsia" w:ascii="宋体" w:hAnsi="宋体" w:eastAsia="宋体" w:cs="宋体"/>
          <w:color w:val="auto"/>
          <w:highlight w:val="none"/>
        </w:rPr>
        <w:fldChar w:fldCharType="separate"/>
      </w:r>
      <w:r>
        <w:rPr>
          <w:rFonts w:hint="eastAsia" w:ascii="宋体" w:hAnsi="宋体" w:eastAsia="宋体" w:cs="宋体"/>
          <w:color w:val="auto"/>
        </w:rPr>
        <w:t>10．投标文件的编制要求</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_Toc15652 \h </w:instrText>
      </w:r>
      <w:r>
        <w:rPr>
          <w:rFonts w:hint="eastAsia" w:ascii="宋体" w:hAnsi="宋体" w:eastAsia="宋体" w:cs="宋体"/>
          <w:color w:val="auto"/>
        </w:rPr>
        <w:fldChar w:fldCharType="separate"/>
      </w:r>
      <w:r>
        <w:rPr>
          <w:rFonts w:hint="eastAsia" w:ascii="宋体" w:hAnsi="宋体" w:eastAsia="宋体" w:cs="宋体"/>
          <w:color w:val="auto"/>
        </w:rPr>
        <w:t>16</w:t>
      </w:r>
      <w:r>
        <w:rPr>
          <w:rFonts w:hint="eastAsia" w:ascii="宋体" w:hAnsi="宋体" w:eastAsia="宋体" w:cs="宋体"/>
          <w:color w:val="auto"/>
        </w:rPr>
        <w:fldChar w:fldCharType="end"/>
      </w:r>
      <w:r>
        <w:rPr>
          <w:rFonts w:hint="eastAsia" w:ascii="宋体" w:hAnsi="宋体" w:eastAsia="宋体" w:cs="宋体"/>
          <w:color w:val="auto"/>
          <w:highlight w:val="none"/>
        </w:rPr>
        <w:fldChar w:fldCharType="end"/>
      </w:r>
    </w:p>
    <w:p w14:paraId="2396E509">
      <w:pPr>
        <w:pStyle w:val="25"/>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_Toc5963 </w:instrText>
      </w:r>
      <w:r>
        <w:rPr>
          <w:rFonts w:hint="eastAsia" w:ascii="宋体" w:hAnsi="宋体" w:eastAsia="宋体" w:cs="宋体"/>
          <w:color w:val="auto"/>
          <w:highlight w:val="none"/>
        </w:rPr>
        <w:fldChar w:fldCharType="separate"/>
      </w:r>
      <w:r>
        <w:rPr>
          <w:rFonts w:hint="eastAsia" w:ascii="宋体" w:hAnsi="宋体" w:eastAsia="宋体" w:cs="宋体"/>
          <w:color w:val="auto"/>
          <w:lang w:val="en-US" w:eastAsia="zh-CN"/>
        </w:rPr>
        <w:t>11.电子投标</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_Toc5963 \h </w:instrText>
      </w:r>
      <w:r>
        <w:rPr>
          <w:rFonts w:hint="eastAsia" w:ascii="宋体" w:hAnsi="宋体" w:eastAsia="宋体" w:cs="宋体"/>
          <w:color w:val="auto"/>
        </w:rPr>
        <w:fldChar w:fldCharType="separate"/>
      </w:r>
      <w:r>
        <w:rPr>
          <w:rFonts w:hint="eastAsia" w:ascii="宋体" w:hAnsi="宋体" w:eastAsia="宋体" w:cs="宋体"/>
          <w:color w:val="auto"/>
        </w:rPr>
        <w:t>19</w:t>
      </w:r>
      <w:r>
        <w:rPr>
          <w:rFonts w:hint="eastAsia" w:ascii="宋体" w:hAnsi="宋体" w:eastAsia="宋体" w:cs="宋体"/>
          <w:color w:val="auto"/>
        </w:rPr>
        <w:fldChar w:fldCharType="end"/>
      </w:r>
      <w:r>
        <w:rPr>
          <w:rFonts w:hint="eastAsia" w:ascii="宋体" w:hAnsi="宋体" w:eastAsia="宋体" w:cs="宋体"/>
          <w:color w:val="auto"/>
          <w:highlight w:val="none"/>
        </w:rPr>
        <w:fldChar w:fldCharType="end"/>
      </w:r>
    </w:p>
    <w:p w14:paraId="49884DCC">
      <w:pPr>
        <w:pStyle w:val="15"/>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_Toc25051 </w:instrText>
      </w:r>
      <w:r>
        <w:rPr>
          <w:rFonts w:hint="eastAsia" w:ascii="宋体" w:hAnsi="宋体" w:eastAsia="宋体" w:cs="宋体"/>
          <w:color w:val="auto"/>
          <w:highlight w:val="none"/>
        </w:rPr>
        <w:fldChar w:fldCharType="separate"/>
      </w:r>
      <w:r>
        <w:rPr>
          <w:rFonts w:hint="eastAsia" w:ascii="宋体" w:hAnsi="宋体" w:eastAsia="宋体" w:cs="宋体"/>
          <w:color w:val="auto"/>
          <w:kern w:val="2"/>
          <w:szCs w:val="20"/>
          <w:lang w:val="en-US" w:eastAsia="zh-CN" w:bidi="ar-SA"/>
        </w:rPr>
        <w:t>12.电子投标及投标解密失败及突发情况的补救方案</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_Toc25051 \h </w:instrText>
      </w:r>
      <w:r>
        <w:rPr>
          <w:rFonts w:hint="eastAsia" w:ascii="宋体" w:hAnsi="宋体" w:eastAsia="宋体" w:cs="宋体"/>
          <w:color w:val="auto"/>
        </w:rPr>
        <w:fldChar w:fldCharType="separate"/>
      </w:r>
      <w:r>
        <w:rPr>
          <w:rFonts w:hint="eastAsia" w:ascii="宋体" w:hAnsi="宋体" w:eastAsia="宋体" w:cs="宋体"/>
          <w:color w:val="auto"/>
        </w:rPr>
        <w:t>19</w:t>
      </w:r>
      <w:r>
        <w:rPr>
          <w:rFonts w:hint="eastAsia" w:ascii="宋体" w:hAnsi="宋体" w:eastAsia="宋体" w:cs="宋体"/>
          <w:color w:val="auto"/>
        </w:rPr>
        <w:fldChar w:fldCharType="end"/>
      </w:r>
      <w:r>
        <w:rPr>
          <w:rFonts w:hint="eastAsia" w:ascii="宋体" w:hAnsi="宋体" w:eastAsia="宋体" w:cs="宋体"/>
          <w:color w:val="auto"/>
          <w:highlight w:val="none"/>
        </w:rPr>
        <w:fldChar w:fldCharType="end"/>
      </w:r>
    </w:p>
    <w:p w14:paraId="781CCDCB">
      <w:pPr>
        <w:pStyle w:val="25"/>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_Toc31800 </w:instrText>
      </w:r>
      <w:r>
        <w:rPr>
          <w:rFonts w:hint="eastAsia" w:ascii="宋体" w:hAnsi="宋体" w:eastAsia="宋体" w:cs="宋体"/>
          <w:color w:val="auto"/>
          <w:highlight w:val="none"/>
        </w:rPr>
        <w:fldChar w:fldCharType="separate"/>
      </w:r>
      <w:r>
        <w:rPr>
          <w:rFonts w:hint="eastAsia" w:ascii="宋体" w:hAnsi="宋体" w:eastAsia="宋体" w:cs="宋体"/>
          <w:color w:val="auto"/>
          <w:lang w:val="en-US" w:eastAsia="zh-CN"/>
        </w:rPr>
        <w:t>13．投标文件的提交</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_Toc31800 \h </w:instrText>
      </w:r>
      <w:r>
        <w:rPr>
          <w:rFonts w:hint="eastAsia" w:ascii="宋体" w:hAnsi="宋体" w:eastAsia="宋体" w:cs="宋体"/>
          <w:color w:val="auto"/>
        </w:rPr>
        <w:fldChar w:fldCharType="separate"/>
      </w:r>
      <w:r>
        <w:rPr>
          <w:rFonts w:hint="eastAsia" w:ascii="宋体" w:hAnsi="宋体" w:eastAsia="宋体" w:cs="宋体"/>
          <w:color w:val="auto"/>
        </w:rPr>
        <w:t>20</w:t>
      </w:r>
      <w:r>
        <w:rPr>
          <w:rFonts w:hint="eastAsia" w:ascii="宋体" w:hAnsi="宋体" w:eastAsia="宋体" w:cs="宋体"/>
          <w:color w:val="auto"/>
        </w:rPr>
        <w:fldChar w:fldCharType="end"/>
      </w:r>
      <w:r>
        <w:rPr>
          <w:rFonts w:hint="eastAsia" w:ascii="宋体" w:hAnsi="宋体" w:eastAsia="宋体" w:cs="宋体"/>
          <w:color w:val="auto"/>
          <w:highlight w:val="none"/>
        </w:rPr>
        <w:fldChar w:fldCharType="end"/>
      </w:r>
    </w:p>
    <w:p w14:paraId="62BEECCA">
      <w:pPr>
        <w:pStyle w:val="25"/>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_Toc358 </w:instrText>
      </w:r>
      <w:r>
        <w:rPr>
          <w:rFonts w:hint="eastAsia" w:ascii="宋体" w:hAnsi="宋体" w:eastAsia="宋体" w:cs="宋体"/>
          <w:color w:val="auto"/>
          <w:highlight w:val="none"/>
        </w:rPr>
        <w:fldChar w:fldCharType="separate"/>
      </w:r>
      <w:r>
        <w:rPr>
          <w:rFonts w:hint="eastAsia" w:ascii="宋体" w:hAnsi="宋体" w:eastAsia="宋体" w:cs="宋体"/>
          <w:color w:val="auto"/>
          <w:lang w:val="en-US" w:eastAsia="zh-CN"/>
        </w:rPr>
        <w:t>14．开标</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_Toc358 \h </w:instrText>
      </w:r>
      <w:r>
        <w:rPr>
          <w:rFonts w:hint="eastAsia" w:ascii="宋体" w:hAnsi="宋体" w:eastAsia="宋体" w:cs="宋体"/>
          <w:color w:val="auto"/>
        </w:rPr>
        <w:fldChar w:fldCharType="separate"/>
      </w:r>
      <w:r>
        <w:rPr>
          <w:rFonts w:hint="eastAsia" w:ascii="宋体" w:hAnsi="宋体" w:eastAsia="宋体" w:cs="宋体"/>
          <w:color w:val="auto"/>
        </w:rPr>
        <w:t>20</w:t>
      </w:r>
      <w:r>
        <w:rPr>
          <w:rFonts w:hint="eastAsia" w:ascii="宋体" w:hAnsi="宋体" w:eastAsia="宋体" w:cs="宋体"/>
          <w:color w:val="auto"/>
        </w:rPr>
        <w:fldChar w:fldCharType="end"/>
      </w:r>
      <w:r>
        <w:rPr>
          <w:rFonts w:hint="eastAsia" w:ascii="宋体" w:hAnsi="宋体" w:eastAsia="宋体" w:cs="宋体"/>
          <w:color w:val="auto"/>
          <w:highlight w:val="none"/>
        </w:rPr>
        <w:fldChar w:fldCharType="end"/>
      </w:r>
    </w:p>
    <w:p w14:paraId="6F8E85E9">
      <w:pPr>
        <w:pStyle w:val="25"/>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_Toc28090 </w:instrText>
      </w:r>
      <w:r>
        <w:rPr>
          <w:rFonts w:hint="eastAsia" w:ascii="宋体" w:hAnsi="宋体" w:eastAsia="宋体" w:cs="宋体"/>
          <w:color w:val="auto"/>
          <w:highlight w:val="none"/>
        </w:rPr>
        <w:fldChar w:fldCharType="separate"/>
      </w:r>
      <w:r>
        <w:rPr>
          <w:rFonts w:hint="eastAsia" w:ascii="宋体" w:hAnsi="宋体" w:eastAsia="宋体" w:cs="宋体"/>
          <w:color w:val="auto"/>
          <w:lang w:val="en-US" w:eastAsia="zh-CN"/>
        </w:rPr>
        <w:t>15．评标</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_Toc28090 \h </w:instrText>
      </w:r>
      <w:r>
        <w:rPr>
          <w:rFonts w:hint="eastAsia" w:ascii="宋体" w:hAnsi="宋体" w:eastAsia="宋体" w:cs="宋体"/>
          <w:color w:val="auto"/>
        </w:rPr>
        <w:fldChar w:fldCharType="separate"/>
      </w:r>
      <w:r>
        <w:rPr>
          <w:rFonts w:hint="eastAsia" w:ascii="宋体" w:hAnsi="宋体" w:eastAsia="宋体" w:cs="宋体"/>
          <w:color w:val="auto"/>
        </w:rPr>
        <w:t>21</w:t>
      </w:r>
      <w:r>
        <w:rPr>
          <w:rFonts w:hint="eastAsia" w:ascii="宋体" w:hAnsi="宋体" w:eastAsia="宋体" w:cs="宋体"/>
          <w:color w:val="auto"/>
        </w:rPr>
        <w:fldChar w:fldCharType="end"/>
      </w:r>
      <w:r>
        <w:rPr>
          <w:rFonts w:hint="eastAsia" w:ascii="宋体" w:hAnsi="宋体" w:eastAsia="宋体" w:cs="宋体"/>
          <w:color w:val="auto"/>
          <w:highlight w:val="none"/>
        </w:rPr>
        <w:fldChar w:fldCharType="end"/>
      </w:r>
    </w:p>
    <w:p w14:paraId="104ADDF0">
      <w:pPr>
        <w:pStyle w:val="25"/>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_Toc2839 </w:instrText>
      </w:r>
      <w:r>
        <w:rPr>
          <w:rFonts w:hint="eastAsia" w:ascii="宋体" w:hAnsi="宋体" w:eastAsia="宋体" w:cs="宋体"/>
          <w:color w:val="auto"/>
          <w:highlight w:val="none"/>
        </w:rPr>
        <w:fldChar w:fldCharType="separate"/>
      </w:r>
      <w:r>
        <w:rPr>
          <w:rFonts w:hint="eastAsia" w:ascii="宋体" w:hAnsi="宋体" w:eastAsia="宋体" w:cs="宋体"/>
          <w:color w:val="auto"/>
          <w:lang w:val="en-US" w:eastAsia="zh-CN"/>
        </w:rPr>
        <w:t>16．中标候选人公示</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_Toc2839 \h </w:instrText>
      </w:r>
      <w:r>
        <w:rPr>
          <w:rFonts w:hint="eastAsia" w:ascii="宋体" w:hAnsi="宋体" w:eastAsia="宋体" w:cs="宋体"/>
          <w:color w:val="auto"/>
        </w:rPr>
        <w:fldChar w:fldCharType="separate"/>
      </w:r>
      <w:r>
        <w:rPr>
          <w:rFonts w:hint="eastAsia" w:ascii="宋体" w:hAnsi="宋体" w:eastAsia="宋体" w:cs="宋体"/>
          <w:color w:val="auto"/>
        </w:rPr>
        <w:t>32</w:t>
      </w:r>
      <w:r>
        <w:rPr>
          <w:rFonts w:hint="eastAsia" w:ascii="宋体" w:hAnsi="宋体" w:eastAsia="宋体" w:cs="宋体"/>
          <w:color w:val="auto"/>
        </w:rPr>
        <w:fldChar w:fldCharType="end"/>
      </w:r>
      <w:r>
        <w:rPr>
          <w:rFonts w:hint="eastAsia" w:ascii="宋体" w:hAnsi="宋体" w:eastAsia="宋体" w:cs="宋体"/>
          <w:color w:val="auto"/>
          <w:highlight w:val="none"/>
        </w:rPr>
        <w:fldChar w:fldCharType="end"/>
      </w:r>
    </w:p>
    <w:p w14:paraId="3C357389">
      <w:pPr>
        <w:pStyle w:val="25"/>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_Toc18979 </w:instrText>
      </w:r>
      <w:r>
        <w:rPr>
          <w:rFonts w:hint="eastAsia" w:ascii="宋体" w:hAnsi="宋体" w:eastAsia="宋体" w:cs="宋体"/>
          <w:color w:val="auto"/>
          <w:highlight w:val="none"/>
        </w:rPr>
        <w:fldChar w:fldCharType="separate"/>
      </w:r>
      <w:r>
        <w:rPr>
          <w:rFonts w:hint="eastAsia" w:ascii="宋体" w:hAnsi="宋体" w:eastAsia="宋体" w:cs="宋体"/>
          <w:color w:val="auto"/>
          <w:lang w:val="en-US" w:eastAsia="zh-CN"/>
        </w:rPr>
        <w:t>1．资格评审环节</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_Toc18979 \h </w:instrText>
      </w:r>
      <w:r>
        <w:rPr>
          <w:rFonts w:hint="eastAsia" w:ascii="宋体" w:hAnsi="宋体" w:eastAsia="宋体" w:cs="宋体"/>
          <w:color w:val="auto"/>
        </w:rPr>
        <w:fldChar w:fldCharType="separate"/>
      </w:r>
      <w:r>
        <w:rPr>
          <w:rFonts w:hint="eastAsia" w:ascii="宋体" w:hAnsi="宋体" w:eastAsia="宋体" w:cs="宋体"/>
          <w:color w:val="auto"/>
        </w:rPr>
        <w:t>33</w:t>
      </w:r>
      <w:r>
        <w:rPr>
          <w:rFonts w:hint="eastAsia" w:ascii="宋体" w:hAnsi="宋体" w:eastAsia="宋体" w:cs="宋体"/>
          <w:color w:val="auto"/>
        </w:rPr>
        <w:fldChar w:fldCharType="end"/>
      </w:r>
      <w:r>
        <w:rPr>
          <w:rFonts w:hint="eastAsia" w:ascii="宋体" w:hAnsi="宋体" w:eastAsia="宋体" w:cs="宋体"/>
          <w:color w:val="auto"/>
          <w:highlight w:val="none"/>
        </w:rPr>
        <w:fldChar w:fldCharType="end"/>
      </w:r>
    </w:p>
    <w:p w14:paraId="683CD7CA">
      <w:pPr>
        <w:pStyle w:val="25"/>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_Toc19719 </w:instrText>
      </w:r>
      <w:r>
        <w:rPr>
          <w:rFonts w:hint="eastAsia" w:ascii="宋体" w:hAnsi="宋体" w:eastAsia="宋体" w:cs="宋体"/>
          <w:color w:val="auto"/>
          <w:highlight w:val="none"/>
        </w:rPr>
        <w:fldChar w:fldCharType="separate"/>
      </w:r>
      <w:r>
        <w:rPr>
          <w:rFonts w:hint="eastAsia" w:ascii="宋体" w:hAnsi="宋体" w:eastAsia="宋体" w:cs="宋体"/>
          <w:color w:val="auto"/>
          <w:lang w:val="en-US" w:eastAsia="zh-CN"/>
        </w:rPr>
        <w:t>2．形式评审环节</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_Toc19719 \h </w:instrText>
      </w:r>
      <w:r>
        <w:rPr>
          <w:rFonts w:hint="eastAsia" w:ascii="宋体" w:hAnsi="宋体" w:eastAsia="宋体" w:cs="宋体"/>
          <w:color w:val="auto"/>
        </w:rPr>
        <w:fldChar w:fldCharType="separate"/>
      </w:r>
      <w:r>
        <w:rPr>
          <w:rFonts w:hint="eastAsia" w:ascii="宋体" w:hAnsi="宋体" w:eastAsia="宋体" w:cs="宋体"/>
          <w:color w:val="auto"/>
        </w:rPr>
        <w:t>34</w:t>
      </w:r>
      <w:r>
        <w:rPr>
          <w:rFonts w:hint="eastAsia" w:ascii="宋体" w:hAnsi="宋体" w:eastAsia="宋体" w:cs="宋体"/>
          <w:color w:val="auto"/>
        </w:rPr>
        <w:fldChar w:fldCharType="end"/>
      </w:r>
      <w:r>
        <w:rPr>
          <w:rFonts w:hint="eastAsia" w:ascii="宋体" w:hAnsi="宋体" w:eastAsia="宋体" w:cs="宋体"/>
          <w:color w:val="auto"/>
          <w:highlight w:val="none"/>
        </w:rPr>
        <w:fldChar w:fldCharType="end"/>
      </w:r>
    </w:p>
    <w:p w14:paraId="44FC4F28">
      <w:pPr>
        <w:pStyle w:val="25"/>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_Toc13299 </w:instrText>
      </w:r>
      <w:r>
        <w:rPr>
          <w:rFonts w:hint="eastAsia" w:ascii="宋体" w:hAnsi="宋体" w:eastAsia="宋体" w:cs="宋体"/>
          <w:color w:val="auto"/>
          <w:highlight w:val="none"/>
        </w:rPr>
        <w:fldChar w:fldCharType="separate"/>
      </w:r>
      <w:r>
        <w:rPr>
          <w:rFonts w:hint="eastAsia" w:ascii="宋体" w:hAnsi="宋体" w:eastAsia="宋体" w:cs="宋体"/>
          <w:color w:val="auto"/>
          <w:lang w:val="en-US" w:eastAsia="zh-CN"/>
        </w:rPr>
        <w:t>3．响应性评审环节</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_Toc13299 \h </w:instrText>
      </w:r>
      <w:r>
        <w:rPr>
          <w:rFonts w:hint="eastAsia" w:ascii="宋体" w:hAnsi="宋体" w:eastAsia="宋体" w:cs="宋体"/>
          <w:color w:val="auto"/>
        </w:rPr>
        <w:fldChar w:fldCharType="separate"/>
      </w:r>
      <w:r>
        <w:rPr>
          <w:rFonts w:hint="eastAsia" w:ascii="宋体" w:hAnsi="宋体" w:eastAsia="宋体" w:cs="宋体"/>
          <w:color w:val="auto"/>
        </w:rPr>
        <w:t>34</w:t>
      </w:r>
      <w:r>
        <w:rPr>
          <w:rFonts w:hint="eastAsia" w:ascii="宋体" w:hAnsi="宋体" w:eastAsia="宋体" w:cs="宋体"/>
          <w:color w:val="auto"/>
        </w:rPr>
        <w:fldChar w:fldCharType="end"/>
      </w:r>
      <w:r>
        <w:rPr>
          <w:rFonts w:hint="eastAsia" w:ascii="宋体" w:hAnsi="宋体" w:eastAsia="宋体" w:cs="宋体"/>
          <w:color w:val="auto"/>
          <w:highlight w:val="none"/>
        </w:rPr>
        <w:fldChar w:fldCharType="end"/>
      </w:r>
    </w:p>
    <w:p w14:paraId="5B3614CA">
      <w:pPr>
        <w:pStyle w:val="25"/>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_Toc24919 </w:instrText>
      </w:r>
      <w:r>
        <w:rPr>
          <w:rFonts w:hint="eastAsia" w:ascii="宋体" w:hAnsi="宋体" w:eastAsia="宋体" w:cs="宋体"/>
          <w:color w:val="auto"/>
          <w:highlight w:val="none"/>
        </w:rPr>
        <w:fldChar w:fldCharType="separate"/>
      </w:r>
      <w:r>
        <w:rPr>
          <w:rFonts w:hint="eastAsia" w:ascii="宋体" w:hAnsi="宋体" w:eastAsia="宋体" w:cs="宋体"/>
          <w:color w:val="auto"/>
          <w:lang w:val="en-US" w:eastAsia="zh-CN"/>
        </w:rPr>
        <w:t>4．其他</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_Toc24919 \h </w:instrText>
      </w:r>
      <w:r>
        <w:rPr>
          <w:rFonts w:hint="eastAsia" w:ascii="宋体" w:hAnsi="宋体" w:eastAsia="宋体" w:cs="宋体"/>
          <w:color w:val="auto"/>
        </w:rPr>
        <w:fldChar w:fldCharType="separate"/>
      </w:r>
      <w:r>
        <w:rPr>
          <w:rFonts w:hint="eastAsia" w:ascii="宋体" w:hAnsi="宋体" w:eastAsia="宋体" w:cs="宋体"/>
          <w:color w:val="auto"/>
        </w:rPr>
        <w:t>34</w:t>
      </w:r>
      <w:r>
        <w:rPr>
          <w:rFonts w:hint="eastAsia" w:ascii="宋体" w:hAnsi="宋体" w:eastAsia="宋体" w:cs="宋体"/>
          <w:color w:val="auto"/>
        </w:rPr>
        <w:fldChar w:fldCharType="end"/>
      </w:r>
      <w:r>
        <w:rPr>
          <w:rFonts w:hint="eastAsia" w:ascii="宋体" w:hAnsi="宋体" w:eastAsia="宋体" w:cs="宋体"/>
          <w:color w:val="auto"/>
          <w:highlight w:val="none"/>
        </w:rPr>
        <w:fldChar w:fldCharType="end"/>
      </w:r>
    </w:p>
    <w:p w14:paraId="075738EC">
      <w:pPr>
        <w:pStyle w:val="21"/>
        <w:keepNext w:val="0"/>
        <w:keepLines w:val="0"/>
        <w:pageBreakBefore w:val="0"/>
        <w:widowControl w:val="0"/>
        <w:tabs>
          <w:tab w:val="right" w:leader="dot" w:pos="8844"/>
        </w:tabs>
        <w:kinsoku/>
        <w:wordWrap/>
        <w:overflowPunct/>
        <w:topLinePunct w:val="0"/>
        <w:autoSpaceDE/>
        <w:autoSpaceDN/>
        <w:bidi w:val="0"/>
        <w:adjustRightInd/>
        <w:snapToGrid/>
        <w:spacing w:before="0" w:beforeLines="0" w:after="0" w:afterLines="0" w:line="360" w:lineRule="auto"/>
        <w:ind w:left="0"/>
        <w:jc w:val="center"/>
        <w:textAlignment w:val="auto"/>
        <w:rPr>
          <w:rFonts w:hint="eastAsia" w:ascii="宋体" w:hAnsi="宋体" w:eastAsia="宋体" w:cs="宋体"/>
          <w:color w:val="auto"/>
        </w:rPr>
      </w:pPr>
      <w:r>
        <w:rPr>
          <w:rFonts w:hint="eastAsia" w:ascii="宋体" w:hAnsi="宋体" w:eastAsia="宋体" w:cs="宋体"/>
          <w:b/>
          <w:bCs/>
          <w:color w:val="auto"/>
          <w:highlight w:val="none"/>
        </w:rPr>
        <w:fldChar w:fldCharType="begin"/>
      </w:r>
      <w:r>
        <w:rPr>
          <w:rFonts w:hint="eastAsia" w:ascii="宋体" w:hAnsi="宋体" w:eastAsia="宋体" w:cs="宋体"/>
          <w:b/>
          <w:bCs/>
          <w:color w:val="auto"/>
          <w:highlight w:val="none"/>
        </w:rPr>
        <w:instrText xml:space="preserve"> HYPERLINK \l _Toc24543 </w:instrText>
      </w:r>
      <w:r>
        <w:rPr>
          <w:rFonts w:hint="eastAsia" w:ascii="宋体" w:hAnsi="宋体" w:eastAsia="宋体" w:cs="宋体"/>
          <w:b/>
          <w:bCs/>
          <w:color w:val="auto"/>
          <w:highlight w:val="none"/>
        </w:rPr>
        <w:fldChar w:fldCharType="separate"/>
      </w:r>
      <w:r>
        <w:rPr>
          <w:rFonts w:hint="eastAsia" w:ascii="宋体" w:hAnsi="宋体" w:eastAsia="宋体" w:cs="宋体"/>
          <w:b/>
          <w:bCs/>
          <w:snapToGrid w:val="0"/>
          <w:color w:val="auto"/>
          <w:highlight w:val="none"/>
          <w:lang w:val="en-US" w:eastAsia="zh-CN"/>
        </w:rPr>
        <w:t>第二章 中标人须知</w:t>
      </w:r>
      <w:r>
        <w:rPr>
          <w:rFonts w:hint="eastAsia" w:ascii="宋体" w:hAnsi="宋体" w:eastAsia="宋体" w:cs="宋体"/>
          <w:b/>
          <w:bCs/>
          <w:color w:val="auto"/>
        </w:rPr>
        <w:tab/>
      </w:r>
      <w:r>
        <w:rPr>
          <w:rFonts w:hint="eastAsia" w:ascii="宋体" w:hAnsi="宋体" w:eastAsia="宋体" w:cs="宋体"/>
          <w:b/>
          <w:bCs/>
          <w:color w:val="auto"/>
        </w:rPr>
        <w:fldChar w:fldCharType="begin"/>
      </w:r>
      <w:r>
        <w:rPr>
          <w:rFonts w:hint="eastAsia" w:ascii="宋体" w:hAnsi="宋体" w:eastAsia="宋体" w:cs="宋体"/>
          <w:b/>
          <w:bCs/>
          <w:color w:val="auto"/>
        </w:rPr>
        <w:instrText xml:space="preserve"> PAGEREF _Toc24543 \h </w:instrText>
      </w:r>
      <w:r>
        <w:rPr>
          <w:rFonts w:hint="eastAsia" w:ascii="宋体" w:hAnsi="宋体" w:eastAsia="宋体" w:cs="宋体"/>
          <w:b/>
          <w:bCs/>
          <w:color w:val="auto"/>
        </w:rPr>
        <w:fldChar w:fldCharType="separate"/>
      </w:r>
      <w:r>
        <w:rPr>
          <w:rFonts w:hint="eastAsia" w:ascii="宋体" w:hAnsi="宋体" w:eastAsia="宋体" w:cs="宋体"/>
          <w:b/>
          <w:bCs/>
          <w:color w:val="auto"/>
        </w:rPr>
        <w:t>36</w:t>
      </w:r>
      <w:r>
        <w:rPr>
          <w:rFonts w:hint="eastAsia" w:ascii="宋体" w:hAnsi="宋体" w:eastAsia="宋体" w:cs="宋体"/>
          <w:b/>
          <w:bCs/>
          <w:color w:val="auto"/>
        </w:rPr>
        <w:fldChar w:fldCharType="end"/>
      </w:r>
      <w:r>
        <w:rPr>
          <w:rFonts w:hint="eastAsia" w:ascii="宋体" w:hAnsi="宋体" w:eastAsia="宋体" w:cs="宋体"/>
          <w:b/>
          <w:bCs/>
          <w:color w:val="auto"/>
          <w:highlight w:val="none"/>
        </w:rPr>
        <w:fldChar w:fldCharType="end"/>
      </w:r>
    </w:p>
    <w:p w14:paraId="15676B42">
      <w:pPr>
        <w:pStyle w:val="21"/>
        <w:keepNext w:val="0"/>
        <w:keepLines w:val="0"/>
        <w:pageBreakBefore w:val="0"/>
        <w:widowControl w:val="0"/>
        <w:tabs>
          <w:tab w:val="right" w:leader="dot" w:pos="8844"/>
        </w:tabs>
        <w:kinsoku/>
        <w:wordWrap/>
        <w:overflowPunct/>
        <w:topLinePunct w:val="0"/>
        <w:autoSpaceDE/>
        <w:autoSpaceDN/>
        <w:bidi w:val="0"/>
        <w:adjustRightInd/>
        <w:snapToGrid/>
        <w:spacing w:before="0" w:beforeLines="0" w:after="0" w:afterLines="0" w:line="360" w:lineRule="auto"/>
        <w:ind w:left="0"/>
        <w:jc w:val="center"/>
        <w:textAlignment w:val="auto"/>
        <w:rPr>
          <w:rFonts w:hint="eastAsia" w:ascii="宋体" w:hAnsi="宋体" w:eastAsia="宋体" w:cs="宋体"/>
          <w:color w:val="auto"/>
        </w:rPr>
      </w:pPr>
      <w:r>
        <w:rPr>
          <w:rFonts w:hint="eastAsia" w:ascii="宋体" w:hAnsi="宋体" w:eastAsia="宋体" w:cs="宋体"/>
          <w:b/>
          <w:bCs/>
          <w:color w:val="auto"/>
          <w:highlight w:val="none"/>
        </w:rPr>
        <w:fldChar w:fldCharType="begin"/>
      </w:r>
      <w:r>
        <w:rPr>
          <w:rFonts w:hint="eastAsia" w:ascii="宋体" w:hAnsi="宋体" w:eastAsia="宋体" w:cs="宋体"/>
          <w:b/>
          <w:bCs/>
          <w:color w:val="auto"/>
          <w:highlight w:val="none"/>
        </w:rPr>
        <w:instrText xml:space="preserve"> HYPERLINK \l _Toc24436 </w:instrText>
      </w:r>
      <w:r>
        <w:rPr>
          <w:rFonts w:hint="eastAsia" w:ascii="宋体" w:hAnsi="宋体" w:eastAsia="宋体" w:cs="宋体"/>
          <w:b/>
          <w:bCs/>
          <w:color w:val="auto"/>
          <w:highlight w:val="none"/>
        </w:rPr>
        <w:fldChar w:fldCharType="separate"/>
      </w:r>
      <w:r>
        <w:rPr>
          <w:rFonts w:hint="eastAsia" w:ascii="宋体" w:hAnsi="宋体" w:eastAsia="宋体" w:cs="宋体"/>
          <w:b/>
          <w:bCs/>
          <w:snapToGrid w:val="0"/>
          <w:color w:val="auto"/>
          <w:highlight w:val="none"/>
          <w:lang w:val="en-US" w:eastAsia="zh-CN"/>
        </w:rPr>
        <w:t>第三章 拟签订合同的主要条款</w:t>
      </w:r>
      <w:r>
        <w:rPr>
          <w:rFonts w:hint="eastAsia" w:ascii="宋体" w:hAnsi="宋体" w:eastAsia="宋体" w:cs="宋体"/>
          <w:b/>
          <w:bCs/>
          <w:color w:val="auto"/>
        </w:rPr>
        <w:tab/>
      </w:r>
      <w:r>
        <w:rPr>
          <w:rFonts w:hint="eastAsia" w:ascii="宋体" w:hAnsi="宋体" w:eastAsia="宋体" w:cs="宋体"/>
          <w:b/>
          <w:bCs/>
          <w:color w:val="auto"/>
        </w:rPr>
        <w:fldChar w:fldCharType="begin"/>
      </w:r>
      <w:r>
        <w:rPr>
          <w:rFonts w:hint="eastAsia" w:ascii="宋体" w:hAnsi="宋体" w:eastAsia="宋体" w:cs="宋体"/>
          <w:b/>
          <w:bCs/>
          <w:color w:val="auto"/>
        </w:rPr>
        <w:instrText xml:space="preserve"> PAGEREF _Toc24436 \h </w:instrText>
      </w:r>
      <w:r>
        <w:rPr>
          <w:rFonts w:hint="eastAsia" w:ascii="宋体" w:hAnsi="宋体" w:eastAsia="宋体" w:cs="宋体"/>
          <w:b/>
          <w:bCs/>
          <w:color w:val="auto"/>
        </w:rPr>
        <w:fldChar w:fldCharType="separate"/>
      </w:r>
      <w:r>
        <w:rPr>
          <w:rFonts w:hint="eastAsia" w:ascii="宋体" w:hAnsi="宋体" w:eastAsia="宋体" w:cs="宋体"/>
          <w:b/>
          <w:bCs/>
          <w:color w:val="auto"/>
        </w:rPr>
        <w:t>39</w:t>
      </w:r>
      <w:r>
        <w:rPr>
          <w:rFonts w:hint="eastAsia" w:ascii="宋体" w:hAnsi="宋体" w:eastAsia="宋体" w:cs="宋体"/>
          <w:b/>
          <w:bCs/>
          <w:color w:val="auto"/>
        </w:rPr>
        <w:fldChar w:fldCharType="end"/>
      </w:r>
      <w:r>
        <w:rPr>
          <w:rFonts w:hint="eastAsia" w:ascii="宋体" w:hAnsi="宋体" w:eastAsia="宋体" w:cs="宋体"/>
          <w:b/>
          <w:bCs/>
          <w:color w:val="auto"/>
          <w:highlight w:val="none"/>
        </w:rPr>
        <w:fldChar w:fldCharType="end"/>
      </w:r>
    </w:p>
    <w:p w14:paraId="42B78DE7">
      <w:pPr>
        <w:pStyle w:val="15"/>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_Toc28441 </w:instrText>
      </w:r>
      <w:r>
        <w:rPr>
          <w:rFonts w:hint="eastAsia" w:ascii="宋体" w:hAnsi="宋体" w:eastAsia="宋体" w:cs="宋体"/>
          <w:color w:val="auto"/>
          <w:highlight w:val="none"/>
        </w:rPr>
        <w:fldChar w:fldCharType="separate"/>
      </w:r>
      <w:r>
        <w:rPr>
          <w:rFonts w:hint="eastAsia" w:ascii="宋体" w:hAnsi="宋体" w:eastAsia="宋体" w:cs="宋体"/>
          <w:color w:val="auto"/>
        </w:rPr>
        <w:t>1．工程承包方式</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_Toc28441 \h </w:instrText>
      </w:r>
      <w:r>
        <w:rPr>
          <w:rFonts w:hint="eastAsia" w:ascii="宋体" w:hAnsi="宋体" w:eastAsia="宋体" w:cs="宋体"/>
          <w:color w:val="auto"/>
        </w:rPr>
        <w:fldChar w:fldCharType="separate"/>
      </w:r>
      <w:r>
        <w:rPr>
          <w:rFonts w:hint="eastAsia" w:ascii="宋体" w:hAnsi="宋体" w:eastAsia="宋体" w:cs="宋体"/>
          <w:color w:val="auto"/>
        </w:rPr>
        <w:t>39</w:t>
      </w:r>
      <w:r>
        <w:rPr>
          <w:rFonts w:hint="eastAsia" w:ascii="宋体" w:hAnsi="宋体" w:eastAsia="宋体" w:cs="宋体"/>
          <w:color w:val="auto"/>
        </w:rPr>
        <w:fldChar w:fldCharType="end"/>
      </w:r>
      <w:r>
        <w:rPr>
          <w:rFonts w:hint="eastAsia" w:ascii="宋体" w:hAnsi="宋体" w:eastAsia="宋体" w:cs="宋体"/>
          <w:color w:val="auto"/>
          <w:highlight w:val="none"/>
        </w:rPr>
        <w:fldChar w:fldCharType="end"/>
      </w:r>
    </w:p>
    <w:p w14:paraId="0972CB18">
      <w:pPr>
        <w:pStyle w:val="15"/>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_Toc27001 </w:instrText>
      </w:r>
      <w:r>
        <w:rPr>
          <w:rFonts w:hint="eastAsia" w:ascii="宋体" w:hAnsi="宋体" w:eastAsia="宋体" w:cs="宋体"/>
          <w:color w:val="auto"/>
          <w:highlight w:val="none"/>
        </w:rPr>
        <w:fldChar w:fldCharType="separate"/>
      </w:r>
      <w:r>
        <w:rPr>
          <w:rFonts w:hint="eastAsia" w:ascii="宋体" w:hAnsi="宋体" w:eastAsia="宋体" w:cs="宋体"/>
          <w:color w:val="auto"/>
        </w:rPr>
        <w:t>2．工程结算原则</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_Toc27001 \h </w:instrText>
      </w:r>
      <w:r>
        <w:rPr>
          <w:rFonts w:hint="eastAsia" w:ascii="宋体" w:hAnsi="宋体" w:eastAsia="宋体" w:cs="宋体"/>
          <w:color w:val="auto"/>
        </w:rPr>
        <w:fldChar w:fldCharType="separate"/>
      </w:r>
      <w:r>
        <w:rPr>
          <w:rFonts w:hint="eastAsia" w:ascii="宋体" w:hAnsi="宋体" w:eastAsia="宋体" w:cs="宋体"/>
          <w:color w:val="auto"/>
        </w:rPr>
        <w:t>39</w:t>
      </w:r>
      <w:r>
        <w:rPr>
          <w:rFonts w:hint="eastAsia" w:ascii="宋体" w:hAnsi="宋体" w:eastAsia="宋体" w:cs="宋体"/>
          <w:color w:val="auto"/>
        </w:rPr>
        <w:fldChar w:fldCharType="end"/>
      </w:r>
      <w:r>
        <w:rPr>
          <w:rFonts w:hint="eastAsia" w:ascii="宋体" w:hAnsi="宋体" w:eastAsia="宋体" w:cs="宋体"/>
          <w:color w:val="auto"/>
          <w:highlight w:val="none"/>
        </w:rPr>
        <w:fldChar w:fldCharType="end"/>
      </w:r>
    </w:p>
    <w:p w14:paraId="59B7DE34">
      <w:pPr>
        <w:pStyle w:val="15"/>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_Toc26653 </w:instrText>
      </w:r>
      <w:r>
        <w:rPr>
          <w:rFonts w:hint="eastAsia" w:ascii="宋体" w:hAnsi="宋体" w:eastAsia="宋体" w:cs="宋体"/>
          <w:color w:val="auto"/>
          <w:highlight w:val="none"/>
        </w:rPr>
        <w:fldChar w:fldCharType="separate"/>
      </w:r>
      <w:r>
        <w:rPr>
          <w:rFonts w:hint="eastAsia" w:ascii="宋体" w:hAnsi="宋体" w:eastAsia="宋体" w:cs="宋体"/>
          <w:color w:val="auto"/>
        </w:rPr>
        <w:t>3. 工程付款办法</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_Toc26653 \h </w:instrText>
      </w:r>
      <w:r>
        <w:rPr>
          <w:rFonts w:hint="eastAsia" w:ascii="宋体" w:hAnsi="宋体" w:eastAsia="宋体" w:cs="宋体"/>
          <w:color w:val="auto"/>
        </w:rPr>
        <w:fldChar w:fldCharType="separate"/>
      </w:r>
      <w:r>
        <w:rPr>
          <w:rFonts w:hint="eastAsia" w:ascii="宋体" w:hAnsi="宋体" w:eastAsia="宋体" w:cs="宋体"/>
          <w:color w:val="auto"/>
        </w:rPr>
        <w:t>44</w:t>
      </w:r>
      <w:r>
        <w:rPr>
          <w:rFonts w:hint="eastAsia" w:ascii="宋体" w:hAnsi="宋体" w:eastAsia="宋体" w:cs="宋体"/>
          <w:color w:val="auto"/>
        </w:rPr>
        <w:fldChar w:fldCharType="end"/>
      </w:r>
      <w:r>
        <w:rPr>
          <w:rFonts w:hint="eastAsia" w:ascii="宋体" w:hAnsi="宋体" w:eastAsia="宋体" w:cs="宋体"/>
          <w:color w:val="auto"/>
          <w:highlight w:val="none"/>
        </w:rPr>
        <w:fldChar w:fldCharType="end"/>
      </w:r>
    </w:p>
    <w:p w14:paraId="0ECE95F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lang w:val="en-US" w:eastAsia="zh-CN"/>
        </w:rPr>
      </w:pPr>
      <w:r>
        <w:rPr>
          <w:rFonts w:hint="eastAsia" w:ascii="宋体" w:hAnsi="宋体" w:eastAsia="宋体" w:cs="宋体"/>
          <w:color w:val="auto"/>
          <w:lang w:val="en-US" w:eastAsia="zh-CN"/>
        </w:rPr>
        <w:t>4．其他专用合同条款....................................................47</w:t>
      </w:r>
    </w:p>
    <w:p w14:paraId="726D6F5C">
      <w:pPr>
        <w:pStyle w:val="21"/>
        <w:keepNext w:val="0"/>
        <w:keepLines w:val="0"/>
        <w:pageBreakBefore w:val="0"/>
        <w:widowControl w:val="0"/>
        <w:tabs>
          <w:tab w:val="right" w:leader="dot" w:pos="8844"/>
        </w:tabs>
        <w:kinsoku/>
        <w:wordWrap/>
        <w:overflowPunct/>
        <w:topLinePunct w:val="0"/>
        <w:autoSpaceDE/>
        <w:autoSpaceDN/>
        <w:bidi w:val="0"/>
        <w:adjustRightInd/>
        <w:snapToGrid/>
        <w:spacing w:before="0" w:beforeLines="0" w:after="0" w:afterLines="0" w:line="360" w:lineRule="auto"/>
        <w:jc w:val="center"/>
        <w:textAlignment w:val="auto"/>
        <w:rPr>
          <w:rFonts w:hint="eastAsia" w:ascii="宋体" w:hAnsi="宋体" w:eastAsia="宋体" w:cs="宋体"/>
          <w:b/>
          <w:bCs/>
          <w:color w:val="auto"/>
        </w:rPr>
      </w:pPr>
      <w:r>
        <w:rPr>
          <w:rFonts w:hint="eastAsia" w:ascii="宋体" w:hAnsi="宋体" w:eastAsia="宋体" w:cs="宋体"/>
          <w:b/>
          <w:bCs/>
          <w:color w:val="auto"/>
          <w:highlight w:val="none"/>
        </w:rPr>
        <w:fldChar w:fldCharType="begin"/>
      </w:r>
      <w:r>
        <w:rPr>
          <w:rFonts w:hint="eastAsia" w:ascii="宋体" w:hAnsi="宋体" w:eastAsia="宋体" w:cs="宋体"/>
          <w:b/>
          <w:bCs/>
          <w:color w:val="auto"/>
          <w:highlight w:val="none"/>
        </w:rPr>
        <w:instrText xml:space="preserve"> HYPERLINK \l _Toc9687 </w:instrText>
      </w:r>
      <w:r>
        <w:rPr>
          <w:rFonts w:hint="eastAsia" w:ascii="宋体" w:hAnsi="宋体" w:eastAsia="宋体" w:cs="宋体"/>
          <w:b/>
          <w:bCs/>
          <w:color w:val="auto"/>
          <w:highlight w:val="none"/>
        </w:rPr>
        <w:fldChar w:fldCharType="separate"/>
      </w:r>
      <w:r>
        <w:rPr>
          <w:rFonts w:hint="eastAsia" w:ascii="宋体" w:hAnsi="宋体" w:eastAsia="宋体" w:cs="宋体"/>
          <w:b/>
          <w:bCs/>
          <w:snapToGrid w:val="0"/>
          <w:color w:val="auto"/>
          <w:highlight w:val="none"/>
          <w:lang w:val="en-US" w:eastAsia="zh-CN"/>
        </w:rPr>
        <w:t>第四章 技术要求</w:t>
      </w:r>
      <w:r>
        <w:rPr>
          <w:rFonts w:hint="eastAsia" w:ascii="宋体" w:hAnsi="宋体" w:eastAsia="宋体" w:cs="宋体"/>
          <w:b/>
          <w:bCs/>
          <w:color w:val="auto"/>
        </w:rPr>
        <w:tab/>
      </w:r>
      <w:r>
        <w:rPr>
          <w:rFonts w:hint="eastAsia" w:ascii="宋体" w:hAnsi="宋体" w:eastAsia="宋体" w:cs="宋体"/>
          <w:b/>
          <w:bCs/>
          <w:color w:val="auto"/>
        </w:rPr>
        <w:fldChar w:fldCharType="begin"/>
      </w:r>
      <w:r>
        <w:rPr>
          <w:rFonts w:hint="eastAsia" w:ascii="宋体" w:hAnsi="宋体" w:eastAsia="宋体" w:cs="宋体"/>
          <w:b/>
          <w:bCs/>
          <w:color w:val="auto"/>
        </w:rPr>
        <w:instrText xml:space="preserve"> PAGEREF _Toc9687 \h </w:instrText>
      </w:r>
      <w:r>
        <w:rPr>
          <w:rFonts w:hint="eastAsia" w:ascii="宋体" w:hAnsi="宋体" w:eastAsia="宋体" w:cs="宋体"/>
          <w:b/>
          <w:bCs/>
          <w:color w:val="auto"/>
        </w:rPr>
        <w:fldChar w:fldCharType="separate"/>
      </w:r>
      <w:r>
        <w:rPr>
          <w:rFonts w:hint="eastAsia" w:ascii="宋体" w:hAnsi="宋体" w:eastAsia="宋体" w:cs="宋体"/>
          <w:b/>
          <w:bCs/>
          <w:color w:val="auto"/>
        </w:rPr>
        <w:t>53</w:t>
      </w:r>
      <w:r>
        <w:rPr>
          <w:rFonts w:hint="eastAsia" w:ascii="宋体" w:hAnsi="宋体" w:eastAsia="宋体" w:cs="宋体"/>
          <w:b/>
          <w:bCs/>
          <w:color w:val="auto"/>
        </w:rPr>
        <w:fldChar w:fldCharType="end"/>
      </w:r>
      <w:r>
        <w:rPr>
          <w:rFonts w:hint="eastAsia" w:ascii="宋体" w:hAnsi="宋体" w:eastAsia="宋体" w:cs="宋体"/>
          <w:b/>
          <w:bCs/>
          <w:color w:val="auto"/>
          <w:highlight w:val="none"/>
        </w:rPr>
        <w:fldChar w:fldCharType="end"/>
      </w:r>
    </w:p>
    <w:p w14:paraId="138A42A6">
      <w:pPr>
        <w:pStyle w:val="21"/>
        <w:keepNext w:val="0"/>
        <w:keepLines w:val="0"/>
        <w:pageBreakBefore w:val="0"/>
        <w:widowControl w:val="0"/>
        <w:tabs>
          <w:tab w:val="right" w:leader="dot" w:pos="8844"/>
        </w:tabs>
        <w:kinsoku/>
        <w:wordWrap/>
        <w:overflowPunct/>
        <w:topLinePunct w:val="0"/>
        <w:autoSpaceDE/>
        <w:autoSpaceDN/>
        <w:bidi w:val="0"/>
        <w:adjustRightInd/>
        <w:snapToGrid/>
        <w:spacing w:before="0" w:beforeLines="0" w:after="0" w:afterLines="0" w:line="360" w:lineRule="auto"/>
        <w:ind w:left="0"/>
        <w:jc w:val="center"/>
        <w:textAlignment w:val="auto"/>
        <w:rPr>
          <w:rFonts w:hint="eastAsia" w:ascii="宋体" w:hAnsi="宋体" w:eastAsia="宋体" w:cs="宋体"/>
          <w:color w:val="auto"/>
        </w:rPr>
      </w:pPr>
      <w:r>
        <w:rPr>
          <w:rFonts w:hint="eastAsia" w:ascii="宋体" w:hAnsi="宋体" w:eastAsia="宋体" w:cs="宋体"/>
          <w:b/>
          <w:bCs/>
          <w:color w:val="auto"/>
          <w:highlight w:val="none"/>
        </w:rPr>
        <w:fldChar w:fldCharType="begin"/>
      </w:r>
      <w:r>
        <w:rPr>
          <w:rFonts w:hint="eastAsia" w:ascii="宋体" w:hAnsi="宋体" w:eastAsia="宋体" w:cs="宋体"/>
          <w:b/>
          <w:bCs/>
          <w:color w:val="auto"/>
          <w:highlight w:val="none"/>
        </w:rPr>
        <w:instrText xml:space="preserve"> HYPERLINK \l _Toc10987 </w:instrText>
      </w:r>
      <w:r>
        <w:rPr>
          <w:rFonts w:hint="eastAsia" w:ascii="宋体" w:hAnsi="宋体" w:eastAsia="宋体" w:cs="宋体"/>
          <w:b/>
          <w:bCs/>
          <w:color w:val="auto"/>
          <w:highlight w:val="none"/>
        </w:rPr>
        <w:fldChar w:fldCharType="separate"/>
      </w:r>
      <w:r>
        <w:rPr>
          <w:rFonts w:hint="eastAsia" w:ascii="宋体" w:hAnsi="宋体" w:eastAsia="宋体" w:cs="宋体"/>
          <w:b/>
          <w:bCs/>
          <w:snapToGrid w:val="0"/>
          <w:color w:val="auto"/>
          <w:highlight w:val="none"/>
          <w:lang w:val="en-US" w:eastAsia="zh-CN"/>
        </w:rPr>
        <w:t>第五章 图纸和招标工程量清单</w:t>
      </w:r>
      <w:r>
        <w:rPr>
          <w:rFonts w:hint="eastAsia" w:ascii="宋体" w:hAnsi="宋体" w:eastAsia="宋体" w:cs="宋体"/>
          <w:b/>
          <w:bCs/>
          <w:color w:val="auto"/>
        </w:rPr>
        <w:tab/>
      </w:r>
      <w:r>
        <w:rPr>
          <w:rFonts w:hint="eastAsia" w:ascii="宋体" w:hAnsi="宋体" w:eastAsia="宋体" w:cs="宋体"/>
          <w:b/>
          <w:bCs/>
          <w:color w:val="auto"/>
        </w:rPr>
        <w:fldChar w:fldCharType="begin"/>
      </w:r>
      <w:r>
        <w:rPr>
          <w:rFonts w:hint="eastAsia" w:ascii="宋体" w:hAnsi="宋体" w:eastAsia="宋体" w:cs="宋体"/>
          <w:b/>
          <w:bCs/>
          <w:color w:val="auto"/>
        </w:rPr>
        <w:instrText xml:space="preserve"> PAGEREF _Toc10987 \h </w:instrText>
      </w:r>
      <w:r>
        <w:rPr>
          <w:rFonts w:hint="eastAsia" w:ascii="宋体" w:hAnsi="宋体" w:eastAsia="宋体" w:cs="宋体"/>
          <w:b/>
          <w:bCs/>
          <w:color w:val="auto"/>
        </w:rPr>
        <w:fldChar w:fldCharType="separate"/>
      </w:r>
      <w:r>
        <w:rPr>
          <w:rFonts w:hint="eastAsia" w:ascii="宋体" w:hAnsi="宋体" w:eastAsia="宋体" w:cs="宋体"/>
          <w:b/>
          <w:bCs/>
          <w:color w:val="auto"/>
        </w:rPr>
        <w:t>55</w:t>
      </w:r>
      <w:r>
        <w:rPr>
          <w:rFonts w:hint="eastAsia" w:ascii="宋体" w:hAnsi="宋体" w:eastAsia="宋体" w:cs="宋体"/>
          <w:b/>
          <w:bCs/>
          <w:color w:val="auto"/>
        </w:rPr>
        <w:fldChar w:fldCharType="end"/>
      </w:r>
      <w:r>
        <w:rPr>
          <w:rFonts w:hint="eastAsia" w:ascii="宋体" w:hAnsi="宋体" w:eastAsia="宋体" w:cs="宋体"/>
          <w:b/>
          <w:bCs/>
          <w:color w:val="auto"/>
          <w:highlight w:val="none"/>
        </w:rPr>
        <w:fldChar w:fldCharType="end"/>
      </w:r>
    </w:p>
    <w:p w14:paraId="3EF7BD92">
      <w:pPr>
        <w:pStyle w:val="15"/>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_Toc28153 </w:instrText>
      </w:r>
      <w:r>
        <w:rPr>
          <w:rFonts w:hint="eastAsia" w:ascii="宋体" w:hAnsi="宋体" w:eastAsia="宋体" w:cs="宋体"/>
          <w:color w:val="auto"/>
          <w:highlight w:val="none"/>
        </w:rPr>
        <w:fldChar w:fldCharType="separate"/>
      </w:r>
      <w:r>
        <w:rPr>
          <w:rFonts w:hint="eastAsia" w:ascii="宋体" w:hAnsi="宋体" w:eastAsia="宋体" w:cs="宋体"/>
          <w:color w:val="auto"/>
        </w:rPr>
        <w:t>1．图纸</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_Toc28153 \h </w:instrText>
      </w:r>
      <w:r>
        <w:rPr>
          <w:rFonts w:hint="eastAsia" w:ascii="宋体" w:hAnsi="宋体" w:eastAsia="宋体" w:cs="宋体"/>
          <w:color w:val="auto"/>
        </w:rPr>
        <w:fldChar w:fldCharType="separate"/>
      </w:r>
      <w:r>
        <w:rPr>
          <w:rFonts w:hint="eastAsia" w:ascii="宋体" w:hAnsi="宋体" w:eastAsia="宋体" w:cs="宋体"/>
          <w:color w:val="auto"/>
        </w:rPr>
        <w:t>55</w:t>
      </w:r>
      <w:r>
        <w:rPr>
          <w:rFonts w:hint="eastAsia" w:ascii="宋体" w:hAnsi="宋体" w:eastAsia="宋体" w:cs="宋体"/>
          <w:color w:val="auto"/>
        </w:rPr>
        <w:fldChar w:fldCharType="end"/>
      </w:r>
      <w:r>
        <w:rPr>
          <w:rFonts w:hint="eastAsia" w:ascii="宋体" w:hAnsi="宋体" w:eastAsia="宋体" w:cs="宋体"/>
          <w:color w:val="auto"/>
          <w:highlight w:val="none"/>
        </w:rPr>
        <w:fldChar w:fldCharType="end"/>
      </w:r>
    </w:p>
    <w:p w14:paraId="64159BB4">
      <w:pPr>
        <w:pStyle w:val="15"/>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_Toc14740 </w:instrText>
      </w:r>
      <w:r>
        <w:rPr>
          <w:rFonts w:hint="eastAsia" w:ascii="宋体" w:hAnsi="宋体" w:eastAsia="宋体" w:cs="宋体"/>
          <w:color w:val="auto"/>
          <w:highlight w:val="none"/>
        </w:rPr>
        <w:fldChar w:fldCharType="separate"/>
      </w:r>
      <w:r>
        <w:rPr>
          <w:rFonts w:hint="eastAsia" w:ascii="宋体" w:hAnsi="宋体" w:eastAsia="宋体" w:cs="宋体"/>
          <w:color w:val="auto"/>
        </w:rPr>
        <w:t>2．招标工程量清单</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_Toc14740 \h </w:instrText>
      </w:r>
      <w:r>
        <w:rPr>
          <w:rFonts w:hint="eastAsia" w:ascii="宋体" w:hAnsi="宋体" w:eastAsia="宋体" w:cs="宋体"/>
          <w:color w:val="auto"/>
        </w:rPr>
        <w:fldChar w:fldCharType="separate"/>
      </w:r>
      <w:r>
        <w:rPr>
          <w:rFonts w:hint="eastAsia" w:ascii="宋体" w:hAnsi="宋体" w:eastAsia="宋体" w:cs="宋体"/>
          <w:color w:val="auto"/>
        </w:rPr>
        <w:t>55</w:t>
      </w:r>
      <w:r>
        <w:rPr>
          <w:rFonts w:hint="eastAsia" w:ascii="宋体" w:hAnsi="宋体" w:eastAsia="宋体" w:cs="宋体"/>
          <w:color w:val="auto"/>
        </w:rPr>
        <w:fldChar w:fldCharType="end"/>
      </w:r>
      <w:r>
        <w:rPr>
          <w:rFonts w:hint="eastAsia" w:ascii="宋体" w:hAnsi="宋体" w:eastAsia="宋体" w:cs="宋体"/>
          <w:color w:val="auto"/>
          <w:highlight w:val="none"/>
        </w:rPr>
        <w:fldChar w:fldCharType="end"/>
      </w:r>
    </w:p>
    <w:p w14:paraId="76D38419">
      <w:pPr>
        <w:pStyle w:val="21"/>
        <w:keepNext w:val="0"/>
        <w:keepLines w:val="0"/>
        <w:pageBreakBefore w:val="0"/>
        <w:widowControl w:val="0"/>
        <w:tabs>
          <w:tab w:val="right" w:leader="dot" w:pos="8844"/>
        </w:tabs>
        <w:kinsoku/>
        <w:wordWrap/>
        <w:overflowPunct/>
        <w:topLinePunct w:val="0"/>
        <w:autoSpaceDE/>
        <w:autoSpaceDN/>
        <w:bidi w:val="0"/>
        <w:adjustRightInd/>
        <w:snapToGrid/>
        <w:spacing w:before="0" w:beforeLines="0" w:after="0" w:afterLines="0" w:line="360" w:lineRule="auto"/>
        <w:ind w:left="0"/>
        <w:jc w:val="center"/>
        <w:textAlignment w:val="auto"/>
        <w:rPr>
          <w:rFonts w:hint="eastAsia" w:ascii="宋体" w:hAnsi="宋体" w:eastAsia="宋体" w:cs="宋体"/>
          <w:color w:val="auto"/>
        </w:rPr>
      </w:pPr>
      <w:r>
        <w:rPr>
          <w:rFonts w:hint="eastAsia" w:ascii="宋体" w:hAnsi="宋体" w:eastAsia="宋体" w:cs="宋体"/>
          <w:b/>
          <w:bCs/>
          <w:color w:val="auto"/>
          <w:highlight w:val="none"/>
        </w:rPr>
        <w:fldChar w:fldCharType="begin"/>
      </w:r>
      <w:r>
        <w:rPr>
          <w:rFonts w:hint="eastAsia" w:ascii="宋体" w:hAnsi="宋体" w:eastAsia="宋体" w:cs="宋体"/>
          <w:b/>
          <w:bCs/>
          <w:color w:val="auto"/>
          <w:highlight w:val="none"/>
        </w:rPr>
        <w:instrText xml:space="preserve"> HYPERLINK \l _Toc16415 </w:instrText>
      </w:r>
      <w:r>
        <w:rPr>
          <w:rFonts w:hint="eastAsia" w:ascii="宋体" w:hAnsi="宋体" w:eastAsia="宋体" w:cs="宋体"/>
          <w:b/>
          <w:bCs/>
          <w:color w:val="auto"/>
          <w:highlight w:val="none"/>
        </w:rPr>
        <w:fldChar w:fldCharType="separate"/>
      </w:r>
      <w:r>
        <w:rPr>
          <w:rFonts w:hint="eastAsia" w:ascii="宋体" w:hAnsi="宋体" w:eastAsia="宋体" w:cs="宋体"/>
          <w:b/>
          <w:bCs/>
          <w:snapToGrid w:val="0"/>
          <w:color w:val="auto"/>
          <w:highlight w:val="none"/>
          <w:lang w:val="en-US" w:eastAsia="zh-CN"/>
        </w:rPr>
        <w:t>第六章 投标文件格式</w:t>
      </w:r>
      <w:r>
        <w:rPr>
          <w:rFonts w:hint="eastAsia" w:ascii="宋体" w:hAnsi="宋体" w:eastAsia="宋体" w:cs="宋体"/>
          <w:b/>
          <w:bCs/>
          <w:color w:val="auto"/>
        </w:rPr>
        <w:tab/>
      </w:r>
      <w:r>
        <w:rPr>
          <w:rFonts w:hint="eastAsia" w:ascii="宋体" w:hAnsi="宋体" w:eastAsia="宋体" w:cs="宋体"/>
          <w:b/>
          <w:bCs/>
          <w:color w:val="auto"/>
        </w:rPr>
        <w:fldChar w:fldCharType="begin"/>
      </w:r>
      <w:r>
        <w:rPr>
          <w:rFonts w:hint="eastAsia" w:ascii="宋体" w:hAnsi="宋体" w:eastAsia="宋体" w:cs="宋体"/>
          <w:b/>
          <w:bCs/>
          <w:color w:val="auto"/>
        </w:rPr>
        <w:instrText xml:space="preserve"> PAGEREF _Toc16415 \h </w:instrText>
      </w:r>
      <w:r>
        <w:rPr>
          <w:rFonts w:hint="eastAsia" w:ascii="宋体" w:hAnsi="宋体" w:eastAsia="宋体" w:cs="宋体"/>
          <w:b/>
          <w:bCs/>
          <w:color w:val="auto"/>
        </w:rPr>
        <w:fldChar w:fldCharType="separate"/>
      </w:r>
      <w:r>
        <w:rPr>
          <w:rFonts w:hint="eastAsia" w:ascii="宋体" w:hAnsi="宋体" w:eastAsia="宋体" w:cs="宋体"/>
          <w:b/>
          <w:bCs/>
          <w:color w:val="auto"/>
        </w:rPr>
        <w:t>56</w:t>
      </w:r>
      <w:r>
        <w:rPr>
          <w:rFonts w:hint="eastAsia" w:ascii="宋体" w:hAnsi="宋体" w:eastAsia="宋体" w:cs="宋体"/>
          <w:b/>
          <w:bCs/>
          <w:color w:val="auto"/>
        </w:rPr>
        <w:fldChar w:fldCharType="end"/>
      </w:r>
      <w:r>
        <w:rPr>
          <w:rFonts w:hint="eastAsia" w:ascii="宋体" w:hAnsi="宋体" w:eastAsia="宋体" w:cs="宋体"/>
          <w:b/>
          <w:bCs/>
          <w:color w:val="auto"/>
          <w:highlight w:val="none"/>
        </w:rPr>
        <w:fldChar w:fldCharType="end"/>
      </w:r>
    </w:p>
    <w:p w14:paraId="2EBB9D7C">
      <w:pPr>
        <w:pStyle w:val="15"/>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_Toc14677 </w:instrText>
      </w:r>
      <w:r>
        <w:rPr>
          <w:rFonts w:hint="eastAsia" w:ascii="宋体" w:hAnsi="宋体" w:eastAsia="宋体" w:cs="宋体"/>
          <w:color w:val="auto"/>
          <w:highlight w:val="none"/>
        </w:rPr>
        <w:fldChar w:fldCharType="separate"/>
      </w:r>
      <w:r>
        <w:rPr>
          <w:rFonts w:hint="eastAsia" w:ascii="宋体" w:hAnsi="宋体" w:eastAsia="宋体" w:cs="宋体"/>
          <w:color w:val="auto"/>
        </w:rPr>
        <w:t>格式一 封面</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_Toc14677 \h </w:instrText>
      </w:r>
      <w:r>
        <w:rPr>
          <w:rFonts w:hint="eastAsia" w:ascii="宋体" w:hAnsi="宋体" w:eastAsia="宋体" w:cs="宋体"/>
          <w:color w:val="auto"/>
        </w:rPr>
        <w:fldChar w:fldCharType="separate"/>
      </w:r>
      <w:r>
        <w:rPr>
          <w:rFonts w:hint="eastAsia" w:ascii="宋体" w:hAnsi="宋体" w:eastAsia="宋体" w:cs="宋体"/>
          <w:color w:val="auto"/>
        </w:rPr>
        <w:t>56</w:t>
      </w:r>
      <w:r>
        <w:rPr>
          <w:rFonts w:hint="eastAsia" w:ascii="宋体" w:hAnsi="宋体" w:eastAsia="宋体" w:cs="宋体"/>
          <w:color w:val="auto"/>
        </w:rPr>
        <w:fldChar w:fldCharType="end"/>
      </w:r>
      <w:r>
        <w:rPr>
          <w:rFonts w:hint="eastAsia" w:ascii="宋体" w:hAnsi="宋体" w:eastAsia="宋体" w:cs="宋体"/>
          <w:color w:val="auto"/>
          <w:highlight w:val="none"/>
        </w:rPr>
        <w:fldChar w:fldCharType="end"/>
      </w:r>
    </w:p>
    <w:p w14:paraId="6131E538">
      <w:pPr>
        <w:pStyle w:val="15"/>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_Toc3166 </w:instrText>
      </w:r>
      <w:r>
        <w:rPr>
          <w:rFonts w:hint="eastAsia" w:ascii="宋体" w:hAnsi="宋体" w:eastAsia="宋体" w:cs="宋体"/>
          <w:color w:val="auto"/>
          <w:highlight w:val="none"/>
        </w:rPr>
        <w:fldChar w:fldCharType="separate"/>
      </w:r>
      <w:r>
        <w:rPr>
          <w:rFonts w:hint="eastAsia" w:ascii="宋体" w:hAnsi="宋体" w:eastAsia="宋体" w:cs="宋体"/>
          <w:color w:val="auto"/>
        </w:rPr>
        <w:t>格式二 投标函</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_Toc3166 \h </w:instrText>
      </w:r>
      <w:r>
        <w:rPr>
          <w:rFonts w:hint="eastAsia" w:ascii="宋体" w:hAnsi="宋体" w:eastAsia="宋体" w:cs="宋体"/>
          <w:color w:val="auto"/>
        </w:rPr>
        <w:fldChar w:fldCharType="separate"/>
      </w:r>
      <w:r>
        <w:rPr>
          <w:rFonts w:hint="eastAsia" w:ascii="宋体" w:hAnsi="宋体" w:eastAsia="宋体" w:cs="宋体"/>
          <w:color w:val="auto"/>
        </w:rPr>
        <w:t>57</w:t>
      </w:r>
      <w:r>
        <w:rPr>
          <w:rFonts w:hint="eastAsia" w:ascii="宋体" w:hAnsi="宋体" w:eastAsia="宋体" w:cs="宋体"/>
          <w:color w:val="auto"/>
        </w:rPr>
        <w:fldChar w:fldCharType="end"/>
      </w:r>
      <w:r>
        <w:rPr>
          <w:rFonts w:hint="eastAsia" w:ascii="宋体" w:hAnsi="宋体" w:eastAsia="宋体" w:cs="宋体"/>
          <w:color w:val="auto"/>
          <w:highlight w:val="none"/>
        </w:rPr>
        <w:fldChar w:fldCharType="end"/>
      </w:r>
    </w:p>
    <w:p w14:paraId="1316D938">
      <w:pPr>
        <w:pStyle w:val="15"/>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_Toc26367 </w:instrText>
      </w:r>
      <w:r>
        <w:rPr>
          <w:rFonts w:hint="eastAsia" w:ascii="宋体" w:hAnsi="宋体" w:eastAsia="宋体" w:cs="宋体"/>
          <w:color w:val="auto"/>
          <w:highlight w:val="none"/>
        </w:rPr>
        <w:fldChar w:fldCharType="separate"/>
      </w:r>
      <w:r>
        <w:rPr>
          <w:rFonts w:hint="eastAsia" w:ascii="宋体" w:hAnsi="宋体" w:eastAsia="宋体" w:cs="宋体"/>
          <w:color w:val="auto"/>
        </w:rPr>
        <w:t>格式三 各项承诺一览表</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_Toc26367 \h </w:instrText>
      </w:r>
      <w:r>
        <w:rPr>
          <w:rFonts w:hint="eastAsia" w:ascii="宋体" w:hAnsi="宋体" w:eastAsia="宋体" w:cs="宋体"/>
          <w:color w:val="auto"/>
        </w:rPr>
        <w:fldChar w:fldCharType="separate"/>
      </w:r>
      <w:r>
        <w:rPr>
          <w:rFonts w:hint="eastAsia" w:ascii="宋体" w:hAnsi="宋体" w:eastAsia="宋体" w:cs="宋体"/>
          <w:color w:val="auto"/>
        </w:rPr>
        <w:t>58</w:t>
      </w:r>
      <w:r>
        <w:rPr>
          <w:rFonts w:hint="eastAsia" w:ascii="宋体" w:hAnsi="宋体" w:eastAsia="宋体" w:cs="宋体"/>
          <w:color w:val="auto"/>
        </w:rPr>
        <w:fldChar w:fldCharType="end"/>
      </w:r>
      <w:r>
        <w:rPr>
          <w:rFonts w:hint="eastAsia" w:ascii="宋体" w:hAnsi="宋体" w:eastAsia="宋体" w:cs="宋体"/>
          <w:color w:val="auto"/>
          <w:highlight w:val="none"/>
        </w:rPr>
        <w:fldChar w:fldCharType="end"/>
      </w:r>
    </w:p>
    <w:p w14:paraId="04FB25E5">
      <w:pPr>
        <w:pStyle w:val="15"/>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_Toc1822 </w:instrText>
      </w:r>
      <w:r>
        <w:rPr>
          <w:rFonts w:hint="eastAsia" w:ascii="宋体" w:hAnsi="宋体" w:eastAsia="宋体" w:cs="宋体"/>
          <w:color w:val="auto"/>
          <w:highlight w:val="none"/>
        </w:rPr>
        <w:fldChar w:fldCharType="separate"/>
      </w:r>
      <w:r>
        <w:rPr>
          <w:rFonts w:hint="eastAsia" w:ascii="宋体" w:hAnsi="宋体" w:eastAsia="宋体" w:cs="宋体"/>
          <w:color w:val="auto"/>
        </w:rPr>
        <w:t>格式四 授权委托书</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_Toc1822 \h </w:instrText>
      </w:r>
      <w:r>
        <w:rPr>
          <w:rFonts w:hint="eastAsia" w:ascii="宋体" w:hAnsi="宋体" w:eastAsia="宋体" w:cs="宋体"/>
          <w:color w:val="auto"/>
        </w:rPr>
        <w:fldChar w:fldCharType="separate"/>
      </w:r>
      <w:r>
        <w:rPr>
          <w:rFonts w:hint="eastAsia" w:ascii="宋体" w:hAnsi="宋体" w:eastAsia="宋体" w:cs="宋体"/>
          <w:color w:val="auto"/>
        </w:rPr>
        <w:t>60</w:t>
      </w:r>
      <w:r>
        <w:rPr>
          <w:rFonts w:hint="eastAsia" w:ascii="宋体" w:hAnsi="宋体" w:eastAsia="宋体" w:cs="宋体"/>
          <w:color w:val="auto"/>
        </w:rPr>
        <w:fldChar w:fldCharType="end"/>
      </w:r>
      <w:r>
        <w:rPr>
          <w:rFonts w:hint="eastAsia" w:ascii="宋体" w:hAnsi="宋体" w:eastAsia="宋体" w:cs="宋体"/>
          <w:color w:val="auto"/>
          <w:highlight w:val="none"/>
        </w:rPr>
        <w:fldChar w:fldCharType="end"/>
      </w:r>
    </w:p>
    <w:p w14:paraId="55F750C4">
      <w:pPr>
        <w:pStyle w:val="15"/>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_Toc21377 </w:instrText>
      </w:r>
      <w:r>
        <w:rPr>
          <w:rFonts w:hint="eastAsia" w:ascii="宋体" w:hAnsi="宋体" w:eastAsia="宋体" w:cs="宋体"/>
          <w:color w:val="auto"/>
          <w:highlight w:val="none"/>
        </w:rPr>
        <w:fldChar w:fldCharType="separate"/>
      </w:r>
      <w:r>
        <w:rPr>
          <w:rFonts w:hint="eastAsia" w:ascii="宋体" w:hAnsi="宋体" w:eastAsia="宋体" w:cs="宋体"/>
          <w:color w:val="auto"/>
        </w:rPr>
        <w:t>格式五 法定代表人身份证明</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_Toc21377 \h </w:instrText>
      </w:r>
      <w:r>
        <w:rPr>
          <w:rFonts w:hint="eastAsia" w:ascii="宋体" w:hAnsi="宋体" w:eastAsia="宋体" w:cs="宋体"/>
          <w:color w:val="auto"/>
        </w:rPr>
        <w:fldChar w:fldCharType="separate"/>
      </w:r>
      <w:r>
        <w:rPr>
          <w:rFonts w:hint="eastAsia" w:ascii="宋体" w:hAnsi="宋体" w:eastAsia="宋体" w:cs="宋体"/>
          <w:color w:val="auto"/>
        </w:rPr>
        <w:t>61</w:t>
      </w:r>
      <w:r>
        <w:rPr>
          <w:rFonts w:hint="eastAsia" w:ascii="宋体" w:hAnsi="宋体" w:eastAsia="宋体" w:cs="宋体"/>
          <w:color w:val="auto"/>
        </w:rPr>
        <w:fldChar w:fldCharType="end"/>
      </w:r>
      <w:r>
        <w:rPr>
          <w:rFonts w:hint="eastAsia" w:ascii="宋体" w:hAnsi="宋体" w:eastAsia="宋体" w:cs="宋体"/>
          <w:color w:val="auto"/>
          <w:highlight w:val="none"/>
        </w:rPr>
        <w:fldChar w:fldCharType="end"/>
      </w:r>
    </w:p>
    <w:p w14:paraId="40F43FD6">
      <w:pPr>
        <w:pStyle w:val="15"/>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_Toc191 </w:instrText>
      </w:r>
      <w:r>
        <w:rPr>
          <w:rFonts w:hint="eastAsia" w:ascii="宋体" w:hAnsi="宋体" w:eastAsia="宋体" w:cs="宋体"/>
          <w:color w:val="auto"/>
          <w:highlight w:val="none"/>
        </w:rPr>
        <w:fldChar w:fldCharType="separate"/>
      </w:r>
      <w:r>
        <w:rPr>
          <w:rFonts w:hint="eastAsia" w:ascii="宋体" w:hAnsi="宋体" w:eastAsia="宋体" w:cs="宋体"/>
          <w:color w:val="auto"/>
        </w:rPr>
        <w:t>格式六 联合体协议书</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_Toc191 \h </w:instrText>
      </w:r>
      <w:r>
        <w:rPr>
          <w:rFonts w:hint="eastAsia" w:ascii="宋体" w:hAnsi="宋体" w:eastAsia="宋体" w:cs="宋体"/>
          <w:color w:val="auto"/>
        </w:rPr>
        <w:fldChar w:fldCharType="separate"/>
      </w:r>
      <w:r>
        <w:rPr>
          <w:rFonts w:hint="eastAsia" w:ascii="宋体" w:hAnsi="宋体" w:eastAsia="宋体" w:cs="宋体"/>
          <w:color w:val="auto"/>
        </w:rPr>
        <w:t>62</w:t>
      </w:r>
      <w:r>
        <w:rPr>
          <w:rFonts w:hint="eastAsia" w:ascii="宋体" w:hAnsi="宋体" w:eastAsia="宋体" w:cs="宋体"/>
          <w:color w:val="auto"/>
        </w:rPr>
        <w:fldChar w:fldCharType="end"/>
      </w:r>
      <w:r>
        <w:rPr>
          <w:rFonts w:hint="eastAsia" w:ascii="宋体" w:hAnsi="宋体" w:eastAsia="宋体" w:cs="宋体"/>
          <w:color w:val="auto"/>
          <w:highlight w:val="none"/>
        </w:rPr>
        <w:fldChar w:fldCharType="end"/>
      </w:r>
    </w:p>
    <w:p w14:paraId="71D8BCB7">
      <w:pPr>
        <w:pStyle w:val="15"/>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_Toc4289 </w:instrText>
      </w:r>
      <w:r>
        <w:rPr>
          <w:rFonts w:hint="eastAsia" w:ascii="宋体" w:hAnsi="宋体" w:eastAsia="宋体" w:cs="宋体"/>
          <w:color w:val="auto"/>
          <w:highlight w:val="none"/>
        </w:rPr>
        <w:fldChar w:fldCharType="separate"/>
      </w:r>
      <w:r>
        <w:rPr>
          <w:rFonts w:hint="eastAsia" w:ascii="宋体" w:hAnsi="宋体" w:eastAsia="宋体" w:cs="宋体"/>
          <w:color w:val="auto"/>
        </w:rPr>
        <w:t>格式七 投标人基本情况表</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_Toc4289 \h </w:instrText>
      </w:r>
      <w:r>
        <w:rPr>
          <w:rFonts w:hint="eastAsia" w:ascii="宋体" w:hAnsi="宋体" w:eastAsia="宋体" w:cs="宋体"/>
          <w:color w:val="auto"/>
        </w:rPr>
        <w:fldChar w:fldCharType="separate"/>
      </w:r>
      <w:r>
        <w:rPr>
          <w:rFonts w:hint="eastAsia" w:ascii="宋体" w:hAnsi="宋体" w:eastAsia="宋体" w:cs="宋体"/>
          <w:color w:val="auto"/>
        </w:rPr>
        <w:t>64</w:t>
      </w:r>
      <w:r>
        <w:rPr>
          <w:rFonts w:hint="eastAsia" w:ascii="宋体" w:hAnsi="宋体" w:eastAsia="宋体" w:cs="宋体"/>
          <w:color w:val="auto"/>
        </w:rPr>
        <w:fldChar w:fldCharType="end"/>
      </w:r>
      <w:r>
        <w:rPr>
          <w:rFonts w:hint="eastAsia" w:ascii="宋体" w:hAnsi="宋体" w:eastAsia="宋体" w:cs="宋体"/>
          <w:color w:val="auto"/>
          <w:highlight w:val="none"/>
        </w:rPr>
        <w:fldChar w:fldCharType="end"/>
      </w:r>
    </w:p>
    <w:p w14:paraId="79762921">
      <w:pPr>
        <w:pStyle w:val="15"/>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_Toc27834 </w:instrText>
      </w:r>
      <w:r>
        <w:rPr>
          <w:rFonts w:hint="eastAsia" w:ascii="宋体" w:hAnsi="宋体" w:eastAsia="宋体" w:cs="宋体"/>
          <w:color w:val="auto"/>
          <w:highlight w:val="none"/>
        </w:rPr>
        <w:fldChar w:fldCharType="separate"/>
      </w:r>
      <w:r>
        <w:rPr>
          <w:rFonts w:hint="eastAsia" w:ascii="宋体" w:hAnsi="宋体" w:eastAsia="宋体" w:cs="宋体"/>
          <w:color w:val="auto"/>
        </w:rPr>
        <w:t>格式八 项目经理简历表</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_Toc27834 \h </w:instrText>
      </w:r>
      <w:r>
        <w:rPr>
          <w:rFonts w:hint="eastAsia" w:ascii="宋体" w:hAnsi="宋体" w:eastAsia="宋体" w:cs="宋体"/>
          <w:color w:val="auto"/>
        </w:rPr>
        <w:fldChar w:fldCharType="separate"/>
      </w:r>
      <w:r>
        <w:rPr>
          <w:rFonts w:hint="eastAsia" w:ascii="宋体" w:hAnsi="宋体" w:eastAsia="宋体" w:cs="宋体"/>
          <w:color w:val="auto"/>
        </w:rPr>
        <w:t>65</w:t>
      </w:r>
      <w:r>
        <w:rPr>
          <w:rFonts w:hint="eastAsia" w:ascii="宋体" w:hAnsi="宋体" w:eastAsia="宋体" w:cs="宋体"/>
          <w:color w:val="auto"/>
        </w:rPr>
        <w:fldChar w:fldCharType="end"/>
      </w:r>
      <w:r>
        <w:rPr>
          <w:rFonts w:hint="eastAsia" w:ascii="宋体" w:hAnsi="宋体" w:eastAsia="宋体" w:cs="宋体"/>
          <w:color w:val="auto"/>
          <w:highlight w:val="none"/>
        </w:rPr>
        <w:fldChar w:fldCharType="end"/>
      </w:r>
    </w:p>
    <w:p w14:paraId="28987D55">
      <w:pPr>
        <w:pStyle w:val="15"/>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_Toc21761 </w:instrText>
      </w:r>
      <w:r>
        <w:rPr>
          <w:rFonts w:hint="eastAsia" w:ascii="宋体" w:hAnsi="宋体" w:eastAsia="宋体" w:cs="宋体"/>
          <w:color w:val="auto"/>
          <w:highlight w:val="none"/>
        </w:rPr>
        <w:fldChar w:fldCharType="separate"/>
      </w:r>
      <w:r>
        <w:rPr>
          <w:rFonts w:hint="eastAsia" w:ascii="宋体" w:hAnsi="宋体" w:eastAsia="宋体" w:cs="宋体"/>
          <w:color w:val="auto"/>
        </w:rPr>
        <w:t>格式九 项目经理任职声明</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_Toc21761 \h </w:instrText>
      </w:r>
      <w:r>
        <w:rPr>
          <w:rFonts w:hint="eastAsia" w:ascii="宋体" w:hAnsi="宋体" w:eastAsia="宋体" w:cs="宋体"/>
          <w:color w:val="auto"/>
        </w:rPr>
        <w:fldChar w:fldCharType="separate"/>
      </w:r>
      <w:r>
        <w:rPr>
          <w:rFonts w:hint="eastAsia" w:ascii="宋体" w:hAnsi="宋体" w:eastAsia="宋体" w:cs="宋体"/>
          <w:color w:val="auto"/>
        </w:rPr>
        <w:t>66</w:t>
      </w:r>
      <w:r>
        <w:rPr>
          <w:rFonts w:hint="eastAsia" w:ascii="宋体" w:hAnsi="宋体" w:eastAsia="宋体" w:cs="宋体"/>
          <w:color w:val="auto"/>
        </w:rPr>
        <w:fldChar w:fldCharType="end"/>
      </w:r>
      <w:r>
        <w:rPr>
          <w:rFonts w:hint="eastAsia" w:ascii="宋体" w:hAnsi="宋体" w:eastAsia="宋体" w:cs="宋体"/>
          <w:color w:val="auto"/>
          <w:highlight w:val="none"/>
        </w:rPr>
        <w:fldChar w:fldCharType="end"/>
      </w:r>
    </w:p>
    <w:p w14:paraId="4C4CCD3A">
      <w:pPr>
        <w:pStyle w:val="15"/>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_Toc12722 </w:instrText>
      </w:r>
      <w:r>
        <w:rPr>
          <w:rFonts w:hint="eastAsia" w:ascii="宋体" w:hAnsi="宋体" w:eastAsia="宋体" w:cs="宋体"/>
          <w:color w:val="auto"/>
          <w:highlight w:val="none"/>
        </w:rPr>
        <w:fldChar w:fldCharType="separate"/>
      </w:r>
      <w:r>
        <w:rPr>
          <w:rFonts w:hint="eastAsia" w:ascii="宋体" w:hAnsi="宋体" w:eastAsia="宋体" w:cs="宋体"/>
          <w:color w:val="auto"/>
        </w:rPr>
        <w:t>格式十 项目技术负责人简历表</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_Toc12722 \h </w:instrText>
      </w:r>
      <w:r>
        <w:rPr>
          <w:rFonts w:hint="eastAsia" w:ascii="宋体" w:hAnsi="宋体" w:eastAsia="宋体" w:cs="宋体"/>
          <w:color w:val="auto"/>
        </w:rPr>
        <w:fldChar w:fldCharType="separate"/>
      </w:r>
      <w:r>
        <w:rPr>
          <w:rFonts w:hint="eastAsia" w:ascii="宋体" w:hAnsi="宋体" w:eastAsia="宋体" w:cs="宋体"/>
          <w:color w:val="auto"/>
        </w:rPr>
        <w:t>67</w:t>
      </w:r>
      <w:r>
        <w:rPr>
          <w:rFonts w:hint="eastAsia" w:ascii="宋体" w:hAnsi="宋体" w:eastAsia="宋体" w:cs="宋体"/>
          <w:color w:val="auto"/>
        </w:rPr>
        <w:fldChar w:fldCharType="end"/>
      </w:r>
      <w:r>
        <w:rPr>
          <w:rFonts w:hint="eastAsia" w:ascii="宋体" w:hAnsi="宋体" w:eastAsia="宋体" w:cs="宋体"/>
          <w:color w:val="auto"/>
          <w:highlight w:val="none"/>
        </w:rPr>
        <w:fldChar w:fldCharType="end"/>
      </w:r>
    </w:p>
    <w:p w14:paraId="4AE8E87D">
      <w:pPr>
        <w:pStyle w:val="15"/>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_Toc16727 </w:instrText>
      </w:r>
      <w:r>
        <w:rPr>
          <w:rFonts w:hint="eastAsia" w:ascii="宋体" w:hAnsi="宋体" w:eastAsia="宋体" w:cs="宋体"/>
          <w:color w:val="auto"/>
          <w:highlight w:val="none"/>
        </w:rPr>
        <w:fldChar w:fldCharType="separate"/>
      </w:r>
      <w:r>
        <w:rPr>
          <w:rFonts w:hint="eastAsia" w:ascii="宋体" w:hAnsi="宋体" w:eastAsia="宋体" w:cs="宋体"/>
          <w:color w:val="auto"/>
        </w:rPr>
        <w:t>格式十一 专职安全员简历表</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_Toc16727 \h </w:instrText>
      </w:r>
      <w:r>
        <w:rPr>
          <w:rFonts w:hint="eastAsia" w:ascii="宋体" w:hAnsi="宋体" w:eastAsia="宋体" w:cs="宋体"/>
          <w:color w:val="auto"/>
        </w:rPr>
        <w:fldChar w:fldCharType="separate"/>
      </w:r>
      <w:r>
        <w:rPr>
          <w:rFonts w:hint="eastAsia" w:ascii="宋体" w:hAnsi="宋体" w:eastAsia="宋体" w:cs="宋体"/>
          <w:color w:val="auto"/>
        </w:rPr>
        <w:t>68</w:t>
      </w:r>
      <w:r>
        <w:rPr>
          <w:rFonts w:hint="eastAsia" w:ascii="宋体" w:hAnsi="宋体" w:eastAsia="宋体" w:cs="宋体"/>
          <w:color w:val="auto"/>
        </w:rPr>
        <w:fldChar w:fldCharType="end"/>
      </w:r>
      <w:r>
        <w:rPr>
          <w:rFonts w:hint="eastAsia" w:ascii="宋体" w:hAnsi="宋体" w:eastAsia="宋体" w:cs="宋体"/>
          <w:color w:val="auto"/>
          <w:highlight w:val="none"/>
        </w:rPr>
        <w:fldChar w:fldCharType="end"/>
      </w:r>
    </w:p>
    <w:p w14:paraId="6F91EEF5">
      <w:pPr>
        <w:pStyle w:val="15"/>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_Toc994 </w:instrText>
      </w:r>
      <w:r>
        <w:rPr>
          <w:rFonts w:hint="eastAsia" w:ascii="宋体" w:hAnsi="宋体" w:eastAsia="宋体" w:cs="宋体"/>
          <w:color w:val="auto"/>
          <w:highlight w:val="none"/>
        </w:rPr>
        <w:fldChar w:fldCharType="separate"/>
      </w:r>
      <w:r>
        <w:rPr>
          <w:rFonts w:hint="eastAsia" w:ascii="宋体" w:hAnsi="宋体" w:eastAsia="宋体" w:cs="宋体"/>
          <w:color w:val="auto"/>
        </w:rPr>
        <w:t>格式十二 项目管理机构组成表</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_Toc994 \h </w:instrText>
      </w:r>
      <w:r>
        <w:rPr>
          <w:rFonts w:hint="eastAsia" w:ascii="宋体" w:hAnsi="宋体" w:eastAsia="宋体" w:cs="宋体"/>
          <w:color w:val="auto"/>
        </w:rPr>
        <w:fldChar w:fldCharType="separate"/>
      </w:r>
      <w:r>
        <w:rPr>
          <w:rFonts w:hint="eastAsia" w:ascii="宋体" w:hAnsi="宋体" w:eastAsia="宋体" w:cs="宋体"/>
          <w:color w:val="auto"/>
        </w:rPr>
        <w:t>69</w:t>
      </w:r>
      <w:r>
        <w:rPr>
          <w:rFonts w:hint="eastAsia" w:ascii="宋体" w:hAnsi="宋体" w:eastAsia="宋体" w:cs="宋体"/>
          <w:color w:val="auto"/>
        </w:rPr>
        <w:fldChar w:fldCharType="end"/>
      </w:r>
      <w:r>
        <w:rPr>
          <w:rFonts w:hint="eastAsia" w:ascii="宋体" w:hAnsi="宋体" w:eastAsia="宋体" w:cs="宋体"/>
          <w:color w:val="auto"/>
          <w:highlight w:val="none"/>
        </w:rPr>
        <w:fldChar w:fldCharType="end"/>
      </w:r>
    </w:p>
    <w:p w14:paraId="7B55AE9C">
      <w:pPr>
        <w:pStyle w:val="15"/>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_Toc13555 </w:instrText>
      </w:r>
      <w:r>
        <w:rPr>
          <w:rFonts w:hint="eastAsia" w:ascii="宋体" w:hAnsi="宋体" w:eastAsia="宋体" w:cs="宋体"/>
          <w:color w:val="auto"/>
          <w:highlight w:val="none"/>
        </w:rPr>
        <w:fldChar w:fldCharType="separate"/>
      </w:r>
      <w:r>
        <w:rPr>
          <w:rFonts w:hint="eastAsia" w:ascii="宋体" w:hAnsi="宋体" w:eastAsia="宋体" w:cs="宋体"/>
          <w:color w:val="auto"/>
        </w:rPr>
        <w:t>格式十</w:t>
      </w:r>
      <w:r>
        <w:rPr>
          <w:rFonts w:hint="eastAsia" w:ascii="宋体" w:hAnsi="宋体" w:eastAsia="宋体" w:cs="宋体"/>
          <w:color w:val="auto"/>
          <w:lang w:val="en-US" w:eastAsia="zh-CN"/>
        </w:rPr>
        <w:t>三</w:t>
      </w:r>
      <w:r>
        <w:rPr>
          <w:rFonts w:hint="eastAsia" w:ascii="宋体" w:hAnsi="宋体" w:eastAsia="宋体" w:cs="宋体"/>
          <w:color w:val="auto"/>
        </w:rPr>
        <w:t xml:space="preserve"> 建造师查询页</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_Toc13555 \h </w:instrText>
      </w:r>
      <w:r>
        <w:rPr>
          <w:rFonts w:hint="eastAsia" w:ascii="宋体" w:hAnsi="宋体" w:eastAsia="宋体" w:cs="宋体"/>
          <w:color w:val="auto"/>
        </w:rPr>
        <w:fldChar w:fldCharType="separate"/>
      </w:r>
      <w:r>
        <w:rPr>
          <w:rFonts w:hint="eastAsia" w:ascii="宋体" w:hAnsi="宋体" w:eastAsia="宋体" w:cs="宋体"/>
          <w:color w:val="auto"/>
        </w:rPr>
        <w:t>70</w:t>
      </w:r>
      <w:r>
        <w:rPr>
          <w:rFonts w:hint="eastAsia" w:ascii="宋体" w:hAnsi="宋体" w:eastAsia="宋体" w:cs="宋体"/>
          <w:color w:val="auto"/>
        </w:rPr>
        <w:fldChar w:fldCharType="end"/>
      </w:r>
      <w:r>
        <w:rPr>
          <w:rFonts w:hint="eastAsia" w:ascii="宋体" w:hAnsi="宋体" w:eastAsia="宋体" w:cs="宋体"/>
          <w:color w:val="auto"/>
          <w:highlight w:val="none"/>
        </w:rPr>
        <w:fldChar w:fldCharType="end"/>
      </w:r>
    </w:p>
    <w:p w14:paraId="235C9764">
      <w:pPr>
        <w:pStyle w:val="15"/>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_Toc9569 </w:instrText>
      </w:r>
      <w:r>
        <w:rPr>
          <w:rFonts w:hint="eastAsia" w:ascii="宋体" w:hAnsi="宋体" w:eastAsia="宋体" w:cs="宋体"/>
          <w:color w:val="auto"/>
          <w:highlight w:val="none"/>
        </w:rPr>
        <w:fldChar w:fldCharType="separate"/>
      </w:r>
      <w:r>
        <w:rPr>
          <w:rFonts w:hint="eastAsia" w:ascii="宋体" w:hAnsi="宋体" w:eastAsia="宋体" w:cs="宋体"/>
          <w:color w:val="auto"/>
        </w:rPr>
        <w:t>格式十</w:t>
      </w:r>
      <w:r>
        <w:rPr>
          <w:rFonts w:hint="eastAsia" w:ascii="宋体" w:hAnsi="宋体" w:eastAsia="宋体" w:cs="宋体"/>
          <w:color w:val="auto"/>
          <w:lang w:val="en-US" w:eastAsia="zh-CN"/>
        </w:rPr>
        <w:t>四</w:t>
      </w:r>
      <w:r>
        <w:rPr>
          <w:rFonts w:hint="eastAsia" w:ascii="宋体" w:hAnsi="宋体" w:eastAsia="宋体" w:cs="宋体"/>
          <w:color w:val="auto"/>
        </w:rPr>
        <w:t xml:space="preserve"> 原件一览表</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_Toc9569 \h </w:instrText>
      </w:r>
      <w:r>
        <w:rPr>
          <w:rFonts w:hint="eastAsia" w:ascii="宋体" w:hAnsi="宋体" w:eastAsia="宋体" w:cs="宋体"/>
          <w:color w:val="auto"/>
        </w:rPr>
        <w:fldChar w:fldCharType="separate"/>
      </w:r>
      <w:r>
        <w:rPr>
          <w:rFonts w:hint="eastAsia" w:ascii="宋体" w:hAnsi="宋体" w:eastAsia="宋体" w:cs="宋体"/>
          <w:color w:val="auto"/>
        </w:rPr>
        <w:t>72</w:t>
      </w:r>
      <w:r>
        <w:rPr>
          <w:rFonts w:hint="eastAsia" w:ascii="宋体" w:hAnsi="宋体" w:eastAsia="宋体" w:cs="宋体"/>
          <w:color w:val="auto"/>
        </w:rPr>
        <w:fldChar w:fldCharType="end"/>
      </w:r>
      <w:r>
        <w:rPr>
          <w:rFonts w:hint="eastAsia" w:ascii="宋体" w:hAnsi="宋体" w:eastAsia="宋体" w:cs="宋体"/>
          <w:color w:val="auto"/>
          <w:highlight w:val="none"/>
        </w:rPr>
        <w:fldChar w:fldCharType="end"/>
      </w:r>
    </w:p>
    <w:p w14:paraId="3203A2D5">
      <w:pPr>
        <w:pStyle w:val="21"/>
        <w:keepNext w:val="0"/>
        <w:keepLines w:val="0"/>
        <w:pageBreakBefore w:val="0"/>
        <w:widowControl w:val="0"/>
        <w:tabs>
          <w:tab w:val="right" w:leader="dot" w:pos="8844"/>
        </w:tabs>
        <w:kinsoku/>
        <w:wordWrap/>
        <w:overflowPunct/>
        <w:topLinePunct w:val="0"/>
        <w:autoSpaceDE/>
        <w:autoSpaceDN/>
        <w:bidi w:val="0"/>
        <w:adjustRightInd/>
        <w:snapToGrid/>
        <w:spacing w:before="0" w:beforeLines="0" w:after="0" w:afterLines="0" w:line="360" w:lineRule="auto"/>
        <w:ind w:left="0"/>
        <w:jc w:val="center"/>
        <w:textAlignment w:val="auto"/>
        <w:rPr>
          <w:rFonts w:hint="eastAsia" w:ascii="宋体" w:hAnsi="宋体" w:eastAsia="宋体" w:cs="宋体"/>
          <w:b/>
          <w:bCs/>
          <w:color w:val="auto"/>
        </w:rPr>
      </w:pPr>
      <w:r>
        <w:rPr>
          <w:rFonts w:hint="eastAsia" w:ascii="宋体" w:hAnsi="宋体" w:eastAsia="宋体" w:cs="宋体"/>
          <w:b/>
          <w:bCs/>
          <w:color w:val="auto"/>
          <w:highlight w:val="none"/>
        </w:rPr>
        <w:fldChar w:fldCharType="begin"/>
      </w:r>
      <w:r>
        <w:rPr>
          <w:rFonts w:hint="eastAsia" w:ascii="宋体" w:hAnsi="宋体" w:eastAsia="宋体" w:cs="宋体"/>
          <w:b/>
          <w:bCs/>
          <w:color w:val="auto"/>
          <w:highlight w:val="none"/>
        </w:rPr>
        <w:instrText xml:space="preserve"> HYPERLINK \l _Toc17586 </w:instrText>
      </w:r>
      <w:r>
        <w:rPr>
          <w:rFonts w:hint="eastAsia" w:ascii="宋体" w:hAnsi="宋体" w:eastAsia="宋体" w:cs="宋体"/>
          <w:b/>
          <w:bCs/>
          <w:color w:val="auto"/>
          <w:highlight w:val="none"/>
        </w:rPr>
        <w:fldChar w:fldCharType="separate"/>
      </w:r>
      <w:r>
        <w:rPr>
          <w:rFonts w:hint="eastAsia" w:ascii="宋体" w:hAnsi="宋体" w:eastAsia="宋体" w:cs="宋体"/>
          <w:b/>
          <w:bCs/>
          <w:snapToGrid w:val="0"/>
          <w:color w:val="auto"/>
          <w:highlight w:val="none"/>
        </w:rPr>
        <w:t>第七章 建设工程施工合同</w:t>
      </w:r>
      <w:r>
        <w:rPr>
          <w:rFonts w:hint="eastAsia" w:ascii="宋体" w:hAnsi="宋体" w:eastAsia="宋体" w:cs="宋体"/>
          <w:b/>
          <w:bCs/>
          <w:color w:val="auto"/>
        </w:rPr>
        <w:tab/>
      </w:r>
      <w:r>
        <w:rPr>
          <w:rFonts w:hint="eastAsia" w:ascii="宋体" w:hAnsi="宋体" w:eastAsia="宋体" w:cs="宋体"/>
          <w:b/>
          <w:bCs/>
          <w:color w:val="auto"/>
        </w:rPr>
        <w:fldChar w:fldCharType="begin"/>
      </w:r>
      <w:r>
        <w:rPr>
          <w:rFonts w:hint="eastAsia" w:ascii="宋体" w:hAnsi="宋体" w:eastAsia="宋体" w:cs="宋体"/>
          <w:b/>
          <w:bCs/>
          <w:color w:val="auto"/>
        </w:rPr>
        <w:instrText xml:space="preserve"> PAGEREF _Toc17586 \h </w:instrText>
      </w:r>
      <w:r>
        <w:rPr>
          <w:rFonts w:hint="eastAsia" w:ascii="宋体" w:hAnsi="宋体" w:eastAsia="宋体" w:cs="宋体"/>
          <w:b/>
          <w:bCs/>
          <w:color w:val="auto"/>
        </w:rPr>
        <w:fldChar w:fldCharType="separate"/>
      </w:r>
      <w:r>
        <w:rPr>
          <w:rFonts w:hint="eastAsia" w:ascii="宋体" w:hAnsi="宋体" w:eastAsia="宋体" w:cs="宋体"/>
          <w:b/>
          <w:bCs/>
          <w:color w:val="auto"/>
        </w:rPr>
        <w:t>73</w:t>
      </w:r>
      <w:r>
        <w:rPr>
          <w:rFonts w:hint="eastAsia" w:ascii="宋体" w:hAnsi="宋体" w:eastAsia="宋体" w:cs="宋体"/>
          <w:b/>
          <w:bCs/>
          <w:color w:val="auto"/>
        </w:rPr>
        <w:fldChar w:fldCharType="end"/>
      </w:r>
      <w:r>
        <w:rPr>
          <w:rFonts w:hint="eastAsia" w:ascii="宋体" w:hAnsi="宋体" w:eastAsia="宋体" w:cs="宋体"/>
          <w:b/>
          <w:bCs/>
          <w:color w:val="auto"/>
          <w:highlight w:val="none"/>
        </w:rPr>
        <w:fldChar w:fldCharType="end"/>
      </w:r>
    </w:p>
    <w:p w14:paraId="2E2595A9">
      <w:pPr>
        <w:pStyle w:val="6"/>
        <w:jc w:val="center"/>
        <w:rPr>
          <w:rFonts w:hint="eastAsia" w:ascii="宋体" w:hAnsi="宋体" w:eastAsia="宋体" w:cs="宋体"/>
          <w:color w:val="auto"/>
          <w:highlight w:val="none"/>
        </w:rPr>
        <w:sectPr>
          <w:endnotePr>
            <w:numFmt w:val="decimal"/>
          </w:endnotePr>
          <w:pgSz w:w="11906" w:h="16838"/>
          <w:pgMar w:top="1134" w:right="1134" w:bottom="1134" w:left="1134" w:header="850" w:footer="992" w:gutter="0"/>
          <w:pgBorders>
            <w:top w:val="none" w:sz="0" w:space="0"/>
            <w:left w:val="none" w:sz="0" w:space="0"/>
            <w:bottom w:val="none" w:sz="0" w:space="0"/>
            <w:right w:val="none" w:sz="0" w:space="0"/>
          </w:pgBorders>
          <w:pgNumType w:start="1"/>
          <w:cols w:space="720" w:num="1"/>
          <w:docGrid w:linePitch="327" w:charSpace="0"/>
        </w:sectPr>
      </w:pPr>
      <w:r>
        <w:rPr>
          <w:rFonts w:hint="eastAsia" w:ascii="宋体" w:hAnsi="宋体" w:eastAsia="宋体" w:cs="宋体"/>
          <w:color w:val="auto"/>
          <w:highlight w:val="none"/>
        </w:rPr>
        <w:fldChar w:fldCharType="end"/>
      </w:r>
      <w:bookmarkStart w:id="0" w:name="_Hlt122423813"/>
      <w:bookmarkEnd w:id="0"/>
      <w:bookmarkStart w:id="1" w:name="_Hlt66153951"/>
      <w:bookmarkEnd w:id="1"/>
      <w:bookmarkStart w:id="2" w:name="_Hlt66104981"/>
      <w:bookmarkEnd w:id="2"/>
      <w:bookmarkStart w:id="3" w:name="_Toc14635"/>
      <w:bookmarkStart w:id="4" w:name="_Toc14094"/>
      <w:bookmarkStart w:id="5" w:name="_Toc476739600"/>
      <w:bookmarkStart w:id="6" w:name="_Toc12558"/>
      <w:bookmarkStart w:id="7" w:name="_Hlt111690251"/>
    </w:p>
    <w:p w14:paraId="41EDFD45">
      <w:pPr>
        <w:pStyle w:val="6"/>
        <w:jc w:val="center"/>
        <w:rPr>
          <w:rFonts w:hint="eastAsia" w:ascii="宋体" w:hAnsi="宋体" w:eastAsia="宋体" w:cs="宋体"/>
          <w:b/>
          <w:snapToGrid w:val="0"/>
          <w:color w:val="auto"/>
          <w:sz w:val="24"/>
          <w:highlight w:val="none"/>
        </w:rPr>
      </w:pPr>
      <w:r>
        <w:rPr>
          <w:rFonts w:hint="eastAsia" w:ascii="宋体" w:hAnsi="宋体" w:eastAsia="宋体" w:cs="宋体"/>
          <w:b/>
          <w:snapToGrid w:val="0"/>
          <w:color w:val="auto"/>
          <w:sz w:val="24"/>
          <w:highlight w:val="none"/>
        </w:rPr>
        <w:t>第一章 投标人须知</w:t>
      </w:r>
      <w:bookmarkEnd w:id="3"/>
      <w:bookmarkEnd w:id="4"/>
      <w:bookmarkEnd w:id="5"/>
      <w:bookmarkEnd w:id="6"/>
    </w:p>
    <w:p w14:paraId="423B509F">
      <w:pPr>
        <w:pStyle w:val="3"/>
        <w:bidi w:val="0"/>
        <w:rPr>
          <w:rFonts w:hint="eastAsia" w:ascii="宋体" w:hAnsi="宋体" w:eastAsia="宋体" w:cs="宋体"/>
          <w:color w:val="auto"/>
        </w:rPr>
      </w:pPr>
      <w:bookmarkStart w:id="8" w:name="_Hlt127175444"/>
      <w:bookmarkEnd w:id="8"/>
      <w:bookmarkStart w:id="9" w:name="_Toc27520"/>
      <w:bookmarkStart w:id="10" w:name="_Toc117"/>
      <w:bookmarkStart w:id="11" w:name="_Toc22622"/>
      <w:bookmarkStart w:id="12" w:name="_Hlt120077520"/>
      <w:r>
        <w:rPr>
          <w:rFonts w:hint="eastAsia" w:ascii="宋体" w:hAnsi="宋体" w:eastAsia="宋体" w:cs="宋体"/>
          <w:color w:val="auto"/>
        </w:rPr>
        <w:t>第一节 投标人须知前附表</w:t>
      </w:r>
      <w:bookmarkEnd w:id="9"/>
      <w:bookmarkEnd w:id="10"/>
      <w:bookmarkEnd w:id="11"/>
    </w:p>
    <w:tbl>
      <w:tblPr>
        <w:tblStyle w:val="30"/>
        <w:tblW w:w="1065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750"/>
        <w:gridCol w:w="1707"/>
        <w:gridCol w:w="8200"/>
      </w:tblGrid>
      <w:tr w14:paraId="330B0E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3AEEB4E1">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序号</w:t>
            </w:r>
          </w:p>
        </w:tc>
        <w:tc>
          <w:tcPr>
            <w:tcW w:w="1707" w:type="dxa"/>
            <w:tcBorders>
              <w:top w:val="single" w:color="auto" w:sz="4" w:space="0"/>
              <w:left w:val="single" w:color="auto" w:sz="4" w:space="0"/>
              <w:bottom w:val="single" w:color="auto" w:sz="4" w:space="0"/>
              <w:right w:val="single" w:color="auto" w:sz="4" w:space="0"/>
            </w:tcBorders>
            <w:noWrap w:val="0"/>
            <w:vAlign w:val="center"/>
          </w:tcPr>
          <w:p w14:paraId="57D574FA">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内容</w:t>
            </w:r>
          </w:p>
        </w:tc>
        <w:tc>
          <w:tcPr>
            <w:tcW w:w="8200" w:type="dxa"/>
            <w:tcBorders>
              <w:top w:val="single" w:color="auto" w:sz="4" w:space="0"/>
              <w:left w:val="single" w:color="auto" w:sz="4" w:space="0"/>
              <w:bottom w:val="single" w:color="auto" w:sz="4" w:space="0"/>
              <w:right w:val="single" w:color="auto" w:sz="4" w:space="0"/>
            </w:tcBorders>
            <w:noWrap w:val="0"/>
            <w:vAlign w:val="center"/>
          </w:tcPr>
          <w:p w14:paraId="51F94000">
            <w:pPr>
              <w:pageBreakBefore w:val="0"/>
              <w:tabs>
                <w:tab w:val="left" w:pos="1180"/>
              </w:tabs>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说明与要求</w:t>
            </w:r>
          </w:p>
        </w:tc>
      </w:tr>
      <w:tr w14:paraId="705CE2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4EE53E81">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w:t>
            </w:r>
          </w:p>
        </w:tc>
        <w:tc>
          <w:tcPr>
            <w:tcW w:w="1707" w:type="dxa"/>
            <w:tcBorders>
              <w:top w:val="single" w:color="auto" w:sz="4" w:space="0"/>
              <w:left w:val="single" w:color="auto" w:sz="4" w:space="0"/>
              <w:bottom w:val="single" w:color="auto" w:sz="4" w:space="0"/>
              <w:right w:val="single" w:color="auto" w:sz="4" w:space="0"/>
            </w:tcBorders>
            <w:noWrap w:val="0"/>
            <w:vAlign w:val="center"/>
          </w:tcPr>
          <w:p w14:paraId="30883B54">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项目名称</w:t>
            </w:r>
          </w:p>
        </w:tc>
        <w:tc>
          <w:tcPr>
            <w:tcW w:w="8200" w:type="dxa"/>
            <w:tcBorders>
              <w:top w:val="single" w:color="auto" w:sz="4" w:space="0"/>
              <w:left w:val="single" w:color="auto" w:sz="4" w:space="0"/>
              <w:bottom w:val="single" w:color="auto" w:sz="4" w:space="0"/>
              <w:right w:val="single" w:color="auto" w:sz="4" w:space="0"/>
            </w:tcBorders>
            <w:noWrap w:val="0"/>
            <w:vAlign w:val="center"/>
          </w:tcPr>
          <w:p w14:paraId="7C114115">
            <w:pPr>
              <w:pageBreakBefore w:val="0"/>
              <w:kinsoku/>
              <w:wordWrap w:val="0"/>
              <w:overflowPunct/>
              <w:topLinePunct w:val="0"/>
              <w:autoSpaceDE/>
              <w:autoSpaceDN/>
              <w:bidi w:val="0"/>
              <w:adjustRightInd w:val="0"/>
              <w:snapToGrid w:val="0"/>
              <w:spacing w:line="360" w:lineRule="auto"/>
              <w:ind w:firstLine="240" w:firstLineChars="100"/>
              <w:jc w:val="left"/>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白石镇乡村振兴示范带项目工程施工</w:t>
            </w:r>
          </w:p>
        </w:tc>
      </w:tr>
      <w:tr w14:paraId="697882D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221D92A3">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w:t>
            </w:r>
          </w:p>
        </w:tc>
        <w:tc>
          <w:tcPr>
            <w:tcW w:w="1707" w:type="dxa"/>
            <w:tcBorders>
              <w:top w:val="single" w:color="auto" w:sz="4" w:space="0"/>
              <w:left w:val="single" w:color="auto" w:sz="4" w:space="0"/>
              <w:bottom w:val="single" w:color="auto" w:sz="4" w:space="0"/>
              <w:right w:val="single" w:color="auto" w:sz="4" w:space="0"/>
            </w:tcBorders>
            <w:noWrap w:val="0"/>
            <w:vAlign w:val="center"/>
          </w:tcPr>
          <w:p w14:paraId="6A5625B6">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项目业主</w:t>
            </w:r>
          </w:p>
        </w:tc>
        <w:tc>
          <w:tcPr>
            <w:tcW w:w="8200" w:type="dxa"/>
            <w:tcBorders>
              <w:top w:val="single" w:color="auto" w:sz="4" w:space="0"/>
              <w:left w:val="single" w:color="auto" w:sz="4" w:space="0"/>
              <w:bottom w:val="single" w:color="auto" w:sz="4" w:space="0"/>
              <w:right w:val="single" w:color="auto" w:sz="4" w:space="0"/>
            </w:tcBorders>
            <w:noWrap w:val="0"/>
            <w:vAlign w:val="center"/>
          </w:tcPr>
          <w:p w14:paraId="316F7F7C">
            <w:pPr>
              <w:pageBreakBefore w:val="0"/>
              <w:kinsoku/>
              <w:wordWrap w:val="0"/>
              <w:overflowPunct/>
              <w:topLinePunct w:val="0"/>
              <w:autoSpaceDE/>
              <w:autoSpaceDN/>
              <w:bidi w:val="0"/>
              <w:adjustRightInd w:val="0"/>
              <w:snapToGrid w:val="0"/>
              <w:spacing w:line="360" w:lineRule="auto"/>
              <w:ind w:firstLine="240" w:firstLineChars="100"/>
              <w:jc w:val="left"/>
              <w:textAlignment w:val="auto"/>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lang w:eastAsia="zh-CN"/>
              </w:rPr>
              <w:t>乐昌市白石镇人民政府</w:t>
            </w:r>
          </w:p>
        </w:tc>
      </w:tr>
      <w:tr w14:paraId="2A51141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40357C9A">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w:t>
            </w:r>
          </w:p>
        </w:tc>
        <w:tc>
          <w:tcPr>
            <w:tcW w:w="1707" w:type="dxa"/>
            <w:tcBorders>
              <w:top w:val="single" w:color="auto" w:sz="4" w:space="0"/>
              <w:left w:val="single" w:color="auto" w:sz="4" w:space="0"/>
              <w:bottom w:val="single" w:color="auto" w:sz="4" w:space="0"/>
              <w:right w:val="single" w:color="auto" w:sz="4" w:space="0"/>
            </w:tcBorders>
            <w:noWrap w:val="0"/>
            <w:vAlign w:val="center"/>
          </w:tcPr>
          <w:p w14:paraId="65ECA06A">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项目批准部门</w:t>
            </w:r>
          </w:p>
        </w:tc>
        <w:tc>
          <w:tcPr>
            <w:tcW w:w="8200" w:type="dxa"/>
            <w:tcBorders>
              <w:top w:val="single" w:color="auto" w:sz="4" w:space="0"/>
              <w:left w:val="single" w:color="auto" w:sz="4" w:space="0"/>
              <w:bottom w:val="single" w:color="auto" w:sz="4" w:space="0"/>
              <w:right w:val="single" w:color="auto" w:sz="4" w:space="0"/>
            </w:tcBorders>
            <w:noWrap w:val="0"/>
            <w:vAlign w:val="center"/>
          </w:tcPr>
          <w:p w14:paraId="5F5DFE5E">
            <w:pPr>
              <w:pageBreakBefore w:val="0"/>
              <w:kinsoku/>
              <w:wordWrap w:val="0"/>
              <w:overflowPunct/>
              <w:topLinePunct w:val="0"/>
              <w:autoSpaceDE/>
              <w:autoSpaceDN/>
              <w:bidi w:val="0"/>
              <w:adjustRightInd w:val="0"/>
              <w:snapToGrid w:val="0"/>
              <w:spacing w:line="360" w:lineRule="auto"/>
              <w:ind w:firstLine="240" w:firstLineChars="1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乐昌市发展和改革局</w:t>
            </w:r>
          </w:p>
        </w:tc>
      </w:tr>
      <w:tr w14:paraId="4454A5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330DEE43">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4</w:t>
            </w:r>
          </w:p>
        </w:tc>
        <w:tc>
          <w:tcPr>
            <w:tcW w:w="1707" w:type="dxa"/>
            <w:tcBorders>
              <w:top w:val="single" w:color="auto" w:sz="4" w:space="0"/>
              <w:left w:val="single" w:color="auto" w:sz="4" w:space="0"/>
              <w:bottom w:val="single" w:color="auto" w:sz="4" w:space="0"/>
              <w:right w:val="single" w:color="auto" w:sz="4" w:space="0"/>
            </w:tcBorders>
            <w:noWrap w:val="0"/>
            <w:vAlign w:val="center"/>
          </w:tcPr>
          <w:p w14:paraId="6FF58469">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项目批准文号</w:t>
            </w:r>
          </w:p>
        </w:tc>
        <w:tc>
          <w:tcPr>
            <w:tcW w:w="8200" w:type="dxa"/>
            <w:tcBorders>
              <w:top w:val="single" w:color="auto" w:sz="4" w:space="0"/>
              <w:left w:val="single" w:color="auto" w:sz="4" w:space="0"/>
              <w:bottom w:val="single" w:color="auto" w:sz="4" w:space="0"/>
              <w:right w:val="single" w:color="auto" w:sz="4" w:space="0"/>
            </w:tcBorders>
            <w:noWrap w:val="0"/>
            <w:vAlign w:val="center"/>
          </w:tcPr>
          <w:p w14:paraId="146D068C">
            <w:pPr>
              <w:pageBreakBefore w:val="0"/>
              <w:kinsoku/>
              <w:wordWrap w:val="0"/>
              <w:overflowPunct/>
              <w:topLinePunct w:val="0"/>
              <w:autoSpaceDE/>
              <w:autoSpaceDN/>
              <w:bidi w:val="0"/>
              <w:adjustRightInd w:val="0"/>
              <w:snapToGrid w:val="0"/>
              <w:spacing w:line="360" w:lineRule="auto"/>
              <w:ind w:firstLine="240" w:firstLineChars="100"/>
              <w:jc w:val="left"/>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乐发改投审〔2025〕60号</w:t>
            </w:r>
          </w:p>
        </w:tc>
      </w:tr>
      <w:tr w14:paraId="3F41B2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588413DA">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5</w:t>
            </w:r>
          </w:p>
        </w:tc>
        <w:tc>
          <w:tcPr>
            <w:tcW w:w="1707" w:type="dxa"/>
            <w:tcBorders>
              <w:top w:val="single" w:color="auto" w:sz="4" w:space="0"/>
              <w:left w:val="single" w:color="auto" w:sz="4" w:space="0"/>
              <w:bottom w:val="single" w:color="auto" w:sz="4" w:space="0"/>
              <w:right w:val="single" w:color="auto" w:sz="4" w:space="0"/>
            </w:tcBorders>
            <w:noWrap w:val="0"/>
            <w:vAlign w:val="center"/>
          </w:tcPr>
          <w:p w14:paraId="26833542">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项目代码</w:t>
            </w:r>
          </w:p>
        </w:tc>
        <w:tc>
          <w:tcPr>
            <w:tcW w:w="8200" w:type="dxa"/>
            <w:tcBorders>
              <w:top w:val="single" w:color="auto" w:sz="4" w:space="0"/>
              <w:left w:val="single" w:color="auto" w:sz="4" w:space="0"/>
              <w:bottom w:val="single" w:color="auto" w:sz="4" w:space="0"/>
              <w:right w:val="single" w:color="auto" w:sz="4" w:space="0"/>
            </w:tcBorders>
            <w:noWrap w:val="0"/>
            <w:vAlign w:val="center"/>
          </w:tcPr>
          <w:p w14:paraId="136B79C3">
            <w:pPr>
              <w:pageBreakBefore w:val="0"/>
              <w:kinsoku/>
              <w:wordWrap w:val="0"/>
              <w:overflowPunct/>
              <w:topLinePunct w:val="0"/>
              <w:autoSpaceDE/>
              <w:autoSpaceDN/>
              <w:bidi w:val="0"/>
              <w:adjustRightInd w:val="0"/>
              <w:snapToGrid w:val="0"/>
              <w:spacing w:line="360" w:lineRule="auto"/>
              <w:ind w:firstLine="240" w:firstLineChars="100"/>
              <w:jc w:val="both"/>
              <w:textAlignment w:val="auto"/>
              <w:rPr>
                <w:rFonts w:hint="eastAsia" w:ascii="宋体" w:hAnsi="宋体" w:eastAsia="宋体" w:cs="宋体"/>
                <w:snapToGrid w:val="0"/>
                <w:color w:val="auto"/>
                <w:kern w:val="0"/>
                <w:sz w:val="24"/>
                <w:szCs w:val="24"/>
                <w:highlight w:val="yellow"/>
                <w:lang w:val="en-US" w:eastAsia="zh-CN"/>
              </w:rPr>
            </w:pPr>
            <w:r>
              <w:rPr>
                <w:rFonts w:hint="eastAsia" w:ascii="宋体" w:hAnsi="宋体" w:eastAsia="宋体" w:cs="宋体"/>
                <w:snapToGrid w:val="0"/>
                <w:color w:val="auto"/>
                <w:kern w:val="0"/>
                <w:sz w:val="24"/>
                <w:szCs w:val="24"/>
                <w:highlight w:val="none"/>
                <w:lang w:val="en-US" w:eastAsia="zh-CN"/>
              </w:rPr>
              <w:t>2505-440281-04-01-978925</w:t>
            </w:r>
          </w:p>
        </w:tc>
      </w:tr>
      <w:tr w14:paraId="2EA78F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7C1E1BF7">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6</w:t>
            </w:r>
          </w:p>
        </w:tc>
        <w:tc>
          <w:tcPr>
            <w:tcW w:w="1707" w:type="dxa"/>
            <w:tcBorders>
              <w:top w:val="single" w:color="auto" w:sz="4" w:space="0"/>
              <w:left w:val="single" w:color="auto" w:sz="4" w:space="0"/>
              <w:bottom w:val="single" w:color="auto" w:sz="4" w:space="0"/>
              <w:right w:val="single" w:color="auto" w:sz="4" w:space="0"/>
            </w:tcBorders>
            <w:noWrap w:val="0"/>
            <w:vAlign w:val="center"/>
          </w:tcPr>
          <w:p w14:paraId="72AD943E">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资金来源</w:t>
            </w:r>
          </w:p>
          <w:p w14:paraId="5416F0B7">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及出资比例</w:t>
            </w:r>
          </w:p>
        </w:tc>
        <w:tc>
          <w:tcPr>
            <w:tcW w:w="8200" w:type="dxa"/>
            <w:tcBorders>
              <w:top w:val="single" w:color="auto" w:sz="4" w:space="0"/>
              <w:left w:val="single" w:color="auto" w:sz="4" w:space="0"/>
              <w:bottom w:val="single" w:color="auto" w:sz="4" w:space="0"/>
              <w:right w:val="single" w:color="auto" w:sz="4" w:space="0"/>
            </w:tcBorders>
            <w:noWrap w:val="0"/>
            <w:vAlign w:val="center"/>
          </w:tcPr>
          <w:p w14:paraId="28EA66FA">
            <w:pPr>
              <w:pageBreakBefore w:val="0"/>
              <w:kinsoku/>
              <w:wordWrap w:val="0"/>
              <w:overflowPunct/>
              <w:topLinePunct w:val="0"/>
              <w:autoSpaceDE/>
              <w:autoSpaceDN/>
              <w:bidi w:val="0"/>
              <w:adjustRightInd w:val="0"/>
              <w:snapToGrid w:val="0"/>
              <w:spacing w:line="360" w:lineRule="auto"/>
              <w:ind w:firstLine="240" w:firstLineChars="100"/>
              <w:jc w:val="both"/>
              <w:textAlignment w:val="auto"/>
              <w:rPr>
                <w:rFonts w:hint="eastAsia" w:ascii="宋体" w:hAnsi="宋体" w:eastAsia="宋体" w:cs="宋体"/>
                <w:snapToGrid w:val="0"/>
                <w:color w:val="auto"/>
                <w:kern w:val="0"/>
                <w:sz w:val="24"/>
                <w:szCs w:val="24"/>
                <w:highlight w:val="yellow"/>
              </w:rPr>
            </w:pPr>
            <w:r>
              <w:rPr>
                <w:rFonts w:hint="eastAsia" w:ascii="宋体" w:hAnsi="宋体" w:eastAsia="宋体" w:cs="宋体"/>
                <w:snapToGrid w:val="0"/>
                <w:color w:val="auto"/>
                <w:kern w:val="0"/>
                <w:sz w:val="24"/>
                <w:szCs w:val="24"/>
                <w:highlight w:val="none"/>
                <w:lang w:val="en-US" w:eastAsia="zh-CN"/>
              </w:rPr>
              <w:t>上级财政资金，不足部分由业主单位自筹解决；100%</w:t>
            </w:r>
          </w:p>
        </w:tc>
      </w:tr>
      <w:tr w14:paraId="3442750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3A9168D7">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7</w:t>
            </w:r>
          </w:p>
        </w:tc>
        <w:tc>
          <w:tcPr>
            <w:tcW w:w="1707" w:type="dxa"/>
            <w:tcBorders>
              <w:top w:val="single" w:color="auto" w:sz="4" w:space="0"/>
              <w:left w:val="single" w:color="auto" w:sz="4" w:space="0"/>
              <w:bottom w:val="single" w:color="auto" w:sz="4" w:space="0"/>
              <w:right w:val="single" w:color="auto" w:sz="4" w:space="0"/>
            </w:tcBorders>
            <w:noWrap w:val="0"/>
            <w:vAlign w:val="center"/>
          </w:tcPr>
          <w:p w14:paraId="284482FF">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招标人</w:t>
            </w:r>
          </w:p>
        </w:tc>
        <w:tc>
          <w:tcPr>
            <w:tcW w:w="8200" w:type="dxa"/>
            <w:tcBorders>
              <w:top w:val="single" w:color="auto" w:sz="4" w:space="0"/>
              <w:left w:val="single" w:color="auto" w:sz="4" w:space="0"/>
              <w:bottom w:val="single" w:color="auto" w:sz="4" w:space="0"/>
              <w:right w:val="single" w:color="auto" w:sz="4" w:space="0"/>
            </w:tcBorders>
            <w:noWrap w:val="0"/>
            <w:vAlign w:val="center"/>
          </w:tcPr>
          <w:p w14:paraId="78D4A9C0">
            <w:pPr>
              <w:pageBreakBefore w:val="0"/>
              <w:kinsoku/>
              <w:wordWrap w:val="0"/>
              <w:overflowPunct/>
              <w:topLinePunct w:val="0"/>
              <w:autoSpaceDE/>
              <w:autoSpaceDN/>
              <w:bidi w:val="0"/>
              <w:adjustRightInd w:val="0"/>
              <w:snapToGrid w:val="0"/>
              <w:spacing w:line="360" w:lineRule="auto"/>
              <w:ind w:firstLine="240" w:firstLineChars="100"/>
              <w:jc w:val="both"/>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rPr>
              <w:t>乐昌市白石镇人民政府</w:t>
            </w:r>
          </w:p>
        </w:tc>
      </w:tr>
      <w:tr w14:paraId="034A01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34CAFC13">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8</w:t>
            </w:r>
          </w:p>
        </w:tc>
        <w:tc>
          <w:tcPr>
            <w:tcW w:w="1707" w:type="dxa"/>
            <w:tcBorders>
              <w:top w:val="single" w:color="auto" w:sz="4" w:space="0"/>
              <w:left w:val="single" w:color="auto" w:sz="4" w:space="0"/>
              <w:bottom w:val="single" w:color="auto" w:sz="4" w:space="0"/>
              <w:right w:val="single" w:color="auto" w:sz="4" w:space="0"/>
            </w:tcBorders>
            <w:noWrap w:val="0"/>
            <w:vAlign w:val="center"/>
          </w:tcPr>
          <w:p w14:paraId="06ED73F2">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招标代理机构</w:t>
            </w:r>
          </w:p>
        </w:tc>
        <w:tc>
          <w:tcPr>
            <w:tcW w:w="8200" w:type="dxa"/>
            <w:tcBorders>
              <w:top w:val="single" w:color="auto" w:sz="4" w:space="0"/>
              <w:left w:val="single" w:color="auto" w:sz="4" w:space="0"/>
              <w:bottom w:val="single" w:color="auto" w:sz="4" w:space="0"/>
              <w:right w:val="single" w:color="auto" w:sz="4" w:space="0"/>
            </w:tcBorders>
            <w:noWrap w:val="0"/>
            <w:vAlign w:val="center"/>
          </w:tcPr>
          <w:p w14:paraId="2824CCA1">
            <w:pPr>
              <w:pageBreakBefore w:val="0"/>
              <w:kinsoku/>
              <w:wordWrap w:val="0"/>
              <w:overflowPunct/>
              <w:topLinePunct w:val="0"/>
              <w:autoSpaceDE/>
              <w:autoSpaceDN/>
              <w:bidi w:val="0"/>
              <w:adjustRightInd w:val="0"/>
              <w:snapToGrid w:val="0"/>
              <w:spacing w:line="360" w:lineRule="auto"/>
              <w:jc w:val="both"/>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 xml:space="preserve">  广东穗源工程项目管理有限公司</w:t>
            </w:r>
          </w:p>
        </w:tc>
      </w:tr>
      <w:tr w14:paraId="0FB9D58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6A04240E">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9</w:t>
            </w:r>
          </w:p>
        </w:tc>
        <w:tc>
          <w:tcPr>
            <w:tcW w:w="1707" w:type="dxa"/>
            <w:tcBorders>
              <w:top w:val="single" w:color="auto" w:sz="4" w:space="0"/>
              <w:left w:val="single" w:color="auto" w:sz="4" w:space="0"/>
              <w:bottom w:val="single" w:color="auto" w:sz="4" w:space="0"/>
              <w:right w:val="single" w:color="auto" w:sz="4" w:space="0"/>
            </w:tcBorders>
            <w:noWrap w:val="0"/>
            <w:vAlign w:val="center"/>
          </w:tcPr>
          <w:p w14:paraId="1D520F3B">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设计单位</w:t>
            </w:r>
          </w:p>
        </w:tc>
        <w:tc>
          <w:tcPr>
            <w:tcW w:w="8200" w:type="dxa"/>
            <w:tcBorders>
              <w:top w:val="single" w:color="auto" w:sz="4" w:space="0"/>
              <w:left w:val="single" w:color="auto" w:sz="4" w:space="0"/>
              <w:bottom w:val="single" w:color="auto" w:sz="4" w:space="0"/>
              <w:right w:val="single" w:color="auto" w:sz="4" w:space="0"/>
            </w:tcBorders>
            <w:noWrap w:val="0"/>
            <w:vAlign w:val="center"/>
          </w:tcPr>
          <w:p w14:paraId="6E2A0703">
            <w:pPr>
              <w:pageBreakBefore w:val="0"/>
              <w:kinsoku/>
              <w:wordWrap w:val="0"/>
              <w:overflowPunct/>
              <w:topLinePunct w:val="0"/>
              <w:autoSpaceDE/>
              <w:autoSpaceDN/>
              <w:bidi w:val="0"/>
              <w:adjustRightInd w:val="0"/>
              <w:snapToGrid w:val="0"/>
              <w:spacing w:line="360" w:lineRule="auto"/>
              <w:ind w:firstLine="240" w:firstLineChars="100"/>
              <w:jc w:val="both"/>
              <w:textAlignment w:val="auto"/>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color w:val="auto"/>
                <w:kern w:val="2"/>
                <w:sz w:val="24"/>
                <w:szCs w:val="24"/>
                <w:highlight w:val="none"/>
                <w:lang w:val="en-US" w:eastAsia="zh-CN" w:bidi="ar-SA"/>
              </w:rPr>
              <w:t>中亿国际设计集团有限公司</w:t>
            </w:r>
          </w:p>
        </w:tc>
      </w:tr>
      <w:tr w14:paraId="588CCB6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480A3A03">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10</w:t>
            </w:r>
          </w:p>
        </w:tc>
        <w:tc>
          <w:tcPr>
            <w:tcW w:w="1707" w:type="dxa"/>
            <w:tcBorders>
              <w:top w:val="single" w:color="auto" w:sz="4" w:space="0"/>
              <w:left w:val="single" w:color="auto" w:sz="4" w:space="0"/>
              <w:bottom w:val="single" w:color="auto" w:sz="4" w:space="0"/>
              <w:right w:val="single" w:color="auto" w:sz="4" w:space="0"/>
            </w:tcBorders>
            <w:noWrap w:val="0"/>
            <w:vAlign w:val="center"/>
          </w:tcPr>
          <w:p w14:paraId="3B67EC2B">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造价咨询单位</w:t>
            </w:r>
          </w:p>
        </w:tc>
        <w:tc>
          <w:tcPr>
            <w:tcW w:w="8200" w:type="dxa"/>
            <w:tcBorders>
              <w:top w:val="single" w:color="auto" w:sz="4" w:space="0"/>
              <w:left w:val="single" w:color="auto" w:sz="4" w:space="0"/>
              <w:bottom w:val="single" w:color="auto" w:sz="4" w:space="0"/>
              <w:right w:val="single" w:color="auto" w:sz="4" w:space="0"/>
            </w:tcBorders>
            <w:noWrap w:val="0"/>
            <w:vAlign w:val="center"/>
          </w:tcPr>
          <w:p w14:paraId="365EADFD">
            <w:pPr>
              <w:pageBreakBefore w:val="0"/>
              <w:kinsoku/>
              <w:wordWrap w:val="0"/>
              <w:overflowPunct/>
              <w:topLinePunct w:val="0"/>
              <w:autoSpaceDE/>
              <w:autoSpaceDN/>
              <w:bidi w:val="0"/>
              <w:adjustRightInd w:val="0"/>
              <w:snapToGrid w:val="0"/>
              <w:spacing w:line="360" w:lineRule="auto"/>
              <w:jc w:val="both"/>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 xml:space="preserve">  开复项目管理有限公司</w:t>
            </w:r>
          </w:p>
        </w:tc>
      </w:tr>
      <w:tr w14:paraId="09E6FF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4D21A048">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11</w:t>
            </w:r>
          </w:p>
        </w:tc>
        <w:tc>
          <w:tcPr>
            <w:tcW w:w="1707" w:type="dxa"/>
            <w:tcBorders>
              <w:top w:val="single" w:color="auto" w:sz="4" w:space="0"/>
              <w:left w:val="single" w:color="auto" w:sz="4" w:space="0"/>
              <w:bottom w:val="single" w:color="auto" w:sz="4" w:space="0"/>
              <w:right w:val="single" w:color="auto" w:sz="4" w:space="0"/>
            </w:tcBorders>
            <w:noWrap w:val="0"/>
            <w:vAlign w:val="center"/>
          </w:tcPr>
          <w:p w14:paraId="740221A8">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监理单位</w:t>
            </w:r>
          </w:p>
        </w:tc>
        <w:tc>
          <w:tcPr>
            <w:tcW w:w="8200" w:type="dxa"/>
            <w:tcBorders>
              <w:top w:val="single" w:color="auto" w:sz="4" w:space="0"/>
              <w:left w:val="single" w:color="auto" w:sz="4" w:space="0"/>
              <w:bottom w:val="single" w:color="auto" w:sz="4" w:space="0"/>
              <w:right w:val="single" w:color="auto" w:sz="4" w:space="0"/>
            </w:tcBorders>
            <w:noWrap w:val="0"/>
            <w:vAlign w:val="center"/>
          </w:tcPr>
          <w:p w14:paraId="60C9CBB0">
            <w:pPr>
              <w:pageBreakBefore w:val="0"/>
              <w:kinsoku/>
              <w:wordWrap w:val="0"/>
              <w:overflowPunct/>
              <w:topLinePunct w:val="0"/>
              <w:autoSpaceDE/>
              <w:autoSpaceDN/>
              <w:bidi w:val="0"/>
              <w:adjustRightInd w:val="0"/>
              <w:snapToGrid w:val="0"/>
              <w:spacing w:line="360" w:lineRule="auto"/>
              <w:jc w:val="both"/>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 xml:space="preserve">  待定</w:t>
            </w:r>
          </w:p>
        </w:tc>
      </w:tr>
      <w:tr w14:paraId="21C0FB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52386610">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12</w:t>
            </w:r>
          </w:p>
        </w:tc>
        <w:tc>
          <w:tcPr>
            <w:tcW w:w="1707" w:type="dxa"/>
            <w:tcBorders>
              <w:top w:val="single" w:color="auto" w:sz="4" w:space="0"/>
              <w:left w:val="single" w:color="auto" w:sz="4" w:space="0"/>
              <w:bottom w:val="single" w:color="auto" w:sz="4" w:space="0"/>
              <w:right w:val="single" w:color="auto" w:sz="4" w:space="0"/>
            </w:tcBorders>
            <w:noWrap w:val="0"/>
            <w:vAlign w:val="center"/>
          </w:tcPr>
          <w:p w14:paraId="3C450CF7">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yellow"/>
              </w:rPr>
            </w:pPr>
            <w:r>
              <w:rPr>
                <w:rFonts w:hint="eastAsia" w:ascii="宋体" w:hAnsi="宋体" w:eastAsia="宋体" w:cs="宋体"/>
                <w:snapToGrid w:val="0"/>
                <w:color w:val="auto"/>
                <w:kern w:val="0"/>
                <w:sz w:val="24"/>
                <w:szCs w:val="24"/>
                <w:highlight w:val="none"/>
              </w:rPr>
              <w:t>建设地点</w:t>
            </w:r>
          </w:p>
        </w:tc>
        <w:tc>
          <w:tcPr>
            <w:tcW w:w="8200" w:type="dxa"/>
            <w:tcBorders>
              <w:top w:val="single" w:color="auto" w:sz="4" w:space="0"/>
              <w:left w:val="single" w:color="auto" w:sz="4" w:space="0"/>
              <w:bottom w:val="single" w:color="auto" w:sz="4" w:space="0"/>
              <w:right w:val="single" w:color="auto" w:sz="4" w:space="0"/>
            </w:tcBorders>
            <w:noWrap w:val="0"/>
            <w:vAlign w:val="center"/>
          </w:tcPr>
          <w:p w14:paraId="25F426CC">
            <w:pPr>
              <w:pageBreakBefore w:val="0"/>
              <w:kinsoku/>
              <w:wordWrap w:val="0"/>
              <w:overflowPunct/>
              <w:topLinePunct w:val="0"/>
              <w:autoSpaceDE/>
              <w:autoSpaceDN/>
              <w:bidi w:val="0"/>
              <w:adjustRightInd w:val="0"/>
              <w:snapToGrid w:val="0"/>
              <w:spacing w:line="360" w:lineRule="auto"/>
              <w:jc w:val="both"/>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 xml:space="preserve">  乐昌市白石镇</w:t>
            </w:r>
          </w:p>
        </w:tc>
      </w:tr>
      <w:tr w14:paraId="117EDA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2A502684">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13</w:t>
            </w:r>
          </w:p>
        </w:tc>
        <w:tc>
          <w:tcPr>
            <w:tcW w:w="1707" w:type="dxa"/>
            <w:tcBorders>
              <w:top w:val="single" w:color="auto" w:sz="4" w:space="0"/>
              <w:left w:val="single" w:color="auto" w:sz="4" w:space="0"/>
              <w:bottom w:val="single" w:color="auto" w:sz="4" w:space="0"/>
              <w:right w:val="single" w:color="auto" w:sz="4" w:space="0"/>
            </w:tcBorders>
            <w:noWrap w:val="0"/>
            <w:vAlign w:val="center"/>
          </w:tcPr>
          <w:p w14:paraId="10B82600">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建设内容和规模</w:t>
            </w:r>
          </w:p>
        </w:tc>
        <w:tc>
          <w:tcPr>
            <w:tcW w:w="8200" w:type="dxa"/>
            <w:tcBorders>
              <w:top w:val="single" w:color="auto" w:sz="4" w:space="0"/>
              <w:left w:val="single" w:color="auto" w:sz="4" w:space="0"/>
              <w:bottom w:val="single" w:color="auto" w:sz="4" w:space="0"/>
              <w:right w:val="single" w:color="auto" w:sz="4" w:space="0"/>
            </w:tcBorders>
            <w:noWrap w:val="0"/>
            <w:vAlign w:val="center"/>
          </w:tcPr>
          <w:p w14:paraId="6DAFBF80">
            <w:pPr>
              <w:pageBreakBefore w:val="0"/>
              <w:kinsoku/>
              <w:wordWrap w:val="0"/>
              <w:overflowPunct/>
              <w:topLinePunct w:val="0"/>
              <w:autoSpaceDE/>
              <w:autoSpaceDN/>
              <w:bidi w:val="0"/>
              <w:adjustRightInd w:val="0"/>
              <w:snapToGrid w:val="0"/>
              <w:spacing w:line="360" w:lineRule="auto"/>
              <w:ind w:firstLine="240" w:firstLineChars="100"/>
              <w:jc w:val="both"/>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涉及坛祖村、水井村及油甫村3个行政村38个村小组，主要包括村道及巷道提升、排水沟、道路照明设施建设、乡村闲置地建设、农房微改造及村庄环境整治等。</w:t>
            </w:r>
          </w:p>
        </w:tc>
      </w:tr>
      <w:tr w14:paraId="2F144D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7AE8D64A">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14</w:t>
            </w:r>
          </w:p>
        </w:tc>
        <w:tc>
          <w:tcPr>
            <w:tcW w:w="1707" w:type="dxa"/>
            <w:tcBorders>
              <w:top w:val="single" w:color="auto" w:sz="4" w:space="0"/>
              <w:left w:val="single" w:color="auto" w:sz="4" w:space="0"/>
              <w:bottom w:val="single" w:color="auto" w:sz="4" w:space="0"/>
              <w:right w:val="single" w:color="auto" w:sz="4" w:space="0"/>
            </w:tcBorders>
            <w:noWrap w:val="0"/>
            <w:vAlign w:val="center"/>
          </w:tcPr>
          <w:p w14:paraId="0AF42C71">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项目总投资</w:t>
            </w:r>
          </w:p>
        </w:tc>
        <w:tc>
          <w:tcPr>
            <w:tcW w:w="8200" w:type="dxa"/>
            <w:tcBorders>
              <w:top w:val="single" w:color="auto" w:sz="4" w:space="0"/>
              <w:left w:val="single" w:color="auto" w:sz="4" w:space="0"/>
              <w:bottom w:val="single" w:color="auto" w:sz="4" w:space="0"/>
              <w:right w:val="single" w:color="auto" w:sz="4" w:space="0"/>
            </w:tcBorders>
            <w:noWrap w:val="0"/>
            <w:vAlign w:val="center"/>
          </w:tcPr>
          <w:p w14:paraId="3D5ADED5">
            <w:pPr>
              <w:keepNext w:val="0"/>
              <w:keepLines w:val="0"/>
              <w:pageBreakBefore w:val="0"/>
              <w:widowControl/>
              <w:suppressLineNumbers w:val="0"/>
              <w:kinsoku/>
              <w:overflowPunct/>
              <w:topLinePunct w:val="0"/>
              <w:autoSpaceDE/>
              <w:autoSpaceDN/>
              <w:bidi w:val="0"/>
              <w:spacing w:line="360" w:lineRule="auto"/>
              <w:ind w:firstLine="240" w:firstLineChars="100"/>
              <w:jc w:val="left"/>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项目估算总投资2913.77万元，其中：建安工程费用2431.12万元、工程建设其他费用402.11万元（含建设期利息费）、预备费80.54万元。</w:t>
            </w:r>
          </w:p>
        </w:tc>
      </w:tr>
      <w:tr w14:paraId="759D80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4FA8BEE1">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15</w:t>
            </w:r>
          </w:p>
        </w:tc>
        <w:tc>
          <w:tcPr>
            <w:tcW w:w="1707" w:type="dxa"/>
            <w:tcBorders>
              <w:top w:val="single" w:color="auto" w:sz="4" w:space="0"/>
              <w:left w:val="single" w:color="auto" w:sz="4" w:space="0"/>
              <w:bottom w:val="single" w:color="auto" w:sz="4" w:space="0"/>
              <w:right w:val="single" w:color="auto" w:sz="4" w:space="0"/>
            </w:tcBorders>
            <w:noWrap w:val="0"/>
            <w:vAlign w:val="center"/>
          </w:tcPr>
          <w:p w14:paraId="2032F397">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招标范围</w:t>
            </w:r>
          </w:p>
        </w:tc>
        <w:tc>
          <w:tcPr>
            <w:tcW w:w="8200" w:type="dxa"/>
            <w:tcBorders>
              <w:top w:val="single" w:color="auto" w:sz="4" w:space="0"/>
              <w:left w:val="single" w:color="auto" w:sz="4" w:space="0"/>
              <w:bottom w:val="single" w:color="auto" w:sz="4" w:space="0"/>
              <w:right w:val="single" w:color="auto" w:sz="4" w:space="0"/>
            </w:tcBorders>
            <w:noWrap w:val="0"/>
            <w:vAlign w:val="center"/>
          </w:tcPr>
          <w:p w14:paraId="0D98BF2A">
            <w:pPr>
              <w:pageBreakBefore w:val="0"/>
              <w:kinsoku/>
              <w:wordWrap w:val="0"/>
              <w:overflowPunct/>
              <w:topLinePunct w:val="0"/>
              <w:autoSpaceDE/>
              <w:autoSpaceDN/>
              <w:bidi w:val="0"/>
              <w:adjustRightInd w:val="0"/>
              <w:snapToGrid w:val="0"/>
              <w:spacing w:line="360" w:lineRule="auto"/>
              <w:ind w:firstLine="240" w:firstLineChars="100"/>
              <w:jc w:val="both"/>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施工图纸和工程量清单范围内</w:t>
            </w:r>
            <w:r>
              <w:rPr>
                <w:rFonts w:hint="eastAsia" w:ascii="宋体" w:hAnsi="宋体" w:eastAsia="宋体" w:cs="宋体"/>
                <w:bCs/>
                <w:snapToGrid w:val="0"/>
                <w:color w:val="auto"/>
                <w:kern w:val="0"/>
                <w:sz w:val="24"/>
                <w:szCs w:val="24"/>
                <w:highlight w:val="none"/>
              </w:rPr>
              <w:t>等</w:t>
            </w:r>
            <w:r>
              <w:rPr>
                <w:rFonts w:hint="eastAsia" w:ascii="宋体" w:hAnsi="宋体" w:eastAsia="宋体" w:cs="宋体"/>
                <w:bCs/>
                <w:snapToGrid w:val="0"/>
                <w:color w:val="auto"/>
                <w:kern w:val="0"/>
                <w:sz w:val="24"/>
                <w:szCs w:val="24"/>
                <w:highlight w:val="none"/>
                <w:lang w:val="en-US" w:eastAsia="zh-CN"/>
              </w:rPr>
              <w:t>所有</w:t>
            </w:r>
            <w:r>
              <w:rPr>
                <w:rFonts w:hint="eastAsia" w:ascii="宋体" w:hAnsi="宋体" w:eastAsia="宋体" w:cs="宋体"/>
                <w:bCs/>
                <w:snapToGrid w:val="0"/>
                <w:color w:val="auto"/>
                <w:kern w:val="0"/>
                <w:sz w:val="24"/>
                <w:szCs w:val="24"/>
                <w:highlight w:val="none"/>
              </w:rPr>
              <w:t>工程</w:t>
            </w:r>
            <w:r>
              <w:rPr>
                <w:rFonts w:hint="eastAsia" w:ascii="宋体" w:hAnsi="宋体" w:eastAsia="宋体" w:cs="宋体"/>
                <w:bCs/>
                <w:snapToGrid w:val="0"/>
                <w:color w:val="auto"/>
                <w:kern w:val="0"/>
                <w:sz w:val="24"/>
                <w:szCs w:val="24"/>
                <w:highlight w:val="none"/>
                <w:lang w:val="en-US" w:eastAsia="zh-CN"/>
              </w:rPr>
              <w:t>施工</w:t>
            </w:r>
            <w:r>
              <w:rPr>
                <w:rFonts w:hint="eastAsia" w:ascii="宋体" w:hAnsi="宋体" w:eastAsia="宋体" w:cs="宋体"/>
                <w:bCs/>
                <w:snapToGrid w:val="0"/>
                <w:color w:val="auto"/>
                <w:kern w:val="0"/>
                <w:sz w:val="24"/>
                <w:szCs w:val="24"/>
                <w:highlight w:val="none"/>
              </w:rPr>
              <w:t>。</w:t>
            </w:r>
          </w:p>
        </w:tc>
      </w:tr>
      <w:tr w14:paraId="0FEEBB5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39F5762E">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16</w:t>
            </w:r>
          </w:p>
        </w:tc>
        <w:tc>
          <w:tcPr>
            <w:tcW w:w="1707" w:type="dxa"/>
            <w:tcBorders>
              <w:top w:val="single" w:color="auto" w:sz="4" w:space="0"/>
              <w:left w:val="single" w:color="auto" w:sz="4" w:space="0"/>
              <w:bottom w:val="single" w:color="auto" w:sz="4" w:space="0"/>
              <w:right w:val="single" w:color="auto" w:sz="4" w:space="0"/>
            </w:tcBorders>
            <w:noWrap w:val="0"/>
            <w:vAlign w:val="center"/>
          </w:tcPr>
          <w:p w14:paraId="442098EB">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标段划分</w:t>
            </w:r>
          </w:p>
        </w:tc>
        <w:tc>
          <w:tcPr>
            <w:tcW w:w="8200" w:type="dxa"/>
            <w:tcBorders>
              <w:top w:val="single" w:color="auto" w:sz="4" w:space="0"/>
              <w:left w:val="single" w:color="auto" w:sz="4" w:space="0"/>
              <w:bottom w:val="single" w:color="auto" w:sz="4" w:space="0"/>
              <w:right w:val="single" w:color="auto" w:sz="4" w:space="0"/>
            </w:tcBorders>
            <w:noWrap w:val="0"/>
            <w:vAlign w:val="center"/>
          </w:tcPr>
          <w:p w14:paraId="2E095A86">
            <w:pPr>
              <w:pageBreakBefore w:val="0"/>
              <w:kinsoku/>
              <w:wordWrap w:val="0"/>
              <w:overflowPunct/>
              <w:topLinePunct w:val="0"/>
              <w:autoSpaceDE/>
              <w:autoSpaceDN/>
              <w:bidi w:val="0"/>
              <w:adjustRightInd w:val="0"/>
              <w:snapToGrid w:val="0"/>
              <w:spacing w:line="360" w:lineRule="auto"/>
              <w:ind w:firstLine="240" w:firstLineChars="1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本招标项目不划分标段。</w:t>
            </w:r>
          </w:p>
        </w:tc>
      </w:tr>
      <w:tr w14:paraId="6D4B92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55A0C054">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17</w:t>
            </w:r>
          </w:p>
        </w:tc>
        <w:tc>
          <w:tcPr>
            <w:tcW w:w="1707" w:type="dxa"/>
            <w:tcBorders>
              <w:top w:val="single" w:color="auto" w:sz="4" w:space="0"/>
              <w:left w:val="single" w:color="auto" w:sz="4" w:space="0"/>
              <w:bottom w:val="single" w:color="auto" w:sz="4" w:space="0"/>
              <w:right w:val="single" w:color="auto" w:sz="4" w:space="0"/>
            </w:tcBorders>
            <w:noWrap w:val="0"/>
            <w:vAlign w:val="center"/>
          </w:tcPr>
          <w:p w14:paraId="37E64560">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工期</w:t>
            </w:r>
          </w:p>
        </w:tc>
        <w:tc>
          <w:tcPr>
            <w:tcW w:w="8200" w:type="dxa"/>
            <w:tcBorders>
              <w:top w:val="single" w:color="auto" w:sz="4" w:space="0"/>
              <w:left w:val="single" w:color="auto" w:sz="4" w:space="0"/>
              <w:bottom w:val="single" w:color="auto" w:sz="4" w:space="0"/>
              <w:right w:val="single" w:color="auto" w:sz="4" w:space="0"/>
            </w:tcBorders>
            <w:noWrap w:val="0"/>
            <w:vAlign w:val="center"/>
          </w:tcPr>
          <w:p w14:paraId="4C913188">
            <w:pPr>
              <w:pageBreakBefore w:val="0"/>
              <w:kinsoku/>
              <w:wordWrap w:val="0"/>
              <w:overflowPunct/>
              <w:topLinePunct w:val="0"/>
              <w:autoSpaceDE/>
              <w:autoSpaceDN/>
              <w:bidi w:val="0"/>
              <w:adjustRightInd w:val="0"/>
              <w:snapToGrid w:val="0"/>
              <w:spacing w:line="360" w:lineRule="auto"/>
              <w:ind w:firstLine="240" w:firstLineChars="100"/>
              <w:textAlignment w:val="auto"/>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本招标项目施工工期为</w:t>
            </w:r>
            <w:r>
              <w:rPr>
                <w:rFonts w:hint="eastAsia" w:ascii="宋体" w:hAnsi="宋体" w:eastAsia="宋体" w:cs="宋体"/>
                <w:bCs/>
                <w:snapToGrid w:val="0"/>
                <w:color w:val="auto"/>
                <w:kern w:val="0"/>
                <w:sz w:val="24"/>
                <w:szCs w:val="24"/>
                <w:highlight w:val="none"/>
                <w:lang w:val="en-US" w:eastAsia="zh-CN"/>
              </w:rPr>
              <w:t>120</w:t>
            </w:r>
            <w:r>
              <w:rPr>
                <w:rFonts w:hint="eastAsia" w:ascii="宋体" w:hAnsi="宋体" w:eastAsia="宋体" w:cs="宋体"/>
                <w:bCs/>
                <w:snapToGrid w:val="0"/>
                <w:color w:val="auto"/>
                <w:kern w:val="0"/>
                <w:sz w:val="24"/>
                <w:szCs w:val="24"/>
                <w:highlight w:val="none"/>
              </w:rPr>
              <w:t>个日历天。</w:t>
            </w:r>
          </w:p>
        </w:tc>
      </w:tr>
      <w:tr w14:paraId="1BBB43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54208BCE">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18</w:t>
            </w:r>
          </w:p>
        </w:tc>
        <w:tc>
          <w:tcPr>
            <w:tcW w:w="1707" w:type="dxa"/>
            <w:tcBorders>
              <w:top w:val="single" w:color="auto" w:sz="4" w:space="0"/>
              <w:left w:val="single" w:color="auto" w:sz="4" w:space="0"/>
              <w:bottom w:val="single" w:color="auto" w:sz="4" w:space="0"/>
              <w:right w:val="single" w:color="auto" w:sz="4" w:space="0"/>
            </w:tcBorders>
            <w:noWrap w:val="0"/>
            <w:vAlign w:val="center"/>
          </w:tcPr>
          <w:p w14:paraId="268957F8">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质量标准</w:t>
            </w:r>
          </w:p>
        </w:tc>
        <w:tc>
          <w:tcPr>
            <w:tcW w:w="8200" w:type="dxa"/>
            <w:tcBorders>
              <w:top w:val="single" w:color="auto" w:sz="4" w:space="0"/>
              <w:left w:val="single" w:color="auto" w:sz="4" w:space="0"/>
              <w:bottom w:val="single" w:color="auto" w:sz="4" w:space="0"/>
              <w:right w:val="single" w:color="auto" w:sz="4" w:space="0"/>
            </w:tcBorders>
            <w:noWrap w:val="0"/>
            <w:vAlign w:val="center"/>
          </w:tcPr>
          <w:p w14:paraId="0D8B1228">
            <w:pPr>
              <w:pStyle w:val="6"/>
              <w:pageBreakBefore w:val="0"/>
              <w:kinsoku/>
              <w:overflowPunct/>
              <w:topLinePunct w:val="0"/>
              <w:autoSpaceDE/>
              <w:autoSpaceDN/>
              <w:bidi w:val="0"/>
              <w:spacing w:before="0" w:beforeLines="0" w:after="0" w:afterLines="0" w:line="360" w:lineRule="auto"/>
              <w:ind w:firstLine="240" w:firstLineChars="100"/>
              <w:textAlignment w:val="auto"/>
              <w:rPr>
                <w:rFonts w:hint="eastAsia" w:ascii="宋体" w:hAnsi="宋体" w:eastAsia="宋体" w:cs="宋体"/>
                <w:color w:val="auto"/>
                <w:sz w:val="24"/>
                <w:szCs w:val="24"/>
                <w:highlight w:val="none"/>
                <w:lang w:val="en-US"/>
              </w:rPr>
            </w:pPr>
            <w:bookmarkStart w:id="13" w:name="_Hlt106417017"/>
            <w:bookmarkEnd w:id="13"/>
            <w:r>
              <w:rPr>
                <w:rFonts w:hint="eastAsia" w:ascii="宋体" w:hAnsi="宋体" w:eastAsia="宋体" w:cs="宋体"/>
                <w:bCs/>
                <w:snapToGrid w:val="0"/>
                <w:color w:val="auto"/>
                <w:kern w:val="0"/>
                <w:sz w:val="24"/>
                <w:szCs w:val="24"/>
                <w:highlight w:val="none"/>
                <w:lang w:val="en-US" w:eastAsia="zh-CN" w:bidi="ar-SA"/>
              </w:rPr>
              <w:t>符合现行国家有关工程施工质量验收规范和标准的要求，质量目标达到合格。</w:t>
            </w:r>
          </w:p>
        </w:tc>
      </w:tr>
      <w:tr w14:paraId="691EAEC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6DCBC26C">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19</w:t>
            </w:r>
          </w:p>
        </w:tc>
        <w:tc>
          <w:tcPr>
            <w:tcW w:w="1707" w:type="dxa"/>
            <w:tcBorders>
              <w:top w:val="single" w:color="auto" w:sz="4" w:space="0"/>
              <w:left w:val="single" w:color="auto" w:sz="4" w:space="0"/>
              <w:bottom w:val="single" w:color="auto" w:sz="4" w:space="0"/>
              <w:right w:val="single" w:color="auto" w:sz="4" w:space="0"/>
            </w:tcBorders>
            <w:noWrap w:val="0"/>
            <w:vAlign w:val="center"/>
          </w:tcPr>
          <w:p w14:paraId="4034C329">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bCs/>
                <w:snapToGrid w:val="0"/>
                <w:color w:val="auto"/>
                <w:kern w:val="0"/>
                <w:sz w:val="24"/>
                <w:szCs w:val="24"/>
                <w:highlight w:val="none"/>
                <w:lang w:val="en-US" w:eastAsia="zh-CN" w:bidi="ar-SA"/>
              </w:rPr>
            </w:pPr>
            <w:r>
              <w:rPr>
                <w:rFonts w:hint="eastAsia" w:ascii="宋体" w:hAnsi="宋体" w:eastAsia="宋体" w:cs="宋体"/>
                <w:bCs/>
                <w:snapToGrid w:val="0"/>
                <w:color w:val="auto"/>
                <w:kern w:val="0"/>
                <w:sz w:val="24"/>
                <w:szCs w:val="24"/>
                <w:highlight w:val="none"/>
                <w:lang w:val="en-US" w:eastAsia="zh-CN" w:bidi="ar-SA"/>
              </w:rPr>
              <w:t>房屋建筑工程</w:t>
            </w:r>
          </w:p>
          <w:p w14:paraId="1DD4BD24">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bCs/>
                <w:snapToGrid w:val="0"/>
                <w:color w:val="auto"/>
                <w:kern w:val="0"/>
                <w:sz w:val="24"/>
                <w:szCs w:val="24"/>
                <w:highlight w:val="none"/>
                <w:lang w:val="en-US" w:eastAsia="zh-CN" w:bidi="ar-SA"/>
              </w:rPr>
            </w:pPr>
            <w:r>
              <w:rPr>
                <w:rFonts w:hint="eastAsia" w:ascii="宋体" w:hAnsi="宋体" w:eastAsia="宋体" w:cs="宋体"/>
                <w:bCs/>
                <w:snapToGrid w:val="0"/>
                <w:color w:val="auto"/>
                <w:kern w:val="0"/>
                <w:sz w:val="24"/>
                <w:szCs w:val="24"/>
                <w:highlight w:val="none"/>
                <w:lang w:val="en-US" w:eastAsia="zh-CN" w:bidi="ar-SA"/>
              </w:rPr>
              <w:t>绿色建筑标准</w:t>
            </w:r>
          </w:p>
        </w:tc>
        <w:tc>
          <w:tcPr>
            <w:tcW w:w="8200" w:type="dxa"/>
            <w:tcBorders>
              <w:top w:val="single" w:color="auto" w:sz="4" w:space="0"/>
              <w:left w:val="single" w:color="auto" w:sz="4" w:space="0"/>
              <w:bottom w:val="single" w:color="auto" w:sz="4" w:space="0"/>
              <w:right w:val="single" w:color="auto" w:sz="4" w:space="0"/>
            </w:tcBorders>
            <w:noWrap w:val="0"/>
            <w:vAlign w:val="center"/>
          </w:tcPr>
          <w:p w14:paraId="1800BCC6">
            <w:pPr>
              <w:pStyle w:val="28"/>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right="0" w:firstLine="240"/>
              <w:jc w:val="both"/>
              <w:rPr>
                <w:rFonts w:hint="eastAsia" w:ascii="宋体" w:hAnsi="宋体" w:eastAsia="宋体" w:cs="宋体"/>
                <w:bCs/>
                <w:snapToGrid w:val="0"/>
                <w:color w:val="auto"/>
                <w:kern w:val="0"/>
                <w:sz w:val="24"/>
                <w:szCs w:val="24"/>
                <w:highlight w:val="none"/>
                <w:lang w:val="en-US" w:eastAsia="zh-CN" w:bidi="ar-SA"/>
              </w:rPr>
            </w:pPr>
            <w:r>
              <w:rPr>
                <w:rFonts w:hint="eastAsia" w:ascii="宋体" w:hAnsi="宋体" w:eastAsia="宋体" w:cs="宋体"/>
                <w:color w:val="auto"/>
                <w:sz w:val="24"/>
                <w:szCs w:val="24"/>
              </w:rPr>
              <w:t>本招标项目不纳入绿色建设实施范围。</w:t>
            </w:r>
          </w:p>
        </w:tc>
      </w:tr>
      <w:tr w14:paraId="18BA85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7A2BF8C9">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19.1</w:t>
            </w:r>
          </w:p>
        </w:tc>
        <w:tc>
          <w:tcPr>
            <w:tcW w:w="1707" w:type="dxa"/>
            <w:tcBorders>
              <w:top w:val="single" w:color="auto" w:sz="4" w:space="0"/>
              <w:left w:val="single" w:color="auto" w:sz="4" w:space="0"/>
              <w:bottom w:val="single" w:color="auto" w:sz="4" w:space="0"/>
              <w:right w:val="single" w:color="auto" w:sz="4" w:space="0"/>
            </w:tcBorders>
            <w:noWrap w:val="0"/>
            <w:vAlign w:val="center"/>
          </w:tcPr>
          <w:p w14:paraId="40E60F16">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bCs/>
                <w:snapToGrid w:val="0"/>
                <w:color w:val="auto"/>
                <w:kern w:val="0"/>
                <w:sz w:val="24"/>
                <w:szCs w:val="24"/>
                <w:highlight w:val="none"/>
                <w:lang w:val="en-US" w:eastAsia="zh-CN" w:bidi="ar-SA"/>
              </w:rPr>
            </w:pPr>
            <w:r>
              <w:rPr>
                <w:rFonts w:hint="eastAsia" w:ascii="宋体" w:hAnsi="宋体" w:eastAsia="宋体" w:cs="宋体"/>
                <w:bCs/>
                <w:snapToGrid w:val="0"/>
                <w:color w:val="auto"/>
                <w:kern w:val="0"/>
                <w:sz w:val="24"/>
                <w:szCs w:val="24"/>
                <w:highlight w:val="none"/>
                <w:lang w:val="en-US" w:eastAsia="zh-CN" w:bidi="ar-SA"/>
              </w:rPr>
              <w:t>装配式建筑标准</w:t>
            </w:r>
          </w:p>
        </w:tc>
        <w:tc>
          <w:tcPr>
            <w:tcW w:w="8200" w:type="dxa"/>
            <w:tcBorders>
              <w:top w:val="single" w:color="auto" w:sz="4" w:space="0"/>
              <w:left w:val="single" w:color="auto" w:sz="4" w:space="0"/>
              <w:bottom w:val="single" w:color="auto" w:sz="4" w:space="0"/>
              <w:right w:val="single" w:color="auto" w:sz="4" w:space="0"/>
            </w:tcBorders>
            <w:noWrap w:val="0"/>
            <w:vAlign w:val="center"/>
          </w:tcPr>
          <w:p w14:paraId="4E688130">
            <w:pPr>
              <w:pStyle w:val="28"/>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right="0" w:firstLine="240"/>
              <w:jc w:val="both"/>
              <w:rPr>
                <w:rFonts w:hint="eastAsia" w:ascii="宋体" w:hAnsi="宋体" w:eastAsia="宋体" w:cs="宋体"/>
                <w:bCs/>
                <w:snapToGrid w:val="0"/>
                <w:color w:val="auto"/>
                <w:kern w:val="0"/>
                <w:sz w:val="24"/>
                <w:szCs w:val="24"/>
                <w:highlight w:val="none"/>
                <w:lang w:val="en-US" w:eastAsia="zh-CN" w:bidi="ar-SA"/>
              </w:rPr>
            </w:pPr>
            <w:r>
              <w:rPr>
                <w:rFonts w:hint="eastAsia" w:ascii="宋体" w:hAnsi="宋体" w:eastAsia="宋体" w:cs="宋体"/>
                <w:color w:val="auto"/>
                <w:sz w:val="24"/>
                <w:szCs w:val="24"/>
              </w:rPr>
              <w:t>本招标项目不纳入装配式建造建设实施范围。</w:t>
            </w:r>
          </w:p>
        </w:tc>
      </w:tr>
      <w:tr w14:paraId="45D7D1D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21AFFC76">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20</w:t>
            </w:r>
          </w:p>
        </w:tc>
        <w:tc>
          <w:tcPr>
            <w:tcW w:w="1707" w:type="dxa"/>
            <w:tcBorders>
              <w:top w:val="single" w:color="auto" w:sz="4" w:space="0"/>
              <w:left w:val="single" w:color="auto" w:sz="4" w:space="0"/>
              <w:bottom w:val="single" w:color="auto" w:sz="4" w:space="0"/>
              <w:right w:val="single" w:color="auto" w:sz="4" w:space="0"/>
            </w:tcBorders>
            <w:noWrap w:val="0"/>
            <w:vAlign w:val="center"/>
          </w:tcPr>
          <w:p w14:paraId="59378A76">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trike/>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lang w:eastAsia="zh-CN"/>
              </w:rPr>
              <w:t>最高投标限价</w:t>
            </w:r>
          </w:p>
        </w:tc>
        <w:tc>
          <w:tcPr>
            <w:tcW w:w="8200" w:type="dxa"/>
            <w:tcBorders>
              <w:top w:val="single" w:color="auto" w:sz="4" w:space="0"/>
              <w:left w:val="single" w:color="auto" w:sz="4" w:space="0"/>
              <w:bottom w:val="single" w:color="auto" w:sz="4" w:space="0"/>
              <w:right w:val="single" w:color="auto" w:sz="4" w:space="0"/>
            </w:tcBorders>
            <w:noWrap w:val="0"/>
            <w:vAlign w:val="center"/>
          </w:tcPr>
          <w:p w14:paraId="0DE3806E">
            <w:pPr>
              <w:pageBreakBefore w:val="0"/>
              <w:kinsoku/>
              <w:wordWrap w:val="0"/>
              <w:overflowPunct/>
              <w:topLinePunct w:val="0"/>
              <w:autoSpaceDE/>
              <w:autoSpaceDN/>
              <w:bidi w:val="0"/>
              <w:adjustRightInd w:val="0"/>
              <w:snapToGrid w:val="0"/>
              <w:spacing w:line="360" w:lineRule="auto"/>
              <w:ind w:firstLine="240" w:firstLineChars="100"/>
              <w:textAlignment w:val="auto"/>
              <w:rPr>
                <w:rFonts w:hint="eastAsia" w:ascii="宋体" w:hAnsi="宋体" w:eastAsia="宋体" w:cs="宋体"/>
                <w:color w:val="auto"/>
                <w:lang w:val="en-US" w:eastAsia="zh-CN"/>
              </w:rPr>
            </w:pPr>
            <w:r>
              <w:rPr>
                <w:rFonts w:hint="eastAsia" w:ascii="宋体" w:hAnsi="宋体" w:eastAsia="宋体" w:cs="宋体"/>
                <w:color w:val="auto"/>
                <w:sz w:val="24"/>
                <w:szCs w:val="24"/>
                <w:highlight w:val="none"/>
                <w:shd w:val="clear" w:fill="FFFFFF"/>
              </w:rPr>
              <w:t>本项目的</w:t>
            </w:r>
            <w:r>
              <w:rPr>
                <w:rFonts w:hint="eastAsia" w:ascii="宋体" w:hAnsi="宋体" w:eastAsia="宋体" w:cs="宋体"/>
                <w:color w:val="auto"/>
                <w:sz w:val="24"/>
                <w:szCs w:val="24"/>
                <w:highlight w:val="none"/>
                <w:shd w:val="clear" w:fill="FFFFFF"/>
                <w:lang w:eastAsia="zh-CN"/>
              </w:rPr>
              <w:t>最高投标限价</w:t>
            </w:r>
            <w:r>
              <w:rPr>
                <w:rFonts w:hint="eastAsia" w:ascii="宋体" w:hAnsi="宋体" w:eastAsia="宋体" w:cs="宋体"/>
                <w:color w:val="auto"/>
                <w:sz w:val="24"/>
                <w:szCs w:val="24"/>
                <w:highlight w:val="none"/>
                <w:shd w:val="clear" w:fill="FFFFFF"/>
              </w:rPr>
              <w:t>为人民币（大写）：</w:t>
            </w:r>
            <w:r>
              <w:rPr>
                <w:rFonts w:hint="eastAsia" w:ascii="宋体" w:hAnsi="宋体" w:eastAsia="宋体" w:cs="宋体"/>
                <w:color w:val="auto"/>
                <w:sz w:val="24"/>
                <w:szCs w:val="24"/>
                <w:highlight w:val="none"/>
                <w:u w:val="single"/>
                <w:shd w:val="clear" w:fill="FFFFFF"/>
                <w:lang w:val="en-US" w:eastAsia="zh-CN"/>
              </w:rPr>
              <w:t>壹仟捌佰叁拾柒万柒仟壹佰贰拾肆元玖角捌分</w:t>
            </w:r>
            <w:r>
              <w:rPr>
                <w:rFonts w:hint="eastAsia" w:ascii="宋体" w:hAnsi="宋体" w:eastAsia="宋体" w:cs="宋体"/>
                <w:color w:val="auto"/>
                <w:sz w:val="24"/>
                <w:szCs w:val="24"/>
                <w:highlight w:val="none"/>
                <w:shd w:val="clear" w:fill="FFFFFF"/>
              </w:rPr>
              <w:t>(</w:t>
            </w:r>
            <w:r>
              <w:rPr>
                <w:rFonts w:hint="eastAsia" w:ascii="宋体" w:hAnsi="宋体" w:eastAsia="宋体" w:cs="宋体"/>
                <w:color w:val="auto"/>
                <w:sz w:val="24"/>
                <w:szCs w:val="24"/>
                <w:highlight w:val="none"/>
                <w:shd w:val="clear" w:fill="FFFFFF"/>
                <w:lang w:val="en-US" w:eastAsia="zh-CN"/>
              </w:rPr>
              <w:t>小写：</w:t>
            </w:r>
            <w:r>
              <w:rPr>
                <w:rFonts w:hint="eastAsia" w:ascii="宋体" w:hAnsi="宋体" w:eastAsia="宋体" w:cs="宋体"/>
                <w:snapToGrid w:val="0"/>
                <w:color w:val="auto"/>
                <w:kern w:val="0"/>
                <w:highlight w:val="none"/>
              </w:rPr>
              <w:t>¥</w:t>
            </w:r>
            <w:r>
              <w:rPr>
                <w:rFonts w:hint="eastAsia" w:ascii="宋体" w:hAnsi="宋体" w:eastAsia="宋体" w:cs="宋体"/>
                <w:color w:val="auto"/>
                <w:sz w:val="24"/>
                <w:szCs w:val="24"/>
                <w:highlight w:val="none"/>
                <w:u w:val="single"/>
                <w:shd w:val="clear" w:fill="FFFFFF"/>
                <w:lang w:val="en-US" w:eastAsia="zh-CN"/>
              </w:rPr>
              <w:t>18377124.98</w:t>
            </w:r>
            <w:r>
              <w:rPr>
                <w:rFonts w:hint="eastAsia" w:ascii="宋体" w:hAnsi="宋体" w:eastAsia="宋体" w:cs="宋体"/>
                <w:color w:val="auto"/>
                <w:sz w:val="24"/>
                <w:szCs w:val="24"/>
                <w:highlight w:val="none"/>
                <w:shd w:val="clear" w:fill="FFFFFF"/>
              </w:rPr>
              <w:t>元)；其中</w:t>
            </w:r>
            <w:r>
              <w:rPr>
                <w:rFonts w:hint="eastAsia" w:ascii="宋体" w:hAnsi="宋体" w:eastAsia="宋体" w:cs="宋体"/>
                <w:color w:val="auto"/>
                <w:sz w:val="24"/>
                <w:szCs w:val="24"/>
                <w:highlight w:val="none"/>
                <w:shd w:val="clear" w:fill="FFFFFF"/>
                <w:lang w:eastAsia="zh-CN"/>
              </w:rPr>
              <w:t>安全生产措施费</w:t>
            </w:r>
            <w:r>
              <w:rPr>
                <w:rFonts w:hint="eastAsia" w:ascii="宋体" w:hAnsi="宋体" w:eastAsia="宋体" w:cs="宋体"/>
                <w:color w:val="auto"/>
                <w:sz w:val="24"/>
                <w:szCs w:val="24"/>
                <w:highlight w:val="none"/>
                <w:shd w:val="clear" w:fill="FFFFFF"/>
              </w:rPr>
              <w:t>¥</w:t>
            </w:r>
            <w:r>
              <w:rPr>
                <w:rFonts w:hint="eastAsia" w:ascii="宋体" w:hAnsi="宋体" w:eastAsia="宋体" w:cs="宋体"/>
                <w:color w:val="auto"/>
                <w:sz w:val="24"/>
                <w:szCs w:val="24"/>
                <w:highlight w:val="none"/>
                <w:u w:val="single"/>
                <w:shd w:val="clear" w:fill="FFFFFF"/>
                <w:lang w:val="en-US" w:eastAsia="zh-CN"/>
              </w:rPr>
              <w:t>430716.85</w:t>
            </w:r>
            <w:r>
              <w:rPr>
                <w:rFonts w:hint="eastAsia" w:ascii="宋体" w:hAnsi="宋体" w:eastAsia="宋体" w:cs="宋体"/>
                <w:color w:val="auto"/>
                <w:sz w:val="24"/>
                <w:szCs w:val="24"/>
                <w:highlight w:val="none"/>
                <w:shd w:val="clear" w:fill="FFFFFF"/>
              </w:rPr>
              <w:t>元，</w:t>
            </w:r>
            <w:r>
              <w:rPr>
                <w:rFonts w:hint="eastAsia" w:ascii="宋体" w:hAnsi="宋体" w:eastAsia="宋体" w:cs="宋体"/>
                <w:color w:val="auto"/>
                <w:sz w:val="24"/>
                <w:szCs w:val="24"/>
                <w:highlight w:val="none"/>
                <w:shd w:val="clear" w:fill="FFFFFF"/>
                <w:lang w:val="en-US" w:eastAsia="zh-CN"/>
              </w:rPr>
              <w:t>暂列金额</w:t>
            </w:r>
            <w:r>
              <w:rPr>
                <w:rFonts w:hint="eastAsia" w:ascii="宋体" w:hAnsi="宋体" w:eastAsia="宋体" w:cs="宋体"/>
                <w:color w:val="auto"/>
                <w:sz w:val="24"/>
                <w:szCs w:val="24"/>
                <w:highlight w:val="none"/>
                <w:shd w:val="clear" w:fill="FFFFFF"/>
              </w:rPr>
              <w:t>为</w:t>
            </w:r>
            <w:r>
              <w:rPr>
                <w:rFonts w:hint="eastAsia" w:ascii="宋体" w:hAnsi="宋体" w:eastAsia="宋体" w:cs="宋体"/>
                <w:snapToGrid w:val="0"/>
                <w:color w:val="auto"/>
                <w:kern w:val="0"/>
                <w:highlight w:val="none"/>
              </w:rPr>
              <w:t>¥</w:t>
            </w:r>
            <w:r>
              <w:rPr>
                <w:rFonts w:hint="eastAsia" w:ascii="宋体" w:hAnsi="宋体" w:eastAsia="宋体" w:cs="宋体"/>
                <w:color w:val="auto"/>
                <w:sz w:val="24"/>
                <w:szCs w:val="24"/>
                <w:highlight w:val="none"/>
                <w:u w:val="single"/>
                <w:shd w:val="clear" w:fill="FFFFFF"/>
                <w:lang w:val="en-US" w:eastAsia="zh-CN"/>
              </w:rPr>
              <w:t>378000.00</w:t>
            </w:r>
            <w:r>
              <w:rPr>
                <w:rFonts w:hint="eastAsia" w:ascii="宋体" w:hAnsi="宋体" w:eastAsia="宋体" w:cs="宋体"/>
                <w:color w:val="auto"/>
                <w:sz w:val="24"/>
                <w:szCs w:val="24"/>
                <w:highlight w:val="none"/>
                <w:shd w:val="clear" w:fill="FFFFFF"/>
              </w:rPr>
              <w:t>元</w:t>
            </w:r>
            <w:r>
              <w:rPr>
                <w:rFonts w:hint="eastAsia" w:ascii="宋体" w:hAnsi="宋体" w:eastAsia="宋体" w:cs="宋体"/>
                <w:color w:val="auto"/>
                <w:sz w:val="24"/>
                <w:szCs w:val="24"/>
                <w:highlight w:val="none"/>
                <w:shd w:val="clear" w:fill="FFFFFF"/>
                <w:lang w:eastAsia="zh-CN"/>
              </w:rPr>
              <w:t>，</w:t>
            </w:r>
            <w:r>
              <w:rPr>
                <w:rFonts w:hint="eastAsia" w:ascii="宋体" w:hAnsi="宋体" w:eastAsia="宋体" w:cs="宋体"/>
                <w:color w:val="auto"/>
                <w:sz w:val="24"/>
                <w:szCs w:val="24"/>
                <w:highlight w:val="none"/>
                <w:shd w:val="clear" w:fill="FFFFFF"/>
                <w:lang w:val="en-US" w:eastAsia="zh-CN"/>
              </w:rPr>
              <w:t>暂估价</w:t>
            </w:r>
            <w:r>
              <w:rPr>
                <w:rFonts w:hint="eastAsia" w:ascii="宋体" w:hAnsi="宋体" w:eastAsia="宋体" w:cs="宋体"/>
                <w:color w:val="auto"/>
                <w:sz w:val="24"/>
                <w:szCs w:val="24"/>
                <w:highlight w:val="none"/>
                <w:shd w:val="clear" w:fill="FFFFFF"/>
              </w:rPr>
              <w:t>为</w:t>
            </w:r>
            <w:r>
              <w:rPr>
                <w:rFonts w:hint="eastAsia" w:ascii="宋体" w:hAnsi="宋体" w:eastAsia="宋体" w:cs="宋体"/>
                <w:snapToGrid w:val="0"/>
                <w:color w:val="auto"/>
                <w:kern w:val="0"/>
                <w:highlight w:val="none"/>
              </w:rPr>
              <w:t>¥</w:t>
            </w:r>
            <w:r>
              <w:rPr>
                <w:rFonts w:hint="eastAsia" w:ascii="宋体" w:hAnsi="宋体" w:eastAsia="宋体" w:cs="宋体"/>
                <w:color w:val="auto"/>
                <w:sz w:val="24"/>
                <w:szCs w:val="24"/>
                <w:highlight w:val="none"/>
                <w:u w:val="single"/>
                <w:shd w:val="clear" w:fill="FFFFFF"/>
                <w:lang w:val="en-US" w:eastAsia="zh-CN"/>
              </w:rPr>
              <w:t>/</w:t>
            </w:r>
            <w:r>
              <w:rPr>
                <w:rFonts w:hint="eastAsia" w:ascii="宋体" w:hAnsi="宋体" w:eastAsia="宋体" w:cs="宋体"/>
                <w:color w:val="auto"/>
                <w:sz w:val="24"/>
                <w:szCs w:val="24"/>
                <w:highlight w:val="none"/>
                <w:shd w:val="clear" w:fill="FFFFFF"/>
              </w:rPr>
              <w:t>元。</w:t>
            </w:r>
          </w:p>
        </w:tc>
      </w:tr>
      <w:tr w14:paraId="7603C4F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5F9DBD2F">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21</w:t>
            </w:r>
          </w:p>
        </w:tc>
        <w:tc>
          <w:tcPr>
            <w:tcW w:w="1707" w:type="dxa"/>
            <w:tcBorders>
              <w:top w:val="single" w:color="auto" w:sz="4" w:space="0"/>
              <w:left w:val="single" w:color="auto" w:sz="4" w:space="0"/>
              <w:bottom w:val="single" w:color="auto" w:sz="4" w:space="0"/>
              <w:right w:val="single" w:color="auto" w:sz="4" w:space="0"/>
            </w:tcBorders>
            <w:noWrap w:val="0"/>
            <w:vAlign w:val="center"/>
          </w:tcPr>
          <w:p w14:paraId="6439991A">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投标人资格要求</w:t>
            </w:r>
          </w:p>
        </w:tc>
        <w:tc>
          <w:tcPr>
            <w:tcW w:w="8200" w:type="dxa"/>
            <w:tcBorders>
              <w:top w:val="single" w:color="auto" w:sz="4" w:space="0"/>
              <w:left w:val="single" w:color="auto" w:sz="4" w:space="0"/>
              <w:bottom w:val="single" w:color="auto" w:sz="4" w:space="0"/>
              <w:right w:val="single" w:color="auto" w:sz="4" w:space="0"/>
            </w:tcBorders>
            <w:noWrap w:val="0"/>
            <w:vAlign w:val="center"/>
          </w:tcPr>
          <w:p w14:paraId="6CCB21FB">
            <w:pPr>
              <w:pageBreakBefore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rPr>
              <w:t>1．本次招标</w:t>
            </w:r>
            <w:r>
              <w:rPr>
                <w:rFonts w:hint="eastAsia" w:ascii="宋体" w:hAnsi="宋体" w:eastAsia="宋体" w:cs="宋体"/>
                <w:snapToGrid w:val="0"/>
                <w:color w:val="auto"/>
                <w:kern w:val="0"/>
                <w:sz w:val="24"/>
                <w:szCs w:val="24"/>
                <w:highlight w:val="none"/>
                <w:lang w:val="en-US" w:eastAsia="zh-CN"/>
              </w:rPr>
              <w:t>不</w:t>
            </w:r>
            <w:r>
              <w:rPr>
                <w:rFonts w:hint="eastAsia" w:ascii="宋体" w:hAnsi="宋体" w:eastAsia="宋体" w:cs="宋体"/>
                <w:snapToGrid w:val="0"/>
                <w:color w:val="auto"/>
                <w:kern w:val="0"/>
                <w:sz w:val="24"/>
                <w:szCs w:val="24"/>
                <w:highlight w:val="none"/>
              </w:rPr>
              <w:t>接受联合体投标</w:t>
            </w:r>
            <w:r>
              <w:rPr>
                <w:rFonts w:hint="eastAsia" w:ascii="宋体" w:hAnsi="宋体" w:eastAsia="宋体" w:cs="宋体"/>
                <w:snapToGrid w:val="0"/>
                <w:color w:val="auto"/>
                <w:kern w:val="0"/>
                <w:sz w:val="24"/>
                <w:szCs w:val="24"/>
                <w:highlight w:val="none"/>
                <w:lang w:eastAsia="zh-CN"/>
              </w:rPr>
              <w:t>。</w:t>
            </w:r>
          </w:p>
          <w:p w14:paraId="24756A3B">
            <w:pPr>
              <w:pageBreakBefore w:val="0"/>
              <w:kinsoku/>
              <w:wordWrap w:val="0"/>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2．资质要求</w:t>
            </w:r>
          </w:p>
          <w:p w14:paraId="589D85A6">
            <w:pPr>
              <w:pageBreakBefore w:val="0"/>
              <w:kinsoku/>
              <w:wordWrap w:val="0"/>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2.1 投标人须具备独立法人资格，按国家法律经营。</w:t>
            </w:r>
          </w:p>
          <w:p w14:paraId="2D153965">
            <w:pPr>
              <w:pageBreakBefore w:val="0"/>
              <w:kinsoku/>
              <w:wordWrap w:val="0"/>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2.2 投标人须持有建设行政主管部门颁发的企业资质证书及安全生产许可证。</w:t>
            </w:r>
          </w:p>
          <w:p w14:paraId="0EAB4BF2">
            <w:pPr>
              <w:pageBreakBefore w:val="0"/>
              <w:kinsoku/>
              <w:wordWrap w:val="0"/>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b w:val="0"/>
                <w:bCs w:val="0"/>
                <w:i w:val="0"/>
                <w:iCs w:val="0"/>
                <w:caps w:val="0"/>
                <w:color w:val="auto"/>
                <w:spacing w:val="0"/>
                <w:sz w:val="24"/>
                <w:szCs w:val="24"/>
                <w:highlight w:val="none"/>
                <w:u w:val="single"/>
                <w:shd w:val="clear" w:fill="FFFFFF"/>
              </w:rPr>
            </w:pPr>
            <w:r>
              <w:rPr>
                <w:rFonts w:hint="eastAsia" w:ascii="宋体" w:hAnsi="宋体" w:eastAsia="宋体" w:cs="宋体"/>
                <w:snapToGrid w:val="0"/>
                <w:color w:val="auto"/>
                <w:kern w:val="0"/>
                <w:sz w:val="24"/>
                <w:szCs w:val="24"/>
                <w:highlight w:val="none"/>
              </w:rPr>
              <w:t>2.3 投标人须具备以下资质：具备建设行政主管部门颁发的</w:t>
            </w:r>
            <w:r>
              <w:rPr>
                <w:rFonts w:hint="eastAsia" w:ascii="宋体" w:hAnsi="宋体" w:eastAsia="宋体" w:cs="宋体"/>
                <w:b w:val="0"/>
                <w:bCs w:val="0"/>
                <w:snapToGrid w:val="0"/>
                <w:color w:val="auto"/>
                <w:kern w:val="0"/>
                <w:sz w:val="24"/>
                <w:szCs w:val="24"/>
                <w:highlight w:val="none"/>
                <w:u w:val="single"/>
                <w:lang w:eastAsia="zh-CN"/>
              </w:rPr>
              <w:t>市政公用工程施工总承包叁级以上（含叁级）</w:t>
            </w:r>
            <w:r>
              <w:rPr>
                <w:rFonts w:hint="eastAsia" w:ascii="宋体" w:hAnsi="宋体" w:eastAsia="宋体" w:cs="宋体"/>
                <w:b w:val="0"/>
                <w:bCs w:val="0"/>
                <w:snapToGrid w:val="0"/>
                <w:color w:val="auto"/>
                <w:kern w:val="0"/>
                <w:sz w:val="24"/>
                <w:szCs w:val="24"/>
                <w:highlight w:val="none"/>
              </w:rPr>
              <w:t>资质。</w:t>
            </w:r>
          </w:p>
          <w:p w14:paraId="089BEBD8">
            <w:pPr>
              <w:pageBreakBefore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2.4 根据有关文件精神，投标人的企业相关证书到期的，均按该证书的发证机构相关行业主管部门最新文件执行（如自动顺延或推迟办理延期业务的通知），投标人必须将相关文件附在该证书后面中，证明在开标日继续有效。</w:t>
            </w:r>
          </w:p>
          <w:p w14:paraId="20B014BE">
            <w:pPr>
              <w:pageBreakBefore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3．相关人员要求</w:t>
            </w:r>
          </w:p>
          <w:p w14:paraId="7653A9B8">
            <w:pPr>
              <w:pageBreakBefore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xml:space="preserve">3.1 </w:t>
            </w:r>
            <w:r>
              <w:rPr>
                <w:rFonts w:hint="eastAsia" w:ascii="宋体" w:hAnsi="宋体" w:eastAsia="宋体" w:cs="宋体"/>
                <w:color w:val="auto"/>
                <w:sz w:val="24"/>
                <w:szCs w:val="24"/>
                <w:highlight w:val="none"/>
              </w:rPr>
              <w:t>投标人拟派项目经理为</w:t>
            </w:r>
            <w:r>
              <w:rPr>
                <w:rFonts w:hint="eastAsia" w:ascii="宋体" w:hAnsi="宋体" w:eastAsia="宋体" w:cs="宋体"/>
                <w:b w:val="0"/>
                <w:bCs w:val="0"/>
                <w:color w:val="auto"/>
                <w:sz w:val="24"/>
                <w:szCs w:val="24"/>
                <w:highlight w:val="none"/>
                <w:u w:val="single"/>
              </w:rPr>
              <w:t>市政公用工程</w:t>
            </w:r>
            <w:r>
              <w:rPr>
                <w:rFonts w:hint="eastAsia" w:ascii="宋体" w:hAnsi="宋体" w:eastAsia="宋体" w:cs="宋体"/>
                <w:color w:val="auto"/>
                <w:sz w:val="24"/>
                <w:szCs w:val="24"/>
                <w:highlight w:val="none"/>
              </w:rPr>
              <w:t>专业一级或二级注册建造师，应持有住建部门印发的在使用有效期内的有效电子注册证书（根据广东省住房和城乡建设厅（粤建市函〔2023〕469 号）文件精神，二级注册建造师可随注册企业在全国范围内执业）。同时均须具备有效安全生产考核合格证明（B证，安全生产考核合格证书或“广东省建筑施工企业管理人员安全生产考核信息系统”考核合格信息打印页），且未担任其他在施（包括已中标未开工、已开工未竣工）建设工程项目的项目经理。</w:t>
            </w:r>
          </w:p>
          <w:p w14:paraId="4A13E78E">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3.2 拟派项目技术负责人须具备</w:t>
            </w:r>
            <w:r>
              <w:rPr>
                <w:rFonts w:hint="eastAsia" w:ascii="宋体" w:hAnsi="宋体" w:eastAsia="宋体" w:cs="宋体"/>
                <w:b w:val="0"/>
                <w:bCs w:val="0"/>
                <w:snapToGrid w:val="0"/>
                <w:color w:val="auto"/>
                <w:kern w:val="0"/>
                <w:sz w:val="24"/>
                <w:szCs w:val="24"/>
                <w:highlight w:val="none"/>
                <w:u w:val="single"/>
                <w:lang w:val="en-US" w:eastAsia="zh-CN"/>
              </w:rPr>
              <w:t>市政类</w:t>
            </w:r>
            <w:r>
              <w:rPr>
                <w:rFonts w:hint="eastAsia" w:ascii="宋体" w:hAnsi="宋体" w:eastAsia="宋体" w:cs="宋体"/>
                <w:b w:val="0"/>
                <w:bCs w:val="0"/>
                <w:snapToGrid w:val="0"/>
                <w:color w:val="auto"/>
                <w:kern w:val="0"/>
                <w:sz w:val="24"/>
                <w:szCs w:val="24"/>
                <w:highlight w:val="none"/>
                <w:u w:val="single"/>
              </w:rPr>
              <w:t>相关</w:t>
            </w:r>
            <w:r>
              <w:rPr>
                <w:rFonts w:hint="eastAsia" w:ascii="宋体" w:hAnsi="宋体" w:eastAsia="宋体" w:cs="宋体"/>
                <w:snapToGrid w:val="0"/>
                <w:color w:val="auto"/>
                <w:kern w:val="0"/>
                <w:sz w:val="24"/>
                <w:szCs w:val="24"/>
                <w:highlight w:val="none"/>
              </w:rPr>
              <w:t>专业</w:t>
            </w:r>
            <w:r>
              <w:rPr>
                <w:rFonts w:hint="eastAsia" w:ascii="宋体" w:hAnsi="宋体" w:eastAsia="宋体" w:cs="宋体"/>
                <w:b w:val="0"/>
                <w:bCs w:val="0"/>
                <w:snapToGrid w:val="0"/>
                <w:color w:val="auto"/>
                <w:kern w:val="0"/>
                <w:sz w:val="24"/>
                <w:szCs w:val="24"/>
                <w:highlight w:val="none"/>
                <w:u w:val="single"/>
                <w:lang w:val="en-US" w:eastAsia="zh-CN"/>
              </w:rPr>
              <w:t>中</w:t>
            </w:r>
            <w:r>
              <w:rPr>
                <w:rFonts w:hint="eastAsia" w:ascii="宋体" w:hAnsi="宋体" w:eastAsia="宋体" w:cs="宋体"/>
                <w:b w:val="0"/>
                <w:bCs w:val="0"/>
                <w:snapToGrid w:val="0"/>
                <w:color w:val="auto"/>
                <w:kern w:val="0"/>
                <w:sz w:val="24"/>
                <w:szCs w:val="24"/>
                <w:highlight w:val="none"/>
              </w:rPr>
              <w:t>级以上（含</w:t>
            </w:r>
            <w:r>
              <w:rPr>
                <w:rFonts w:hint="eastAsia" w:ascii="宋体" w:hAnsi="宋体" w:eastAsia="宋体" w:cs="宋体"/>
                <w:b w:val="0"/>
                <w:bCs w:val="0"/>
                <w:snapToGrid w:val="0"/>
                <w:color w:val="auto"/>
                <w:kern w:val="0"/>
                <w:sz w:val="24"/>
                <w:szCs w:val="24"/>
                <w:highlight w:val="none"/>
                <w:u w:val="single"/>
                <w:lang w:val="en-US" w:eastAsia="zh-CN"/>
              </w:rPr>
              <w:t>中</w:t>
            </w:r>
            <w:r>
              <w:rPr>
                <w:rFonts w:hint="eastAsia" w:ascii="宋体" w:hAnsi="宋体" w:eastAsia="宋体" w:cs="宋体"/>
                <w:b w:val="0"/>
                <w:bCs w:val="0"/>
                <w:snapToGrid w:val="0"/>
                <w:color w:val="auto"/>
                <w:kern w:val="0"/>
                <w:sz w:val="24"/>
                <w:szCs w:val="24"/>
                <w:highlight w:val="none"/>
              </w:rPr>
              <w:t>级）</w:t>
            </w:r>
            <w:r>
              <w:rPr>
                <w:rFonts w:hint="eastAsia" w:ascii="宋体" w:hAnsi="宋体" w:eastAsia="宋体" w:cs="宋体"/>
                <w:snapToGrid w:val="0"/>
                <w:color w:val="auto"/>
                <w:kern w:val="0"/>
                <w:sz w:val="24"/>
                <w:szCs w:val="24"/>
                <w:highlight w:val="none"/>
              </w:rPr>
              <w:t>技术职称。</w:t>
            </w:r>
          </w:p>
          <w:p w14:paraId="5F9B4C42">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3.3 拟派专职安全生产管理人员须具备有效安全生产考核合格证明（C证，安全生产考核合格证书或“广东省建筑施工企业管理人员安全生产考核信息系统”考核合格信息打印页），且不少于</w:t>
            </w:r>
            <w:r>
              <w:rPr>
                <w:rFonts w:hint="eastAsia" w:ascii="宋体" w:hAnsi="宋体" w:eastAsia="宋体" w:cs="宋体"/>
                <w:b w:val="0"/>
                <w:bCs w:val="0"/>
                <w:snapToGrid w:val="0"/>
                <w:color w:val="auto"/>
                <w:kern w:val="0"/>
                <w:sz w:val="24"/>
                <w:szCs w:val="24"/>
                <w:highlight w:val="none"/>
                <w:u w:val="single"/>
                <w:lang w:val="en-US" w:eastAsia="zh-CN"/>
              </w:rPr>
              <w:t>1</w:t>
            </w:r>
            <w:r>
              <w:rPr>
                <w:rFonts w:hint="eastAsia" w:ascii="宋体" w:hAnsi="宋体" w:eastAsia="宋体" w:cs="宋体"/>
                <w:b w:val="0"/>
                <w:bCs w:val="0"/>
                <w:snapToGrid w:val="0"/>
                <w:color w:val="auto"/>
                <w:kern w:val="0"/>
                <w:sz w:val="24"/>
                <w:szCs w:val="24"/>
                <w:highlight w:val="none"/>
              </w:rPr>
              <w:t>人</w:t>
            </w:r>
            <w:r>
              <w:rPr>
                <w:rFonts w:hint="eastAsia" w:ascii="宋体" w:hAnsi="宋体" w:eastAsia="宋体" w:cs="宋体"/>
                <w:snapToGrid w:val="0"/>
                <w:color w:val="auto"/>
                <w:kern w:val="0"/>
                <w:sz w:val="24"/>
                <w:szCs w:val="24"/>
                <w:highlight w:val="none"/>
              </w:rPr>
              <w:t xml:space="preserve">。 </w:t>
            </w:r>
          </w:p>
          <w:p w14:paraId="2ABE4404">
            <w:pPr>
              <w:pageBreakBefore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3.4 投标人与其拟派往本项目管理机构的所有人员之间必须具备合法、唯一的劳动聘用关系</w:t>
            </w:r>
            <w:r>
              <w:rPr>
                <w:rFonts w:hint="eastAsia" w:ascii="宋体" w:hAnsi="宋体" w:eastAsia="宋体" w:cs="宋体"/>
                <w:color w:val="auto"/>
                <w:highlight w:val="none"/>
              </w:rPr>
              <w:t>（提供社保证明或劳动合同）</w:t>
            </w:r>
            <w:r>
              <w:rPr>
                <w:rFonts w:hint="eastAsia" w:ascii="宋体" w:hAnsi="宋体" w:eastAsia="宋体" w:cs="宋体"/>
                <w:snapToGrid w:val="0"/>
                <w:color w:val="auto"/>
                <w:kern w:val="0"/>
                <w:sz w:val="24"/>
                <w:szCs w:val="24"/>
                <w:highlight w:val="none"/>
              </w:rPr>
              <w:t>。拟派人员中具备注册执业资格的，其注册单位须与投标人保持一致。</w:t>
            </w:r>
          </w:p>
          <w:p w14:paraId="4108B950">
            <w:pPr>
              <w:pageBreakBefore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4．禁止投标条款：</w:t>
            </w:r>
          </w:p>
          <w:p w14:paraId="66663910">
            <w:pPr>
              <w:pageBreakBefore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xml:space="preserve">4.1 投标人不得存在下列情形之一：    </w:t>
            </w:r>
          </w:p>
          <w:p w14:paraId="12187784">
            <w:pPr>
              <w:pageBreakBefore w:val="0"/>
              <w:kinsoku/>
              <w:wordWrap w:val="0"/>
              <w:overflowPunct/>
              <w:topLinePunct w:val="0"/>
              <w:autoSpaceDE/>
              <w:autoSpaceDN/>
              <w:bidi w:val="0"/>
              <w:adjustRightInd w:val="0"/>
              <w:snapToGrid w:val="0"/>
              <w:spacing w:line="360" w:lineRule="auto"/>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（1）为招标人不具有独立法人资格的附属机构（单位）；</w:t>
            </w:r>
          </w:p>
          <w:p w14:paraId="38403E77">
            <w:pPr>
              <w:pageBreakBefore w:val="0"/>
              <w:kinsoku/>
              <w:wordWrap w:val="0"/>
              <w:overflowPunct/>
              <w:topLinePunct w:val="0"/>
              <w:autoSpaceDE/>
              <w:autoSpaceDN/>
              <w:bidi w:val="0"/>
              <w:adjustRightInd w:val="0"/>
              <w:snapToGrid w:val="0"/>
              <w:spacing w:line="360" w:lineRule="auto"/>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（2）为本招标项目前期准备提供设计或咨询服务的；</w:t>
            </w:r>
          </w:p>
          <w:p w14:paraId="24894662">
            <w:pPr>
              <w:pageBreakBefore w:val="0"/>
              <w:kinsoku/>
              <w:wordWrap w:val="0"/>
              <w:overflowPunct/>
              <w:topLinePunct w:val="0"/>
              <w:autoSpaceDE/>
              <w:autoSpaceDN/>
              <w:bidi w:val="0"/>
              <w:adjustRightInd w:val="0"/>
              <w:snapToGrid w:val="0"/>
              <w:spacing w:line="360" w:lineRule="auto"/>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（3）与本招标项目的其他投标人为同一个单位负责人；</w:t>
            </w:r>
          </w:p>
          <w:p w14:paraId="27901649">
            <w:pPr>
              <w:pageBreakBefore w:val="0"/>
              <w:kinsoku/>
              <w:wordWrap w:val="0"/>
              <w:overflowPunct/>
              <w:topLinePunct w:val="0"/>
              <w:autoSpaceDE/>
              <w:autoSpaceDN/>
              <w:bidi w:val="0"/>
              <w:adjustRightInd w:val="0"/>
              <w:snapToGrid w:val="0"/>
              <w:spacing w:line="360" w:lineRule="auto"/>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（4）与本招标项目的其他投标人存在控股、管理关系；</w:t>
            </w:r>
          </w:p>
          <w:p w14:paraId="091BC197">
            <w:pPr>
              <w:pageBreakBefore w:val="0"/>
              <w:kinsoku/>
              <w:wordWrap w:val="0"/>
              <w:overflowPunct/>
              <w:topLinePunct w:val="0"/>
              <w:autoSpaceDE/>
              <w:autoSpaceDN/>
              <w:bidi w:val="0"/>
              <w:adjustRightInd w:val="0"/>
              <w:snapToGrid w:val="0"/>
              <w:spacing w:line="360" w:lineRule="auto"/>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（5）为本招标项目的监理人；</w:t>
            </w:r>
          </w:p>
          <w:p w14:paraId="1A3C08C5">
            <w:pPr>
              <w:pageBreakBefore w:val="0"/>
              <w:kinsoku/>
              <w:wordWrap w:val="0"/>
              <w:overflowPunct/>
              <w:topLinePunct w:val="0"/>
              <w:autoSpaceDE/>
              <w:autoSpaceDN/>
              <w:bidi w:val="0"/>
              <w:adjustRightInd w:val="0"/>
              <w:snapToGrid w:val="0"/>
              <w:spacing w:line="360" w:lineRule="auto"/>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（6）为本招标项目的代建人；</w:t>
            </w:r>
          </w:p>
          <w:p w14:paraId="27D6F5BD">
            <w:pPr>
              <w:pageBreakBefore w:val="0"/>
              <w:kinsoku/>
              <w:wordWrap w:val="0"/>
              <w:overflowPunct/>
              <w:topLinePunct w:val="0"/>
              <w:autoSpaceDE/>
              <w:autoSpaceDN/>
              <w:bidi w:val="0"/>
              <w:adjustRightInd w:val="0"/>
              <w:snapToGrid w:val="0"/>
              <w:spacing w:line="360" w:lineRule="auto"/>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（7）为本招标项目的招标代理机构；</w:t>
            </w:r>
          </w:p>
          <w:p w14:paraId="4B279A2E">
            <w:pPr>
              <w:pageBreakBefore w:val="0"/>
              <w:kinsoku/>
              <w:wordWrap w:val="0"/>
              <w:overflowPunct/>
              <w:topLinePunct w:val="0"/>
              <w:autoSpaceDE/>
              <w:autoSpaceDN/>
              <w:bidi w:val="0"/>
              <w:adjustRightInd w:val="0"/>
              <w:snapToGrid w:val="0"/>
              <w:spacing w:line="360" w:lineRule="auto"/>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（8）与本招标项目的监理人或代建人或招标代理机构同为一个法定代表人；</w:t>
            </w:r>
          </w:p>
          <w:p w14:paraId="19C2B53C">
            <w:pPr>
              <w:pageBreakBefore w:val="0"/>
              <w:kinsoku/>
              <w:wordWrap w:val="0"/>
              <w:overflowPunct/>
              <w:topLinePunct w:val="0"/>
              <w:autoSpaceDE/>
              <w:autoSpaceDN/>
              <w:bidi w:val="0"/>
              <w:adjustRightInd w:val="0"/>
              <w:snapToGrid w:val="0"/>
              <w:spacing w:line="360" w:lineRule="auto"/>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（9）与本招标项目的监理人或代建人或招标代理机构存在控股或参股关系；</w:t>
            </w:r>
          </w:p>
          <w:p w14:paraId="2B641147">
            <w:pPr>
              <w:pageBreakBefore w:val="0"/>
              <w:kinsoku/>
              <w:wordWrap w:val="0"/>
              <w:overflowPunct/>
              <w:topLinePunct w:val="0"/>
              <w:autoSpaceDE/>
              <w:autoSpaceDN/>
              <w:bidi w:val="0"/>
              <w:adjustRightInd w:val="0"/>
              <w:snapToGrid w:val="0"/>
              <w:spacing w:line="360" w:lineRule="auto"/>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（10）与本招标项目的监理人或代建人或招标代理机构存在相互任职或工作关系；</w:t>
            </w:r>
          </w:p>
          <w:p w14:paraId="558AB604">
            <w:pPr>
              <w:pageBreakBefore w:val="0"/>
              <w:kinsoku/>
              <w:wordWrap w:val="0"/>
              <w:overflowPunct/>
              <w:topLinePunct w:val="0"/>
              <w:autoSpaceDE/>
              <w:autoSpaceDN/>
              <w:bidi w:val="0"/>
              <w:adjustRightInd w:val="0"/>
              <w:snapToGrid w:val="0"/>
              <w:spacing w:line="360" w:lineRule="auto"/>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（11）被依法暂停或者取消投标资格；</w:t>
            </w:r>
          </w:p>
          <w:p w14:paraId="7233EE1B">
            <w:pPr>
              <w:pageBreakBefore w:val="0"/>
              <w:kinsoku/>
              <w:wordWrap w:val="0"/>
              <w:overflowPunct/>
              <w:topLinePunct w:val="0"/>
              <w:autoSpaceDE/>
              <w:autoSpaceDN/>
              <w:bidi w:val="0"/>
              <w:adjustRightInd w:val="0"/>
              <w:snapToGrid w:val="0"/>
              <w:spacing w:line="360" w:lineRule="auto"/>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（12）被责令停产停业、暂扣或者吊销许可证、暂扣或者吊销执照；</w:t>
            </w:r>
          </w:p>
          <w:p w14:paraId="394C68C5">
            <w:pPr>
              <w:pageBreakBefore w:val="0"/>
              <w:kinsoku/>
              <w:wordWrap w:val="0"/>
              <w:overflowPunct/>
              <w:topLinePunct w:val="0"/>
              <w:autoSpaceDE/>
              <w:autoSpaceDN/>
              <w:bidi w:val="0"/>
              <w:adjustRightInd w:val="0"/>
              <w:snapToGrid w:val="0"/>
              <w:spacing w:line="360" w:lineRule="auto"/>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（13）进入清算程序，或被宣告破产，或其他丧失履约能力的情形；</w:t>
            </w:r>
          </w:p>
          <w:p w14:paraId="7B0BB098">
            <w:pPr>
              <w:pageBreakBefore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（14）在最近三年内发生重大工程质量或安全问题（以相关行业主管部门的行政处罚决定或司法机关出具的有关法律文书为准）；</w:t>
            </w:r>
          </w:p>
          <w:p w14:paraId="4FCF4656">
            <w:pPr>
              <w:pageBreakBefore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（15）被“信用中国”网站（https://www.creditchina.gov.cn）发布的《</w:t>
            </w:r>
            <w:r>
              <w:rPr>
                <w:rFonts w:hint="eastAsia" w:ascii="宋体" w:hAnsi="宋体" w:eastAsia="宋体" w:cs="宋体"/>
                <w:snapToGrid w:val="0"/>
                <w:color w:val="auto"/>
                <w:kern w:val="0"/>
                <w:sz w:val="24"/>
                <w:szCs w:val="24"/>
                <w:highlight w:val="none"/>
                <w:lang w:eastAsia="zh-CN"/>
              </w:rPr>
              <w:t>法人和非法人组织公共信用信息报告</w:t>
            </w:r>
            <w:r>
              <w:rPr>
                <w:rFonts w:hint="eastAsia" w:ascii="宋体" w:hAnsi="宋体" w:eastAsia="宋体" w:cs="宋体"/>
                <w:snapToGrid w:val="0"/>
                <w:color w:val="auto"/>
                <w:kern w:val="0"/>
                <w:sz w:val="24"/>
                <w:szCs w:val="24"/>
                <w:highlight w:val="none"/>
              </w:rPr>
              <w:t>》列为严重失信主体名单的。</w:t>
            </w:r>
          </w:p>
          <w:p w14:paraId="0085428D">
            <w:pPr>
              <w:pageBreakBefore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4.2 招标人拒绝以下名单中的单位参加本次投标：</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8"/>
              <w:gridCol w:w="3791"/>
              <w:gridCol w:w="3558"/>
            </w:tblGrid>
            <w:tr w14:paraId="17970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718" w:type="dxa"/>
                  <w:noWrap w:val="0"/>
                  <w:vAlign w:val="center"/>
                </w:tcPr>
                <w:p w14:paraId="5E50EC52">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3791" w:type="dxa"/>
                  <w:noWrap w:val="0"/>
                  <w:vAlign w:val="center"/>
                </w:tcPr>
                <w:p w14:paraId="5B8422B6">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单位名称</w:t>
                  </w:r>
                </w:p>
              </w:tc>
              <w:tc>
                <w:tcPr>
                  <w:tcW w:w="3558" w:type="dxa"/>
                  <w:noWrap w:val="0"/>
                  <w:vAlign w:val="center"/>
                </w:tcPr>
                <w:p w14:paraId="748EC6D4">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拒绝原因</w:t>
                  </w:r>
                </w:p>
              </w:tc>
            </w:tr>
            <w:tr w14:paraId="1903E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718" w:type="dxa"/>
                  <w:noWrap w:val="0"/>
                  <w:vAlign w:val="center"/>
                </w:tcPr>
                <w:p w14:paraId="1E4ECAC8">
                  <w:pPr>
                    <w:pStyle w:val="136"/>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1</w:t>
                  </w:r>
                </w:p>
              </w:tc>
              <w:tc>
                <w:tcPr>
                  <w:tcW w:w="3791" w:type="dxa"/>
                  <w:noWrap w:val="0"/>
                  <w:vAlign w:val="center"/>
                </w:tcPr>
                <w:p w14:paraId="08AF106A">
                  <w:pPr>
                    <w:pageBreakBefore w:val="0"/>
                    <w:tabs>
                      <w:tab w:val="left" w:pos="1180"/>
                    </w:tabs>
                    <w:kinsoku/>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开复项目管理有限公司</w:t>
                  </w:r>
                </w:p>
              </w:tc>
              <w:tc>
                <w:tcPr>
                  <w:tcW w:w="3558" w:type="dxa"/>
                  <w:noWrap w:val="0"/>
                  <w:vAlign w:val="center"/>
                </w:tcPr>
                <w:p w14:paraId="15AF4C4B">
                  <w:pPr>
                    <w:pStyle w:val="136"/>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为本招标项目的</w:t>
                  </w:r>
                  <w:r>
                    <w:rPr>
                      <w:rFonts w:hint="eastAsia" w:ascii="宋体" w:hAnsi="宋体" w:eastAsia="宋体" w:cs="宋体"/>
                      <w:color w:val="auto"/>
                      <w:sz w:val="24"/>
                      <w:szCs w:val="24"/>
                      <w:highlight w:val="none"/>
                      <w:lang w:val="en-US" w:eastAsia="zh-CN"/>
                    </w:rPr>
                    <w:t>造价</w:t>
                  </w:r>
                  <w:r>
                    <w:rPr>
                      <w:rFonts w:hint="eastAsia" w:ascii="宋体" w:hAnsi="宋体" w:eastAsia="宋体" w:cs="宋体"/>
                      <w:color w:val="auto"/>
                      <w:sz w:val="24"/>
                      <w:szCs w:val="24"/>
                      <w:highlight w:val="none"/>
                    </w:rPr>
                    <w:t>单位</w:t>
                  </w:r>
                </w:p>
              </w:tc>
            </w:tr>
            <w:tr w14:paraId="02174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718" w:type="dxa"/>
                  <w:noWrap w:val="0"/>
                  <w:vAlign w:val="center"/>
                </w:tcPr>
                <w:p w14:paraId="166D187C">
                  <w:pPr>
                    <w:pStyle w:val="136"/>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p>
              </w:tc>
              <w:tc>
                <w:tcPr>
                  <w:tcW w:w="3791" w:type="dxa"/>
                  <w:noWrap w:val="0"/>
                  <w:vAlign w:val="center"/>
                </w:tcPr>
                <w:p w14:paraId="4348A36F">
                  <w:pPr>
                    <w:pageBreakBefore w:val="0"/>
                    <w:tabs>
                      <w:tab w:val="left" w:pos="1180"/>
                    </w:tabs>
                    <w:kinsoku/>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中亿国际设计集团有限公司</w:t>
                  </w:r>
                </w:p>
              </w:tc>
              <w:tc>
                <w:tcPr>
                  <w:tcW w:w="3558" w:type="dxa"/>
                  <w:noWrap w:val="0"/>
                  <w:vAlign w:val="center"/>
                </w:tcPr>
                <w:p w14:paraId="002E16E4">
                  <w:pPr>
                    <w:pStyle w:val="136"/>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highlight w:val="yellow"/>
                    </w:rPr>
                  </w:pPr>
                  <w:r>
                    <w:rPr>
                      <w:rFonts w:hint="eastAsia" w:ascii="宋体" w:hAnsi="宋体" w:eastAsia="宋体" w:cs="宋体"/>
                      <w:color w:val="auto"/>
                      <w:sz w:val="24"/>
                      <w:szCs w:val="24"/>
                      <w:highlight w:val="none"/>
                    </w:rPr>
                    <w:t>为本招标项目的设计单位</w:t>
                  </w:r>
                </w:p>
              </w:tc>
            </w:tr>
            <w:tr w14:paraId="6EB45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718" w:type="dxa"/>
                  <w:noWrap w:val="0"/>
                  <w:vAlign w:val="center"/>
                </w:tcPr>
                <w:p w14:paraId="26598700">
                  <w:pPr>
                    <w:pStyle w:val="136"/>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3</w:t>
                  </w:r>
                </w:p>
              </w:tc>
              <w:tc>
                <w:tcPr>
                  <w:tcW w:w="3791" w:type="dxa"/>
                  <w:noWrap w:val="0"/>
                  <w:vAlign w:val="center"/>
                </w:tcPr>
                <w:p w14:paraId="370173F6">
                  <w:pPr>
                    <w:pStyle w:val="136"/>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eastAsia="zh-CN"/>
                    </w:rPr>
                    <w:t>广东穗源工程项目管理有限公司</w:t>
                  </w:r>
                </w:p>
              </w:tc>
              <w:tc>
                <w:tcPr>
                  <w:tcW w:w="3558" w:type="dxa"/>
                  <w:noWrap w:val="0"/>
                  <w:vAlign w:val="center"/>
                </w:tcPr>
                <w:p w14:paraId="4B85756D">
                  <w:pPr>
                    <w:pStyle w:val="136"/>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为本招标项目的招标代理机构</w:t>
                  </w:r>
                </w:p>
              </w:tc>
            </w:tr>
            <w:tr w14:paraId="46C38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718" w:type="dxa"/>
                  <w:noWrap w:val="0"/>
                  <w:vAlign w:val="center"/>
                </w:tcPr>
                <w:p w14:paraId="4FB93B3F">
                  <w:pPr>
                    <w:pStyle w:val="136"/>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4</w:t>
                  </w:r>
                </w:p>
              </w:tc>
              <w:tc>
                <w:tcPr>
                  <w:tcW w:w="3791" w:type="dxa"/>
                  <w:noWrap w:val="0"/>
                  <w:vAlign w:val="center"/>
                </w:tcPr>
                <w:p w14:paraId="65722431">
                  <w:pPr>
                    <w:pStyle w:val="136"/>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乐昌市白石镇人民政府</w:t>
                  </w:r>
                </w:p>
              </w:tc>
              <w:tc>
                <w:tcPr>
                  <w:tcW w:w="3558" w:type="dxa"/>
                  <w:noWrap w:val="0"/>
                  <w:vAlign w:val="center"/>
                </w:tcPr>
                <w:p w14:paraId="75AEA8AC">
                  <w:pPr>
                    <w:pStyle w:val="136"/>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为本招标项目的招标人</w:t>
                  </w:r>
                </w:p>
              </w:tc>
            </w:tr>
            <w:tr w14:paraId="70B66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718" w:type="dxa"/>
                  <w:noWrap w:val="0"/>
                  <w:vAlign w:val="center"/>
                </w:tcPr>
                <w:p w14:paraId="0888F255">
                  <w:pPr>
                    <w:pStyle w:val="136"/>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w:t>
                  </w:r>
                </w:p>
              </w:tc>
              <w:tc>
                <w:tcPr>
                  <w:tcW w:w="3791" w:type="dxa"/>
                  <w:noWrap w:val="0"/>
                  <w:vAlign w:val="center"/>
                </w:tcPr>
                <w:p w14:paraId="0C92E66B">
                  <w:pPr>
                    <w:pStyle w:val="136"/>
                    <w:wordWrap w:val="0"/>
                    <w:adjustRightInd w:val="0"/>
                    <w:snapToGrid w:val="0"/>
                    <w:spacing w:line="360" w:lineRule="auto"/>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乐昌市农业农村局(乐昌市乡村振兴局)</w:t>
                  </w:r>
                </w:p>
              </w:tc>
              <w:tc>
                <w:tcPr>
                  <w:tcW w:w="3558" w:type="dxa"/>
                  <w:noWrap w:val="0"/>
                  <w:vAlign w:val="center"/>
                </w:tcPr>
                <w:p w14:paraId="79E0A10E">
                  <w:pPr>
                    <w:pStyle w:val="136"/>
                    <w:wordWrap w:val="0"/>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为本招标项目的</w:t>
                  </w:r>
                  <w:r>
                    <w:rPr>
                      <w:rFonts w:hint="eastAsia" w:ascii="宋体" w:hAnsi="宋体" w:eastAsia="宋体" w:cs="宋体"/>
                      <w:snapToGrid w:val="0"/>
                      <w:color w:val="auto"/>
                      <w:kern w:val="0"/>
                      <w:sz w:val="24"/>
                      <w:szCs w:val="24"/>
                      <w:highlight w:val="none"/>
                      <w:lang w:val="en-US" w:eastAsia="zh-CN"/>
                    </w:rPr>
                    <w:t>监督单位</w:t>
                  </w:r>
                </w:p>
              </w:tc>
            </w:tr>
            <w:tr w14:paraId="15BD9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718" w:type="dxa"/>
                  <w:noWrap w:val="0"/>
                  <w:vAlign w:val="center"/>
                </w:tcPr>
                <w:p w14:paraId="2A9F32D1">
                  <w:pPr>
                    <w:pStyle w:val="136"/>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w:t>
                  </w:r>
                </w:p>
              </w:tc>
              <w:tc>
                <w:tcPr>
                  <w:tcW w:w="3791" w:type="dxa"/>
                  <w:noWrap w:val="0"/>
                  <w:vAlign w:val="center"/>
                </w:tcPr>
                <w:p w14:paraId="3A0F59F1">
                  <w:pPr>
                    <w:pStyle w:val="136"/>
                    <w:wordWrap w:val="0"/>
                    <w:adjustRightInd w:val="0"/>
                    <w:snapToGrid w:val="0"/>
                    <w:spacing w:line="360" w:lineRule="auto"/>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广东粤能工程管理有限公司</w:t>
                  </w:r>
                </w:p>
              </w:tc>
              <w:tc>
                <w:tcPr>
                  <w:tcW w:w="3558" w:type="dxa"/>
                  <w:noWrap w:val="0"/>
                  <w:vAlign w:val="center"/>
                </w:tcPr>
                <w:p w14:paraId="57C269EF">
                  <w:pPr>
                    <w:pStyle w:val="136"/>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为本招标项目的</w:t>
                  </w:r>
                  <w:r>
                    <w:rPr>
                      <w:rFonts w:hint="eastAsia" w:ascii="宋体" w:hAnsi="宋体" w:eastAsia="宋体" w:cs="宋体"/>
                      <w:snapToGrid w:val="0"/>
                      <w:color w:val="auto"/>
                      <w:kern w:val="0"/>
                      <w:sz w:val="24"/>
                      <w:szCs w:val="24"/>
                      <w:highlight w:val="none"/>
                      <w:lang w:val="en-US" w:eastAsia="zh-CN"/>
                    </w:rPr>
                    <w:t>可研编制单位</w:t>
                  </w:r>
                </w:p>
              </w:tc>
            </w:tr>
          </w:tbl>
          <w:p w14:paraId="538A8C34">
            <w:pPr>
              <w:pageBreakBefore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5．其他要求</w:t>
            </w:r>
          </w:p>
          <w:p w14:paraId="56AE9B8E">
            <w:pPr>
              <w:pageBreakBefore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省外企业及其拟派往本项目管理机构的所有人员均须按照《广东省住房和城乡建设厅关于取消省外建筑企业和人员进粤信息备案有关工作的通知》（粤建市﹝2015﹞52号）规定在“进粤企业和人员诚信信息登记平台”录入相关信息并通过数据规范检查。</w:t>
            </w:r>
          </w:p>
        </w:tc>
      </w:tr>
      <w:tr w14:paraId="784A48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2A19BAA2">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22</w:t>
            </w:r>
          </w:p>
        </w:tc>
        <w:tc>
          <w:tcPr>
            <w:tcW w:w="1707" w:type="dxa"/>
            <w:tcBorders>
              <w:top w:val="single" w:color="auto" w:sz="4" w:space="0"/>
              <w:left w:val="single" w:color="auto" w:sz="4" w:space="0"/>
              <w:bottom w:val="single" w:color="auto" w:sz="4" w:space="0"/>
              <w:right w:val="single" w:color="auto" w:sz="4" w:space="0"/>
            </w:tcBorders>
            <w:noWrap w:val="0"/>
            <w:vAlign w:val="center"/>
          </w:tcPr>
          <w:p w14:paraId="692D62B9">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投标保证</w:t>
            </w:r>
          </w:p>
        </w:tc>
        <w:tc>
          <w:tcPr>
            <w:tcW w:w="8200" w:type="dxa"/>
            <w:tcBorders>
              <w:top w:val="single" w:color="auto" w:sz="4" w:space="0"/>
              <w:left w:val="single" w:color="auto" w:sz="4" w:space="0"/>
              <w:bottom w:val="single" w:color="auto" w:sz="4" w:space="0"/>
              <w:right w:val="single" w:color="auto" w:sz="4" w:space="0"/>
            </w:tcBorders>
            <w:noWrap w:val="0"/>
            <w:vAlign w:val="center"/>
          </w:tcPr>
          <w:p w14:paraId="0A7A7B42">
            <w:pPr>
              <w:pageBreakBefore w:val="0"/>
              <w:kinsoku/>
              <w:wordWrap w:val="0"/>
              <w:overflowPunct/>
              <w:topLinePunct w:val="0"/>
              <w:autoSpaceDE/>
              <w:autoSpaceDN/>
              <w:bidi w:val="0"/>
              <w:adjustRightInd w:val="0"/>
              <w:snapToGrid w:val="0"/>
              <w:spacing w:line="360" w:lineRule="auto"/>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xml:space="preserve">    1．投标人须缴纳金额为人民币</w:t>
            </w:r>
            <w:r>
              <w:rPr>
                <w:rFonts w:hint="eastAsia" w:ascii="宋体" w:hAnsi="宋体" w:eastAsia="宋体" w:cs="宋体"/>
                <w:b/>
                <w:bCs/>
                <w:snapToGrid w:val="0"/>
                <w:color w:val="auto"/>
                <w:kern w:val="0"/>
                <w:sz w:val="24"/>
                <w:szCs w:val="24"/>
                <w:highlight w:val="none"/>
                <w:u w:val="single"/>
                <w:lang w:val="en-US" w:eastAsia="zh-CN"/>
              </w:rPr>
              <w:t>30万元</w:t>
            </w:r>
            <w:r>
              <w:rPr>
                <w:rFonts w:hint="eastAsia" w:ascii="宋体" w:hAnsi="宋体" w:eastAsia="宋体" w:cs="宋体"/>
                <w:snapToGrid w:val="0"/>
                <w:color w:val="auto"/>
                <w:kern w:val="0"/>
                <w:sz w:val="24"/>
                <w:szCs w:val="24"/>
                <w:highlight w:val="none"/>
              </w:rPr>
              <w:t xml:space="preserve">的投标保证。 </w:t>
            </w:r>
          </w:p>
          <w:p w14:paraId="26F672E2">
            <w:pPr>
              <w:pageBreakBefore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2．投标保证的形式包括投标保证金、投标保证担保、投标保证保险三种，由投标人自主选择。</w:t>
            </w:r>
          </w:p>
          <w:p w14:paraId="26C2B298">
            <w:pPr>
              <w:pageBreakBefore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采用投标保证金的，投标人在建设工程交易系统获取招标文件完毕后，即可在系统申请缴纳投标保证金，获取本次招标投标保证金缴纳账号。投标人必须于投标保证金到账截止时间（见本章第二节“重要事项时间地点一览表”）前，从其基本账户将投标保证金转账到指定的缴纳账号。逾期到账的、从非投标人基本账户转出的，其投标无效。</w:t>
            </w:r>
          </w:p>
          <w:p w14:paraId="6EB1F79E">
            <w:pPr>
              <w:pageBreakBefore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采用投标保证担保的，投标人应提交有效的电子保函或保证保险，电子保函或保证保险的有效期不得短于投标有效期。投标人必须在投标保证担保截止时间（见本章第二节“重要事项时间地点一览表”）前，使用工程建设交易系统完成网上办理电子保函或保证保险。</w:t>
            </w:r>
          </w:p>
          <w:p w14:paraId="60B0260E">
            <w:pPr>
              <w:pageBreakBefore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rPr>
              <w:t>（3）采用投标保证保险的，投标人须在投标保证保险投保截止时间（见本章第二节“重要事项时间地点一览表”）前，使用建设工程交易系统完成网上投保。投标人可在系统选择保险机构、录入投保信息、支付保费、打印电子保单，电子保单的有效期不得短于投标有效期。投标人可登录全国公共资源交易平台（广东省·韶关市）（https://ygp.gdzwfw.gov.cn/ggzy-portal/#/440200/index），</w:t>
            </w:r>
            <w:r>
              <w:rPr>
                <w:rFonts w:hint="eastAsia" w:ascii="宋体" w:hAnsi="宋体" w:eastAsia="宋体" w:cs="宋体"/>
                <w:snapToGrid w:val="0"/>
                <w:color w:val="auto"/>
                <w:kern w:val="0"/>
                <w:sz w:val="24"/>
                <w:szCs w:val="24"/>
                <w:highlight w:val="none"/>
                <w:lang w:eastAsia="zh-CN"/>
              </w:rPr>
              <w:t>在【服务指南】栏目中下载《韶关市公共资源建设工程交易系统-投标人操作指南》，了解网上投保具体操作流程。逾期投保的，其投标无效。</w:t>
            </w:r>
          </w:p>
          <w:p w14:paraId="0F727622">
            <w:pPr>
              <w:pageBreakBefore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温馨提醒：投标人采用投标保证担保或投标保证保险的，为避免在评标过程中因有效期发生争议，建议投标人将银行保函或电子保单有效期设置为较招标文件规定的投标有效期延长不少于20个日历天。</w:t>
            </w:r>
          </w:p>
        </w:tc>
      </w:tr>
      <w:tr w14:paraId="2C05EA5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3F50505C">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23</w:t>
            </w:r>
          </w:p>
        </w:tc>
        <w:tc>
          <w:tcPr>
            <w:tcW w:w="1707" w:type="dxa"/>
            <w:tcBorders>
              <w:top w:val="single" w:color="auto" w:sz="4" w:space="0"/>
              <w:left w:val="single" w:color="auto" w:sz="4" w:space="0"/>
              <w:bottom w:val="single" w:color="auto" w:sz="4" w:space="0"/>
              <w:right w:val="single" w:color="auto" w:sz="4" w:space="0"/>
            </w:tcBorders>
            <w:noWrap w:val="0"/>
            <w:vAlign w:val="center"/>
          </w:tcPr>
          <w:p w14:paraId="3C09B4A7">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投标有效期</w:t>
            </w:r>
          </w:p>
        </w:tc>
        <w:tc>
          <w:tcPr>
            <w:tcW w:w="8200" w:type="dxa"/>
            <w:tcBorders>
              <w:top w:val="single" w:color="auto" w:sz="4" w:space="0"/>
              <w:left w:val="single" w:color="auto" w:sz="4" w:space="0"/>
              <w:bottom w:val="single" w:color="auto" w:sz="4" w:space="0"/>
              <w:right w:val="single" w:color="auto" w:sz="4" w:space="0"/>
            </w:tcBorders>
            <w:noWrap w:val="0"/>
            <w:vAlign w:val="center"/>
          </w:tcPr>
          <w:p w14:paraId="72E485B6">
            <w:pPr>
              <w:pageBreakBefore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本次招标的投标有效期为</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b/>
                <w:bCs/>
                <w:snapToGrid w:val="0"/>
                <w:color w:val="auto"/>
                <w:kern w:val="0"/>
                <w:sz w:val="24"/>
                <w:szCs w:val="24"/>
                <w:highlight w:val="none"/>
                <w:u w:val="single"/>
                <w:lang w:val="en-US" w:eastAsia="zh-CN"/>
              </w:rPr>
              <w:t>90</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个日历天。</w:t>
            </w:r>
          </w:p>
        </w:tc>
      </w:tr>
      <w:tr w14:paraId="142763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577EA2C9">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24</w:t>
            </w:r>
          </w:p>
        </w:tc>
        <w:tc>
          <w:tcPr>
            <w:tcW w:w="1707" w:type="dxa"/>
            <w:tcBorders>
              <w:top w:val="single" w:color="auto" w:sz="4" w:space="0"/>
              <w:left w:val="single" w:color="auto" w:sz="4" w:space="0"/>
              <w:bottom w:val="single" w:color="auto" w:sz="4" w:space="0"/>
              <w:right w:val="single" w:color="auto" w:sz="4" w:space="0"/>
            </w:tcBorders>
            <w:noWrap w:val="0"/>
            <w:vAlign w:val="center"/>
          </w:tcPr>
          <w:p w14:paraId="667F7007">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投标文件</w:t>
            </w:r>
          </w:p>
          <w:p w14:paraId="06F0D81D">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组成</w:t>
            </w:r>
          </w:p>
        </w:tc>
        <w:tc>
          <w:tcPr>
            <w:tcW w:w="8200" w:type="dxa"/>
            <w:tcBorders>
              <w:top w:val="single" w:color="auto" w:sz="4" w:space="0"/>
              <w:left w:val="single" w:color="auto" w:sz="4" w:space="0"/>
              <w:bottom w:val="single" w:color="auto" w:sz="4" w:space="0"/>
              <w:right w:val="single" w:color="auto" w:sz="4" w:space="0"/>
            </w:tcBorders>
            <w:noWrap w:val="0"/>
            <w:vAlign w:val="center"/>
          </w:tcPr>
          <w:p w14:paraId="2F37758E">
            <w:pPr>
              <w:pageBreakBefore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投标文件包括商务标书、经济标书、施工组织设计三个分册。</w:t>
            </w:r>
          </w:p>
        </w:tc>
      </w:tr>
      <w:tr w14:paraId="43F661E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488347E1">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25</w:t>
            </w:r>
          </w:p>
        </w:tc>
        <w:tc>
          <w:tcPr>
            <w:tcW w:w="1707" w:type="dxa"/>
            <w:tcBorders>
              <w:top w:val="single" w:color="auto" w:sz="4" w:space="0"/>
              <w:left w:val="single" w:color="auto" w:sz="4" w:space="0"/>
              <w:bottom w:val="single" w:color="auto" w:sz="4" w:space="0"/>
              <w:right w:val="single" w:color="auto" w:sz="4" w:space="0"/>
            </w:tcBorders>
            <w:noWrap w:val="0"/>
            <w:vAlign w:val="center"/>
          </w:tcPr>
          <w:p w14:paraId="53E016C4">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施工组织设计</w:t>
            </w:r>
          </w:p>
          <w:p w14:paraId="0A9BB150">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评审方式</w:t>
            </w:r>
          </w:p>
        </w:tc>
        <w:tc>
          <w:tcPr>
            <w:tcW w:w="8200" w:type="dxa"/>
            <w:tcBorders>
              <w:top w:val="single" w:color="auto" w:sz="4" w:space="0"/>
              <w:left w:val="single" w:color="auto" w:sz="4" w:space="0"/>
              <w:bottom w:val="single" w:color="auto" w:sz="4" w:space="0"/>
              <w:right w:val="single" w:color="auto" w:sz="4" w:space="0"/>
            </w:tcBorders>
            <w:noWrap w:val="0"/>
            <w:vAlign w:val="center"/>
          </w:tcPr>
          <w:p w14:paraId="40ECE600">
            <w:pPr>
              <w:pageBreakBefore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本次招标施工组织设计</w:t>
            </w:r>
            <w:r>
              <w:rPr>
                <w:rFonts w:hint="eastAsia" w:ascii="宋体" w:hAnsi="宋体" w:eastAsia="宋体" w:cs="宋体"/>
                <w:snapToGrid w:val="0"/>
                <w:color w:val="auto"/>
                <w:kern w:val="0"/>
                <w:sz w:val="24"/>
                <w:szCs w:val="24"/>
                <w:highlight w:val="none"/>
                <w:u w:val="single"/>
              </w:rPr>
              <w:t xml:space="preserve"> 不采用 </w:t>
            </w:r>
            <w:r>
              <w:rPr>
                <w:rFonts w:hint="eastAsia" w:ascii="宋体" w:hAnsi="宋体" w:eastAsia="宋体" w:cs="宋体"/>
                <w:snapToGrid w:val="0"/>
                <w:color w:val="auto"/>
                <w:kern w:val="0"/>
                <w:sz w:val="24"/>
                <w:szCs w:val="24"/>
                <w:highlight w:val="none"/>
              </w:rPr>
              <w:t>“暗标”方式进行评审。</w:t>
            </w:r>
          </w:p>
        </w:tc>
      </w:tr>
      <w:tr w14:paraId="74CCD37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6BFE7B68">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26</w:t>
            </w:r>
          </w:p>
        </w:tc>
        <w:tc>
          <w:tcPr>
            <w:tcW w:w="1707" w:type="dxa"/>
            <w:tcBorders>
              <w:top w:val="single" w:color="auto" w:sz="4" w:space="0"/>
              <w:left w:val="single" w:color="auto" w:sz="4" w:space="0"/>
              <w:bottom w:val="single" w:color="auto" w:sz="4" w:space="0"/>
              <w:right w:val="single" w:color="auto" w:sz="4" w:space="0"/>
            </w:tcBorders>
            <w:noWrap w:val="0"/>
            <w:vAlign w:val="center"/>
          </w:tcPr>
          <w:p w14:paraId="07374124">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评标委员会</w:t>
            </w:r>
          </w:p>
        </w:tc>
        <w:tc>
          <w:tcPr>
            <w:tcW w:w="8200" w:type="dxa"/>
            <w:tcBorders>
              <w:top w:val="single" w:color="auto" w:sz="4" w:space="0"/>
              <w:left w:val="single" w:color="auto" w:sz="4" w:space="0"/>
              <w:bottom w:val="single" w:color="auto" w:sz="4" w:space="0"/>
              <w:right w:val="single" w:color="auto" w:sz="4" w:space="0"/>
            </w:tcBorders>
            <w:noWrap w:val="0"/>
            <w:vAlign w:val="center"/>
          </w:tcPr>
          <w:p w14:paraId="2CFF8923">
            <w:pPr>
              <w:pageBreakBefore w:val="0"/>
              <w:kinsoku/>
              <w:wordWrap w:val="0"/>
              <w:overflowPunct/>
              <w:topLinePunct w:val="0"/>
              <w:autoSpaceDE/>
              <w:autoSpaceDN/>
              <w:bidi w:val="0"/>
              <w:adjustRightInd w:val="0"/>
              <w:snapToGrid w:val="0"/>
              <w:spacing w:line="360" w:lineRule="auto"/>
              <w:ind w:firstLine="240" w:firstLineChars="1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评标委员会由</w:t>
            </w:r>
            <w:r>
              <w:rPr>
                <w:rFonts w:hint="eastAsia" w:ascii="宋体" w:hAnsi="宋体" w:eastAsia="宋体" w:cs="宋体"/>
                <w:snapToGrid w:val="0"/>
                <w:color w:val="auto"/>
                <w:kern w:val="0"/>
                <w:sz w:val="24"/>
                <w:szCs w:val="24"/>
                <w:highlight w:val="none"/>
                <w:u w:val="single"/>
              </w:rPr>
              <w:t xml:space="preserve"> 5 </w:t>
            </w:r>
            <w:r>
              <w:rPr>
                <w:rFonts w:hint="eastAsia" w:ascii="宋体" w:hAnsi="宋体" w:eastAsia="宋体" w:cs="宋体"/>
                <w:snapToGrid w:val="0"/>
                <w:color w:val="auto"/>
                <w:kern w:val="0"/>
                <w:sz w:val="24"/>
                <w:szCs w:val="24"/>
                <w:highlight w:val="none"/>
              </w:rPr>
              <w:t>人组成，其中招标人代表</w:t>
            </w:r>
            <w:r>
              <w:rPr>
                <w:rFonts w:hint="eastAsia" w:ascii="宋体" w:hAnsi="宋体" w:eastAsia="宋体" w:cs="宋体"/>
                <w:snapToGrid w:val="0"/>
                <w:color w:val="auto"/>
                <w:kern w:val="0"/>
                <w:sz w:val="24"/>
                <w:szCs w:val="24"/>
                <w:highlight w:val="none"/>
                <w:u w:val="single"/>
              </w:rPr>
              <w:t xml:space="preserve"> 0 </w:t>
            </w:r>
            <w:r>
              <w:rPr>
                <w:rFonts w:hint="eastAsia" w:ascii="宋体" w:hAnsi="宋体" w:eastAsia="宋体" w:cs="宋体"/>
                <w:snapToGrid w:val="0"/>
                <w:color w:val="auto"/>
                <w:kern w:val="0"/>
                <w:sz w:val="24"/>
                <w:szCs w:val="24"/>
                <w:highlight w:val="none"/>
              </w:rPr>
              <w:t>人，专家</w:t>
            </w:r>
            <w:r>
              <w:rPr>
                <w:rFonts w:hint="eastAsia" w:ascii="宋体" w:hAnsi="宋体" w:eastAsia="宋体" w:cs="宋体"/>
                <w:snapToGrid w:val="0"/>
                <w:color w:val="auto"/>
                <w:kern w:val="0"/>
                <w:sz w:val="24"/>
                <w:szCs w:val="24"/>
                <w:highlight w:val="none"/>
                <w:u w:val="single"/>
              </w:rPr>
              <w:t xml:space="preserve"> 5 </w:t>
            </w:r>
            <w:r>
              <w:rPr>
                <w:rFonts w:hint="eastAsia" w:ascii="宋体" w:hAnsi="宋体" w:eastAsia="宋体" w:cs="宋体"/>
                <w:snapToGrid w:val="0"/>
                <w:color w:val="auto"/>
                <w:kern w:val="0"/>
                <w:sz w:val="24"/>
                <w:szCs w:val="24"/>
                <w:highlight w:val="none"/>
              </w:rPr>
              <w:t>人。专家从</w:t>
            </w:r>
            <w:r>
              <w:rPr>
                <w:rFonts w:hint="eastAsia" w:ascii="宋体" w:hAnsi="宋体" w:eastAsia="宋体" w:cs="宋体"/>
                <w:snapToGrid w:val="0"/>
                <w:color w:val="auto"/>
                <w:kern w:val="0"/>
                <w:sz w:val="24"/>
                <w:szCs w:val="24"/>
                <w:highlight w:val="none"/>
                <w:u w:val="single"/>
              </w:rPr>
              <w:t>广东省综合评标评审专家库</w:t>
            </w:r>
            <w:r>
              <w:rPr>
                <w:rFonts w:hint="eastAsia" w:ascii="宋体" w:hAnsi="宋体" w:eastAsia="宋体" w:cs="宋体"/>
                <w:snapToGrid w:val="0"/>
                <w:color w:val="auto"/>
                <w:kern w:val="0"/>
                <w:sz w:val="24"/>
                <w:szCs w:val="24"/>
                <w:highlight w:val="none"/>
                <w:u w:val="single"/>
                <w:lang w:val="en-US" w:eastAsia="zh-CN"/>
              </w:rPr>
              <w:t>-韶关区域</w:t>
            </w:r>
            <w:r>
              <w:rPr>
                <w:rFonts w:hint="eastAsia" w:ascii="宋体" w:hAnsi="宋体" w:eastAsia="宋体" w:cs="宋体"/>
                <w:snapToGrid w:val="0"/>
                <w:color w:val="auto"/>
                <w:kern w:val="0"/>
                <w:sz w:val="24"/>
                <w:szCs w:val="24"/>
                <w:highlight w:val="none"/>
              </w:rPr>
              <w:t>中随机抽取，其中技术类专家</w:t>
            </w:r>
            <w:r>
              <w:rPr>
                <w:rFonts w:hint="eastAsia" w:ascii="宋体" w:hAnsi="宋体" w:eastAsia="宋体" w:cs="宋体"/>
                <w:snapToGrid w:val="0"/>
                <w:color w:val="auto"/>
                <w:kern w:val="0"/>
                <w:sz w:val="24"/>
                <w:szCs w:val="24"/>
                <w:highlight w:val="none"/>
                <w:u w:val="single"/>
              </w:rPr>
              <w:t xml:space="preserve"> 3 </w:t>
            </w:r>
            <w:r>
              <w:rPr>
                <w:rFonts w:hint="eastAsia" w:ascii="宋体" w:hAnsi="宋体" w:eastAsia="宋体" w:cs="宋体"/>
                <w:snapToGrid w:val="0"/>
                <w:color w:val="auto"/>
                <w:kern w:val="0"/>
                <w:sz w:val="24"/>
                <w:szCs w:val="24"/>
                <w:highlight w:val="none"/>
              </w:rPr>
              <w:t>人，经济类专家</w:t>
            </w:r>
            <w:r>
              <w:rPr>
                <w:rFonts w:hint="eastAsia" w:ascii="宋体" w:hAnsi="宋体" w:eastAsia="宋体" w:cs="宋体"/>
                <w:snapToGrid w:val="0"/>
                <w:color w:val="auto"/>
                <w:kern w:val="0"/>
                <w:sz w:val="24"/>
                <w:szCs w:val="24"/>
                <w:highlight w:val="none"/>
                <w:u w:val="single"/>
              </w:rPr>
              <w:t xml:space="preserve"> 2 </w:t>
            </w:r>
            <w:r>
              <w:rPr>
                <w:rFonts w:hint="eastAsia" w:ascii="宋体" w:hAnsi="宋体" w:eastAsia="宋体" w:cs="宋体"/>
                <w:snapToGrid w:val="0"/>
                <w:color w:val="auto"/>
                <w:kern w:val="0"/>
                <w:sz w:val="24"/>
                <w:szCs w:val="24"/>
                <w:highlight w:val="none"/>
              </w:rPr>
              <w:t>人。</w:t>
            </w:r>
          </w:p>
        </w:tc>
      </w:tr>
      <w:tr w14:paraId="2A7062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50930280">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27</w:t>
            </w:r>
          </w:p>
        </w:tc>
        <w:tc>
          <w:tcPr>
            <w:tcW w:w="1707" w:type="dxa"/>
            <w:tcBorders>
              <w:top w:val="single" w:color="auto" w:sz="4" w:space="0"/>
              <w:left w:val="single" w:color="auto" w:sz="4" w:space="0"/>
              <w:bottom w:val="single" w:color="auto" w:sz="4" w:space="0"/>
              <w:right w:val="single" w:color="auto" w:sz="4" w:space="0"/>
            </w:tcBorders>
            <w:noWrap w:val="0"/>
            <w:vAlign w:val="center"/>
          </w:tcPr>
          <w:p w14:paraId="7558F162">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评标方法</w:t>
            </w:r>
          </w:p>
        </w:tc>
        <w:tc>
          <w:tcPr>
            <w:tcW w:w="8200" w:type="dxa"/>
            <w:tcBorders>
              <w:top w:val="single" w:color="auto" w:sz="4" w:space="0"/>
              <w:left w:val="single" w:color="auto" w:sz="4" w:space="0"/>
              <w:bottom w:val="single" w:color="auto" w:sz="4" w:space="0"/>
              <w:right w:val="single" w:color="auto" w:sz="4" w:space="0"/>
            </w:tcBorders>
            <w:noWrap w:val="0"/>
            <w:vAlign w:val="center"/>
          </w:tcPr>
          <w:p w14:paraId="0570777E">
            <w:pPr>
              <w:pageBreakBefore w:val="0"/>
              <w:kinsoku/>
              <w:wordWrap w:val="0"/>
              <w:overflowPunct/>
              <w:topLinePunct w:val="0"/>
              <w:autoSpaceDE/>
              <w:autoSpaceDN/>
              <w:bidi w:val="0"/>
              <w:adjustRightInd w:val="0"/>
              <w:snapToGrid w:val="0"/>
              <w:spacing w:line="360" w:lineRule="auto"/>
              <w:ind w:firstLine="240" w:firstLineChars="1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综合评估法</w:t>
            </w:r>
          </w:p>
        </w:tc>
      </w:tr>
      <w:tr w14:paraId="6B285C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12654BE0">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28</w:t>
            </w:r>
          </w:p>
        </w:tc>
        <w:tc>
          <w:tcPr>
            <w:tcW w:w="1707" w:type="dxa"/>
            <w:tcBorders>
              <w:top w:val="single" w:color="auto" w:sz="4" w:space="0"/>
              <w:left w:val="single" w:color="auto" w:sz="4" w:space="0"/>
              <w:bottom w:val="single" w:color="auto" w:sz="4" w:space="0"/>
              <w:right w:val="single" w:color="auto" w:sz="4" w:space="0"/>
            </w:tcBorders>
            <w:noWrap w:val="0"/>
            <w:vAlign w:val="center"/>
          </w:tcPr>
          <w:p w14:paraId="4B1B277A">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招标人</w:t>
            </w:r>
          </w:p>
          <w:p w14:paraId="30910530">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联系方式</w:t>
            </w:r>
          </w:p>
        </w:tc>
        <w:tc>
          <w:tcPr>
            <w:tcW w:w="8200" w:type="dxa"/>
            <w:tcBorders>
              <w:top w:val="single" w:color="auto" w:sz="4" w:space="0"/>
              <w:left w:val="single" w:color="auto" w:sz="4" w:space="0"/>
              <w:bottom w:val="single" w:color="auto" w:sz="4" w:space="0"/>
              <w:right w:val="single" w:color="auto" w:sz="4" w:space="0"/>
            </w:tcBorders>
            <w:noWrap w:val="0"/>
            <w:vAlign w:val="center"/>
          </w:tcPr>
          <w:p w14:paraId="409F7E50">
            <w:pPr>
              <w:pageBreakBefore w:val="0"/>
              <w:kinsoku/>
              <w:wordWrap w:val="0"/>
              <w:overflowPunct/>
              <w:topLinePunct w:val="0"/>
              <w:autoSpaceDE/>
              <w:autoSpaceDN/>
              <w:bidi w:val="0"/>
              <w:adjustRightInd w:val="0"/>
              <w:snapToGrid w:val="0"/>
              <w:spacing w:line="360" w:lineRule="auto"/>
              <w:ind w:firstLine="240" w:firstLineChars="100"/>
              <w:jc w:val="left"/>
              <w:textAlignment w:val="auto"/>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rPr>
              <w:t>单位名称：</w:t>
            </w:r>
            <w:r>
              <w:rPr>
                <w:rFonts w:hint="eastAsia" w:ascii="宋体" w:hAnsi="宋体" w:eastAsia="宋体" w:cs="宋体"/>
                <w:snapToGrid w:val="0"/>
                <w:color w:val="auto"/>
                <w:kern w:val="0"/>
                <w:sz w:val="24"/>
                <w:szCs w:val="24"/>
                <w:highlight w:val="none"/>
                <w:lang w:eastAsia="zh-CN"/>
              </w:rPr>
              <w:t>乐昌市白石镇人民政府</w:t>
            </w:r>
          </w:p>
          <w:p w14:paraId="3BFFA57B">
            <w:pPr>
              <w:pageBreakBefore w:val="0"/>
              <w:kinsoku/>
              <w:wordWrap w:val="0"/>
              <w:overflowPunct/>
              <w:topLinePunct w:val="0"/>
              <w:autoSpaceDE/>
              <w:autoSpaceDN/>
              <w:bidi w:val="0"/>
              <w:adjustRightInd w:val="0"/>
              <w:snapToGrid w:val="0"/>
              <w:spacing w:line="360" w:lineRule="auto"/>
              <w:ind w:firstLine="240" w:firstLineChars="1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办公地址：</w:t>
            </w:r>
            <w:r>
              <w:rPr>
                <w:rFonts w:hint="eastAsia" w:ascii="宋体" w:hAnsi="宋体" w:eastAsia="宋体" w:cs="宋体"/>
                <w:snapToGrid w:val="0"/>
                <w:color w:val="auto"/>
                <w:kern w:val="0"/>
                <w:sz w:val="24"/>
                <w:szCs w:val="24"/>
                <w:highlight w:val="none"/>
                <w:lang w:eastAsia="zh-CN"/>
              </w:rPr>
              <w:t>乐昌市白石镇人民政府</w:t>
            </w:r>
          </w:p>
          <w:p w14:paraId="5487D853">
            <w:pPr>
              <w:pageBreakBefore w:val="0"/>
              <w:kinsoku/>
              <w:wordWrap w:val="0"/>
              <w:overflowPunct/>
              <w:topLinePunct w:val="0"/>
              <w:autoSpaceDE/>
              <w:autoSpaceDN/>
              <w:bidi w:val="0"/>
              <w:adjustRightInd w:val="0"/>
              <w:snapToGrid w:val="0"/>
              <w:spacing w:line="360" w:lineRule="auto"/>
              <w:ind w:firstLine="240" w:firstLineChars="100"/>
              <w:jc w:val="left"/>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rPr>
              <w:t>联系人（部门）：</w:t>
            </w:r>
            <w:r>
              <w:rPr>
                <w:rFonts w:hint="eastAsia" w:ascii="宋体" w:hAnsi="宋体" w:eastAsia="宋体" w:cs="宋体"/>
                <w:snapToGrid w:val="0"/>
                <w:color w:val="auto"/>
                <w:kern w:val="0"/>
                <w:sz w:val="24"/>
                <w:szCs w:val="24"/>
                <w:highlight w:val="none"/>
                <w:lang w:val="en-US" w:eastAsia="zh-CN"/>
              </w:rPr>
              <w:t>张工</w:t>
            </w:r>
          </w:p>
          <w:p w14:paraId="5C15E1BE">
            <w:pPr>
              <w:pageBreakBefore w:val="0"/>
              <w:kinsoku/>
              <w:wordWrap w:val="0"/>
              <w:overflowPunct/>
              <w:topLinePunct w:val="0"/>
              <w:autoSpaceDE/>
              <w:autoSpaceDN/>
              <w:bidi w:val="0"/>
              <w:adjustRightInd w:val="0"/>
              <w:snapToGrid w:val="0"/>
              <w:spacing w:line="360" w:lineRule="auto"/>
              <w:ind w:firstLine="240" w:firstLineChars="1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联系电话：</w:t>
            </w:r>
            <w:r>
              <w:rPr>
                <w:rFonts w:hint="eastAsia" w:ascii="宋体" w:hAnsi="宋体" w:eastAsia="宋体" w:cs="宋体"/>
                <w:color w:val="auto"/>
                <w:highlight w:val="none"/>
                <w:lang w:val="en-US" w:eastAsia="zh-CN"/>
              </w:rPr>
              <w:t>0751-5770686</w:t>
            </w:r>
          </w:p>
        </w:tc>
      </w:tr>
      <w:tr w14:paraId="48514AF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4EC472E4">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29</w:t>
            </w:r>
          </w:p>
        </w:tc>
        <w:tc>
          <w:tcPr>
            <w:tcW w:w="1707" w:type="dxa"/>
            <w:tcBorders>
              <w:top w:val="single" w:color="auto" w:sz="4" w:space="0"/>
              <w:left w:val="single" w:color="auto" w:sz="4" w:space="0"/>
              <w:bottom w:val="single" w:color="auto" w:sz="4" w:space="0"/>
              <w:right w:val="single" w:color="auto" w:sz="4" w:space="0"/>
            </w:tcBorders>
            <w:noWrap w:val="0"/>
            <w:vAlign w:val="center"/>
          </w:tcPr>
          <w:p w14:paraId="048657C0">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招标代理机构</w:t>
            </w:r>
          </w:p>
          <w:p w14:paraId="6A9BD538">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联系方式</w:t>
            </w:r>
          </w:p>
        </w:tc>
        <w:tc>
          <w:tcPr>
            <w:tcW w:w="8200" w:type="dxa"/>
            <w:tcBorders>
              <w:top w:val="single" w:color="auto" w:sz="4" w:space="0"/>
              <w:left w:val="single" w:color="auto" w:sz="4" w:space="0"/>
              <w:bottom w:val="single" w:color="auto" w:sz="4" w:space="0"/>
              <w:right w:val="single" w:color="auto" w:sz="4" w:space="0"/>
            </w:tcBorders>
            <w:noWrap w:val="0"/>
            <w:vAlign w:val="center"/>
          </w:tcPr>
          <w:p w14:paraId="39AA795E">
            <w:pPr>
              <w:pageBreakBefore w:val="0"/>
              <w:kinsoku/>
              <w:wordWrap w:val="0"/>
              <w:overflowPunct/>
              <w:topLinePunct w:val="0"/>
              <w:autoSpaceDE/>
              <w:autoSpaceDN/>
              <w:bidi w:val="0"/>
              <w:adjustRightInd w:val="0"/>
              <w:snapToGrid w:val="0"/>
              <w:spacing w:line="360" w:lineRule="auto"/>
              <w:ind w:firstLine="240" w:firstLineChars="100"/>
              <w:jc w:val="left"/>
              <w:textAlignment w:val="auto"/>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rPr>
              <w:t>单位名称：</w:t>
            </w:r>
            <w:r>
              <w:rPr>
                <w:rFonts w:hint="eastAsia" w:ascii="宋体" w:hAnsi="宋体" w:eastAsia="宋体" w:cs="宋体"/>
                <w:snapToGrid w:val="0"/>
                <w:color w:val="auto"/>
                <w:kern w:val="0"/>
                <w:sz w:val="24"/>
                <w:szCs w:val="24"/>
                <w:highlight w:val="none"/>
                <w:lang w:eastAsia="zh-CN"/>
              </w:rPr>
              <w:t>广东穗源工程项目管理有限公司</w:t>
            </w:r>
          </w:p>
          <w:p w14:paraId="1DD7830E">
            <w:pPr>
              <w:pageBreakBefore w:val="0"/>
              <w:kinsoku/>
              <w:wordWrap w:val="0"/>
              <w:overflowPunct/>
              <w:topLinePunct w:val="0"/>
              <w:autoSpaceDE/>
              <w:autoSpaceDN/>
              <w:bidi w:val="0"/>
              <w:adjustRightInd w:val="0"/>
              <w:snapToGrid w:val="0"/>
              <w:spacing w:line="360" w:lineRule="auto"/>
              <w:ind w:firstLine="240" w:firstLineChars="100"/>
              <w:jc w:val="left"/>
              <w:textAlignment w:val="auto"/>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rPr>
              <w:t>办公地址：韶关市武江区西联镇老阳山323线旁新五洲国际汽配用品商贸城A1幢406号</w:t>
            </w:r>
          </w:p>
          <w:p w14:paraId="2CA81316">
            <w:pPr>
              <w:pageBreakBefore w:val="0"/>
              <w:kinsoku/>
              <w:wordWrap w:val="0"/>
              <w:overflowPunct/>
              <w:topLinePunct w:val="0"/>
              <w:autoSpaceDE/>
              <w:autoSpaceDN/>
              <w:bidi w:val="0"/>
              <w:adjustRightInd w:val="0"/>
              <w:snapToGrid w:val="0"/>
              <w:spacing w:line="360" w:lineRule="auto"/>
              <w:ind w:firstLine="240" w:firstLineChars="100"/>
              <w:jc w:val="left"/>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rPr>
              <w:t>联系人（</w:t>
            </w:r>
            <w:r>
              <w:rPr>
                <w:rFonts w:hint="eastAsia" w:ascii="宋体" w:hAnsi="宋体" w:eastAsia="宋体" w:cs="宋体"/>
                <w:snapToGrid w:val="0"/>
                <w:color w:val="auto"/>
                <w:kern w:val="0"/>
                <w:sz w:val="24"/>
                <w:szCs w:val="24"/>
                <w:highlight w:val="none"/>
                <w:lang w:eastAsia="zh-CN"/>
              </w:rPr>
              <w:t>部门）：</w:t>
            </w:r>
            <w:r>
              <w:rPr>
                <w:rFonts w:hint="eastAsia" w:ascii="宋体" w:hAnsi="宋体" w:eastAsia="宋体" w:cs="宋体"/>
                <w:snapToGrid w:val="0"/>
                <w:color w:val="auto"/>
                <w:kern w:val="0"/>
                <w:sz w:val="24"/>
                <w:szCs w:val="24"/>
                <w:highlight w:val="none"/>
                <w:lang w:val="en-US" w:eastAsia="zh-CN"/>
              </w:rPr>
              <w:t>曾</w:t>
            </w:r>
            <w:r>
              <w:rPr>
                <w:rFonts w:hint="eastAsia" w:ascii="宋体" w:hAnsi="宋体" w:eastAsia="宋体" w:cs="宋体"/>
                <w:snapToGrid w:val="0"/>
                <w:color w:val="auto"/>
                <w:kern w:val="0"/>
                <w:sz w:val="24"/>
                <w:szCs w:val="24"/>
                <w:lang w:val="en-US" w:eastAsia="zh-CN"/>
              </w:rPr>
              <w:t>工</w:t>
            </w:r>
          </w:p>
          <w:p w14:paraId="1C3C899A">
            <w:pPr>
              <w:pageBreakBefore w:val="0"/>
              <w:kinsoku/>
              <w:wordWrap w:val="0"/>
              <w:overflowPunct/>
              <w:topLinePunct w:val="0"/>
              <w:autoSpaceDE/>
              <w:autoSpaceDN/>
              <w:bidi w:val="0"/>
              <w:adjustRightInd w:val="0"/>
              <w:snapToGrid w:val="0"/>
              <w:spacing w:line="360" w:lineRule="auto"/>
              <w:ind w:firstLine="240" w:firstLineChars="100"/>
              <w:jc w:val="left"/>
              <w:textAlignment w:val="auto"/>
              <w:rPr>
                <w:rFonts w:hint="eastAsia" w:ascii="宋体" w:hAnsi="宋体" w:eastAsia="宋体" w:cs="宋体"/>
                <w:snapToGrid w:val="0"/>
                <w:color w:val="auto"/>
                <w:kern w:val="0"/>
                <w:sz w:val="24"/>
                <w:szCs w:val="24"/>
                <w:highlight w:val="none"/>
                <w:lang w:val="en-US"/>
              </w:rPr>
            </w:pPr>
            <w:r>
              <w:rPr>
                <w:rFonts w:hint="eastAsia" w:ascii="宋体" w:hAnsi="宋体" w:eastAsia="宋体" w:cs="宋体"/>
                <w:snapToGrid w:val="0"/>
                <w:color w:val="auto"/>
                <w:kern w:val="0"/>
                <w:sz w:val="24"/>
                <w:szCs w:val="24"/>
                <w:highlight w:val="none"/>
              </w:rPr>
              <w:t>联系电</w:t>
            </w:r>
            <w:r>
              <w:rPr>
                <w:rFonts w:hint="eastAsia" w:ascii="宋体" w:hAnsi="宋体" w:eastAsia="宋体" w:cs="宋体"/>
                <w:snapToGrid w:val="0"/>
                <w:color w:val="auto"/>
                <w:kern w:val="0"/>
                <w:sz w:val="24"/>
                <w:szCs w:val="24"/>
                <w:highlight w:val="none"/>
                <w:lang w:eastAsia="zh-CN"/>
              </w:rPr>
              <w:t>话：18207510811</w:t>
            </w:r>
          </w:p>
        </w:tc>
      </w:tr>
      <w:tr w14:paraId="30B03EA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6D4C4B73">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30</w:t>
            </w:r>
          </w:p>
        </w:tc>
        <w:tc>
          <w:tcPr>
            <w:tcW w:w="1707" w:type="dxa"/>
            <w:tcBorders>
              <w:top w:val="single" w:color="auto" w:sz="4" w:space="0"/>
              <w:left w:val="single" w:color="auto" w:sz="4" w:space="0"/>
              <w:bottom w:val="single" w:color="auto" w:sz="4" w:space="0"/>
              <w:right w:val="single" w:color="auto" w:sz="4" w:space="0"/>
            </w:tcBorders>
            <w:noWrap w:val="0"/>
            <w:vAlign w:val="center"/>
          </w:tcPr>
          <w:p w14:paraId="4CBBDC81">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交易场所</w:t>
            </w:r>
          </w:p>
          <w:p w14:paraId="611DC366">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联系方式</w:t>
            </w:r>
          </w:p>
        </w:tc>
        <w:tc>
          <w:tcPr>
            <w:tcW w:w="8200" w:type="dxa"/>
            <w:tcBorders>
              <w:top w:val="single" w:color="auto" w:sz="4" w:space="0"/>
              <w:left w:val="single" w:color="auto" w:sz="4" w:space="0"/>
              <w:bottom w:val="single" w:color="auto" w:sz="4" w:space="0"/>
              <w:right w:val="single" w:color="auto" w:sz="4" w:space="0"/>
            </w:tcBorders>
            <w:noWrap w:val="0"/>
            <w:vAlign w:val="center"/>
          </w:tcPr>
          <w:p w14:paraId="2CACC71E">
            <w:pPr>
              <w:pageBreakBefore w:val="0"/>
              <w:kinsoku/>
              <w:wordWrap w:val="0"/>
              <w:overflowPunct/>
              <w:topLinePunct w:val="0"/>
              <w:autoSpaceDE/>
              <w:autoSpaceDN/>
              <w:bidi w:val="0"/>
              <w:adjustRightInd w:val="0"/>
              <w:snapToGrid w:val="0"/>
              <w:spacing w:line="360" w:lineRule="auto"/>
              <w:ind w:firstLine="240" w:firstLineChars="1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单位名称：韶关市公共资源交易中心</w:t>
            </w:r>
          </w:p>
          <w:p w14:paraId="5FD9BC2D">
            <w:pPr>
              <w:pageBreakBefore w:val="0"/>
              <w:kinsoku/>
              <w:wordWrap w:val="0"/>
              <w:overflowPunct/>
              <w:topLinePunct w:val="0"/>
              <w:autoSpaceDE/>
              <w:autoSpaceDN/>
              <w:bidi w:val="0"/>
              <w:adjustRightInd w:val="0"/>
              <w:snapToGrid w:val="0"/>
              <w:spacing w:line="360" w:lineRule="auto"/>
              <w:ind w:firstLine="240" w:firstLineChars="1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办公地址：乐昌市昌山北路23号韶关市公共资源交易中心乐昌分中心</w:t>
            </w:r>
          </w:p>
          <w:p w14:paraId="1DE11547">
            <w:pPr>
              <w:pageBreakBefore w:val="0"/>
              <w:kinsoku/>
              <w:wordWrap w:val="0"/>
              <w:overflowPunct/>
              <w:topLinePunct w:val="0"/>
              <w:autoSpaceDE/>
              <w:autoSpaceDN/>
              <w:bidi w:val="0"/>
              <w:adjustRightInd w:val="0"/>
              <w:snapToGrid w:val="0"/>
              <w:spacing w:line="360" w:lineRule="auto"/>
              <w:ind w:firstLine="240" w:firstLineChars="1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联系人（部门）：工程交易部</w:t>
            </w:r>
          </w:p>
          <w:p w14:paraId="479D247D">
            <w:pPr>
              <w:pageBreakBefore w:val="0"/>
              <w:kinsoku/>
              <w:wordWrap w:val="0"/>
              <w:overflowPunct/>
              <w:topLinePunct w:val="0"/>
              <w:autoSpaceDE/>
              <w:autoSpaceDN/>
              <w:bidi w:val="0"/>
              <w:adjustRightInd w:val="0"/>
              <w:snapToGrid w:val="0"/>
              <w:spacing w:line="360" w:lineRule="auto"/>
              <w:ind w:firstLine="240" w:firstLineChars="1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联系电话：0751-5570106</w:t>
            </w:r>
          </w:p>
        </w:tc>
      </w:tr>
      <w:bookmarkEnd w:id="12"/>
      <w:tr w14:paraId="19F1182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6AD3700C">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lang w:val="en-US" w:eastAsia="zh-CN"/>
              </w:rPr>
            </w:pPr>
            <w:bookmarkStart w:id="14" w:name="_Toc122769943"/>
            <w:bookmarkStart w:id="15" w:name="_Toc122859103"/>
            <w:bookmarkStart w:id="16" w:name="_Toc5853"/>
            <w:bookmarkStart w:id="17" w:name="_Toc122671103"/>
            <w:r>
              <w:rPr>
                <w:rFonts w:hint="eastAsia" w:ascii="宋体" w:hAnsi="宋体" w:eastAsia="宋体" w:cs="宋体"/>
                <w:snapToGrid w:val="0"/>
                <w:color w:val="auto"/>
                <w:kern w:val="0"/>
                <w:sz w:val="24"/>
                <w:szCs w:val="24"/>
                <w:highlight w:val="none"/>
                <w:lang w:val="en-US" w:eastAsia="zh-CN"/>
              </w:rPr>
              <w:t>31</w:t>
            </w:r>
          </w:p>
        </w:tc>
        <w:tc>
          <w:tcPr>
            <w:tcW w:w="1707" w:type="dxa"/>
            <w:tcBorders>
              <w:top w:val="single" w:color="auto" w:sz="4" w:space="0"/>
              <w:left w:val="single" w:color="auto" w:sz="4" w:space="0"/>
              <w:bottom w:val="single" w:color="auto" w:sz="4" w:space="0"/>
              <w:right w:val="single" w:color="auto" w:sz="4" w:space="0"/>
            </w:tcBorders>
            <w:noWrap w:val="0"/>
            <w:vAlign w:val="center"/>
          </w:tcPr>
          <w:p w14:paraId="158360DD">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行政监督部门</w:t>
            </w:r>
          </w:p>
          <w:p w14:paraId="232A140D">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联系方式</w:t>
            </w:r>
          </w:p>
        </w:tc>
        <w:tc>
          <w:tcPr>
            <w:tcW w:w="8200" w:type="dxa"/>
            <w:tcBorders>
              <w:top w:val="single" w:color="auto" w:sz="4" w:space="0"/>
              <w:left w:val="single" w:color="auto" w:sz="4" w:space="0"/>
              <w:bottom w:val="single" w:color="auto" w:sz="4" w:space="0"/>
              <w:right w:val="single" w:color="auto" w:sz="4" w:space="0"/>
            </w:tcBorders>
            <w:noWrap w:val="0"/>
            <w:vAlign w:val="center"/>
          </w:tcPr>
          <w:p w14:paraId="6EB4152E">
            <w:pPr>
              <w:pageBreakBefore w:val="0"/>
              <w:kinsoku/>
              <w:wordWrap w:val="0"/>
              <w:overflowPunct/>
              <w:topLinePunct w:val="0"/>
              <w:autoSpaceDE/>
              <w:autoSpaceDN/>
              <w:bidi w:val="0"/>
              <w:adjustRightInd w:val="0"/>
              <w:snapToGrid w:val="0"/>
              <w:spacing w:line="360" w:lineRule="auto"/>
              <w:ind w:firstLine="240" w:firstLineChars="1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单位名称：乐昌市农业农村局(乐昌市乡村振兴局)</w:t>
            </w:r>
          </w:p>
          <w:p w14:paraId="2063A265">
            <w:pPr>
              <w:pageBreakBefore w:val="0"/>
              <w:kinsoku/>
              <w:wordWrap w:val="0"/>
              <w:overflowPunct/>
              <w:topLinePunct w:val="0"/>
              <w:autoSpaceDE/>
              <w:autoSpaceDN/>
              <w:bidi w:val="0"/>
              <w:adjustRightInd w:val="0"/>
              <w:snapToGrid w:val="0"/>
              <w:spacing w:line="360" w:lineRule="auto"/>
              <w:ind w:firstLine="240" w:firstLineChars="1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办公地址：韶关市乐昌市大昌路54号</w:t>
            </w:r>
          </w:p>
          <w:p w14:paraId="19EC1422">
            <w:pPr>
              <w:pageBreakBefore w:val="0"/>
              <w:kinsoku/>
              <w:wordWrap w:val="0"/>
              <w:overflowPunct/>
              <w:topLinePunct w:val="0"/>
              <w:autoSpaceDE/>
              <w:autoSpaceDN/>
              <w:bidi w:val="0"/>
              <w:adjustRightInd w:val="0"/>
              <w:snapToGrid w:val="0"/>
              <w:spacing w:line="360" w:lineRule="auto"/>
              <w:ind w:firstLine="240" w:firstLineChars="1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联系人(部门)：</w:t>
            </w:r>
            <w:r>
              <w:rPr>
                <w:rFonts w:hint="eastAsia" w:ascii="宋体" w:hAnsi="宋体" w:eastAsia="宋体" w:cs="宋体"/>
                <w:color w:val="auto"/>
                <w:sz w:val="24"/>
                <w:szCs w:val="24"/>
              </w:rPr>
              <w:t>监督股</w:t>
            </w:r>
          </w:p>
          <w:p w14:paraId="27EED064">
            <w:pPr>
              <w:pageBreakBefore w:val="0"/>
              <w:kinsoku/>
              <w:wordWrap w:val="0"/>
              <w:overflowPunct/>
              <w:topLinePunct w:val="0"/>
              <w:autoSpaceDE/>
              <w:autoSpaceDN/>
              <w:bidi w:val="0"/>
              <w:adjustRightInd w:val="0"/>
              <w:snapToGrid w:val="0"/>
              <w:spacing w:line="360" w:lineRule="auto"/>
              <w:ind w:firstLine="240" w:firstLineChars="1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联系电话：0751-5502889</w:t>
            </w:r>
          </w:p>
        </w:tc>
      </w:tr>
      <w:bookmarkEnd w:id="14"/>
      <w:bookmarkEnd w:id="15"/>
      <w:bookmarkEnd w:id="16"/>
      <w:bookmarkEnd w:id="17"/>
    </w:tbl>
    <w:p w14:paraId="38C9FC7C">
      <w:pPr>
        <w:pStyle w:val="3"/>
        <w:wordWrap w:val="0"/>
        <w:autoSpaceDE/>
        <w:autoSpaceDN/>
        <w:snapToGrid w:val="0"/>
        <w:spacing w:before="260" w:after="260" w:line="360" w:lineRule="exact"/>
        <w:jc w:val="both"/>
        <w:rPr>
          <w:rFonts w:hint="eastAsia" w:ascii="宋体" w:hAnsi="宋体" w:eastAsia="宋体" w:cs="宋体"/>
          <w:b/>
          <w:snapToGrid w:val="0"/>
          <w:color w:val="auto"/>
          <w:highlight w:val="none"/>
        </w:rPr>
        <w:sectPr>
          <w:footerReference r:id="rId6" w:type="default"/>
          <w:endnotePr>
            <w:numFmt w:val="decimal"/>
          </w:endnotePr>
          <w:pgSz w:w="11906" w:h="16838"/>
          <w:pgMar w:top="1134" w:right="1134" w:bottom="1134" w:left="1134" w:header="567" w:footer="567" w:gutter="0"/>
          <w:pgBorders>
            <w:top w:val="none" w:sz="0" w:space="0"/>
            <w:left w:val="none" w:sz="0" w:space="0"/>
            <w:bottom w:val="none" w:sz="0" w:space="0"/>
            <w:right w:val="none" w:sz="0" w:space="0"/>
          </w:pgBorders>
          <w:pgNumType w:start="1"/>
          <w:cols w:space="720" w:num="1"/>
          <w:docGrid w:linePitch="327" w:charSpace="0"/>
        </w:sectPr>
      </w:pPr>
    </w:p>
    <w:p w14:paraId="4B582186">
      <w:pPr>
        <w:pStyle w:val="3"/>
        <w:bidi w:val="0"/>
        <w:rPr>
          <w:rFonts w:hint="eastAsia" w:ascii="宋体" w:hAnsi="宋体" w:eastAsia="宋体" w:cs="宋体"/>
          <w:color w:val="auto"/>
        </w:rPr>
      </w:pPr>
      <w:bookmarkStart w:id="18" w:name="_Toc27075"/>
      <w:bookmarkStart w:id="19" w:name="_Toc27937"/>
      <w:bookmarkStart w:id="20" w:name="_Toc12786"/>
      <w:r>
        <w:rPr>
          <w:rFonts w:hint="eastAsia" w:ascii="宋体" w:hAnsi="宋体" w:eastAsia="宋体" w:cs="宋体"/>
          <w:color w:val="auto"/>
        </w:rPr>
        <w:t>第二节 重要事项时间地点一览表</w:t>
      </w:r>
      <w:bookmarkEnd w:id="18"/>
      <w:bookmarkEnd w:id="19"/>
      <w:bookmarkEnd w:id="20"/>
    </w:p>
    <w:tbl>
      <w:tblPr>
        <w:tblStyle w:val="30"/>
        <w:tblW w:w="99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3"/>
        <w:gridCol w:w="1576"/>
        <w:gridCol w:w="7786"/>
      </w:tblGrid>
      <w:tr w14:paraId="4078A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8" w:hRule="atLeast"/>
          <w:jc w:val="center"/>
        </w:trPr>
        <w:tc>
          <w:tcPr>
            <w:tcW w:w="573" w:type="dxa"/>
            <w:noWrap w:val="0"/>
            <w:vAlign w:val="center"/>
          </w:tcPr>
          <w:p w14:paraId="235FF4E7">
            <w:pPr>
              <w:pStyle w:val="136"/>
              <w:widowControl/>
              <w:spacing w:line="430" w:lineRule="atLeast"/>
              <w:jc w:val="center"/>
              <w:rPr>
                <w:rFonts w:hint="eastAsia" w:ascii="宋体" w:hAnsi="宋体" w:eastAsia="宋体" w:cs="宋体"/>
                <w:color w:val="auto"/>
                <w:kern w:val="0"/>
                <w:sz w:val="24"/>
                <w:szCs w:val="24"/>
                <w:highlight w:val="none"/>
              </w:rPr>
            </w:pPr>
            <w:bookmarkStart w:id="21" w:name="OLE_LINK2"/>
            <w:r>
              <w:rPr>
                <w:rFonts w:hint="eastAsia" w:ascii="宋体" w:hAnsi="宋体" w:eastAsia="宋体" w:cs="宋体"/>
                <w:color w:val="auto"/>
                <w:kern w:val="0"/>
                <w:sz w:val="24"/>
                <w:szCs w:val="24"/>
                <w:highlight w:val="none"/>
              </w:rPr>
              <w:t>1</w:t>
            </w:r>
          </w:p>
        </w:tc>
        <w:tc>
          <w:tcPr>
            <w:tcW w:w="1576" w:type="dxa"/>
            <w:noWrap w:val="0"/>
            <w:vAlign w:val="center"/>
          </w:tcPr>
          <w:p w14:paraId="7CC2106B">
            <w:pPr>
              <w:pStyle w:val="136"/>
              <w:widowControl/>
              <w:spacing w:line="430"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招标公告</w:t>
            </w:r>
          </w:p>
          <w:p w14:paraId="41C5AB17">
            <w:pPr>
              <w:pStyle w:val="136"/>
              <w:widowControl/>
              <w:spacing w:line="430"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发布时间</w:t>
            </w:r>
          </w:p>
        </w:tc>
        <w:tc>
          <w:tcPr>
            <w:tcW w:w="7786" w:type="dxa"/>
            <w:noWrap w:val="0"/>
            <w:vAlign w:val="center"/>
          </w:tcPr>
          <w:p w14:paraId="26DEBEC8">
            <w:pPr>
              <w:keepNext w:val="0"/>
              <w:keepLines w:val="0"/>
              <w:pageBreakBefore w:val="0"/>
              <w:kinsoku/>
              <w:wordWrap/>
              <w:overflowPunct/>
              <w:topLinePunct w:val="0"/>
              <w:autoSpaceDE/>
              <w:autoSpaceDN/>
              <w:bidi w:val="0"/>
              <w:adjustRightInd/>
              <w:snapToGrid/>
              <w:ind w:firstLine="240" w:firstLineChars="1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2025</w:t>
            </w:r>
            <w:r>
              <w:rPr>
                <w:rFonts w:hint="eastAsia" w:ascii="宋体" w:hAnsi="宋体" w:eastAsia="宋体" w:cs="宋体"/>
                <w:color w:val="auto"/>
                <w:kern w:val="0"/>
                <w:sz w:val="24"/>
                <w:szCs w:val="24"/>
                <w:highlight w:val="none"/>
              </w:rPr>
              <w:t>年</w:t>
            </w:r>
            <w:r>
              <w:rPr>
                <w:rFonts w:hint="eastAsia" w:hAnsi="宋体" w:cs="宋体"/>
                <w:color w:val="auto"/>
                <w:kern w:val="0"/>
                <w:sz w:val="24"/>
                <w:szCs w:val="24"/>
                <w:highlight w:val="none"/>
                <w:lang w:val="en-US" w:eastAsia="zh-CN"/>
              </w:rPr>
              <w:t>11</w:t>
            </w:r>
            <w:r>
              <w:rPr>
                <w:rFonts w:hint="eastAsia" w:ascii="宋体" w:hAnsi="宋体" w:eastAsia="宋体" w:cs="宋体"/>
                <w:color w:val="auto"/>
                <w:kern w:val="0"/>
                <w:sz w:val="24"/>
                <w:szCs w:val="24"/>
                <w:highlight w:val="none"/>
              </w:rPr>
              <w:t>月</w:t>
            </w:r>
            <w:r>
              <w:rPr>
                <w:rFonts w:hint="eastAsia" w:hAnsi="宋体" w:cs="宋体"/>
                <w:color w:val="auto"/>
                <w:kern w:val="0"/>
                <w:sz w:val="24"/>
                <w:szCs w:val="24"/>
                <w:highlight w:val="none"/>
                <w:lang w:val="en-US" w:eastAsia="zh-CN"/>
              </w:rPr>
              <w:t>05</w:t>
            </w:r>
            <w:r>
              <w:rPr>
                <w:rFonts w:hint="eastAsia" w:ascii="宋体" w:hAnsi="宋体" w:eastAsia="宋体" w:cs="宋体"/>
                <w:color w:val="auto"/>
                <w:kern w:val="0"/>
                <w:sz w:val="24"/>
                <w:szCs w:val="24"/>
                <w:highlight w:val="none"/>
              </w:rPr>
              <w:t>日</w:t>
            </w:r>
            <w:r>
              <w:rPr>
                <w:rFonts w:hint="eastAsia" w:hAnsi="宋体" w:cs="宋体"/>
                <w:color w:val="auto"/>
                <w:kern w:val="0"/>
                <w:sz w:val="24"/>
                <w:szCs w:val="24"/>
                <w:highlight w:val="none"/>
                <w:lang w:val="en-US" w:eastAsia="zh-CN"/>
              </w:rPr>
              <w:t>17</w:t>
            </w:r>
            <w:r>
              <w:rPr>
                <w:rFonts w:hint="eastAsia" w:ascii="宋体" w:hAnsi="宋体" w:eastAsia="宋体" w:cs="宋体"/>
                <w:color w:val="auto"/>
                <w:kern w:val="0"/>
                <w:sz w:val="24"/>
                <w:szCs w:val="24"/>
                <w:highlight w:val="none"/>
              </w:rPr>
              <w:t>时</w:t>
            </w:r>
            <w:r>
              <w:rPr>
                <w:rFonts w:hint="eastAsia" w:hAnsi="宋体" w:cs="宋体"/>
                <w:color w:val="auto"/>
                <w:kern w:val="0"/>
                <w:sz w:val="24"/>
                <w:szCs w:val="24"/>
                <w:highlight w:val="none"/>
                <w:lang w:val="en-US" w:eastAsia="zh-CN"/>
              </w:rPr>
              <w:t>30</w:t>
            </w:r>
            <w:r>
              <w:rPr>
                <w:rFonts w:hint="eastAsia" w:ascii="宋体" w:hAnsi="宋体" w:eastAsia="宋体" w:cs="宋体"/>
                <w:color w:val="auto"/>
                <w:kern w:val="0"/>
                <w:sz w:val="24"/>
                <w:szCs w:val="24"/>
                <w:highlight w:val="none"/>
              </w:rPr>
              <w:t>分</w:t>
            </w:r>
          </w:p>
        </w:tc>
      </w:tr>
      <w:tr w14:paraId="419AC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573" w:type="dxa"/>
            <w:noWrap w:val="0"/>
            <w:vAlign w:val="center"/>
          </w:tcPr>
          <w:p w14:paraId="2BB06A7D">
            <w:pPr>
              <w:pStyle w:val="136"/>
              <w:widowControl/>
              <w:spacing w:line="430"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p>
        </w:tc>
        <w:tc>
          <w:tcPr>
            <w:tcW w:w="1576" w:type="dxa"/>
            <w:noWrap w:val="0"/>
            <w:vAlign w:val="center"/>
          </w:tcPr>
          <w:p w14:paraId="1F1756AA">
            <w:pPr>
              <w:pStyle w:val="136"/>
              <w:widowControl/>
              <w:spacing w:line="430" w:lineRule="atLeast"/>
              <w:jc w:val="center"/>
              <w:rPr>
                <w:rFonts w:hint="eastAsia" w:ascii="宋体" w:hAnsi="宋体" w:eastAsia="宋体" w:cs="宋体"/>
                <w:color w:val="auto"/>
                <w:kern w:val="0"/>
                <w:sz w:val="24"/>
                <w:szCs w:val="24"/>
                <w:highlight w:val="none"/>
              </w:rPr>
            </w:pPr>
            <w:r>
              <w:rPr>
                <w:rFonts w:hint="eastAsia" w:ascii="宋体" w:hAnsi="宋体" w:eastAsia="宋体" w:cs="宋体"/>
                <w:snapToGrid w:val="0"/>
                <w:color w:val="auto"/>
                <w:kern w:val="0"/>
                <w:sz w:val="24"/>
                <w:szCs w:val="24"/>
                <w:highlight w:val="none"/>
              </w:rPr>
              <w:t>获取招标文件截止时间</w:t>
            </w:r>
          </w:p>
        </w:tc>
        <w:tc>
          <w:tcPr>
            <w:tcW w:w="7786" w:type="dxa"/>
            <w:noWrap w:val="0"/>
            <w:vAlign w:val="center"/>
          </w:tcPr>
          <w:p w14:paraId="787B8CAC">
            <w:pPr>
              <w:pStyle w:val="136"/>
              <w:keepNext w:val="0"/>
              <w:keepLines w:val="0"/>
              <w:pageBreakBefore w:val="0"/>
              <w:widowControl/>
              <w:kinsoku/>
              <w:wordWrap/>
              <w:overflowPunct/>
              <w:topLinePunct w:val="0"/>
              <w:autoSpaceDE/>
              <w:autoSpaceDN/>
              <w:bidi w:val="0"/>
              <w:adjustRightInd/>
              <w:snapToGrid/>
              <w:spacing w:line="430" w:lineRule="atLeast"/>
              <w:ind w:firstLine="240" w:firstLineChars="1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2025</w:t>
            </w:r>
            <w:r>
              <w:rPr>
                <w:rFonts w:hint="eastAsia" w:ascii="宋体" w:hAnsi="宋体" w:eastAsia="宋体" w:cs="宋体"/>
                <w:color w:val="auto"/>
                <w:kern w:val="0"/>
                <w:sz w:val="24"/>
                <w:szCs w:val="24"/>
                <w:highlight w:val="none"/>
              </w:rPr>
              <w:t>年</w:t>
            </w:r>
            <w:r>
              <w:rPr>
                <w:rFonts w:hint="eastAsia" w:ascii="宋体" w:hAnsi="宋体" w:cs="宋体"/>
                <w:color w:val="auto"/>
                <w:kern w:val="0"/>
                <w:sz w:val="24"/>
                <w:szCs w:val="24"/>
                <w:highlight w:val="none"/>
                <w:lang w:val="en-US" w:eastAsia="zh-CN"/>
              </w:rPr>
              <w:t>11</w:t>
            </w:r>
            <w:r>
              <w:rPr>
                <w:rFonts w:hint="eastAsia" w:ascii="宋体" w:hAnsi="宋体" w:eastAsia="宋体" w:cs="宋体"/>
                <w:color w:val="auto"/>
                <w:kern w:val="0"/>
                <w:sz w:val="24"/>
                <w:szCs w:val="24"/>
                <w:highlight w:val="none"/>
              </w:rPr>
              <w:t>月</w:t>
            </w:r>
            <w:r>
              <w:rPr>
                <w:rFonts w:hint="eastAsia" w:ascii="宋体" w:hAnsi="宋体" w:cs="宋体"/>
                <w:color w:val="auto"/>
                <w:kern w:val="0"/>
                <w:sz w:val="24"/>
                <w:szCs w:val="24"/>
                <w:highlight w:val="none"/>
                <w:lang w:val="en-US" w:eastAsia="zh-CN"/>
              </w:rPr>
              <w:t>28</w:t>
            </w:r>
            <w:r>
              <w:rPr>
                <w:rFonts w:hint="eastAsia" w:ascii="宋体" w:hAnsi="宋体" w:eastAsia="宋体" w:cs="宋体"/>
                <w:color w:val="auto"/>
                <w:kern w:val="0"/>
                <w:sz w:val="24"/>
                <w:szCs w:val="24"/>
                <w:highlight w:val="none"/>
              </w:rPr>
              <w:t>日</w:t>
            </w:r>
            <w:r>
              <w:rPr>
                <w:rFonts w:hint="eastAsia" w:ascii="宋体" w:hAnsi="宋体" w:cs="宋体"/>
                <w:color w:val="auto"/>
                <w:kern w:val="0"/>
                <w:sz w:val="24"/>
                <w:szCs w:val="24"/>
                <w:highlight w:val="none"/>
                <w:lang w:val="en-US" w:eastAsia="zh-CN"/>
              </w:rPr>
              <w:t>10</w:t>
            </w:r>
            <w:r>
              <w:rPr>
                <w:rFonts w:hint="eastAsia" w:ascii="宋体" w:hAnsi="宋体" w:eastAsia="宋体" w:cs="宋体"/>
                <w:color w:val="auto"/>
                <w:kern w:val="0"/>
                <w:sz w:val="24"/>
                <w:szCs w:val="24"/>
                <w:highlight w:val="none"/>
              </w:rPr>
              <w:t>时</w:t>
            </w:r>
            <w:r>
              <w:rPr>
                <w:rFonts w:hint="eastAsia" w:ascii="宋体" w:hAnsi="宋体" w:cs="宋体"/>
                <w:color w:val="auto"/>
                <w:kern w:val="0"/>
                <w:sz w:val="24"/>
                <w:szCs w:val="24"/>
                <w:highlight w:val="none"/>
                <w:lang w:val="en-US" w:eastAsia="zh-CN"/>
              </w:rPr>
              <w:t>00</w:t>
            </w:r>
            <w:r>
              <w:rPr>
                <w:rFonts w:hint="eastAsia" w:ascii="宋体" w:hAnsi="宋体" w:eastAsia="宋体" w:cs="宋体"/>
                <w:color w:val="auto"/>
                <w:kern w:val="0"/>
                <w:sz w:val="24"/>
                <w:szCs w:val="24"/>
                <w:highlight w:val="none"/>
              </w:rPr>
              <w:t>分</w:t>
            </w:r>
          </w:p>
        </w:tc>
      </w:tr>
      <w:tr w14:paraId="68CEC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jc w:val="center"/>
        </w:trPr>
        <w:tc>
          <w:tcPr>
            <w:tcW w:w="573" w:type="dxa"/>
            <w:noWrap w:val="0"/>
            <w:vAlign w:val="center"/>
          </w:tcPr>
          <w:p w14:paraId="4B956692">
            <w:pPr>
              <w:pStyle w:val="136"/>
              <w:widowControl/>
              <w:spacing w:line="430"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w:t>
            </w:r>
          </w:p>
        </w:tc>
        <w:tc>
          <w:tcPr>
            <w:tcW w:w="1576" w:type="dxa"/>
            <w:noWrap w:val="0"/>
            <w:vAlign w:val="center"/>
          </w:tcPr>
          <w:p w14:paraId="58ED66E1">
            <w:pPr>
              <w:pStyle w:val="136"/>
              <w:widowControl/>
              <w:spacing w:line="430"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网上提问</w:t>
            </w:r>
          </w:p>
          <w:p w14:paraId="50B88E34">
            <w:pPr>
              <w:pStyle w:val="136"/>
              <w:widowControl/>
              <w:spacing w:line="430"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截止时间</w:t>
            </w:r>
          </w:p>
        </w:tc>
        <w:tc>
          <w:tcPr>
            <w:tcW w:w="7786" w:type="dxa"/>
            <w:noWrap w:val="0"/>
            <w:vAlign w:val="center"/>
          </w:tcPr>
          <w:p w14:paraId="7023F229">
            <w:pPr>
              <w:pStyle w:val="136"/>
              <w:keepNext w:val="0"/>
              <w:keepLines w:val="0"/>
              <w:pageBreakBefore w:val="0"/>
              <w:widowControl/>
              <w:kinsoku/>
              <w:wordWrap/>
              <w:overflowPunct/>
              <w:topLinePunct w:val="0"/>
              <w:autoSpaceDE/>
              <w:autoSpaceDN/>
              <w:bidi w:val="0"/>
              <w:adjustRightInd/>
              <w:snapToGrid/>
              <w:spacing w:line="430" w:lineRule="atLeast"/>
              <w:ind w:firstLine="240" w:firstLineChars="1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2025</w:t>
            </w:r>
            <w:r>
              <w:rPr>
                <w:rFonts w:hint="eastAsia" w:ascii="宋体" w:hAnsi="宋体" w:eastAsia="宋体" w:cs="宋体"/>
                <w:color w:val="auto"/>
                <w:kern w:val="0"/>
                <w:sz w:val="24"/>
                <w:szCs w:val="24"/>
                <w:highlight w:val="none"/>
              </w:rPr>
              <w:t>年</w:t>
            </w:r>
            <w:r>
              <w:rPr>
                <w:rFonts w:hint="eastAsia" w:ascii="宋体" w:hAnsi="宋体" w:cs="宋体"/>
                <w:color w:val="auto"/>
                <w:kern w:val="0"/>
                <w:sz w:val="24"/>
                <w:szCs w:val="24"/>
                <w:highlight w:val="none"/>
                <w:lang w:val="en-US" w:eastAsia="zh-CN"/>
              </w:rPr>
              <w:t>11</w:t>
            </w:r>
            <w:r>
              <w:rPr>
                <w:rFonts w:hint="eastAsia" w:ascii="宋体" w:hAnsi="宋体" w:eastAsia="宋体" w:cs="宋体"/>
                <w:color w:val="auto"/>
                <w:kern w:val="0"/>
                <w:sz w:val="24"/>
                <w:szCs w:val="24"/>
                <w:highlight w:val="none"/>
              </w:rPr>
              <w:t>月</w:t>
            </w:r>
            <w:r>
              <w:rPr>
                <w:rFonts w:hint="eastAsia" w:ascii="宋体" w:hAnsi="宋体" w:cs="宋体"/>
                <w:color w:val="auto"/>
                <w:kern w:val="0"/>
                <w:sz w:val="24"/>
                <w:szCs w:val="24"/>
                <w:highlight w:val="none"/>
                <w:lang w:val="en-US" w:eastAsia="zh-CN"/>
              </w:rPr>
              <w:t>18</w:t>
            </w:r>
            <w:r>
              <w:rPr>
                <w:rFonts w:hint="eastAsia" w:ascii="宋体" w:hAnsi="宋体" w:eastAsia="宋体" w:cs="宋体"/>
                <w:color w:val="auto"/>
                <w:kern w:val="0"/>
                <w:sz w:val="24"/>
                <w:szCs w:val="24"/>
                <w:highlight w:val="none"/>
              </w:rPr>
              <w:t>日</w:t>
            </w:r>
            <w:r>
              <w:rPr>
                <w:rFonts w:hint="eastAsia" w:ascii="宋体" w:hAnsi="宋体" w:eastAsia="宋体" w:cs="宋体"/>
                <w:color w:val="auto"/>
                <w:kern w:val="0"/>
                <w:sz w:val="24"/>
                <w:szCs w:val="24"/>
                <w:highlight w:val="none"/>
                <w:lang w:val="en-US" w:eastAsia="zh-CN"/>
              </w:rPr>
              <w:t xml:space="preserve">16 </w:t>
            </w:r>
            <w:r>
              <w:rPr>
                <w:rFonts w:hint="eastAsia" w:ascii="宋体" w:hAnsi="宋体" w:eastAsia="宋体" w:cs="宋体"/>
                <w:color w:val="auto"/>
                <w:kern w:val="0"/>
                <w:sz w:val="24"/>
                <w:szCs w:val="24"/>
                <w:highlight w:val="none"/>
              </w:rPr>
              <w:t>时</w:t>
            </w:r>
            <w:r>
              <w:rPr>
                <w:rFonts w:hint="eastAsia" w:ascii="宋体" w:hAnsi="宋体" w:eastAsia="宋体" w:cs="宋体"/>
                <w:color w:val="auto"/>
                <w:kern w:val="0"/>
                <w:sz w:val="24"/>
                <w:szCs w:val="24"/>
                <w:highlight w:val="none"/>
                <w:lang w:val="en-US" w:eastAsia="zh-CN"/>
              </w:rPr>
              <w:t>00</w:t>
            </w:r>
            <w:r>
              <w:rPr>
                <w:rFonts w:hint="eastAsia" w:ascii="宋体" w:hAnsi="宋体" w:eastAsia="宋体" w:cs="宋体"/>
                <w:color w:val="auto"/>
                <w:kern w:val="0"/>
                <w:sz w:val="24"/>
                <w:szCs w:val="24"/>
                <w:highlight w:val="none"/>
              </w:rPr>
              <w:t>分</w:t>
            </w:r>
          </w:p>
        </w:tc>
      </w:tr>
      <w:tr w14:paraId="6D2B7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6" w:hRule="atLeast"/>
          <w:jc w:val="center"/>
        </w:trPr>
        <w:tc>
          <w:tcPr>
            <w:tcW w:w="573" w:type="dxa"/>
            <w:noWrap w:val="0"/>
            <w:vAlign w:val="center"/>
          </w:tcPr>
          <w:p w14:paraId="38760C47">
            <w:pPr>
              <w:pStyle w:val="136"/>
              <w:widowControl/>
              <w:spacing w:line="430"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w:t>
            </w:r>
          </w:p>
        </w:tc>
        <w:tc>
          <w:tcPr>
            <w:tcW w:w="1576" w:type="dxa"/>
            <w:noWrap w:val="0"/>
            <w:vAlign w:val="center"/>
          </w:tcPr>
          <w:p w14:paraId="33E9F6EE">
            <w:pPr>
              <w:pStyle w:val="136"/>
              <w:widowControl/>
              <w:spacing w:line="430"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网上答疑</w:t>
            </w:r>
          </w:p>
          <w:p w14:paraId="379B8CD8">
            <w:pPr>
              <w:pStyle w:val="136"/>
              <w:widowControl/>
              <w:spacing w:line="430"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时间</w:t>
            </w:r>
          </w:p>
        </w:tc>
        <w:tc>
          <w:tcPr>
            <w:tcW w:w="7786" w:type="dxa"/>
            <w:noWrap w:val="0"/>
            <w:vAlign w:val="center"/>
          </w:tcPr>
          <w:p w14:paraId="0CB4BCDB">
            <w:pPr>
              <w:pStyle w:val="136"/>
              <w:keepNext w:val="0"/>
              <w:keepLines w:val="0"/>
              <w:pageBreakBefore w:val="0"/>
              <w:widowControl/>
              <w:kinsoku/>
              <w:wordWrap/>
              <w:overflowPunct/>
              <w:topLinePunct w:val="0"/>
              <w:autoSpaceDE/>
              <w:autoSpaceDN/>
              <w:bidi w:val="0"/>
              <w:adjustRightInd/>
              <w:snapToGrid/>
              <w:spacing w:line="430" w:lineRule="atLeast"/>
              <w:ind w:firstLine="240" w:firstLineChars="1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2025</w:t>
            </w:r>
            <w:r>
              <w:rPr>
                <w:rFonts w:hint="eastAsia" w:ascii="宋体" w:hAnsi="宋体" w:eastAsia="宋体" w:cs="宋体"/>
                <w:color w:val="auto"/>
                <w:kern w:val="0"/>
                <w:sz w:val="24"/>
                <w:szCs w:val="24"/>
                <w:highlight w:val="none"/>
              </w:rPr>
              <w:t>年</w:t>
            </w:r>
            <w:r>
              <w:rPr>
                <w:rFonts w:hint="eastAsia" w:ascii="宋体" w:hAnsi="宋体" w:cs="宋体"/>
                <w:color w:val="auto"/>
                <w:kern w:val="0"/>
                <w:sz w:val="24"/>
                <w:szCs w:val="24"/>
                <w:highlight w:val="none"/>
                <w:lang w:val="en-US" w:eastAsia="zh-CN"/>
              </w:rPr>
              <w:t>11</w:t>
            </w:r>
            <w:r>
              <w:rPr>
                <w:rFonts w:hint="eastAsia" w:ascii="宋体" w:hAnsi="宋体" w:eastAsia="宋体" w:cs="宋体"/>
                <w:color w:val="auto"/>
                <w:kern w:val="0"/>
                <w:sz w:val="24"/>
                <w:szCs w:val="24"/>
                <w:highlight w:val="none"/>
              </w:rPr>
              <w:t>月</w:t>
            </w:r>
            <w:r>
              <w:rPr>
                <w:rFonts w:hint="eastAsia" w:ascii="宋体" w:hAnsi="宋体" w:cs="宋体"/>
                <w:color w:val="auto"/>
                <w:kern w:val="0"/>
                <w:sz w:val="24"/>
                <w:szCs w:val="24"/>
                <w:highlight w:val="none"/>
                <w:lang w:val="en-US" w:eastAsia="zh-CN"/>
              </w:rPr>
              <w:t>18</w:t>
            </w:r>
            <w:r>
              <w:rPr>
                <w:rFonts w:hint="eastAsia" w:ascii="宋体" w:hAnsi="宋体" w:eastAsia="宋体" w:cs="宋体"/>
                <w:color w:val="auto"/>
                <w:kern w:val="0"/>
                <w:sz w:val="24"/>
                <w:szCs w:val="24"/>
                <w:highlight w:val="none"/>
              </w:rPr>
              <w:t>日</w:t>
            </w:r>
            <w:r>
              <w:rPr>
                <w:rFonts w:hint="eastAsia" w:ascii="宋体" w:hAnsi="宋体" w:eastAsia="宋体" w:cs="宋体"/>
                <w:color w:val="auto"/>
                <w:kern w:val="0"/>
                <w:sz w:val="24"/>
                <w:szCs w:val="24"/>
                <w:highlight w:val="none"/>
                <w:lang w:val="en-US" w:eastAsia="zh-CN"/>
              </w:rPr>
              <w:t>16</w:t>
            </w:r>
            <w:r>
              <w:rPr>
                <w:rFonts w:hint="eastAsia" w:ascii="宋体" w:hAnsi="宋体" w:eastAsia="宋体" w:cs="宋体"/>
                <w:color w:val="auto"/>
                <w:kern w:val="0"/>
                <w:sz w:val="24"/>
                <w:szCs w:val="24"/>
                <w:highlight w:val="none"/>
              </w:rPr>
              <w:t>时</w:t>
            </w:r>
            <w:r>
              <w:rPr>
                <w:rFonts w:hint="eastAsia" w:ascii="宋体" w:hAnsi="宋体" w:eastAsia="宋体" w:cs="宋体"/>
                <w:color w:val="auto"/>
                <w:kern w:val="0"/>
                <w:sz w:val="24"/>
                <w:szCs w:val="24"/>
                <w:highlight w:val="none"/>
                <w:lang w:val="en-US" w:eastAsia="zh-CN"/>
              </w:rPr>
              <w:t>30</w:t>
            </w:r>
            <w:r>
              <w:rPr>
                <w:rFonts w:hint="eastAsia" w:ascii="宋体" w:hAnsi="宋体" w:eastAsia="宋体" w:cs="宋体"/>
                <w:color w:val="auto"/>
                <w:kern w:val="0"/>
                <w:sz w:val="24"/>
                <w:szCs w:val="24"/>
                <w:highlight w:val="none"/>
              </w:rPr>
              <w:t>分至</w:t>
            </w:r>
            <w:r>
              <w:rPr>
                <w:rFonts w:hint="eastAsia" w:ascii="宋体" w:hAnsi="宋体" w:eastAsia="宋体" w:cs="宋体"/>
                <w:color w:val="auto"/>
                <w:kern w:val="0"/>
                <w:sz w:val="24"/>
                <w:szCs w:val="24"/>
                <w:highlight w:val="none"/>
                <w:lang w:val="en-US" w:eastAsia="zh-CN"/>
              </w:rPr>
              <w:t>2025</w:t>
            </w:r>
            <w:r>
              <w:rPr>
                <w:rFonts w:hint="eastAsia" w:ascii="宋体" w:hAnsi="宋体" w:eastAsia="宋体" w:cs="宋体"/>
                <w:color w:val="auto"/>
                <w:kern w:val="0"/>
                <w:sz w:val="24"/>
                <w:szCs w:val="24"/>
                <w:highlight w:val="none"/>
              </w:rPr>
              <w:t>年</w:t>
            </w:r>
            <w:r>
              <w:rPr>
                <w:rFonts w:hint="eastAsia" w:ascii="宋体" w:hAnsi="宋体" w:cs="宋体"/>
                <w:color w:val="auto"/>
                <w:kern w:val="0"/>
                <w:sz w:val="24"/>
                <w:szCs w:val="24"/>
                <w:highlight w:val="none"/>
                <w:lang w:val="en-US" w:eastAsia="zh-CN"/>
              </w:rPr>
              <w:t>11</w:t>
            </w:r>
            <w:r>
              <w:rPr>
                <w:rFonts w:hint="eastAsia" w:ascii="宋体" w:hAnsi="宋体" w:eastAsia="宋体" w:cs="宋体"/>
                <w:color w:val="auto"/>
                <w:kern w:val="0"/>
                <w:sz w:val="24"/>
                <w:szCs w:val="24"/>
                <w:highlight w:val="none"/>
              </w:rPr>
              <w:t>月</w:t>
            </w:r>
            <w:r>
              <w:rPr>
                <w:rFonts w:hint="eastAsia" w:ascii="宋体" w:hAnsi="宋体" w:cs="宋体"/>
                <w:color w:val="auto"/>
                <w:kern w:val="0"/>
                <w:sz w:val="24"/>
                <w:szCs w:val="24"/>
                <w:highlight w:val="none"/>
                <w:lang w:val="en-US" w:eastAsia="zh-CN"/>
              </w:rPr>
              <w:t>21</w:t>
            </w:r>
            <w:r>
              <w:rPr>
                <w:rFonts w:hint="eastAsia" w:ascii="宋体" w:hAnsi="宋体" w:eastAsia="宋体" w:cs="宋体"/>
                <w:color w:val="auto"/>
                <w:kern w:val="0"/>
                <w:sz w:val="24"/>
                <w:szCs w:val="24"/>
                <w:highlight w:val="none"/>
              </w:rPr>
              <w:t>日</w:t>
            </w:r>
            <w:r>
              <w:rPr>
                <w:rFonts w:hint="eastAsia" w:ascii="宋体" w:hAnsi="宋体" w:eastAsia="宋体" w:cs="宋体"/>
                <w:color w:val="auto"/>
                <w:kern w:val="0"/>
                <w:sz w:val="24"/>
                <w:szCs w:val="24"/>
                <w:highlight w:val="none"/>
                <w:lang w:val="en-US" w:eastAsia="zh-CN"/>
              </w:rPr>
              <w:t>16</w:t>
            </w:r>
            <w:r>
              <w:rPr>
                <w:rFonts w:hint="eastAsia" w:ascii="宋体" w:hAnsi="宋体" w:eastAsia="宋体" w:cs="宋体"/>
                <w:color w:val="auto"/>
                <w:kern w:val="0"/>
                <w:sz w:val="24"/>
                <w:szCs w:val="24"/>
                <w:highlight w:val="none"/>
              </w:rPr>
              <w:t>时</w:t>
            </w:r>
            <w:r>
              <w:rPr>
                <w:rFonts w:hint="eastAsia" w:ascii="宋体" w:hAnsi="宋体" w:eastAsia="宋体" w:cs="宋体"/>
                <w:color w:val="auto"/>
                <w:kern w:val="0"/>
                <w:sz w:val="24"/>
                <w:szCs w:val="24"/>
                <w:highlight w:val="none"/>
                <w:lang w:val="en-US" w:eastAsia="zh-CN"/>
              </w:rPr>
              <w:t>00</w:t>
            </w:r>
            <w:r>
              <w:rPr>
                <w:rFonts w:hint="eastAsia" w:ascii="宋体" w:hAnsi="宋体" w:eastAsia="宋体" w:cs="宋体"/>
                <w:color w:val="auto"/>
                <w:kern w:val="0"/>
                <w:sz w:val="24"/>
                <w:szCs w:val="24"/>
                <w:highlight w:val="none"/>
              </w:rPr>
              <w:t>分</w:t>
            </w:r>
          </w:p>
        </w:tc>
      </w:tr>
      <w:tr w14:paraId="19FC9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1" w:hRule="atLeast"/>
          <w:jc w:val="center"/>
        </w:trPr>
        <w:tc>
          <w:tcPr>
            <w:tcW w:w="573" w:type="dxa"/>
            <w:noWrap w:val="0"/>
            <w:vAlign w:val="center"/>
          </w:tcPr>
          <w:p w14:paraId="0B2F7D73">
            <w:pPr>
              <w:pStyle w:val="136"/>
              <w:widowControl/>
              <w:spacing w:line="430"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w:t>
            </w:r>
          </w:p>
        </w:tc>
        <w:tc>
          <w:tcPr>
            <w:tcW w:w="1576" w:type="dxa"/>
            <w:noWrap w:val="0"/>
            <w:vAlign w:val="center"/>
          </w:tcPr>
          <w:p w14:paraId="553C2906">
            <w:pPr>
              <w:pStyle w:val="136"/>
              <w:widowControl/>
              <w:spacing w:line="430"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投标保证缴</w:t>
            </w:r>
          </w:p>
          <w:p w14:paraId="5B798642">
            <w:pPr>
              <w:pStyle w:val="136"/>
              <w:widowControl/>
              <w:spacing w:line="430"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纳截止时间</w:t>
            </w:r>
          </w:p>
        </w:tc>
        <w:tc>
          <w:tcPr>
            <w:tcW w:w="7786" w:type="dxa"/>
            <w:noWrap w:val="0"/>
            <w:vAlign w:val="center"/>
          </w:tcPr>
          <w:p w14:paraId="70704A2E">
            <w:pPr>
              <w:pStyle w:val="136"/>
              <w:keepNext w:val="0"/>
              <w:keepLines w:val="0"/>
              <w:pageBreakBefore w:val="0"/>
              <w:widowControl/>
              <w:kinsoku/>
              <w:wordWrap/>
              <w:overflowPunct/>
              <w:topLinePunct w:val="0"/>
              <w:autoSpaceDE/>
              <w:autoSpaceDN/>
              <w:bidi w:val="0"/>
              <w:adjustRightInd/>
              <w:snapToGrid/>
              <w:spacing w:line="430" w:lineRule="atLeast"/>
              <w:ind w:firstLine="240" w:firstLineChars="1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投标保证金到账截止时间：</w:t>
            </w:r>
            <w:r>
              <w:rPr>
                <w:rFonts w:hint="eastAsia" w:ascii="宋体" w:hAnsi="宋体" w:eastAsia="宋体" w:cs="宋体"/>
                <w:color w:val="auto"/>
                <w:kern w:val="0"/>
                <w:sz w:val="24"/>
                <w:szCs w:val="24"/>
                <w:highlight w:val="none"/>
                <w:lang w:val="en-US" w:eastAsia="zh-CN"/>
              </w:rPr>
              <w:t>2025</w:t>
            </w:r>
            <w:r>
              <w:rPr>
                <w:rFonts w:hint="eastAsia" w:ascii="宋体" w:hAnsi="宋体" w:eastAsia="宋体" w:cs="宋体"/>
                <w:color w:val="auto"/>
                <w:kern w:val="0"/>
                <w:sz w:val="24"/>
                <w:szCs w:val="24"/>
                <w:highlight w:val="none"/>
              </w:rPr>
              <w:t>年</w:t>
            </w:r>
            <w:r>
              <w:rPr>
                <w:rFonts w:hint="eastAsia" w:ascii="宋体" w:hAnsi="宋体" w:cs="宋体"/>
                <w:color w:val="auto"/>
                <w:kern w:val="0"/>
                <w:sz w:val="24"/>
                <w:szCs w:val="24"/>
                <w:highlight w:val="none"/>
                <w:lang w:val="en-US" w:eastAsia="zh-CN"/>
              </w:rPr>
              <w:t>11</w:t>
            </w:r>
            <w:r>
              <w:rPr>
                <w:rFonts w:hint="eastAsia" w:ascii="宋体" w:hAnsi="宋体" w:eastAsia="宋体" w:cs="宋体"/>
                <w:color w:val="auto"/>
                <w:kern w:val="0"/>
                <w:sz w:val="24"/>
                <w:szCs w:val="24"/>
                <w:highlight w:val="none"/>
              </w:rPr>
              <w:t>月</w:t>
            </w:r>
            <w:r>
              <w:rPr>
                <w:rFonts w:hint="eastAsia" w:ascii="宋体" w:hAnsi="宋体" w:cs="宋体"/>
                <w:color w:val="auto"/>
                <w:kern w:val="0"/>
                <w:sz w:val="24"/>
                <w:szCs w:val="24"/>
                <w:highlight w:val="none"/>
                <w:lang w:val="en-US" w:eastAsia="zh-CN"/>
              </w:rPr>
              <w:t>27</w:t>
            </w:r>
            <w:r>
              <w:rPr>
                <w:rFonts w:hint="eastAsia" w:ascii="宋体" w:hAnsi="宋体" w:eastAsia="宋体" w:cs="宋体"/>
                <w:color w:val="auto"/>
                <w:kern w:val="0"/>
                <w:sz w:val="24"/>
                <w:szCs w:val="24"/>
                <w:highlight w:val="none"/>
              </w:rPr>
              <w:t>日</w:t>
            </w:r>
            <w:r>
              <w:rPr>
                <w:rFonts w:hint="eastAsia" w:ascii="宋体" w:hAnsi="宋体" w:cs="宋体"/>
                <w:color w:val="auto"/>
                <w:kern w:val="0"/>
                <w:sz w:val="24"/>
                <w:szCs w:val="24"/>
                <w:highlight w:val="none"/>
                <w:lang w:val="en-US" w:eastAsia="zh-CN"/>
              </w:rPr>
              <w:t>10</w:t>
            </w:r>
            <w:r>
              <w:rPr>
                <w:rFonts w:hint="eastAsia" w:ascii="宋体" w:hAnsi="宋体" w:eastAsia="宋体" w:cs="宋体"/>
                <w:color w:val="auto"/>
                <w:kern w:val="0"/>
                <w:sz w:val="24"/>
                <w:szCs w:val="24"/>
                <w:highlight w:val="none"/>
              </w:rPr>
              <w:t>时</w:t>
            </w:r>
            <w:r>
              <w:rPr>
                <w:rFonts w:hint="eastAsia" w:ascii="宋体" w:hAnsi="宋体" w:cs="宋体"/>
                <w:color w:val="auto"/>
                <w:kern w:val="0"/>
                <w:sz w:val="24"/>
                <w:szCs w:val="24"/>
                <w:highlight w:val="none"/>
                <w:lang w:val="en-US" w:eastAsia="zh-CN"/>
              </w:rPr>
              <w:t>00</w:t>
            </w:r>
            <w:r>
              <w:rPr>
                <w:rFonts w:hint="eastAsia" w:ascii="宋体" w:hAnsi="宋体" w:eastAsia="宋体" w:cs="宋体"/>
                <w:color w:val="auto"/>
                <w:kern w:val="0"/>
                <w:sz w:val="24"/>
                <w:szCs w:val="24"/>
                <w:highlight w:val="none"/>
              </w:rPr>
              <w:t>分；</w:t>
            </w:r>
          </w:p>
          <w:p w14:paraId="459B53B1">
            <w:pPr>
              <w:pStyle w:val="136"/>
              <w:keepNext w:val="0"/>
              <w:keepLines w:val="0"/>
              <w:pageBreakBefore w:val="0"/>
              <w:widowControl/>
              <w:kinsoku/>
              <w:wordWrap/>
              <w:overflowPunct/>
              <w:topLinePunct w:val="0"/>
              <w:autoSpaceDE/>
              <w:autoSpaceDN/>
              <w:bidi w:val="0"/>
              <w:adjustRightInd/>
              <w:snapToGrid/>
              <w:spacing w:line="430" w:lineRule="atLeast"/>
              <w:ind w:firstLine="240" w:firstLineChars="1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投标保证担保上传截止时间：</w:t>
            </w:r>
            <w:r>
              <w:rPr>
                <w:rFonts w:hint="eastAsia" w:ascii="宋体" w:hAnsi="宋体" w:eastAsia="宋体" w:cs="宋体"/>
                <w:color w:val="auto"/>
                <w:kern w:val="0"/>
                <w:sz w:val="24"/>
                <w:szCs w:val="24"/>
                <w:highlight w:val="none"/>
                <w:lang w:val="en-US" w:eastAsia="zh-CN"/>
              </w:rPr>
              <w:t>2025</w:t>
            </w:r>
            <w:r>
              <w:rPr>
                <w:rFonts w:hint="eastAsia" w:ascii="宋体" w:hAnsi="宋体" w:eastAsia="宋体" w:cs="宋体"/>
                <w:color w:val="auto"/>
                <w:kern w:val="0"/>
                <w:sz w:val="24"/>
                <w:szCs w:val="24"/>
                <w:highlight w:val="none"/>
              </w:rPr>
              <w:t>年</w:t>
            </w:r>
            <w:r>
              <w:rPr>
                <w:rFonts w:hint="eastAsia" w:ascii="宋体" w:hAnsi="宋体" w:cs="宋体"/>
                <w:color w:val="auto"/>
                <w:kern w:val="0"/>
                <w:sz w:val="24"/>
                <w:szCs w:val="24"/>
                <w:highlight w:val="none"/>
                <w:lang w:val="en-US" w:eastAsia="zh-CN"/>
              </w:rPr>
              <w:t>11</w:t>
            </w:r>
            <w:r>
              <w:rPr>
                <w:rFonts w:hint="eastAsia" w:ascii="宋体" w:hAnsi="宋体" w:eastAsia="宋体" w:cs="宋体"/>
                <w:color w:val="auto"/>
                <w:kern w:val="0"/>
                <w:sz w:val="24"/>
                <w:szCs w:val="24"/>
                <w:highlight w:val="none"/>
              </w:rPr>
              <w:t>月</w:t>
            </w:r>
            <w:r>
              <w:rPr>
                <w:rFonts w:hint="eastAsia" w:ascii="宋体" w:hAnsi="宋体" w:cs="宋体"/>
                <w:color w:val="auto"/>
                <w:kern w:val="0"/>
                <w:sz w:val="24"/>
                <w:szCs w:val="24"/>
                <w:highlight w:val="none"/>
                <w:lang w:val="en-US" w:eastAsia="zh-CN"/>
              </w:rPr>
              <w:t>27</w:t>
            </w:r>
            <w:r>
              <w:rPr>
                <w:rFonts w:hint="eastAsia" w:ascii="宋体" w:hAnsi="宋体" w:eastAsia="宋体" w:cs="宋体"/>
                <w:color w:val="auto"/>
                <w:kern w:val="0"/>
                <w:sz w:val="24"/>
                <w:szCs w:val="24"/>
                <w:highlight w:val="none"/>
              </w:rPr>
              <w:t>日</w:t>
            </w:r>
            <w:r>
              <w:rPr>
                <w:rFonts w:hint="eastAsia" w:ascii="宋体" w:hAnsi="宋体" w:cs="宋体"/>
                <w:color w:val="auto"/>
                <w:kern w:val="0"/>
                <w:sz w:val="24"/>
                <w:szCs w:val="24"/>
                <w:highlight w:val="none"/>
                <w:lang w:val="en-US" w:eastAsia="zh-CN"/>
              </w:rPr>
              <w:t>10</w:t>
            </w:r>
            <w:r>
              <w:rPr>
                <w:rFonts w:hint="eastAsia" w:ascii="宋体" w:hAnsi="宋体" w:eastAsia="宋体" w:cs="宋体"/>
                <w:color w:val="auto"/>
                <w:kern w:val="0"/>
                <w:sz w:val="24"/>
                <w:szCs w:val="24"/>
                <w:highlight w:val="none"/>
              </w:rPr>
              <w:t>时</w:t>
            </w:r>
            <w:r>
              <w:rPr>
                <w:rFonts w:hint="eastAsia" w:ascii="宋体" w:hAnsi="宋体" w:cs="宋体"/>
                <w:color w:val="auto"/>
                <w:kern w:val="0"/>
                <w:sz w:val="24"/>
                <w:szCs w:val="24"/>
                <w:highlight w:val="none"/>
                <w:lang w:val="en-US" w:eastAsia="zh-CN"/>
              </w:rPr>
              <w:t>00</w:t>
            </w:r>
            <w:r>
              <w:rPr>
                <w:rFonts w:hint="eastAsia" w:ascii="宋体" w:hAnsi="宋体" w:eastAsia="宋体" w:cs="宋体"/>
                <w:color w:val="auto"/>
                <w:kern w:val="0"/>
                <w:sz w:val="24"/>
                <w:szCs w:val="24"/>
                <w:highlight w:val="none"/>
              </w:rPr>
              <w:t>分；</w:t>
            </w:r>
          </w:p>
          <w:p w14:paraId="32299DE7">
            <w:pPr>
              <w:pStyle w:val="136"/>
              <w:keepNext w:val="0"/>
              <w:keepLines w:val="0"/>
              <w:pageBreakBefore w:val="0"/>
              <w:widowControl/>
              <w:kinsoku/>
              <w:wordWrap/>
              <w:overflowPunct/>
              <w:topLinePunct w:val="0"/>
              <w:autoSpaceDE/>
              <w:autoSpaceDN/>
              <w:bidi w:val="0"/>
              <w:adjustRightInd/>
              <w:snapToGrid/>
              <w:spacing w:line="430" w:lineRule="atLeast"/>
              <w:ind w:firstLine="240" w:firstLineChars="1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投标保证保险投保截止时间：</w:t>
            </w:r>
            <w:r>
              <w:rPr>
                <w:rFonts w:hint="eastAsia" w:ascii="宋体" w:hAnsi="宋体" w:eastAsia="宋体" w:cs="宋体"/>
                <w:color w:val="auto"/>
                <w:kern w:val="0"/>
                <w:sz w:val="24"/>
                <w:szCs w:val="24"/>
                <w:highlight w:val="none"/>
                <w:lang w:val="en-US" w:eastAsia="zh-CN"/>
              </w:rPr>
              <w:t>2025</w:t>
            </w:r>
            <w:r>
              <w:rPr>
                <w:rFonts w:hint="eastAsia" w:ascii="宋体" w:hAnsi="宋体" w:eastAsia="宋体" w:cs="宋体"/>
                <w:color w:val="auto"/>
                <w:kern w:val="0"/>
                <w:sz w:val="24"/>
                <w:szCs w:val="24"/>
                <w:highlight w:val="none"/>
              </w:rPr>
              <w:t>年</w:t>
            </w:r>
            <w:r>
              <w:rPr>
                <w:rFonts w:hint="eastAsia" w:ascii="宋体" w:hAnsi="宋体" w:cs="宋体"/>
                <w:color w:val="auto"/>
                <w:kern w:val="0"/>
                <w:sz w:val="24"/>
                <w:szCs w:val="24"/>
                <w:highlight w:val="none"/>
                <w:lang w:val="en-US" w:eastAsia="zh-CN"/>
              </w:rPr>
              <w:t>11</w:t>
            </w:r>
            <w:r>
              <w:rPr>
                <w:rFonts w:hint="eastAsia" w:ascii="宋体" w:hAnsi="宋体" w:eastAsia="宋体" w:cs="宋体"/>
                <w:color w:val="auto"/>
                <w:kern w:val="0"/>
                <w:sz w:val="24"/>
                <w:szCs w:val="24"/>
                <w:highlight w:val="none"/>
              </w:rPr>
              <w:t>月</w:t>
            </w:r>
            <w:r>
              <w:rPr>
                <w:rFonts w:hint="eastAsia" w:ascii="宋体" w:hAnsi="宋体" w:cs="宋体"/>
                <w:color w:val="auto"/>
                <w:kern w:val="0"/>
                <w:sz w:val="24"/>
                <w:szCs w:val="24"/>
                <w:highlight w:val="none"/>
                <w:lang w:val="en-US" w:eastAsia="zh-CN"/>
              </w:rPr>
              <w:t>27</w:t>
            </w:r>
            <w:r>
              <w:rPr>
                <w:rFonts w:hint="eastAsia" w:ascii="宋体" w:hAnsi="宋体" w:eastAsia="宋体" w:cs="宋体"/>
                <w:color w:val="auto"/>
                <w:kern w:val="0"/>
                <w:sz w:val="24"/>
                <w:szCs w:val="24"/>
                <w:highlight w:val="none"/>
              </w:rPr>
              <w:t>日</w:t>
            </w:r>
            <w:r>
              <w:rPr>
                <w:rFonts w:hint="eastAsia" w:ascii="宋体" w:hAnsi="宋体" w:cs="宋体"/>
                <w:color w:val="auto"/>
                <w:kern w:val="0"/>
                <w:sz w:val="24"/>
                <w:szCs w:val="24"/>
                <w:highlight w:val="none"/>
                <w:lang w:val="en-US" w:eastAsia="zh-CN"/>
              </w:rPr>
              <w:t>10</w:t>
            </w:r>
            <w:r>
              <w:rPr>
                <w:rFonts w:hint="eastAsia" w:ascii="宋体" w:hAnsi="宋体" w:eastAsia="宋体" w:cs="宋体"/>
                <w:color w:val="auto"/>
                <w:kern w:val="0"/>
                <w:sz w:val="24"/>
                <w:szCs w:val="24"/>
                <w:highlight w:val="none"/>
              </w:rPr>
              <w:t>时</w:t>
            </w:r>
            <w:r>
              <w:rPr>
                <w:rFonts w:hint="eastAsia" w:ascii="宋体" w:hAnsi="宋体" w:cs="宋体"/>
                <w:color w:val="auto"/>
                <w:kern w:val="0"/>
                <w:sz w:val="24"/>
                <w:szCs w:val="24"/>
                <w:highlight w:val="none"/>
                <w:lang w:val="en-US" w:eastAsia="zh-CN"/>
              </w:rPr>
              <w:t>00</w:t>
            </w:r>
            <w:r>
              <w:rPr>
                <w:rFonts w:hint="eastAsia" w:ascii="宋体" w:hAnsi="宋体" w:eastAsia="宋体" w:cs="宋体"/>
                <w:color w:val="auto"/>
                <w:kern w:val="0"/>
                <w:sz w:val="24"/>
                <w:szCs w:val="24"/>
                <w:highlight w:val="none"/>
              </w:rPr>
              <w:t>分。</w:t>
            </w:r>
          </w:p>
        </w:tc>
      </w:tr>
      <w:tr w14:paraId="597FA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jc w:val="center"/>
        </w:trPr>
        <w:tc>
          <w:tcPr>
            <w:tcW w:w="573" w:type="dxa"/>
            <w:noWrap w:val="0"/>
            <w:vAlign w:val="center"/>
          </w:tcPr>
          <w:p w14:paraId="50583DEA">
            <w:pPr>
              <w:pStyle w:val="136"/>
              <w:widowControl/>
              <w:spacing w:line="430"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6</w:t>
            </w:r>
          </w:p>
        </w:tc>
        <w:tc>
          <w:tcPr>
            <w:tcW w:w="1576" w:type="dxa"/>
            <w:noWrap w:val="0"/>
            <w:vAlign w:val="center"/>
          </w:tcPr>
          <w:p w14:paraId="39925305">
            <w:pPr>
              <w:pStyle w:val="136"/>
              <w:widowControl/>
              <w:spacing w:line="430"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电子投标</w:t>
            </w:r>
          </w:p>
          <w:p w14:paraId="38E6D448">
            <w:pPr>
              <w:pStyle w:val="136"/>
              <w:widowControl/>
              <w:spacing w:line="430"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截止时间</w:t>
            </w:r>
          </w:p>
        </w:tc>
        <w:tc>
          <w:tcPr>
            <w:tcW w:w="7786" w:type="dxa"/>
            <w:noWrap w:val="0"/>
            <w:vAlign w:val="center"/>
          </w:tcPr>
          <w:p w14:paraId="45DAA868">
            <w:pPr>
              <w:pStyle w:val="136"/>
              <w:keepNext w:val="0"/>
              <w:keepLines w:val="0"/>
              <w:pageBreakBefore w:val="0"/>
              <w:widowControl/>
              <w:kinsoku/>
              <w:wordWrap/>
              <w:overflowPunct/>
              <w:topLinePunct w:val="0"/>
              <w:autoSpaceDE/>
              <w:autoSpaceDN/>
              <w:bidi w:val="0"/>
              <w:adjustRightInd/>
              <w:snapToGrid/>
              <w:spacing w:line="430" w:lineRule="atLeast"/>
              <w:ind w:firstLine="240" w:firstLineChars="1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2025</w:t>
            </w:r>
            <w:r>
              <w:rPr>
                <w:rFonts w:hint="eastAsia" w:ascii="宋体" w:hAnsi="宋体" w:eastAsia="宋体" w:cs="宋体"/>
                <w:color w:val="auto"/>
                <w:kern w:val="0"/>
                <w:sz w:val="24"/>
                <w:szCs w:val="24"/>
                <w:highlight w:val="none"/>
              </w:rPr>
              <w:t>年</w:t>
            </w:r>
            <w:r>
              <w:rPr>
                <w:rFonts w:hint="eastAsia" w:ascii="宋体" w:hAnsi="宋体" w:cs="宋体"/>
                <w:color w:val="auto"/>
                <w:kern w:val="0"/>
                <w:sz w:val="24"/>
                <w:szCs w:val="24"/>
                <w:highlight w:val="none"/>
                <w:lang w:val="en-US" w:eastAsia="zh-CN"/>
              </w:rPr>
              <w:t>11</w:t>
            </w:r>
            <w:r>
              <w:rPr>
                <w:rFonts w:hint="eastAsia" w:ascii="宋体" w:hAnsi="宋体" w:eastAsia="宋体" w:cs="宋体"/>
                <w:color w:val="auto"/>
                <w:kern w:val="0"/>
                <w:sz w:val="24"/>
                <w:szCs w:val="24"/>
                <w:highlight w:val="none"/>
              </w:rPr>
              <w:t>月</w:t>
            </w:r>
            <w:r>
              <w:rPr>
                <w:rFonts w:hint="eastAsia" w:ascii="宋体" w:hAnsi="宋体" w:cs="宋体"/>
                <w:color w:val="auto"/>
                <w:kern w:val="0"/>
                <w:sz w:val="24"/>
                <w:szCs w:val="24"/>
                <w:highlight w:val="none"/>
                <w:lang w:val="en-US" w:eastAsia="zh-CN"/>
              </w:rPr>
              <w:t>28</w:t>
            </w:r>
            <w:r>
              <w:rPr>
                <w:rFonts w:hint="eastAsia" w:ascii="宋体" w:hAnsi="宋体" w:eastAsia="宋体" w:cs="宋体"/>
                <w:color w:val="auto"/>
                <w:kern w:val="0"/>
                <w:sz w:val="24"/>
                <w:szCs w:val="24"/>
                <w:highlight w:val="none"/>
              </w:rPr>
              <w:t>日</w:t>
            </w:r>
            <w:r>
              <w:rPr>
                <w:rFonts w:hint="eastAsia" w:ascii="宋体" w:hAnsi="宋体" w:cs="宋体"/>
                <w:color w:val="auto"/>
                <w:kern w:val="0"/>
                <w:sz w:val="24"/>
                <w:szCs w:val="24"/>
                <w:highlight w:val="none"/>
                <w:lang w:val="en-US" w:eastAsia="zh-CN"/>
              </w:rPr>
              <w:t>10</w:t>
            </w:r>
            <w:r>
              <w:rPr>
                <w:rFonts w:hint="eastAsia" w:ascii="宋体" w:hAnsi="宋体" w:eastAsia="宋体" w:cs="宋体"/>
                <w:color w:val="auto"/>
                <w:kern w:val="0"/>
                <w:sz w:val="24"/>
                <w:szCs w:val="24"/>
                <w:highlight w:val="none"/>
              </w:rPr>
              <w:t>时</w:t>
            </w:r>
            <w:r>
              <w:rPr>
                <w:rFonts w:hint="eastAsia" w:ascii="宋体" w:hAnsi="宋体" w:cs="宋体"/>
                <w:color w:val="auto"/>
                <w:kern w:val="0"/>
                <w:sz w:val="24"/>
                <w:szCs w:val="24"/>
                <w:highlight w:val="none"/>
                <w:lang w:val="en-US" w:eastAsia="zh-CN"/>
              </w:rPr>
              <w:t>00</w:t>
            </w:r>
            <w:r>
              <w:rPr>
                <w:rFonts w:hint="eastAsia" w:ascii="宋体" w:hAnsi="宋体" w:eastAsia="宋体" w:cs="宋体"/>
                <w:color w:val="auto"/>
                <w:kern w:val="0"/>
                <w:sz w:val="24"/>
                <w:szCs w:val="24"/>
                <w:highlight w:val="none"/>
              </w:rPr>
              <w:t>分</w:t>
            </w:r>
          </w:p>
        </w:tc>
      </w:tr>
      <w:tr w14:paraId="79060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atLeast"/>
          <w:jc w:val="center"/>
        </w:trPr>
        <w:tc>
          <w:tcPr>
            <w:tcW w:w="573" w:type="dxa"/>
            <w:noWrap w:val="0"/>
            <w:vAlign w:val="center"/>
          </w:tcPr>
          <w:p w14:paraId="04D9EF02">
            <w:pPr>
              <w:pStyle w:val="136"/>
              <w:widowControl/>
              <w:spacing w:line="430"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7</w:t>
            </w:r>
          </w:p>
        </w:tc>
        <w:tc>
          <w:tcPr>
            <w:tcW w:w="1576" w:type="dxa"/>
            <w:noWrap w:val="0"/>
            <w:vAlign w:val="center"/>
          </w:tcPr>
          <w:p w14:paraId="2CDA6021">
            <w:pPr>
              <w:pStyle w:val="136"/>
              <w:widowControl/>
              <w:spacing w:line="430"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投标相关资料（如有）</w:t>
            </w:r>
          </w:p>
          <w:p w14:paraId="33A5EAB1">
            <w:pPr>
              <w:pStyle w:val="136"/>
              <w:widowControl/>
              <w:spacing w:line="430"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递交时间</w:t>
            </w:r>
          </w:p>
        </w:tc>
        <w:tc>
          <w:tcPr>
            <w:tcW w:w="7786" w:type="dxa"/>
            <w:noWrap w:val="0"/>
            <w:vAlign w:val="center"/>
          </w:tcPr>
          <w:p w14:paraId="0BFAAA7E">
            <w:pPr>
              <w:pStyle w:val="136"/>
              <w:keepNext w:val="0"/>
              <w:keepLines w:val="0"/>
              <w:pageBreakBefore w:val="0"/>
              <w:widowControl/>
              <w:kinsoku/>
              <w:wordWrap/>
              <w:overflowPunct/>
              <w:topLinePunct w:val="0"/>
              <w:autoSpaceDE/>
              <w:autoSpaceDN/>
              <w:bidi w:val="0"/>
              <w:adjustRightInd/>
              <w:snapToGrid/>
              <w:spacing w:line="430" w:lineRule="atLeast"/>
              <w:ind w:firstLine="240" w:firstLineChars="1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2025</w:t>
            </w:r>
            <w:r>
              <w:rPr>
                <w:rFonts w:hint="eastAsia" w:ascii="宋体" w:hAnsi="宋体" w:eastAsia="宋体" w:cs="宋体"/>
                <w:color w:val="auto"/>
                <w:kern w:val="0"/>
                <w:sz w:val="24"/>
                <w:szCs w:val="24"/>
                <w:highlight w:val="none"/>
              </w:rPr>
              <w:t>年</w:t>
            </w:r>
            <w:r>
              <w:rPr>
                <w:rFonts w:hint="eastAsia" w:ascii="宋体" w:hAnsi="宋体" w:cs="宋体"/>
                <w:color w:val="auto"/>
                <w:kern w:val="0"/>
                <w:sz w:val="24"/>
                <w:szCs w:val="24"/>
                <w:highlight w:val="none"/>
                <w:lang w:val="en-US" w:eastAsia="zh-CN"/>
              </w:rPr>
              <w:t>11</w:t>
            </w:r>
            <w:r>
              <w:rPr>
                <w:rFonts w:hint="eastAsia" w:ascii="宋体" w:hAnsi="宋体" w:eastAsia="宋体" w:cs="宋体"/>
                <w:color w:val="auto"/>
                <w:kern w:val="0"/>
                <w:sz w:val="24"/>
                <w:szCs w:val="24"/>
                <w:highlight w:val="none"/>
              </w:rPr>
              <w:t>月</w:t>
            </w:r>
            <w:r>
              <w:rPr>
                <w:rFonts w:hint="eastAsia" w:ascii="宋体" w:hAnsi="宋体" w:cs="宋体"/>
                <w:color w:val="auto"/>
                <w:kern w:val="0"/>
                <w:sz w:val="24"/>
                <w:szCs w:val="24"/>
                <w:highlight w:val="none"/>
                <w:lang w:val="en-US" w:eastAsia="zh-CN"/>
              </w:rPr>
              <w:t>28</w:t>
            </w:r>
            <w:r>
              <w:rPr>
                <w:rFonts w:hint="eastAsia" w:ascii="宋体" w:hAnsi="宋体" w:eastAsia="宋体" w:cs="宋体"/>
                <w:color w:val="auto"/>
                <w:kern w:val="0"/>
                <w:sz w:val="24"/>
                <w:szCs w:val="24"/>
                <w:highlight w:val="none"/>
              </w:rPr>
              <w:t>日</w:t>
            </w:r>
            <w:r>
              <w:rPr>
                <w:rFonts w:hint="eastAsia" w:ascii="宋体" w:hAnsi="宋体" w:cs="宋体"/>
                <w:color w:val="auto"/>
                <w:kern w:val="0"/>
                <w:sz w:val="24"/>
                <w:szCs w:val="24"/>
                <w:highlight w:val="none"/>
                <w:lang w:val="en-US" w:eastAsia="zh-CN"/>
              </w:rPr>
              <w:t>09</w:t>
            </w:r>
            <w:r>
              <w:rPr>
                <w:rFonts w:hint="eastAsia" w:ascii="宋体" w:hAnsi="宋体" w:eastAsia="宋体" w:cs="宋体"/>
                <w:color w:val="auto"/>
                <w:kern w:val="0"/>
                <w:sz w:val="24"/>
                <w:szCs w:val="24"/>
                <w:highlight w:val="none"/>
              </w:rPr>
              <w:t>时</w:t>
            </w:r>
            <w:r>
              <w:rPr>
                <w:rFonts w:hint="eastAsia" w:ascii="宋体" w:hAnsi="宋体" w:cs="宋体"/>
                <w:color w:val="auto"/>
                <w:kern w:val="0"/>
                <w:sz w:val="24"/>
                <w:szCs w:val="24"/>
                <w:highlight w:val="none"/>
                <w:lang w:val="en-US" w:eastAsia="zh-CN"/>
              </w:rPr>
              <w:t>30</w:t>
            </w:r>
            <w:r>
              <w:rPr>
                <w:rFonts w:hint="eastAsia" w:ascii="宋体" w:hAnsi="宋体" w:eastAsia="宋体" w:cs="宋体"/>
                <w:color w:val="auto"/>
                <w:kern w:val="0"/>
                <w:sz w:val="24"/>
                <w:szCs w:val="24"/>
                <w:highlight w:val="none"/>
              </w:rPr>
              <w:t>分至</w:t>
            </w:r>
            <w:r>
              <w:rPr>
                <w:rFonts w:hint="eastAsia" w:ascii="宋体" w:hAnsi="宋体" w:eastAsia="宋体" w:cs="宋体"/>
                <w:color w:val="auto"/>
                <w:kern w:val="0"/>
                <w:sz w:val="24"/>
                <w:szCs w:val="24"/>
                <w:highlight w:val="none"/>
                <w:lang w:val="en-US" w:eastAsia="zh-CN"/>
              </w:rPr>
              <w:t>2025</w:t>
            </w:r>
            <w:r>
              <w:rPr>
                <w:rFonts w:hint="eastAsia" w:ascii="宋体" w:hAnsi="宋体" w:eastAsia="宋体" w:cs="宋体"/>
                <w:color w:val="auto"/>
                <w:kern w:val="0"/>
                <w:sz w:val="24"/>
                <w:szCs w:val="24"/>
                <w:highlight w:val="none"/>
              </w:rPr>
              <w:t>年</w:t>
            </w:r>
            <w:r>
              <w:rPr>
                <w:rFonts w:hint="eastAsia" w:ascii="宋体" w:hAnsi="宋体" w:cs="宋体"/>
                <w:color w:val="auto"/>
                <w:kern w:val="0"/>
                <w:sz w:val="24"/>
                <w:szCs w:val="24"/>
                <w:highlight w:val="none"/>
                <w:lang w:val="en-US" w:eastAsia="zh-CN"/>
              </w:rPr>
              <w:t>11</w:t>
            </w:r>
            <w:r>
              <w:rPr>
                <w:rFonts w:hint="eastAsia" w:ascii="宋体" w:hAnsi="宋体" w:eastAsia="宋体" w:cs="宋体"/>
                <w:color w:val="auto"/>
                <w:kern w:val="0"/>
                <w:sz w:val="24"/>
                <w:szCs w:val="24"/>
                <w:highlight w:val="none"/>
              </w:rPr>
              <w:t>月</w:t>
            </w:r>
            <w:r>
              <w:rPr>
                <w:rFonts w:hint="eastAsia" w:ascii="宋体" w:hAnsi="宋体" w:cs="宋体"/>
                <w:color w:val="auto"/>
                <w:kern w:val="0"/>
                <w:sz w:val="24"/>
                <w:szCs w:val="24"/>
                <w:highlight w:val="none"/>
                <w:lang w:val="en-US" w:eastAsia="zh-CN"/>
              </w:rPr>
              <w:t>28</w:t>
            </w:r>
            <w:r>
              <w:rPr>
                <w:rFonts w:hint="eastAsia" w:ascii="宋体" w:hAnsi="宋体" w:eastAsia="宋体" w:cs="宋体"/>
                <w:color w:val="auto"/>
                <w:kern w:val="0"/>
                <w:sz w:val="24"/>
                <w:szCs w:val="24"/>
                <w:highlight w:val="none"/>
              </w:rPr>
              <w:t>日</w:t>
            </w:r>
            <w:r>
              <w:rPr>
                <w:rFonts w:hint="eastAsia" w:ascii="宋体" w:hAnsi="宋体" w:cs="宋体"/>
                <w:color w:val="auto"/>
                <w:kern w:val="0"/>
                <w:sz w:val="24"/>
                <w:szCs w:val="24"/>
                <w:highlight w:val="none"/>
                <w:lang w:val="en-US" w:eastAsia="zh-CN"/>
              </w:rPr>
              <w:t>10</w:t>
            </w:r>
            <w:r>
              <w:rPr>
                <w:rFonts w:hint="eastAsia" w:ascii="宋体" w:hAnsi="宋体" w:eastAsia="宋体" w:cs="宋体"/>
                <w:color w:val="auto"/>
                <w:kern w:val="0"/>
                <w:sz w:val="24"/>
                <w:szCs w:val="24"/>
                <w:highlight w:val="none"/>
              </w:rPr>
              <w:t>时</w:t>
            </w:r>
            <w:r>
              <w:rPr>
                <w:rFonts w:hint="eastAsia" w:ascii="宋体" w:hAnsi="宋体" w:cs="宋体"/>
                <w:color w:val="auto"/>
                <w:kern w:val="0"/>
                <w:sz w:val="24"/>
                <w:szCs w:val="24"/>
                <w:highlight w:val="none"/>
                <w:lang w:val="en-US" w:eastAsia="zh-CN"/>
              </w:rPr>
              <w:t>00</w:t>
            </w:r>
            <w:r>
              <w:rPr>
                <w:rFonts w:hint="eastAsia" w:ascii="宋体" w:hAnsi="宋体" w:eastAsia="宋体" w:cs="宋体"/>
                <w:color w:val="auto"/>
                <w:kern w:val="0"/>
                <w:sz w:val="24"/>
                <w:szCs w:val="24"/>
                <w:highlight w:val="none"/>
              </w:rPr>
              <w:t>分</w:t>
            </w:r>
          </w:p>
        </w:tc>
      </w:tr>
      <w:tr w14:paraId="626BD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8" w:hRule="atLeast"/>
          <w:jc w:val="center"/>
        </w:trPr>
        <w:tc>
          <w:tcPr>
            <w:tcW w:w="573" w:type="dxa"/>
            <w:noWrap w:val="0"/>
            <w:vAlign w:val="center"/>
          </w:tcPr>
          <w:p w14:paraId="469C6330">
            <w:pPr>
              <w:pStyle w:val="136"/>
              <w:widowControl/>
              <w:spacing w:line="430"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8</w:t>
            </w:r>
          </w:p>
        </w:tc>
        <w:tc>
          <w:tcPr>
            <w:tcW w:w="1576" w:type="dxa"/>
            <w:noWrap w:val="0"/>
            <w:vAlign w:val="center"/>
          </w:tcPr>
          <w:p w14:paraId="14D3CC13">
            <w:pPr>
              <w:pStyle w:val="136"/>
              <w:widowControl/>
              <w:spacing w:line="430"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投标相关资料（如有）</w:t>
            </w:r>
          </w:p>
          <w:p w14:paraId="0B3D776A">
            <w:pPr>
              <w:pStyle w:val="136"/>
              <w:widowControl/>
              <w:spacing w:line="430"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递交时间</w:t>
            </w:r>
          </w:p>
        </w:tc>
        <w:tc>
          <w:tcPr>
            <w:tcW w:w="7786" w:type="dxa"/>
            <w:noWrap w:val="0"/>
            <w:vAlign w:val="center"/>
          </w:tcPr>
          <w:p w14:paraId="202FE131">
            <w:pPr>
              <w:pStyle w:val="136"/>
              <w:keepNext w:val="0"/>
              <w:keepLines w:val="0"/>
              <w:pageBreakBefore w:val="0"/>
              <w:widowControl/>
              <w:kinsoku/>
              <w:wordWrap/>
              <w:overflowPunct/>
              <w:topLinePunct w:val="0"/>
              <w:autoSpaceDE/>
              <w:autoSpaceDN/>
              <w:bidi w:val="0"/>
              <w:adjustRightInd/>
              <w:snapToGrid/>
              <w:spacing w:line="430" w:lineRule="atLeast"/>
              <w:ind w:firstLine="240" w:firstLineChars="1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递交场所：韶关市公共资源交易中心</w:t>
            </w:r>
          </w:p>
          <w:p w14:paraId="77BF6396">
            <w:pPr>
              <w:pStyle w:val="136"/>
              <w:keepNext w:val="0"/>
              <w:keepLines w:val="0"/>
              <w:pageBreakBefore w:val="0"/>
              <w:widowControl/>
              <w:kinsoku/>
              <w:wordWrap/>
              <w:overflowPunct/>
              <w:topLinePunct w:val="0"/>
              <w:autoSpaceDE/>
              <w:autoSpaceDN/>
              <w:bidi w:val="0"/>
              <w:adjustRightInd/>
              <w:snapToGrid/>
              <w:spacing w:line="430" w:lineRule="atLeast"/>
              <w:ind w:firstLine="240" w:firstLineChars="1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地址：韶关市公共资源交易中心乐昌分中心（地址：乐昌市昌山北路23号），具体递交场所以当日现场通知为准。</w:t>
            </w:r>
          </w:p>
        </w:tc>
      </w:tr>
      <w:tr w14:paraId="21DC5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 w:hRule="atLeast"/>
          <w:jc w:val="center"/>
        </w:trPr>
        <w:tc>
          <w:tcPr>
            <w:tcW w:w="573" w:type="dxa"/>
            <w:noWrap w:val="0"/>
            <w:vAlign w:val="center"/>
          </w:tcPr>
          <w:p w14:paraId="08429796">
            <w:pPr>
              <w:pStyle w:val="136"/>
              <w:widowControl/>
              <w:spacing w:line="430"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9</w:t>
            </w:r>
          </w:p>
        </w:tc>
        <w:tc>
          <w:tcPr>
            <w:tcW w:w="1576" w:type="dxa"/>
            <w:noWrap w:val="0"/>
            <w:vAlign w:val="center"/>
          </w:tcPr>
          <w:p w14:paraId="40D0E022">
            <w:pPr>
              <w:pStyle w:val="136"/>
              <w:widowControl/>
              <w:spacing w:line="430"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开标时间</w:t>
            </w:r>
          </w:p>
        </w:tc>
        <w:tc>
          <w:tcPr>
            <w:tcW w:w="7786" w:type="dxa"/>
            <w:noWrap w:val="0"/>
            <w:vAlign w:val="center"/>
          </w:tcPr>
          <w:p w14:paraId="3F12EE2D">
            <w:pPr>
              <w:pStyle w:val="136"/>
              <w:keepNext w:val="0"/>
              <w:keepLines w:val="0"/>
              <w:pageBreakBefore w:val="0"/>
              <w:widowControl/>
              <w:kinsoku/>
              <w:wordWrap/>
              <w:overflowPunct/>
              <w:topLinePunct w:val="0"/>
              <w:autoSpaceDE/>
              <w:autoSpaceDN/>
              <w:bidi w:val="0"/>
              <w:adjustRightInd/>
              <w:snapToGrid/>
              <w:spacing w:line="430" w:lineRule="atLeast"/>
              <w:ind w:firstLine="240" w:firstLineChars="1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2025</w:t>
            </w:r>
            <w:r>
              <w:rPr>
                <w:rFonts w:hint="eastAsia" w:ascii="宋体" w:hAnsi="宋体" w:eastAsia="宋体" w:cs="宋体"/>
                <w:color w:val="auto"/>
                <w:kern w:val="0"/>
                <w:sz w:val="24"/>
                <w:szCs w:val="24"/>
                <w:highlight w:val="none"/>
              </w:rPr>
              <w:t>年</w:t>
            </w:r>
            <w:r>
              <w:rPr>
                <w:rFonts w:hint="eastAsia" w:ascii="宋体" w:hAnsi="宋体" w:cs="宋体"/>
                <w:color w:val="auto"/>
                <w:kern w:val="0"/>
                <w:sz w:val="24"/>
                <w:szCs w:val="24"/>
                <w:highlight w:val="none"/>
                <w:lang w:val="en-US" w:eastAsia="zh-CN"/>
              </w:rPr>
              <w:t>11</w:t>
            </w:r>
            <w:r>
              <w:rPr>
                <w:rFonts w:hint="eastAsia" w:ascii="宋体" w:hAnsi="宋体" w:eastAsia="宋体" w:cs="宋体"/>
                <w:color w:val="auto"/>
                <w:kern w:val="0"/>
                <w:sz w:val="24"/>
                <w:szCs w:val="24"/>
                <w:highlight w:val="none"/>
              </w:rPr>
              <w:t>月</w:t>
            </w:r>
            <w:r>
              <w:rPr>
                <w:rFonts w:hint="eastAsia" w:ascii="宋体" w:hAnsi="宋体" w:cs="宋体"/>
                <w:color w:val="auto"/>
                <w:kern w:val="0"/>
                <w:sz w:val="24"/>
                <w:szCs w:val="24"/>
                <w:highlight w:val="none"/>
                <w:lang w:val="en-US" w:eastAsia="zh-CN"/>
              </w:rPr>
              <w:t>28</w:t>
            </w:r>
            <w:r>
              <w:rPr>
                <w:rFonts w:hint="eastAsia" w:ascii="宋体" w:hAnsi="宋体" w:eastAsia="宋体" w:cs="宋体"/>
                <w:color w:val="auto"/>
                <w:kern w:val="0"/>
                <w:sz w:val="24"/>
                <w:szCs w:val="24"/>
                <w:highlight w:val="none"/>
              </w:rPr>
              <w:t>日</w:t>
            </w:r>
            <w:r>
              <w:rPr>
                <w:rFonts w:hint="eastAsia" w:ascii="宋体" w:hAnsi="宋体" w:cs="宋体"/>
                <w:color w:val="auto"/>
                <w:kern w:val="0"/>
                <w:sz w:val="24"/>
                <w:szCs w:val="24"/>
                <w:highlight w:val="none"/>
                <w:lang w:val="en-US" w:eastAsia="zh-CN"/>
              </w:rPr>
              <w:t>10</w:t>
            </w:r>
            <w:r>
              <w:rPr>
                <w:rFonts w:hint="eastAsia" w:ascii="宋体" w:hAnsi="宋体" w:eastAsia="宋体" w:cs="宋体"/>
                <w:color w:val="auto"/>
                <w:kern w:val="0"/>
                <w:sz w:val="24"/>
                <w:szCs w:val="24"/>
                <w:highlight w:val="none"/>
              </w:rPr>
              <w:t>时</w:t>
            </w:r>
            <w:r>
              <w:rPr>
                <w:rFonts w:hint="eastAsia" w:ascii="宋体" w:hAnsi="宋体" w:cs="宋体"/>
                <w:color w:val="auto"/>
                <w:kern w:val="0"/>
                <w:sz w:val="24"/>
                <w:szCs w:val="24"/>
                <w:highlight w:val="none"/>
                <w:lang w:val="en-US" w:eastAsia="zh-CN"/>
              </w:rPr>
              <w:t>00</w:t>
            </w:r>
            <w:r>
              <w:rPr>
                <w:rFonts w:hint="eastAsia" w:ascii="宋体" w:hAnsi="宋体" w:eastAsia="宋体" w:cs="宋体"/>
                <w:color w:val="auto"/>
                <w:kern w:val="0"/>
                <w:sz w:val="24"/>
                <w:szCs w:val="24"/>
                <w:highlight w:val="none"/>
              </w:rPr>
              <w:t>分</w:t>
            </w:r>
            <w:bookmarkStart w:id="371" w:name="_GoBack"/>
            <w:bookmarkEnd w:id="371"/>
          </w:p>
        </w:tc>
      </w:tr>
      <w:tr w14:paraId="448B7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8" w:hRule="atLeast"/>
          <w:jc w:val="center"/>
        </w:trPr>
        <w:tc>
          <w:tcPr>
            <w:tcW w:w="573" w:type="dxa"/>
            <w:noWrap w:val="0"/>
            <w:vAlign w:val="center"/>
          </w:tcPr>
          <w:p w14:paraId="0E9E0516">
            <w:pPr>
              <w:pStyle w:val="136"/>
              <w:widowControl/>
              <w:spacing w:line="430"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10</w:t>
            </w:r>
          </w:p>
        </w:tc>
        <w:tc>
          <w:tcPr>
            <w:tcW w:w="1576" w:type="dxa"/>
            <w:noWrap w:val="0"/>
            <w:vAlign w:val="center"/>
          </w:tcPr>
          <w:p w14:paraId="45085988">
            <w:pPr>
              <w:pStyle w:val="136"/>
              <w:widowControl/>
              <w:spacing w:line="430"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开标地点</w:t>
            </w:r>
          </w:p>
        </w:tc>
        <w:tc>
          <w:tcPr>
            <w:tcW w:w="7786" w:type="dxa"/>
            <w:noWrap w:val="0"/>
            <w:vAlign w:val="center"/>
          </w:tcPr>
          <w:p w14:paraId="5AD82464">
            <w:pPr>
              <w:pStyle w:val="136"/>
              <w:keepNext w:val="0"/>
              <w:keepLines w:val="0"/>
              <w:pageBreakBefore w:val="0"/>
              <w:widowControl/>
              <w:kinsoku/>
              <w:wordWrap/>
              <w:overflowPunct/>
              <w:topLinePunct w:val="0"/>
              <w:autoSpaceDE/>
              <w:autoSpaceDN/>
              <w:bidi w:val="0"/>
              <w:adjustRightInd/>
              <w:snapToGrid/>
              <w:spacing w:line="430" w:lineRule="atLeast"/>
              <w:ind w:firstLine="240" w:firstLineChars="1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开标场所：韶关市公共资源交易中心</w:t>
            </w:r>
          </w:p>
          <w:p w14:paraId="2B7CB05D">
            <w:pPr>
              <w:pStyle w:val="136"/>
              <w:keepNext w:val="0"/>
              <w:keepLines w:val="0"/>
              <w:pageBreakBefore w:val="0"/>
              <w:widowControl/>
              <w:kinsoku/>
              <w:wordWrap/>
              <w:overflowPunct/>
              <w:topLinePunct w:val="0"/>
              <w:autoSpaceDE/>
              <w:autoSpaceDN/>
              <w:bidi w:val="0"/>
              <w:adjustRightInd/>
              <w:snapToGrid/>
              <w:spacing w:line="430" w:lineRule="atLeast"/>
              <w:ind w:firstLine="240" w:firstLineChars="1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地址：韶关市公共资源交易中心乐昌分中心（地址：乐昌市昌山北路23号），具体开标室以当日现场通知为准。</w:t>
            </w:r>
          </w:p>
        </w:tc>
      </w:tr>
      <w:tr w14:paraId="45289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8" w:hRule="atLeast"/>
          <w:jc w:val="center"/>
        </w:trPr>
        <w:tc>
          <w:tcPr>
            <w:tcW w:w="2149" w:type="dxa"/>
            <w:gridSpan w:val="2"/>
            <w:noWrap w:val="0"/>
            <w:vAlign w:val="center"/>
          </w:tcPr>
          <w:p w14:paraId="1063E9AD">
            <w:pPr>
              <w:pStyle w:val="136"/>
              <w:widowControl/>
              <w:spacing w:line="430"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备注</w:t>
            </w:r>
          </w:p>
        </w:tc>
        <w:tc>
          <w:tcPr>
            <w:tcW w:w="7786" w:type="dxa"/>
            <w:noWrap w:val="0"/>
            <w:vAlign w:val="center"/>
          </w:tcPr>
          <w:p w14:paraId="09263508">
            <w:pPr>
              <w:pStyle w:val="136"/>
              <w:keepNext w:val="0"/>
              <w:keepLines w:val="0"/>
              <w:pageBreakBefore w:val="0"/>
              <w:widowControl/>
              <w:kinsoku/>
              <w:wordWrap/>
              <w:overflowPunct/>
              <w:topLinePunct w:val="0"/>
              <w:autoSpaceDE/>
              <w:autoSpaceDN/>
              <w:bidi w:val="0"/>
              <w:adjustRightInd/>
              <w:snapToGrid/>
              <w:spacing w:line="430" w:lineRule="atLeast"/>
              <w:ind w:firstLine="240" w:firstLineChars="1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投标人应按有关计划时间安排办理企业CA认证、企业入库等，获取招标文件后自行下载招标文件、资料文件及招标答疑书等。若由于投标人自身原因未能及时取得上述资料的，由此发生的任何责任由投标人自负。</w:t>
            </w:r>
          </w:p>
        </w:tc>
      </w:tr>
      <w:bookmarkEnd w:id="21"/>
    </w:tbl>
    <w:p w14:paraId="772F04C2">
      <w:pPr>
        <w:pStyle w:val="2"/>
        <w:tabs>
          <w:tab w:val="left" w:pos="885"/>
        </w:tabs>
        <w:wordWrap w:val="0"/>
        <w:autoSpaceDE/>
        <w:autoSpaceDN/>
        <w:snapToGrid w:val="0"/>
        <w:spacing w:line="440" w:lineRule="exact"/>
        <w:ind w:left="885" w:hanging="885"/>
        <w:jc w:val="center"/>
        <w:rPr>
          <w:rFonts w:hint="eastAsia" w:ascii="宋体" w:hAnsi="宋体" w:eastAsia="宋体" w:cs="宋体"/>
          <w:snapToGrid w:val="0"/>
          <w:color w:val="auto"/>
          <w:sz w:val="24"/>
          <w:highlight w:val="none"/>
        </w:rPr>
        <w:sectPr>
          <w:endnotePr>
            <w:numFmt w:val="decimal"/>
          </w:endnotePr>
          <w:pgSz w:w="11906" w:h="16838"/>
          <w:pgMar w:top="1134" w:right="1134" w:bottom="1134" w:left="1134" w:header="850" w:footer="992" w:gutter="0"/>
          <w:pgBorders>
            <w:top w:val="none" w:sz="0" w:space="0"/>
            <w:left w:val="none" w:sz="0" w:space="0"/>
            <w:bottom w:val="none" w:sz="0" w:space="0"/>
            <w:right w:val="none" w:sz="0" w:space="0"/>
          </w:pgBorders>
          <w:cols w:space="720" w:num="1"/>
          <w:docGrid w:linePitch="327" w:charSpace="0"/>
        </w:sectPr>
      </w:pPr>
    </w:p>
    <w:p w14:paraId="7814AF46">
      <w:pPr>
        <w:pStyle w:val="3"/>
        <w:bidi w:val="0"/>
        <w:rPr>
          <w:rFonts w:hint="eastAsia" w:ascii="宋体" w:hAnsi="宋体" w:eastAsia="宋体" w:cs="宋体"/>
          <w:color w:val="auto"/>
        </w:rPr>
      </w:pPr>
      <w:bookmarkStart w:id="22" w:name="_Hlt87793819"/>
      <w:bookmarkEnd w:id="22"/>
      <w:bookmarkStart w:id="23" w:name="_Toc16803"/>
      <w:bookmarkStart w:id="24" w:name="_Toc5895"/>
      <w:bookmarkStart w:id="25" w:name="_Toc30390"/>
      <w:bookmarkStart w:id="26" w:name="_Toc18202"/>
      <w:bookmarkStart w:id="27" w:name="_Hlt69698705"/>
      <w:bookmarkStart w:id="28" w:name="_Hlt69698754"/>
      <w:r>
        <w:rPr>
          <w:rFonts w:hint="eastAsia" w:ascii="宋体" w:hAnsi="宋体" w:eastAsia="宋体" w:cs="宋体"/>
          <w:color w:val="auto"/>
        </w:rPr>
        <w:t>第三节 投标人须知</w:t>
      </w:r>
      <w:bookmarkEnd w:id="23"/>
      <w:bookmarkStart w:id="29" w:name="_Hlt69669159"/>
      <w:bookmarkEnd w:id="29"/>
      <w:r>
        <w:rPr>
          <w:rFonts w:hint="eastAsia" w:ascii="宋体" w:hAnsi="宋体" w:eastAsia="宋体" w:cs="宋体"/>
          <w:color w:val="auto"/>
        </w:rPr>
        <w:t>正文</w:t>
      </w:r>
      <w:bookmarkEnd w:id="24"/>
      <w:bookmarkEnd w:id="25"/>
      <w:bookmarkEnd w:id="26"/>
      <w:bookmarkEnd w:id="27"/>
      <w:bookmarkEnd w:id="28"/>
    </w:p>
    <w:p w14:paraId="744F5028">
      <w:pPr>
        <w:pageBreakBefore w:val="0"/>
        <w:kinsoku/>
        <w:overflowPunct/>
        <w:topLinePunct w:val="0"/>
        <w:autoSpaceDE/>
        <w:autoSpaceDN/>
        <w:bidi w:val="0"/>
        <w:spacing w:line="360" w:lineRule="auto"/>
        <w:ind w:firstLine="480" w:firstLineChars="200"/>
        <w:textAlignment w:val="auto"/>
        <w:rPr>
          <w:rFonts w:hint="eastAsia" w:ascii="宋体" w:hAnsi="宋体" w:eastAsia="宋体" w:cs="宋体"/>
          <w:b/>
          <w:snapToGrid w:val="0"/>
          <w:color w:val="auto"/>
          <w:highlight w:val="none"/>
        </w:rPr>
      </w:pPr>
      <w:bookmarkStart w:id="30" w:name="_Hlt87948285"/>
      <w:bookmarkEnd w:id="30"/>
      <w:bookmarkStart w:id="31" w:name="_Hlt78795222"/>
      <w:bookmarkEnd w:id="31"/>
      <w:bookmarkStart w:id="32" w:name="_Hlt119991399"/>
      <w:bookmarkEnd w:id="32"/>
      <w:bookmarkStart w:id="33" w:name="_Hlt109358474"/>
      <w:bookmarkEnd w:id="33"/>
      <w:bookmarkStart w:id="34" w:name="_Hlt74474735"/>
      <w:bookmarkEnd w:id="34"/>
      <w:bookmarkStart w:id="35" w:name="_Toc26083"/>
      <w:r>
        <w:rPr>
          <w:rFonts w:hint="eastAsia" w:ascii="宋体" w:hAnsi="宋体" w:eastAsia="宋体" w:cs="宋体"/>
          <w:snapToGrid w:val="0"/>
          <w:color w:val="auto"/>
          <w:kern w:val="0"/>
          <w:sz w:val="24"/>
          <w:szCs w:val="24"/>
          <w:highlight w:val="none"/>
          <w:u w:val="single"/>
          <w:lang w:val="en-US" w:eastAsia="zh-CN"/>
        </w:rPr>
        <w:t>白石镇乡村振兴示范带项目</w:t>
      </w:r>
      <w:r>
        <w:rPr>
          <w:rFonts w:hint="eastAsia" w:ascii="宋体" w:hAnsi="宋体" w:eastAsia="宋体" w:cs="宋体"/>
          <w:snapToGrid w:val="0"/>
          <w:color w:val="auto"/>
          <w:kern w:val="0"/>
          <w:sz w:val="24"/>
          <w:szCs w:val="24"/>
          <w:highlight w:val="none"/>
        </w:rPr>
        <w:t>业经</w:t>
      </w:r>
      <w:r>
        <w:rPr>
          <w:rFonts w:hint="eastAsia" w:ascii="宋体" w:hAnsi="宋体" w:eastAsia="宋体" w:cs="宋体"/>
          <w:snapToGrid w:val="0"/>
          <w:color w:val="auto"/>
          <w:kern w:val="0"/>
          <w:sz w:val="24"/>
          <w:szCs w:val="24"/>
          <w:highlight w:val="none"/>
          <w:u w:val="single"/>
          <w:lang w:val="en-US" w:eastAsia="zh-CN"/>
        </w:rPr>
        <w:t>乐昌市发展和改革局关于白石镇乡村振兴示范带项目可行性研究报告的批复</w:t>
      </w:r>
      <w:r>
        <w:rPr>
          <w:rFonts w:hint="eastAsia" w:ascii="宋体" w:hAnsi="宋体" w:eastAsia="宋体" w:cs="宋体"/>
          <w:snapToGrid w:val="0"/>
          <w:color w:val="auto"/>
          <w:kern w:val="0"/>
          <w:szCs w:val="24"/>
          <w:highlight w:val="none"/>
          <w:u w:val="single"/>
        </w:rPr>
        <w:t>（</w:t>
      </w:r>
      <w:r>
        <w:rPr>
          <w:rFonts w:hint="eastAsia" w:ascii="宋体" w:hAnsi="宋体" w:eastAsia="宋体" w:cs="宋体"/>
          <w:snapToGrid w:val="0"/>
          <w:color w:val="auto"/>
          <w:kern w:val="0"/>
          <w:szCs w:val="24"/>
          <w:highlight w:val="none"/>
          <w:u w:val="single"/>
          <w:lang w:val="en-US" w:eastAsia="zh-CN"/>
        </w:rPr>
        <w:t>乐发改投审〔2025〕60号</w:t>
      </w:r>
      <w:r>
        <w:rPr>
          <w:rFonts w:hint="eastAsia" w:ascii="宋体" w:hAnsi="宋体" w:eastAsia="宋体" w:cs="宋体"/>
          <w:snapToGrid w:val="0"/>
          <w:color w:val="auto"/>
          <w:kern w:val="0"/>
          <w:szCs w:val="24"/>
          <w:highlight w:val="none"/>
          <w:u w:val="single"/>
        </w:rPr>
        <w:t>）</w:t>
      </w:r>
      <w:r>
        <w:rPr>
          <w:rStyle w:val="149"/>
          <w:rFonts w:hint="eastAsia" w:ascii="宋体" w:hAnsi="宋体" w:eastAsia="宋体" w:cs="宋体"/>
          <w:color w:val="auto"/>
          <w:kern w:val="0"/>
          <w:szCs w:val="24"/>
          <w:highlight w:val="none"/>
        </w:rPr>
        <w:t>批准建设</w:t>
      </w:r>
      <w:r>
        <w:rPr>
          <w:rFonts w:hint="eastAsia" w:ascii="宋体" w:hAnsi="宋体" w:eastAsia="宋体" w:cs="宋体"/>
          <w:snapToGrid w:val="0"/>
          <w:color w:val="auto"/>
          <w:kern w:val="0"/>
          <w:szCs w:val="24"/>
          <w:highlight w:val="none"/>
        </w:rPr>
        <w:t>，项目代码为</w:t>
      </w:r>
      <w:r>
        <w:rPr>
          <w:rFonts w:hint="eastAsia" w:ascii="宋体" w:hAnsi="宋体" w:eastAsia="宋体" w:cs="宋体"/>
          <w:snapToGrid w:val="0"/>
          <w:color w:val="auto"/>
          <w:kern w:val="0"/>
          <w:szCs w:val="24"/>
          <w:highlight w:val="none"/>
          <w:u w:val="single"/>
          <w:lang w:val="en-US" w:eastAsia="zh-CN"/>
        </w:rPr>
        <w:t>2505-440281-04-01-978925</w:t>
      </w:r>
      <w:r>
        <w:rPr>
          <w:rFonts w:hint="eastAsia" w:ascii="宋体" w:hAnsi="宋体" w:eastAsia="宋体" w:cs="宋体"/>
          <w:snapToGrid w:val="0"/>
          <w:color w:val="auto"/>
          <w:kern w:val="0"/>
          <w:szCs w:val="24"/>
          <w:highlight w:val="none"/>
        </w:rPr>
        <w:t>。本项目业主为</w:t>
      </w:r>
      <w:r>
        <w:rPr>
          <w:rFonts w:hint="eastAsia" w:ascii="宋体" w:hAnsi="宋体" w:eastAsia="宋体" w:cs="宋体"/>
          <w:i w:val="0"/>
          <w:iCs w:val="0"/>
          <w:caps w:val="0"/>
          <w:color w:val="auto"/>
          <w:spacing w:val="0"/>
          <w:sz w:val="24"/>
          <w:szCs w:val="24"/>
          <w:highlight w:val="none"/>
          <w:u w:val="single"/>
          <w:shd w:val="clear" w:color="auto" w:fill="FFFFFF"/>
          <w:lang w:eastAsia="zh-CN"/>
        </w:rPr>
        <w:t>乐昌市白石镇人民政府</w:t>
      </w:r>
      <w:r>
        <w:rPr>
          <w:rFonts w:hint="eastAsia" w:ascii="宋体" w:hAnsi="宋体" w:eastAsia="宋体" w:cs="宋体"/>
          <w:snapToGrid w:val="0"/>
          <w:color w:val="auto"/>
          <w:kern w:val="0"/>
          <w:szCs w:val="24"/>
          <w:highlight w:val="none"/>
        </w:rPr>
        <w:t>，建设资金来自</w:t>
      </w:r>
      <w:r>
        <w:rPr>
          <w:rFonts w:hint="eastAsia" w:ascii="宋体" w:hAnsi="宋体" w:eastAsia="宋体" w:cs="宋体"/>
          <w:snapToGrid w:val="0"/>
          <w:color w:val="auto"/>
          <w:kern w:val="0"/>
          <w:szCs w:val="24"/>
          <w:highlight w:val="none"/>
          <w:u w:val="single"/>
          <w:lang w:val="en-US" w:eastAsia="zh-CN"/>
        </w:rPr>
        <w:t>上级财政资金，不足部分由业主单位自筹解决</w:t>
      </w:r>
      <w:r>
        <w:rPr>
          <w:rFonts w:hint="eastAsia" w:ascii="宋体" w:hAnsi="宋体" w:eastAsia="宋体" w:cs="宋体"/>
          <w:snapToGrid w:val="0"/>
          <w:color w:val="auto"/>
          <w:kern w:val="0"/>
          <w:szCs w:val="24"/>
          <w:highlight w:val="none"/>
          <w:u w:val="single"/>
        </w:rPr>
        <w:t>，</w:t>
      </w:r>
      <w:r>
        <w:rPr>
          <w:rStyle w:val="149"/>
          <w:rFonts w:hint="eastAsia" w:ascii="宋体" w:hAnsi="宋体" w:eastAsia="宋体" w:cs="宋体"/>
          <w:color w:val="auto"/>
          <w:kern w:val="0"/>
          <w:szCs w:val="24"/>
          <w:highlight w:val="none"/>
        </w:rPr>
        <w:t>出资比例为</w:t>
      </w:r>
      <w:r>
        <w:rPr>
          <w:rFonts w:hint="eastAsia" w:ascii="宋体" w:hAnsi="宋体" w:eastAsia="宋体" w:cs="宋体"/>
          <w:snapToGrid w:val="0"/>
          <w:color w:val="auto"/>
          <w:kern w:val="0"/>
          <w:szCs w:val="24"/>
          <w:highlight w:val="none"/>
          <w:u w:val="single"/>
        </w:rPr>
        <w:t>100%</w:t>
      </w:r>
      <w:r>
        <w:rPr>
          <w:rFonts w:hint="eastAsia" w:ascii="宋体" w:hAnsi="宋体" w:eastAsia="宋体" w:cs="宋体"/>
          <w:snapToGrid w:val="0"/>
          <w:color w:val="auto"/>
          <w:kern w:val="0"/>
          <w:szCs w:val="24"/>
          <w:highlight w:val="none"/>
        </w:rPr>
        <w:t>，招标人为</w:t>
      </w:r>
      <w:r>
        <w:rPr>
          <w:rFonts w:hint="eastAsia" w:ascii="宋体" w:hAnsi="宋体" w:eastAsia="宋体" w:cs="宋体"/>
          <w:color w:val="auto"/>
          <w:kern w:val="0"/>
          <w:szCs w:val="24"/>
          <w:highlight w:val="none"/>
          <w:u w:val="single"/>
          <w:lang w:eastAsia="zh-CN"/>
        </w:rPr>
        <w:t>乐昌市白石镇人民政府</w:t>
      </w:r>
      <w:r>
        <w:rPr>
          <w:rFonts w:hint="eastAsia" w:ascii="宋体" w:hAnsi="宋体" w:eastAsia="宋体" w:cs="宋体"/>
          <w:snapToGrid w:val="0"/>
          <w:color w:val="auto"/>
          <w:kern w:val="0"/>
          <w:szCs w:val="24"/>
          <w:highlight w:val="none"/>
        </w:rPr>
        <w:t>，招标代理机构为</w:t>
      </w:r>
      <w:r>
        <w:rPr>
          <w:rFonts w:hint="eastAsia" w:ascii="宋体" w:hAnsi="宋体" w:eastAsia="宋体" w:cs="宋体"/>
          <w:color w:val="auto"/>
          <w:kern w:val="0"/>
          <w:szCs w:val="24"/>
          <w:highlight w:val="none"/>
          <w:u w:val="single"/>
          <w:lang w:eastAsia="zh-CN"/>
        </w:rPr>
        <w:t>广东穗源工程项目管理有限公司</w:t>
      </w:r>
      <w:r>
        <w:rPr>
          <w:rFonts w:hint="eastAsia" w:ascii="宋体" w:hAnsi="宋体" w:eastAsia="宋体" w:cs="宋体"/>
          <w:snapToGrid w:val="0"/>
          <w:color w:val="auto"/>
          <w:kern w:val="0"/>
          <w:szCs w:val="24"/>
          <w:highlight w:val="none"/>
        </w:rPr>
        <w:t>。项目已具备招标条件，现对该项目的</w:t>
      </w:r>
      <w:r>
        <w:rPr>
          <w:rFonts w:hint="eastAsia" w:ascii="宋体" w:hAnsi="宋体" w:eastAsia="宋体" w:cs="宋体"/>
          <w:snapToGrid w:val="0"/>
          <w:color w:val="auto"/>
          <w:kern w:val="0"/>
          <w:szCs w:val="24"/>
          <w:highlight w:val="none"/>
          <w:u w:val="single"/>
        </w:rPr>
        <w:t>施工</w:t>
      </w:r>
      <w:r>
        <w:rPr>
          <w:rFonts w:hint="eastAsia" w:ascii="宋体" w:hAnsi="宋体" w:eastAsia="宋体" w:cs="宋体"/>
          <w:snapToGrid w:val="0"/>
          <w:color w:val="auto"/>
          <w:kern w:val="0"/>
          <w:szCs w:val="24"/>
          <w:highlight w:val="none"/>
        </w:rPr>
        <w:t>进行公开招标。</w:t>
      </w:r>
    </w:p>
    <w:p w14:paraId="31132700">
      <w:pPr>
        <w:pStyle w:val="4"/>
        <w:pageBreakBefore w:val="0"/>
        <w:kinsoku/>
        <w:overflowPunct/>
        <w:topLinePunct w:val="0"/>
        <w:autoSpaceDE/>
        <w:autoSpaceDN/>
        <w:bidi w:val="0"/>
        <w:spacing w:beforeLines="0" w:afterLines="0" w:line="360" w:lineRule="auto"/>
        <w:ind w:firstLine="482" w:firstLineChars="200"/>
        <w:textAlignment w:val="auto"/>
        <w:rPr>
          <w:rFonts w:hint="eastAsia" w:ascii="宋体" w:hAnsi="宋体" w:eastAsia="宋体" w:cs="宋体"/>
          <w:color w:val="auto"/>
        </w:rPr>
      </w:pPr>
      <w:bookmarkStart w:id="36" w:name="_Toc25995"/>
      <w:r>
        <w:rPr>
          <w:rFonts w:hint="eastAsia" w:ascii="宋体" w:hAnsi="宋体" w:eastAsia="宋体" w:cs="宋体"/>
          <w:color w:val="auto"/>
        </w:rPr>
        <w:t>1．项目概况、招标范围和标段划分、投标费用</w:t>
      </w:r>
      <w:bookmarkEnd w:id="36"/>
    </w:p>
    <w:p w14:paraId="58F7CAB7">
      <w:pPr>
        <w:pStyle w:val="136"/>
        <w:pageBreakBefore w:val="0"/>
        <w:kinsoku/>
        <w:wordWrap w:val="0"/>
        <w:overflowPunct/>
        <w:topLinePunct w:val="0"/>
        <w:autoSpaceDE/>
        <w:autoSpaceDN/>
        <w:bidi w:val="0"/>
        <w:adjustRightInd w:val="0"/>
        <w:snapToGrid w:val="0"/>
        <w:spacing w:line="360" w:lineRule="auto"/>
        <w:ind w:firstLine="482" w:firstLineChars="200"/>
        <w:jc w:val="left"/>
        <w:textAlignment w:val="auto"/>
        <w:rPr>
          <w:rFonts w:hint="eastAsia" w:ascii="宋体" w:hAnsi="宋体" w:eastAsia="宋体" w:cs="宋体"/>
          <w:snapToGrid w:val="0"/>
          <w:color w:val="auto"/>
          <w:kern w:val="0"/>
          <w:sz w:val="24"/>
          <w:highlight w:val="none"/>
        </w:rPr>
      </w:pPr>
      <w:r>
        <w:rPr>
          <w:rFonts w:hint="eastAsia" w:ascii="宋体" w:hAnsi="宋体" w:eastAsia="宋体" w:cs="宋体"/>
          <w:b/>
          <w:bCs/>
          <w:snapToGrid w:val="0"/>
          <w:color w:val="auto"/>
          <w:kern w:val="0"/>
          <w:sz w:val="24"/>
          <w:highlight w:val="none"/>
        </w:rPr>
        <w:t>1.1</w:t>
      </w:r>
      <w:r>
        <w:rPr>
          <w:rFonts w:hint="eastAsia" w:ascii="宋体" w:hAnsi="宋体" w:eastAsia="宋体" w:cs="宋体"/>
          <w:snapToGrid w:val="0"/>
          <w:color w:val="auto"/>
          <w:kern w:val="0"/>
          <w:sz w:val="24"/>
          <w:highlight w:val="none"/>
        </w:rPr>
        <w:t xml:space="preserve"> 项目概况</w:t>
      </w:r>
    </w:p>
    <w:p w14:paraId="0308C9A8">
      <w:pPr>
        <w:pStyle w:val="136"/>
        <w:pageBreakBefore w:val="0"/>
        <w:kinsoku/>
        <w:wordWrap w:val="0"/>
        <w:overflowPunct/>
        <w:topLinePunct w:val="0"/>
        <w:autoSpaceDE/>
        <w:autoSpaceDN/>
        <w:bidi w:val="0"/>
        <w:adjustRightInd w:val="0"/>
        <w:snapToGrid w:val="0"/>
        <w:spacing w:line="360" w:lineRule="auto"/>
        <w:ind w:firstLine="482" w:firstLineChars="200"/>
        <w:jc w:val="left"/>
        <w:textAlignment w:val="auto"/>
        <w:rPr>
          <w:rFonts w:hint="eastAsia" w:ascii="宋体" w:hAnsi="宋体" w:eastAsia="宋体" w:cs="宋体"/>
          <w:snapToGrid w:val="0"/>
          <w:color w:val="auto"/>
          <w:kern w:val="0"/>
          <w:sz w:val="24"/>
          <w:szCs w:val="24"/>
          <w:highlight w:val="none"/>
          <w:u w:val="single"/>
        </w:rPr>
      </w:pPr>
      <w:r>
        <w:rPr>
          <w:rFonts w:hint="eastAsia" w:ascii="宋体" w:hAnsi="宋体" w:eastAsia="宋体" w:cs="宋体"/>
          <w:b/>
          <w:bCs/>
          <w:snapToGrid w:val="0"/>
          <w:color w:val="auto"/>
          <w:kern w:val="0"/>
          <w:sz w:val="24"/>
          <w:szCs w:val="24"/>
          <w:highlight w:val="none"/>
        </w:rPr>
        <w:t>1.1.1</w:t>
      </w:r>
      <w:r>
        <w:rPr>
          <w:rFonts w:hint="eastAsia" w:ascii="宋体" w:hAnsi="宋体" w:eastAsia="宋体" w:cs="宋体"/>
          <w:snapToGrid w:val="0"/>
          <w:color w:val="auto"/>
          <w:kern w:val="0"/>
          <w:sz w:val="24"/>
          <w:szCs w:val="24"/>
          <w:highlight w:val="none"/>
        </w:rPr>
        <w:t xml:space="preserve"> 建设地点：</w:t>
      </w:r>
      <w:r>
        <w:rPr>
          <w:rFonts w:hint="eastAsia" w:ascii="宋体" w:hAnsi="宋体" w:eastAsia="宋体" w:cs="宋体"/>
          <w:snapToGrid w:val="0"/>
          <w:color w:val="auto"/>
          <w:kern w:val="0"/>
          <w:sz w:val="24"/>
          <w:szCs w:val="24"/>
          <w:highlight w:val="none"/>
          <w:u w:val="single"/>
          <w:lang w:val="en-US" w:eastAsia="zh-CN"/>
        </w:rPr>
        <w:t>乐昌市白石镇。</w:t>
      </w:r>
    </w:p>
    <w:p w14:paraId="68344DA7">
      <w:pPr>
        <w:pStyle w:val="136"/>
        <w:pageBreakBefore w:val="0"/>
        <w:kinsoku/>
        <w:wordWrap w:val="0"/>
        <w:overflowPunct/>
        <w:topLinePunct w:val="0"/>
        <w:autoSpaceDE/>
        <w:autoSpaceDN/>
        <w:bidi w:val="0"/>
        <w:adjustRightInd w:val="0"/>
        <w:snapToGrid w:val="0"/>
        <w:spacing w:line="360" w:lineRule="auto"/>
        <w:ind w:firstLine="482" w:firstLineChars="200"/>
        <w:jc w:val="left"/>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b/>
          <w:bCs/>
          <w:snapToGrid w:val="0"/>
          <w:color w:val="auto"/>
          <w:kern w:val="0"/>
          <w:sz w:val="24"/>
          <w:szCs w:val="24"/>
          <w:highlight w:val="none"/>
        </w:rPr>
        <w:t>1.1.2</w:t>
      </w:r>
      <w:r>
        <w:rPr>
          <w:rFonts w:hint="eastAsia" w:ascii="宋体" w:hAnsi="宋体" w:eastAsia="宋体" w:cs="宋体"/>
          <w:snapToGrid w:val="0"/>
          <w:color w:val="auto"/>
          <w:kern w:val="0"/>
          <w:sz w:val="24"/>
          <w:szCs w:val="24"/>
          <w:highlight w:val="none"/>
        </w:rPr>
        <w:t xml:space="preserve"> 建设内容和规模：</w:t>
      </w:r>
      <w:r>
        <w:rPr>
          <w:rFonts w:hint="eastAsia" w:ascii="宋体" w:hAnsi="宋体" w:eastAsia="宋体" w:cs="宋体"/>
          <w:snapToGrid w:val="0"/>
          <w:color w:val="auto"/>
          <w:kern w:val="0"/>
          <w:sz w:val="24"/>
          <w:szCs w:val="24"/>
          <w:highlight w:val="none"/>
          <w:u w:val="single"/>
          <w:lang w:val="en-US" w:eastAsia="zh-CN"/>
        </w:rPr>
        <w:t>涉及坛祖村、水井村及油甫村3个行政村38个村小组，主要包括村道及巷道提升、排水沟、道路照明设施建设、乡村闲置地建设、农房微改造及村庄环境整治等。</w:t>
      </w:r>
    </w:p>
    <w:p w14:paraId="2A879CCC">
      <w:pPr>
        <w:pStyle w:val="136"/>
        <w:pageBreakBefore w:val="0"/>
        <w:kinsoku/>
        <w:wordWrap w:val="0"/>
        <w:overflowPunct/>
        <w:topLinePunct w:val="0"/>
        <w:autoSpaceDE/>
        <w:autoSpaceDN/>
        <w:bidi w:val="0"/>
        <w:adjustRightInd w:val="0"/>
        <w:snapToGrid w:val="0"/>
        <w:spacing w:line="360" w:lineRule="auto"/>
        <w:ind w:firstLine="482" w:firstLineChars="200"/>
        <w:jc w:val="left"/>
        <w:textAlignment w:val="auto"/>
        <w:rPr>
          <w:rFonts w:hint="eastAsia" w:ascii="宋体" w:hAnsi="宋体" w:eastAsia="宋体" w:cs="宋体"/>
          <w:snapToGrid w:val="0"/>
          <w:color w:val="auto"/>
          <w:kern w:val="0"/>
          <w:sz w:val="24"/>
          <w:szCs w:val="24"/>
          <w:highlight w:val="none"/>
          <w:u w:val="single"/>
          <w:lang w:val="en-US" w:eastAsia="zh-CN"/>
        </w:rPr>
      </w:pPr>
      <w:r>
        <w:rPr>
          <w:rFonts w:hint="eastAsia" w:ascii="宋体" w:hAnsi="宋体" w:eastAsia="宋体" w:cs="宋体"/>
          <w:b/>
          <w:bCs/>
          <w:snapToGrid w:val="0"/>
          <w:color w:val="auto"/>
          <w:kern w:val="0"/>
          <w:sz w:val="24"/>
          <w:szCs w:val="24"/>
          <w:highlight w:val="none"/>
          <w:u w:val="none"/>
          <w:lang w:val="en-US" w:eastAsia="zh-CN"/>
        </w:rPr>
        <w:t>1.1.3</w:t>
      </w:r>
      <w:r>
        <w:rPr>
          <w:rFonts w:hint="eastAsia" w:ascii="宋体" w:hAnsi="宋体" w:eastAsia="宋体" w:cs="宋体"/>
          <w:snapToGrid w:val="0"/>
          <w:color w:val="auto"/>
          <w:kern w:val="0"/>
          <w:sz w:val="24"/>
          <w:szCs w:val="24"/>
          <w:highlight w:val="none"/>
          <w:u w:val="none"/>
          <w:lang w:val="en-US" w:eastAsia="zh-CN"/>
        </w:rPr>
        <w:t xml:space="preserve"> 项目总投资：</w:t>
      </w:r>
      <w:r>
        <w:rPr>
          <w:rFonts w:hint="eastAsia" w:ascii="宋体" w:hAnsi="宋体" w:eastAsia="宋体" w:cs="宋体"/>
          <w:snapToGrid w:val="0"/>
          <w:color w:val="auto"/>
          <w:kern w:val="0"/>
          <w:sz w:val="24"/>
          <w:szCs w:val="24"/>
          <w:highlight w:val="none"/>
          <w:u w:val="single"/>
          <w:lang w:val="en-US" w:eastAsia="zh-CN"/>
        </w:rPr>
        <w:t>项目估算总投资2913.77万元，其中：建安工程费用2431.12万元、工程建设其他费用402.11万元（含建设期利息费）、预备费80.54万元。</w:t>
      </w:r>
    </w:p>
    <w:p w14:paraId="0AEAEA06">
      <w:pPr>
        <w:pStyle w:val="136"/>
        <w:pageBreakBefore w:val="0"/>
        <w:kinsoku/>
        <w:wordWrap w:val="0"/>
        <w:overflowPunct/>
        <w:topLinePunct w:val="0"/>
        <w:autoSpaceDE/>
        <w:autoSpaceDN/>
        <w:bidi w:val="0"/>
        <w:adjustRightInd w:val="0"/>
        <w:snapToGrid w:val="0"/>
        <w:spacing w:line="360" w:lineRule="auto"/>
        <w:ind w:firstLine="482" w:firstLineChars="200"/>
        <w:jc w:val="left"/>
        <w:textAlignment w:val="auto"/>
        <w:rPr>
          <w:rFonts w:hint="eastAsia" w:ascii="宋体" w:hAnsi="宋体" w:eastAsia="宋体" w:cs="宋体"/>
          <w:b/>
          <w:bCs/>
          <w:snapToGrid w:val="0"/>
          <w:color w:val="auto"/>
          <w:kern w:val="0"/>
          <w:sz w:val="24"/>
          <w:highlight w:val="none"/>
        </w:rPr>
      </w:pPr>
      <w:r>
        <w:rPr>
          <w:rFonts w:hint="eastAsia" w:ascii="宋体" w:hAnsi="宋体" w:eastAsia="宋体" w:cs="宋体"/>
          <w:b/>
          <w:bCs/>
          <w:snapToGrid w:val="0"/>
          <w:color w:val="auto"/>
          <w:kern w:val="0"/>
          <w:sz w:val="24"/>
          <w:highlight w:val="none"/>
        </w:rPr>
        <w:t xml:space="preserve">1.2 </w:t>
      </w:r>
      <w:r>
        <w:rPr>
          <w:rFonts w:hint="eastAsia" w:ascii="宋体" w:hAnsi="宋体" w:eastAsia="宋体" w:cs="宋体"/>
          <w:snapToGrid w:val="0"/>
          <w:color w:val="auto"/>
          <w:kern w:val="0"/>
          <w:sz w:val="24"/>
          <w:highlight w:val="none"/>
        </w:rPr>
        <w:t>招标范围和标段划分</w:t>
      </w:r>
    </w:p>
    <w:p w14:paraId="21E58119">
      <w:pPr>
        <w:pStyle w:val="136"/>
        <w:pageBreakBefore w:val="0"/>
        <w:kinsoku/>
        <w:wordWrap w:val="0"/>
        <w:overflowPunct/>
        <w:topLinePunct w:val="0"/>
        <w:autoSpaceDE/>
        <w:autoSpaceDN/>
        <w:bidi w:val="0"/>
        <w:adjustRightInd w:val="0"/>
        <w:snapToGrid w:val="0"/>
        <w:spacing w:line="360" w:lineRule="auto"/>
        <w:ind w:firstLine="482" w:firstLineChars="200"/>
        <w:jc w:val="left"/>
        <w:textAlignment w:val="auto"/>
        <w:rPr>
          <w:rFonts w:hint="eastAsia" w:ascii="宋体" w:hAnsi="宋体" w:eastAsia="宋体" w:cs="宋体"/>
          <w:snapToGrid w:val="0"/>
          <w:color w:val="auto"/>
          <w:kern w:val="0"/>
          <w:sz w:val="24"/>
          <w:highlight w:val="none"/>
          <w:u w:val="none"/>
        </w:rPr>
      </w:pPr>
      <w:r>
        <w:rPr>
          <w:rFonts w:hint="eastAsia" w:ascii="宋体" w:hAnsi="宋体" w:eastAsia="宋体" w:cs="宋体"/>
          <w:b/>
          <w:bCs/>
          <w:snapToGrid w:val="0"/>
          <w:color w:val="auto"/>
          <w:kern w:val="0"/>
          <w:sz w:val="24"/>
          <w:highlight w:val="none"/>
        </w:rPr>
        <w:t>1.2.1</w:t>
      </w:r>
      <w:r>
        <w:rPr>
          <w:rFonts w:hint="eastAsia" w:ascii="宋体" w:hAnsi="宋体" w:eastAsia="宋体" w:cs="宋体"/>
          <w:snapToGrid w:val="0"/>
          <w:color w:val="auto"/>
          <w:kern w:val="0"/>
          <w:sz w:val="24"/>
          <w:highlight w:val="none"/>
        </w:rPr>
        <w:t xml:space="preserve"> 招标范围：</w:t>
      </w:r>
      <w:r>
        <w:rPr>
          <w:rFonts w:hint="eastAsia" w:ascii="宋体" w:hAnsi="宋体" w:eastAsia="宋体" w:cs="宋体"/>
          <w:snapToGrid w:val="0"/>
          <w:color w:val="auto"/>
          <w:kern w:val="0"/>
          <w:sz w:val="24"/>
          <w:highlight w:val="none"/>
          <w:u w:val="single"/>
          <w:lang w:val="en-US" w:eastAsia="zh-CN"/>
        </w:rPr>
        <w:t>施工图纸和工程量清单范围内</w:t>
      </w:r>
      <w:r>
        <w:rPr>
          <w:rFonts w:hint="eastAsia" w:ascii="宋体" w:hAnsi="宋体" w:eastAsia="宋体" w:cs="宋体"/>
          <w:snapToGrid w:val="0"/>
          <w:color w:val="auto"/>
          <w:kern w:val="0"/>
          <w:sz w:val="24"/>
          <w:highlight w:val="none"/>
          <w:u w:val="single"/>
        </w:rPr>
        <w:t>等</w:t>
      </w:r>
      <w:r>
        <w:rPr>
          <w:rFonts w:hint="eastAsia" w:ascii="宋体" w:hAnsi="宋体" w:eastAsia="宋体" w:cs="宋体"/>
          <w:snapToGrid w:val="0"/>
          <w:color w:val="auto"/>
          <w:kern w:val="0"/>
          <w:sz w:val="24"/>
          <w:highlight w:val="none"/>
          <w:u w:val="single"/>
          <w:lang w:val="en-US" w:eastAsia="zh-CN"/>
        </w:rPr>
        <w:t>所有</w:t>
      </w:r>
      <w:r>
        <w:rPr>
          <w:rFonts w:hint="eastAsia" w:ascii="宋体" w:hAnsi="宋体" w:eastAsia="宋体" w:cs="宋体"/>
          <w:snapToGrid w:val="0"/>
          <w:color w:val="auto"/>
          <w:kern w:val="0"/>
          <w:sz w:val="24"/>
          <w:highlight w:val="none"/>
          <w:u w:val="single"/>
        </w:rPr>
        <w:t>工程</w:t>
      </w:r>
      <w:r>
        <w:rPr>
          <w:rFonts w:hint="eastAsia" w:ascii="宋体" w:hAnsi="宋体" w:eastAsia="宋体" w:cs="宋体"/>
          <w:snapToGrid w:val="0"/>
          <w:color w:val="auto"/>
          <w:kern w:val="0"/>
          <w:sz w:val="24"/>
          <w:highlight w:val="none"/>
          <w:u w:val="single"/>
          <w:lang w:val="en-US" w:eastAsia="zh-CN"/>
        </w:rPr>
        <w:t>施工</w:t>
      </w:r>
      <w:r>
        <w:rPr>
          <w:rFonts w:hint="eastAsia" w:ascii="宋体" w:hAnsi="宋体" w:eastAsia="宋体" w:cs="宋体"/>
          <w:snapToGrid w:val="0"/>
          <w:color w:val="auto"/>
          <w:kern w:val="0"/>
          <w:sz w:val="24"/>
          <w:highlight w:val="none"/>
          <w:u w:val="single"/>
        </w:rPr>
        <w:t>。</w:t>
      </w:r>
      <w:r>
        <w:rPr>
          <w:rFonts w:hint="eastAsia" w:ascii="宋体" w:hAnsi="宋体" w:eastAsia="宋体" w:cs="宋体"/>
          <w:snapToGrid w:val="0"/>
          <w:color w:val="auto"/>
          <w:kern w:val="0"/>
          <w:sz w:val="24"/>
          <w:highlight w:val="none"/>
          <w:u w:val="none"/>
        </w:rPr>
        <w:t xml:space="preserve">       </w:t>
      </w:r>
    </w:p>
    <w:p w14:paraId="36E61988">
      <w:pPr>
        <w:pStyle w:val="3"/>
        <w:pageBreakBefore w:val="0"/>
        <w:kinsoku/>
        <w:wordWrap w:val="0"/>
        <w:overflowPunct/>
        <w:topLinePunct w:val="0"/>
        <w:autoSpaceDE/>
        <w:autoSpaceDN/>
        <w:bidi w:val="0"/>
        <w:snapToGrid w:val="0"/>
        <w:spacing w:line="360" w:lineRule="auto"/>
        <w:ind w:firstLine="482" w:firstLineChars="200"/>
        <w:jc w:val="both"/>
        <w:textAlignment w:val="auto"/>
        <w:rPr>
          <w:rFonts w:hint="eastAsia" w:ascii="宋体" w:hAnsi="宋体" w:eastAsia="宋体" w:cs="宋体"/>
          <w:b/>
          <w:snapToGrid w:val="0"/>
          <w:color w:val="auto"/>
          <w:highlight w:val="none"/>
        </w:rPr>
      </w:pPr>
      <w:bookmarkStart w:id="37" w:name="_Toc3268"/>
      <w:bookmarkStart w:id="38" w:name="_Toc9332"/>
      <w:bookmarkStart w:id="39" w:name="_Toc19291"/>
      <w:r>
        <w:rPr>
          <w:rFonts w:hint="eastAsia" w:ascii="宋体" w:hAnsi="宋体" w:eastAsia="宋体" w:cs="宋体"/>
          <w:b/>
          <w:bCs/>
          <w:snapToGrid w:val="0"/>
          <w:color w:val="auto"/>
          <w:highlight w:val="none"/>
        </w:rPr>
        <w:t>1.2.2</w:t>
      </w:r>
      <w:r>
        <w:rPr>
          <w:rFonts w:hint="eastAsia" w:ascii="宋体" w:hAnsi="宋体" w:eastAsia="宋体" w:cs="宋体"/>
          <w:snapToGrid w:val="0"/>
          <w:color w:val="auto"/>
          <w:highlight w:val="none"/>
        </w:rPr>
        <w:t xml:space="preserve"> 标段划分：本招标项目不划分标段。</w:t>
      </w:r>
      <w:bookmarkEnd w:id="35"/>
      <w:bookmarkEnd w:id="37"/>
      <w:bookmarkEnd w:id="38"/>
      <w:bookmarkEnd w:id="39"/>
    </w:p>
    <w:p w14:paraId="4E614AA0">
      <w:pPr>
        <w:pageBreakBefore w:val="0"/>
        <w:tabs>
          <w:tab w:val="left" w:pos="7020"/>
        </w:tabs>
        <w:kinsoku/>
        <w:wordWrap w:val="0"/>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szCs w:val="24"/>
          <w:highlight w:val="none"/>
        </w:rPr>
        <w:t>1.3</w:t>
      </w:r>
      <w:r>
        <w:rPr>
          <w:rFonts w:hint="eastAsia" w:ascii="宋体" w:hAnsi="宋体" w:eastAsia="宋体" w:cs="宋体"/>
          <w:snapToGrid w:val="0"/>
          <w:color w:val="auto"/>
          <w:kern w:val="0"/>
          <w:szCs w:val="24"/>
          <w:highlight w:val="none"/>
        </w:rPr>
        <w:t xml:space="preserve"> 投标费用</w:t>
      </w:r>
      <w:r>
        <w:rPr>
          <w:rFonts w:hint="eastAsia" w:ascii="宋体" w:hAnsi="宋体" w:eastAsia="宋体" w:cs="宋体"/>
          <w:snapToGrid w:val="0"/>
          <w:color w:val="auto"/>
          <w:kern w:val="0"/>
          <w:highlight w:val="none"/>
        </w:rPr>
        <w:t>：投标人应承担所有准备和参加投标的相关费用，不论投标结果如何，招标人均无义务和责任承担这些费用。</w:t>
      </w:r>
    </w:p>
    <w:p w14:paraId="333E7109">
      <w:pPr>
        <w:pStyle w:val="3"/>
        <w:wordWrap w:val="0"/>
        <w:autoSpaceDE/>
        <w:autoSpaceDN/>
        <w:snapToGrid w:val="0"/>
        <w:spacing w:line="440" w:lineRule="exact"/>
        <w:ind w:firstLine="480"/>
        <w:jc w:val="both"/>
        <w:rPr>
          <w:rFonts w:hint="eastAsia" w:ascii="宋体" w:hAnsi="宋体" w:eastAsia="宋体" w:cs="宋体"/>
          <w:b/>
          <w:snapToGrid w:val="0"/>
          <w:color w:val="auto"/>
          <w:highlight w:val="none"/>
        </w:rPr>
      </w:pPr>
      <w:bookmarkStart w:id="40" w:name="_Toc15329"/>
      <w:bookmarkStart w:id="41" w:name="_Toc18676"/>
    </w:p>
    <w:p w14:paraId="614F2D29">
      <w:pPr>
        <w:pStyle w:val="4"/>
        <w:pageBreakBefore w:val="0"/>
        <w:kinsoku/>
        <w:overflowPunct/>
        <w:topLinePunct w:val="0"/>
        <w:autoSpaceDE/>
        <w:autoSpaceDN/>
        <w:bidi w:val="0"/>
        <w:spacing w:beforeLines="0" w:afterLines="0" w:line="360" w:lineRule="auto"/>
        <w:ind w:left="0" w:leftChars="0" w:right="0" w:firstLine="482" w:firstLineChars="200"/>
        <w:rPr>
          <w:rFonts w:hint="eastAsia" w:ascii="宋体" w:hAnsi="宋体" w:eastAsia="宋体" w:cs="宋体"/>
          <w:color w:val="auto"/>
          <w:sz w:val="24"/>
          <w:szCs w:val="24"/>
        </w:rPr>
      </w:pPr>
      <w:bookmarkStart w:id="42" w:name="_Toc14498"/>
      <w:r>
        <w:rPr>
          <w:rFonts w:hint="eastAsia" w:ascii="宋体" w:hAnsi="宋体" w:eastAsia="宋体" w:cs="宋体"/>
          <w:color w:val="auto"/>
          <w:sz w:val="24"/>
          <w:szCs w:val="24"/>
        </w:rPr>
        <w:t>2．投标人资格要求</w:t>
      </w:r>
      <w:bookmarkEnd w:id="40"/>
      <w:bookmarkEnd w:id="41"/>
      <w:bookmarkEnd w:id="42"/>
      <w:bookmarkStart w:id="43" w:name="_Hlt74496495"/>
      <w:bookmarkEnd w:id="43"/>
    </w:p>
    <w:p w14:paraId="0905E36C">
      <w:pPr>
        <w:wordWrap w:val="0"/>
        <w:adjustRightInd w:val="0"/>
        <w:snapToGrid w:val="0"/>
        <w:spacing w:line="360" w:lineRule="auto"/>
        <w:ind w:firstLine="482" w:firstLineChars="200"/>
        <w:jc w:val="left"/>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lang w:val="en-US" w:eastAsia="zh-CN"/>
        </w:rPr>
        <w:t>2.</w:t>
      </w:r>
      <w:r>
        <w:rPr>
          <w:rFonts w:hint="eastAsia" w:ascii="宋体" w:hAnsi="宋体" w:eastAsia="宋体" w:cs="宋体"/>
          <w:b/>
          <w:bCs/>
          <w:snapToGrid w:val="0"/>
          <w:color w:val="auto"/>
          <w:kern w:val="0"/>
          <w:highlight w:val="none"/>
        </w:rPr>
        <w:t>1</w:t>
      </w:r>
      <w:r>
        <w:rPr>
          <w:rFonts w:hint="eastAsia" w:ascii="宋体" w:hAnsi="宋体" w:eastAsia="宋体" w:cs="宋体"/>
          <w:snapToGrid w:val="0"/>
          <w:color w:val="auto"/>
          <w:kern w:val="0"/>
          <w:highlight w:val="none"/>
        </w:rPr>
        <w:t>本次招标</w:t>
      </w:r>
      <w:r>
        <w:rPr>
          <w:rFonts w:hint="eastAsia" w:ascii="宋体" w:hAnsi="宋体" w:eastAsia="宋体" w:cs="宋体"/>
          <w:snapToGrid w:val="0"/>
          <w:color w:val="auto"/>
          <w:kern w:val="0"/>
          <w:highlight w:val="none"/>
          <w:lang w:val="en-US" w:eastAsia="zh-CN"/>
        </w:rPr>
        <w:t>不</w:t>
      </w:r>
      <w:r>
        <w:rPr>
          <w:rFonts w:hint="eastAsia" w:ascii="宋体" w:hAnsi="宋体" w:eastAsia="宋体" w:cs="宋体"/>
          <w:snapToGrid w:val="0"/>
          <w:color w:val="auto"/>
          <w:kern w:val="0"/>
          <w:highlight w:val="none"/>
        </w:rPr>
        <w:t>接受联合体投标。</w:t>
      </w:r>
    </w:p>
    <w:p w14:paraId="5CB01E52">
      <w:pPr>
        <w:pageBreakBefore w:val="0"/>
        <w:kinsoku/>
        <w:wordWrap w:val="0"/>
        <w:overflowPunct/>
        <w:topLinePunct w:val="0"/>
        <w:autoSpaceDE/>
        <w:autoSpaceDN/>
        <w:bidi w:val="0"/>
        <w:adjustRightInd w:val="0"/>
        <w:snapToGrid w:val="0"/>
        <w:spacing w:line="360" w:lineRule="auto"/>
        <w:ind w:left="0" w:leftChars="0" w:right="0" w:firstLine="482"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2.2</w:t>
      </w:r>
      <w:r>
        <w:rPr>
          <w:rFonts w:hint="eastAsia" w:ascii="宋体" w:hAnsi="宋体" w:eastAsia="宋体" w:cs="宋体"/>
          <w:snapToGrid w:val="0"/>
          <w:color w:val="auto"/>
          <w:kern w:val="0"/>
          <w:sz w:val="24"/>
          <w:szCs w:val="24"/>
          <w:highlight w:val="none"/>
        </w:rPr>
        <w:t xml:space="preserve"> 资格资质要求</w:t>
      </w:r>
    </w:p>
    <w:p w14:paraId="617B3711">
      <w:pPr>
        <w:pStyle w:val="136"/>
        <w:pageBreakBefore w:val="0"/>
        <w:kinsoku/>
        <w:wordWrap w:val="0"/>
        <w:overflowPunct/>
        <w:topLinePunct w:val="0"/>
        <w:autoSpaceDE/>
        <w:autoSpaceDN/>
        <w:bidi w:val="0"/>
        <w:adjustRightInd w:val="0"/>
        <w:snapToGrid w:val="0"/>
        <w:spacing w:line="360" w:lineRule="auto"/>
        <w:ind w:left="0" w:leftChars="0" w:right="0" w:firstLine="482"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2.2.1</w:t>
      </w:r>
      <w:r>
        <w:rPr>
          <w:rFonts w:hint="eastAsia" w:ascii="宋体" w:hAnsi="宋体" w:eastAsia="宋体" w:cs="宋体"/>
          <w:snapToGrid w:val="0"/>
          <w:color w:val="auto"/>
          <w:kern w:val="0"/>
          <w:sz w:val="24"/>
          <w:szCs w:val="24"/>
          <w:highlight w:val="none"/>
        </w:rPr>
        <w:t xml:space="preserve"> 投标人须具备独立法人资格，按国家法律经营。</w:t>
      </w:r>
    </w:p>
    <w:p w14:paraId="38A5A45D">
      <w:pPr>
        <w:pStyle w:val="136"/>
        <w:pageBreakBefore w:val="0"/>
        <w:kinsoku/>
        <w:wordWrap w:val="0"/>
        <w:overflowPunct/>
        <w:topLinePunct w:val="0"/>
        <w:autoSpaceDE/>
        <w:autoSpaceDN/>
        <w:bidi w:val="0"/>
        <w:adjustRightInd w:val="0"/>
        <w:snapToGrid w:val="0"/>
        <w:spacing w:line="360" w:lineRule="auto"/>
        <w:ind w:left="0" w:leftChars="0" w:right="0" w:firstLine="482"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2.2.2</w:t>
      </w:r>
      <w:r>
        <w:rPr>
          <w:rFonts w:hint="eastAsia" w:ascii="宋体" w:hAnsi="宋体" w:eastAsia="宋体" w:cs="宋体"/>
          <w:snapToGrid w:val="0"/>
          <w:color w:val="auto"/>
          <w:kern w:val="0"/>
          <w:sz w:val="24"/>
          <w:szCs w:val="24"/>
          <w:highlight w:val="none"/>
        </w:rPr>
        <w:t xml:space="preserve"> 投标人须持有建设行政主管部门颁发的企业资质证书及安全生产许可证。</w:t>
      </w:r>
    </w:p>
    <w:p w14:paraId="06089417">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2.2.3</w:t>
      </w:r>
      <w:r>
        <w:rPr>
          <w:rFonts w:hint="eastAsia" w:ascii="宋体" w:hAnsi="宋体" w:eastAsia="宋体" w:cs="宋体"/>
          <w:snapToGrid w:val="0"/>
          <w:color w:val="auto"/>
          <w:kern w:val="0"/>
          <w:sz w:val="24"/>
          <w:szCs w:val="24"/>
          <w:highlight w:val="none"/>
        </w:rPr>
        <w:t xml:space="preserve"> 投标人须具备以下资质：具备建设行政主管部门颁发的</w:t>
      </w:r>
      <w:r>
        <w:rPr>
          <w:rFonts w:hint="eastAsia" w:ascii="宋体" w:hAnsi="宋体" w:eastAsia="宋体" w:cs="宋体"/>
          <w:b w:val="0"/>
          <w:bCs w:val="0"/>
          <w:snapToGrid w:val="0"/>
          <w:color w:val="auto"/>
          <w:kern w:val="0"/>
          <w:sz w:val="24"/>
          <w:szCs w:val="24"/>
          <w:highlight w:val="none"/>
          <w:u w:val="single"/>
          <w:lang w:eastAsia="zh-CN"/>
        </w:rPr>
        <w:t>市政公用工程施工总承包叁级以上（含叁级）</w:t>
      </w:r>
      <w:r>
        <w:rPr>
          <w:rFonts w:hint="eastAsia" w:ascii="宋体" w:hAnsi="宋体" w:eastAsia="宋体" w:cs="宋体"/>
          <w:b w:val="0"/>
          <w:bCs w:val="0"/>
          <w:snapToGrid w:val="0"/>
          <w:color w:val="auto"/>
          <w:kern w:val="0"/>
          <w:sz w:val="24"/>
          <w:szCs w:val="24"/>
          <w:highlight w:val="none"/>
        </w:rPr>
        <w:t>资质。</w:t>
      </w:r>
    </w:p>
    <w:p w14:paraId="7C96D109">
      <w:pPr>
        <w:pStyle w:val="136"/>
        <w:pageBreakBefore w:val="0"/>
        <w:kinsoku/>
        <w:wordWrap w:val="0"/>
        <w:overflowPunct/>
        <w:topLinePunct w:val="0"/>
        <w:autoSpaceDE/>
        <w:autoSpaceDN/>
        <w:bidi w:val="0"/>
        <w:adjustRightInd w:val="0"/>
        <w:snapToGrid w:val="0"/>
        <w:spacing w:line="360" w:lineRule="auto"/>
        <w:ind w:left="0" w:leftChars="0" w:right="0" w:firstLine="482"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2.2.4</w:t>
      </w:r>
      <w:r>
        <w:rPr>
          <w:rFonts w:hint="eastAsia" w:ascii="宋体" w:hAnsi="宋体" w:eastAsia="宋体" w:cs="宋体"/>
          <w:snapToGrid w:val="0"/>
          <w:color w:val="auto"/>
          <w:kern w:val="0"/>
          <w:sz w:val="24"/>
          <w:szCs w:val="24"/>
          <w:highlight w:val="none"/>
        </w:rPr>
        <w:t xml:space="preserve"> 根据有关文件精神，投标人的企业相关证书到期的，均按该证书的发证机构相关行业主管部门最新文件执行（如自动顺延或推迟办理延期业务的通知），投标人必须将相关文件附在该证书后面中，证明在开标日继续有效。</w:t>
      </w:r>
    </w:p>
    <w:p w14:paraId="34CD375A">
      <w:pPr>
        <w:pStyle w:val="136"/>
        <w:pageBreakBefore w:val="0"/>
        <w:kinsoku/>
        <w:wordWrap w:val="0"/>
        <w:overflowPunct/>
        <w:topLinePunct w:val="0"/>
        <w:autoSpaceDE/>
        <w:autoSpaceDN/>
        <w:bidi w:val="0"/>
        <w:adjustRightInd w:val="0"/>
        <w:snapToGrid w:val="0"/>
        <w:spacing w:line="360" w:lineRule="auto"/>
        <w:ind w:left="0" w:leftChars="0" w:right="0" w:firstLine="482"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2.3</w:t>
      </w:r>
      <w:r>
        <w:rPr>
          <w:rFonts w:hint="eastAsia" w:ascii="宋体" w:hAnsi="宋体" w:eastAsia="宋体" w:cs="宋体"/>
          <w:snapToGrid w:val="0"/>
          <w:color w:val="auto"/>
          <w:kern w:val="0"/>
          <w:sz w:val="24"/>
          <w:szCs w:val="24"/>
          <w:highlight w:val="none"/>
        </w:rPr>
        <w:t xml:space="preserve"> 相关人员要求</w:t>
      </w:r>
    </w:p>
    <w:p w14:paraId="0419F19B">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lang w:val="en-US" w:eastAsia="zh-CN" w:bidi="ar-SA"/>
        </w:rPr>
        <w:t>2.3.1</w:t>
      </w:r>
      <w:r>
        <w:rPr>
          <w:rFonts w:hint="eastAsia" w:ascii="宋体" w:hAnsi="宋体" w:eastAsia="宋体" w:cs="宋体"/>
          <w:snapToGrid w:val="0"/>
          <w:color w:val="auto"/>
          <w:kern w:val="0"/>
          <w:sz w:val="24"/>
          <w:szCs w:val="24"/>
          <w:highlight w:val="none"/>
        </w:rPr>
        <w:t xml:space="preserve"> </w:t>
      </w:r>
      <w:r>
        <w:rPr>
          <w:rFonts w:hint="eastAsia" w:ascii="宋体" w:hAnsi="宋体" w:eastAsia="宋体" w:cs="宋体"/>
          <w:color w:val="auto"/>
          <w:sz w:val="24"/>
          <w:szCs w:val="24"/>
        </w:rPr>
        <w:t>投标人拟派项目经理为</w:t>
      </w:r>
      <w:r>
        <w:rPr>
          <w:rFonts w:hint="eastAsia" w:ascii="宋体" w:hAnsi="宋体" w:eastAsia="宋体" w:cs="宋体"/>
          <w:b w:val="0"/>
          <w:bCs w:val="0"/>
          <w:color w:val="auto"/>
          <w:sz w:val="24"/>
          <w:szCs w:val="24"/>
          <w:u w:val="single"/>
        </w:rPr>
        <w:t>市政公用工程</w:t>
      </w:r>
      <w:r>
        <w:rPr>
          <w:rFonts w:hint="eastAsia" w:ascii="宋体" w:hAnsi="宋体" w:eastAsia="宋体" w:cs="宋体"/>
          <w:b w:val="0"/>
          <w:bCs w:val="0"/>
          <w:color w:val="auto"/>
          <w:sz w:val="24"/>
          <w:szCs w:val="24"/>
        </w:rPr>
        <w:t>专业一级或二级注册建造师，应持有住建部门印发的在使用有效期内的有效电子注册证书（根据广东省住房和城乡建设厅（粤建市函〔2023〕469 号）文件精神，二级注册建造师可随注册企业在全国范围内执业）。同时均须具备有效安全生产考核合格证明（B证，安全生产考核合格证书或“广东省建筑施工企业管理人员安全生产考核信息系统”考核合格信息打印页），且未担任其他在施（包括已中标未开工、已开工未竣工）建设工程项目的项目经理。</w:t>
      </w:r>
    </w:p>
    <w:p w14:paraId="512E4BF0">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val="0"/>
          <w:bCs w:val="0"/>
          <w:snapToGrid w:val="0"/>
          <w:color w:val="auto"/>
          <w:kern w:val="0"/>
          <w:sz w:val="24"/>
          <w:szCs w:val="24"/>
          <w:highlight w:val="none"/>
          <w:lang w:val="en-US" w:eastAsia="zh-CN" w:bidi="ar-SA"/>
        </w:rPr>
        <w:t>2.3.2</w:t>
      </w:r>
      <w:r>
        <w:rPr>
          <w:rFonts w:hint="eastAsia" w:ascii="宋体" w:hAnsi="宋体" w:eastAsia="宋体" w:cs="宋体"/>
          <w:b w:val="0"/>
          <w:bCs w:val="0"/>
          <w:snapToGrid w:val="0"/>
          <w:color w:val="auto"/>
          <w:kern w:val="0"/>
          <w:sz w:val="24"/>
          <w:szCs w:val="24"/>
          <w:highlight w:val="none"/>
        </w:rPr>
        <w:t xml:space="preserve"> 拟派项目技术负责人须具备</w:t>
      </w:r>
      <w:r>
        <w:rPr>
          <w:rFonts w:hint="eastAsia" w:ascii="宋体" w:hAnsi="宋体" w:eastAsia="宋体" w:cs="宋体"/>
          <w:b w:val="0"/>
          <w:bCs w:val="0"/>
          <w:snapToGrid w:val="0"/>
          <w:color w:val="auto"/>
          <w:kern w:val="0"/>
          <w:sz w:val="24"/>
          <w:szCs w:val="24"/>
          <w:highlight w:val="none"/>
          <w:u w:val="single"/>
          <w:lang w:val="en-US" w:eastAsia="zh-CN"/>
        </w:rPr>
        <w:t>市政类</w:t>
      </w:r>
      <w:r>
        <w:rPr>
          <w:rFonts w:hint="eastAsia" w:ascii="宋体" w:hAnsi="宋体" w:eastAsia="宋体" w:cs="宋体"/>
          <w:b w:val="0"/>
          <w:bCs w:val="0"/>
          <w:snapToGrid w:val="0"/>
          <w:color w:val="auto"/>
          <w:kern w:val="0"/>
          <w:sz w:val="24"/>
          <w:szCs w:val="24"/>
          <w:highlight w:val="none"/>
          <w:u w:val="single"/>
        </w:rPr>
        <w:t>相关</w:t>
      </w:r>
      <w:r>
        <w:rPr>
          <w:rFonts w:hint="eastAsia" w:ascii="宋体" w:hAnsi="宋体" w:eastAsia="宋体" w:cs="宋体"/>
          <w:b w:val="0"/>
          <w:bCs w:val="0"/>
          <w:snapToGrid w:val="0"/>
          <w:color w:val="auto"/>
          <w:kern w:val="0"/>
          <w:sz w:val="24"/>
          <w:szCs w:val="24"/>
          <w:highlight w:val="none"/>
        </w:rPr>
        <w:t>专业</w:t>
      </w:r>
      <w:r>
        <w:rPr>
          <w:rFonts w:hint="eastAsia" w:ascii="宋体" w:hAnsi="宋体" w:eastAsia="宋体" w:cs="宋体"/>
          <w:b w:val="0"/>
          <w:bCs w:val="0"/>
          <w:snapToGrid w:val="0"/>
          <w:color w:val="auto"/>
          <w:kern w:val="0"/>
          <w:sz w:val="24"/>
          <w:szCs w:val="24"/>
          <w:highlight w:val="none"/>
          <w:u w:val="single"/>
          <w:lang w:val="en-US" w:eastAsia="zh-CN"/>
        </w:rPr>
        <w:t>中</w:t>
      </w:r>
      <w:r>
        <w:rPr>
          <w:rFonts w:hint="eastAsia" w:ascii="宋体" w:hAnsi="宋体" w:eastAsia="宋体" w:cs="宋体"/>
          <w:b w:val="0"/>
          <w:bCs w:val="0"/>
          <w:snapToGrid w:val="0"/>
          <w:color w:val="auto"/>
          <w:kern w:val="0"/>
          <w:sz w:val="24"/>
          <w:szCs w:val="24"/>
          <w:highlight w:val="none"/>
        </w:rPr>
        <w:t>级以上（含</w:t>
      </w:r>
      <w:r>
        <w:rPr>
          <w:rFonts w:hint="eastAsia" w:ascii="宋体" w:hAnsi="宋体" w:eastAsia="宋体" w:cs="宋体"/>
          <w:b w:val="0"/>
          <w:bCs w:val="0"/>
          <w:snapToGrid w:val="0"/>
          <w:color w:val="auto"/>
          <w:kern w:val="0"/>
          <w:sz w:val="24"/>
          <w:szCs w:val="24"/>
          <w:highlight w:val="none"/>
          <w:u w:val="single"/>
          <w:lang w:val="en-US" w:eastAsia="zh-CN"/>
        </w:rPr>
        <w:t>中</w:t>
      </w:r>
      <w:r>
        <w:rPr>
          <w:rFonts w:hint="eastAsia" w:ascii="宋体" w:hAnsi="宋体" w:eastAsia="宋体" w:cs="宋体"/>
          <w:b w:val="0"/>
          <w:bCs w:val="0"/>
          <w:snapToGrid w:val="0"/>
          <w:color w:val="auto"/>
          <w:kern w:val="0"/>
          <w:sz w:val="24"/>
          <w:szCs w:val="24"/>
          <w:highlight w:val="none"/>
        </w:rPr>
        <w:t>级）技术职称。</w:t>
      </w:r>
    </w:p>
    <w:p w14:paraId="3B1EE085">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lang w:val="en-US" w:eastAsia="zh-CN" w:bidi="ar-SA"/>
        </w:rPr>
        <w:t>2.3.3</w:t>
      </w:r>
      <w:r>
        <w:rPr>
          <w:rFonts w:hint="eastAsia" w:ascii="宋体" w:hAnsi="宋体" w:eastAsia="宋体" w:cs="宋体"/>
          <w:snapToGrid w:val="0"/>
          <w:color w:val="auto"/>
          <w:kern w:val="0"/>
          <w:sz w:val="24"/>
          <w:szCs w:val="24"/>
          <w:highlight w:val="none"/>
        </w:rPr>
        <w:t xml:space="preserve"> 拟派专职安全生产管理人员须具备有效安全生产考核合格证明（C证，安全生产考核合格证书或“广东省建筑施工企业管理人员安全生产考核信息系统”考核合格信息打印页），且不少于</w:t>
      </w:r>
      <w:r>
        <w:rPr>
          <w:rFonts w:hint="eastAsia" w:ascii="宋体" w:hAnsi="宋体" w:eastAsia="宋体" w:cs="宋体"/>
          <w:b/>
          <w:bCs/>
          <w:snapToGrid w:val="0"/>
          <w:color w:val="auto"/>
          <w:kern w:val="0"/>
          <w:sz w:val="24"/>
          <w:szCs w:val="24"/>
          <w:highlight w:val="none"/>
          <w:u w:val="single"/>
        </w:rPr>
        <w:t xml:space="preserve"> </w:t>
      </w:r>
      <w:r>
        <w:rPr>
          <w:rFonts w:hint="eastAsia" w:ascii="宋体" w:hAnsi="宋体" w:eastAsia="宋体" w:cs="宋体"/>
          <w:b w:val="0"/>
          <w:bCs w:val="0"/>
          <w:snapToGrid w:val="0"/>
          <w:color w:val="auto"/>
          <w:kern w:val="0"/>
          <w:sz w:val="24"/>
          <w:szCs w:val="24"/>
          <w:highlight w:val="none"/>
          <w:u w:val="single"/>
          <w:lang w:val="en-US" w:eastAsia="zh-CN"/>
        </w:rPr>
        <w:t>1</w:t>
      </w:r>
      <w:r>
        <w:rPr>
          <w:rFonts w:hint="eastAsia" w:ascii="宋体" w:hAnsi="宋体" w:eastAsia="宋体" w:cs="宋体"/>
          <w:b w:val="0"/>
          <w:bCs w:val="0"/>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 xml:space="preserve">人。 </w:t>
      </w:r>
    </w:p>
    <w:p w14:paraId="3053D1C5">
      <w:pPr>
        <w:pStyle w:val="136"/>
        <w:pageBreakBefore w:val="0"/>
        <w:kinsoku/>
        <w:wordWrap w:val="0"/>
        <w:overflowPunct/>
        <w:topLinePunct w:val="0"/>
        <w:autoSpaceDE/>
        <w:autoSpaceDN/>
        <w:bidi w:val="0"/>
        <w:adjustRightInd w:val="0"/>
        <w:snapToGrid w:val="0"/>
        <w:spacing w:line="360" w:lineRule="auto"/>
        <w:ind w:left="0" w:leftChars="0" w:right="0" w:firstLine="482"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2.3.4</w:t>
      </w:r>
      <w:r>
        <w:rPr>
          <w:rFonts w:hint="eastAsia" w:ascii="宋体" w:hAnsi="宋体" w:eastAsia="宋体" w:cs="宋体"/>
          <w:snapToGrid w:val="0"/>
          <w:color w:val="auto"/>
          <w:kern w:val="0"/>
          <w:sz w:val="24"/>
          <w:szCs w:val="24"/>
          <w:highlight w:val="none"/>
        </w:rPr>
        <w:t xml:space="preserve"> 投标人与其拟派往本项目管理机构的所有人员之间必须具备合法、唯一的劳动聘用关系（提供社保证明或劳动合同）。拟派人员中具备注册执业资格的，其注册单位须与投标人保持一致。</w:t>
      </w:r>
    </w:p>
    <w:p w14:paraId="2D1FB1FB">
      <w:pPr>
        <w:pStyle w:val="136"/>
        <w:pageBreakBefore w:val="0"/>
        <w:kinsoku/>
        <w:wordWrap w:val="0"/>
        <w:overflowPunct/>
        <w:topLinePunct w:val="0"/>
        <w:autoSpaceDE/>
        <w:autoSpaceDN/>
        <w:bidi w:val="0"/>
        <w:adjustRightInd w:val="0"/>
        <w:snapToGrid w:val="0"/>
        <w:spacing w:line="360" w:lineRule="auto"/>
        <w:ind w:left="0" w:leftChars="0" w:right="0" w:firstLine="482"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2.4</w:t>
      </w:r>
      <w:r>
        <w:rPr>
          <w:rFonts w:hint="eastAsia" w:ascii="宋体" w:hAnsi="宋体" w:eastAsia="宋体" w:cs="宋体"/>
          <w:snapToGrid w:val="0"/>
          <w:color w:val="auto"/>
          <w:kern w:val="0"/>
          <w:sz w:val="24"/>
          <w:szCs w:val="24"/>
          <w:highlight w:val="none"/>
        </w:rPr>
        <w:t xml:space="preserve"> 禁止投标条款</w:t>
      </w:r>
    </w:p>
    <w:p w14:paraId="0C20DC31">
      <w:pPr>
        <w:pStyle w:val="136"/>
        <w:pageBreakBefore w:val="0"/>
        <w:kinsoku/>
        <w:wordWrap w:val="0"/>
        <w:overflowPunct/>
        <w:topLinePunct w:val="0"/>
        <w:autoSpaceDE/>
        <w:autoSpaceDN/>
        <w:bidi w:val="0"/>
        <w:adjustRightInd w:val="0"/>
        <w:snapToGrid w:val="0"/>
        <w:spacing w:line="360" w:lineRule="auto"/>
        <w:ind w:left="0" w:leftChars="0" w:right="0" w:firstLine="482"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2.4.1</w:t>
      </w:r>
      <w:r>
        <w:rPr>
          <w:rFonts w:hint="eastAsia" w:ascii="宋体" w:hAnsi="宋体" w:eastAsia="宋体" w:cs="宋体"/>
          <w:snapToGrid w:val="0"/>
          <w:color w:val="auto"/>
          <w:kern w:val="0"/>
          <w:sz w:val="24"/>
          <w:szCs w:val="24"/>
          <w:highlight w:val="none"/>
        </w:rPr>
        <w:t xml:space="preserve"> 投标人不得存在下列情形之一：</w:t>
      </w:r>
    </w:p>
    <w:p w14:paraId="5A630184">
      <w:pPr>
        <w:pStyle w:val="136"/>
        <w:pageBreakBefore w:val="0"/>
        <w:kinsoku/>
        <w:wordWrap w:val="0"/>
        <w:overflowPunct/>
        <w:topLinePunct w:val="0"/>
        <w:autoSpaceDE/>
        <w:autoSpaceDN/>
        <w:bidi w:val="0"/>
        <w:adjustRightInd w:val="0"/>
        <w:snapToGrid w:val="0"/>
        <w:spacing w:line="360" w:lineRule="auto"/>
        <w:ind w:left="0" w:leftChars="0" w:right="0"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（1）为招标人不具有独立法人资格的附属机构（单位）；</w:t>
      </w:r>
    </w:p>
    <w:p w14:paraId="37AACD8F">
      <w:pPr>
        <w:pStyle w:val="136"/>
        <w:pageBreakBefore w:val="0"/>
        <w:kinsoku/>
        <w:wordWrap w:val="0"/>
        <w:overflowPunct/>
        <w:topLinePunct w:val="0"/>
        <w:autoSpaceDE/>
        <w:autoSpaceDN/>
        <w:bidi w:val="0"/>
        <w:adjustRightInd w:val="0"/>
        <w:snapToGrid w:val="0"/>
        <w:spacing w:line="360" w:lineRule="auto"/>
        <w:ind w:left="0" w:leftChars="0" w:right="0"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（2）为本招标项目前期准备提供设计或咨询服务的；</w:t>
      </w:r>
    </w:p>
    <w:p w14:paraId="6ED5380C">
      <w:pPr>
        <w:pStyle w:val="136"/>
        <w:pageBreakBefore w:val="0"/>
        <w:kinsoku/>
        <w:wordWrap w:val="0"/>
        <w:overflowPunct/>
        <w:topLinePunct w:val="0"/>
        <w:autoSpaceDE/>
        <w:autoSpaceDN/>
        <w:bidi w:val="0"/>
        <w:adjustRightInd w:val="0"/>
        <w:snapToGrid w:val="0"/>
        <w:spacing w:line="360" w:lineRule="auto"/>
        <w:ind w:left="0" w:leftChars="0" w:right="0"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（3）与本招标项目的其他投标人为同一个单位负责人；</w:t>
      </w:r>
    </w:p>
    <w:p w14:paraId="45D1E826">
      <w:pPr>
        <w:pStyle w:val="136"/>
        <w:pageBreakBefore w:val="0"/>
        <w:kinsoku/>
        <w:wordWrap w:val="0"/>
        <w:overflowPunct/>
        <w:topLinePunct w:val="0"/>
        <w:autoSpaceDE/>
        <w:autoSpaceDN/>
        <w:bidi w:val="0"/>
        <w:adjustRightInd w:val="0"/>
        <w:snapToGrid w:val="0"/>
        <w:spacing w:line="360" w:lineRule="auto"/>
        <w:ind w:left="0" w:leftChars="0" w:right="0"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（4）与本招标项目的其他投标人存在控股、管理关系；</w:t>
      </w:r>
    </w:p>
    <w:p w14:paraId="48C03CCF">
      <w:pPr>
        <w:pStyle w:val="136"/>
        <w:pageBreakBefore w:val="0"/>
        <w:kinsoku/>
        <w:wordWrap w:val="0"/>
        <w:overflowPunct/>
        <w:topLinePunct w:val="0"/>
        <w:autoSpaceDE/>
        <w:autoSpaceDN/>
        <w:bidi w:val="0"/>
        <w:adjustRightInd w:val="0"/>
        <w:snapToGrid w:val="0"/>
        <w:spacing w:line="360" w:lineRule="auto"/>
        <w:ind w:left="0" w:leftChars="0" w:right="0"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（5）为本招标项目的监理人；</w:t>
      </w:r>
    </w:p>
    <w:p w14:paraId="26427379">
      <w:pPr>
        <w:pStyle w:val="136"/>
        <w:pageBreakBefore w:val="0"/>
        <w:kinsoku/>
        <w:wordWrap w:val="0"/>
        <w:overflowPunct/>
        <w:topLinePunct w:val="0"/>
        <w:autoSpaceDE/>
        <w:autoSpaceDN/>
        <w:bidi w:val="0"/>
        <w:adjustRightInd w:val="0"/>
        <w:snapToGrid w:val="0"/>
        <w:spacing w:line="360" w:lineRule="auto"/>
        <w:ind w:left="0" w:leftChars="0" w:right="0"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（6）为本招标项目的代建人；</w:t>
      </w:r>
    </w:p>
    <w:p w14:paraId="21AD29A6">
      <w:pPr>
        <w:pStyle w:val="136"/>
        <w:pageBreakBefore w:val="0"/>
        <w:kinsoku/>
        <w:wordWrap w:val="0"/>
        <w:overflowPunct/>
        <w:topLinePunct w:val="0"/>
        <w:autoSpaceDE/>
        <w:autoSpaceDN/>
        <w:bidi w:val="0"/>
        <w:adjustRightInd w:val="0"/>
        <w:snapToGrid w:val="0"/>
        <w:spacing w:line="360" w:lineRule="auto"/>
        <w:ind w:left="0" w:leftChars="0" w:right="0"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（7）为本招标项目的招标代理机构；</w:t>
      </w:r>
    </w:p>
    <w:p w14:paraId="32386F3B">
      <w:pPr>
        <w:pStyle w:val="136"/>
        <w:pageBreakBefore w:val="0"/>
        <w:kinsoku/>
        <w:wordWrap w:val="0"/>
        <w:overflowPunct/>
        <w:topLinePunct w:val="0"/>
        <w:autoSpaceDE/>
        <w:autoSpaceDN/>
        <w:bidi w:val="0"/>
        <w:adjustRightInd w:val="0"/>
        <w:snapToGrid w:val="0"/>
        <w:spacing w:line="360" w:lineRule="auto"/>
        <w:ind w:left="0" w:leftChars="0" w:right="0"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（8）与本招标项目的监理人或代建人或招标代理机构同为一个法定代表人；</w:t>
      </w:r>
    </w:p>
    <w:p w14:paraId="6E6DF385">
      <w:pPr>
        <w:pStyle w:val="136"/>
        <w:pageBreakBefore w:val="0"/>
        <w:kinsoku/>
        <w:wordWrap w:val="0"/>
        <w:overflowPunct/>
        <w:topLinePunct w:val="0"/>
        <w:autoSpaceDE/>
        <w:autoSpaceDN/>
        <w:bidi w:val="0"/>
        <w:adjustRightInd w:val="0"/>
        <w:snapToGrid w:val="0"/>
        <w:spacing w:line="360" w:lineRule="auto"/>
        <w:ind w:left="0" w:leftChars="0" w:right="0"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（9）与本招标项目的监理人或代建人或招标代理机构存在控股或参股关系；</w:t>
      </w:r>
    </w:p>
    <w:p w14:paraId="676F3247">
      <w:pPr>
        <w:pStyle w:val="136"/>
        <w:pageBreakBefore w:val="0"/>
        <w:kinsoku/>
        <w:wordWrap w:val="0"/>
        <w:overflowPunct/>
        <w:topLinePunct w:val="0"/>
        <w:autoSpaceDE/>
        <w:autoSpaceDN/>
        <w:bidi w:val="0"/>
        <w:adjustRightInd w:val="0"/>
        <w:snapToGrid w:val="0"/>
        <w:spacing w:line="360" w:lineRule="auto"/>
        <w:ind w:left="0" w:leftChars="0" w:right="0"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（10）与本招标项目的监理人或代建人或招标代理机构存在相互任职或工作关系；</w:t>
      </w:r>
    </w:p>
    <w:p w14:paraId="1AABBAF7">
      <w:pPr>
        <w:pStyle w:val="136"/>
        <w:pageBreakBefore w:val="0"/>
        <w:kinsoku/>
        <w:wordWrap w:val="0"/>
        <w:overflowPunct/>
        <w:topLinePunct w:val="0"/>
        <w:autoSpaceDE/>
        <w:autoSpaceDN/>
        <w:bidi w:val="0"/>
        <w:adjustRightInd w:val="0"/>
        <w:snapToGrid w:val="0"/>
        <w:spacing w:line="360" w:lineRule="auto"/>
        <w:ind w:left="0" w:leftChars="0" w:right="0"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（11）被依法暂停或者取消投标资格；</w:t>
      </w:r>
    </w:p>
    <w:p w14:paraId="42A8425B">
      <w:pPr>
        <w:pStyle w:val="136"/>
        <w:pageBreakBefore w:val="0"/>
        <w:kinsoku/>
        <w:wordWrap w:val="0"/>
        <w:overflowPunct/>
        <w:topLinePunct w:val="0"/>
        <w:autoSpaceDE/>
        <w:autoSpaceDN/>
        <w:bidi w:val="0"/>
        <w:adjustRightInd w:val="0"/>
        <w:snapToGrid w:val="0"/>
        <w:spacing w:line="360" w:lineRule="auto"/>
        <w:ind w:left="0" w:leftChars="0" w:right="0"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（12）被责令停产停业、暂扣或者吊销许可证、暂扣或者吊销执照；</w:t>
      </w:r>
    </w:p>
    <w:p w14:paraId="4E7DF616">
      <w:pPr>
        <w:pStyle w:val="136"/>
        <w:pageBreakBefore w:val="0"/>
        <w:kinsoku/>
        <w:wordWrap w:val="0"/>
        <w:overflowPunct/>
        <w:topLinePunct w:val="0"/>
        <w:autoSpaceDE/>
        <w:autoSpaceDN/>
        <w:bidi w:val="0"/>
        <w:adjustRightInd w:val="0"/>
        <w:snapToGrid w:val="0"/>
        <w:spacing w:line="360" w:lineRule="auto"/>
        <w:ind w:left="0" w:leftChars="0" w:right="0"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（13）进入清算程序，或被宣告破产，或其他丧失履约能力的情形；</w:t>
      </w:r>
    </w:p>
    <w:p w14:paraId="4A09F6A2">
      <w:pPr>
        <w:pStyle w:val="136"/>
        <w:pageBreakBefore w:val="0"/>
        <w:kinsoku/>
        <w:wordWrap w:val="0"/>
        <w:overflowPunct/>
        <w:topLinePunct w:val="0"/>
        <w:autoSpaceDE/>
        <w:autoSpaceDN/>
        <w:bidi w:val="0"/>
        <w:adjustRightInd w:val="0"/>
        <w:snapToGrid w:val="0"/>
        <w:spacing w:line="360" w:lineRule="auto"/>
        <w:ind w:left="0" w:leftChars="0" w:right="0"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（14）在最近三年内发生重大工程质量或安全问题（以相关行业主管部门的行政处罚决定或司法机关出具的有关法律文书为准）；</w:t>
      </w:r>
    </w:p>
    <w:p w14:paraId="3FAD7B02">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（15）被“信用中国”网站（https://www.creditchina.gov.cn）发布的《</w:t>
      </w:r>
      <w:r>
        <w:rPr>
          <w:rFonts w:hint="eastAsia" w:ascii="宋体" w:hAnsi="宋体" w:eastAsia="宋体" w:cs="宋体"/>
          <w:snapToGrid w:val="0"/>
          <w:color w:val="auto"/>
          <w:kern w:val="0"/>
          <w:sz w:val="24"/>
          <w:szCs w:val="24"/>
          <w:highlight w:val="none"/>
          <w:lang w:eastAsia="zh-CN"/>
        </w:rPr>
        <w:t>法人和非法人组织公共信用信息报告</w:t>
      </w:r>
      <w:r>
        <w:rPr>
          <w:rFonts w:hint="eastAsia" w:ascii="宋体" w:hAnsi="宋体" w:eastAsia="宋体" w:cs="宋体"/>
          <w:snapToGrid w:val="0"/>
          <w:color w:val="auto"/>
          <w:kern w:val="0"/>
          <w:sz w:val="24"/>
          <w:szCs w:val="24"/>
          <w:highlight w:val="none"/>
        </w:rPr>
        <w:t>》列为严重失信主体名单的。</w:t>
      </w:r>
    </w:p>
    <w:p w14:paraId="71572E26">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rPr>
        <w:t>2.4.2</w:t>
      </w:r>
      <w:r>
        <w:rPr>
          <w:rFonts w:hint="eastAsia" w:ascii="宋体" w:hAnsi="宋体" w:eastAsia="宋体" w:cs="宋体"/>
          <w:snapToGrid w:val="0"/>
          <w:color w:val="auto"/>
          <w:kern w:val="0"/>
          <w:sz w:val="24"/>
          <w:szCs w:val="24"/>
          <w:highlight w:val="none"/>
        </w:rPr>
        <w:t xml:space="preserve"> 招标人拒绝以下名单中的单位参加本次投标：</w:t>
      </w:r>
    </w:p>
    <w:tbl>
      <w:tblPr>
        <w:tblStyle w:val="30"/>
        <w:tblW w:w="88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4368"/>
        <w:gridCol w:w="3690"/>
      </w:tblGrid>
      <w:tr w14:paraId="07968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765" w:type="dxa"/>
            <w:noWrap w:val="0"/>
            <w:vAlign w:val="center"/>
          </w:tcPr>
          <w:p w14:paraId="25A1B51C">
            <w:pPr>
              <w:pageBreakBefore w:val="0"/>
              <w:kinsoku/>
              <w:wordWrap w:val="0"/>
              <w:overflowPunct/>
              <w:topLinePunct w:val="0"/>
              <w:autoSpaceDE/>
              <w:autoSpaceDN/>
              <w:bidi w:val="0"/>
              <w:adjustRightInd w:val="0"/>
              <w:snapToGrid w:val="0"/>
              <w:spacing w:line="360" w:lineRule="auto"/>
              <w:ind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4368" w:type="dxa"/>
            <w:noWrap w:val="0"/>
            <w:vAlign w:val="center"/>
          </w:tcPr>
          <w:p w14:paraId="02669242">
            <w:pPr>
              <w:pageBreakBefore w:val="0"/>
              <w:kinsoku/>
              <w:wordWrap w:val="0"/>
              <w:overflowPunct/>
              <w:topLinePunct w:val="0"/>
              <w:autoSpaceDE/>
              <w:autoSpaceDN/>
              <w:bidi w:val="0"/>
              <w:adjustRightInd w:val="0"/>
              <w:snapToGrid w:val="0"/>
              <w:spacing w:line="360" w:lineRule="auto"/>
              <w:ind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单位名称</w:t>
            </w:r>
          </w:p>
        </w:tc>
        <w:tc>
          <w:tcPr>
            <w:tcW w:w="3690" w:type="dxa"/>
            <w:noWrap w:val="0"/>
            <w:vAlign w:val="center"/>
          </w:tcPr>
          <w:p w14:paraId="7C48B829">
            <w:pPr>
              <w:pageBreakBefore w:val="0"/>
              <w:kinsoku/>
              <w:wordWrap w:val="0"/>
              <w:overflowPunct/>
              <w:topLinePunct w:val="0"/>
              <w:autoSpaceDE/>
              <w:autoSpaceDN/>
              <w:bidi w:val="0"/>
              <w:adjustRightInd w:val="0"/>
              <w:snapToGrid w:val="0"/>
              <w:spacing w:line="360" w:lineRule="auto"/>
              <w:ind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拒绝原因</w:t>
            </w:r>
          </w:p>
        </w:tc>
      </w:tr>
      <w:tr w14:paraId="3057E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765" w:type="dxa"/>
            <w:noWrap w:val="0"/>
            <w:vAlign w:val="center"/>
          </w:tcPr>
          <w:p w14:paraId="4336E695">
            <w:pPr>
              <w:pStyle w:val="136"/>
              <w:keepNext w:val="0"/>
              <w:keepLines w:val="0"/>
              <w:pageBreakBefore w:val="0"/>
              <w:widowControl w:val="0"/>
              <w:kinsoku/>
              <w:wordWrap w:val="0"/>
              <w:overflowPunct/>
              <w:topLinePunct w:val="0"/>
              <w:autoSpaceDE/>
              <w:autoSpaceDN/>
              <w:bidi w:val="0"/>
              <w:adjustRightInd w:val="0"/>
              <w:snapToGrid w:val="0"/>
              <w:spacing w:line="360" w:lineRule="auto"/>
              <w:ind w:left="0" w:leftChars="0" w:right="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p>
        </w:tc>
        <w:tc>
          <w:tcPr>
            <w:tcW w:w="4368" w:type="dxa"/>
            <w:noWrap w:val="0"/>
            <w:vAlign w:val="center"/>
          </w:tcPr>
          <w:p w14:paraId="1374F252">
            <w:pPr>
              <w:pageBreakBefore w:val="0"/>
              <w:tabs>
                <w:tab w:val="left" w:pos="1180"/>
              </w:tabs>
              <w:kinsoku/>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开复项目管理有限公司</w:t>
            </w:r>
          </w:p>
        </w:tc>
        <w:tc>
          <w:tcPr>
            <w:tcW w:w="3690" w:type="dxa"/>
            <w:noWrap w:val="0"/>
            <w:vAlign w:val="center"/>
          </w:tcPr>
          <w:p w14:paraId="03F38670">
            <w:pPr>
              <w:pStyle w:val="136"/>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为本招标项目的</w:t>
            </w:r>
            <w:r>
              <w:rPr>
                <w:rFonts w:hint="eastAsia" w:ascii="宋体" w:hAnsi="宋体" w:eastAsia="宋体" w:cs="宋体"/>
                <w:color w:val="auto"/>
                <w:sz w:val="24"/>
                <w:szCs w:val="24"/>
                <w:highlight w:val="none"/>
                <w:lang w:val="en-US" w:eastAsia="zh-CN"/>
              </w:rPr>
              <w:t>造价</w:t>
            </w:r>
            <w:r>
              <w:rPr>
                <w:rFonts w:hint="eastAsia" w:ascii="宋体" w:hAnsi="宋体" w:eastAsia="宋体" w:cs="宋体"/>
                <w:color w:val="auto"/>
                <w:sz w:val="24"/>
                <w:szCs w:val="24"/>
                <w:highlight w:val="none"/>
              </w:rPr>
              <w:t>单位</w:t>
            </w:r>
          </w:p>
        </w:tc>
      </w:tr>
      <w:tr w14:paraId="0E4C7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765" w:type="dxa"/>
            <w:noWrap w:val="0"/>
            <w:vAlign w:val="center"/>
          </w:tcPr>
          <w:p w14:paraId="69099EE8">
            <w:pPr>
              <w:pStyle w:val="136"/>
              <w:keepNext w:val="0"/>
              <w:keepLines w:val="0"/>
              <w:pageBreakBefore w:val="0"/>
              <w:widowControl w:val="0"/>
              <w:kinsoku/>
              <w:wordWrap w:val="0"/>
              <w:overflowPunct/>
              <w:topLinePunct w:val="0"/>
              <w:autoSpaceDE/>
              <w:autoSpaceDN/>
              <w:bidi w:val="0"/>
              <w:adjustRightInd w:val="0"/>
              <w:snapToGrid w:val="0"/>
              <w:spacing w:line="360" w:lineRule="auto"/>
              <w:ind w:left="0" w:leftChars="0" w:right="0" w:firstLine="0" w:firstLineChars="0"/>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2</w:t>
            </w:r>
          </w:p>
        </w:tc>
        <w:tc>
          <w:tcPr>
            <w:tcW w:w="4368" w:type="dxa"/>
            <w:noWrap w:val="0"/>
            <w:vAlign w:val="center"/>
          </w:tcPr>
          <w:p w14:paraId="4F1D218D">
            <w:pPr>
              <w:pageBreakBefore w:val="0"/>
              <w:tabs>
                <w:tab w:val="left" w:pos="1180"/>
              </w:tabs>
              <w:kinsoku/>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中亿国际设计集团有限公司</w:t>
            </w:r>
          </w:p>
        </w:tc>
        <w:tc>
          <w:tcPr>
            <w:tcW w:w="3690" w:type="dxa"/>
            <w:noWrap w:val="0"/>
            <w:vAlign w:val="center"/>
          </w:tcPr>
          <w:p w14:paraId="7655CC5B">
            <w:pPr>
              <w:pStyle w:val="136"/>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为本招标项目的设计单位</w:t>
            </w:r>
          </w:p>
        </w:tc>
      </w:tr>
      <w:tr w14:paraId="47685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765" w:type="dxa"/>
            <w:noWrap w:val="0"/>
            <w:vAlign w:val="center"/>
          </w:tcPr>
          <w:p w14:paraId="1EEFA53E">
            <w:pPr>
              <w:pStyle w:val="136"/>
              <w:keepNext w:val="0"/>
              <w:keepLines w:val="0"/>
              <w:pageBreakBefore w:val="0"/>
              <w:widowControl w:val="0"/>
              <w:kinsoku/>
              <w:wordWrap w:val="0"/>
              <w:overflowPunct/>
              <w:topLinePunct w:val="0"/>
              <w:autoSpaceDE/>
              <w:autoSpaceDN/>
              <w:bidi w:val="0"/>
              <w:adjustRightInd w:val="0"/>
              <w:snapToGrid w:val="0"/>
              <w:spacing w:line="360" w:lineRule="auto"/>
              <w:ind w:left="0" w:leftChars="0" w:right="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w:t>
            </w:r>
          </w:p>
        </w:tc>
        <w:tc>
          <w:tcPr>
            <w:tcW w:w="4368" w:type="dxa"/>
            <w:noWrap w:val="0"/>
            <w:vAlign w:val="center"/>
          </w:tcPr>
          <w:p w14:paraId="50679C12">
            <w:pPr>
              <w:pStyle w:val="136"/>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eastAsia="zh-CN"/>
              </w:rPr>
              <w:t>广东穗源工程项目管理有限公司</w:t>
            </w:r>
          </w:p>
        </w:tc>
        <w:tc>
          <w:tcPr>
            <w:tcW w:w="3690" w:type="dxa"/>
            <w:noWrap w:val="0"/>
            <w:vAlign w:val="center"/>
          </w:tcPr>
          <w:p w14:paraId="1ADDACC2">
            <w:pPr>
              <w:pStyle w:val="136"/>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为本招标项目的招标代理机构</w:t>
            </w:r>
          </w:p>
        </w:tc>
      </w:tr>
      <w:tr w14:paraId="3C113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765" w:type="dxa"/>
            <w:noWrap w:val="0"/>
            <w:vAlign w:val="center"/>
          </w:tcPr>
          <w:p w14:paraId="1E8109E4">
            <w:pPr>
              <w:pStyle w:val="136"/>
              <w:keepNext w:val="0"/>
              <w:keepLines w:val="0"/>
              <w:pageBreakBefore w:val="0"/>
              <w:widowControl w:val="0"/>
              <w:kinsoku/>
              <w:wordWrap w:val="0"/>
              <w:overflowPunct/>
              <w:topLinePunct w:val="0"/>
              <w:autoSpaceDE/>
              <w:autoSpaceDN/>
              <w:bidi w:val="0"/>
              <w:adjustRightInd w:val="0"/>
              <w:snapToGrid w:val="0"/>
              <w:spacing w:line="360" w:lineRule="auto"/>
              <w:ind w:left="0" w:leftChars="0" w:right="0" w:firstLine="0" w:firstLineChars="0"/>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4</w:t>
            </w:r>
          </w:p>
        </w:tc>
        <w:tc>
          <w:tcPr>
            <w:tcW w:w="4368" w:type="dxa"/>
            <w:noWrap w:val="0"/>
            <w:vAlign w:val="center"/>
          </w:tcPr>
          <w:p w14:paraId="64368625">
            <w:pPr>
              <w:pStyle w:val="136"/>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eastAsia="zh-CN"/>
              </w:rPr>
              <w:t>乐昌市白石镇人民政府</w:t>
            </w:r>
          </w:p>
        </w:tc>
        <w:tc>
          <w:tcPr>
            <w:tcW w:w="3690" w:type="dxa"/>
            <w:noWrap w:val="0"/>
            <w:vAlign w:val="center"/>
          </w:tcPr>
          <w:p w14:paraId="2198F98C">
            <w:pPr>
              <w:pStyle w:val="136"/>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为本招标项目的招标人</w:t>
            </w:r>
          </w:p>
        </w:tc>
      </w:tr>
      <w:tr w14:paraId="44FAE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765" w:type="dxa"/>
            <w:noWrap w:val="0"/>
            <w:vAlign w:val="center"/>
          </w:tcPr>
          <w:p w14:paraId="462D0013">
            <w:pPr>
              <w:pStyle w:val="136"/>
              <w:keepNext w:val="0"/>
              <w:keepLines w:val="0"/>
              <w:pageBreakBefore w:val="0"/>
              <w:widowControl w:val="0"/>
              <w:kinsoku/>
              <w:wordWrap w:val="0"/>
              <w:overflowPunct/>
              <w:topLinePunct w:val="0"/>
              <w:autoSpaceDE/>
              <w:autoSpaceDN/>
              <w:bidi w:val="0"/>
              <w:adjustRightInd w:val="0"/>
              <w:snapToGrid w:val="0"/>
              <w:spacing w:line="360" w:lineRule="auto"/>
              <w:ind w:left="0" w:leftChars="0" w:right="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w:t>
            </w:r>
          </w:p>
        </w:tc>
        <w:tc>
          <w:tcPr>
            <w:tcW w:w="4368" w:type="dxa"/>
            <w:noWrap w:val="0"/>
            <w:vAlign w:val="center"/>
          </w:tcPr>
          <w:p w14:paraId="53A63BE4">
            <w:pPr>
              <w:pStyle w:val="136"/>
              <w:wordWrap w:val="0"/>
              <w:adjustRightInd w:val="0"/>
              <w:snapToGrid w:val="0"/>
              <w:spacing w:line="360" w:lineRule="auto"/>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乐昌市农业农村局(乐昌市乡村振兴局)</w:t>
            </w:r>
          </w:p>
        </w:tc>
        <w:tc>
          <w:tcPr>
            <w:tcW w:w="3690" w:type="dxa"/>
            <w:noWrap w:val="0"/>
            <w:vAlign w:val="center"/>
          </w:tcPr>
          <w:p w14:paraId="02D74343">
            <w:pPr>
              <w:pStyle w:val="136"/>
              <w:wordWrap w:val="0"/>
              <w:adjustRightInd w:val="0"/>
              <w:snapToGrid w:val="0"/>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snapToGrid w:val="0"/>
                <w:color w:val="auto"/>
                <w:kern w:val="0"/>
                <w:sz w:val="24"/>
                <w:szCs w:val="24"/>
                <w:highlight w:val="none"/>
              </w:rPr>
              <w:t>为本招标项目的</w:t>
            </w:r>
            <w:r>
              <w:rPr>
                <w:rFonts w:hint="eastAsia" w:ascii="宋体" w:hAnsi="宋体" w:eastAsia="宋体" w:cs="宋体"/>
                <w:snapToGrid w:val="0"/>
                <w:color w:val="auto"/>
                <w:kern w:val="0"/>
                <w:sz w:val="24"/>
                <w:szCs w:val="24"/>
                <w:highlight w:val="none"/>
                <w:lang w:val="en-US" w:eastAsia="zh-CN"/>
              </w:rPr>
              <w:t>监督单位</w:t>
            </w:r>
          </w:p>
        </w:tc>
      </w:tr>
      <w:tr w14:paraId="3241D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765" w:type="dxa"/>
            <w:noWrap w:val="0"/>
            <w:vAlign w:val="center"/>
          </w:tcPr>
          <w:p w14:paraId="272061D0">
            <w:pPr>
              <w:pStyle w:val="136"/>
              <w:keepNext w:val="0"/>
              <w:keepLines w:val="0"/>
              <w:pageBreakBefore w:val="0"/>
              <w:widowControl w:val="0"/>
              <w:kinsoku/>
              <w:wordWrap w:val="0"/>
              <w:overflowPunct/>
              <w:topLinePunct w:val="0"/>
              <w:autoSpaceDE/>
              <w:autoSpaceDN/>
              <w:bidi w:val="0"/>
              <w:adjustRightInd w:val="0"/>
              <w:snapToGrid w:val="0"/>
              <w:spacing w:line="360" w:lineRule="auto"/>
              <w:ind w:left="0" w:leftChars="0" w:right="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w:t>
            </w:r>
          </w:p>
        </w:tc>
        <w:tc>
          <w:tcPr>
            <w:tcW w:w="4368" w:type="dxa"/>
            <w:noWrap w:val="0"/>
            <w:vAlign w:val="center"/>
          </w:tcPr>
          <w:p w14:paraId="4765AB9D">
            <w:pPr>
              <w:pStyle w:val="136"/>
              <w:wordWrap w:val="0"/>
              <w:adjustRightInd w:val="0"/>
              <w:snapToGrid w:val="0"/>
              <w:spacing w:line="360" w:lineRule="auto"/>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广东粤能工程管理有限公司</w:t>
            </w:r>
          </w:p>
        </w:tc>
        <w:tc>
          <w:tcPr>
            <w:tcW w:w="3690" w:type="dxa"/>
            <w:noWrap w:val="0"/>
            <w:vAlign w:val="center"/>
          </w:tcPr>
          <w:p w14:paraId="14C39424">
            <w:pPr>
              <w:pStyle w:val="136"/>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为本招标项目的</w:t>
            </w:r>
            <w:r>
              <w:rPr>
                <w:rFonts w:hint="eastAsia" w:ascii="宋体" w:hAnsi="宋体" w:eastAsia="宋体" w:cs="宋体"/>
                <w:snapToGrid w:val="0"/>
                <w:color w:val="auto"/>
                <w:kern w:val="0"/>
                <w:sz w:val="24"/>
                <w:szCs w:val="24"/>
                <w:highlight w:val="none"/>
                <w:lang w:val="en-US" w:eastAsia="zh-CN"/>
              </w:rPr>
              <w:t>可研编制单位</w:t>
            </w:r>
          </w:p>
        </w:tc>
      </w:tr>
    </w:tbl>
    <w:p w14:paraId="5E9B2F75">
      <w:pPr>
        <w:pageBreakBefore w:val="0"/>
        <w:tabs>
          <w:tab w:val="left" w:pos="7020"/>
        </w:tabs>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2.5</w:t>
      </w:r>
      <w:r>
        <w:rPr>
          <w:rFonts w:hint="eastAsia" w:ascii="宋体" w:hAnsi="宋体" w:eastAsia="宋体" w:cs="宋体"/>
          <w:snapToGrid w:val="0"/>
          <w:color w:val="auto"/>
          <w:kern w:val="0"/>
          <w:sz w:val="24"/>
          <w:szCs w:val="24"/>
          <w:highlight w:val="none"/>
        </w:rPr>
        <w:t xml:space="preserve"> 其他要求</w:t>
      </w:r>
    </w:p>
    <w:p w14:paraId="3ED53606">
      <w:pPr>
        <w:pageBreakBefore w:val="0"/>
        <w:tabs>
          <w:tab w:val="left" w:pos="7020"/>
        </w:tabs>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color w:val="auto"/>
          <w:sz w:val="24"/>
          <w:szCs w:val="24"/>
        </w:rPr>
      </w:pPr>
      <w:r>
        <w:rPr>
          <w:rFonts w:hint="eastAsia" w:ascii="宋体" w:hAnsi="宋体" w:eastAsia="宋体" w:cs="宋体"/>
          <w:snapToGrid w:val="0"/>
          <w:color w:val="auto"/>
          <w:kern w:val="0"/>
          <w:sz w:val="24"/>
          <w:szCs w:val="24"/>
          <w:highlight w:val="none"/>
        </w:rPr>
        <w:t>省外企业及其拟派往本项目管理机构的所有人员均须按照《广东省住房和城乡建设厅关于取消省外建筑企业和人员进粤信息备案有关工作的通知》（粤建市﹝2015﹞52号）规定在“进粤企业和人员诚信信息登记平台”录入相关信息并通过数据规范检查。</w:t>
      </w:r>
      <w:bookmarkStart w:id="44" w:name="_Toc22815"/>
      <w:bookmarkStart w:id="45" w:name="_Toc6745"/>
      <w:bookmarkStart w:id="46" w:name="_Toc4046"/>
      <w:bookmarkStart w:id="47" w:name="_Toc7546"/>
    </w:p>
    <w:p w14:paraId="09B3CBD5">
      <w:pPr>
        <w:rPr>
          <w:rFonts w:hint="eastAsia" w:ascii="宋体" w:hAnsi="宋体" w:eastAsia="宋体" w:cs="宋体"/>
          <w:color w:val="auto"/>
        </w:rPr>
      </w:pPr>
    </w:p>
    <w:p w14:paraId="50A33841">
      <w:pPr>
        <w:pStyle w:val="4"/>
        <w:keepNext/>
        <w:keepLines/>
        <w:pageBreakBefore w:val="0"/>
        <w:widowControl/>
        <w:kinsoku/>
        <w:wordWrap/>
        <w:overflowPunct/>
        <w:topLinePunct w:val="0"/>
        <w:autoSpaceDE/>
        <w:autoSpaceDN/>
        <w:bidi w:val="0"/>
        <w:adjustRightInd/>
        <w:snapToGrid/>
        <w:spacing w:beforeLines="0" w:afterLines="0" w:line="360" w:lineRule="auto"/>
        <w:ind w:left="0" w:leftChars="0" w:right="0" w:firstLine="482"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3．招标文件的获取</w:t>
      </w:r>
      <w:bookmarkEnd w:id="44"/>
      <w:bookmarkEnd w:id="45"/>
      <w:bookmarkEnd w:id="46"/>
      <w:bookmarkEnd w:id="47"/>
    </w:p>
    <w:p w14:paraId="1562302D">
      <w:pPr>
        <w:pageBreakBefore w:val="0"/>
        <w:tabs>
          <w:tab w:val="left" w:pos="7020"/>
        </w:tabs>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 xml:space="preserve">3.1 </w:t>
      </w:r>
      <w:r>
        <w:rPr>
          <w:rFonts w:hint="eastAsia" w:ascii="宋体" w:hAnsi="宋体" w:eastAsia="宋体" w:cs="宋体"/>
          <w:snapToGrid w:val="0"/>
          <w:color w:val="auto"/>
          <w:kern w:val="0"/>
          <w:sz w:val="24"/>
          <w:szCs w:val="24"/>
          <w:highlight w:val="none"/>
        </w:rPr>
        <w:t>本次招标实行电子投标。</w:t>
      </w:r>
    </w:p>
    <w:p w14:paraId="5028BEF8">
      <w:pPr>
        <w:pageBreakBefore w:val="0"/>
        <w:tabs>
          <w:tab w:val="left" w:pos="7020"/>
        </w:tabs>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b/>
          <w:bCs/>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本次招标实行电子投标。本项目招标文件随招标公告一并在</w:t>
      </w:r>
      <w:r>
        <w:rPr>
          <w:rFonts w:hint="eastAsia" w:ascii="宋体" w:hAnsi="宋体" w:eastAsia="宋体" w:cs="宋体"/>
          <w:snapToGrid w:val="0"/>
          <w:color w:val="auto"/>
          <w:kern w:val="0"/>
          <w:sz w:val="24"/>
          <w:szCs w:val="24"/>
          <w:highlight w:val="none"/>
          <w:lang w:eastAsia="zh-CN"/>
        </w:rPr>
        <w:t>全国公共资源交易平台（广东省·韶关市）（https://ygp.gdzwfw.gov.cn/ggzy-portal/#/440200/index）</w:t>
      </w:r>
      <w:r>
        <w:rPr>
          <w:rFonts w:hint="eastAsia" w:ascii="宋体" w:hAnsi="宋体" w:eastAsia="宋体" w:cs="宋体"/>
          <w:snapToGrid w:val="0"/>
          <w:color w:val="auto"/>
          <w:kern w:val="0"/>
          <w:sz w:val="24"/>
          <w:szCs w:val="24"/>
          <w:highlight w:val="none"/>
        </w:rPr>
        <w:t>网站发布。招标文件一经在</w:t>
      </w:r>
      <w:r>
        <w:rPr>
          <w:rFonts w:hint="eastAsia" w:ascii="宋体" w:hAnsi="宋体" w:eastAsia="宋体" w:cs="宋体"/>
          <w:snapToGrid w:val="0"/>
          <w:color w:val="auto"/>
          <w:kern w:val="0"/>
          <w:sz w:val="24"/>
          <w:szCs w:val="24"/>
          <w:highlight w:val="none"/>
          <w:lang w:eastAsia="zh-CN"/>
        </w:rPr>
        <w:t>全国公共资源交易平台（广东省·韶关市）</w:t>
      </w:r>
      <w:r>
        <w:rPr>
          <w:rFonts w:hint="eastAsia" w:ascii="宋体" w:hAnsi="宋体" w:eastAsia="宋体" w:cs="宋体"/>
          <w:snapToGrid w:val="0"/>
          <w:color w:val="auto"/>
          <w:kern w:val="0"/>
          <w:sz w:val="24"/>
          <w:szCs w:val="24"/>
          <w:highlight w:val="none"/>
        </w:rPr>
        <w:t>发布，视为</w:t>
      </w:r>
      <w:r>
        <w:rPr>
          <w:rFonts w:hint="eastAsia" w:ascii="宋体" w:hAnsi="宋体" w:eastAsia="宋体" w:cs="宋体"/>
          <w:snapToGrid w:val="0"/>
          <w:color w:val="auto"/>
          <w:kern w:val="0"/>
          <w:sz w:val="24"/>
          <w:szCs w:val="24"/>
          <w:highlight w:val="none"/>
          <w:lang w:eastAsia="zh-CN"/>
        </w:rPr>
        <w:t>发送</w:t>
      </w:r>
      <w:r>
        <w:rPr>
          <w:rFonts w:hint="eastAsia" w:ascii="宋体" w:hAnsi="宋体" w:eastAsia="宋体" w:cs="宋体"/>
          <w:snapToGrid w:val="0"/>
          <w:color w:val="auto"/>
          <w:kern w:val="0"/>
          <w:sz w:val="24"/>
          <w:szCs w:val="24"/>
          <w:highlight w:val="none"/>
        </w:rPr>
        <w:t>投标人，招标文件及相关附件由投标人自行在</w:t>
      </w:r>
      <w:r>
        <w:rPr>
          <w:rFonts w:hint="eastAsia" w:ascii="宋体" w:hAnsi="宋体" w:eastAsia="宋体" w:cs="宋体"/>
          <w:snapToGrid w:val="0"/>
          <w:color w:val="auto"/>
          <w:kern w:val="0"/>
          <w:sz w:val="24"/>
          <w:szCs w:val="24"/>
          <w:highlight w:val="none"/>
          <w:lang w:eastAsia="zh-CN"/>
        </w:rPr>
        <w:t>全国公共资源交易平台（广东省·韶关市）</w:t>
      </w:r>
      <w:r>
        <w:rPr>
          <w:rFonts w:hint="eastAsia" w:ascii="宋体" w:hAnsi="宋体" w:eastAsia="宋体" w:cs="宋体"/>
          <w:snapToGrid w:val="0"/>
          <w:color w:val="auto"/>
          <w:kern w:val="0"/>
          <w:sz w:val="24"/>
          <w:szCs w:val="24"/>
          <w:highlight w:val="none"/>
        </w:rPr>
        <w:t>网站下载。请于招标文件获取期间,（见本章第二节“重要事项时间地点一览表”）招标文件获取期间与招标公告发布时间一致，投标人须登录</w:t>
      </w:r>
      <w:r>
        <w:rPr>
          <w:rFonts w:hint="eastAsia" w:ascii="宋体" w:hAnsi="宋体" w:eastAsia="宋体" w:cs="宋体"/>
          <w:snapToGrid w:val="0"/>
          <w:color w:val="auto"/>
          <w:kern w:val="0"/>
          <w:sz w:val="24"/>
          <w:szCs w:val="24"/>
          <w:highlight w:val="none"/>
          <w:lang w:eastAsia="zh-CN"/>
        </w:rPr>
        <w:t>全国公共资源交易平台（广东省·韶关市）（https://ygp.gdzwfw.gov.cn/ggzy-portal/#/440200/index）</w:t>
      </w:r>
      <w:r>
        <w:rPr>
          <w:rFonts w:hint="eastAsia" w:ascii="宋体" w:hAnsi="宋体" w:eastAsia="宋体" w:cs="宋体"/>
          <w:snapToGrid w:val="0"/>
          <w:color w:val="auto"/>
          <w:kern w:val="0"/>
          <w:sz w:val="24"/>
          <w:szCs w:val="24"/>
          <w:highlight w:val="none"/>
        </w:rPr>
        <w:t>，使用新建设工程交易系统进行下载招标文件及相关附件，并于电子投标截止时间（见本章第二节“重要事项时间地点一览表”）前完成电子投标。投标人可登录</w:t>
      </w:r>
      <w:r>
        <w:rPr>
          <w:rFonts w:hint="eastAsia" w:ascii="宋体" w:hAnsi="宋体" w:eastAsia="宋体" w:cs="宋体"/>
          <w:snapToGrid w:val="0"/>
          <w:color w:val="auto"/>
          <w:kern w:val="0"/>
          <w:sz w:val="24"/>
          <w:szCs w:val="24"/>
          <w:highlight w:val="none"/>
          <w:lang w:eastAsia="zh-CN"/>
        </w:rPr>
        <w:t>全国公共资源交易平台（广东省·韶关市）（https://ygp.gdzwfw.gov.cn/ggzy-portal/#/440200/index）</w:t>
      </w:r>
      <w:r>
        <w:rPr>
          <w:rFonts w:hint="eastAsia" w:ascii="宋体" w:hAnsi="宋体" w:eastAsia="宋体" w:cs="宋体"/>
          <w:snapToGrid w:val="0"/>
          <w:color w:val="auto"/>
          <w:kern w:val="0"/>
          <w:sz w:val="24"/>
          <w:szCs w:val="24"/>
          <w:highlight w:val="none"/>
        </w:rPr>
        <w:t>，在【</w:t>
      </w:r>
      <w:r>
        <w:rPr>
          <w:rFonts w:hint="eastAsia" w:ascii="宋体" w:hAnsi="宋体" w:eastAsia="宋体" w:cs="宋体"/>
          <w:snapToGrid w:val="0"/>
          <w:color w:val="auto"/>
          <w:kern w:val="0"/>
          <w:sz w:val="24"/>
          <w:szCs w:val="24"/>
          <w:highlight w:val="none"/>
          <w:lang w:val="en-US" w:eastAsia="zh-CN"/>
        </w:rPr>
        <w:t>服务指南</w:t>
      </w:r>
      <w:r>
        <w:rPr>
          <w:rFonts w:hint="eastAsia" w:ascii="宋体" w:hAnsi="宋体" w:eastAsia="宋体" w:cs="宋体"/>
          <w:snapToGrid w:val="0"/>
          <w:color w:val="auto"/>
          <w:kern w:val="0"/>
          <w:sz w:val="24"/>
          <w:szCs w:val="24"/>
          <w:highlight w:val="none"/>
        </w:rPr>
        <w:t>】栏目中建设工程交易中下载《韶关市公共资源一体化平台——建设工程交易投标人操作指南（电子评标）》（附件</w:t>
      </w:r>
      <w:r>
        <w:rPr>
          <w:rFonts w:hint="eastAsia" w:ascii="宋体" w:hAnsi="宋体" w:eastAsia="宋体" w:cs="宋体"/>
          <w:snapToGrid w:val="0"/>
          <w:color w:val="auto"/>
          <w:kern w:val="0"/>
          <w:sz w:val="24"/>
          <w:szCs w:val="24"/>
          <w:highlight w:val="none"/>
          <w:lang w:val="en-US" w:eastAsia="zh-CN"/>
        </w:rPr>
        <w:t>2</w:t>
      </w:r>
      <w:r>
        <w:rPr>
          <w:rFonts w:hint="eastAsia" w:ascii="宋体" w:hAnsi="宋体" w:eastAsia="宋体" w:cs="宋体"/>
          <w:snapToGrid w:val="0"/>
          <w:color w:val="auto"/>
          <w:kern w:val="0"/>
          <w:sz w:val="24"/>
          <w:szCs w:val="24"/>
          <w:highlight w:val="none"/>
        </w:rPr>
        <w:t>），了解网上获取招标文件操作流程。技术咨询电话：0751-8379671 伍先生，业务咨询电话：0751-8633211、8379023。</w:t>
      </w:r>
    </w:p>
    <w:p w14:paraId="04BC3524">
      <w:pPr>
        <w:pageBreakBefore w:val="0"/>
        <w:tabs>
          <w:tab w:val="left" w:pos="7020"/>
        </w:tabs>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 xml:space="preserve">3.2 </w:t>
      </w:r>
      <w:r>
        <w:rPr>
          <w:rFonts w:hint="eastAsia" w:ascii="宋体" w:hAnsi="宋体" w:eastAsia="宋体" w:cs="宋体"/>
          <w:snapToGrid w:val="0"/>
          <w:color w:val="auto"/>
          <w:kern w:val="0"/>
          <w:sz w:val="24"/>
          <w:szCs w:val="24"/>
          <w:highlight w:val="none"/>
        </w:rPr>
        <w:t>只有申领了数字证书（CA）、“粤企签”或GDCA/SZCA/NETCA等符合法律法规规定的电子印章，并在交易系统中完成企业信息数据入库的投标人，方可使用建设工程交易系统进行招标文件及附件获取和电子投标。</w:t>
      </w:r>
    </w:p>
    <w:p w14:paraId="0F65984B">
      <w:pPr>
        <w:pageBreakBefore w:val="0"/>
        <w:tabs>
          <w:tab w:val="left" w:pos="7020"/>
        </w:tabs>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首次在韶关市参与建设工程招标投标活动的投标人，必须在平台系统上传企业相关资料办理企业入库事宜。投标人可登录</w:t>
      </w:r>
      <w:r>
        <w:rPr>
          <w:rFonts w:hint="eastAsia" w:ascii="宋体" w:hAnsi="宋体" w:eastAsia="宋体" w:cs="宋体"/>
          <w:snapToGrid w:val="0"/>
          <w:color w:val="auto"/>
          <w:kern w:val="0"/>
          <w:sz w:val="24"/>
          <w:szCs w:val="24"/>
          <w:highlight w:val="none"/>
          <w:lang w:eastAsia="zh-CN"/>
        </w:rPr>
        <w:t>全国公共资源交易平台（广东省·韶关市）（https://ygp.gdzwfw.gov.cn/ggzy-portal/#/440200/index）</w:t>
      </w:r>
      <w:r>
        <w:rPr>
          <w:rFonts w:hint="eastAsia" w:ascii="宋体" w:hAnsi="宋体" w:eastAsia="宋体" w:cs="宋体"/>
          <w:snapToGrid w:val="0"/>
          <w:color w:val="auto"/>
          <w:kern w:val="0"/>
          <w:sz w:val="24"/>
          <w:szCs w:val="24"/>
          <w:highlight w:val="none"/>
        </w:rPr>
        <w:t>办理办理企业入库、数字证书及电子印章事宜，具体请在平台查阅相应的交易指引。</w:t>
      </w:r>
    </w:p>
    <w:p w14:paraId="355CC6E4">
      <w:pPr>
        <w:pageBreakBefore w:val="0"/>
        <w:tabs>
          <w:tab w:val="left" w:pos="7020"/>
        </w:tabs>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已入库企业有关信息（如单位名称、基本账号、资质、人员等）发生变化的，须及时在交易系统进行相应变更。投标人未及时变更信息而造成的损失和后果，由投标人自行承担。</w:t>
      </w:r>
    </w:p>
    <w:p w14:paraId="6EA60F7D">
      <w:pPr>
        <w:pageBreakBefore w:val="0"/>
        <w:tabs>
          <w:tab w:val="left" w:pos="7020"/>
        </w:tabs>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b/>
          <w:bCs/>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电子印章：是指获得国家工业和信息化部颁发的《电子认证服务许可证》、国家密码管理局颁发的《电子认证服务使用密码许可证》等资质，具备承担因数字证书原因产生纠纷的相关责任的能力，且在广东省内具有数量基础和服务能力的依法设立的电子认证服务机构签发的电子签章认证证书（即CA数字证书）。投标人应当到相关服务机构办理并取得数字证书介质和应用。电子印章包括机构法人电子形式印章，单位法定代表人、被委托人及其他个人的电子形式印章。电子印章与手写签名或者盖章具有同等的法律效力。</w:t>
      </w:r>
    </w:p>
    <w:p w14:paraId="5533CA0C">
      <w:pPr>
        <w:pageBreakBefore w:val="0"/>
        <w:tabs>
          <w:tab w:val="left" w:pos="7020"/>
        </w:tabs>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3.3</w:t>
      </w:r>
      <w:r>
        <w:rPr>
          <w:rFonts w:hint="eastAsia" w:ascii="宋体" w:hAnsi="宋体" w:eastAsia="宋体" w:cs="宋体"/>
          <w:snapToGrid w:val="0"/>
          <w:color w:val="auto"/>
          <w:kern w:val="0"/>
          <w:sz w:val="24"/>
          <w:szCs w:val="24"/>
          <w:highlight w:val="none"/>
        </w:rPr>
        <w:t xml:space="preserve"> 投标保证</w:t>
      </w:r>
    </w:p>
    <w:p w14:paraId="0941DE31">
      <w:pPr>
        <w:pageBreakBefore w:val="0"/>
        <w:tabs>
          <w:tab w:val="left" w:pos="7020"/>
        </w:tabs>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3.3.1</w:t>
      </w:r>
      <w:r>
        <w:rPr>
          <w:rFonts w:hint="eastAsia" w:ascii="宋体" w:hAnsi="宋体" w:eastAsia="宋体" w:cs="宋体"/>
          <w:snapToGrid w:val="0"/>
          <w:color w:val="auto"/>
          <w:kern w:val="0"/>
          <w:sz w:val="24"/>
          <w:szCs w:val="24"/>
          <w:highlight w:val="none"/>
        </w:rPr>
        <w:t xml:space="preserve"> 投标人须缴纳金额为人民币</w:t>
      </w:r>
      <w:r>
        <w:rPr>
          <w:rFonts w:hint="eastAsia" w:ascii="宋体" w:hAnsi="宋体" w:eastAsia="宋体" w:cs="宋体"/>
          <w:b/>
          <w:bCs/>
          <w:snapToGrid w:val="0"/>
          <w:color w:val="auto"/>
          <w:kern w:val="0"/>
          <w:sz w:val="24"/>
          <w:szCs w:val="24"/>
          <w:highlight w:val="none"/>
          <w:u w:val="single"/>
          <w:lang w:val="en-US" w:eastAsia="zh-CN"/>
        </w:rPr>
        <w:t>30万元</w:t>
      </w:r>
      <w:r>
        <w:rPr>
          <w:rFonts w:hint="eastAsia" w:ascii="宋体" w:hAnsi="宋体" w:eastAsia="宋体" w:cs="宋体"/>
          <w:snapToGrid w:val="0"/>
          <w:color w:val="auto"/>
          <w:kern w:val="0"/>
          <w:sz w:val="24"/>
          <w:szCs w:val="24"/>
          <w:highlight w:val="none"/>
        </w:rPr>
        <w:t xml:space="preserve">的投标保证。  </w:t>
      </w:r>
    </w:p>
    <w:p w14:paraId="0D951ABB">
      <w:pPr>
        <w:pageBreakBefore w:val="0"/>
        <w:tabs>
          <w:tab w:val="left" w:pos="7020"/>
        </w:tabs>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3.3.2</w:t>
      </w:r>
      <w:r>
        <w:rPr>
          <w:rFonts w:hint="eastAsia" w:ascii="宋体" w:hAnsi="宋体" w:eastAsia="宋体" w:cs="宋体"/>
          <w:snapToGrid w:val="0"/>
          <w:color w:val="auto"/>
          <w:kern w:val="0"/>
          <w:sz w:val="24"/>
          <w:szCs w:val="24"/>
          <w:highlight w:val="none"/>
        </w:rPr>
        <w:t xml:space="preserve"> 投标保证的形式包括投标保证金、投标保证担保、投标保证保险三种，由投标人自主选择。</w:t>
      </w:r>
    </w:p>
    <w:p w14:paraId="469F208C">
      <w:pPr>
        <w:pageBreakBefore w:val="0"/>
        <w:tabs>
          <w:tab w:val="left" w:pos="7020"/>
        </w:tabs>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采用投标保证金的，投标人在建设工程交易系统获取招标文件完毕后，即可在系统申请缴纳投标保证金，获取本次招标投标保证金缴纳账号。投标人必须于投标保证金到账截止时间（见本章第二节“重要事项时间地点一览表”）前，从其基本账户将投标保证金转账到指定的缴纳账号。逾期到账的、从非投标人基本账户转出的，其投标无效。</w:t>
      </w:r>
    </w:p>
    <w:p w14:paraId="47608B81">
      <w:pPr>
        <w:pageBreakBefore w:val="0"/>
        <w:tabs>
          <w:tab w:val="left" w:pos="7020"/>
        </w:tabs>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lang w:val="en-US" w:eastAsia="zh-CN"/>
        </w:rPr>
        <w:t>2</w:t>
      </w:r>
      <w:r>
        <w:rPr>
          <w:rFonts w:hint="eastAsia" w:ascii="宋体" w:hAnsi="宋体" w:eastAsia="宋体" w:cs="宋体"/>
          <w:snapToGrid w:val="0"/>
          <w:color w:val="auto"/>
          <w:kern w:val="0"/>
          <w:sz w:val="24"/>
          <w:szCs w:val="24"/>
          <w:highlight w:val="none"/>
        </w:rPr>
        <w:t>）采用投标保证担保的，投标人应提交有效的电子保函或保证保险，电子保函或保证保险的有效期不得短于投标有效期。投标人必须在投标保证担保截止时间（见本章第二节“重要事项时间地点一览表”）前，使用工程建设交易系统完成网上办理电子保函或保证保险。</w:t>
      </w:r>
    </w:p>
    <w:p w14:paraId="13E6C517">
      <w:pPr>
        <w:pageBreakBefore w:val="0"/>
        <w:tabs>
          <w:tab w:val="left" w:pos="7020"/>
        </w:tabs>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3）采用投标保证保险的，投标人须在投标保证保险投保截止时间（见本章第二节“重要事项时间地点一览表”）前，使用建设工程交易系统完成网上投保。投标人可在系统选择保险机构、录入投保信息、支付保费、打印电子保单，电子保单的有效期不得短于投标有效期。投标人可登录</w:t>
      </w:r>
      <w:r>
        <w:rPr>
          <w:rFonts w:hint="eastAsia" w:ascii="宋体" w:hAnsi="宋体" w:eastAsia="宋体" w:cs="宋体"/>
          <w:snapToGrid w:val="0"/>
          <w:color w:val="auto"/>
          <w:kern w:val="0"/>
          <w:sz w:val="24"/>
          <w:szCs w:val="24"/>
          <w:highlight w:val="none"/>
          <w:lang w:eastAsia="zh-CN"/>
        </w:rPr>
        <w:t>全国公共资源交易平台（广东省·韶关市）（https://ygp.gdzwfw.gov.cn/ggzy-portal/#/440200/index）</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在【服务指南】栏目中下载《韶关市公共资源建设工程交易系统-投标人操作指南》，了解网上投保具体操作流程。逾期投保的，其投标无效。</w:t>
      </w:r>
      <w:r>
        <w:rPr>
          <w:rFonts w:hint="eastAsia" w:ascii="宋体" w:hAnsi="宋体" w:eastAsia="宋体" w:cs="宋体"/>
          <w:color w:val="auto"/>
          <w:sz w:val="24"/>
          <w:szCs w:val="24"/>
          <w:highlight w:val="none"/>
        </w:rPr>
        <w:t xml:space="preserve">    </w:t>
      </w:r>
    </w:p>
    <w:p w14:paraId="7D1E5CAA">
      <w:pPr>
        <w:pStyle w:val="2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tabs>
          <w:tab w:val="left" w:pos="7026"/>
        </w:tabs>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宋体" w:hAnsi="宋体" w:eastAsia="宋体" w:cs="宋体"/>
          <w:color w:val="auto"/>
        </w:rPr>
      </w:pPr>
      <w:r>
        <w:rPr>
          <w:rFonts w:hint="eastAsia" w:ascii="宋体" w:hAnsi="宋体" w:eastAsia="宋体" w:cs="宋体"/>
          <w:snapToGrid w:val="0"/>
          <w:color w:val="auto"/>
          <w:kern w:val="0"/>
          <w:sz w:val="24"/>
          <w:szCs w:val="24"/>
          <w:highlight w:val="none"/>
        </w:rPr>
        <w:t>温馨提醒：</w:t>
      </w:r>
      <w:r>
        <w:rPr>
          <w:rFonts w:hint="eastAsia" w:ascii="宋体" w:hAnsi="宋体" w:eastAsia="宋体" w:cs="宋体"/>
          <w:color w:val="auto"/>
          <w:sz w:val="24"/>
          <w:szCs w:val="24"/>
        </w:rPr>
        <w:t>1.投标人采用投标保证担保或投标保证保险的，为避免在评标过程中因有效期发生争议，建议投标人将银行保函或电子保单有效期设置为较招标文件规定的投标有效期延长不少于20个日历天。</w:t>
      </w:r>
    </w:p>
    <w:p w14:paraId="62682BE6">
      <w:pPr>
        <w:pStyle w:val="2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tabs>
          <w:tab w:val="left" w:pos="7026"/>
        </w:tabs>
        <w:kinsoku/>
        <w:wordWrap/>
        <w:overflowPunct/>
        <w:topLinePunct w:val="0"/>
        <w:autoSpaceDE/>
        <w:autoSpaceDN/>
        <w:bidi w:val="0"/>
        <w:adjustRightInd/>
        <w:snapToGrid/>
        <w:spacing w:before="0" w:beforeAutospacing="0" w:after="0" w:afterAutospacing="0" w:line="360" w:lineRule="auto"/>
        <w:ind w:left="0" w:firstLine="480" w:firstLineChars="200"/>
        <w:jc w:val="both"/>
        <w:textAlignment w:val="auto"/>
        <w:rPr>
          <w:rFonts w:hint="eastAsia" w:ascii="宋体" w:hAnsi="宋体" w:eastAsia="宋体" w:cs="宋体"/>
          <w:color w:val="auto"/>
        </w:rPr>
      </w:pPr>
      <w:r>
        <w:rPr>
          <w:rFonts w:hint="eastAsia" w:ascii="宋体" w:hAnsi="宋体" w:eastAsia="宋体" w:cs="宋体"/>
          <w:color w:val="auto"/>
          <w:sz w:val="24"/>
          <w:szCs w:val="24"/>
        </w:rPr>
        <w:t>2.根据《建设工程质量保证金管理办法》等有关规定，发包人应按照合同约定方式预留保证金（按规定，比例不得高于工程价款结算总额的3%）。合同约定由承包人以银行保函替代预留保证金的，保函金额不得高于工程价款结算总额的3%。</w:t>
      </w:r>
    </w:p>
    <w:p w14:paraId="76A40EFE">
      <w:pPr>
        <w:pStyle w:val="2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tabs>
          <w:tab w:val="left" w:pos="7026"/>
        </w:tabs>
        <w:kinsoku/>
        <w:wordWrap/>
        <w:overflowPunct/>
        <w:topLinePunct w:val="0"/>
        <w:autoSpaceDE/>
        <w:autoSpaceDN/>
        <w:bidi w:val="0"/>
        <w:adjustRightInd/>
        <w:snapToGrid/>
        <w:spacing w:before="0" w:beforeAutospacing="0" w:after="0" w:afterAutospacing="0" w:line="360" w:lineRule="auto"/>
        <w:ind w:left="0" w:firstLine="480" w:firstLineChars="200"/>
        <w:jc w:val="both"/>
        <w:textAlignment w:val="auto"/>
        <w:rPr>
          <w:rFonts w:hint="eastAsia" w:ascii="宋体" w:hAnsi="宋体" w:eastAsia="宋体" w:cs="宋体"/>
          <w:color w:val="auto"/>
        </w:rPr>
      </w:pPr>
      <w:r>
        <w:rPr>
          <w:rFonts w:hint="eastAsia" w:ascii="宋体" w:hAnsi="宋体" w:eastAsia="宋体" w:cs="宋体"/>
          <w:color w:val="auto"/>
          <w:sz w:val="24"/>
          <w:szCs w:val="24"/>
        </w:rPr>
        <w:t>3.根据《保障农民工工资支付条例》，发包人必须落实工程款支付担保制度，需有项目预付款。2017年2月，国务院出台《关于促进建筑业持续健康发展的意见》，要求“严格执行工程预付款制度，及时按合同约定足额向承包单位支付预付款。通过工程款支付担保等经济、法律手段约束建设单位履约行为，预防拖欠工程款。”</w:t>
      </w:r>
    </w:p>
    <w:p w14:paraId="6A8AEEFC">
      <w:pPr>
        <w:pStyle w:val="28"/>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7026"/>
        </w:tabs>
        <w:kinsoku/>
        <w:wordWrap/>
        <w:overflowPunct/>
        <w:topLinePunct w:val="0"/>
        <w:autoSpaceDE/>
        <w:autoSpaceDN/>
        <w:bidi w:val="0"/>
        <w:adjustRightInd/>
        <w:snapToGrid/>
        <w:spacing w:before="0" w:beforeAutospacing="0" w:after="0" w:afterAutospacing="0" w:line="360" w:lineRule="auto"/>
        <w:ind w:left="0" w:firstLine="480" w:firstLineChars="200"/>
        <w:jc w:val="both"/>
        <w:textAlignment w:val="auto"/>
        <w:rPr>
          <w:rFonts w:hint="eastAsia" w:ascii="宋体" w:hAnsi="宋体" w:eastAsia="宋体" w:cs="宋体"/>
          <w:b/>
          <w:bCs/>
          <w:snapToGrid w:val="0"/>
          <w:color w:val="auto"/>
          <w:kern w:val="0"/>
          <w:sz w:val="24"/>
          <w:szCs w:val="24"/>
          <w:highlight w:val="none"/>
        </w:rPr>
      </w:pPr>
      <w:r>
        <w:rPr>
          <w:rFonts w:hint="eastAsia" w:ascii="宋体" w:hAnsi="宋体" w:eastAsia="宋体" w:cs="宋体"/>
          <w:color w:val="auto"/>
          <w:sz w:val="24"/>
          <w:szCs w:val="24"/>
        </w:rPr>
        <w:t>4.根据《关于印发广东省根治欠薪冬季专项行动工作方案的通知》（粤治欠办函〔2021〕49号）要求，鼓励项目采用担保，担保形式可包括银行保函、工程保证保险以及专业工程担保公司保函等。</w:t>
      </w:r>
    </w:p>
    <w:p w14:paraId="148B7AEB">
      <w:pPr>
        <w:pageBreakBefore w:val="0"/>
        <w:tabs>
          <w:tab w:val="left" w:pos="7020"/>
        </w:tabs>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3.4</w:t>
      </w:r>
      <w:r>
        <w:rPr>
          <w:rFonts w:hint="eastAsia" w:ascii="宋体" w:hAnsi="宋体" w:eastAsia="宋体" w:cs="宋体"/>
          <w:snapToGrid w:val="0"/>
          <w:color w:val="auto"/>
          <w:kern w:val="0"/>
          <w:sz w:val="24"/>
          <w:szCs w:val="24"/>
          <w:highlight w:val="none"/>
        </w:rPr>
        <w:t xml:space="preserve"> 若投标人因自身原因未能正确完成</w:t>
      </w:r>
      <w:r>
        <w:rPr>
          <w:rFonts w:hint="eastAsia" w:ascii="宋体" w:hAnsi="宋体" w:eastAsia="宋体" w:cs="宋体"/>
          <w:snapToGrid w:val="0"/>
          <w:color w:val="auto"/>
          <w:kern w:val="0"/>
          <w:sz w:val="24"/>
          <w:szCs w:val="24"/>
          <w:highlight w:val="none"/>
          <w:lang w:eastAsia="zh-CN"/>
        </w:rPr>
        <w:t>获取招标文件</w:t>
      </w:r>
      <w:r>
        <w:rPr>
          <w:rFonts w:hint="eastAsia" w:ascii="宋体" w:hAnsi="宋体" w:eastAsia="宋体" w:cs="宋体"/>
          <w:snapToGrid w:val="0"/>
          <w:color w:val="auto"/>
          <w:kern w:val="0"/>
          <w:sz w:val="24"/>
          <w:szCs w:val="24"/>
          <w:highlight w:val="none"/>
        </w:rPr>
        <w:t>、电子投标、缴纳投标保证的，其投标无效。</w:t>
      </w:r>
    </w:p>
    <w:p w14:paraId="0D225CE9">
      <w:pPr>
        <w:pageBreakBefore w:val="0"/>
        <w:numPr>
          <w:ilvl w:val="0"/>
          <w:numId w:val="0"/>
        </w:numPr>
        <w:tabs>
          <w:tab w:val="left" w:pos="288"/>
        </w:tabs>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b/>
          <w:bCs/>
          <w:snapToGrid w:val="0"/>
          <w:color w:val="auto"/>
          <w:kern w:val="0"/>
          <w:sz w:val="24"/>
          <w:szCs w:val="24"/>
          <w:lang w:val="en-US" w:eastAsia="zh-CN" w:bidi="ar-SA"/>
        </w:rPr>
      </w:pPr>
    </w:p>
    <w:p w14:paraId="53AE0C50">
      <w:pPr>
        <w:pStyle w:val="4"/>
        <w:pageBreakBefore w:val="0"/>
        <w:kinsoku/>
        <w:overflowPunct/>
        <w:topLinePunct w:val="0"/>
        <w:autoSpaceDE/>
        <w:autoSpaceDN/>
        <w:bidi w:val="0"/>
        <w:spacing w:beforeLines="0" w:afterLines="0" w:line="360" w:lineRule="auto"/>
        <w:ind w:left="0" w:leftChars="0" w:right="0" w:firstLine="482" w:firstLineChars="200"/>
        <w:rPr>
          <w:rFonts w:hint="eastAsia" w:ascii="宋体" w:hAnsi="宋体" w:eastAsia="宋体" w:cs="宋体"/>
          <w:color w:val="auto"/>
          <w:sz w:val="24"/>
          <w:szCs w:val="24"/>
        </w:rPr>
      </w:pPr>
      <w:bookmarkStart w:id="48" w:name="_Toc10093"/>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工期要求</w:t>
      </w:r>
      <w:bookmarkEnd w:id="48"/>
      <w:bookmarkStart w:id="49" w:name="_Toc7508"/>
    </w:p>
    <w:p w14:paraId="271E14BC">
      <w:pPr>
        <w:pStyle w:val="6"/>
        <w:keepNext/>
        <w:keepLines/>
        <w:pageBreakBefore w:val="0"/>
        <w:widowControl w:val="0"/>
        <w:kinsoku/>
        <w:wordWrap/>
        <w:overflowPunct/>
        <w:topLinePunct w:val="0"/>
        <w:autoSpaceDE/>
        <w:autoSpaceDN/>
        <w:bidi w:val="0"/>
        <w:adjustRightInd/>
        <w:snapToGrid/>
        <w:spacing w:before="0" w:beforeLines="0" w:after="0" w:afterLines="0" w:line="360" w:lineRule="auto"/>
        <w:ind w:left="0" w:leftChars="0" w:right="0" w:firstLine="480" w:firstLineChars="200"/>
        <w:textAlignment w:val="auto"/>
        <w:rPr>
          <w:rFonts w:hint="eastAsia" w:ascii="宋体" w:hAnsi="宋体" w:eastAsia="宋体" w:cs="宋体"/>
          <w:b w:val="0"/>
          <w:bCs/>
          <w:snapToGrid w:val="0"/>
          <w:color w:val="auto"/>
          <w:sz w:val="24"/>
          <w:szCs w:val="24"/>
          <w:highlight w:val="none"/>
          <w:lang w:val="en-US" w:eastAsia="zh-CN"/>
        </w:rPr>
      </w:pPr>
      <w:bookmarkStart w:id="50" w:name="_Toc16606"/>
      <w:bookmarkStart w:id="51" w:name="_Toc3615"/>
      <w:r>
        <w:rPr>
          <w:rFonts w:hint="eastAsia" w:ascii="宋体" w:hAnsi="宋体" w:eastAsia="宋体" w:cs="宋体"/>
          <w:b w:val="0"/>
          <w:bCs/>
          <w:snapToGrid w:val="0"/>
          <w:color w:val="auto"/>
          <w:sz w:val="24"/>
          <w:szCs w:val="24"/>
          <w:highlight w:val="none"/>
        </w:rPr>
        <w:t>本招标项目施工工期为</w:t>
      </w:r>
      <w:r>
        <w:rPr>
          <w:rFonts w:hint="eastAsia" w:ascii="宋体" w:hAnsi="宋体" w:eastAsia="宋体" w:cs="宋体"/>
          <w:b w:val="0"/>
          <w:bCs/>
          <w:snapToGrid w:val="0"/>
          <w:color w:val="auto"/>
          <w:sz w:val="24"/>
          <w:szCs w:val="24"/>
          <w:highlight w:val="none"/>
          <w:u w:val="single"/>
          <w:lang w:val="en-US" w:eastAsia="zh-CN"/>
        </w:rPr>
        <w:t>120</w:t>
      </w:r>
      <w:r>
        <w:rPr>
          <w:rFonts w:hint="eastAsia" w:ascii="宋体" w:hAnsi="宋体" w:eastAsia="宋体" w:cs="宋体"/>
          <w:b w:val="0"/>
          <w:bCs/>
          <w:snapToGrid w:val="0"/>
          <w:color w:val="auto"/>
          <w:sz w:val="24"/>
          <w:szCs w:val="24"/>
          <w:highlight w:val="none"/>
        </w:rPr>
        <w:t>个日历天</w:t>
      </w:r>
      <w:r>
        <w:rPr>
          <w:rFonts w:hint="eastAsia" w:ascii="宋体" w:hAnsi="宋体" w:eastAsia="宋体" w:cs="宋体"/>
          <w:b w:val="0"/>
          <w:bCs/>
          <w:snapToGrid w:val="0"/>
          <w:color w:val="auto"/>
          <w:sz w:val="24"/>
          <w:szCs w:val="24"/>
          <w:highlight w:val="none"/>
          <w:lang w:eastAsia="zh-CN"/>
        </w:rPr>
        <w:t>，</w:t>
      </w:r>
      <w:r>
        <w:rPr>
          <w:rFonts w:hint="eastAsia" w:ascii="宋体" w:hAnsi="宋体" w:eastAsia="宋体" w:cs="宋体"/>
          <w:b w:val="0"/>
          <w:bCs/>
          <w:snapToGrid w:val="0"/>
          <w:color w:val="auto"/>
          <w:sz w:val="24"/>
          <w:szCs w:val="24"/>
          <w:highlight w:val="none"/>
          <w:lang w:val="en-US" w:eastAsia="zh-CN"/>
        </w:rPr>
        <w:t>中标人必须在招标工期内完成招标范围内的全部内容。</w:t>
      </w:r>
    </w:p>
    <w:p w14:paraId="37EC3B82">
      <w:pPr>
        <w:rPr>
          <w:rFonts w:hint="eastAsia" w:ascii="宋体" w:hAnsi="宋体" w:eastAsia="宋体" w:cs="宋体"/>
          <w:color w:val="auto"/>
          <w:sz w:val="13"/>
          <w:szCs w:val="8"/>
        </w:rPr>
      </w:pPr>
      <w:bookmarkStart w:id="52" w:name="_Toc762"/>
    </w:p>
    <w:p w14:paraId="7DA76FA1">
      <w:pPr>
        <w:pStyle w:val="4"/>
        <w:pageBreakBefore w:val="0"/>
        <w:kinsoku/>
        <w:overflowPunct/>
        <w:topLinePunct w:val="0"/>
        <w:autoSpaceDE/>
        <w:autoSpaceDN/>
        <w:bidi w:val="0"/>
        <w:spacing w:beforeLines="0" w:afterLines="0" w:line="360" w:lineRule="auto"/>
        <w:ind w:left="0" w:leftChars="0" w:right="0" w:firstLine="482" w:firstLineChars="200"/>
        <w:rPr>
          <w:rFonts w:hint="eastAsia" w:ascii="宋体" w:hAnsi="宋体" w:eastAsia="宋体" w:cs="宋体"/>
          <w:color w:val="auto"/>
          <w:sz w:val="24"/>
          <w:szCs w:val="24"/>
        </w:rPr>
      </w:pPr>
      <w:r>
        <w:rPr>
          <w:rFonts w:hint="eastAsia" w:ascii="宋体" w:hAnsi="宋体" w:eastAsia="宋体" w:cs="宋体"/>
          <w:color w:val="auto"/>
          <w:sz w:val="24"/>
          <w:szCs w:val="24"/>
        </w:rPr>
        <w:t>5．质量标准和材料、机械要求</w:t>
      </w:r>
      <w:bookmarkEnd w:id="49"/>
      <w:bookmarkEnd w:id="50"/>
      <w:bookmarkEnd w:id="51"/>
      <w:bookmarkEnd w:id="52"/>
    </w:p>
    <w:p w14:paraId="6A1DD7B5">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5.1</w:t>
      </w:r>
      <w:r>
        <w:rPr>
          <w:rFonts w:hint="eastAsia" w:ascii="宋体" w:hAnsi="宋体" w:eastAsia="宋体" w:cs="宋体"/>
          <w:snapToGrid w:val="0"/>
          <w:color w:val="auto"/>
          <w:kern w:val="0"/>
          <w:sz w:val="24"/>
          <w:szCs w:val="24"/>
          <w:highlight w:val="none"/>
        </w:rPr>
        <w:t xml:space="preserve"> 施工工艺严格按照国家和广东省的有关现行施工技术规范及标准执行，工程质量标准须达到</w:t>
      </w:r>
      <w:r>
        <w:rPr>
          <w:rFonts w:hint="eastAsia" w:ascii="宋体" w:hAnsi="宋体" w:eastAsia="宋体" w:cs="宋体"/>
          <w:snapToGrid w:val="0"/>
          <w:color w:val="auto"/>
          <w:kern w:val="0"/>
          <w:sz w:val="24"/>
          <w:szCs w:val="24"/>
          <w:highlight w:val="none"/>
          <w:u w:val="single"/>
          <w:lang w:val="en-US" w:eastAsia="zh-CN"/>
        </w:rPr>
        <w:t>符合现行国家有关工程施工质量验收规范和标准的要求，质量目标达到合格</w:t>
      </w:r>
      <w:r>
        <w:rPr>
          <w:rFonts w:hint="eastAsia" w:ascii="宋体" w:hAnsi="宋体" w:eastAsia="宋体" w:cs="宋体"/>
          <w:snapToGrid w:val="0"/>
          <w:color w:val="auto"/>
          <w:kern w:val="0"/>
          <w:sz w:val="24"/>
          <w:szCs w:val="24"/>
          <w:highlight w:val="none"/>
          <w:u w:val="single"/>
        </w:rPr>
        <w:t>。如未达到合格标准，则按合同价款的 1 %向招标人返纳质量违约金，并由中标人负责返修至合格标准，返修费用由中标人承担，同时承担所有的责任及经济损失。</w:t>
      </w:r>
    </w:p>
    <w:p w14:paraId="384D25AC">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5.2</w:t>
      </w:r>
      <w:r>
        <w:rPr>
          <w:rFonts w:hint="eastAsia" w:ascii="宋体" w:hAnsi="宋体" w:eastAsia="宋体" w:cs="宋体"/>
          <w:snapToGrid w:val="0"/>
          <w:color w:val="auto"/>
          <w:kern w:val="0"/>
          <w:sz w:val="24"/>
          <w:szCs w:val="24"/>
          <w:highlight w:val="none"/>
        </w:rPr>
        <w:t xml:space="preserve"> 中标人在施工中如果工程质量不符合设计要求和有关规定，招标人或监理单位要求停工和返工的必须立即执行，并承担由此产生的各种费用，工期不予顺延。</w:t>
      </w:r>
    </w:p>
    <w:p w14:paraId="21E1F180">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5.3</w:t>
      </w:r>
      <w:r>
        <w:rPr>
          <w:rFonts w:hint="eastAsia" w:ascii="宋体" w:hAnsi="宋体" w:eastAsia="宋体" w:cs="宋体"/>
          <w:snapToGrid w:val="0"/>
          <w:color w:val="auto"/>
          <w:kern w:val="0"/>
          <w:sz w:val="24"/>
          <w:szCs w:val="24"/>
          <w:highlight w:val="none"/>
        </w:rPr>
        <w:t xml:space="preserve"> 保修期限按《建设工程质量管理条例》（中华人民共和国国务院令第279号）规定执行，在保修期内因施工质量问题而造成返修，一切费用由中标人负责。中标人在向招标人提交竣工验收报告时，应当向招标人出具质量保修书。质量保修书中应当明确建设工程的保修范围、保修期限和保修责任等。</w:t>
      </w:r>
    </w:p>
    <w:p w14:paraId="73DF6365">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5.4</w:t>
      </w:r>
      <w:r>
        <w:rPr>
          <w:rFonts w:hint="eastAsia" w:ascii="宋体" w:hAnsi="宋体" w:eastAsia="宋体" w:cs="宋体"/>
          <w:snapToGrid w:val="0"/>
          <w:color w:val="auto"/>
          <w:kern w:val="0"/>
          <w:sz w:val="24"/>
          <w:szCs w:val="24"/>
          <w:highlight w:val="none"/>
        </w:rPr>
        <w:t xml:space="preserve"> 工程使用的主要材料质量要求不低于招标工程量清单所列的要求。主要材料必须先提供样板给招标人确定其颜色、等级等，</w:t>
      </w:r>
      <w:r>
        <w:rPr>
          <w:rFonts w:hint="eastAsia" w:ascii="宋体" w:hAnsi="宋体" w:eastAsia="宋体" w:cs="宋体"/>
          <w:snapToGrid w:val="0"/>
          <w:color w:val="auto"/>
          <w:kern w:val="0"/>
          <w:sz w:val="24"/>
          <w:szCs w:val="24"/>
          <w:highlight w:val="none"/>
          <w:lang w:val="zh-CN"/>
        </w:rPr>
        <w:t>并经检测部门检测合格</w:t>
      </w:r>
      <w:r>
        <w:rPr>
          <w:rFonts w:hint="eastAsia" w:ascii="宋体" w:hAnsi="宋体" w:eastAsia="宋体" w:cs="宋体"/>
          <w:snapToGrid w:val="0"/>
          <w:color w:val="auto"/>
          <w:kern w:val="0"/>
          <w:sz w:val="24"/>
          <w:szCs w:val="24"/>
          <w:highlight w:val="none"/>
        </w:rPr>
        <w:t>方可使用，所有材料必须使用合格产品。</w:t>
      </w:r>
    </w:p>
    <w:p w14:paraId="5453B2A0">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i/>
          <w:iCs/>
          <w:snapToGrid w:val="0"/>
          <w:color w:val="auto"/>
          <w:kern w:val="0"/>
          <w:sz w:val="24"/>
          <w:szCs w:val="24"/>
          <w:highlight w:val="none"/>
          <w:lang w:eastAsia="zh-CN"/>
        </w:rPr>
      </w:pPr>
      <w:r>
        <w:rPr>
          <w:rFonts w:hint="eastAsia" w:ascii="宋体" w:hAnsi="宋体" w:eastAsia="宋体" w:cs="宋体"/>
          <w:b/>
          <w:bCs/>
          <w:snapToGrid w:val="0"/>
          <w:color w:val="auto"/>
          <w:kern w:val="0"/>
          <w:sz w:val="24"/>
          <w:szCs w:val="24"/>
          <w:highlight w:val="none"/>
        </w:rPr>
        <w:t>5.5</w:t>
      </w:r>
      <w:r>
        <w:rPr>
          <w:rFonts w:hint="eastAsia" w:ascii="宋体" w:hAnsi="宋体" w:eastAsia="宋体" w:cs="宋体"/>
          <w:snapToGrid w:val="0"/>
          <w:color w:val="auto"/>
          <w:kern w:val="0"/>
          <w:sz w:val="24"/>
          <w:szCs w:val="24"/>
          <w:highlight w:val="none"/>
        </w:rPr>
        <w:t xml:space="preserve"> 根据韶关市人民政府《关于加快推进全市绿色建筑发展工作的通知》（韶府办明电〔2013〕277号）有关规定，本招标项目</w:t>
      </w:r>
      <w:r>
        <w:rPr>
          <w:rFonts w:hint="eastAsia" w:ascii="宋体" w:hAnsi="宋体" w:eastAsia="宋体" w:cs="宋体"/>
          <w:snapToGrid w:val="0"/>
          <w:color w:val="auto"/>
          <w:kern w:val="0"/>
          <w:sz w:val="24"/>
          <w:szCs w:val="24"/>
          <w:highlight w:val="none"/>
          <w:lang w:val="en-US" w:eastAsia="zh-CN"/>
        </w:rPr>
        <w:t>不</w:t>
      </w:r>
      <w:r>
        <w:rPr>
          <w:rFonts w:hint="eastAsia" w:ascii="宋体" w:hAnsi="宋体" w:eastAsia="宋体" w:cs="宋体"/>
          <w:snapToGrid w:val="0"/>
          <w:color w:val="auto"/>
          <w:kern w:val="0"/>
          <w:sz w:val="24"/>
          <w:szCs w:val="24"/>
          <w:highlight w:val="none"/>
        </w:rPr>
        <w:t>纳入绿色建设实施范围</w:t>
      </w:r>
      <w:r>
        <w:rPr>
          <w:rFonts w:hint="eastAsia" w:ascii="宋体" w:hAnsi="宋体" w:eastAsia="宋体" w:cs="宋体"/>
          <w:snapToGrid w:val="0"/>
          <w:color w:val="auto"/>
          <w:kern w:val="0"/>
          <w:sz w:val="24"/>
          <w:szCs w:val="24"/>
          <w:highlight w:val="none"/>
          <w:lang w:eastAsia="zh-CN"/>
        </w:rPr>
        <w:t>。</w:t>
      </w:r>
    </w:p>
    <w:p w14:paraId="6BBD86A2">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bookmarkStart w:id="53" w:name="_Hlt69699204"/>
      <w:bookmarkEnd w:id="53"/>
      <w:bookmarkStart w:id="54" w:name="_Hlt74496537"/>
      <w:bookmarkEnd w:id="54"/>
      <w:bookmarkStart w:id="55" w:name="_Hlt120502666"/>
      <w:bookmarkEnd w:id="55"/>
      <w:bookmarkStart w:id="56" w:name="_Hlt69356505"/>
      <w:bookmarkEnd w:id="56"/>
      <w:bookmarkStart w:id="57" w:name="_Hlt74493474"/>
      <w:bookmarkEnd w:id="57"/>
      <w:bookmarkStart w:id="58" w:name="_Hlt88974078"/>
      <w:bookmarkEnd w:id="58"/>
      <w:bookmarkStart w:id="59" w:name="_Hlt111690342"/>
      <w:bookmarkEnd w:id="59"/>
      <w:bookmarkStart w:id="60" w:name="_Hlt121563076"/>
      <w:bookmarkEnd w:id="60"/>
      <w:bookmarkStart w:id="61" w:name="_Toc2679"/>
      <w:r>
        <w:rPr>
          <w:rFonts w:hint="eastAsia" w:ascii="宋体" w:hAnsi="宋体" w:eastAsia="宋体" w:cs="宋体"/>
          <w:b/>
          <w:bCs/>
          <w:snapToGrid w:val="0"/>
          <w:color w:val="auto"/>
          <w:kern w:val="0"/>
          <w:sz w:val="24"/>
          <w:szCs w:val="24"/>
          <w:highlight w:val="none"/>
        </w:rPr>
        <w:t>5.</w:t>
      </w:r>
      <w:r>
        <w:rPr>
          <w:rFonts w:hint="eastAsia" w:ascii="宋体" w:hAnsi="宋体" w:eastAsia="宋体" w:cs="宋体"/>
          <w:b/>
          <w:bCs/>
          <w:snapToGrid w:val="0"/>
          <w:color w:val="auto"/>
          <w:kern w:val="0"/>
          <w:sz w:val="24"/>
          <w:szCs w:val="24"/>
          <w:highlight w:val="none"/>
          <w:lang w:val="en-US" w:eastAsia="zh-CN"/>
        </w:rPr>
        <w:t>6</w:t>
      </w:r>
      <w:r>
        <w:rPr>
          <w:rFonts w:hint="eastAsia" w:ascii="宋体" w:hAnsi="宋体" w:eastAsia="宋体" w:cs="宋体"/>
          <w:snapToGrid w:val="0"/>
          <w:color w:val="auto"/>
          <w:kern w:val="0"/>
          <w:sz w:val="24"/>
          <w:szCs w:val="24"/>
          <w:highlight w:val="none"/>
        </w:rPr>
        <w:t xml:space="preserve"> 其它：本招标文件（包括答疑纪要、补充及修改文件）中招标人对材料或设备有明确要求的，投标人必须响应招标人要求，如投标人在投标文件未明确响应者视为默认；或投标人在投标文件中的虽有响应但不符合招标人要求的，视为无效响应，中标后必须按招标人要求执行。如招标人在招标文件中对材料或设备没有明确要求，则中标人必须使用合格材料或设备，主要材料和设备在使用之前通知监理工程师验收，经验收合格后方可使用。</w:t>
      </w:r>
    </w:p>
    <w:p w14:paraId="77196407">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b/>
          <w:snapToGrid w:val="0"/>
          <w:color w:val="auto"/>
          <w:sz w:val="24"/>
          <w:szCs w:val="24"/>
          <w:highlight w:val="none"/>
        </w:rPr>
      </w:pPr>
      <w:r>
        <w:rPr>
          <w:rFonts w:hint="eastAsia" w:ascii="宋体" w:hAnsi="宋体" w:eastAsia="宋体" w:cs="宋体"/>
          <w:b/>
          <w:bCs/>
          <w:snapToGrid w:val="0"/>
          <w:color w:val="auto"/>
          <w:kern w:val="0"/>
          <w:sz w:val="24"/>
          <w:szCs w:val="24"/>
          <w:highlight w:val="none"/>
        </w:rPr>
        <w:t>5.</w:t>
      </w:r>
      <w:r>
        <w:rPr>
          <w:rFonts w:hint="eastAsia" w:ascii="宋体" w:hAnsi="宋体" w:eastAsia="宋体" w:cs="宋体"/>
          <w:b/>
          <w:bCs/>
          <w:snapToGrid w:val="0"/>
          <w:color w:val="auto"/>
          <w:kern w:val="0"/>
          <w:sz w:val="24"/>
          <w:szCs w:val="24"/>
          <w:highlight w:val="none"/>
          <w:lang w:val="en-US" w:eastAsia="zh-CN"/>
        </w:rPr>
        <w:t>7</w:t>
      </w:r>
      <w:r>
        <w:rPr>
          <w:rFonts w:hint="eastAsia" w:ascii="宋体" w:hAnsi="宋体" w:eastAsia="宋体" w:cs="宋体"/>
          <w:snapToGrid w:val="0"/>
          <w:color w:val="auto"/>
          <w:kern w:val="0"/>
          <w:sz w:val="24"/>
          <w:szCs w:val="24"/>
          <w:highlight w:val="none"/>
        </w:rPr>
        <w:t xml:space="preserve"> </w:t>
      </w:r>
      <w:r>
        <w:rPr>
          <w:rFonts w:hint="eastAsia" w:ascii="宋体" w:hAnsi="宋体" w:eastAsia="宋体" w:cs="宋体"/>
          <w:color w:val="auto"/>
          <w:sz w:val="24"/>
          <w:szCs w:val="24"/>
          <w:highlight w:val="none"/>
        </w:rPr>
        <w:t>工程使用的主要材料质量要求：不低于强制标准所列的要求，主要材料必须先提供样板或相关资料给招标人同意确定其规格、型号、颜色、等级等，</w:t>
      </w:r>
      <w:r>
        <w:rPr>
          <w:rFonts w:hint="eastAsia" w:ascii="宋体" w:hAnsi="宋体" w:eastAsia="宋体" w:cs="宋体"/>
          <w:color w:val="auto"/>
          <w:sz w:val="24"/>
          <w:szCs w:val="24"/>
          <w:highlight w:val="none"/>
          <w:lang w:val="zh-CN"/>
        </w:rPr>
        <w:t>并经发包人委托的第三方检测部门检测合格</w:t>
      </w:r>
      <w:r>
        <w:rPr>
          <w:rFonts w:hint="eastAsia" w:ascii="宋体" w:hAnsi="宋体" w:eastAsia="宋体" w:cs="宋体"/>
          <w:color w:val="auto"/>
          <w:sz w:val="24"/>
          <w:szCs w:val="24"/>
          <w:highlight w:val="none"/>
        </w:rPr>
        <w:t>方可使用，所有材料必须使用合格产品。</w:t>
      </w:r>
      <w:bookmarkStart w:id="62" w:name="_Toc2752"/>
      <w:bookmarkStart w:id="63" w:name="_Toc26469"/>
    </w:p>
    <w:p w14:paraId="08FCA397">
      <w:pPr>
        <w:pStyle w:val="3"/>
        <w:pageBreakBefore w:val="0"/>
        <w:kinsoku/>
        <w:wordWrap w:val="0"/>
        <w:overflowPunct/>
        <w:topLinePunct w:val="0"/>
        <w:autoSpaceDE/>
        <w:autoSpaceDN/>
        <w:bidi w:val="0"/>
        <w:snapToGrid w:val="0"/>
        <w:spacing w:line="360" w:lineRule="auto"/>
        <w:ind w:left="0" w:leftChars="0" w:right="0" w:firstLine="482" w:firstLineChars="200"/>
        <w:jc w:val="both"/>
        <w:rPr>
          <w:rFonts w:hint="eastAsia" w:ascii="宋体" w:hAnsi="宋体" w:eastAsia="宋体" w:cs="宋体"/>
          <w:b/>
          <w:snapToGrid w:val="0"/>
          <w:color w:val="auto"/>
          <w:sz w:val="24"/>
          <w:szCs w:val="24"/>
          <w:highlight w:val="none"/>
        </w:rPr>
      </w:pPr>
    </w:p>
    <w:p w14:paraId="19E19CD1">
      <w:pPr>
        <w:pStyle w:val="4"/>
        <w:pageBreakBefore w:val="0"/>
        <w:kinsoku/>
        <w:overflowPunct/>
        <w:topLinePunct w:val="0"/>
        <w:autoSpaceDE/>
        <w:autoSpaceDN/>
        <w:bidi w:val="0"/>
        <w:spacing w:beforeLines="0" w:afterLines="0" w:line="360" w:lineRule="auto"/>
        <w:ind w:left="0" w:leftChars="0" w:right="0" w:firstLine="482" w:firstLineChars="200"/>
        <w:rPr>
          <w:rFonts w:hint="eastAsia" w:ascii="宋体" w:hAnsi="宋体" w:eastAsia="宋体" w:cs="宋体"/>
          <w:color w:val="auto"/>
          <w:sz w:val="24"/>
          <w:szCs w:val="24"/>
        </w:rPr>
      </w:pPr>
      <w:bookmarkStart w:id="64" w:name="_Toc23462"/>
      <w:r>
        <w:rPr>
          <w:rFonts w:hint="eastAsia" w:ascii="宋体" w:hAnsi="宋体" w:eastAsia="宋体" w:cs="宋体"/>
          <w:color w:val="auto"/>
          <w:sz w:val="24"/>
          <w:szCs w:val="24"/>
        </w:rPr>
        <w:t>6．施工条件及现场踏勘</w:t>
      </w:r>
      <w:bookmarkEnd w:id="61"/>
      <w:bookmarkEnd w:id="62"/>
      <w:bookmarkEnd w:id="63"/>
      <w:bookmarkEnd w:id="64"/>
    </w:p>
    <w:p w14:paraId="7851656B">
      <w:pPr>
        <w:pStyle w:val="12"/>
        <w:keepNext w:val="0"/>
        <w:keepLines w:val="0"/>
        <w:pageBreakBefore w:val="0"/>
        <w:widowControl w:val="0"/>
        <w:kinsoku/>
        <w:wordWrap w:val="0"/>
        <w:overflowPunct/>
        <w:topLinePunct w:val="0"/>
        <w:autoSpaceDE/>
        <w:autoSpaceDN/>
        <w:bidi w:val="0"/>
        <w:adjustRightInd w:val="0"/>
        <w:snapToGrid w:val="0"/>
        <w:spacing w:line="360" w:lineRule="auto"/>
        <w:ind w:left="0" w:leftChars="0" w:right="0"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6.1</w:t>
      </w:r>
      <w:r>
        <w:rPr>
          <w:rFonts w:hint="eastAsia" w:ascii="宋体" w:hAnsi="宋体" w:eastAsia="宋体" w:cs="宋体"/>
          <w:snapToGrid w:val="0"/>
          <w:color w:val="auto"/>
          <w:kern w:val="0"/>
          <w:sz w:val="24"/>
          <w:szCs w:val="24"/>
          <w:highlight w:val="none"/>
        </w:rPr>
        <w:t xml:space="preserve"> 招标人仅在本招标项目征地红线范围内提供场地，其他一切场地费用由中标人自行负责（含临时道路）。</w:t>
      </w:r>
    </w:p>
    <w:p w14:paraId="2BAA9CA2">
      <w:pPr>
        <w:keepNext w:val="0"/>
        <w:keepLines w:val="0"/>
        <w:pageBreakBefore w:val="0"/>
        <w:widowControl w:val="0"/>
        <w:kinsoku/>
        <w:wordWrap w:val="0"/>
        <w:overflowPunct/>
        <w:topLinePunct w:val="0"/>
        <w:autoSpaceDE/>
        <w:autoSpaceDN/>
        <w:bidi w:val="0"/>
        <w:adjustRightInd w:val="0"/>
        <w:snapToGrid w:val="0"/>
        <w:spacing w:line="360" w:lineRule="auto"/>
        <w:ind w:left="0" w:leftChars="0" w:right="0"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6.2</w:t>
      </w:r>
      <w:r>
        <w:rPr>
          <w:rFonts w:hint="eastAsia" w:ascii="宋体" w:hAnsi="宋体" w:eastAsia="宋体" w:cs="宋体"/>
          <w:snapToGrid w:val="0"/>
          <w:color w:val="auto"/>
          <w:kern w:val="0"/>
          <w:sz w:val="24"/>
          <w:szCs w:val="24"/>
          <w:highlight w:val="none"/>
        </w:rPr>
        <w:t xml:space="preserve"> 施工用水：</w:t>
      </w:r>
      <w:r>
        <w:rPr>
          <w:rFonts w:hint="eastAsia" w:ascii="宋体" w:hAnsi="宋体" w:eastAsia="宋体" w:cs="宋体"/>
          <w:snapToGrid w:val="0"/>
          <w:color w:val="auto"/>
          <w:kern w:val="0"/>
          <w:sz w:val="24"/>
          <w:szCs w:val="24"/>
          <w:highlight w:val="none"/>
          <w:u w:val="single"/>
        </w:rPr>
        <w:t xml:space="preserve"> 由中标人自行解决，费用考虑在投标报价中。</w:t>
      </w:r>
    </w:p>
    <w:p w14:paraId="6D0CB70F">
      <w:pPr>
        <w:keepNext w:val="0"/>
        <w:keepLines w:val="0"/>
        <w:pageBreakBefore w:val="0"/>
        <w:widowControl w:val="0"/>
        <w:kinsoku/>
        <w:wordWrap w:val="0"/>
        <w:overflowPunct/>
        <w:topLinePunct w:val="0"/>
        <w:autoSpaceDE/>
        <w:autoSpaceDN/>
        <w:bidi w:val="0"/>
        <w:adjustRightInd w:val="0"/>
        <w:snapToGrid w:val="0"/>
        <w:spacing w:line="360" w:lineRule="auto"/>
        <w:ind w:left="0" w:leftChars="0" w:right="0"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6.3</w:t>
      </w:r>
      <w:r>
        <w:rPr>
          <w:rFonts w:hint="eastAsia" w:ascii="宋体" w:hAnsi="宋体" w:eastAsia="宋体" w:cs="宋体"/>
          <w:snapToGrid w:val="0"/>
          <w:color w:val="auto"/>
          <w:kern w:val="0"/>
          <w:sz w:val="24"/>
          <w:szCs w:val="24"/>
          <w:highlight w:val="none"/>
        </w:rPr>
        <w:t xml:space="preserve"> 施工用电：</w:t>
      </w:r>
      <w:r>
        <w:rPr>
          <w:rFonts w:hint="eastAsia" w:ascii="宋体" w:hAnsi="宋体" w:eastAsia="宋体" w:cs="宋体"/>
          <w:snapToGrid w:val="0"/>
          <w:color w:val="auto"/>
          <w:kern w:val="0"/>
          <w:sz w:val="24"/>
          <w:szCs w:val="24"/>
          <w:highlight w:val="none"/>
          <w:u w:val="single"/>
        </w:rPr>
        <w:t xml:space="preserve"> 由中标人自行解决，费用考虑在投标报价中。</w:t>
      </w:r>
    </w:p>
    <w:p w14:paraId="2FF35390">
      <w:pPr>
        <w:keepNext w:val="0"/>
        <w:keepLines w:val="0"/>
        <w:pageBreakBefore w:val="0"/>
        <w:widowControl w:val="0"/>
        <w:kinsoku/>
        <w:wordWrap w:val="0"/>
        <w:overflowPunct/>
        <w:topLinePunct w:val="0"/>
        <w:autoSpaceDE/>
        <w:autoSpaceDN/>
        <w:bidi w:val="0"/>
        <w:adjustRightInd w:val="0"/>
        <w:snapToGrid w:val="0"/>
        <w:spacing w:line="360" w:lineRule="auto"/>
        <w:ind w:left="0" w:leftChars="0" w:right="0"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6.4</w:t>
      </w:r>
      <w:r>
        <w:rPr>
          <w:rFonts w:hint="eastAsia" w:ascii="宋体" w:hAnsi="宋体" w:eastAsia="宋体" w:cs="宋体"/>
          <w:snapToGrid w:val="0"/>
          <w:color w:val="auto"/>
          <w:kern w:val="0"/>
          <w:sz w:val="24"/>
          <w:szCs w:val="24"/>
          <w:highlight w:val="none"/>
        </w:rPr>
        <w:t xml:space="preserve"> </w:t>
      </w:r>
      <w:r>
        <w:rPr>
          <w:rFonts w:hint="eastAsia" w:ascii="宋体" w:hAnsi="宋体" w:eastAsia="宋体" w:cs="宋体"/>
          <w:snapToGrid w:val="0"/>
          <w:color w:val="auto"/>
          <w:kern w:val="0"/>
          <w:highlight w:val="none"/>
        </w:rPr>
        <w:t>施工用水、用电各提供一驳接点</w:t>
      </w:r>
      <w:r>
        <w:rPr>
          <w:rFonts w:hint="eastAsia" w:ascii="宋体" w:hAnsi="宋体" w:eastAsia="宋体" w:cs="宋体"/>
          <w:snapToGrid w:val="0"/>
          <w:color w:val="auto"/>
          <w:kern w:val="0"/>
          <w:highlight w:val="none"/>
          <w:lang w:val="en-US" w:eastAsia="zh-CN"/>
        </w:rPr>
        <w:t>到现场旁边</w:t>
      </w:r>
      <w:r>
        <w:rPr>
          <w:rFonts w:hint="eastAsia" w:ascii="宋体" w:hAnsi="宋体" w:eastAsia="宋体" w:cs="宋体"/>
          <w:snapToGrid w:val="0"/>
          <w:color w:val="auto"/>
          <w:kern w:val="0"/>
          <w:highlight w:val="none"/>
        </w:rPr>
        <w:t>。要求中标人单独安装水表、电表，其水、电费按项目所在地</w:t>
      </w:r>
      <w:r>
        <w:rPr>
          <w:rFonts w:hint="eastAsia" w:ascii="宋体" w:hAnsi="宋体" w:eastAsia="宋体" w:cs="宋体"/>
          <w:snapToGrid w:val="0"/>
          <w:color w:val="auto"/>
          <w:kern w:val="0"/>
          <w:highlight w:val="none"/>
          <w:u w:val="single"/>
        </w:rPr>
        <w:t>乐昌市</w:t>
      </w:r>
      <w:r>
        <w:rPr>
          <w:rFonts w:hint="eastAsia" w:ascii="宋体" w:hAnsi="宋体" w:eastAsia="宋体" w:cs="宋体"/>
          <w:snapToGrid w:val="0"/>
          <w:color w:val="auto"/>
          <w:kern w:val="0"/>
          <w:highlight w:val="none"/>
        </w:rPr>
        <w:t>基建工程水、电计费标准计算并由中标人缴纳。</w:t>
      </w:r>
    </w:p>
    <w:p w14:paraId="7467803A">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6.5</w:t>
      </w:r>
      <w:r>
        <w:rPr>
          <w:rFonts w:hint="eastAsia" w:ascii="宋体" w:hAnsi="宋体" w:eastAsia="宋体" w:cs="宋体"/>
          <w:snapToGrid w:val="0"/>
          <w:color w:val="auto"/>
          <w:kern w:val="0"/>
          <w:sz w:val="24"/>
          <w:szCs w:val="24"/>
          <w:highlight w:val="none"/>
        </w:rPr>
        <w:t xml:space="preserve"> 招标人不组织现场踏勘，但会在招标文件及有关设计文件中明确告知招标项目的具体位置和周边环境，并在现场设置足以识别的标识或提供足以表明招标项目具体位置的文字或图片。投标人需要了解现场情况的，可自行进行现场踏勘。</w:t>
      </w:r>
    </w:p>
    <w:p w14:paraId="12C0155D">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6.6</w:t>
      </w:r>
      <w:r>
        <w:rPr>
          <w:rFonts w:hint="eastAsia" w:ascii="宋体" w:hAnsi="宋体" w:eastAsia="宋体" w:cs="宋体"/>
          <w:snapToGrid w:val="0"/>
          <w:color w:val="auto"/>
          <w:kern w:val="0"/>
          <w:sz w:val="24"/>
          <w:szCs w:val="24"/>
          <w:highlight w:val="none"/>
        </w:rPr>
        <w:t xml:space="preserve"> 在现场踏勘过程中，投标人应确保自身安全，投标人如果发生人身伤亡、财物或其他损失，法律法规有规定的按有关规定处理，没有规定的由投标人自行负责。</w:t>
      </w:r>
    </w:p>
    <w:p w14:paraId="1CF78041">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b/>
          <w:snapToGrid w:val="0"/>
          <w:color w:val="auto"/>
          <w:sz w:val="24"/>
          <w:szCs w:val="24"/>
          <w:highlight w:val="none"/>
        </w:rPr>
      </w:pPr>
      <w:r>
        <w:rPr>
          <w:rFonts w:hint="eastAsia" w:ascii="宋体" w:hAnsi="宋体" w:eastAsia="宋体" w:cs="宋体"/>
          <w:b/>
          <w:bCs/>
          <w:snapToGrid w:val="0"/>
          <w:color w:val="auto"/>
          <w:kern w:val="0"/>
          <w:sz w:val="24"/>
          <w:szCs w:val="24"/>
          <w:highlight w:val="none"/>
        </w:rPr>
        <w:t>6.7</w:t>
      </w:r>
      <w:r>
        <w:rPr>
          <w:rFonts w:hint="eastAsia" w:ascii="宋体" w:hAnsi="宋体" w:eastAsia="宋体" w:cs="宋体"/>
          <w:snapToGrid w:val="0"/>
          <w:color w:val="auto"/>
          <w:kern w:val="0"/>
          <w:sz w:val="24"/>
          <w:szCs w:val="24"/>
          <w:highlight w:val="none"/>
        </w:rPr>
        <w:t xml:space="preserve"> 现场踏勘期间的交通、食宿由投标人自行安排，费用自理。</w:t>
      </w:r>
      <w:bookmarkStart w:id="65" w:name="_Toc18204"/>
    </w:p>
    <w:p w14:paraId="24C56DCB">
      <w:pPr>
        <w:pStyle w:val="3"/>
        <w:pageBreakBefore w:val="0"/>
        <w:kinsoku/>
        <w:wordWrap w:val="0"/>
        <w:overflowPunct/>
        <w:topLinePunct w:val="0"/>
        <w:autoSpaceDE/>
        <w:autoSpaceDN/>
        <w:bidi w:val="0"/>
        <w:snapToGrid w:val="0"/>
        <w:spacing w:line="360" w:lineRule="auto"/>
        <w:ind w:left="0" w:leftChars="0" w:right="0" w:firstLine="482" w:firstLineChars="200"/>
        <w:jc w:val="both"/>
        <w:rPr>
          <w:rFonts w:hint="eastAsia" w:ascii="宋体" w:hAnsi="宋体" w:eastAsia="宋体" w:cs="宋体"/>
          <w:b/>
          <w:snapToGrid w:val="0"/>
          <w:color w:val="auto"/>
          <w:sz w:val="24"/>
          <w:szCs w:val="24"/>
          <w:highlight w:val="none"/>
        </w:rPr>
      </w:pPr>
      <w:bookmarkStart w:id="66" w:name="_Toc7565"/>
      <w:bookmarkStart w:id="67" w:name="_Toc17908"/>
    </w:p>
    <w:p w14:paraId="32888A14">
      <w:pPr>
        <w:pStyle w:val="4"/>
        <w:pageBreakBefore w:val="0"/>
        <w:kinsoku/>
        <w:overflowPunct/>
        <w:topLinePunct w:val="0"/>
        <w:autoSpaceDE/>
        <w:autoSpaceDN/>
        <w:bidi w:val="0"/>
        <w:spacing w:beforeLines="0" w:afterLines="0" w:line="360" w:lineRule="auto"/>
        <w:ind w:left="0" w:leftChars="0" w:right="0" w:firstLine="482" w:firstLineChars="200"/>
        <w:rPr>
          <w:rFonts w:hint="eastAsia" w:ascii="宋体" w:hAnsi="宋体" w:eastAsia="宋体" w:cs="宋体"/>
          <w:color w:val="auto"/>
          <w:sz w:val="24"/>
          <w:szCs w:val="24"/>
        </w:rPr>
      </w:pPr>
      <w:bookmarkStart w:id="68" w:name="_Toc29845"/>
      <w:r>
        <w:rPr>
          <w:rFonts w:hint="eastAsia" w:ascii="宋体" w:hAnsi="宋体" w:eastAsia="宋体" w:cs="宋体"/>
          <w:color w:val="auto"/>
          <w:sz w:val="24"/>
          <w:szCs w:val="24"/>
        </w:rPr>
        <w:t>7．招标文件的提问和答疑</w:t>
      </w:r>
      <w:bookmarkEnd w:id="65"/>
      <w:bookmarkEnd w:id="66"/>
      <w:bookmarkEnd w:id="67"/>
      <w:bookmarkEnd w:id="68"/>
      <w:bookmarkStart w:id="69" w:name="_Hlt74496410"/>
      <w:bookmarkEnd w:id="69"/>
    </w:p>
    <w:p w14:paraId="691B5C13">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lang w:bidi="ar"/>
        </w:rPr>
      </w:pPr>
      <w:r>
        <w:rPr>
          <w:rFonts w:hint="eastAsia" w:ascii="宋体" w:hAnsi="宋体" w:eastAsia="宋体" w:cs="宋体"/>
          <w:b/>
          <w:bCs/>
          <w:snapToGrid w:val="0"/>
          <w:color w:val="auto"/>
          <w:kern w:val="0"/>
          <w:sz w:val="24"/>
          <w:szCs w:val="24"/>
          <w:highlight w:val="none"/>
        </w:rPr>
        <w:t>7.1</w:t>
      </w:r>
      <w:r>
        <w:rPr>
          <w:rFonts w:hint="eastAsia" w:ascii="宋体" w:hAnsi="宋体" w:eastAsia="宋体" w:cs="宋体"/>
          <w:snapToGrid w:val="0"/>
          <w:color w:val="auto"/>
          <w:kern w:val="0"/>
          <w:sz w:val="24"/>
          <w:szCs w:val="24"/>
          <w:highlight w:val="none"/>
        </w:rPr>
        <w:t xml:space="preserve"> 投标人若对招标文件（含施工图、招标工程量清单）有疑问，应在提问截止时间（见本章第二节“重要事项时间地点一览表”）前使用建设工程交易系统提出问题。未在指定时间前、未采用指定方式提出的，招标人不予受理</w:t>
      </w:r>
      <w:r>
        <w:rPr>
          <w:rFonts w:hint="eastAsia" w:ascii="宋体" w:hAnsi="宋体" w:eastAsia="宋体" w:cs="宋体"/>
          <w:snapToGrid w:val="0"/>
          <w:color w:val="auto"/>
          <w:kern w:val="0"/>
          <w:sz w:val="24"/>
          <w:szCs w:val="24"/>
          <w:highlight w:val="none"/>
          <w:lang w:bidi="ar"/>
        </w:rPr>
        <w:t>。</w:t>
      </w:r>
    </w:p>
    <w:p w14:paraId="322C7C4E">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 xml:space="preserve">7.2 </w:t>
      </w:r>
      <w:r>
        <w:rPr>
          <w:rFonts w:hint="eastAsia" w:ascii="宋体" w:hAnsi="宋体" w:eastAsia="宋体" w:cs="宋体"/>
          <w:snapToGrid w:val="0"/>
          <w:color w:val="auto"/>
          <w:kern w:val="0"/>
          <w:sz w:val="24"/>
          <w:szCs w:val="24"/>
          <w:highlight w:val="none"/>
        </w:rPr>
        <w:t>招标人在提问截止时间（见本章第二节“重要事项时间地点一览表”）后3日内，一次性对收到的所有问题作出答复，并形成答疑（或修改）公告在发布招标公告的媒介上公开发布。答疑（或修改）公告一旦发布，即视所有潜在投标人已经知悉答疑（或修改）内容，投标人未及时关注而造成的损失和后果，由投标人自行承担。</w:t>
      </w:r>
    </w:p>
    <w:p w14:paraId="74BD811A">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b/>
          <w:snapToGrid w:val="0"/>
          <w:color w:val="auto"/>
          <w:sz w:val="24"/>
          <w:szCs w:val="24"/>
          <w:highlight w:val="none"/>
        </w:rPr>
      </w:pPr>
      <w:r>
        <w:rPr>
          <w:rFonts w:hint="eastAsia" w:ascii="宋体" w:hAnsi="宋体" w:eastAsia="宋体" w:cs="宋体"/>
          <w:b/>
          <w:bCs/>
          <w:snapToGrid w:val="0"/>
          <w:color w:val="auto"/>
          <w:kern w:val="0"/>
          <w:sz w:val="24"/>
          <w:szCs w:val="24"/>
          <w:highlight w:val="none"/>
        </w:rPr>
        <w:t>7.3</w:t>
      </w:r>
      <w:r>
        <w:rPr>
          <w:rFonts w:hint="eastAsia" w:ascii="宋体" w:hAnsi="宋体" w:eastAsia="宋体" w:cs="宋体"/>
          <w:snapToGrid w:val="0"/>
          <w:color w:val="auto"/>
          <w:kern w:val="0"/>
          <w:sz w:val="24"/>
          <w:szCs w:val="24"/>
          <w:highlight w:val="none"/>
        </w:rPr>
        <w:t xml:space="preserve"> 招标人对招标文件所作的答疑（或修改）公告，构成招标文件的组成部分。</w:t>
      </w:r>
      <w:bookmarkStart w:id="70" w:name="_Hlt92513715"/>
      <w:bookmarkEnd w:id="70"/>
      <w:bookmarkStart w:id="71" w:name="_Hlt69699188"/>
      <w:bookmarkEnd w:id="71"/>
      <w:bookmarkStart w:id="72" w:name="_Hlt92513711"/>
      <w:bookmarkEnd w:id="72"/>
      <w:bookmarkStart w:id="73" w:name="_Toc12685"/>
      <w:bookmarkStart w:id="74" w:name="_Toc15556"/>
      <w:bookmarkStart w:id="75" w:name="_Toc29680"/>
    </w:p>
    <w:p w14:paraId="7161F84D">
      <w:pPr>
        <w:pStyle w:val="3"/>
        <w:pageBreakBefore w:val="0"/>
        <w:kinsoku/>
        <w:wordWrap w:val="0"/>
        <w:overflowPunct/>
        <w:topLinePunct w:val="0"/>
        <w:autoSpaceDE/>
        <w:autoSpaceDN/>
        <w:bidi w:val="0"/>
        <w:snapToGrid w:val="0"/>
        <w:spacing w:line="360" w:lineRule="auto"/>
        <w:ind w:left="0" w:leftChars="0" w:right="0" w:firstLine="482" w:firstLineChars="200"/>
        <w:jc w:val="both"/>
        <w:rPr>
          <w:rFonts w:hint="eastAsia" w:ascii="宋体" w:hAnsi="宋体" w:eastAsia="宋体" w:cs="宋体"/>
          <w:b/>
          <w:snapToGrid w:val="0"/>
          <w:color w:val="auto"/>
          <w:sz w:val="24"/>
          <w:szCs w:val="24"/>
          <w:highlight w:val="none"/>
        </w:rPr>
      </w:pPr>
    </w:p>
    <w:bookmarkEnd w:id="73"/>
    <w:bookmarkEnd w:id="74"/>
    <w:p w14:paraId="170D590C">
      <w:pPr>
        <w:pStyle w:val="4"/>
        <w:pageBreakBefore w:val="0"/>
        <w:kinsoku/>
        <w:overflowPunct/>
        <w:topLinePunct w:val="0"/>
        <w:autoSpaceDE/>
        <w:autoSpaceDN/>
        <w:bidi w:val="0"/>
        <w:spacing w:beforeLines="0" w:afterLines="0" w:line="360" w:lineRule="auto"/>
        <w:ind w:left="0" w:leftChars="0" w:right="0" w:firstLine="482" w:firstLineChars="200"/>
        <w:rPr>
          <w:rFonts w:hint="eastAsia" w:ascii="宋体" w:hAnsi="宋体" w:eastAsia="宋体" w:cs="宋体"/>
          <w:color w:val="auto"/>
          <w:sz w:val="24"/>
          <w:szCs w:val="24"/>
          <w:lang w:eastAsia="zh-CN"/>
        </w:rPr>
      </w:pPr>
      <w:bookmarkStart w:id="76" w:name="_Toc21026"/>
      <w:r>
        <w:rPr>
          <w:rFonts w:hint="eastAsia" w:ascii="宋体" w:hAnsi="宋体" w:eastAsia="宋体" w:cs="宋体"/>
          <w:color w:val="auto"/>
          <w:sz w:val="24"/>
          <w:szCs w:val="24"/>
        </w:rPr>
        <w:t>8．</w:t>
      </w:r>
      <w:bookmarkEnd w:id="76"/>
      <w:r>
        <w:rPr>
          <w:rFonts w:hint="eastAsia" w:ascii="宋体" w:hAnsi="宋体" w:eastAsia="宋体" w:cs="宋体"/>
          <w:color w:val="auto"/>
          <w:sz w:val="24"/>
          <w:szCs w:val="24"/>
          <w:lang w:eastAsia="zh-CN"/>
        </w:rPr>
        <w:t>最高投标限价</w:t>
      </w:r>
    </w:p>
    <w:p w14:paraId="569EAAB0">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8.1</w:t>
      </w:r>
      <w:r>
        <w:rPr>
          <w:rFonts w:hint="eastAsia" w:ascii="宋体" w:hAnsi="宋体" w:eastAsia="宋体" w:cs="宋体"/>
          <w:snapToGrid w:val="0"/>
          <w:color w:val="auto"/>
          <w:kern w:val="0"/>
          <w:sz w:val="24"/>
          <w:szCs w:val="24"/>
          <w:highlight w:val="none"/>
        </w:rPr>
        <w:t xml:space="preserve"> 本招标项目按照以下依据编制</w:t>
      </w:r>
      <w:r>
        <w:rPr>
          <w:rFonts w:hint="eastAsia" w:ascii="宋体" w:hAnsi="宋体" w:eastAsia="宋体" w:cs="宋体"/>
          <w:snapToGrid w:val="0"/>
          <w:color w:val="auto"/>
          <w:kern w:val="0"/>
          <w:sz w:val="24"/>
          <w:szCs w:val="24"/>
          <w:highlight w:val="none"/>
          <w:lang w:eastAsia="zh-CN"/>
        </w:rPr>
        <w:t>最高投标限价</w:t>
      </w:r>
      <w:r>
        <w:rPr>
          <w:rFonts w:hint="eastAsia" w:ascii="宋体" w:hAnsi="宋体" w:eastAsia="宋体" w:cs="宋体"/>
          <w:snapToGrid w:val="0"/>
          <w:color w:val="auto"/>
          <w:kern w:val="0"/>
          <w:sz w:val="24"/>
          <w:szCs w:val="24"/>
          <w:highlight w:val="none"/>
        </w:rPr>
        <w:t>：</w:t>
      </w:r>
    </w:p>
    <w:p w14:paraId="78D837A7">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w:t>
      </w:r>
      <w:r>
        <w:rPr>
          <w:rFonts w:hint="eastAsia" w:ascii="宋体" w:hAnsi="宋体" w:eastAsia="宋体" w:cs="宋体"/>
          <w:snapToGrid w:val="0"/>
          <w:color w:val="auto"/>
          <w:kern w:val="0"/>
          <w:sz w:val="24"/>
          <w:szCs w:val="24"/>
          <w:highlight w:val="none"/>
          <w:lang w:eastAsia="zh-CN"/>
        </w:rPr>
        <w:t>《建设工程工程量清单计价标准》(GB/T50500-2024)</w:t>
      </w:r>
      <w:r>
        <w:rPr>
          <w:rFonts w:hint="eastAsia" w:ascii="宋体" w:hAnsi="宋体" w:eastAsia="宋体" w:cs="宋体"/>
          <w:snapToGrid w:val="0"/>
          <w:color w:val="auto"/>
          <w:kern w:val="0"/>
          <w:sz w:val="24"/>
          <w:szCs w:val="24"/>
          <w:highlight w:val="none"/>
        </w:rPr>
        <w:t>；</w:t>
      </w:r>
    </w:p>
    <w:p w14:paraId="517A7435">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lang w:val="en-US" w:eastAsia="zh-CN"/>
        </w:rPr>
        <w:t>2</w:t>
      </w: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lang w:val="en-US" w:eastAsia="zh-CN"/>
        </w:rPr>
        <w:t>《广东省建设工程计价依据（2018）》。具体包括：《广东省房屋建筑与装饰工程综合定额（2018）》《广东省市政工程综合定额（2018）》《广东省通用安装工程综合定额（2018）》《广东省园林绿化工程综合定额（2018）》《广东省建设工程施工机具台班费用编制规则（2018）》等；</w:t>
      </w:r>
    </w:p>
    <w:p w14:paraId="41CA9D5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lang w:val="en-US" w:eastAsia="zh-CN"/>
        </w:rPr>
      </w:pPr>
      <w:r>
        <w:rPr>
          <w:rFonts w:hint="eastAsia" w:ascii="宋体" w:hAnsi="宋体" w:eastAsia="宋体" w:cs="宋体"/>
          <w:snapToGrid w:val="0"/>
          <w:color w:val="auto"/>
          <w:kern w:val="0"/>
          <w:sz w:val="24"/>
          <w:szCs w:val="24"/>
          <w:highlight w:val="none"/>
          <w:lang w:val="en-US" w:eastAsia="zh-CN"/>
        </w:rPr>
        <w:t>（3）《房屋建筑与装饰工程工程量计算标准》(GB/T50854-2024)；</w:t>
      </w:r>
    </w:p>
    <w:p w14:paraId="75DF1313">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lang w:val="en-US" w:eastAsia="zh-CN"/>
        </w:rPr>
        <w:t>4</w:t>
      </w:r>
      <w:r>
        <w:rPr>
          <w:rFonts w:hint="eastAsia" w:ascii="宋体" w:hAnsi="宋体" w:eastAsia="宋体" w:cs="宋体"/>
          <w:snapToGrid w:val="0"/>
          <w:color w:val="auto"/>
          <w:kern w:val="0"/>
          <w:sz w:val="24"/>
          <w:szCs w:val="24"/>
          <w:highlight w:val="none"/>
        </w:rPr>
        <w:t>）施工图及相关资料；</w:t>
      </w:r>
    </w:p>
    <w:p w14:paraId="769F8315">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lang w:val="en-US" w:eastAsia="zh-CN"/>
        </w:rPr>
        <w:t>5</w:t>
      </w:r>
      <w:r>
        <w:rPr>
          <w:rFonts w:hint="eastAsia" w:ascii="宋体" w:hAnsi="宋体" w:eastAsia="宋体" w:cs="宋体"/>
          <w:snapToGrid w:val="0"/>
          <w:color w:val="auto"/>
          <w:kern w:val="0"/>
          <w:sz w:val="24"/>
          <w:szCs w:val="24"/>
          <w:highlight w:val="none"/>
        </w:rPr>
        <w:t>）招标文件及招标工程量清单；</w:t>
      </w:r>
    </w:p>
    <w:p w14:paraId="5CC36838">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lang w:val="en-US" w:eastAsia="zh-CN"/>
        </w:rPr>
        <w:t>6</w:t>
      </w:r>
      <w:r>
        <w:rPr>
          <w:rFonts w:hint="eastAsia" w:ascii="宋体" w:hAnsi="宋体" w:eastAsia="宋体" w:cs="宋体"/>
          <w:snapToGrid w:val="0"/>
          <w:color w:val="auto"/>
          <w:kern w:val="0"/>
          <w:sz w:val="24"/>
          <w:szCs w:val="24"/>
          <w:highlight w:val="none"/>
        </w:rPr>
        <w:t>）施工现场情况、工程特点及常规施工方案；</w:t>
      </w:r>
    </w:p>
    <w:p w14:paraId="00CF2A59">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lang w:val="en-US" w:eastAsia="zh-CN"/>
        </w:rPr>
        <w:t>7</w:t>
      </w:r>
      <w:r>
        <w:rPr>
          <w:rFonts w:hint="eastAsia" w:ascii="宋体" w:hAnsi="宋体" w:eastAsia="宋体" w:cs="宋体"/>
          <w:snapToGrid w:val="0"/>
          <w:color w:val="auto"/>
          <w:kern w:val="0"/>
          <w:sz w:val="24"/>
          <w:szCs w:val="24"/>
          <w:highlight w:val="none"/>
        </w:rPr>
        <w:t>）项目所在地工程造价管理机构发布的工程造价信息，工程造价信息缺项的，参照市场价格；</w:t>
      </w:r>
    </w:p>
    <w:p w14:paraId="3B78A1B0">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lang w:val="en-US" w:eastAsia="zh-CN"/>
        </w:rPr>
        <w:t>8</w:t>
      </w:r>
      <w:r>
        <w:rPr>
          <w:rFonts w:hint="eastAsia" w:ascii="宋体" w:hAnsi="宋体" w:eastAsia="宋体" w:cs="宋体"/>
          <w:snapToGrid w:val="0"/>
          <w:color w:val="auto"/>
          <w:kern w:val="0"/>
          <w:sz w:val="24"/>
          <w:szCs w:val="24"/>
          <w:highlight w:val="none"/>
        </w:rPr>
        <w:t>）与建设项目相关的标准、规范、技术资料。</w:t>
      </w:r>
    </w:p>
    <w:p w14:paraId="5F063D32">
      <w:pPr>
        <w:wordWrap w:val="0"/>
        <w:adjustRightInd w:val="0"/>
        <w:snapToGrid w:val="0"/>
        <w:spacing w:line="360" w:lineRule="auto"/>
        <w:ind w:firstLine="482" w:firstLineChars="200"/>
        <w:rPr>
          <w:rFonts w:hint="eastAsia" w:ascii="宋体" w:hAnsi="宋体" w:eastAsia="宋体" w:cs="宋体"/>
          <w:b/>
          <w:bCs/>
          <w:snapToGrid w:val="0"/>
          <w:color w:val="auto"/>
          <w:kern w:val="0"/>
          <w:sz w:val="24"/>
          <w:szCs w:val="24"/>
          <w:highlight w:val="none"/>
        </w:rPr>
      </w:pPr>
      <w:r>
        <w:rPr>
          <w:rFonts w:hint="eastAsia" w:ascii="宋体" w:hAnsi="宋体" w:eastAsia="宋体" w:cs="宋体"/>
          <w:b/>
          <w:bCs/>
          <w:color w:val="auto"/>
          <w:sz w:val="24"/>
          <w:szCs w:val="24"/>
          <w:highlight w:val="none"/>
          <w:shd w:val="clear" w:fill="FFFFFF"/>
          <w:lang w:val="en-US" w:eastAsia="zh-CN"/>
        </w:rPr>
        <w:t>8.2</w:t>
      </w:r>
      <w:r>
        <w:rPr>
          <w:rFonts w:hint="eastAsia" w:ascii="宋体" w:hAnsi="宋体" w:eastAsia="宋体" w:cs="宋体"/>
          <w:b/>
          <w:bCs/>
          <w:color w:val="auto"/>
          <w:sz w:val="24"/>
          <w:szCs w:val="24"/>
          <w:highlight w:val="none"/>
          <w:shd w:val="clear" w:fill="FFFFFF"/>
        </w:rPr>
        <w:t>本项目的</w:t>
      </w:r>
      <w:r>
        <w:rPr>
          <w:rFonts w:hint="eastAsia" w:ascii="宋体" w:hAnsi="宋体" w:eastAsia="宋体" w:cs="宋体"/>
          <w:b/>
          <w:bCs/>
          <w:color w:val="auto"/>
          <w:sz w:val="24"/>
          <w:szCs w:val="24"/>
          <w:highlight w:val="none"/>
          <w:shd w:val="clear" w:fill="FFFFFF"/>
          <w:lang w:val="en-US" w:eastAsia="zh-CN"/>
        </w:rPr>
        <w:t>最高投标限价</w:t>
      </w:r>
      <w:r>
        <w:rPr>
          <w:rFonts w:hint="eastAsia" w:ascii="宋体" w:hAnsi="宋体" w:eastAsia="宋体" w:cs="宋体"/>
          <w:b/>
          <w:bCs/>
          <w:color w:val="auto"/>
          <w:sz w:val="24"/>
          <w:szCs w:val="24"/>
          <w:highlight w:val="none"/>
          <w:shd w:val="clear" w:fill="FFFFFF"/>
        </w:rPr>
        <w:t>为人民币（大写）：</w:t>
      </w:r>
      <w:r>
        <w:rPr>
          <w:rFonts w:hint="eastAsia" w:ascii="宋体" w:hAnsi="宋体" w:eastAsia="宋体" w:cs="宋体"/>
          <w:b/>
          <w:bCs/>
          <w:color w:val="auto"/>
          <w:sz w:val="24"/>
          <w:szCs w:val="24"/>
          <w:highlight w:val="none"/>
          <w:u w:val="single"/>
          <w:shd w:val="clear" w:fill="FFFFFF"/>
          <w:lang w:val="en-US" w:eastAsia="zh-CN"/>
        </w:rPr>
        <w:t>壹仟捌佰叁拾柒万柒仟壹佰贰拾肆元玖角捌分</w:t>
      </w:r>
      <w:r>
        <w:rPr>
          <w:rFonts w:hint="eastAsia" w:ascii="宋体" w:hAnsi="宋体" w:eastAsia="宋体" w:cs="宋体"/>
          <w:b/>
          <w:bCs/>
          <w:color w:val="auto"/>
          <w:sz w:val="24"/>
          <w:szCs w:val="24"/>
          <w:highlight w:val="none"/>
          <w:shd w:val="clear" w:fill="FFFFFF"/>
        </w:rPr>
        <w:t>(</w:t>
      </w:r>
      <w:r>
        <w:rPr>
          <w:rFonts w:hint="eastAsia" w:ascii="宋体" w:hAnsi="宋体" w:eastAsia="宋体" w:cs="宋体"/>
          <w:b/>
          <w:bCs/>
          <w:color w:val="auto"/>
          <w:sz w:val="24"/>
          <w:szCs w:val="24"/>
          <w:highlight w:val="none"/>
          <w:shd w:val="clear" w:fill="FFFFFF"/>
          <w:lang w:val="en-US" w:eastAsia="zh-CN"/>
        </w:rPr>
        <w:t>小写：</w:t>
      </w:r>
      <w:r>
        <w:rPr>
          <w:rFonts w:hint="eastAsia" w:ascii="宋体" w:hAnsi="宋体" w:eastAsia="宋体" w:cs="宋体"/>
          <w:b/>
          <w:bCs/>
          <w:snapToGrid w:val="0"/>
          <w:color w:val="auto"/>
          <w:kern w:val="0"/>
          <w:highlight w:val="none"/>
        </w:rPr>
        <w:t>¥</w:t>
      </w:r>
      <w:r>
        <w:rPr>
          <w:rFonts w:hint="eastAsia" w:ascii="宋体" w:hAnsi="宋体" w:eastAsia="宋体" w:cs="宋体"/>
          <w:b/>
          <w:bCs/>
          <w:color w:val="auto"/>
          <w:sz w:val="24"/>
          <w:szCs w:val="24"/>
          <w:highlight w:val="none"/>
          <w:u w:val="single"/>
          <w:shd w:val="clear" w:fill="FFFFFF"/>
          <w:lang w:val="en-US" w:eastAsia="zh-CN"/>
        </w:rPr>
        <w:t>18377124.98</w:t>
      </w:r>
      <w:r>
        <w:rPr>
          <w:rFonts w:hint="eastAsia" w:ascii="宋体" w:hAnsi="宋体" w:eastAsia="宋体" w:cs="宋体"/>
          <w:b/>
          <w:bCs/>
          <w:color w:val="auto"/>
          <w:sz w:val="24"/>
          <w:szCs w:val="24"/>
          <w:highlight w:val="none"/>
          <w:shd w:val="clear" w:fill="FFFFFF"/>
        </w:rPr>
        <w:t>元)；其中</w:t>
      </w:r>
      <w:r>
        <w:rPr>
          <w:rFonts w:hint="eastAsia" w:ascii="宋体" w:hAnsi="宋体" w:eastAsia="宋体" w:cs="宋体"/>
          <w:b/>
          <w:bCs/>
          <w:color w:val="auto"/>
          <w:sz w:val="24"/>
          <w:szCs w:val="24"/>
          <w:highlight w:val="none"/>
          <w:shd w:val="clear" w:fill="FFFFFF"/>
          <w:lang w:eastAsia="zh-CN"/>
        </w:rPr>
        <w:t>安全生产措施费</w:t>
      </w:r>
      <w:r>
        <w:rPr>
          <w:rFonts w:hint="eastAsia" w:ascii="宋体" w:hAnsi="宋体" w:eastAsia="宋体" w:cs="宋体"/>
          <w:b/>
          <w:bCs/>
          <w:color w:val="auto"/>
          <w:sz w:val="24"/>
          <w:szCs w:val="24"/>
          <w:highlight w:val="none"/>
          <w:shd w:val="clear" w:fill="FFFFFF"/>
        </w:rPr>
        <w:t>¥</w:t>
      </w:r>
      <w:r>
        <w:rPr>
          <w:rFonts w:hint="eastAsia" w:ascii="宋体" w:hAnsi="宋体" w:eastAsia="宋体" w:cs="宋体"/>
          <w:b/>
          <w:bCs/>
          <w:color w:val="auto"/>
          <w:sz w:val="24"/>
          <w:szCs w:val="24"/>
          <w:highlight w:val="none"/>
          <w:u w:val="single"/>
          <w:shd w:val="clear" w:fill="FFFFFF"/>
          <w:lang w:val="en-US" w:eastAsia="zh-CN"/>
        </w:rPr>
        <w:t>430716.85</w:t>
      </w:r>
      <w:r>
        <w:rPr>
          <w:rFonts w:hint="eastAsia" w:ascii="宋体" w:hAnsi="宋体" w:eastAsia="宋体" w:cs="宋体"/>
          <w:b/>
          <w:bCs/>
          <w:color w:val="auto"/>
          <w:sz w:val="24"/>
          <w:szCs w:val="24"/>
          <w:highlight w:val="none"/>
          <w:shd w:val="clear" w:fill="FFFFFF"/>
        </w:rPr>
        <w:t>元，</w:t>
      </w:r>
      <w:r>
        <w:rPr>
          <w:rFonts w:hint="eastAsia" w:ascii="宋体" w:hAnsi="宋体" w:eastAsia="宋体" w:cs="宋体"/>
          <w:b/>
          <w:bCs/>
          <w:color w:val="auto"/>
          <w:sz w:val="24"/>
          <w:szCs w:val="24"/>
          <w:highlight w:val="none"/>
          <w:shd w:val="clear" w:fill="FFFFFF"/>
          <w:lang w:val="en-US" w:eastAsia="zh-CN"/>
        </w:rPr>
        <w:t>暂列金额</w:t>
      </w:r>
      <w:r>
        <w:rPr>
          <w:rFonts w:hint="eastAsia" w:ascii="宋体" w:hAnsi="宋体" w:eastAsia="宋体" w:cs="宋体"/>
          <w:b/>
          <w:bCs/>
          <w:color w:val="auto"/>
          <w:sz w:val="24"/>
          <w:szCs w:val="24"/>
          <w:highlight w:val="none"/>
          <w:shd w:val="clear" w:fill="FFFFFF"/>
        </w:rPr>
        <w:t>为</w:t>
      </w:r>
      <w:r>
        <w:rPr>
          <w:rFonts w:hint="eastAsia" w:ascii="宋体" w:hAnsi="宋体" w:eastAsia="宋体" w:cs="宋体"/>
          <w:b/>
          <w:bCs/>
          <w:snapToGrid w:val="0"/>
          <w:color w:val="auto"/>
          <w:kern w:val="0"/>
          <w:highlight w:val="none"/>
        </w:rPr>
        <w:t>¥</w:t>
      </w:r>
      <w:r>
        <w:rPr>
          <w:rFonts w:hint="eastAsia" w:ascii="宋体" w:hAnsi="宋体" w:eastAsia="宋体" w:cs="宋体"/>
          <w:b/>
          <w:bCs/>
          <w:color w:val="auto"/>
          <w:sz w:val="24"/>
          <w:szCs w:val="24"/>
          <w:highlight w:val="none"/>
          <w:u w:val="single"/>
          <w:shd w:val="clear" w:fill="FFFFFF"/>
          <w:lang w:val="en-US" w:eastAsia="zh-CN"/>
        </w:rPr>
        <w:t>378000.00</w:t>
      </w:r>
      <w:r>
        <w:rPr>
          <w:rFonts w:hint="eastAsia" w:ascii="宋体" w:hAnsi="宋体" w:eastAsia="宋体" w:cs="宋体"/>
          <w:b/>
          <w:bCs/>
          <w:color w:val="auto"/>
          <w:sz w:val="24"/>
          <w:szCs w:val="24"/>
          <w:highlight w:val="none"/>
          <w:shd w:val="clear" w:fill="FFFFFF"/>
        </w:rPr>
        <w:t>元</w:t>
      </w:r>
      <w:r>
        <w:rPr>
          <w:rFonts w:hint="eastAsia" w:ascii="宋体" w:hAnsi="宋体" w:eastAsia="宋体" w:cs="宋体"/>
          <w:b/>
          <w:bCs/>
          <w:color w:val="auto"/>
          <w:sz w:val="24"/>
          <w:szCs w:val="24"/>
          <w:highlight w:val="none"/>
          <w:shd w:val="clear" w:fill="FFFFFF"/>
          <w:lang w:eastAsia="zh-CN"/>
        </w:rPr>
        <w:t>，</w:t>
      </w:r>
      <w:r>
        <w:rPr>
          <w:rFonts w:hint="eastAsia" w:ascii="宋体" w:hAnsi="宋体" w:eastAsia="宋体" w:cs="宋体"/>
          <w:b/>
          <w:bCs/>
          <w:color w:val="auto"/>
          <w:sz w:val="24"/>
          <w:szCs w:val="24"/>
          <w:highlight w:val="none"/>
          <w:shd w:val="clear" w:fill="FFFFFF"/>
          <w:lang w:val="en-US" w:eastAsia="zh-CN"/>
        </w:rPr>
        <w:t>暂估价</w:t>
      </w:r>
      <w:r>
        <w:rPr>
          <w:rFonts w:hint="eastAsia" w:ascii="宋体" w:hAnsi="宋体" w:eastAsia="宋体" w:cs="宋体"/>
          <w:b/>
          <w:bCs/>
          <w:color w:val="auto"/>
          <w:sz w:val="24"/>
          <w:szCs w:val="24"/>
          <w:highlight w:val="none"/>
          <w:shd w:val="clear" w:fill="FFFFFF"/>
        </w:rPr>
        <w:t>为</w:t>
      </w:r>
      <w:r>
        <w:rPr>
          <w:rFonts w:hint="eastAsia" w:ascii="宋体" w:hAnsi="宋体" w:eastAsia="宋体" w:cs="宋体"/>
          <w:b/>
          <w:bCs/>
          <w:snapToGrid w:val="0"/>
          <w:color w:val="auto"/>
          <w:kern w:val="0"/>
          <w:highlight w:val="none"/>
        </w:rPr>
        <w:t>¥</w:t>
      </w:r>
      <w:r>
        <w:rPr>
          <w:rFonts w:hint="eastAsia" w:ascii="宋体" w:hAnsi="宋体" w:eastAsia="宋体" w:cs="宋体"/>
          <w:b/>
          <w:bCs/>
          <w:color w:val="auto"/>
          <w:sz w:val="24"/>
          <w:szCs w:val="24"/>
          <w:highlight w:val="none"/>
          <w:u w:val="single"/>
          <w:shd w:val="clear" w:fill="FFFFFF"/>
          <w:lang w:val="en-US" w:eastAsia="zh-CN"/>
        </w:rPr>
        <w:t>/</w:t>
      </w:r>
      <w:r>
        <w:rPr>
          <w:rFonts w:hint="eastAsia" w:ascii="宋体" w:hAnsi="宋体" w:eastAsia="宋体" w:cs="宋体"/>
          <w:b/>
          <w:bCs/>
          <w:color w:val="auto"/>
          <w:sz w:val="24"/>
          <w:szCs w:val="24"/>
          <w:highlight w:val="none"/>
          <w:shd w:val="clear" w:fill="FFFFFF"/>
        </w:rPr>
        <w:t>元。</w:t>
      </w:r>
    </w:p>
    <w:p w14:paraId="26E433D6">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8.3</w:t>
      </w:r>
      <w:r>
        <w:rPr>
          <w:rFonts w:hint="eastAsia" w:ascii="宋体" w:hAnsi="宋体" w:eastAsia="宋体" w:cs="宋体"/>
          <w:snapToGrid w:val="0"/>
          <w:color w:val="auto"/>
          <w:kern w:val="0"/>
          <w:sz w:val="24"/>
          <w:szCs w:val="24"/>
          <w:highlight w:val="none"/>
        </w:rPr>
        <w:t xml:space="preserve"> 暂估价指招标工程量清单中提供的用于支付必然发生但暂时不能确定价格的材料、工程设备的单价以及专业工程的金额；暂列金额指招标工程量清单中暂定并包括在合同价款中的一笔款项，用于工程合同签订时尚未确定或者不可预见的所需材料、工程设备、服务的采购，施工中可能发生的工程变更、合同约定调整因素出现时的合同价款调整以及发生的索赔、现场签证确认等的费用。</w:t>
      </w:r>
    </w:p>
    <w:p w14:paraId="5DDF4C56">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8.4</w:t>
      </w:r>
      <w:r>
        <w:rPr>
          <w:rFonts w:hint="eastAsia" w:ascii="宋体" w:hAnsi="宋体" w:eastAsia="宋体" w:cs="宋体"/>
          <w:snapToGrid w:val="0"/>
          <w:color w:val="auto"/>
          <w:kern w:val="0"/>
          <w:sz w:val="24"/>
          <w:szCs w:val="24"/>
          <w:highlight w:val="none"/>
        </w:rPr>
        <w:t xml:space="preserve"> 本招标项目以暂估价形式列入招标工程量清单中的材料、工程设备、专业工程（以下统称“暂估价项目”）包括：</w:t>
      </w:r>
      <w:r>
        <w:rPr>
          <w:rFonts w:hint="eastAsia" w:ascii="宋体" w:hAnsi="宋体" w:eastAsia="宋体" w:cs="宋体"/>
          <w:snapToGrid w:val="0"/>
          <w:color w:val="auto"/>
          <w:kern w:val="0"/>
          <w:sz w:val="24"/>
          <w:szCs w:val="24"/>
          <w:highlight w:val="none"/>
          <w:u w:val="single"/>
        </w:rPr>
        <w:t>为招标人在工程量清单中提供的用于支付必然发生但暂时不能确定价格的材料、工程设备的单价以及专业工程的金额。投标人必须按招标工程量清单中列出的单价、金额统一报价，其结算原则按本招标文件相关条款执行</w:t>
      </w:r>
      <w:r>
        <w:rPr>
          <w:rFonts w:hint="eastAsia" w:ascii="宋体" w:hAnsi="宋体" w:eastAsia="宋体" w:cs="宋体"/>
          <w:snapToGrid w:val="0"/>
          <w:color w:val="auto"/>
          <w:kern w:val="0"/>
          <w:sz w:val="24"/>
          <w:szCs w:val="24"/>
          <w:highlight w:val="none"/>
        </w:rPr>
        <w:t>。</w:t>
      </w:r>
    </w:p>
    <w:p w14:paraId="6E91E6D2">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8.5</w:t>
      </w:r>
      <w:r>
        <w:rPr>
          <w:rFonts w:hint="eastAsia" w:ascii="宋体" w:hAnsi="宋体" w:eastAsia="宋体" w:cs="宋体"/>
          <w:snapToGrid w:val="0"/>
          <w:color w:val="auto"/>
          <w:kern w:val="0"/>
          <w:sz w:val="24"/>
          <w:szCs w:val="24"/>
          <w:highlight w:val="none"/>
        </w:rPr>
        <w:t xml:space="preserve"> 当暂估价项目的内容、标准、要求在项目实施过程中得以深化、明确、固定后，按以下原则发包：</w:t>
      </w:r>
    </w:p>
    <w:p w14:paraId="1A0A5730">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（1）暂估价项目按工程、货物（指材料或工程设备，下同）的类别分类汇总的金额，达到必须招标规模标准的，由</w:t>
      </w:r>
      <w:r>
        <w:rPr>
          <w:rFonts w:hint="eastAsia" w:ascii="宋体" w:hAnsi="宋体" w:eastAsia="宋体" w:cs="宋体"/>
          <w:snapToGrid w:val="0"/>
          <w:color w:val="auto"/>
          <w:kern w:val="0"/>
          <w:sz w:val="24"/>
          <w:szCs w:val="24"/>
          <w:highlight w:val="none"/>
          <w:u w:val="single"/>
        </w:rPr>
        <w:t xml:space="preserve"> 中标人招标，招标人参与管理 </w:t>
      </w:r>
      <w:r>
        <w:rPr>
          <w:rFonts w:hint="eastAsia" w:ascii="宋体" w:hAnsi="宋体" w:eastAsia="宋体" w:cs="宋体"/>
          <w:snapToGrid w:val="0"/>
          <w:color w:val="auto"/>
          <w:kern w:val="0"/>
          <w:sz w:val="24"/>
          <w:szCs w:val="24"/>
          <w:highlight w:val="none"/>
        </w:rPr>
        <w:t>，确定专业工程承包人（或材料、工程设备供应商）和合同价格。</w:t>
      </w:r>
    </w:p>
    <w:p w14:paraId="6FE77746">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（2）暂估价项目按工程、货物的类别分类汇总的金额，未达到必须招标规模标准但适用政府采购规定的，按照政府采购规定确定专业工程承包人（或材料、工程设备供应商）和合同价格。</w:t>
      </w:r>
    </w:p>
    <w:p w14:paraId="49BC859B">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暂估价项目按工程、货物的类别分类汇总的金额，未达到必须招标规模标准也不适用政府采购规定，中标人具备相应资格条件的，由中标人承包；中标人不具备相应资格条件但具备分包权的，由中标人分包，招标人同中标人结算原则按本招标文件相关条款执行。</w:t>
      </w:r>
    </w:p>
    <w:p w14:paraId="01F343FE">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（4）暂估价项目按工程、货物的类别分类汇总的金额，未达到必须招标规模标准也不适用政府采购规定，中标人既不具备相应资格条件又不具备分包权的，由招标人另行发包。</w:t>
      </w:r>
    </w:p>
    <w:p w14:paraId="3E0DBD37">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（5）暂估价项目由其他承包人承包的，纳入中标人的管理和协调范围，由其他承包人向中标人承担质量、安全、文明施工、工期责任，中标人向招标人承担责任。</w:t>
      </w:r>
    </w:p>
    <w:p w14:paraId="258019DE">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sz w:val="24"/>
          <w:szCs w:val="24"/>
          <w:highlight w:val="none"/>
        </w:rPr>
      </w:pPr>
      <w:r>
        <w:rPr>
          <w:rFonts w:hint="eastAsia" w:ascii="宋体" w:hAnsi="宋体" w:eastAsia="宋体" w:cs="宋体"/>
          <w:b/>
          <w:bCs/>
          <w:snapToGrid w:val="0"/>
          <w:color w:val="auto"/>
          <w:kern w:val="0"/>
          <w:sz w:val="24"/>
          <w:szCs w:val="24"/>
          <w:highlight w:val="none"/>
        </w:rPr>
        <w:t>8.6</w:t>
      </w:r>
      <w:r>
        <w:rPr>
          <w:rFonts w:hint="eastAsia" w:ascii="宋体" w:hAnsi="宋体" w:eastAsia="宋体" w:cs="宋体"/>
          <w:snapToGrid w:val="0"/>
          <w:color w:val="auto"/>
          <w:kern w:val="0"/>
          <w:sz w:val="24"/>
          <w:szCs w:val="24"/>
          <w:highlight w:val="none"/>
        </w:rPr>
        <w:t xml:space="preserve"> 本招标项目以</w:t>
      </w:r>
      <w:r>
        <w:rPr>
          <w:rFonts w:hint="eastAsia" w:ascii="宋体" w:hAnsi="宋体" w:eastAsia="宋体" w:cs="宋体"/>
          <w:snapToGrid w:val="0"/>
          <w:color w:val="auto"/>
          <w:sz w:val="24"/>
          <w:szCs w:val="24"/>
          <w:highlight w:val="none"/>
        </w:rPr>
        <w:t>暂列金额</w:t>
      </w:r>
      <w:r>
        <w:rPr>
          <w:rFonts w:hint="eastAsia" w:ascii="宋体" w:hAnsi="宋体" w:eastAsia="宋体" w:cs="宋体"/>
          <w:snapToGrid w:val="0"/>
          <w:color w:val="auto"/>
          <w:kern w:val="0"/>
          <w:sz w:val="24"/>
          <w:szCs w:val="24"/>
          <w:highlight w:val="none"/>
        </w:rPr>
        <w:t>形式列入招标工程量清单中的</w:t>
      </w:r>
      <w:r>
        <w:rPr>
          <w:rFonts w:hint="eastAsia" w:ascii="宋体" w:hAnsi="宋体" w:eastAsia="宋体" w:cs="宋体"/>
          <w:snapToGrid w:val="0"/>
          <w:color w:val="auto"/>
          <w:sz w:val="24"/>
          <w:szCs w:val="24"/>
          <w:highlight w:val="none"/>
        </w:rPr>
        <w:t>所需货物和服务的采购</w:t>
      </w:r>
      <w:r>
        <w:rPr>
          <w:rFonts w:hint="eastAsia" w:ascii="宋体" w:hAnsi="宋体" w:eastAsia="宋体" w:cs="宋体"/>
          <w:snapToGrid w:val="0"/>
          <w:color w:val="auto"/>
          <w:kern w:val="0"/>
          <w:sz w:val="24"/>
          <w:szCs w:val="24"/>
          <w:highlight w:val="none"/>
        </w:rPr>
        <w:t>（以下统称“暂列金额项目”）若有</w:t>
      </w:r>
      <w:r>
        <w:rPr>
          <w:rFonts w:hint="eastAsia" w:ascii="宋体" w:hAnsi="宋体" w:eastAsia="宋体" w:cs="宋体"/>
          <w:snapToGrid w:val="0"/>
          <w:color w:val="auto"/>
          <w:sz w:val="24"/>
          <w:szCs w:val="24"/>
          <w:highlight w:val="none"/>
        </w:rPr>
        <w:t>发生，按照本节第</w:t>
      </w:r>
      <w:r>
        <w:rPr>
          <w:rFonts w:hint="eastAsia" w:ascii="宋体" w:hAnsi="宋体" w:eastAsia="宋体" w:cs="宋体"/>
          <w:b/>
          <w:bCs/>
          <w:snapToGrid w:val="0"/>
          <w:color w:val="auto"/>
          <w:kern w:val="0"/>
          <w:sz w:val="24"/>
          <w:szCs w:val="24"/>
          <w:highlight w:val="none"/>
        </w:rPr>
        <w:t>8.5</w:t>
      </w:r>
      <w:r>
        <w:rPr>
          <w:rFonts w:hint="eastAsia" w:ascii="宋体" w:hAnsi="宋体" w:eastAsia="宋体" w:cs="宋体"/>
          <w:snapToGrid w:val="0"/>
          <w:color w:val="auto"/>
          <w:sz w:val="24"/>
          <w:szCs w:val="24"/>
          <w:highlight w:val="none"/>
        </w:rPr>
        <w:t>条的规定确定货物（或服务）供应商和合同价格。暂列金额项目由其他承包人承包的，纳入中标人的管理和协调范围，由其他承包人向中标人承担质量、安全、文明施工、工期责任，中标人向招标人承担责任。</w:t>
      </w:r>
    </w:p>
    <w:p w14:paraId="77B2F1D7">
      <w:pPr>
        <w:pStyle w:val="3"/>
        <w:pageBreakBefore w:val="0"/>
        <w:kinsoku/>
        <w:wordWrap w:val="0"/>
        <w:overflowPunct/>
        <w:topLinePunct w:val="0"/>
        <w:autoSpaceDE/>
        <w:autoSpaceDN/>
        <w:bidi w:val="0"/>
        <w:snapToGrid w:val="0"/>
        <w:spacing w:line="360" w:lineRule="auto"/>
        <w:ind w:left="0" w:leftChars="0" w:right="0" w:firstLine="482" w:firstLineChars="200"/>
        <w:jc w:val="both"/>
        <w:rPr>
          <w:rFonts w:hint="eastAsia" w:ascii="宋体" w:hAnsi="宋体" w:eastAsia="宋体" w:cs="宋体"/>
          <w:b/>
          <w:snapToGrid w:val="0"/>
          <w:color w:val="auto"/>
          <w:sz w:val="24"/>
          <w:szCs w:val="24"/>
          <w:highlight w:val="none"/>
        </w:rPr>
      </w:pPr>
      <w:bookmarkStart w:id="77" w:name="_Toc8163"/>
      <w:bookmarkStart w:id="78" w:name="_Toc17205"/>
    </w:p>
    <w:p w14:paraId="6F87D27A">
      <w:pPr>
        <w:pStyle w:val="4"/>
        <w:pageBreakBefore w:val="0"/>
        <w:kinsoku/>
        <w:overflowPunct/>
        <w:topLinePunct w:val="0"/>
        <w:autoSpaceDE/>
        <w:autoSpaceDN/>
        <w:bidi w:val="0"/>
        <w:spacing w:beforeLines="0" w:afterLines="0" w:line="360" w:lineRule="auto"/>
        <w:ind w:left="0" w:leftChars="0" w:right="0" w:firstLine="482" w:firstLineChars="200"/>
        <w:rPr>
          <w:rFonts w:hint="eastAsia" w:ascii="宋体" w:hAnsi="宋体" w:eastAsia="宋体" w:cs="宋体"/>
          <w:color w:val="auto"/>
          <w:sz w:val="24"/>
          <w:szCs w:val="24"/>
        </w:rPr>
      </w:pPr>
      <w:bookmarkStart w:id="79" w:name="_Toc19680"/>
      <w:r>
        <w:rPr>
          <w:rFonts w:hint="eastAsia" w:ascii="宋体" w:hAnsi="宋体" w:eastAsia="宋体" w:cs="宋体"/>
          <w:color w:val="auto"/>
          <w:sz w:val="24"/>
          <w:szCs w:val="24"/>
        </w:rPr>
        <w:t>9．投标报价</w:t>
      </w:r>
      <w:bookmarkEnd w:id="75"/>
      <w:bookmarkEnd w:id="77"/>
      <w:bookmarkEnd w:id="78"/>
      <w:bookmarkEnd w:id="79"/>
      <w:bookmarkStart w:id="80" w:name="_Hlt74498519"/>
      <w:bookmarkEnd w:id="80"/>
    </w:p>
    <w:p w14:paraId="1EDAD067">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9.1</w:t>
      </w:r>
      <w:r>
        <w:rPr>
          <w:rFonts w:hint="eastAsia" w:ascii="宋体" w:hAnsi="宋体" w:eastAsia="宋体" w:cs="宋体"/>
          <w:snapToGrid w:val="0"/>
          <w:color w:val="auto"/>
          <w:kern w:val="0"/>
          <w:sz w:val="24"/>
          <w:szCs w:val="24"/>
          <w:highlight w:val="none"/>
        </w:rPr>
        <w:t xml:space="preserve"> 投标人应按照以下依据编制投标报价：</w:t>
      </w:r>
    </w:p>
    <w:p w14:paraId="0CE2ACB5">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rPr>
        <w:t>（1）</w:t>
      </w:r>
      <w:r>
        <w:rPr>
          <w:rFonts w:hint="eastAsia" w:ascii="宋体" w:hAnsi="宋体" w:eastAsia="宋体" w:cs="宋体"/>
          <w:snapToGrid w:val="0"/>
          <w:color w:val="auto"/>
          <w:kern w:val="0"/>
          <w:sz w:val="24"/>
          <w:szCs w:val="24"/>
          <w:highlight w:val="none"/>
          <w:lang w:eastAsia="zh-CN"/>
        </w:rPr>
        <w:t>《建设工程工程量清单计价标准》(GB/T50500-2024)</w:t>
      </w:r>
      <w:r>
        <w:rPr>
          <w:rFonts w:hint="eastAsia" w:ascii="宋体" w:hAnsi="宋体" w:eastAsia="宋体" w:cs="宋体"/>
          <w:snapToGrid w:val="0"/>
          <w:color w:val="auto"/>
          <w:kern w:val="0"/>
          <w:sz w:val="24"/>
          <w:szCs w:val="24"/>
          <w:highlight w:val="none"/>
        </w:rPr>
        <w:t>；</w:t>
      </w:r>
    </w:p>
    <w:p w14:paraId="78B1CF23">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lang w:val="en-US" w:eastAsia="zh-CN"/>
        </w:rPr>
        <w:t>2</w:t>
      </w: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lang w:val="en-US" w:eastAsia="zh-CN"/>
        </w:rPr>
        <w:t>《广东省建设工程计价依据（2018）》。具体包括：《广东省房屋建筑与装饰工程综合定额（2018）》《广东省市政工程综合定额（2018）》《广东省通用安装工程综合定额（2018）》《广东省园林绿化工程综合定额（2018）》《广东省建设工程施工机具台班费用编制规则（2018）》等；</w:t>
      </w:r>
    </w:p>
    <w:p w14:paraId="2E83F07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lang w:val="en-US" w:eastAsia="zh-CN"/>
        </w:rPr>
      </w:pPr>
      <w:r>
        <w:rPr>
          <w:rFonts w:hint="eastAsia" w:ascii="宋体" w:hAnsi="宋体" w:eastAsia="宋体" w:cs="宋体"/>
          <w:snapToGrid w:val="0"/>
          <w:color w:val="auto"/>
          <w:kern w:val="0"/>
          <w:sz w:val="24"/>
          <w:szCs w:val="24"/>
          <w:highlight w:val="none"/>
          <w:lang w:val="en-US" w:eastAsia="zh-CN"/>
        </w:rPr>
        <w:t>（3）《房屋建筑与装饰工程工程量计算标准》(GB/T50854-2024)；</w:t>
      </w:r>
    </w:p>
    <w:p w14:paraId="3A15E6F3">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lang w:val="en-US" w:eastAsia="zh-CN"/>
        </w:rPr>
        <w:t>4</w:t>
      </w:r>
      <w:r>
        <w:rPr>
          <w:rFonts w:hint="eastAsia" w:ascii="宋体" w:hAnsi="宋体" w:eastAsia="宋体" w:cs="宋体"/>
          <w:snapToGrid w:val="0"/>
          <w:color w:val="auto"/>
          <w:kern w:val="0"/>
          <w:sz w:val="24"/>
          <w:szCs w:val="24"/>
          <w:highlight w:val="none"/>
        </w:rPr>
        <w:t>）企业定额；</w:t>
      </w:r>
    </w:p>
    <w:p w14:paraId="5E48E41E">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lang w:val="en-US" w:eastAsia="zh-CN"/>
        </w:rPr>
        <w:t>5</w:t>
      </w:r>
      <w:r>
        <w:rPr>
          <w:rFonts w:hint="eastAsia" w:ascii="宋体" w:hAnsi="宋体" w:eastAsia="宋体" w:cs="宋体"/>
          <w:snapToGrid w:val="0"/>
          <w:color w:val="auto"/>
          <w:kern w:val="0"/>
          <w:sz w:val="24"/>
          <w:szCs w:val="24"/>
          <w:highlight w:val="none"/>
        </w:rPr>
        <w:t>）招标文件及其答疑（或修改）公告、招标工程量清单；</w:t>
      </w:r>
    </w:p>
    <w:p w14:paraId="75C244C2">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lang w:val="en-US" w:eastAsia="zh-CN"/>
        </w:rPr>
        <w:t>6</w:t>
      </w:r>
      <w:r>
        <w:rPr>
          <w:rFonts w:hint="eastAsia" w:ascii="宋体" w:hAnsi="宋体" w:eastAsia="宋体" w:cs="宋体"/>
          <w:snapToGrid w:val="0"/>
          <w:color w:val="auto"/>
          <w:kern w:val="0"/>
          <w:sz w:val="24"/>
          <w:szCs w:val="24"/>
          <w:highlight w:val="none"/>
        </w:rPr>
        <w:t>）施工图及相关资料；</w:t>
      </w:r>
    </w:p>
    <w:p w14:paraId="7BD286AC">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lang w:val="en-US" w:eastAsia="zh-CN"/>
        </w:rPr>
        <w:t>7</w:t>
      </w:r>
      <w:r>
        <w:rPr>
          <w:rFonts w:hint="eastAsia" w:ascii="宋体" w:hAnsi="宋体" w:eastAsia="宋体" w:cs="宋体"/>
          <w:snapToGrid w:val="0"/>
          <w:color w:val="auto"/>
          <w:kern w:val="0"/>
          <w:sz w:val="24"/>
          <w:szCs w:val="24"/>
          <w:highlight w:val="none"/>
        </w:rPr>
        <w:t>）施工现场情况、工程特点及投标时拟定的施工组织设计或施工方案；</w:t>
      </w:r>
    </w:p>
    <w:p w14:paraId="3E2BF5DF">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lang w:val="en-US" w:eastAsia="zh-CN"/>
        </w:rPr>
        <w:t>8</w:t>
      </w:r>
      <w:r>
        <w:rPr>
          <w:rFonts w:hint="eastAsia" w:ascii="宋体" w:hAnsi="宋体" w:eastAsia="宋体" w:cs="宋体"/>
          <w:snapToGrid w:val="0"/>
          <w:color w:val="auto"/>
          <w:kern w:val="0"/>
          <w:sz w:val="24"/>
          <w:szCs w:val="24"/>
          <w:highlight w:val="none"/>
        </w:rPr>
        <w:t>）市场价格信息或项目所在地工程造价管理机构发布的工程造价信息；</w:t>
      </w:r>
    </w:p>
    <w:p w14:paraId="1DC00349">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lang w:val="en-US" w:eastAsia="zh-CN"/>
        </w:rPr>
        <w:t>9</w:t>
      </w:r>
      <w:r>
        <w:rPr>
          <w:rFonts w:hint="eastAsia" w:ascii="宋体" w:hAnsi="宋体" w:eastAsia="宋体" w:cs="宋体"/>
          <w:snapToGrid w:val="0"/>
          <w:color w:val="auto"/>
          <w:kern w:val="0"/>
          <w:sz w:val="24"/>
          <w:szCs w:val="24"/>
          <w:highlight w:val="none"/>
        </w:rPr>
        <w:t>）与建设项目相关的标准、规范、技术资料。</w:t>
      </w:r>
    </w:p>
    <w:p w14:paraId="6924CD51">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9.2</w:t>
      </w:r>
      <w:r>
        <w:rPr>
          <w:rFonts w:hint="eastAsia" w:ascii="宋体" w:hAnsi="宋体" w:eastAsia="宋体" w:cs="宋体"/>
          <w:snapToGrid w:val="0"/>
          <w:color w:val="auto"/>
          <w:kern w:val="0"/>
          <w:sz w:val="24"/>
          <w:szCs w:val="24"/>
          <w:highlight w:val="none"/>
        </w:rPr>
        <w:t xml:space="preserve"> 投标人应根据招标工程量清单、工程量清单计价规范中的工作内容、设计文件和有关要求、施工现场实际情况、投标人拟定的施工组织设计、本单位的企业定额和市场价格进行编制，自行报价，并承担一定范围内的风险费用。</w:t>
      </w:r>
      <w:bookmarkStart w:id="81" w:name="_Hlt66594003"/>
      <w:bookmarkEnd w:id="81"/>
      <w:r>
        <w:rPr>
          <w:rFonts w:hint="eastAsia" w:ascii="宋体" w:hAnsi="宋体" w:eastAsia="宋体" w:cs="宋体"/>
          <w:snapToGrid w:val="0"/>
          <w:color w:val="auto"/>
          <w:kern w:val="0"/>
          <w:sz w:val="24"/>
          <w:szCs w:val="24"/>
          <w:highlight w:val="none"/>
        </w:rPr>
        <w:t>所谓“一定范围内的风险”是指合同约定的风险。</w:t>
      </w:r>
      <w:bookmarkStart w:id="82" w:name="_Hlt69335755"/>
      <w:bookmarkEnd w:id="82"/>
    </w:p>
    <w:p w14:paraId="5ED40A69">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9.3</w:t>
      </w:r>
      <w:r>
        <w:rPr>
          <w:rFonts w:hint="eastAsia" w:ascii="宋体" w:hAnsi="宋体" w:eastAsia="宋体" w:cs="宋体"/>
          <w:snapToGrid w:val="0"/>
          <w:color w:val="auto"/>
          <w:kern w:val="0"/>
          <w:sz w:val="24"/>
          <w:szCs w:val="24"/>
          <w:highlight w:val="none"/>
        </w:rPr>
        <w:t xml:space="preserve"> 招标人及招标代理机构不集中组织现场踏勘，投标人需要了解现场情况的，可自行进行现场踏勘。各投标人应勘察施工现场及周围环境、地形、地貌、水文、交通等情况，以获得一切可能影响到投标的直</w:t>
      </w:r>
      <w:bookmarkStart w:id="83" w:name="_Hlt66509056"/>
      <w:bookmarkEnd w:id="83"/>
      <w:r>
        <w:rPr>
          <w:rFonts w:hint="eastAsia" w:ascii="宋体" w:hAnsi="宋体" w:eastAsia="宋体" w:cs="宋体"/>
          <w:snapToGrid w:val="0"/>
          <w:color w:val="auto"/>
          <w:kern w:val="0"/>
          <w:sz w:val="24"/>
          <w:szCs w:val="24"/>
          <w:highlight w:val="none"/>
        </w:rPr>
        <w:t>接资料。投标人应针对现场情况编制施工组织设计，并在编制投标报价时考虑现场情况的影响。</w:t>
      </w:r>
    </w:p>
    <w:p w14:paraId="77A54009">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9.4</w:t>
      </w:r>
      <w:r>
        <w:rPr>
          <w:rFonts w:hint="eastAsia" w:ascii="宋体" w:hAnsi="宋体" w:eastAsia="宋体" w:cs="宋体"/>
          <w:snapToGrid w:val="0"/>
          <w:color w:val="auto"/>
          <w:kern w:val="0"/>
          <w:sz w:val="24"/>
          <w:szCs w:val="24"/>
          <w:highlight w:val="none"/>
        </w:rPr>
        <w:t xml:space="preserve"> 招标人向投标人提供的有关现场的数据和资料，是招标人现有的能被投标人利用的资料，招标人对投标人做出的任何推论、理解和结论均不负责任。</w:t>
      </w:r>
    </w:p>
    <w:p w14:paraId="7BFC179B">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9.5</w:t>
      </w:r>
      <w:r>
        <w:rPr>
          <w:rFonts w:hint="eastAsia" w:ascii="宋体" w:hAnsi="宋体" w:eastAsia="宋体" w:cs="宋体"/>
          <w:snapToGrid w:val="0"/>
          <w:color w:val="auto"/>
          <w:kern w:val="0"/>
          <w:sz w:val="24"/>
          <w:szCs w:val="24"/>
          <w:highlight w:val="none"/>
        </w:rPr>
        <w:t xml:space="preserve"> 投标人必须按照招标工程量清单及表格填报价格。项目编码、项目名称、项目特征、计量单位、工程量必须与招标工程量清单一致。所有报价均以人民币“元”为单位，并保留小数点后两位。</w:t>
      </w:r>
    </w:p>
    <w:p w14:paraId="7C6B3BEC">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9.6</w:t>
      </w:r>
      <w:r>
        <w:rPr>
          <w:rFonts w:hint="eastAsia" w:ascii="宋体" w:hAnsi="宋体" w:eastAsia="宋体" w:cs="宋体"/>
          <w:snapToGrid w:val="0"/>
          <w:color w:val="auto"/>
          <w:kern w:val="0"/>
          <w:sz w:val="24"/>
          <w:szCs w:val="24"/>
          <w:highlight w:val="none"/>
        </w:rPr>
        <w:t xml:space="preserve"> 投标人只允许有一个投标总价。投标总价必须同时用大、小写表示，大、小写报价应保持一致，若不一致，以大写报价为准。招标工程量清单与计价表中列明的所有需要填写单价和合价的项目，投标人均应填写且只允许有一个报价。未填写单价和合价的项目，视为此项费用已包含在已标价工程量清单其他项目的单价和合价中，竣工结算时不得重新组价和调整。</w:t>
      </w:r>
    </w:p>
    <w:p w14:paraId="44F45FE9">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9.7</w:t>
      </w:r>
      <w:r>
        <w:rPr>
          <w:rFonts w:hint="eastAsia" w:ascii="宋体" w:hAnsi="宋体" w:eastAsia="宋体" w:cs="宋体"/>
          <w:snapToGrid w:val="0"/>
          <w:color w:val="auto"/>
          <w:kern w:val="0"/>
          <w:sz w:val="24"/>
          <w:szCs w:val="24"/>
          <w:highlight w:val="none"/>
        </w:rPr>
        <w:t xml:space="preserve"> 投标人的投标总价不得高于</w:t>
      </w:r>
      <w:r>
        <w:rPr>
          <w:rFonts w:hint="eastAsia" w:ascii="宋体" w:hAnsi="宋体" w:eastAsia="宋体" w:cs="宋体"/>
          <w:snapToGrid w:val="0"/>
          <w:color w:val="auto"/>
          <w:kern w:val="0"/>
          <w:sz w:val="24"/>
          <w:szCs w:val="24"/>
          <w:highlight w:val="none"/>
          <w:lang w:eastAsia="zh-CN"/>
        </w:rPr>
        <w:t>最高投标限价</w:t>
      </w:r>
      <w:r>
        <w:rPr>
          <w:rFonts w:hint="eastAsia" w:ascii="宋体" w:hAnsi="宋体" w:eastAsia="宋体" w:cs="宋体"/>
          <w:snapToGrid w:val="0"/>
          <w:color w:val="auto"/>
          <w:kern w:val="0"/>
          <w:sz w:val="24"/>
          <w:szCs w:val="24"/>
          <w:highlight w:val="none"/>
        </w:rPr>
        <w:t>，也不得低于工程成本。投标人对投标总价的所有优惠（降价、让利等），均应当反映在具体清单项目或其综合单价的报价上。</w:t>
      </w:r>
      <w:r>
        <w:rPr>
          <w:rFonts w:hint="eastAsia" w:ascii="宋体" w:hAnsi="宋体" w:eastAsia="宋体" w:cs="宋体"/>
          <w:b w:val="0"/>
          <w:bCs/>
          <w:snapToGrid w:val="0"/>
          <w:color w:val="auto"/>
          <w:kern w:val="0"/>
          <w:sz w:val="24"/>
          <w:szCs w:val="24"/>
          <w:highlight w:val="none"/>
        </w:rPr>
        <w:t>如果投标人的投标总价下浮率（投标总价下浮率＝100%－投标总价÷</w:t>
      </w:r>
      <w:r>
        <w:rPr>
          <w:rFonts w:hint="eastAsia" w:ascii="宋体" w:hAnsi="宋体" w:eastAsia="宋体" w:cs="宋体"/>
          <w:b w:val="0"/>
          <w:bCs/>
          <w:snapToGrid w:val="0"/>
          <w:color w:val="auto"/>
          <w:kern w:val="0"/>
          <w:sz w:val="24"/>
          <w:szCs w:val="24"/>
          <w:highlight w:val="none"/>
          <w:lang w:eastAsia="zh-CN"/>
        </w:rPr>
        <w:t>最高投标限价</w:t>
      </w:r>
      <w:r>
        <w:rPr>
          <w:rFonts w:hint="eastAsia" w:ascii="宋体" w:hAnsi="宋体" w:eastAsia="宋体" w:cs="宋体"/>
          <w:b w:val="0"/>
          <w:bCs/>
          <w:snapToGrid w:val="0"/>
          <w:color w:val="auto"/>
          <w:kern w:val="0"/>
          <w:sz w:val="24"/>
          <w:szCs w:val="24"/>
          <w:highlight w:val="none"/>
        </w:rPr>
        <w:t>×100%）高于15%时，投标人必须在投标文件中专项作出详细合理的书面说明并提供以往类似工程详细成本分析报告供评标委员会审查。</w:t>
      </w:r>
    </w:p>
    <w:p w14:paraId="4F1621F2">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9.8</w:t>
      </w:r>
      <w:r>
        <w:rPr>
          <w:rFonts w:hint="eastAsia" w:ascii="宋体" w:hAnsi="宋体" w:eastAsia="宋体" w:cs="宋体"/>
          <w:snapToGrid w:val="0"/>
          <w:color w:val="auto"/>
          <w:kern w:val="0"/>
          <w:sz w:val="24"/>
          <w:szCs w:val="24"/>
          <w:highlight w:val="none"/>
        </w:rPr>
        <w:t xml:space="preserve"> </w:t>
      </w:r>
      <w:r>
        <w:rPr>
          <w:rFonts w:hint="eastAsia" w:ascii="宋体" w:hAnsi="宋体" w:eastAsia="宋体" w:cs="宋体"/>
          <w:b/>
          <w:bCs/>
          <w:snapToGrid w:val="0"/>
          <w:color w:val="auto"/>
          <w:kern w:val="0"/>
          <w:sz w:val="24"/>
          <w:szCs w:val="24"/>
          <w:highlight w:val="none"/>
        </w:rPr>
        <w:t>投标人的</w:t>
      </w:r>
      <w:r>
        <w:rPr>
          <w:rFonts w:hint="eastAsia" w:ascii="宋体" w:hAnsi="宋体" w:eastAsia="宋体" w:cs="宋体"/>
          <w:b/>
          <w:bCs/>
          <w:snapToGrid w:val="0"/>
          <w:color w:val="auto"/>
          <w:kern w:val="0"/>
          <w:sz w:val="24"/>
          <w:szCs w:val="24"/>
          <w:highlight w:val="none"/>
          <w:lang w:eastAsia="zh-CN"/>
        </w:rPr>
        <w:t>安全生产措施费</w:t>
      </w:r>
      <w:r>
        <w:rPr>
          <w:rFonts w:hint="eastAsia" w:ascii="宋体" w:hAnsi="宋体" w:eastAsia="宋体" w:cs="宋体"/>
          <w:b/>
          <w:bCs/>
          <w:snapToGrid w:val="0"/>
          <w:color w:val="auto"/>
          <w:kern w:val="0"/>
          <w:sz w:val="24"/>
          <w:szCs w:val="24"/>
          <w:highlight w:val="none"/>
        </w:rPr>
        <w:t>报价必须达到或超过招标</w:t>
      </w:r>
      <w:r>
        <w:rPr>
          <w:rFonts w:hint="eastAsia" w:ascii="宋体" w:hAnsi="宋体" w:eastAsia="宋体" w:cs="宋体"/>
          <w:b/>
          <w:bCs/>
          <w:snapToGrid w:val="0"/>
          <w:color w:val="auto"/>
          <w:kern w:val="0"/>
          <w:sz w:val="24"/>
          <w:szCs w:val="24"/>
          <w:highlight w:val="none"/>
          <w:lang w:val="en-US" w:eastAsia="zh-CN"/>
        </w:rPr>
        <w:t>文件</w:t>
      </w:r>
      <w:r>
        <w:rPr>
          <w:rFonts w:hint="eastAsia" w:ascii="宋体" w:hAnsi="宋体" w:eastAsia="宋体" w:cs="宋体"/>
          <w:b/>
          <w:bCs/>
          <w:snapToGrid w:val="0"/>
          <w:color w:val="auto"/>
          <w:kern w:val="0"/>
          <w:sz w:val="24"/>
          <w:szCs w:val="24"/>
          <w:highlight w:val="none"/>
        </w:rPr>
        <w:t>中提供的</w:t>
      </w:r>
      <w:r>
        <w:rPr>
          <w:rFonts w:hint="eastAsia" w:ascii="宋体" w:hAnsi="宋体" w:eastAsia="宋体" w:cs="宋体"/>
          <w:b/>
          <w:bCs/>
          <w:snapToGrid w:val="0"/>
          <w:color w:val="auto"/>
          <w:kern w:val="0"/>
          <w:sz w:val="24"/>
          <w:szCs w:val="24"/>
          <w:highlight w:val="none"/>
          <w:lang w:eastAsia="zh-CN"/>
        </w:rPr>
        <w:t>安全生产措施费</w:t>
      </w:r>
      <w:r>
        <w:rPr>
          <w:rFonts w:hint="eastAsia" w:ascii="宋体" w:hAnsi="宋体" w:eastAsia="宋体" w:cs="宋体"/>
          <w:b/>
          <w:bCs/>
          <w:snapToGrid w:val="0"/>
          <w:color w:val="auto"/>
          <w:kern w:val="0"/>
          <w:sz w:val="24"/>
          <w:szCs w:val="24"/>
          <w:highlight w:val="none"/>
        </w:rPr>
        <w:t>。</w:t>
      </w:r>
    </w:p>
    <w:p w14:paraId="72E6963D">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b/>
          <w:snapToGrid w:val="0"/>
          <w:color w:val="auto"/>
          <w:sz w:val="24"/>
          <w:szCs w:val="24"/>
          <w:highlight w:val="none"/>
        </w:rPr>
      </w:pPr>
      <w:r>
        <w:rPr>
          <w:rFonts w:hint="eastAsia" w:ascii="宋体" w:hAnsi="宋体" w:eastAsia="宋体" w:cs="宋体"/>
          <w:b/>
          <w:bCs/>
          <w:snapToGrid w:val="0"/>
          <w:color w:val="auto"/>
          <w:kern w:val="0"/>
          <w:sz w:val="24"/>
          <w:szCs w:val="24"/>
          <w:highlight w:val="none"/>
        </w:rPr>
        <w:t>9.9</w:t>
      </w:r>
      <w:r>
        <w:rPr>
          <w:rFonts w:hint="eastAsia" w:ascii="宋体" w:hAnsi="宋体" w:eastAsia="宋体" w:cs="宋体"/>
          <w:snapToGrid w:val="0"/>
          <w:color w:val="auto"/>
          <w:kern w:val="0"/>
          <w:sz w:val="24"/>
          <w:szCs w:val="24"/>
          <w:highlight w:val="none"/>
        </w:rPr>
        <w:t xml:space="preserve"> 投标人必须按照招标工程量清单中提供的暂列金额和暂估价统一报价。投标人应充分考虑暂估价项目（或暂列金额项目）的管理和协调所发生的费用，并将其纳入已标价工程量清单中的适当项目。招标人视该项管理和协调所发生的费用已包含在其它有价款的竞争性报价内，不再另行支付。</w:t>
      </w:r>
      <w:bookmarkStart w:id="84" w:name="_（十）投标文件的编制、包装、密封"/>
      <w:bookmarkEnd w:id="84"/>
      <w:bookmarkStart w:id="85" w:name="_Toc721"/>
      <w:bookmarkStart w:id="86" w:name="_Toc11437"/>
      <w:bookmarkStart w:id="87" w:name="_Toc28889"/>
    </w:p>
    <w:p w14:paraId="68ED725C">
      <w:pPr>
        <w:pStyle w:val="3"/>
        <w:pageBreakBefore w:val="0"/>
        <w:kinsoku/>
        <w:wordWrap w:val="0"/>
        <w:overflowPunct/>
        <w:topLinePunct w:val="0"/>
        <w:autoSpaceDE/>
        <w:autoSpaceDN/>
        <w:bidi w:val="0"/>
        <w:snapToGrid w:val="0"/>
        <w:spacing w:line="360" w:lineRule="auto"/>
        <w:ind w:left="0" w:leftChars="0" w:right="0" w:firstLine="482" w:firstLineChars="200"/>
        <w:jc w:val="both"/>
        <w:rPr>
          <w:rFonts w:hint="eastAsia" w:ascii="宋体" w:hAnsi="宋体" w:eastAsia="宋体" w:cs="宋体"/>
          <w:b/>
          <w:snapToGrid w:val="0"/>
          <w:color w:val="auto"/>
          <w:sz w:val="24"/>
          <w:szCs w:val="24"/>
          <w:highlight w:val="none"/>
        </w:rPr>
      </w:pPr>
    </w:p>
    <w:bookmarkEnd w:id="85"/>
    <w:bookmarkEnd w:id="86"/>
    <w:bookmarkEnd w:id="87"/>
    <w:p w14:paraId="1D853762">
      <w:pPr>
        <w:pStyle w:val="4"/>
        <w:pageBreakBefore w:val="0"/>
        <w:kinsoku/>
        <w:overflowPunct/>
        <w:topLinePunct w:val="0"/>
        <w:autoSpaceDE/>
        <w:autoSpaceDN/>
        <w:bidi w:val="0"/>
        <w:spacing w:beforeLines="0" w:afterLines="0" w:line="360" w:lineRule="auto"/>
        <w:ind w:left="0" w:leftChars="0" w:right="0" w:firstLine="482" w:firstLineChars="200"/>
        <w:rPr>
          <w:rFonts w:hint="eastAsia" w:ascii="宋体" w:hAnsi="宋体" w:eastAsia="宋体" w:cs="宋体"/>
          <w:color w:val="auto"/>
          <w:sz w:val="24"/>
          <w:szCs w:val="24"/>
        </w:rPr>
      </w:pPr>
      <w:bookmarkStart w:id="88" w:name="_Toc15652"/>
      <w:bookmarkStart w:id="89" w:name="_Hlt121629839"/>
      <w:r>
        <w:rPr>
          <w:rFonts w:hint="eastAsia" w:ascii="宋体" w:hAnsi="宋体" w:eastAsia="宋体" w:cs="宋体"/>
          <w:color w:val="auto"/>
          <w:sz w:val="24"/>
          <w:szCs w:val="24"/>
        </w:rPr>
        <w:t>10．投标文件的编制</w:t>
      </w:r>
      <w:bookmarkStart w:id="90" w:name="_Hlt69332370"/>
      <w:bookmarkEnd w:id="90"/>
      <w:bookmarkStart w:id="91" w:name="_Hlt69208262"/>
      <w:bookmarkEnd w:id="91"/>
      <w:r>
        <w:rPr>
          <w:rFonts w:hint="eastAsia" w:ascii="宋体" w:hAnsi="宋体" w:eastAsia="宋体" w:cs="宋体"/>
          <w:color w:val="auto"/>
          <w:sz w:val="24"/>
          <w:szCs w:val="24"/>
        </w:rPr>
        <w:t>要求</w:t>
      </w:r>
      <w:bookmarkEnd w:id="88"/>
      <w:bookmarkStart w:id="92" w:name="_Hlt74497202"/>
      <w:bookmarkEnd w:id="92"/>
      <w:bookmarkStart w:id="93" w:name="_Hlt74495594"/>
      <w:bookmarkEnd w:id="93"/>
      <w:bookmarkStart w:id="94" w:name="_Hlt78768224"/>
      <w:bookmarkEnd w:id="94"/>
      <w:bookmarkStart w:id="95" w:name="_Toc17114"/>
    </w:p>
    <w:p w14:paraId="59672748">
      <w:pPr>
        <w:pStyle w:val="4"/>
        <w:keepNext w:val="0"/>
        <w:keepLines w:val="0"/>
        <w:pageBreakBefore w:val="0"/>
        <w:kinsoku/>
        <w:wordWrap w:val="0"/>
        <w:overflowPunct/>
        <w:topLinePunct w:val="0"/>
        <w:autoSpaceDE/>
        <w:autoSpaceDN/>
        <w:bidi w:val="0"/>
        <w:adjustRightInd w:val="0"/>
        <w:snapToGrid w:val="0"/>
        <w:spacing w:beforeLines="0" w:afterLines="0" w:line="360" w:lineRule="auto"/>
        <w:ind w:left="0" w:leftChars="0" w:right="0" w:firstLine="482" w:firstLineChars="200"/>
        <w:jc w:val="both"/>
        <w:rPr>
          <w:rFonts w:hint="eastAsia" w:ascii="宋体" w:hAnsi="宋体" w:eastAsia="宋体" w:cs="宋体"/>
          <w:b/>
          <w:snapToGrid w:val="0"/>
          <w:color w:val="auto"/>
          <w:kern w:val="0"/>
          <w:sz w:val="24"/>
          <w:szCs w:val="24"/>
          <w:highlight w:val="none"/>
        </w:rPr>
      </w:pPr>
      <w:bookmarkStart w:id="96" w:name="_Toc32090"/>
      <w:bookmarkStart w:id="97" w:name="_Toc15062"/>
      <w:bookmarkStart w:id="98" w:name="_Toc3493"/>
      <w:bookmarkStart w:id="99" w:name="_Toc8710"/>
      <w:r>
        <w:rPr>
          <w:rFonts w:hint="eastAsia" w:ascii="宋体" w:hAnsi="宋体" w:eastAsia="宋体" w:cs="宋体"/>
          <w:b/>
          <w:bCs/>
          <w:snapToGrid w:val="0"/>
          <w:color w:val="auto"/>
          <w:kern w:val="0"/>
          <w:sz w:val="24"/>
          <w:szCs w:val="24"/>
          <w:highlight w:val="none"/>
        </w:rPr>
        <w:t>10.1</w:t>
      </w:r>
      <w:r>
        <w:rPr>
          <w:rFonts w:hint="eastAsia" w:ascii="宋体" w:hAnsi="宋体" w:eastAsia="宋体" w:cs="宋体"/>
          <w:bCs/>
          <w:snapToGrid w:val="0"/>
          <w:color w:val="auto"/>
          <w:kern w:val="0"/>
          <w:sz w:val="24"/>
          <w:szCs w:val="24"/>
          <w:highlight w:val="none"/>
        </w:rPr>
        <w:t xml:space="preserve"> 一般要求</w:t>
      </w:r>
      <w:bookmarkEnd w:id="95"/>
      <w:bookmarkEnd w:id="96"/>
      <w:bookmarkEnd w:id="97"/>
      <w:bookmarkEnd w:id="98"/>
      <w:bookmarkEnd w:id="99"/>
    </w:p>
    <w:p w14:paraId="7042858A">
      <w:pPr>
        <w:pStyle w:val="12"/>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投标文件应按第六章 投标文件格式规定的内容，投标人提交的投标文件应当使用招标文件所提供的投标文件全部格式。</w:t>
      </w:r>
    </w:p>
    <w:p w14:paraId="4B261205">
      <w:pPr>
        <w:pStyle w:val="12"/>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10.1.1</w:t>
      </w:r>
      <w:r>
        <w:rPr>
          <w:rFonts w:hint="eastAsia" w:ascii="宋体" w:hAnsi="宋体" w:eastAsia="宋体" w:cs="宋体"/>
          <w:snapToGrid w:val="0"/>
          <w:color w:val="auto"/>
          <w:kern w:val="0"/>
          <w:sz w:val="24"/>
          <w:szCs w:val="24"/>
          <w:highlight w:val="none"/>
        </w:rPr>
        <w:t xml:space="preserve"> 投标人必须响应招标文件，并在充分理解招标人提供的全部文件、设计图纸、资料及现场条件的基础</w:t>
      </w:r>
      <w:bookmarkStart w:id="100" w:name="_Hlt78709790"/>
      <w:bookmarkEnd w:id="100"/>
      <w:r>
        <w:rPr>
          <w:rFonts w:hint="eastAsia" w:ascii="宋体" w:hAnsi="宋体" w:eastAsia="宋体" w:cs="宋体"/>
          <w:snapToGrid w:val="0"/>
          <w:color w:val="auto"/>
          <w:kern w:val="0"/>
          <w:sz w:val="24"/>
          <w:szCs w:val="24"/>
          <w:highlight w:val="none"/>
        </w:rPr>
        <w:t>上编制投标文件。因投标文件不符合招标文件的要求而造成的损失和后果，由投标人自行承担。</w:t>
      </w:r>
      <w:bookmarkStart w:id="101" w:name="_Hlt74496890"/>
      <w:bookmarkEnd w:id="101"/>
    </w:p>
    <w:p w14:paraId="4FBAC89E">
      <w:pPr>
        <w:pStyle w:val="12"/>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10.1.2</w:t>
      </w:r>
      <w:r>
        <w:rPr>
          <w:rFonts w:hint="eastAsia" w:ascii="宋体" w:hAnsi="宋体" w:eastAsia="宋体" w:cs="宋体"/>
          <w:snapToGrid w:val="0"/>
          <w:color w:val="auto"/>
          <w:kern w:val="0"/>
          <w:sz w:val="24"/>
          <w:szCs w:val="24"/>
          <w:highlight w:val="none"/>
        </w:rPr>
        <w:t xml:space="preserve"> 投标文件全部采用电子文档，投标文件所附证书证件均为原件扫描件，并采用单位数字证书，按招标文件要求在相应位置加盖电子印章。投标文件中需个人签字或盖章的，应加盖个人电子印章或在线下完成后扫描上传。按照交易平台关于全流程电子化项目的相关指南进行操作。详见：</w:t>
      </w:r>
      <w:r>
        <w:rPr>
          <w:rFonts w:hint="eastAsia" w:ascii="宋体" w:hAnsi="宋体" w:eastAsia="宋体" w:cs="宋体"/>
          <w:snapToGrid w:val="0"/>
          <w:color w:val="auto"/>
          <w:kern w:val="0"/>
          <w:sz w:val="24"/>
          <w:szCs w:val="24"/>
          <w:highlight w:val="none"/>
          <w:lang w:eastAsia="zh-CN"/>
        </w:rPr>
        <w:t>全国公共资源交易平台（广东省·韶关市）</w:t>
      </w:r>
      <w:r>
        <w:rPr>
          <w:rFonts w:hint="eastAsia" w:ascii="宋体" w:hAnsi="宋体" w:eastAsia="宋体" w:cs="宋体"/>
          <w:snapToGrid w:val="0"/>
          <w:color w:val="auto"/>
          <w:kern w:val="0"/>
          <w:sz w:val="24"/>
          <w:szCs w:val="24"/>
          <w:highlight w:val="none"/>
        </w:rPr>
        <w:t>交易指引。</w:t>
      </w:r>
    </w:p>
    <w:p w14:paraId="3188623D">
      <w:pPr>
        <w:pStyle w:val="12"/>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10.1.3</w:t>
      </w:r>
      <w:r>
        <w:rPr>
          <w:rFonts w:hint="eastAsia" w:ascii="宋体" w:hAnsi="宋体" w:eastAsia="宋体" w:cs="宋体"/>
          <w:snapToGrid w:val="0"/>
          <w:color w:val="auto"/>
          <w:kern w:val="0"/>
          <w:sz w:val="24"/>
          <w:szCs w:val="24"/>
          <w:highlight w:val="none"/>
        </w:rPr>
        <w:t>投标文件需按以下要求签字、盖章：电子投标文件：</w:t>
      </w:r>
    </w:p>
    <w:p w14:paraId="6012A029">
      <w:pPr>
        <w:pStyle w:val="12"/>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10.1.3.1</w:t>
      </w:r>
      <w:r>
        <w:rPr>
          <w:rFonts w:hint="eastAsia" w:ascii="宋体" w:hAnsi="宋体" w:eastAsia="宋体" w:cs="宋体"/>
          <w:snapToGrid w:val="0"/>
          <w:color w:val="auto"/>
          <w:kern w:val="0"/>
          <w:sz w:val="24"/>
          <w:szCs w:val="24"/>
          <w:highlight w:val="none"/>
        </w:rPr>
        <w:t xml:space="preserve"> 投标文件封面、组成内容中凡注明“签字”处由要求的人员签字或电子签章；凡注明“签字或盖章”处由要求的人员签字或盖其私章（电子印章）；凡注明“签字并盖执业印章”处由要求的人员签字并盖其执业印章。</w:t>
      </w:r>
    </w:p>
    <w:p w14:paraId="65CB7E9D">
      <w:pPr>
        <w:pStyle w:val="12"/>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10.1.3.2</w:t>
      </w:r>
      <w:r>
        <w:rPr>
          <w:rFonts w:hint="eastAsia" w:ascii="宋体" w:hAnsi="宋体" w:eastAsia="宋体" w:cs="宋体"/>
          <w:snapToGrid w:val="0"/>
          <w:color w:val="auto"/>
          <w:kern w:val="0"/>
          <w:sz w:val="24"/>
          <w:szCs w:val="24"/>
          <w:highlight w:val="none"/>
        </w:rPr>
        <w:t>投标文件封套、封面、组成内容中凡要求录入投标人名称且注明“盖单位章”处盖单位法人公章（电子印章）。</w:t>
      </w:r>
    </w:p>
    <w:p w14:paraId="76BF475D">
      <w:pPr>
        <w:pStyle w:val="12"/>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 xml:space="preserve">10.1.3.3 </w:t>
      </w:r>
      <w:r>
        <w:rPr>
          <w:rFonts w:hint="eastAsia" w:ascii="宋体" w:hAnsi="宋体" w:eastAsia="宋体" w:cs="宋体"/>
          <w:snapToGrid w:val="0"/>
          <w:color w:val="auto"/>
          <w:kern w:val="0"/>
          <w:sz w:val="24"/>
          <w:szCs w:val="24"/>
          <w:highlight w:val="none"/>
        </w:rPr>
        <w:t>投标文件的签字均为签字人本人亲笔署名或签章（电子印章），其余部分的复印件无须另行签字、盖章。</w:t>
      </w:r>
    </w:p>
    <w:p w14:paraId="557D78DE">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10.1.3.4</w:t>
      </w:r>
      <w:r>
        <w:rPr>
          <w:rFonts w:hint="eastAsia" w:ascii="宋体" w:hAnsi="宋体" w:eastAsia="宋体" w:cs="宋体"/>
          <w:snapToGrid w:val="0"/>
          <w:color w:val="auto"/>
          <w:kern w:val="0"/>
          <w:sz w:val="24"/>
          <w:szCs w:val="24"/>
          <w:highlight w:val="none"/>
        </w:rPr>
        <w:t xml:space="preserve"> 联合体投标的，除《联合体协议书》外，由联合体牵头人按以上要求签亲笔署名或签章（电子印章）即可。</w:t>
      </w:r>
      <w:bookmarkStart w:id="102" w:name="_Toc29774"/>
      <w:bookmarkStart w:id="103" w:name="_Toc257031159"/>
      <w:bookmarkStart w:id="104" w:name="_Toc274313880"/>
    </w:p>
    <w:p w14:paraId="56CC41CD">
      <w:pPr>
        <w:pStyle w:val="4"/>
        <w:keepNext w:val="0"/>
        <w:keepLines w:val="0"/>
        <w:pageBreakBefore w:val="0"/>
        <w:kinsoku/>
        <w:wordWrap w:val="0"/>
        <w:overflowPunct/>
        <w:topLinePunct w:val="0"/>
        <w:autoSpaceDE/>
        <w:autoSpaceDN/>
        <w:bidi w:val="0"/>
        <w:adjustRightInd w:val="0"/>
        <w:snapToGrid w:val="0"/>
        <w:spacing w:beforeLines="0" w:afterLines="0" w:line="360" w:lineRule="auto"/>
        <w:ind w:left="0" w:leftChars="0" w:right="0" w:firstLine="482" w:firstLineChars="200"/>
        <w:jc w:val="both"/>
        <w:rPr>
          <w:rFonts w:hint="eastAsia" w:ascii="宋体" w:hAnsi="宋体" w:eastAsia="宋体" w:cs="宋体"/>
          <w:b w:val="0"/>
          <w:bCs w:val="0"/>
          <w:snapToGrid w:val="0"/>
          <w:color w:val="auto"/>
          <w:kern w:val="0"/>
          <w:sz w:val="24"/>
          <w:szCs w:val="24"/>
          <w:highlight w:val="none"/>
        </w:rPr>
      </w:pPr>
      <w:bookmarkStart w:id="105" w:name="_Toc3004"/>
      <w:bookmarkStart w:id="106" w:name="_Toc2278"/>
      <w:bookmarkStart w:id="107" w:name="_Toc27367"/>
      <w:bookmarkStart w:id="108" w:name="_Toc18037"/>
      <w:r>
        <w:rPr>
          <w:rFonts w:hint="eastAsia" w:ascii="宋体" w:hAnsi="宋体" w:eastAsia="宋体" w:cs="宋体"/>
          <w:b/>
          <w:bCs/>
          <w:snapToGrid w:val="0"/>
          <w:color w:val="auto"/>
          <w:kern w:val="0"/>
          <w:sz w:val="24"/>
          <w:szCs w:val="24"/>
          <w:highlight w:val="none"/>
        </w:rPr>
        <w:t xml:space="preserve">10.2 </w:t>
      </w:r>
      <w:r>
        <w:rPr>
          <w:rFonts w:hint="eastAsia" w:ascii="宋体" w:hAnsi="宋体" w:eastAsia="宋体" w:cs="宋体"/>
          <w:b w:val="0"/>
          <w:bCs w:val="0"/>
          <w:snapToGrid w:val="0"/>
          <w:color w:val="auto"/>
          <w:kern w:val="0"/>
          <w:sz w:val="24"/>
          <w:szCs w:val="24"/>
          <w:highlight w:val="none"/>
        </w:rPr>
        <w:t>商务标书的编制要求</w:t>
      </w:r>
      <w:bookmarkEnd w:id="102"/>
      <w:bookmarkEnd w:id="103"/>
      <w:bookmarkEnd w:id="104"/>
      <w:bookmarkEnd w:id="105"/>
      <w:bookmarkEnd w:id="106"/>
      <w:bookmarkEnd w:id="107"/>
      <w:bookmarkEnd w:id="108"/>
    </w:p>
    <w:p w14:paraId="6599076A">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u w:val="single"/>
        </w:rPr>
      </w:pPr>
      <w:r>
        <w:rPr>
          <w:rFonts w:hint="eastAsia" w:ascii="宋体" w:hAnsi="宋体" w:eastAsia="宋体" w:cs="宋体"/>
          <w:b/>
          <w:bCs/>
          <w:snapToGrid w:val="0"/>
          <w:color w:val="auto"/>
          <w:kern w:val="0"/>
          <w:sz w:val="24"/>
          <w:szCs w:val="24"/>
          <w:highlight w:val="none"/>
        </w:rPr>
        <w:t>10.2.1</w:t>
      </w:r>
      <w:r>
        <w:rPr>
          <w:rFonts w:hint="eastAsia" w:ascii="宋体" w:hAnsi="宋体" w:eastAsia="宋体" w:cs="宋体"/>
          <w:snapToGrid w:val="0"/>
          <w:color w:val="auto"/>
          <w:kern w:val="0"/>
          <w:sz w:val="24"/>
          <w:szCs w:val="24"/>
          <w:highlight w:val="none"/>
        </w:rPr>
        <w:t xml:space="preserve"> </w:t>
      </w:r>
      <w:r>
        <w:rPr>
          <w:rFonts w:hint="eastAsia" w:ascii="宋体" w:hAnsi="宋体" w:eastAsia="宋体" w:cs="宋体"/>
          <w:bCs/>
          <w:snapToGrid w:val="0"/>
          <w:color w:val="auto"/>
          <w:kern w:val="0"/>
          <w:sz w:val="24"/>
          <w:szCs w:val="24"/>
          <w:highlight w:val="none"/>
        </w:rPr>
        <w:t>商务标书</w:t>
      </w:r>
      <w:r>
        <w:rPr>
          <w:rFonts w:hint="eastAsia" w:ascii="宋体" w:hAnsi="宋体" w:eastAsia="宋体" w:cs="宋体"/>
          <w:snapToGrid w:val="0"/>
          <w:color w:val="auto"/>
          <w:kern w:val="0"/>
          <w:sz w:val="24"/>
          <w:szCs w:val="24"/>
          <w:highlight w:val="none"/>
        </w:rPr>
        <w:t>包括但不限于以下内容：</w:t>
      </w:r>
    </w:p>
    <w:p w14:paraId="57244A79">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（1）封面（格式一）；</w:t>
      </w:r>
    </w:p>
    <w:p w14:paraId="334047B9">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xml:space="preserve">（2）目录； </w:t>
      </w:r>
    </w:p>
    <w:p w14:paraId="259C4E97">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（3）《投标函》（格式二）；</w:t>
      </w:r>
    </w:p>
    <w:p w14:paraId="11BEC836">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（4）《各项承诺一览表》（格式三）；</w:t>
      </w:r>
    </w:p>
    <w:p w14:paraId="37F2EC2F">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（5）《授权委托书》（格式四）；</w:t>
      </w:r>
    </w:p>
    <w:p w14:paraId="3969470A">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（6）《法定代表人身份证明》（格式五）；</w:t>
      </w:r>
    </w:p>
    <w:p w14:paraId="25A3E1BD">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（7）《联合体协议书》（格式六）及所附资料；</w:t>
      </w:r>
    </w:p>
    <w:p w14:paraId="3EA17C45">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（8）投标保证缴纳证明（投标人采用投标保证金的，附建设工程交易系统《缴纳投标保证金通知书》页面截图打印件和银行转账单</w:t>
      </w:r>
      <w:r>
        <w:rPr>
          <w:rFonts w:hint="eastAsia" w:ascii="宋体" w:hAnsi="宋体" w:eastAsia="宋体" w:cs="宋体"/>
          <w:snapToGrid w:val="0"/>
          <w:color w:val="auto"/>
          <w:kern w:val="0"/>
          <w:sz w:val="24"/>
          <w:szCs w:val="24"/>
          <w:highlight w:val="none"/>
          <w:lang w:val="en-US" w:eastAsia="zh-CN"/>
        </w:rPr>
        <w:t>彩色扫描件</w:t>
      </w:r>
      <w:r>
        <w:rPr>
          <w:rFonts w:hint="eastAsia" w:ascii="宋体" w:hAnsi="宋体" w:eastAsia="宋体" w:cs="宋体"/>
          <w:snapToGrid w:val="0"/>
          <w:color w:val="auto"/>
          <w:kern w:val="0"/>
          <w:sz w:val="24"/>
          <w:szCs w:val="24"/>
          <w:highlight w:val="none"/>
        </w:rPr>
        <w:t>；采用投标保证担保的，附银行保函</w:t>
      </w:r>
      <w:r>
        <w:rPr>
          <w:rFonts w:hint="eastAsia" w:ascii="宋体" w:hAnsi="宋体" w:eastAsia="宋体" w:cs="宋体"/>
          <w:snapToGrid w:val="0"/>
          <w:color w:val="auto"/>
          <w:kern w:val="0"/>
          <w:sz w:val="24"/>
          <w:szCs w:val="24"/>
          <w:highlight w:val="none"/>
          <w:lang w:val="en-US" w:eastAsia="zh-CN"/>
        </w:rPr>
        <w:t>彩色扫描件</w:t>
      </w:r>
      <w:r>
        <w:rPr>
          <w:rFonts w:hint="eastAsia" w:ascii="宋体" w:hAnsi="宋体" w:eastAsia="宋体" w:cs="宋体"/>
          <w:snapToGrid w:val="0"/>
          <w:color w:val="auto"/>
          <w:kern w:val="0"/>
          <w:sz w:val="24"/>
          <w:szCs w:val="24"/>
          <w:highlight w:val="none"/>
        </w:rPr>
        <w:t>；采用投标保证保险的，附电子保单和</w:t>
      </w: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color w:val="auto"/>
          <w:sz w:val="24"/>
          <w:szCs w:val="24"/>
          <w:highlight w:val="none"/>
          <w:lang w:val="en-US" w:eastAsia="zh-CN"/>
        </w:rPr>
        <w:t>韶关市公共资源交易一体化平台保证金缴纳信息</w:t>
      </w: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snapToGrid w:val="0"/>
          <w:color w:val="auto"/>
          <w:kern w:val="0"/>
          <w:sz w:val="24"/>
          <w:szCs w:val="24"/>
          <w:highlight w:val="none"/>
        </w:rPr>
        <w:t>页面截图）；</w:t>
      </w:r>
    </w:p>
    <w:p w14:paraId="0D262DDE">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（9）《投标人基本情况表》（格式七）及所附资料；</w:t>
      </w:r>
    </w:p>
    <w:p w14:paraId="3180A4AD">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trike/>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（10）《项目经理简历表》（格式八）及所附资料；</w:t>
      </w:r>
    </w:p>
    <w:p w14:paraId="479569D6">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（11）《项目经理任职声明》（格式九）；</w:t>
      </w:r>
    </w:p>
    <w:p w14:paraId="55D40E71">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（12）《项目技术负责人简历表》（格式十）及所附资料；</w:t>
      </w:r>
    </w:p>
    <w:p w14:paraId="17540D2D">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lang w:val="en-US" w:eastAsia="zh-CN"/>
        </w:rPr>
        <w:t>13</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rPr>
        <w:t>《专职安全员简历表》（格式十一）及所附资料</w:t>
      </w:r>
      <w:r>
        <w:rPr>
          <w:rFonts w:hint="eastAsia" w:ascii="宋体" w:hAnsi="宋体" w:eastAsia="宋体" w:cs="宋体"/>
          <w:snapToGrid w:val="0"/>
          <w:color w:val="auto"/>
          <w:kern w:val="0"/>
          <w:sz w:val="24"/>
          <w:szCs w:val="24"/>
          <w:highlight w:val="none"/>
          <w:lang w:val="en-US" w:eastAsia="zh-CN"/>
        </w:rPr>
        <w:t>；</w:t>
      </w:r>
    </w:p>
    <w:p w14:paraId="2338B1D9">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w:t>
      </w:r>
      <w:r>
        <w:rPr>
          <w:rFonts w:hint="eastAsia" w:ascii="宋体" w:hAnsi="宋体" w:eastAsia="宋体" w:cs="宋体"/>
          <w:snapToGrid w:val="0"/>
          <w:color w:val="auto"/>
          <w:kern w:val="0"/>
          <w:sz w:val="24"/>
          <w:szCs w:val="24"/>
          <w:highlight w:val="none"/>
          <w:lang w:val="en-US" w:eastAsia="zh-CN"/>
        </w:rPr>
        <w:t>4</w:t>
      </w:r>
      <w:r>
        <w:rPr>
          <w:rFonts w:hint="eastAsia" w:ascii="宋体" w:hAnsi="宋体" w:eastAsia="宋体" w:cs="宋体"/>
          <w:snapToGrid w:val="0"/>
          <w:color w:val="auto"/>
          <w:kern w:val="0"/>
          <w:sz w:val="24"/>
          <w:szCs w:val="24"/>
          <w:highlight w:val="none"/>
        </w:rPr>
        <w:t>）《项目管理机构组成表》（格式十</w:t>
      </w:r>
      <w:r>
        <w:rPr>
          <w:rFonts w:hint="eastAsia" w:ascii="宋体" w:hAnsi="宋体" w:eastAsia="宋体" w:cs="宋体"/>
          <w:snapToGrid w:val="0"/>
          <w:color w:val="auto"/>
          <w:kern w:val="0"/>
          <w:sz w:val="24"/>
          <w:szCs w:val="24"/>
          <w:highlight w:val="none"/>
          <w:lang w:val="en-US" w:eastAsia="zh-CN"/>
        </w:rPr>
        <w:t>二</w:t>
      </w:r>
      <w:r>
        <w:rPr>
          <w:rFonts w:hint="eastAsia" w:ascii="宋体" w:hAnsi="宋体" w:eastAsia="宋体" w:cs="宋体"/>
          <w:snapToGrid w:val="0"/>
          <w:color w:val="auto"/>
          <w:kern w:val="0"/>
          <w:sz w:val="24"/>
          <w:szCs w:val="24"/>
          <w:highlight w:val="none"/>
        </w:rPr>
        <w:t>）及所附资料；</w:t>
      </w:r>
    </w:p>
    <w:p w14:paraId="10DE681F">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w:t>
      </w:r>
      <w:r>
        <w:rPr>
          <w:rFonts w:hint="eastAsia" w:ascii="宋体" w:hAnsi="宋体" w:eastAsia="宋体" w:cs="宋体"/>
          <w:snapToGrid w:val="0"/>
          <w:color w:val="auto"/>
          <w:kern w:val="0"/>
          <w:sz w:val="24"/>
          <w:szCs w:val="24"/>
          <w:highlight w:val="none"/>
          <w:lang w:val="en-US" w:eastAsia="zh-CN"/>
        </w:rPr>
        <w:t>5</w:t>
      </w:r>
      <w:r>
        <w:rPr>
          <w:rFonts w:hint="eastAsia" w:ascii="宋体" w:hAnsi="宋体" w:eastAsia="宋体" w:cs="宋体"/>
          <w:snapToGrid w:val="0"/>
          <w:color w:val="auto"/>
          <w:kern w:val="0"/>
          <w:sz w:val="24"/>
          <w:szCs w:val="24"/>
          <w:highlight w:val="none"/>
        </w:rPr>
        <w:t>）本节第15.5.1目“评标方法”要求提供的评审资料；</w:t>
      </w:r>
    </w:p>
    <w:p w14:paraId="0A54ABB9">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w:t>
      </w:r>
      <w:r>
        <w:rPr>
          <w:rFonts w:hint="eastAsia" w:ascii="宋体" w:hAnsi="宋体" w:eastAsia="宋体" w:cs="宋体"/>
          <w:snapToGrid w:val="0"/>
          <w:color w:val="auto"/>
          <w:kern w:val="0"/>
          <w:sz w:val="24"/>
          <w:szCs w:val="24"/>
          <w:highlight w:val="none"/>
          <w:lang w:val="en-US" w:eastAsia="zh-CN"/>
        </w:rPr>
        <w:t>6</w:t>
      </w:r>
      <w:r>
        <w:rPr>
          <w:rFonts w:hint="eastAsia" w:ascii="宋体" w:hAnsi="宋体" w:eastAsia="宋体" w:cs="宋体"/>
          <w:snapToGrid w:val="0"/>
          <w:color w:val="auto"/>
          <w:kern w:val="0"/>
          <w:sz w:val="24"/>
          <w:szCs w:val="24"/>
          <w:highlight w:val="none"/>
        </w:rPr>
        <w:t>）投标人认为有必要补充的其他资料。（例如投标人已经工商变更，但其企业资质证书、安全生产许可证或其员工执业资格注册证书上的企业名称未能在投标期间完成变更的书面说明和佐证材料；外省企业所在省、地级市住建部门或其授权的组织（机构）关于企业资质、人员资格有效期自动顺延或延期办理的相关文件等）</w:t>
      </w:r>
    </w:p>
    <w:p w14:paraId="2106DCE8">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10.2.2</w:t>
      </w:r>
      <w:r>
        <w:rPr>
          <w:rFonts w:hint="eastAsia" w:ascii="宋体" w:hAnsi="宋体" w:eastAsia="宋体" w:cs="宋体"/>
          <w:snapToGrid w:val="0"/>
          <w:color w:val="auto"/>
          <w:kern w:val="0"/>
          <w:sz w:val="24"/>
          <w:szCs w:val="24"/>
          <w:highlight w:val="none"/>
        </w:rPr>
        <w:t xml:space="preserve"> 本节第</w:t>
      </w:r>
      <w:r>
        <w:rPr>
          <w:rFonts w:hint="eastAsia" w:ascii="宋体" w:hAnsi="宋体" w:eastAsia="宋体" w:cs="宋体"/>
          <w:b/>
          <w:bCs/>
          <w:snapToGrid w:val="0"/>
          <w:color w:val="auto"/>
          <w:kern w:val="0"/>
          <w:sz w:val="24"/>
          <w:szCs w:val="24"/>
          <w:highlight w:val="none"/>
        </w:rPr>
        <w:t>10.2.1</w:t>
      </w:r>
      <w:r>
        <w:rPr>
          <w:rFonts w:hint="eastAsia" w:ascii="宋体" w:hAnsi="宋体" w:eastAsia="宋体" w:cs="宋体"/>
          <w:snapToGrid w:val="0"/>
          <w:color w:val="auto"/>
          <w:kern w:val="0"/>
          <w:sz w:val="24"/>
          <w:szCs w:val="24"/>
          <w:highlight w:val="none"/>
        </w:rPr>
        <w:t>目中所列出的商务标书组成内容中，第（1）至第（1</w:t>
      </w:r>
      <w:r>
        <w:rPr>
          <w:rFonts w:hint="eastAsia" w:ascii="宋体" w:hAnsi="宋体" w:eastAsia="宋体" w:cs="宋体"/>
          <w:snapToGrid w:val="0"/>
          <w:color w:val="auto"/>
          <w:kern w:val="0"/>
          <w:sz w:val="24"/>
          <w:szCs w:val="24"/>
          <w:highlight w:val="none"/>
          <w:lang w:val="en-US" w:eastAsia="zh-CN"/>
        </w:rPr>
        <w:t>4</w:t>
      </w:r>
      <w:r>
        <w:rPr>
          <w:rFonts w:hint="eastAsia" w:ascii="宋体" w:hAnsi="宋体" w:eastAsia="宋体" w:cs="宋体"/>
          <w:snapToGrid w:val="0"/>
          <w:color w:val="auto"/>
          <w:kern w:val="0"/>
          <w:sz w:val="24"/>
          <w:szCs w:val="24"/>
          <w:highlight w:val="none"/>
        </w:rPr>
        <w:t>）项所有投标人均应提供，</w:t>
      </w:r>
      <w:r>
        <w:rPr>
          <w:rFonts w:hint="eastAsia" w:ascii="宋体" w:hAnsi="宋体" w:eastAsia="宋体" w:cs="宋体"/>
          <w:b/>
          <w:bCs/>
          <w:snapToGrid w:val="0"/>
          <w:color w:val="auto"/>
          <w:kern w:val="0"/>
          <w:sz w:val="24"/>
          <w:szCs w:val="24"/>
          <w:highlight w:val="none"/>
        </w:rPr>
        <w:t>但非联合体投标的，无需提供第（7）项内容。</w:t>
      </w:r>
    </w:p>
    <w:p w14:paraId="2E24DA05">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color w:val="auto"/>
          <w:sz w:val="24"/>
          <w:szCs w:val="24"/>
          <w:highlight w:val="none"/>
        </w:rPr>
      </w:pPr>
      <w:r>
        <w:rPr>
          <w:rFonts w:hint="eastAsia" w:ascii="宋体" w:hAnsi="宋体" w:eastAsia="宋体" w:cs="宋体"/>
          <w:b/>
          <w:bCs/>
          <w:snapToGrid w:val="0"/>
          <w:color w:val="auto"/>
          <w:kern w:val="0"/>
          <w:sz w:val="24"/>
          <w:szCs w:val="24"/>
          <w:highlight w:val="none"/>
        </w:rPr>
        <w:t>10.2.3</w:t>
      </w:r>
      <w:r>
        <w:rPr>
          <w:rFonts w:hint="eastAsia" w:ascii="宋体" w:hAnsi="宋体" w:eastAsia="宋体" w:cs="宋体"/>
          <w:b w:val="0"/>
          <w:bCs w:val="0"/>
          <w:snapToGrid w:val="0"/>
          <w:color w:val="auto"/>
          <w:kern w:val="0"/>
          <w:sz w:val="24"/>
          <w:szCs w:val="24"/>
          <w:highlight w:val="none"/>
          <w:lang w:val="en-US" w:eastAsia="zh-CN"/>
        </w:rPr>
        <w:t>商务标书的组成内容按本节第 10.2.1 目规定的顺序整理、编排后，逐页（页码起始从封面开始）连续标记页码。</w:t>
      </w:r>
    </w:p>
    <w:p w14:paraId="5E0D2034">
      <w:pPr>
        <w:pStyle w:val="4"/>
        <w:keepNext w:val="0"/>
        <w:keepLines w:val="0"/>
        <w:pageBreakBefore w:val="0"/>
        <w:kinsoku/>
        <w:wordWrap w:val="0"/>
        <w:overflowPunct/>
        <w:topLinePunct w:val="0"/>
        <w:autoSpaceDE/>
        <w:autoSpaceDN/>
        <w:bidi w:val="0"/>
        <w:adjustRightInd w:val="0"/>
        <w:snapToGrid w:val="0"/>
        <w:spacing w:beforeLines="0" w:afterLines="0" w:line="360" w:lineRule="auto"/>
        <w:ind w:left="0" w:leftChars="0" w:right="0" w:firstLine="482" w:firstLineChars="200"/>
        <w:jc w:val="both"/>
        <w:rPr>
          <w:rFonts w:hint="eastAsia" w:ascii="宋体" w:hAnsi="宋体" w:eastAsia="宋体" w:cs="宋体"/>
          <w:b/>
          <w:bCs/>
          <w:snapToGrid w:val="0"/>
          <w:color w:val="auto"/>
          <w:kern w:val="0"/>
          <w:sz w:val="24"/>
          <w:szCs w:val="24"/>
          <w:highlight w:val="none"/>
        </w:rPr>
      </w:pPr>
      <w:bookmarkStart w:id="109" w:name="_Toc23486"/>
      <w:bookmarkStart w:id="110" w:name="_Toc274313881"/>
      <w:bookmarkStart w:id="111" w:name="_Toc1257"/>
      <w:bookmarkStart w:id="112" w:name="_Toc24061"/>
      <w:bookmarkStart w:id="113" w:name="_Toc30069"/>
      <w:bookmarkStart w:id="114" w:name="_Toc6621"/>
      <w:r>
        <w:rPr>
          <w:rFonts w:hint="eastAsia" w:ascii="宋体" w:hAnsi="宋体" w:eastAsia="宋体" w:cs="宋体"/>
          <w:b/>
          <w:bCs/>
          <w:snapToGrid w:val="0"/>
          <w:color w:val="auto"/>
          <w:kern w:val="0"/>
          <w:sz w:val="24"/>
          <w:szCs w:val="24"/>
          <w:highlight w:val="none"/>
        </w:rPr>
        <w:t>10.3</w:t>
      </w:r>
      <w:bookmarkStart w:id="115" w:name="_Hlt69670035"/>
      <w:bookmarkEnd w:id="115"/>
      <w:r>
        <w:rPr>
          <w:rFonts w:hint="eastAsia" w:ascii="宋体" w:hAnsi="宋体" w:eastAsia="宋体" w:cs="宋体"/>
          <w:b/>
          <w:bCs/>
          <w:snapToGrid w:val="0"/>
          <w:color w:val="auto"/>
          <w:kern w:val="0"/>
          <w:sz w:val="24"/>
          <w:szCs w:val="24"/>
          <w:highlight w:val="none"/>
        </w:rPr>
        <w:t xml:space="preserve"> 经济标书的编制要求</w:t>
      </w:r>
      <w:bookmarkEnd w:id="109"/>
      <w:bookmarkEnd w:id="110"/>
      <w:bookmarkEnd w:id="111"/>
      <w:bookmarkEnd w:id="112"/>
      <w:bookmarkEnd w:id="113"/>
      <w:bookmarkEnd w:id="114"/>
    </w:p>
    <w:p w14:paraId="7CEA28A2">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10.3.1</w:t>
      </w:r>
      <w:r>
        <w:rPr>
          <w:rFonts w:hint="eastAsia" w:ascii="宋体" w:hAnsi="宋体" w:eastAsia="宋体" w:cs="宋体"/>
          <w:snapToGrid w:val="0"/>
          <w:color w:val="auto"/>
          <w:kern w:val="0"/>
          <w:sz w:val="24"/>
          <w:szCs w:val="24"/>
          <w:highlight w:val="none"/>
        </w:rPr>
        <w:t xml:space="preserve"> 经济标书包括以下内容：</w:t>
      </w:r>
    </w:p>
    <w:p w14:paraId="19ADA4F4">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（1）封面（格式一）；</w:t>
      </w:r>
    </w:p>
    <w:p w14:paraId="00FD8613">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（2）目录；</w:t>
      </w:r>
    </w:p>
    <w:p w14:paraId="185A08AD">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（3）《投标总价》；</w:t>
      </w:r>
    </w:p>
    <w:p w14:paraId="1D9C0D47">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说明：《投标总价》的格式按照</w:t>
      </w:r>
      <w:r>
        <w:rPr>
          <w:rFonts w:hint="eastAsia" w:ascii="宋体" w:hAnsi="宋体" w:eastAsia="宋体" w:cs="宋体"/>
          <w:snapToGrid w:val="0"/>
          <w:color w:val="auto"/>
          <w:kern w:val="0"/>
          <w:sz w:val="24"/>
          <w:szCs w:val="24"/>
          <w:highlight w:val="none"/>
          <w:lang w:val="en-US" w:eastAsia="zh-CN"/>
        </w:rPr>
        <w:t>《建设工程工程量清单计价标准》(GB/T50500-2024)</w:t>
      </w:r>
      <w:r>
        <w:rPr>
          <w:rFonts w:hint="eastAsia" w:ascii="宋体" w:hAnsi="宋体" w:eastAsia="宋体" w:cs="宋体"/>
          <w:snapToGrid w:val="0"/>
          <w:color w:val="auto"/>
          <w:kern w:val="0"/>
          <w:sz w:val="24"/>
          <w:szCs w:val="24"/>
          <w:highlight w:val="none"/>
        </w:rPr>
        <w:t>执行，并应满足以下要求：</w:t>
      </w:r>
    </w:p>
    <w:p w14:paraId="62970EB2">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a</w:t>
      </w: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lang w:val="en-US" w:eastAsia="zh-CN"/>
        </w:rPr>
        <w:t>《投标总价扉页》（即扉—3）后应附编制人的造价工程师注册证书彩色扫描件（须扫描至变更注册栏，一级造价师或二级造价师均可提供电子证书）；投标人委托造价咨询单位编制《投标总价》的，在该扉页“投标人”栏目加盖造价咨询人公章，并在该扉页后附造价咨询人的营业执照彩色扫描件。</w:t>
      </w:r>
    </w:p>
    <w:p w14:paraId="37409A45">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b</w:t>
      </w:r>
      <w:r>
        <w:rPr>
          <w:rFonts w:hint="eastAsia" w:ascii="宋体" w:hAnsi="宋体" w:eastAsia="宋体" w:cs="宋体"/>
          <w:snapToGrid w:val="0"/>
          <w:color w:val="auto"/>
          <w:kern w:val="0"/>
          <w:sz w:val="24"/>
          <w:szCs w:val="24"/>
          <w:highlight w:val="none"/>
        </w:rPr>
        <w:t>．</w:t>
      </w:r>
      <w:bookmarkStart w:id="116" w:name="_Hlt69699579"/>
      <w:bookmarkEnd w:id="116"/>
      <w:r>
        <w:rPr>
          <w:rFonts w:hint="eastAsia" w:ascii="宋体" w:hAnsi="宋体" w:eastAsia="宋体" w:cs="宋体"/>
          <w:snapToGrid w:val="0"/>
          <w:color w:val="auto"/>
          <w:kern w:val="0"/>
          <w:sz w:val="24"/>
          <w:szCs w:val="24"/>
          <w:highlight w:val="none"/>
        </w:rPr>
        <w:t>投标人认为有必要补充的其他资料（例如关于投标总价下浮率超过15%的书面说明和佐证材料）。</w:t>
      </w:r>
    </w:p>
    <w:p w14:paraId="18AF6EA4">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10.3.2</w:t>
      </w:r>
      <w:r>
        <w:rPr>
          <w:rFonts w:hint="eastAsia" w:ascii="宋体" w:hAnsi="宋体" w:eastAsia="宋体" w:cs="宋体"/>
          <w:snapToGrid w:val="0"/>
          <w:color w:val="auto"/>
          <w:kern w:val="0"/>
          <w:sz w:val="24"/>
          <w:szCs w:val="24"/>
          <w:highlight w:val="none"/>
        </w:rPr>
        <w:t xml:space="preserve"> 本节第</w:t>
      </w:r>
      <w:r>
        <w:rPr>
          <w:rFonts w:hint="eastAsia" w:ascii="宋体" w:hAnsi="宋体" w:eastAsia="宋体" w:cs="宋体"/>
          <w:b/>
          <w:bCs/>
          <w:snapToGrid w:val="0"/>
          <w:color w:val="auto"/>
          <w:kern w:val="0"/>
          <w:sz w:val="24"/>
          <w:szCs w:val="24"/>
          <w:highlight w:val="none"/>
        </w:rPr>
        <w:t>10.3.1</w:t>
      </w:r>
      <w:r>
        <w:rPr>
          <w:rFonts w:hint="eastAsia" w:ascii="宋体" w:hAnsi="宋体" w:eastAsia="宋体" w:cs="宋体"/>
          <w:snapToGrid w:val="0"/>
          <w:color w:val="auto"/>
          <w:kern w:val="0"/>
          <w:sz w:val="24"/>
          <w:szCs w:val="24"/>
          <w:highlight w:val="none"/>
        </w:rPr>
        <w:t>目中所列出的经济标书组成内容中，第（1）至第（3）项所有投标人均应提供</w:t>
      </w:r>
      <w:bookmarkStart w:id="117" w:name="_Hlt145127239"/>
      <w:bookmarkEnd w:id="117"/>
      <w:bookmarkStart w:id="118" w:name="_Toc7035"/>
      <w:r>
        <w:rPr>
          <w:rFonts w:hint="eastAsia" w:ascii="宋体" w:hAnsi="宋体" w:eastAsia="宋体" w:cs="宋体"/>
          <w:snapToGrid w:val="0"/>
          <w:color w:val="auto"/>
          <w:kern w:val="0"/>
          <w:sz w:val="24"/>
          <w:szCs w:val="24"/>
          <w:highlight w:val="none"/>
        </w:rPr>
        <w:t>。</w:t>
      </w:r>
    </w:p>
    <w:p w14:paraId="4DC13290">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10.3.3</w:t>
      </w:r>
      <w:r>
        <w:rPr>
          <w:rFonts w:hint="eastAsia" w:ascii="宋体" w:hAnsi="宋体" w:eastAsia="宋体" w:cs="宋体"/>
          <w:snapToGrid w:val="0"/>
          <w:color w:val="auto"/>
          <w:kern w:val="0"/>
          <w:sz w:val="24"/>
          <w:szCs w:val="24"/>
          <w:highlight w:val="none"/>
        </w:rPr>
        <w:t xml:space="preserve"> </w:t>
      </w:r>
      <w:r>
        <w:rPr>
          <w:rFonts w:hint="eastAsia" w:ascii="宋体" w:hAnsi="宋体" w:eastAsia="宋体" w:cs="宋体"/>
          <w:color w:val="auto"/>
          <w:sz w:val="24"/>
          <w:szCs w:val="24"/>
          <w:highlight w:val="none"/>
        </w:rPr>
        <w:t>经济标书的组成内容按本节第10.3.1目规定的顺序整理、编排后，逐页（页码起始从封面开始）连续标记页码。</w:t>
      </w:r>
    </w:p>
    <w:p w14:paraId="1108FDA3">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10.4</w:t>
      </w:r>
      <w:r>
        <w:rPr>
          <w:rFonts w:hint="eastAsia" w:ascii="宋体" w:hAnsi="宋体" w:eastAsia="宋体" w:cs="宋体"/>
          <w:bCs/>
          <w:snapToGrid w:val="0"/>
          <w:color w:val="auto"/>
          <w:kern w:val="0"/>
          <w:sz w:val="24"/>
          <w:szCs w:val="24"/>
          <w:highlight w:val="none"/>
        </w:rPr>
        <w:t xml:space="preserve"> 施工组织设计的编制要求</w:t>
      </w:r>
    </w:p>
    <w:p w14:paraId="53FC768B">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10.4.1</w:t>
      </w:r>
      <w:r>
        <w:rPr>
          <w:rFonts w:hint="eastAsia" w:ascii="宋体" w:hAnsi="宋体" w:eastAsia="宋体" w:cs="宋体"/>
          <w:bCs/>
          <w:snapToGrid w:val="0"/>
          <w:color w:val="auto"/>
          <w:kern w:val="0"/>
          <w:sz w:val="24"/>
          <w:szCs w:val="24"/>
          <w:highlight w:val="none"/>
        </w:rPr>
        <w:t xml:space="preserve"> </w:t>
      </w:r>
      <w:r>
        <w:rPr>
          <w:rFonts w:hint="eastAsia" w:ascii="宋体" w:hAnsi="宋体" w:eastAsia="宋体" w:cs="宋体"/>
          <w:snapToGrid w:val="0"/>
          <w:color w:val="auto"/>
          <w:kern w:val="0"/>
          <w:sz w:val="24"/>
          <w:szCs w:val="24"/>
          <w:highlight w:val="none"/>
        </w:rPr>
        <w:t>施工组织设计的编制依据包括且不限于</w:t>
      </w:r>
      <w:r>
        <w:rPr>
          <w:rFonts w:hint="eastAsia" w:ascii="宋体" w:hAnsi="宋体" w:eastAsia="宋体" w:cs="宋体"/>
          <w:bCs/>
          <w:snapToGrid w:val="0"/>
          <w:color w:val="auto"/>
          <w:kern w:val="0"/>
          <w:sz w:val="24"/>
          <w:szCs w:val="24"/>
          <w:highlight w:val="none"/>
        </w:rPr>
        <w:t>：</w:t>
      </w:r>
    </w:p>
    <w:p w14:paraId="4792F473">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（1）招标文件及</w:t>
      </w:r>
      <w:r>
        <w:rPr>
          <w:rFonts w:hint="eastAsia" w:ascii="宋体" w:hAnsi="宋体" w:eastAsia="宋体" w:cs="宋体"/>
          <w:snapToGrid w:val="0"/>
          <w:color w:val="auto"/>
          <w:kern w:val="0"/>
          <w:sz w:val="24"/>
          <w:szCs w:val="24"/>
          <w:highlight w:val="none"/>
        </w:rPr>
        <w:t>其答疑（或修改）公告；</w:t>
      </w:r>
    </w:p>
    <w:p w14:paraId="00898461">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（2）施工图及相关资料；</w:t>
      </w:r>
    </w:p>
    <w:p w14:paraId="7FFDB399">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（3）施工现场情况、工程特点；</w:t>
      </w:r>
    </w:p>
    <w:p w14:paraId="77A22E19">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（4）相关法律、法规、规定；</w:t>
      </w:r>
    </w:p>
    <w:p w14:paraId="5F6096BD">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5）国家、广东省、韶关市关于施工现场管理、施工工艺、绿色施工、安全防护、文明施工、环境保护等方面的标准、规范、技术资料。如《广东省住房和城乡建设厅绿色施工导则》《广东省建设工程施工扬尘污染防治管理办法（试行）》等；</w:t>
      </w:r>
    </w:p>
    <w:p w14:paraId="0FF00AE4">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（6）企业内部标准、工法。</w:t>
      </w:r>
    </w:p>
    <w:p w14:paraId="215DB105">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10.4.2</w:t>
      </w:r>
      <w:r>
        <w:rPr>
          <w:rFonts w:hint="eastAsia" w:ascii="宋体" w:hAnsi="宋体" w:eastAsia="宋体" w:cs="宋体"/>
          <w:bCs/>
          <w:snapToGrid w:val="0"/>
          <w:color w:val="auto"/>
          <w:kern w:val="0"/>
          <w:sz w:val="24"/>
          <w:szCs w:val="24"/>
          <w:highlight w:val="none"/>
        </w:rPr>
        <w:t xml:space="preserve"> </w:t>
      </w:r>
      <w:r>
        <w:rPr>
          <w:rFonts w:hint="eastAsia" w:ascii="宋体" w:hAnsi="宋体" w:eastAsia="宋体" w:cs="宋体"/>
          <w:snapToGrid w:val="0"/>
          <w:color w:val="auto"/>
          <w:kern w:val="0"/>
          <w:sz w:val="24"/>
          <w:szCs w:val="24"/>
          <w:highlight w:val="none"/>
        </w:rPr>
        <w:t>施工组织设计包括但不限于以下内容：</w:t>
      </w:r>
    </w:p>
    <w:p w14:paraId="118F7F61">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（1）封面（格式一）；</w:t>
      </w:r>
    </w:p>
    <w:p w14:paraId="0418AE01">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（2）目录；</w:t>
      </w:r>
    </w:p>
    <w:p w14:paraId="29415399">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（3）总体概述（包括施工程序总体设想及施工段划分等内容）；</w:t>
      </w:r>
    </w:p>
    <w:p w14:paraId="059C77A2">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（4）施工总进度计划及保证措施（包括进度管理目标；以横道图或标明关键线路的网络进度计划；保障进度计划需要的人、材、机需求计划及保证措施；违约责任承诺等内容）；</w:t>
      </w:r>
    </w:p>
    <w:p w14:paraId="5247D07A">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（5）质量保证措施（包括质量管理目标；相应保证措施；违约责任承诺等内容）；</w:t>
      </w:r>
    </w:p>
    <w:p w14:paraId="1993F8D7">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（6）施工技术措施（包括关键施工技术、工艺及工程项目实施的重点、难点分析和解决方案；新技术应用与承诺等内容）；</w:t>
      </w:r>
    </w:p>
    <w:p w14:paraId="26087096">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（7）绿色施工、安全防护、文明施工措施计划；</w:t>
      </w:r>
    </w:p>
    <w:p w14:paraId="0CB5FB94">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8）施工现场总平面布置（投标人应递交一份施工现场总平面布置图，绘出现场临时设施布置图表并附文字说明，说明临时设施、加工车间、现场办公、设备及仓储、供电、供水、卫生、生活、道路、消防等设施的情况和布置）；</w:t>
      </w:r>
    </w:p>
    <w:p w14:paraId="7D2AA36C">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i/>
          <w:iCs/>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（9）项目管理机构。</w:t>
      </w:r>
    </w:p>
    <w:p w14:paraId="579062E3">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（10）投标人认为有必要补充的其他内容（例如对总包管理的认识以及对专业分包工程的管理、协调、配合、服务方案）。</w:t>
      </w:r>
    </w:p>
    <w:p w14:paraId="40970C5B">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10.4.3</w:t>
      </w:r>
      <w:r>
        <w:rPr>
          <w:rFonts w:hint="eastAsia" w:ascii="宋体" w:hAnsi="宋体" w:eastAsia="宋体" w:cs="宋体"/>
          <w:snapToGrid w:val="0"/>
          <w:color w:val="auto"/>
          <w:kern w:val="0"/>
          <w:sz w:val="24"/>
          <w:szCs w:val="24"/>
          <w:highlight w:val="none"/>
        </w:rPr>
        <w:t xml:space="preserve"> 本节第</w:t>
      </w:r>
      <w:r>
        <w:rPr>
          <w:rFonts w:hint="eastAsia" w:ascii="宋体" w:hAnsi="宋体" w:eastAsia="宋体" w:cs="宋体"/>
          <w:b/>
          <w:bCs/>
          <w:snapToGrid w:val="0"/>
          <w:color w:val="auto"/>
          <w:kern w:val="0"/>
          <w:sz w:val="24"/>
          <w:szCs w:val="24"/>
          <w:highlight w:val="none"/>
        </w:rPr>
        <w:t>10.4.2</w:t>
      </w:r>
      <w:r>
        <w:rPr>
          <w:rFonts w:hint="eastAsia" w:ascii="宋体" w:hAnsi="宋体" w:eastAsia="宋体" w:cs="宋体"/>
          <w:snapToGrid w:val="0"/>
          <w:color w:val="auto"/>
          <w:kern w:val="0"/>
          <w:sz w:val="24"/>
          <w:szCs w:val="24"/>
          <w:highlight w:val="none"/>
        </w:rPr>
        <w:t>目中所列出的施工组织设计组成内容中，第（1）至第（9）项所有投标人均应提供。</w:t>
      </w:r>
    </w:p>
    <w:p w14:paraId="535615BE">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10.4.4</w:t>
      </w:r>
      <w:r>
        <w:rPr>
          <w:rFonts w:hint="eastAsia" w:ascii="宋体" w:hAnsi="宋体" w:eastAsia="宋体" w:cs="宋体"/>
          <w:snapToGrid w:val="0"/>
          <w:color w:val="auto"/>
          <w:kern w:val="0"/>
          <w:sz w:val="24"/>
          <w:szCs w:val="24"/>
          <w:highlight w:val="none"/>
        </w:rPr>
        <w:t xml:space="preserve"> </w:t>
      </w:r>
      <w:r>
        <w:rPr>
          <w:rFonts w:hint="eastAsia" w:ascii="宋体" w:hAnsi="宋体" w:eastAsia="宋体" w:cs="宋体"/>
          <w:color w:val="auto"/>
          <w:sz w:val="24"/>
          <w:szCs w:val="24"/>
          <w:highlight w:val="none"/>
        </w:rPr>
        <w:t>施工组织设计的组成内容按本节第10.4.2目规定的顺序整理、编排后，逐页（页码起始从封面开始）连续标记页码。</w:t>
      </w:r>
      <w:r>
        <w:rPr>
          <w:rFonts w:hint="eastAsia" w:ascii="宋体" w:hAnsi="宋体" w:eastAsia="宋体" w:cs="宋体"/>
          <w:snapToGrid w:val="0"/>
          <w:color w:val="auto"/>
          <w:kern w:val="0"/>
          <w:sz w:val="24"/>
          <w:szCs w:val="24"/>
          <w:highlight w:val="none"/>
        </w:rPr>
        <w:t xml:space="preserve">  </w:t>
      </w:r>
    </w:p>
    <w:bookmarkEnd w:id="118"/>
    <w:p w14:paraId="52E748F8">
      <w:pPr>
        <w:rPr>
          <w:rFonts w:hint="eastAsia" w:ascii="宋体" w:hAnsi="宋体" w:eastAsia="宋体" w:cs="宋体"/>
          <w:color w:val="auto"/>
        </w:rPr>
      </w:pPr>
      <w:bookmarkStart w:id="119" w:name="_Toc18012"/>
      <w:bookmarkStart w:id="120" w:name="_Toc32203"/>
    </w:p>
    <w:p w14:paraId="7A9E63DC">
      <w:pPr>
        <w:keepNext w:val="0"/>
        <w:keepLines w:val="0"/>
        <w:pageBreakBefore w:val="0"/>
        <w:widowControl w:val="0"/>
        <w:kinsoku/>
        <w:wordWrap/>
        <w:overflowPunct/>
        <w:topLinePunct w:val="0"/>
        <w:autoSpaceDE/>
        <w:autoSpaceDN/>
        <w:bidi w:val="0"/>
        <w:adjustRightInd/>
        <w:snapToGrid/>
        <w:spacing w:line="360" w:lineRule="auto"/>
        <w:ind w:left="0" w:leftChars="0" w:right="0" w:firstLine="482" w:firstLineChars="200"/>
        <w:textAlignment w:val="auto"/>
        <w:outlineLvl w:val="1"/>
        <w:rPr>
          <w:rFonts w:hint="eastAsia" w:ascii="宋体" w:hAnsi="宋体" w:eastAsia="宋体" w:cs="宋体"/>
          <w:bCs/>
          <w:snapToGrid w:val="0"/>
          <w:color w:val="auto"/>
          <w:sz w:val="24"/>
          <w:szCs w:val="24"/>
          <w:highlight w:val="none"/>
        </w:rPr>
      </w:pPr>
      <w:bookmarkStart w:id="121" w:name="_Toc5963"/>
      <w:r>
        <w:rPr>
          <w:rStyle w:val="154"/>
          <w:rFonts w:hint="eastAsia" w:ascii="宋体" w:hAnsi="宋体" w:eastAsia="宋体" w:cs="宋体"/>
          <w:color w:val="auto"/>
          <w:sz w:val="24"/>
          <w:szCs w:val="24"/>
          <w:lang w:val="en-US" w:eastAsia="zh-CN"/>
        </w:rPr>
        <w:t>11.电子投标</w:t>
      </w:r>
      <w:bookmarkEnd w:id="119"/>
      <w:bookmarkEnd w:id="121"/>
    </w:p>
    <w:p w14:paraId="31CB50F9">
      <w:pPr>
        <w:pageBreakBefore w:val="0"/>
        <w:kinsoku/>
        <w:wordWrap w:val="0"/>
        <w:overflowPunct/>
        <w:topLinePunct w:val="0"/>
        <w:autoSpaceDE/>
        <w:autoSpaceDN/>
        <w:bidi w:val="0"/>
        <w:adjustRightInd w:val="0"/>
        <w:spacing w:line="360" w:lineRule="auto"/>
        <w:ind w:left="0" w:leftChars="0" w:right="0" w:firstLine="482" w:firstLineChars="200"/>
        <w:rPr>
          <w:rFonts w:hint="eastAsia" w:ascii="宋体" w:hAnsi="宋体" w:eastAsia="宋体" w:cs="宋体"/>
          <w:b/>
          <w:snapToGrid w:val="0"/>
          <w:color w:val="auto"/>
          <w:sz w:val="24"/>
          <w:szCs w:val="24"/>
          <w:highlight w:val="none"/>
        </w:rPr>
      </w:pPr>
      <w:bookmarkStart w:id="122" w:name="_Hlt88627590"/>
      <w:bookmarkEnd w:id="122"/>
      <w:r>
        <w:rPr>
          <w:rFonts w:hint="eastAsia" w:ascii="宋体" w:hAnsi="宋体" w:eastAsia="宋体" w:cs="宋体"/>
          <w:b/>
          <w:bCs w:val="0"/>
          <w:snapToGrid w:val="0"/>
          <w:color w:val="auto"/>
          <w:sz w:val="24"/>
          <w:szCs w:val="24"/>
          <w:highlight w:val="none"/>
        </w:rPr>
        <w:t>11.1</w:t>
      </w:r>
      <w:r>
        <w:rPr>
          <w:rFonts w:hint="eastAsia" w:ascii="宋体" w:hAnsi="宋体" w:eastAsia="宋体" w:cs="宋体"/>
          <w:b w:val="0"/>
          <w:bCs/>
          <w:snapToGrid w:val="0"/>
          <w:color w:val="auto"/>
          <w:sz w:val="24"/>
          <w:szCs w:val="24"/>
          <w:highlight w:val="none"/>
          <w:lang w:val="en-US" w:eastAsia="zh-CN"/>
        </w:rPr>
        <w:t>在建设工程交易系统上传加盖了电子印章的投标文件、录入相关信息及标书页码信息，（页码起始从封面开始）并提交投标标书。提交标书为已加密投标文件。具体操作参照《韶关市公共资源建设工程交易系统-投标人操作指南（电子评标）》。本项目评标采用全流程电子化进行招标投标（投标人应根据韶关市公共资源建设工程交易系统进行编辑投标相关内容、按招标文件电子投标要求上传已加盖电子印章投标文件，否则将自行承担不利后果）。投标文件完成上传后，投标人应使用 CA 数字证书对投标文件进行文件加密，形成加密的投标文件并提交标书。</w:t>
      </w:r>
    </w:p>
    <w:p w14:paraId="7D2DB26E">
      <w:pPr>
        <w:pageBreakBefore w:val="0"/>
        <w:kinsoku/>
        <w:wordWrap w:val="0"/>
        <w:overflowPunct/>
        <w:topLinePunct w:val="0"/>
        <w:autoSpaceDE/>
        <w:autoSpaceDN/>
        <w:bidi w:val="0"/>
        <w:adjustRightInd w:val="0"/>
        <w:spacing w:line="360" w:lineRule="auto"/>
        <w:ind w:left="0" w:leftChars="0" w:right="0" w:firstLine="482" w:firstLineChars="200"/>
        <w:rPr>
          <w:rFonts w:hint="eastAsia" w:ascii="宋体" w:hAnsi="宋体" w:eastAsia="宋体" w:cs="宋体"/>
          <w:b/>
          <w:bCs/>
          <w:snapToGrid w:val="0"/>
          <w:color w:val="auto"/>
          <w:kern w:val="0"/>
          <w:sz w:val="24"/>
          <w:szCs w:val="24"/>
          <w:highlight w:val="none"/>
        </w:rPr>
      </w:pPr>
      <w:bookmarkStart w:id="123" w:name="_Hlt127590288"/>
      <w:bookmarkEnd w:id="123"/>
      <w:r>
        <w:rPr>
          <w:rFonts w:hint="eastAsia" w:ascii="宋体" w:hAnsi="宋体" w:eastAsia="宋体" w:cs="宋体"/>
          <w:b/>
          <w:bCs w:val="0"/>
          <w:snapToGrid w:val="0"/>
          <w:color w:val="auto"/>
          <w:sz w:val="24"/>
          <w:szCs w:val="24"/>
          <w:highlight w:val="none"/>
        </w:rPr>
        <w:t>11.2</w:t>
      </w:r>
      <w:r>
        <w:rPr>
          <w:rFonts w:hint="eastAsia" w:ascii="宋体" w:hAnsi="宋体" w:eastAsia="宋体" w:cs="宋体"/>
          <w:bCs/>
          <w:snapToGrid w:val="0"/>
          <w:color w:val="auto"/>
          <w:sz w:val="24"/>
          <w:szCs w:val="24"/>
          <w:highlight w:val="none"/>
        </w:rPr>
        <w:t>电子投标文件的修改、撤回：在提交投标文件截止时间前，投标人可以修改或撤回未解密的电子投标文件，并于提交投标文件截止时间前将重新上传修改后的电子投标文件至系统，到达投标文件提交截止时间后投标人不得撤回、补充、修改和更换投标文件。</w:t>
      </w:r>
      <w:bookmarkEnd w:id="120"/>
    </w:p>
    <w:p w14:paraId="1CE24FDD">
      <w:pPr>
        <w:rPr>
          <w:rFonts w:hint="eastAsia" w:ascii="宋体" w:hAnsi="宋体" w:eastAsia="宋体" w:cs="宋体"/>
          <w:color w:val="auto"/>
          <w:lang w:val="en-US" w:eastAsia="zh-CN"/>
        </w:rPr>
      </w:pPr>
      <w:bookmarkStart w:id="124" w:name="_Toc25051"/>
    </w:p>
    <w:p w14:paraId="28E13027">
      <w:pPr>
        <w:pStyle w:val="136"/>
        <w:keepNext w:val="0"/>
        <w:keepLines w:val="0"/>
        <w:pageBreakBefore w:val="0"/>
        <w:widowControl w:val="0"/>
        <w:kinsoku/>
        <w:wordWrap w:val="0"/>
        <w:overflowPunct/>
        <w:topLinePunct w:val="0"/>
        <w:autoSpaceDE/>
        <w:autoSpaceDN/>
        <w:bidi w:val="0"/>
        <w:adjustRightInd w:val="0"/>
        <w:snapToGrid w:val="0"/>
        <w:spacing w:line="360" w:lineRule="auto"/>
        <w:ind w:right="0" w:firstLine="482" w:firstLineChars="200"/>
        <w:jc w:val="left"/>
        <w:textAlignment w:val="auto"/>
        <w:rPr>
          <w:rStyle w:val="154"/>
          <w:rFonts w:hint="eastAsia" w:ascii="宋体" w:hAnsi="宋体" w:eastAsia="宋体" w:cs="宋体"/>
          <w:color w:val="auto"/>
          <w:kern w:val="2"/>
          <w:sz w:val="24"/>
          <w:szCs w:val="24"/>
          <w:lang w:val="en-US" w:eastAsia="zh-CN" w:bidi="ar-SA"/>
        </w:rPr>
      </w:pPr>
      <w:r>
        <w:rPr>
          <w:rStyle w:val="154"/>
          <w:rFonts w:hint="eastAsia" w:ascii="宋体" w:hAnsi="宋体" w:eastAsia="宋体" w:cs="宋体"/>
          <w:color w:val="auto"/>
          <w:kern w:val="2"/>
          <w:sz w:val="24"/>
          <w:szCs w:val="24"/>
          <w:lang w:val="en-US" w:eastAsia="zh-CN" w:bidi="ar-SA"/>
        </w:rPr>
        <w:t>12.电子投标及投标解密失败及突发情况的补救方案</w:t>
      </w:r>
    </w:p>
    <w:bookmarkEnd w:id="124"/>
    <w:p w14:paraId="2A11A4DB">
      <w:pPr>
        <w:pageBreakBefore w:val="0"/>
        <w:kinsoku/>
        <w:wordWrap w:val="0"/>
        <w:overflowPunct/>
        <w:topLinePunct w:val="0"/>
        <w:autoSpaceDE/>
        <w:autoSpaceDN/>
        <w:bidi w:val="0"/>
        <w:adjustRightInd w:val="0"/>
        <w:spacing w:line="360" w:lineRule="auto"/>
        <w:ind w:left="0" w:leftChars="0" w:right="0" w:firstLine="482" w:firstLineChars="200"/>
        <w:rPr>
          <w:rFonts w:hint="eastAsia" w:ascii="宋体" w:hAnsi="宋体" w:eastAsia="宋体" w:cs="宋体"/>
          <w:bCs/>
          <w:snapToGrid w:val="0"/>
          <w:color w:val="auto"/>
          <w:sz w:val="24"/>
          <w:szCs w:val="24"/>
          <w:highlight w:val="none"/>
        </w:rPr>
      </w:pPr>
      <w:r>
        <w:rPr>
          <w:rFonts w:hint="eastAsia" w:ascii="宋体" w:hAnsi="宋体" w:eastAsia="宋体" w:cs="宋体"/>
          <w:b/>
          <w:bCs/>
          <w:snapToGrid w:val="0"/>
          <w:color w:val="auto"/>
          <w:kern w:val="0"/>
          <w:sz w:val="24"/>
          <w:szCs w:val="24"/>
          <w:highlight w:val="none"/>
          <w:lang w:val="en-US" w:eastAsia="zh-CN" w:bidi="ar-SA"/>
        </w:rPr>
        <w:t>12.1</w:t>
      </w:r>
      <w:r>
        <w:rPr>
          <w:rFonts w:hint="eastAsia" w:ascii="宋体" w:hAnsi="宋体" w:eastAsia="宋体" w:cs="宋体"/>
          <w:bCs/>
          <w:snapToGrid w:val="0"/>
          <w:color w:val="auto"/>
          <w:sz w:val="24"/>
          <w:szCs w:val="24"/>
          <w:highlight w:val="none"/>
        </w:rPr>
        <w:t xml:space="preserve">按照交易平台关于全流程电子化项目的相关指南进行操作。详见：全国公共资源交易平台（广东省·韶关市）（https://ygp.gdzwfw.gov.cn/ggzy-portal/#/440200/index）交易指引栏目发布的最新版操作指引。  </w:t>
      </w:r>
    </w:p>
    <w:p w14:paraId="5A18F35F">
      <w:pPr>
        <w:pageBreakBefore w:val="0"/>
        <w:kinsoku/>
        <w:wordWrap w:val="0"/>
        <w:overflowPunct/>
        <w:topLinePunct w:val="0"/>
        <w:autoSpaceDE/>
        <w:autoSpaceDN/>
        <w:bidi w:val="0"/>
        <w:adjustRightInd w:val="0"/>
        <w:spacing w:line="360" w:lineRule="auto"/>
        <w:ind w:left="0" w:leftChars="0" w:right="0" w:firstLine="482" w:firstLineChars="200"/>
        <w:rPr>
          <w:rFonts w:hint="eastAsia" w:ascii="宋体" w:hAnsi="宋体" w:eastAsia="宋体" w:cs="宋体"/>
          <w:bCs/>
          <w:snapToGrid w:val="0"/>
          <w:color w:val="auto"/>
          <w:sz w:val="24"/>
          <w:szCs w:val="24"/>
          <w:highlight w:val="none"/>
        </w:rPr>
      </w:pPr>
      <w:r>
        <w:rPr>
          <w:rFonts w:hint="eastAsia" w:ascii="宋体" w:hAnsi="宋体" w:eastAsia="宋体" w:cs="宋体"/>
          <w:b/>
          <w:bCs/>
          <w:snapToGrid w:val="0"/>
          <w:color w:val="auto"/>
          <w:kern w:val="0"/>
          <w:sz w:val="24"/>
          <w:szCs w:val="24"/>
          <w:highlight w:val="none"/>
          <w:lang w:val="en-US" w:eastAsia="zh-CN" w:bidi="ar-SA"/>
        </w:rPr>
        <w:t>12.2</w:t>
      </w:r>
      <w:r>
        <w:rPr>
          <w:rFonts w:hint="eastAsia" w:ascii="宋体" w:hAnsi="宋体" w:eastAsia="宋体" w:cs="宋体"/>
          <w:bCs/>
          <w:snapToGrid w:val="0"/>
          <w:color w:val="auto"/>
          <w:sz w:val="24"/>
          <w:szCs w:val="24"/>
          <w:highlight w:val="none"/>
        </w:rPr>
        <w:t>补救方案：</w:t>
      </w:r>
    </w:p>
    <w:p w14:paraId="73FF47F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82" w:firstLineChars="200"/>
        <w:textAlignment w:val="auto"/>
        <w:rPr>
          <w:rFonts w:hint="eastAsia" w:ascii="宋体" w:hAnsi="宋体" w:eastAsia="宋体" w:cs="宋体"/>
          <w:bCs/>
          <w:snapToGrid w:val="0"/>
          <w:color w:val="auto"/>
          <w:sz w:val="24"/>
          <w:szCs w:val="24"/>
          <w:highlight w:val="none"/>
        </w:rPr>
      </w:pPr>
      <w:r>
        <w:rPr>
          <w:rFonts w:hint="eastAsia" w:ascii="宋体" w:hAnsi="宋体" w:eastAsia="宋体" w:cs="宋体"/>
          <w:b/>
          <w:bCs w:val="0"/>
          <w:snapToGrid w:val="0"/>
          <w:color w:val="auto"/>
          <w:sz w:val="24"/>
          <w:szCs w:val="24"/>
          <w:highlight w:val="none"/>
          <w:lang w:val="en-US" w:eastAsia="zh-CN"/>
        </w:rPr>
        <w:t>12.2.1</w:t>
      </w:r>
      <w:r>
        <w:rPr>
          <w:rFonts w:hint="eastAsia" w:ascii="宋体" w:hAnsi="宋体" w:eastAsia="宋体" w:cs="宋体"/>
          <w:bCs/>
          <w:snapToGrid w:val="0"/>
          <w:color w:val="auto"/>
          <w:sz w:val="24"/>
          <w:szCs w:val="24"/>
          <w:highlight w:val="none"/>
        </w:rPr>
        <w:t>投标文件解密失败的补救方案：</w:t>
      </w:r>
    </w:p>
    <w:p w14:paraId="58EDECDB">
      <w:pPr>
        <w:pageBreakBefore w:val="0"/>
        <w:kinsoku/>
        <w:wordWrap w:val="0"/>
        <w:overflowPunct/>
        <w:topLinePunct w:val="0"/>
        <w:autoSpaceDE/>
        <w:autoSpaceDN/>
        <w:bidi w:val="0"/>
        <w:adjustRightInd w:val="0"/>
        <w:spacing w:line="360" w:lineRule="auto"/>
        <w:ind w:left="0" w:leftChars="0" w:right="0" w:firstLine="480" w:firstLineChars="200"/>
        <w:rPr>
          <w:rFonts w:hint="eastAsia" w:ascii="宋体" w:hAnsi="宋体" w:eastAsia="宋体" w:cs="宋体"/>
          <w:bCs/>
          <w:snapToGrid w:val="0"/>
          <w:color w:val="auto"/>
          <w:sz w:val="24"/>
          <w:szCs w:val="24"/>
          <w:highlight w:val="none"/>
        </w:rPr>
      </w:pPr>
      <w:r>
        <w:rPr>
          <w:rFonts w:hint="eastAsia" w:ascii="宋体" w:hAnsi="宋体" w:eastAsia="宋体" w:cs="宋体"/>
          <w:bCs/>
          <w:snapToGrid w:val="0"/>
          <w:color w:val="auto"/>
          <w:sz w:val="24"/>
          <w:szCs w:val="24"/>
          <w:highlight w:val="none"/>
        </w:rPr>
        <w:t>在规定时间内，因投标人之外原因(指网络瘫痪、服务器损坏、交易系统故障短期无法恢复)等导致的电子投标文件解密失败，在开标现场解密环节由代理授权后，解密失败投标人可在建设工程交易系统在规定时间（代理机构授权后30分钟内）内重新提交投标文件继续开标程序。</w:t>
      </w:r>
    </w:p>
    <w:p w14:paraId="2778DE7F">
      <w:pPr>
        <w:pageBreakBefore w:val="0"/>
        <w:kinsoku/>
        <w:wordWrap w:val="0"/>
        <w:overflowPunct/>
        <w:topLinePunct w:val="0"/>
        <w:autoSpaceDE/>
        <w:autoSpaceDN/>
        <w:bidi w:val="0"/>
        <w:adjustRightInd w:val="0"/>
        <w:spacing w:line="360" w:lineRule="auto"/>
        <w:ind w:left="0" w:leftChars="0" w:right="0" w:firstLine="482" w:firstLineChars="200"/>
        <w:rPr>
          <w:rFonts w:hint="eastAsia" w:ascii="宋体" w:hAnsi="宋体" w:eastAsia="宋体" w:cs="宋体"/>
          <w:bCs/>
          <w:snapToGrid w:val="0"/>
          <w:color w:val="auto"/>
          <w:sz w:val="24"/>
          <w:szCs w:val="24"/>
          <w:highlight w:val="none"/>
        </w:rPr>
      </w:pPr>
      <w:r>
        <w:rPr>
          <w:rFonts w:hint="eastAsia" w:ascii="宋体" w:hAnsi="宋体" w:eastAsia="宋体" w:cs="宋体"/>
          <w:b/>
          <w:bCs w:val="0"/>
          <w:snapToGrid w:val="0"/>
          <w:color w:val="auto"/>
          <w:sz w:val="24"/>
          <w:szCs w:val="24"/>
          <w:highlight w:val="none"/>
          <w:lang w:val="en-US" w:eastAsia="zh-CN"/>
        </w:rPr>
        <w:t>12.2.2</w:t>
      </w:r>
      <w:r>
        <w:rPr>
          <w:rFonts w:hint="eastAsia" w:ascii="宋体" w:hAnsi="宋体" w:eastAsia="宋体" w:cs="宋体"/>
          <w:bCs/>
          <w:snapToGrid w:val="0"/>
          <w:color w:val="auto"/>
          <w:sz w:val="24"/>
          <w:szCs w:val="24"/>
          <w:highlight w:val="none"/>
        </w:rPr>
        <w:t>评标时突发情况的补救方案</w:t>
      </w:r>
    </w:p>
    <w:p w14:paraId="02506F98">
      <w:pPr>
        <w:pageBreakBefore w:val="0"/>
        <w:kinsoku/>
        <w:wordWrap w:val="0"/>
        <w:overflowPunct/>
        <w:topLinePunct w:val="0"/>
        <w:autoSpaceDE/>
        <w:autoSpaceDN/>
        <w:bidi w:val="0"/>
        <w:adjustRightInd w:val="0"/>
        <w:spacing w:line="360" w:lineRule="auto"/>
        <w:ind w:left="0" w:leftChars="0" w:right="0" w:firstLine="480" w:firstLineChars="200"/>
        <w:rPr>
          <w:rFonts w:hint="eastAsia" w:ascii="宋体" w:hAnsi="宋体" w:eastAsia="宋体" w:cs="宋体"/>
          <w:bCs/>
          <w:snapToGrid w:val="0"/>
          <w:color w:val="auto"/>
          <w:sz w:val="24"/>
          <w:szCs w:val="24"/>
          <w:highlight w:val="none"/>
        </w:rPr>
      </w:pPr>
      <w:r>
        <w:rPr>
          <w:rFonts w:hint="eastAsia" w:ascii="宋体" w:hAnsi="宋体" w:eastAsia="宋体" w:cs="宋体"/>
          <w:bCs/>
          <w:snapToGrid w:val="0"/>
          <w:color w:val="auto"/>
          <w:sz w:val="24"/>
          <w:szCs w:val="24"/>
          <w:highlight w:val="none"/>
        </w:rPr>
        <w:t>在评标过程中，因主场或副场网络故障、电子设备或者评标系统故障，以及其他原因导致无法继续进行评标时，在4小时以内解除故障的可继续评标，超过4小时无法解除故障的，由招标人确定是否进行评标。如延期评标，招标人及参与评标活动的各方主体及其有关工作人员应当配合主场、副场做好招投标资料的封存和保密工作，另行组建评标委员会重新评标。原评标委员会成员应当对评标情况保密，不得对外透露与评标有关的任何信息与情况。</w:t>
      </w:r>
    </w:p>
    <w:p w14:paraId="107179AD">
      <w:pPr>
        <w:pageBreakBefore w:val="0"/>
        <w:kinsoku/>
        <w:wordWrap w:val="0"/>
        <w:overflowPunct/>
        <w:topLinePunct w:val="0"/>
        <w:autoSpaceDE/>
        <w:autoSpaceDN/>
        <w:bidi w:val="0"/>
        <w:adjustRightInd w:val="0"/>
        <w:spacing w:line="360" w:lineRule="auto"/>
        <w:ind w:left="0" w:leftChars="0" w:right="0" w:firstLine="482" w:firstLineChars="200"/>
        <w:rPr>
          <w:rFonts w:hint="eastAsia" w:ascii="宋体" w:hAnsi="宋体" w:eastAsia="宋体" w:cs="宋体"/>
          <w:bCs/>
          <w:snapToGrid w:val="0"/>
          <w:color w:val="auto"/>
          <w:kern w:val="2"/>
          <w:sz w:val="24"/>
          <w:szCs w:val="24"/>
          <w:highlight w:val="none"/>
          <w:lang w:val="en-US" w:eastAsia="zh-CN" w:bidi="ar-SA"/>
        </w:rPr>
      </w:pPr>
      <w:r>
        <w:rPr>
          <w:rFonts w:hint="eastAsia" w:ascii="宋体" w:hAnsi="宋体" w:eastAsia="宋体" w:cs="宋体"/>
          <w:b/>
          <w:bCs w:val="0"/>
          <w:snapToGrid w:val="0"/>
          <w:color w:val="auto"/>
          <w:sz w:val="24"/>
          <w:szCs w:val="24"/>
          <w:highlight w:val="none"/>
          <w:lang w:val="en-US" w:eastAsia="zh-CN"/>
        </w:rPr>
        <w:t>12.2.3</w:t>
      </w:r>
      <w:r>
        <w:rPr>
          <w:rFonts w:hint="eastAsia" w:ascii="宋体" w:hAnsi="宋体" w:eastAsia="宋体" w:cs="宋体"/>
          <w:b w:val="0"/>
          <w:bCs/>
          <w:snapToGrid w:val="0"/>
          <w:color w:val="auto"/>
          <w:sz w:val="24"/>
          <w:szCs w:val="24"/>
          <w:highlight w:val="none"/>
          <w:lang w:val="en-US" w:eastAsia="zh-CN"/>
        </w:rPr>
        <w:t>除发生上述情况外，开标评标均以投标人（联合体投标的，由联合体牵头人）通过交易平台网上递交的电子投标文件为准。</w:t>
      </w:r>
    </w:p>
    <w:p w14:paraId="42346281">
      <w:pPr>
        <w:rPr>
          <w:rFonts w:hint="eastAsia" w:ascii="宋体" w:hAnsi="宋体" w:eastAsia="宋体" w:cs="宋体"/>
          <w:color w:val="auto"/>
        </w:rPr>
      </w:pPr>
    </w:p>
    <w:p w14:paraId="34E872B4">
      <w:pPr>
        <w:keepNext w:val="0"/>
        <w:keepLines w:val="0"/>
        <w:pageBreakBefore w:val="0"/>
        <w:widowControl w:val="0"/>
        <w:kinsoku/>
        <w:wordWrap/>
        <w:overflowPunct/>
        <w:topLinePunct w:val="0"/>
        <w:autoSpaceDE/>
        <w:autoSpaceDN/>
        <w:bidi w:val="0"/>
        <w:adjustRightInd/>
        <w:snapToGrid/>
        <w:spacing w:line="360" w:lineRule="auto"/>
        <w:ind w:left="0" w:leftChars="0" w:right="0" w:firstLine="482" w:firstLineChars="200"/>
        <w:textAlignment w:val="auto"/>
        <w:outlineLvl w:val="1"/>
        <w:rPr>
          <w:rStyle w:val="154"/>
          <w:rFonts w:hint="eastAsia" w:ascii="宋体" w:hAnsi="宋体" w:eastAsia="宋体" w:cs="宋体"/>
          <w:color w:val="auto"/>
          <w:sz w:val="24"/>
          <w:szCs w:val="24"/>
          <w:lang w:val="en-US" w:eastAsia="zh-CN"/>
        </w:rPr>
      </w:pPr>
      <w:bookmarkStart w:id="125" w:name="_Toc31800"/>
      <w:r>
        <w:rPr>
          <w:rStyle w:val="154"/>
          <w:rFonts w:hint="eastAsia" w:ascii="宋体" w:hAnsi="宋体" w:eastAsia="宋体" w:cs="宋体"/>
          <w:color w:val="auto"/>
          <w:sz w:val="24"/>
          <w:szCs w:val="24"/>
          <w:lang w:val="en-US" w:eastAsia="zh-CN"/>
        </w:rPr>
        <w:t>13．投标文件的提交</w:t>
      </w:r>
      <w:bookmarkEnd w:id="125"/>
    </w:p>
    <w:p w14:paraId="5BEEDFBF">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13.1</w:t>
      </w:r>
      <w:r>
        <w:rPr>
          <w:rFonts w:hint="eastAsia" w:ascii="宋体" w:hAnsi="宋体" w:eastAsia="宋体" w:cs="宋体"/>
          <w:snapToGrid w:val="0"/>
          <w:color w:val="auto"/>
          <w:kern w:val="0"/>
          <w:sz w:val="24"/>
          <w:szCs w:val="24"/>
          <w:highlight w:val="none"/>
        </w:rPr>
        <w:t>在投标文件提交截止时间前，投标人通过</w:t>
      </w:r>
      <w:r>
        <w:rPr>
          <w:rFonts w:hint="eastAsia" w:ascii="宋体" w:hAnsi="宋体" w:eastAsia="宋体" w:cs="宋体"/>
          <w:bCs/>
          <w:snapToGrid w:val="0"/>
          <w:color w:val="auto"/>
          <w:sz w:val="24"/>
          <w:szCs w:val="24"/>
          <w:highlight w:val="none"/>
        </w:rPr>
        <w:t>全国公共资源交易平台（广东省·韶关市）</w:t>
      </w:r>
      <w:r>
        <w:rPr>
          <w:rFonts w:hint="eastAsia" w:ascii="宋体" w:hAnsi="宋体" w:eastAsia="宋体" w:cs="宋体"/>
          <w:snapToGrid w:val="0"/>
          <w:color w:val="auto"/>
          <w:kern w:val="0"/>
          <w:sz w:val="24"/>
          <w:szCs w:val="24"/>
          <w:highlight w:val="none"/>
        </w:rPr>
        <w:t>提交已加密投标文件。逾期提交的电子投标文件，</w:t>
      </w:r>
      <w:r>
        <w:rPr>
          <w:rFonts w:hint="eastAsia" w:ascii="宋体" w:hAnsi="宋体" w:eastAsia="宋体" w:cs="宋体"/>
          <w:bCs/>
          <w:snapToGrid w:val="0"/>
          <w:color w:val="auto"/>
          <w:sz w:val="24"/>
          <w:szCs w:val="24"/>
          <w:highlight w:val="none"/>
        </w:rPr>
        <w:t>全国公共资源交易平台（广东省·韶关市）</w:t>
      </w:r>
      <w:r>
        <w:rPr>
          <w:rFonts w:hint="eastAsia" w:ascii="宋体" w:hAnsi="宋体" w:eastAsia="宋体" w:cs="宋体"/>
          <w:snapToGrid w:val="0"/>
          <w:color w:val="auto"/>
          <w:kern w:val="0"/>
          <w:sz w:val="24"/>
          <w:szCs w:val="24"/>
          <w:highlight w:val="none"/>
        </w:rPr>
        <w:t>将予以拒收。</w:t>
      </w:r>
    </w:p>
    <w:p w14:paraId="3A866581">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13.2</w:t>
      </w:r>
      <w:r>
        <w:rPr>
          <w:rFonts w:hint="eastAsia" w:ascii="宋体" w:hAnsi="宋体" w:eastAsia="宋体" w:cs="宋体"/>
          <w:snapToGrid w:val="0"/>
          <w:color w:val="auto"/>
          <w:kern w:val="0"/>
          <w:sz w:val="24"/>
          <w:szCs w:val="24"/>
          <w:highlight w:val="none"/>
        </w:rPr>
        <w:t>提交时间和地点：见本章第二节“重要事项时间地点一览表”</w:t>
      </w:r>
    </w:p>
    <w:p w14:paraId="447F6263">
      <w:pPr>
        <w:pStyle w:val="10"/>
        <w:keepNext w:val="0"/>
        <w:keepLines w:val="0"/>
        <w:pageBreakBefore w:val="0"/>
        <w:widowControl w:val="0"/>
        <w:kinsoku/>
        <w:overflowPunct/>
        <w:topLinePunct w:val="0"/>
        <w:autoSpaceDE/>
        <w:autoSpaceDN/>
        <w:bidi w:val="0"/>
        <w:spacing w:line="360" w:lineRule="auto"/>
        <w:ind w:left="0" w:leftChars="0" w:right="0" w:firstLine="482" w:firstLineChars="200"/>
        <w:rPr>
          <w:rFonts w:hint="eastAsia" w:ascii="宋体" w:hAnsi="宋体" w:eastAsia="宋体" w:cs="宋体"/>
          <w:b/>
          <w:bCs/>
          <w:snapToGrid w:val="0"/>
          <w:color w:val="auto"/>
          <w:sz w:val="24"/>
          <w:szCs w:val="24"/>
          <w:highlight w:val="none"/>
        </w:rPr>
      </w:pPr>
      <w:r>
        <w:rPr>
          <w:rFonts w:hint="eastAsia" w:ascii="宋体" w:hAnsi="宋体" w:eastAsia="宋体" w:cs="宋体"/>
          <w:b/>
          <w:bCs/>
          <w:snapToGrid w:val="0"/>
          <w:color w:val="auto"/>
          <w:sz w:val="24"/>
          <w:szCs w:val="24"/>
          <w:highlight w:val="none"/>
        </w:rPr>
        <w:t xml:space="preserve">13.3 </w:t>
      </w:r>
      <w:r>
        <w:rPr>
          <w:rFonts w:hint="eastAsia" w:ascii="宋体" w:hAnsi="宋体" w:eastAsia="宋体" w:cs="宋体"/>
          <w:snapToGrid w:val="0"/>
          <w:color w:val="auto"/>
          <w:kern w:val="0"/>
          <w:sz w:val="24"/>
          <w:szCs w:val="24"/>
          <w:highlight w:val="none"/>
        </w:rPr>
        <w:t>递交时间和地点：投标人如有招标文件要求提交的用于评审的证书、证件、证明原件（附一式两份清单），由投标人法定代表人或其委托代理人在指定的时间和地点递交（见“重要事项时间地点一览表”）</w:t>
      </w:r>
    </w:p>
    <w:p w14:paraId="3B250463">
      <w:pPr>
        <w:pStyle w:val="10"/>
        <w:keepNext w:val="0"/>
        <w:keepLines w:val="0"/>
        <w:pageBreakBefore w:val="0"/>
        <w:widowControl w:val="0"/>
        <w:kinsoku/>
        <w:overflowPunct/>
        <w:topLinePunct w:val="0"/>
        <w:autoSpaceDE/>
        <w:autoSpaceDN/>
        <w:bidi w:val="0"/>
        <w:spacing w:line="360" w:lineRule="auto"/>
        <w:ind w:left="0" w:leftChars="0" w:right="0" w:firstLine="482" w:firstLineChars="200"/>
        <w:rPr>
          <w:rFonts w:hint="eastAsia" w:ascii="宋体" w:hAnsi="宋体" w:eastAsia="宋体" w:cs="宋体"/>
          <w:bCs/>
          <w:snapToGrid w:val="0"/>
          <w:color w:val="auto"/>
          <w:sz w:val="24"/>
          <w:szCs w:val="24"/>
          <w:highlight w:val="none"/>
          <w:lang w:val="en-US" w:eastAsia="zh-CN"/>
        </w:rPr>
      </w:pPr>
      <w:r>
        <w:rPr>
          <w:rFonts w:hint="eastAsia" w:ascii="宋体" w:hAnsi="宋体" w:eastAsia="宋体" w:cs="宋体"/>
          <w:b/>
          <w:bCs w:val="0"/>
          <w:snapToGrid w:val="0"/>
          <w:color w:val="auto"/>
          <w:sz w:val="24"/>
          <w:szCs w:val="24"/>
          <w:highlight w:val="none"/>
          <w:lang w:val="en-US" w:eastAsia="zh-CN"/>
        </w:rPr>
        <w:t xml:space="preserve">13.4 </w:t>
      </w:r>
      <w:r>
        <w:rPr>
          <w:rFonts w:hint="eastAsia" w:ascii="宋体" w:hAnsi="宋体" w:eastAsia="宋体" w:cs="宋体"/>
          <w:snapToGrid w:val="0"/>
          <w:color w:val="auto"/>
          <w:kern w:val="0"/>
          <w:sz w:val="24"/>
          <w:szCs w:val="24"/>
          <w:highlight w:val="none"/>
        </w:rPr>
        <w:t>代理机构对因不可抗力事件造成的投标文件的损坏、丢失的，不承担责任。</w:t>
      </w:r>
    </w:p>
    <w:p w14:paraId="0D98FEB5">
      <w:pPr>
        <w:pStyle w:val="10"/>
        <w:keepNext w:val="0"/>
        <w:keepLines w:val="0"/>
        <w:pageBreakBefore w:val="0"/>
        <w:widowControl w:val="0"/>
        <w:kinsoku/>
        <w:overflowPunct/>
        <w:topLinePunct w:val="0"/>
        <w:autoSpaceDE/>
        <w:autoSpaceDN/>
        <w:bidi w:val="0"/>
        <w:spacing w:line="360" w:lineRule="auto"/>
        <w:ind w:left="0" w:leftChars="0" w:right="0" w:firstLine="480" w:firstLineChars="200"/>
        <w:rPr>
          <w:rFonts w:hint="eastAsia" w:ascii="宋体" w:hAnsi="宋体" w:eastAsia="宋体" w:cs="宋体"/>
          <w:strike/>
          <w:dstrike w:val="0"/>
          <w:snapToGrid w:val="0"/>
          <w:color w:val="auto"/>
          <w:kern w:val="0"/>
          <w:sz w:val="24"/>
          <w:szCs w:val="24"/>
          <w:highlight w:val="none"/>
        </w:rPr>
      </w:pPr>
      <w:r>
        <w:rPr>
          <w:rFonts w:hint="eastAsia" w:ascii="宋体" w:hAnsi="宋体" w:eastAsia="宋体" w:cs="宋体"/>
          <w:bCs/>
          <w:snapToGrid w:val="0"/>
          <w:color w:val="auto"/>
          <w:sz w:val="24"/>
          <w:szCs w:val="24"/>
          <w:highlight w:val="none"/>
        </w:rPr>
        <w:t>投标人法定代表人或其委托代理人（以下简称“投标人代表”）应在指定的时间和地点递交投标相关资料（如有）。</w:t>
      </w:r>
    </w:p>
    <w:p w14:paraId="444F38AE">
      <w:pPr>
        <w:keepNext w:val="0"/>
        <w:keepLines w:val="0"/>
        <w:pageBreakBefore w:val="0"/>
        <w:widowControl w:val="0"/>
        <w:kinsoku/>
        <w:wordWrap w:val="0"/>
        <w:overflowPunct/>
        <w:topLinePunct w:val="0"/>
        <w:autoSpaceDE/>
        <w:autoSpaceDN/>
        <w:bidi w:val="0"/>
        <w:adjustRightInd w:val="0"/>
        <w:snapToGrid w:val="0"/>
        <w:spacing w:line="360" w:lineRule="auto"/>
        <w:ind w:left="0" w:leftChars="0" w:right="0"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13.</w:t>
      </w:r>
      <w:r>
        <w:rPr>
          <w:rFonts w:hint="eastAsia" w:ascii="宋体" w:hAnsi="宋体" w:eastAsia="宋体" w:cs="宋体"/>
          <w:b/>
          <w:bCs/>
          <w:snapToGrid w:val="0"/>
          <w:color w:val="auto"/>
          <w:kern w:val="0"/>
          <w:sz w:val="24"/>
          <w:szCs w:val="24"/>
          <w:highlight w:val="none"/>
          <w:lang w:val="en-US" w:eastAsia="zh-CN"/>
        </w:rPr>
        <w:t>5</w:t>
      </w:r>
      <w:r>
        <w:rPr>
          <w:rFonts w:hint="eastAsia" w:ascii="宋体" w:hAnsi="宋体" w:eastAsia="宋体" w:cs="宋体"/>
          <w:snapToGrid w:val="0"/>
          <w:color w:val="auto"/>
          <w:kern w:val="0"/>
          <w:sz w:val="24"/>
          <w:szCs w:val="24"/>
          <w:highlight w:val="none"/>
        </w:rPr>
        <w:t>出现下述情形之一，属于未成功提交投标文件，按无效投标处理：</w:t>
      </w:r>
    </w:p>
    <w:p w14:paraId="102CFAE0">
      <w:pPr>
        <w:keepNext w:val="0"/>
        <w:keepLines w:val="0"/>
        <w:pageBreakBefore w:val="0"/>
        <w:widowControl w:val="0"/>
        <w:numPr>
          <w:ilvl w:val="0"/>
          <w:numId w:val="0"/>
        </w:numPr>
        <w:kinsoku/>
        <w:overflowPunct/>
        <w:topLinePunct w:val="0"/>
        <w:autoSpaceDE/>
        <w:autoSpaceDN/>
        <w:bidi w:val="0"/>
        <w:spacing w:line="360" w:lineRule="auto"/>
        <w:ind w:left="0" w:leftChars="0" w:right="0"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lang w:val="en-US" w:eastAsia="zh-CN" w:bidi="ar-SA"/>
        </w:rPr>
        <w:t>（1）</w:t>
      </w:r>
      <w:r>
        <w:rPr>
          <w:rFonts w:hint="eastAsia" w:ascii="宋体" w:hAnsi="宋体" w:eastAsia="宋体" w:cs="宋体"/>
          <w:snapToGrid w:val="0"/>
          <w:color w:val="auto"/>
          <w:kern w:val="0"/>
          <w:sz w:val="24"/>
          <w:szCs w:val="24"/>
          <w:highlight w:val="none"/>
        </w:rPr>
        <w:t>至提交投标文件截止时，投标文件未完整上传及提交标书；</w:t>
      </w:r>
    </w:p>
    <w:p w14:paraId="1F4ECA62">
      <w:pPr>
        <w:keepNext w:val="0"/>
        <w:keepLines w:val="0"/>
        <w:pageBreakBefore w:val="0"/>
        <w:widowControl w:val="0"/>
        <w:numPr>
          <w:ilvl w:val="0"/>
          <w:numId w:val="0"/>
        </w:numPr>
        <w:kinsoku/>
        <w:overflowPunct/>
        <w:topLinePunct w:val="0"/>
        <w:autoSpaceDE/>
        <w:autoSpaceDN/>
        <w:bidi w:val="0"/>
        <w:spacing w:line="360" w:lineRule="auto"/>
        <w:ind w:left="0" w:leftChars="0" w:right="0"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lang w:val="en-US" w:eastAsia="zh-CN" w:bidi="ar-SA"/>
        </w:rPr>
        <w:t>（2）</w:t>
      </w:r>
      <w:r>
        <w:rPr>
          <w:rFonts w:hint="eastAsia" w:ascii="宋体" w:hAnsi="宋体" w:eastAsia="宋体" w:cs="宋体"/>
          <w:snapToGrid w:val="0"/>
          <w:color w:val="auto"/>
          <w:kern w:val="0"/>
          <w:sz w:val="24"/>
          <w:szCs w:val="24"/>
          <w:highlight w:val="none"/>
        </w:rPr>
        <w:t>解密失败且在规定时间内未重新提交投标文件的</w:t>
      </w:r>
      <w:r>
        <w:rPr>
          <w:rFonts w:hint="eastAsia" w:ascii="宋体" w:hAnsi="宋体" w:eastAsia="宋体" w:cs="宋体"/>
          <w:snapToGrid w:val="0"/>
          <w:color w:val="auto"/>
          <w:kern w:val="0"/>
          <w:sz w:val="24"/>
          <w:szCs w:val="24"/>
          <w:highlight w:val="none"/>
          <w:lang w:eastAsia="zh-CN"/>
        </w:rPr>
        <w:t>；</w:t>
      </w:r>
    </w:p>
    <w:p w14:paraId="4B336C96">
      <w:pPr>
        <w:keepNext w:val="0"/>
        <w:keepLines w:val="0"/>
        <w:pageBreakBefore w:val="0"/>
        <w:widowControl w:val="0"/>
        <w:numPr>
          <w:ilvl w:val="0"/>
          <w:numId w:val="0"/>
        </w:numPr>
        <w:kinsoku/>
        <w:overflowPunct/>
        <w:topLinePunct w:val="0"/>
        <w:autoSpaceDE/>
        <w:autoSpaceDN/>
        <w:bidi w:val="0"/>
        <w:spacing w:line="360" w:lineRule="auto"/>
        <w:ind w:left="0" w:leftChars="0" w:right="0"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lang w:val="en-US" w:eastAsia="zh-CN" w:bidi="ar-SA"/>
        </w:rPr>
        <w:t>（3）</w:t>
      </w:r>
      <w:r>
        <w:rPr>
          <w:rFonts w:hint="eastAsia" w:ascii="宋体" w:hAnsi="宋体" w:eastAsia="宋体" w:cs="宋体"/>
          <w:snapToGrid w:val="0"/>
          <w:color w:val="auto"/>
          <w:kern w:val="0"/>
          <w:sz w:val="24"/>
          <w:szCs w:val="24"/>
          <w:highlight w:val="none"/>
        </w:rPr>
        <w:t>投标文件损坏或格式不正确的；</w:t>
      </w:r>
    </w:p>
    <w:p w14:paraId="56ACA964">
      <w:pPr>
        <w:keepNext w:val="0"/>
        <w:keepLines w:val="0"/>
        <w:pageBreakBefore w:val="0"/>
        <w:widowControl w:val="0"/>
        <w:numPr>
          <w:ilvl w:val="0"/>
          <w:numId w:val="0"/>
        </w:numPr>
        <w:kinsoku/>
        <w:overflowPunct/>
        <w:topLinePunct w:val="0"/>
        <w:autoSpaceDE/>
        <w:autoSpaceDN/>
        <w:bidi w:val="0"/>
        <w:spacing w:line="360" w:lineRule="auto"/>
        <w:ind w:left="0" w:leftChars="0" w:right="0" w:firstLine="482"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b/>
          <w:bCs/>
          <w:snapToGrid w:val="0"/>
          <w:color w:val="auto"/>
          <w:kern w:val="0"/>
          <w:sz w:val="24"/>
          <w:szCs w:val="24"/>
          <w:highlight w:val="none"/>
          <w:lang w:val="en-US" w:eastAsia="zh-CN"/>
        </w:rPr>
        <w:t>13.6</w:t>
      </w:r>
      <w:r>
        <w:rPr>
          <w:rFonts w:hint="eastAsia" w:ascii="宋体" w:hAnsi="宋体" w:eastAsia="宋体" w:cs="宋体"/>
          <w:snapToGrid w:val="0"/>
          <w:color w:val="auto"/>
          <w:kern w:val="0"/>
          <w:sz w:val="24"/>
          <w:szCs w:val="24"/>
          <w:highlight w:val="none"/>
          <w:lang w:val="en-US" w:eastAsia="zh-CN"/>
        </w:rPr>
        <w:t xml:space="preserve"> 联合体投标的，由联合体牵头人按以上要求递交相关资料。</w:t>
      </w:r>
    </w:p>
    <w:p w14:paraId="5BA01358">
      <w:pPr>
        <w:keepNext w:val="0"/>
        <w:keepLines w:val="0"/>
        <w:pageBreakBefore w:val="0"/>
        <w:widowControl w:val="0"/>
        <w:kinsoku/>
        <w:overflowPunct/>
        <w:topLinePunct w:val="0"/>
        <w:autoSpaceDE/>
        <w:autoSpaceDN/>
        <w:bidi w:val="0"/>
        <w:spacing w:line="360" w:lineRule="auto"/>
        <w:ind w:left="0" w:leftChars="0" w:right="0"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13.</w:t>
      </w:r>
      <w:r>
        <w:rPr>
          <w:rFonts w:hint="eastAsia" w:ascii="宋体" w:hAnsi="宋体" w:eastAsia="宋体" w:cs="宋体"/>
          <w:b/>
          <w:bCs/>
          <w:color w:val="auto"/>
          <w:sz w:val="24"/>
          <w:szCs w:val="24"/>
          <w:highlight w:val="none"/>
          <w:lang w:val="en-US" w:eastAsia="zh-CN"/>
        </w:rPr>
        <w:t>7</w:t>
      </w:r>
      <w:r>
        <w:rPr>
          <w:rFonts w:hint="eastAsia" w:ascii="宋体" w:hAnsi="宋体" w:eastAsia="宋体" w:cs="宋体"/>
          <w:color w:val="auto"/>
          <w:sz w:val="24"/>
          <w:szCs w:val="24"/>
          <w:highlight w:val="none"/>
        </w:rPr>
        <w:t>招标人或其授权的招标代理机构核对、接收投标人递交的投标相关资料后，应向投标人出具标明签收人和签收时间的凭证，并妥善保管。</w:t>
      </w:r>
    </w:p>
    <w:p w14:paraId="68A4EE6B">
      <w:pPr>
        <w:pageBreakBefore w:val="0"/>
        <w:kinsoku/>
        <w:overflowPunct/>
        <w:topLinePunct w:val="0"/>
        <w:autoSpaceDE/>
        <w:autoSpaceDN/>
        <w:bidi w:val="0"/>
        <w:spacing w:line="360" w:lineRule="auto"/>
        <w:ind w:left="0" w:leftChars="0" w:right="0" w:firstLine="482" w:firstLineChars="200"/>
        <w:rPr>
          <w:rFonts w:hint="eastAsia" w:ascii="宋体" w:hAnsi="宋体" w:eastAsia="宋体" w:cs="宋体"/>
          <w:color w:val="auto"/>
        </w:rPr>
      </w:pPr>
      <w:r>
        <w:rPr>
          <w:rFonts w:hint="eastAsia" w:ascii="宋体" w:hAnsi="宋体" w:eastAsia="宋体" w:cs="宋体"/>
          <w:b/>
          <w:bCs/>
          <w:color w:val="auto"/>
          <w:sz w:val="24"/>
          <w:szCs w:val="24"/>
          <w:highlight w:val="none"/>
        </w:rPr>
        <w:t>13.</w:t>
      </w:r>
      <w:r>
        <w:rPr>
          <w:rFonts w:hint="eastAsia" w:ascii="宋体" w:hAnsi="宋体" w:eastAsia="宋体" w:cs="宋体"/>
          <w:b/>
          <w:bCs/>
          <w:color w:val="auto"/>
          <w:sz w:val="24"/>
          <w:szCs w:val="24"/>
          <w:highlight w:val="none"/>
          <w:lang w:val="en-US" w:eastAsia="zh-CN"/>
        </w:rPr>
        <w:t>8</w:t>
      </w:r>
      <w:r>
        <w:rPr>
          <w:rFonts w:hint="eastAsia" w:ascii="宋体" w:hAnsi="宋体" w:eastAsia="宋体" w:cs="宋体"/>
          <w:color w:val="auto"/>
          <w:sz w:val="24"/>
          <w:szCs w:val="24"/>
          <w:highlight w:val="none"/>
        </w:rPr>
        <w:t>本次招标投标有效期为</w:t>
      </w:r>
      <w:r>
        <w:rPr>
          <w:rFonts w:hint="eastAsia" w:ascii="宋体" w:hAnsi="宋体" w:eastAsia="宋体" w:cs="宋体"/>
          <w:color w:val="auto"/>
          <w:sz w:val="24"/>
          <w:szCs w:val="24"/>
          <w:highlight w:val="none"/>
          <w:lang w:val="en-US" w:eastAsia="zh-CN"/>
        </w:rPr>
        <w:t>90</w:t>
      </w:r>
      <w:r>
        <w:rPr>
          <w:rFonts w:hint="eastAsia" w:ascii="宋体" w:hAnsi="宋体" w:eastAsia="宋体" w:cs="宋体"/>
          <w:color w:val="auto"/>
          <w:sz w:val="24"/>
          <w:szCs w:val="24"/>
          <w:highlight w:val="none"/>
        </w:rPr>
        <w:t>个日历天，投标有效期从提交投标文件的截止之日起计算。在此期间，投标人不得撤销或修改其投标文件，否则其投标保证不予退还。</w:t>
      </w:r>
    </w:p>
    <w:p w14:paraId="1F956CB3">
      <w:pPr>
        <w:keepNext w:val="0"/>
        <w:keepLines w:val="0"/>
        <w:pageBreakBefore w:val="0"/>
        <w:widowControl w:val="0"/>
        <w:kinsoku/>
        <w:wordWrap/>
        <w:overflowPunct/>
        <w:topLinePunct w:val="0"/>
        <w:autoSpaceDE/>
        <w:autoSpaceDN/>
        <w:bidi w:val="0"/>
        <w:adjustRightInd/>
        <w:snapToGrid/>
        <w:spacing w:line="360" w:lineRule="auto"/>
        <w:ind w:left="0" w:leftChars="0" w:right="0" w:firstLine="482" w:firstLineChars="200"/>
        <w:textAlignment w:val="auto"/>
        <w:outlineLvl w:val="1"/>
        <w:rPr>
          <w:rStyle w:val="154"/>
          <w:rFonts w:hint="eastAsia" w:ascii="宋体" w:hAnsi="宋体" w:eastAsia="宋体" w:cs="宋体"/>
          <w:color w:val="auto"/>
          <w:sz w:val="24"/>
          <w:szCs w:val="24"/>
          <w:lang w:val="en-US" w:eastAsia="zh-CN"/>
        </w:rPr>
      </w:pPr>
      <w:bookmarkStart w:id="126" w:name="_Toc358"/>
      <w:r>
        <w:rPr>
          <w:rStyle w:val="154"/>
          <w:rFonts w:hint="eastAsia" w:ascii="宋体" w:hAnsi="宋体" w:eastAsia="宋体" w:cs="宋体"/>
          <w:color w:val="auto"/>
          <w:sz w:val="24"/>
          <w:szCs w:val="24"/>
          <w:lang w:val="en-US" w:eastAsia="zh-CN"/>
        </w:rPr>
        <w:t>14．开标</w:t>
      </w:r>
      <w:bookmarkEnd w:id="126"/>
    </w:p>
    <w:p w14:paraId="29C3732F">
      <w:pPr>
        <w:pStyle w:val="136"/>
        <w:pageBreakBefore w:val="0"/>
        <w:kinsoku/>
        <w:wordWrap w:val="0"/>
        <w:overflowPunct/>
        <w:topLinePunct w:val="0"/>
        <w:autoSpaceDE/>
        <w:autoSpaceDN/>
        <w:bidi w:val="0"/>
        <w:adjustRightInd w:val="0"/>
        <w:snapToGrid w:val="0"/>
        <w:spacing w:line="360" w:lineRule="auto"/>
        <w:ind w:left="0" w:leftChars="0" w:right="0" w:firstLine="482"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14.1</w:t>
      </w:r>
      <w:r>
        <w:rPr>
          <w:rFonts w:hint="eastAsia" w:ascii="宋体" w:hAnsi="宋体" w:eastAsia="宋体" w:cs="宋体"/>
          <w:snapToGrid w:val="0"/>
          <w:color w:val="auto"/>
          <w:kern w:val="0"/>
          <w:sz w:val="24"/>
          <w:szCs w:val="24"/>
          <w:highlight w:val="none"/>
        </w:rPr>
        <w:t xml:space="preserve"> 招标人邀请所有正确获取招标文件、电子投标、缴纳投标保证的投标人参加开标，投标人可自主决定是否参加。投标人可登陆交易平台观看开标实况、提出异议或进行澄清、确认等操作（具体按招标文件和系统操作手册为准）。投标人不参加开标的，视其默认开标结果，以及放弃在开标期间见证、监督、投诉、申辩的权利。</w:t>
      </w:r>
    </w:p>
    <w:p w14:paraId="74FDBAFD">
      <w:pPr>
        <w:pStyle w:val="136"/>
        <w:pageBreakBefore w:val="0"/>
        <w:kinsoku/>
        <w:wordWrap w:val="0"/>
        <w:overflowPunct/>
        <w:topLinePunct w:val="0"/>
        <w:autoSpaceDE/>
        <w:autoSpaceDN/>
        <w:bidi w:val="0"/>
        <w:adjustRightInd w:val="0"/>
        <w:snapToGrid w:val="0"/>
        <w:spacing w:line="360" w:lineRule="auto"/>
        <w:ind w:left="0" w:leftChars="0" w:right="0" w:firstLine="482"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14.1.1</w:t>
      </w:r>
      <w:r>
        <w:rPr>
          <w:rFonts w:hint="eastAsia" w:ascii="宋体" w:hAnsi="宋体" w:eastAsia="宋体" w:cs="宋体"/>
          <w:snapToGrid w:val="0"/>
          <w:color w:val="auto"/>
          <w:kern w:val="0"/>
          <w:sz w:val="24"/>
          <w:szCs w:val="24"/>
          <w:highlight w:val="none"/>
        </w:rPr>
        <w:t xml:space="preserve"> 开标时间和地点：见本章第二节“重要事项时间地点一览表”。</w:t>
      </w:r>
    </w:p>
    <w:p w14:paraId="7AB82DEA">
      <w:pPr>
        <w:pStyle w:val="136"/>
        <w:pageBreakBefore w:val="0"/>
        <w:kinsoku/>
        <w:wordWrap w:val="0"/>
        <w:overflowPunct/>
        <w:topLinePunct w:val="0"/>
        <w:autoSpaceDE/>
        <w:autoSpaceDN/>
        <w:bidi w:val="0"/>
        <w:adjustRightInd w:val="0"/>
        <w:snapToGrid w:val="0"/>
        <w:spacing w:line="360" w:lineRule="auto"/>
        <w:ind w:left="0" w:leftChars="0" w:right="0" w:firstLine="482"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14.1.2</w:t>
      </w:r>
      <w:r>
        <w:rPr>
          <w:rFonts w:hint="eastAsia" w:ascii="宋体" w:hAnsi="宋体" w:eastAsia="宋体" w:cs="宋体"/>
          <w:snapToGrid w:val="0"/>
          <w:color w:val="auto"/>
          <w:kern w:val="0"/>
          <w:sz w:val="24"/>
          <w:szCs w:val="24"/>
          <w:highlight w:val="none"/>
        </w:rPr>
        <w:t xml:space="preserve"> 开标前24小时，若建设工程交易系统显示缴纳投标保证（包括投标保证金、投标保证担保、投标保证保险）的投标人数量不足3个时，招标人将取消原定于次日召开的开标活动。投标人可在投标保证缴纳截止时间（见本章第二节“重要事项时间地点一览表”）至电子投标截止时间（见本章第二节“重要事项时间地点一览表”）期间登录</w:t>
      </w:r>
      <w:r>
        <w:rPr>
          <w:rFonts w:hint="eastAsia" w:ascii="宋体" w:hAnsi="宋体" w:eastAsia="宋体" w:cs="宋体"/>
          <w:snapToGrid w:val="0"/>
          <w:color w:val="auto"/>
          <w:kern w:val="0"/>
          <w:sz w:val="24"/>
          <w:szCs w:val="24"/>
          <w:highlight w:val="none"/>
          <w:lang w:eastAsia="zh-CN"/>
        </w:rPr>
        <w:t>全国公共资源交易平台（广东省·韶关市）（https://ygp.gdzwfw.gov.cn/ggzy-portal/#/440200/index）</w:t>
      </w:r>
      <w:r>
        <w:rPr>
          <w:rFonts w:hint="eastAsia" w:ascii="宋体" w:hAnsi="宋体" w:eastAsia="宋体" w:cs="宋体"/>
          <w:snapToGrid w:val="0"/>
          <w:color w:val="auto"/>
          <w:kern w:val="0"/>
          <w:sz w:val="24"/>
          <w:szCs w:val="24"/>
          <w:highlight w:val="none"/>
        </w:rPr>
        <w:t>查询是否发布了取消开标活动的相关信息。</w:t>
      </w:r>
    </w:p>
    <w:p w14:paraId="5FC547AC">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14.1.3</w:t>
      </w:r>
      <w:r>
        <w:rPr>
          <w:rFonts w:hint="eastAsia" w:ascii="宋体" w:hAnsi="宋体" w:eastAsia="宋体" w:cs="宋体"/>
          <w:snapToGrid w:val="0"/>
          <w:color w:val="auto"/>
          <w:kern w:val="0"/>
          <w:sz w:val="24"/>
          <w:szCs w:val="24"/>
          <w:highlight w:val="none"/>
        </w:rPr>
        <w:t>本项目实行全流程电子化招标投标，投标人在交易平台按要求上传加盖电子印章并经加密的电子投标文件，并在交易平台录入准确的页码信息即可完成在线投标。由于投标人原因导致未按投标截至时限上传完整投标文件、在交易平台中上传的投标文件无法解密、投标文件损坏或格式不正确、投标文件未按招标文件要求加盖电子印章或电子印章不完整、电子投标文件解密失败且未按要求上传备用投标文件等情形导致投标无效的，由投标人自行负责。</w:t>
      </w:r>
    </w:p>
    <w:p w14:paraId="18105194">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14.2</w:t>
      </w:r>
      <w:r>
        <w:rPr>
          <w:rFonts w:hint="eastAsia" w:ascii="宋体" w:hAnsi="宋体" w:eastAsia="宋体" w:cs="宋体"/>
          <w:snapToGrid w:val="0"/>
          <w:color w:val="auto"/>
          <w:kern w:val="0"/>
          <w:sz w:val="24"/>
          <w:szCs w:val="24"/>
          <w:highlight w:val="none"/>
        </w:rPr>
        <w:t xml:space="preserve"> 开标程序</w:t>
      </w:r>
      <w:bookmarkStart w:id="127" w:name="_Toc7418"/>
      <w:bookmarkStart w:id="128" w:name="_Toc1282"/>
    </w:p>
    <w:p w14:paraId="19BC4552">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（1）主持人（招标人代表或招标人授权的招标代理机构人员）宣读开标纪律。</w:t>
      </w:r>
      <w:bookmarkEnd w:id="127"/>
      <w:bookmarkEnd w:id="128"/>
      <w:bookmarkStart w:id="129" w:name="_Toc30474"/>
      <w:bookmarkStart w:id="130" w:name="_Toc4807"/>
    </w:p>
    <w:p w14:paraId="1C5847E5">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（2）主持人宣布唱标人、记录人、见证人、监督人等有关人员姓名。</w:t>
      </w:r>
      <w:bookmarkEnd w:id="129"/>
      <w:bookmarkEnd w:id="130"/>
      <w:bookmarkStart w:id="131" w:name="_Toc3180"/>
      <w:bookmarkStart w:id="132" w:name="_Toc28242"/>
    </w:p>
    <w:p w14:paraId="1EA7D9B0">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rPr>
        <w:t>（3）唱标人公布在投标截止时间前进行投标文件的投标人数量和名称</w:t>
      </w:r>
      <w:bookmarkEnd w:id="131"/>
      <w:bookmarkEnd w:id="132"/>
      <w:bookmarkStart w:id="133" w:name="_Toc10498"/>
      <w:bookmarkStart w:id="134" w:name="_Toc29778"/>
      <w:r>
        <w:rPr>
          <w:rFonts w:hint="eastAsia" w:ascii="宋体" w:hAnsi="宋体" w:eastAsia="宋体" w:cs="宋体"/>
          <w:snapToGrid w:val="0"/>
          <w:color w:val="auto"/>
          <w:kern w:val="0"/>
          <w:sz w:val="24"/>
          <w:szCs w:val="24"/>
          <w:highlight w:val="none"/>
          <w:lang w:eastAsia="zh-CN"/>
        </w:rPr>
        <w:t>。</w:t>
      </w:r>
    </w:p>
    <w:p w14:paraId="61B11B3D">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b/>
          <w:bCs/>
          <w:color w:val="auto"/>
          <w:sz w:val="24"/>
          <w:szCs w:val="24"/>
          <w:highlight w:val="none"/>
        </w:rPr>
      </w:pPr>
      <w:r>
        <w:rPr>
          <w:rFonts w:hint="eastAsia" w:ascii="宋体" w:hAnsi="宋体" w:eastAsia="宋体" w:cs="宋体"/>
          <w:snapToGrid w:val="0"/>
          <w:color w:val="auto"/>
          <w:kern w:val="0"/>
          <w:sz w:val="24"/>
          <w:szCs w:val="24"/>
          <w:highlight w:val="none"/>
        </w:rPr>
        <w:t>（4）招标代理机构</w:t>
      </w:r>
      <w:r>
        <w:rPr>
          <w:rFonts w:hint="eastAsia" w:ascii="宋体" w:hAnsi="宋体" w:eastAsia="宋体" w:cs="宋体"/>
          <w:snapToGrid w:val="0"/>
          <w:color w:val="auto"/>
          <w:kern w:val="0"/>
          <w:sz w:val="24"/>
          <w:szCs w:val="24"/>
          <w:highlight w:val="none"/>
          <w:lang w:val="en-US" w:eastAsia="zh-CN"/>
        </w:rPr>
        <w:t>在</w:t>
      </w:r>
      <w:r>
        <w:rPr>
          <w:rFonts w:hint="eastAsia" w:ascii="宋体" w:hAnsi="宋体" w:eastAsia="宋体" w:cs="宋体"/>
          <w:snapToGrid w:val="0"/>
          <w:color w:val="auto"/>
          <w:kern w:val="0"/>
          <w:sz w:val="24"/>
          <w:szCs w:val="24"/>
          <w:highlight w:val="none"/>
        </w:rPr>
        <w:t>交易场所工作人员</w:t>
      </w:r>
      <w:r>
        <w:rPr>
          <w:rFonts w:hint="eastAsia" w:ascii="宋体" w:hAnsi="宋体" w:eastAsia="宋体" w:cs="宋体"/>
          <w:snapToGrid w:val="0"/>
          <w:color w:val="auto"/>
          <w:kern w:val="0"/>
          <w:sz w:val="24"/>
          <w:szCs w:val="24"/>
          <w:highlight w:val="none"/>
          <w:lang w:val="en-US" w:eastAsia="zh-CN"/>
        </w:rPr>
        <w:t>见证下</w:t>
      </w:r>
      <w:r>
        <w:rPr>
          <w:rFonts w:hint="eastAsia" w:ascii="宋体" w:hAnsi="宋体" w:eastAsia="宋体" w:cs="宋体"/>
          <w:snapToGrid w:val="0"/>
          <w:color w:val="auto"/>
          <w:kern w:val="0"/>
          <w:sz w:val="24"/>
          <w:szCs w:val="24"/>
          <w:highlight w:val="none"/>
        </w:rPr>
        <w:t>对投标人的电子投标信息进行解密，建设工程交易系统自动生成《投标保证缴纳情况表》和《开标一览表》。</w:t>
      </w:r>
      <w:bookmarkEnd w:id="133"/>
      <w:bookmarkEnd w:id="134"/>
    </w:p>
    <w:p w14:paraId="174B74FB">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b/>
          <w:bCs/>
          <w:snapToGrid w:val="0"/>
          <w:color w:val="auto"/>
          <w:kern w:val="0"/>
          <w:sz w:val="24"/>
          <w:szCs w:val="24"/>
          <w:highlight w:val="none"/>
        </w:rPr>
      </w:pPr>
      <w:r>
        <w:rPr>
          <w:rFonts w:hint="eastAsia" w:ascii="宋体" w:hAnsi="宋体" w:eastAsia="宋体" w:cs="宋体"/>
          <w:b/>
          <w:bCs/>
          <w:color w:val="auto"/>
          <w:sz w:val="24"/>
          <w:szCs w:val="24"/>
          <w:highlight w:val="none"/>
        </w:rPr>
        <w:t>温馨提示：因本项目实行全流程电子化招标投标，投标人无须进行现场签到，可登录交易平台观看开标实况、提出异议或进行澄清、确认等操作，对开标事项的异议未在开标期间提出的，招标人不予受理。具体按招标文件和系统操作手册为准。</w:t>
      </w:r>
    </w:p>
    <w:p w14:paraId="508A6E42">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14.3</w:t>
      </w:r>
      <w:r>
        <w:rPr>
          <w:rFonts w:hint="eastAsia" w:ascii="宋体" w:hAnsi="宋体" w:eastAsia="宋体" w:cs="宋体"/>
          <w:snapToGrid w:val="0"/>
          <w:color w:val="auto"/>
          <w:kern w:val="0"/>
          <w:sz w:val="24"/>
          <w:szCs w:val="24"/>
          <w:highlight w:val="none"/>
        </w:rPr>
        <w:t xml:space="preserve"> 投标人对开标相关事项（如开标程序等）有异议的，必须在开标期间和开标现场提出，招标人或其授权的招标代理机构应当场作出答复，并记录在案。对开标事项的异议未在开标期间和开标现场提出的，招标人不予受理。</w:t>
      </w:r>
    </w:p>
    <w:p w14:paraId="2959DE12">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b/>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14.</w:t>
      </w:r>
      <w:bookmarkStart w:id="135" w:name="_Hlt127093805"/>
      <w:bookmarkEnd w:id="135"/>
      <w:r>
        <w:rPr>
          <w:rFonts w:hint="eastAsia" w:ascii="宋体" w:hAnsi="宋体" w:eastAsia="宋体" w:cs="宋体"/>
          <w:b/>
          <w:bCs/>
          <w:snapToGrid w:val="0"/>
          <w:color w:val="auto"/>
          <w:kern w:val="0"/>
          <w:sz w:val="24"/>
          <w:szCs w:val="24"/>
          <w:highlight w:val="none"/>
          <w:lang w:val="en-US" w:eastAsia="zh-CN"/>
        </w:rPr>
        <w:t>4</w:t>
      </w:r>
      <w:r>
        <w:rPr>
          <w:rFonts w:hint="eastAsia" w:ascii="宋体" w:hAnsi="宋体" w:eastAsia="宋体" w:cs="宋体"/>
          <w:snapToGrid w:val="0"/>
          <w:color w:val="auto"/>
          <w:kern w:val="0"/>
          <w:sz w:val="24"/>
          <w:szCs w:val="24"/>
          <w:highlight w:val="none"/>
        </w:rPr>
        <w:t>招标代理机构将资料原件</w:t>
      </w:r>
      <w:r>
        <w:rPr>
          <w:rFonts w:hint="eastAsia" w:ascii="宋体" w:hAnsi="宋体" w:eastAsia="宋体" w:cs="宋体"/>
          <w:snapToGrid w:val="0"/>
          <w:color w:val="auto"/>
          <w:kern w:val="0"/>
          <w:sz w:val="24"/>
          <w:szCs w:val="24"/>
          <w:highlight w:val="none"/>
          <w:lang w:eastAsia="zh-CN"/>
        </w:rPr>
        <w:t>（如有）</w:t>
      </w:r>
      <w:r>
        <w:rPr>
          <w:rFonts w:hint="eastAsia" w:ascii="宋体" w:hAnsi="宋体" w:eastAsia="宋体" w:cs="宋体"/>
          <w:snapToGrid w:val="0"/>
          <w:color w:val="auto"/>
          <w:kern w:val="0"/>
          <w:sz w:val="24"/>
          <w:szCs w:val="24"/>
          <w:highlight w:val="none"/>
        </w:rPr>
        <w:t>、《开标一览表》以及其他有关资料移交评标委员会。</w:t>
      </w:r>
    </w:p>
    <w:p w14:paraId="60D6BDB4">
      <w:pPr>
        <w:rPr>
          <w:rFonts w:hint="eastAsia" w:ascii="宋体" w:hAnsi="宋体" w:eastAsia="宋体" w:cs="宋体"/>
          <w:color w:val="auto"/>
          <w:sz w:val="22"/>
          <w:szCs w:val="18"/>
          <w:lang w:val="en-US" w:eastAsia="zh-CN"/>
        </w:rPr>
      </w:pPr>
      <w:bookmarkStart w:id="136" w:name="_Toc28090"/>
    </w:p>
    <w:p w14:paraId="368AF657">
      <w:pPr>
        <w:keepNext w:val="0"/>
        <w:keepLines w:val="0"/>
        <w:pageBreakBefore w:val="0"/>
        <w:widowControl w:val="0"/>
        <w:kinsoku/>
        <w:wordWrap/>
        <w:overflowPunct/>
        <w:topLinePunct w:val="0"/>
        <w:autoSpaceDE/>
        <w:autoSpaceDN/>
        <w:bidi w:val="0"/>
        <w:adjustRightInd/>
        <w:snapToGrid/>
        <w:spacing w:line="360" w:lineRule="auto"/>
        <w:ind w:left="0" w:leftChars="0" w:right="0" w:firstLine="482" w:firstLineChars="200"/>
        <w:textAlignment w:val="auto"/>
        <w:outlineLvl w:val="1"/>
        <w:rPr>
          <w:rStyle w:val="154"/>
          <w:rFonts w:hint="eastAsia" w:ascii="宋体" w:hAnsi="宋体" w:eastAsia="宋体" w:cs="宋体"/>
          <w:color w:val="auto"/>
          <w:sz w:val="24"/>
          <w:szCs w:val="24"/>
          <w:lang w:val="en-US" w:eastAsia="zh-CN"/>
        </w:rPr>
      </w:pPr>
      <w:r>
        <w:rPr>
          <w:rStyle w:val="154"/>
          <w:rFonts w:hint="eastAsia" w:ascii="宋体" w:hAnsi="宋体" w:eastAsia="宋体" w:cs="宋体"/>
          <w:color w:val="auto"/>
          <w:sz w:val="24"/>
          <w:szCs w:val="24"/>
          <w:lang w:val="en-US" w:eastAsia="zh-CN"/>
        </w:rPr>
        <w:t>15．评标</w:t>
      </w:r>
      <w:bookmarkEnd w:id="136"/>
    </w:p>
    <w:p w14:paraId="7D30E676">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评标分为初步评审和详细评审两个阶段，由评标委员会在有关部门的监督下，严格按照本招标文件指定的评标方法，对投标人的投标文件进行审查、评审。评标委员会完成评标后，向招标人推荐</w:t>
      </w:r>
      <w:r>
        <w:rPr>
          <w:rFonts w:hint="eastAsia" w:ascii="宋体" w:hAnsi="宋体" w:eastAsia="宋体" w:cs="宋体"/>
          <w:snapToGrid w:val="0"/>
          <w:color w:val="auto"/>
          <w:kern w:val="0"/>
          <w:sz w:val="24"/>
          <w:szCs w:val="24"/>
          <w:highlight w:val="none"/>
          <w:u w:val="single"/>
        </w:rPr>
        <w:t xml:space="preserve"> 3 </w:t>
      </w:r>
      <w:r>
        <w:rPr>
          <w:rFonts w:hint="eastAsia" w:ascii="宋体" w:hAnsi="宋体" w:eastAsia="宋体" w:cs="宋体"/>
          <w:snapToGrid w:val="0"/>
          <w:color w:val="auto"/>
          <w:kern w:val="0"/>
          <w:sz w:val="24"/>
          <w:szCs w:val="24"/>
          <w:highlight w:val="none"/>
        </w:rPr>
        <w:t>个中标候选人，并向招标人提交由全体评标委员会成员签字的评标报告。</w:t>
      </w:r>
    </w:p>
    <w:p w14:paraId="78DD9487">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15.1</w:t>
      </w:r>
      <w:r>
        <w:rPr>
          <w:rFonts w:hint="eastAsia" w:ascii="宋体" w:hAnsi="宋体" w:eastAsia="宋体" w:cs="宋体"/>
          <w:bCs/>
          <w:snapToGrid w:val="0"/>
          <w:color w:val="auto"/>
          <w:kern w:val="0"/>
          <w:sz w:val="24"/>
          <w:szCs w:val="24"/>
          <w:highlight w:val="none"/>
        </w:rPr>
        <w:t xml:space="preserve"> 评标委员会</w:t>
      </w:r>
    </w:p>
    <w:p w14:paraId="6149B2D5">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15.1.1</w:t>
      </w:r>
      <w:r>
        <w:rPr>
          <w:rFonts w:hint="eastAsia" w:ascii="宋体" w:hAnsi="宋体" w:eastAsia="宋体" w:cs="宋体"/>
          <w:snapToGrid w:val="0"/>
          <w:color w:val="auto"/>
          <w:kern w:val="0"/>
          <w:sz w:val="24"/>
          <w:szCs w:val="24"/>
          <w:highlight w:val="none"/>
        </w:rPr>
        <w:t xml:space="preserve"> 评标委员会由</w:t>
      </w:r>
      <w:r>
        <w:rPr>
          <w:rFonts w:hint="eastAsia" w:ascii="宋体" w:hAnsi="宋体" w:eastAsia="宋体" w:cs="宋体"/>
          <w:snapToGrid w:val="0"/>
          <w:color w:val="auto"/>
          <w:kern w:val="0"/>
          <w:sz w:val="24"/>
          <w:szCs w:val="24"/>
          <w:highlight w:val="none"/>
          <w:u w:val="single"/>
        </w:rPr>
        <w:t>5</w:t>
      </w:r>
      <w:r>
        <w:rPr>
          <w:rFonts w:hint="eastAsia" w:ascii="宋体" w:hAnsi="宋体" w:eastAsia="宋体" w:cs="宋体"/>
          <w:snapToGrid w:val="0"/>
          <w:color w:val="auto"/>
          <w:kern w:val="0"/>
          <w:sz w:val="24"/>
          <w:szCs w:val="24"/>
          <w:highlight w:val="none"/>
        </w:rPr>
        <w:t>人组成，其中招标人代表</w:t>
      </w:r>
      <w:r>
        <w:rPr>
          <w:rFonts w:hint="eastAsia" w:ascii="宋体" w:hAnsi="宋体" w:eastAsia="宋体" w:cs="宋体"/>
          <w:snapToGrid w:val="0"/>
          <w:color w:val="auto"/>
          <w:kern w:val="0"/>
          <w:sz w:val="24"/>
          <w:szCs w:val="24"/>
          <w:highlight w:val="none"/>
          <w:u w:val="single"/>
        </w:rPr>
        <w:t>0</w:t>
      </w:r>
      <w:r>
        <w:rPr>
          <w:rFonts w:hint="eastAsia" w:ascii="宋体" w:hAnsi="宋体" w:eastAsia="宋体" w:cs="宋体"/>
          <w:snapToGrid w:val="0"/>
          <w:color w:val="auto"/>
          <w:kern w:val="0"/>
          <w:sz w:val="24"/>
          <w:szCs w:val="24"/>
          <w:highlight w:val="none"/>
        </w:rPr>
        <w:t>人，专家</w:t>
      </w:r>
      <w:r>
        <w:rPr>
          <w:rFonts w:hint="eastAsia" w:ascii="宋体" w:hAnsi="宋体" w:eastAsia="宋体" w:cs="宋体"/>
          <w:snapToGrid w:val="0"/>
          <w:color w:val="auto"/>
          <w:kern w:val="0"/>
          <w:sz w:val="24"/>
          <w:szCs w:val="24"/>
          <w:highlight w:val="none"/>
          <w:u w:val="single"/>
        </w:rPr>
        <w:t>5</w:t>
      </w:r>
      <w:r>
        <w:rPr>
          <w:rFonts w:hint="eastAsia" w:ascii="宋体" w:hAnsi="宋体" w:eastAsia="宋体" w:cs="宋体"/>
          <w:snapToGrid w:val="0"/>
          <w:color w:val="auto"/>
          <w:kern w:val="0"/>
          <w:sz w:val="24"/>
          <w:szCs w:val="24"/>
          <w:highlight w:val="none"/>
        </w:rPr>
        <w:t>人。</w:t>
      </w:r>
      <w:r>
        <w:rPr>
          <w:rFonts w:hint="eastAsia" w:ascii="宋体" w:hAnsi="宋体" w:eastAsia="宋体" w:cs="宋体"/>
          <w:b w:val="0"/>
          <w:bCs w:val="0"/>
          <w:snapToGrid w:val="0"/>
          <w:color w:val="auto"/>
          <w:kern w:val="0"/>
          <w:sz w:val="24"/>
          <w:szCs w:val="24"/>
          <w:highlight w:val="none"/>
          <w:u w:val="none"/>
        </w:rPr>
        <w:t>专家从广东省综合评标评审专家库</w:t>
      </w:r>
      <w:r>
        <w:rPr>
          <w:rFonts w:hint="eastAsia" w:ascii="宋体" w:hAnsi="宋体" w:eastAsia="宋体" w:cs="宋体"/>
          <w:b w:val="0"/>
          <w:bCs w:val="0"/>
          <w:snapToGrid w:val="0"/>
          <w:color w:val="auto"/>
          <w:kern w:val="0"/>
          <w:sz w:val="24"/>
          <w:szCs w:val="24"/>
          <w:highlight w:val="none"/>
          <w:u w:val="none"/>
          <w:lang w:val="en-US" w:eastAsia="zh-CN"/>
        </w:rPr>
        <w:t>-韶关区域中</w:t>
      </w:r>
      <w:r>
        <w:rPr>
          <w:rFonts w:hint="eastAsia" w:ascii="宋体" w:hAnsi="宋体" w:eastAsia="宋体" w:cs="宋体"/>
          <w:b w:val="0"/>
          <w:bCs w:val="0"/>
          <w:snapToGrid w:val="0"/>
          <w:color w:val="auto"/>
          <w:kern w:val="0"/>
          <w:sz w:val="24"/>
          <w:szCs w:val="24"/>
          <w:highlight w:val="none"/>
          <w:u w:val="none"/>
        </w:rPr>
        <w:t>随机抽取，</w:t>
      </w:r>
      <w:r>
        <w:rPr>
          <w:rFonts w:hint="eastAsia" w:ascii="宋体" w:hAnsi="宋体" w:eastAsia="宋体" w:cs="宋体"/>
          <w:snapToGrid w:val="0"/>
          <w:color w:val="auto"/>
          <w:kern w:val="0"/>
          <w:sz w:val="24"/>
          <w:szCs w:val="24"/>
          <w:highlight w:val="none"/>
        </w:rPr>
        <w:t>其中技术类专家</w:t>
      </w:r>
      <w:r>
        <w:rPr>
          <w:rFonts w:hint="eastAsia" w:ascii="宋体" w:hAnsi="宋体" w:eastAsia="宋体" w:cs="宋体"/>
          <w:snapToGrid w:val="0"/>
          <w:color w:val="auto"/>
          <w:kern w:val="0"/>
          <w:sz w:val="24"/>
          <w:szCs w:val="24"/>
          <w:highlight w:val="none"/>
          <w:u w:val="single"/>
        </w:rPr>
        <w:t>3</w:t>
      </w:r>
      <w:r>
        <w:rPr>
          <w:rFonts w:hint="eastAsia" w:ascii="宋体" w:hAnsi="宋体" w:eastAsia="宋体" w:cs="宋体"/>
          <w:snapToGrid w:val="0"/>
          <w:color w:val="auto"/>
          <w:kern w:val="0"/>
          <w:sz w:val="24"/>
          <w:szCs w:val="24"/>
          <w:highlight w:val="none"/>
        </w:rPr>
        <w:t>人，经济类专家</w:t>
      </w:r>
      <w:r>
        <w:rPr>
          <w:rFonts w:hint="eastAsia" w:ascii="宋体" w:hAnsi="宋体" w:eastAsia="宋体" w:cs="宋体"/>
          <w:snapToGrid w:val="0"/>
          <w:color w:val="auto"/>
          <w:kern w:val="0"/>
          <w:sz w:val="24"/>
          <w:szCs w:val="24"/>
          <w:highlight w:val="none"/>
          <w:u w:val="single"/>
        </w:rPr>
        <w:t xml:space="preserve"> 2 </w:t>
      </w:r>
      <w:r>
        <w:rPr>
          <w:rFonts w:hint="eastAsia" w:ascii="宋体" w:hAnsi="宋体" w:eastAsia="宋体" w:cs="宋体"/>
          <w:snapToGrid w:val="0"/>
          <w:color w:val="auto"/>
          <w:kern w:val="0"/>
          <w:sz w:val="24"/>
          <w:szCs w:val="24"/>
          <w:highlight w:val="none"/>
        </w:rPr>
        <w:t>人。评标委员会设负责人，由评标委员会成员推举产生。评标委员会负责人与评标委员会的其他成员有同等的表决权。</w:t>
      </w:r>
    </w:p>
    <w:p w14:paraId="63B4E1FE">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15.1.2</w:t>
      </w:r>
      <w:r>
        <w:rPr>
          <w:rFonts w:hint="eastAsia" w:ascii="宋体" w:hAnsi="宋体" w:eastAsia="宋体" w:cs="宋体"/>
          <w:snapToGrid w:val="0"/>
          <w:color w:val="auto"/>
          <w:kern w:val="0"/>
          <w:sz w:val="24"/>
          <w:szCs w:val="24"/>
          <w:highlight w:val="none"/>
        </w:rPr>
        <w:t xml:space="preserve"> 评标委员会应认真、公正、诚实、廉洁地履行职责。有下列情形之一的，不得担任评标委员会成员：</w:t>
      </w:r>
    </w:p>
    <w:p w14:paraId="344982C2">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（1）投标人或投标人主要负责人的近亲属；</w:t>
      </w:r>
    </w:p>
    <w:p w14:paraId="6C0B912D">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（2）项目主管部门或者行政监督部门的人员；</w:t>
      </w:r>
    </w:p>
    <w:p w14:paraId="7522E6D9">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（3）与投标人有经济利益关系，可能影响对投标公正评审的；</w:t>
      </w:r>
    </w:p>
    <w:p w14:paraId="6995E11C">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（4）曾因在招标、评标以及其他与招标投标有关活动中从事违法行为而受过行政处罚或刑事处罚的。</w:t>
      </w:r>
    </w:p>
    <w:p w14:paraId="6042B65D">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评标委员会成员有以上情形之一的，应主动提出回避。</w:t>
      </w:r>
    </w:p>
    <w:p w14:paraId="7ED48367">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15.1.3</w:t>
      </w:r>
      <w:r>
        <w:rPr>
          <w:rFonts w:hint="eastAsia" w:ascii="宋体" w:hAnsi="宋体" w:eastAsia="宋体" w:cs="宋体"/>
          <w:snapToGrid w:val="0"/>
          <w:color w:val="auto"/>
          <w:kern w:val="0"/>
          <w:sz w:val="24"/>
          <w:szCs w:val="24"/>
          <w:highlight w:val="none"/>
        </w:rPr>
        <w:t xml:space="preserve"> 评标全过程实行封闭式管理，在中标结果公布前，禁止评标委员会成员以任何方式私下接触投标人。</w:t>
      </w:r>
    </w:p>
    <w:p w14:paraId="3C89B68E">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15.1.4</w:t>
      </w:r>
      <w:r>
        <w:rPr>
          <w:rFonts w:hint="eastAsia" w:ascii="宋体" w:hAnsi="宋体" w:eastAsia="宋体" w:cs="宋体"/>
          <w:snapToGrid w:val="0"/>
          <w:color w:val="auto"/>
          <w:kern w:val="0"/>
          <w:sz w:val="24"/>
          <w:szCs w:val="24"/>
          <w:highlight w:val="none"/>
        </w:rPr>
        <w:t xml:space="preserve"> 在评标过程中，评标委员会可以书面形式要求投标人对所提交的投标文件中不明确的内容进行书面澄清或说明，但不接受投标人主动提出的澄清或说明。投标人的书面澄清或说明不得改变投标文件的实质性内容，并作为投标文件的组成部分。</w:t>
      </w:r>
    </w:p>
    <w:p w14:paraId="63D9DF4A">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15.1.5</w:t>
      </w:r>
      <w:r>
        <w:rPr>
          <w:rFonts w:hint="eastAsia" w:ascii="宋体" w:hAnsi="宋体" w:eastAsia="宋体" w:cs="宋体"/>
          <w:snapToGrid w:val="0"/>
          <w:color w:val="auto"/>
          <w:kern w:val="0"/>
          <w:sz w:val="24"/>
          <w:szCs w:val="24"/>
          <w:highlight w:val="none"/>
        </w:rPr>
        <w:t xml:space="preserve"> 在任何评标环节中，当评标委员会就某项定性的评审结论不统一、需要做出表决时，由评标委员会全体成员按照少数服从多数的原则，以记名投票方式表决。评标委员会全体成员应共同遵守和执行表决结果，严禁评标委员会任何成员将个人意见强加给他人、影响评标正常秩序和妨碍评审结论的公正性。</w:t>
      </w:r>
    </w:p>
    <w:p w14:paraId="7799B011">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15.2</w:t>
      </w:r>
      <w:r>
        <w:rPr>
          <w:rFonts w:hint="eastAsia" w:ascii="宋体" w:hAnsi="宋体" w:eastAsia="宋体" w:cs="宋体"/>
          <w:bCs/>
          <w:snapToGrid w:val="0"/>
          <w:color w:val="auto"/>
          <w:kern w:val="0"/>
          <w:sz w:val="24"/>
          <w:szCs w:val="24"/>
          <w:highlight w:val="none"/>
        </w:rPr>
        <w:t xml:space="preserve"> 评标方法</w:t>
      </w:r>
    </w:p>
    <w:p w14:paraId="4C7343EE">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根据有关法律、法规的相关规定，结合本招标项目资金来源和规模特点，本次招标采用</w:t>
      </w:r>
      <w:r>
        <w:rPr>
          <w:rFonts w:hint="eastAsia" w:ascii="宋体" w:hAnsi="宋体" w:eastAsia="宋体" w:cs="宋体"/>
          <w:b/>
          <w:bCs/>
          <w:snapToGrid w:val="0"/>
          <w:color w:val="auto"/>
          <w:kern w:val="0"/>
          <w:sz w:val="24"/>
          <w:szCs w:val="24"/>
          <w:highlight w:val="none"/>
          <w:u w:val="single"/>
        </w:rPr>
        <w:t>综合评估法</w:t>
      </w:r>
      <w:r>
        <w:rPr>
          <w:rFonts w:hint="eastAsia" w:ascii="宋体" w:hAnsi="宋体" w:eastAsia="宋体" w:cs="宋体"/>
          <w:snapToGrid w:val="0"/>
          <w:color w:val="auto"/>
          <w:kern w:val="0"/>
          <w:sz w:val="24"/>
          <w:szCs w:val="24"/>
          <w:highlight w:val="none"/>
        </w:rPr>
        <w:t>（评标方法名称）进行评标。</w:t>
      </w:r>
    </w:p>
    <w:p w14:paraId="1EB910AE">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 xml:space="preserve">15.3 </w:t>
      </w:r>
      <w:r>
        <w:rPr>
          <w:rFonts w:hint="eastAsia" w:ascii="宋体" w:hAnsi="宋体" w:eastAsia="宋体" w:cs="宋体"/>
          <w:snapToGrid w:val="0"/>
          <w:color w:val="auto"/>
          <w:kern w:val="0"/>
          <w:sz w:val="24"/>
          <w:szCs w:val="24"/>
          <w:highlight w:val="none"/>
        </w:rPr>
        <w:t>评审范围：评标委员会应对所有投标人的投标文件进行评审。</w:t>
      </w:r>
    </w:p>
    <w:p w14:paraId="4C44A4C4">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15.4</w:t>
      </w:r>
      <w:r>
        <w:rPr>
          <w:rFonts w:hint="eastAsia" w:ascii="宋体" w:hAnsi="宋体" w:eastAsia="宋体" w:cs="宋体"/>
          <w:snapToGrid w:val="0"/>
          <w:color w:val="auto"/>
          <w:kern w:val="0"/>
          <w:sz w:val="24"/>
          <w:szCs w:val="24"/>
          <w:highlight w:val="none"/>
        </w:rPr>
        <w:t xml:space="preserve"> 初步评审阶段</w:t>
      </w:r>
    </w:p>
    <w:p w14:paraId="6EF661EE">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初步评审阶段分为资格评审、形式评审和响应性评审三个环节。</w:t>
      </w:r>
    </w:p>
    <w:p w14:paraId="0A45EA58">
      <w:pPr>
        <w:keepNext w:val="0"/>
        <w:keepLines w:val="0"/>
        <w:pageBreakBefore w:val="0"/>
        <w:widowControl w:val="0"/>
        <w:kinsoku/>
        <w:wordWrap w:val="0"/>
        <w:overflowPunct/>
        <w:topLinePunct w:val="0"/>
        <w:autoSpaceDE/>
        <w:autoSpaceDN/>
        <w:bidi w:val="0"/>
        <w:adjustRightInd w:val="0"/>
        <w:snapToGrid w:val="0"/>
        <w:spacing w:line="360" w:lineRule="auto"/>
        <w:ind w:left="0" w:leftChars="0" w:right="0"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15.4.1</w:t>
      </w:r>
      <w:r>
        <w:rPr>
          <w:rFonts w:hint="eastAsia" w:ascii="宋体" w:hAnsi="宋体" w:eastAsia="宋体" w:cs="宋体"/>
          <w:snapToGrid w:val="0"/>
          <w:color w:val="auto"/>
          <w:kern w:val="0"/>
          <w:sz w:val="24"/>
          <w:szCs w:val="24"/>
          <w:highlight w:val="none"/>
        </w:rPr>
        <w:t xml:space="preserve"> 资格评审环节</w:t>
      </w:r>
    </w:p>
    <w:p w14:paraId="66EC6A7E">
      <w:pPr>
        <w:keepNext w:val="0"/>
        <w:keepLines w:val="0"/>
        <w:pageBreakBefore w:val="0"/>
        <w:widowControl w:val="0"/>
        <w:kinsoku/>
        <w:wordWrap w:val="0"/>
        <w:overflowPunct/>
        <w:topLinePunct w:val="0"/>
        <w:autoSpaceDE/>
        <w:autoSpaceDN/>
        <w:bidi w:val="0"/>
        <w:adjustRightInd w:val="0"/>
        <w:snapToGrid w:val="0"/>
        <w:spacing w:line="360" w:lineRule="auto"/>
        <w:ind w:left="0" w:leftChars="0" w:right="0"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资格评审事项包括：</w:t>
      </w:r>
    </w:p>
    <w:p w14:paraId="1E1D6D9E">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（1）投标人是否符合本章第三节第2.4条“禁止投标条款”规定。</w:t>
      </w:r>
    </w:p>
    <w:p w14:paraId="282D6052">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（2）投标人名称是否与营业执照、资质证书、安全生产许可证一致。</w:t>
      </w:r>
    </w:p>
    <w:p w14:paraId="5AFD67B3">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（3）投标人的资质是否符合招标文件规定；其营业执照、资质证书、安全生产许可证是否合法、有效、准确。</w:t>
      </w:r>
    </w:p>
    <w:p w14:paraId="222F0511">
      <w:pPr>
        <w:pageBreakBefore w:val="0"/>
        <w:kinsoku/>
        <w:wordWrap w:val="0"/>
        <w:overflowPunct/>
        <w:topLinePunct w:val="0"/>
        <w:autoSpaceDE/>
        <w:autoSpaceDN/>
        <w:bidi w:val="0"/>
        <w:adjustRightInd w:val="0"/>
        <w:snapToGrid w:val="0"/>
        <w:spacing w:line="360" w:lineRule="auto"/>
        <w:ind w:left="0" w:leftChars="0" w:right="0"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（4）</w:t>
      </w:r>
      <w:r>
        <w:rPr>
          <w:rFonts w:hint="eastAsia" w:ascii="宋体" w:hAnsi="宋体" w:eastAsia="宋体" w:cs="宋体"/>
          <w:color w:val="auto"/>
          <w:sz w:val="24"/>
          <w:szCs w:val="24"/>
          <w:highlight w:val="none"/>
        </w:rPr>
        <w:t>《项目经理简历表》中拟派项目经理是否与《开标一览表》一致。</w:t>
      </w:r>
    </w:p>
    <w:p w14:paraId="1391DD89">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5）拟派项目经理、项目技术负责人、专职安全员的条件是否符合招标文件规定；项目管理机构组成人员的各类证书、证件、证明是否合法、有效、准确；是否擅自修改、遗漏《项目经理任职声明》的实质性内容。</w:t>
      </w:r>
    </w:p>
    <w:p w14:paraId="7CC8CA5A">
      <w:pPr>
        <w:pStyle w:val="136"/>
        <w:pageBreakBefore w:val="0"/>
        <w:kinsoku/>
        <w:wordWrap w:val="0"/>
        <w:overflowPunct/>
        <w:topLinePunct w:val="0"/>
        <w:autoSpaceDE/>
        <w:autoSpaceDN/>
        <w:bidi w:val="0"/>
        <w:adjustRightInd w:val="0"/>
        <w:snapToGrid w:val="0"/>
        <w:spacing w:line="360" w:lineRule="auto"/>
        <w:ind w:left="0" w:leftChars="0" w:right="0" w:firstLine="480" w:firstLineChars="200"/>
        <w:jc w:val="left"/>
        <w:rPr>
          <w:rFonts w:hint="eastAsia" w:ascii="宋体" w:hAnsi="宋体" w:eastAsia="宋体" w:cs="宋体"/>
          <w:b/>
          <w:bCs/>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lang w:val="en-US" w:eastAsia="zh-CN"/>
        </w:rPr>
        <w:t>6</w:t>
      </w:r>
      <w:r>
        <w:rPr>
          <w:rFonts w:hint="eastAsia" w:ascii="宋体" w:hAnsi="宋体" w:eastAsia="宋体" w:cs="宋体"/>
          <w:snapToGrid w:val="0"/>
          <w:color w:val="auto"/>
          <w:kern w:val="0"/>
          <w:sz w:val="24"/>
          <w:szCs w:val="24"/>
          <w:highlight w:val="none"/>
        </w:rPr>
        <w:t>）投标人为外省建筑企业的，是否按规定在“进粤企业和人员诚信信息登记平台”录入企业及其拟派人员有关信息并通过数据规范检查。</w:t>
      </w:r>
    </w:p>
    <w:p w14:paraId="7C7FDDAC">
      <w:pPr>
        <w:keepNext w:val="0"/>
        <w:keepLines w:val="0"/>
        <w:pageBreakBefore w:val="0"/>
        <w:widowControl w:val="0"/>
        <w:kinsoku/>
        <w:wordWrap w:val="0"/>
        <w:overflowPunct/>
        <w:topLinePunct w:val="0"/>
        <w:autoSpaceDE/>
        <w:autoSpaceDN/>
        <w:bidi w:val="0"/>
        <w:adjustRightInd w:val="0"/>
        <w:snapToGrid w:val="0"/>
        <w:spacing w:line="360" w:lineRule="auto"/>
        <w:ind w:left="0" w:leftChars="0" w:right="0" w:firstLine="482" w:firstLineChars="2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15.4.2</w:t>
      </w:r>
      <w:r>
        <w:rPr>
          <w:rFonts w:hint="eastAsia" w:ascii="宋体" w:hAnsi="宋体" w:eastAsia="宋体" w:cs="宋体"/>
          <w:snapToGrid w:val="0"/>
          <w:color w:val="auto"/>
          <w:kern w:val="0"/>
          <w:sz w:val="24"/>
          <w:szCs w:val="24"/>
          <w:highlight w:val="none"/>
        </w:rPr>
        <w:t xml:space="preserve"> 形式评审环节</w:t>
      </w:r>
    </w:p>
    <w:p w14:paraId="0303D0E6">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形式评审事项包括：</w:t>
      </w:r>
    </w:p>
    <w:p w14:paraId="42F28010">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lang w:val="en-US" w:eastAsia="zh-CN"/>
        </w:rPr>
        <w:t>1</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rPr>
        <w:t>各分册是否按招标文件规定加盖电子印章。</w:t>
      </w:r>
    </w:p>
    <w:p w14:paraId="67184E70">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b/>
          <w:bCs/>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lang w:val="en-US" w:eastAsia="zh-CN"/>
        </w:rPr>
        <w:t>2</w:t>
      </w:r>
      <w:r>
        <w:rPr>
          <w:rFonts w:hint="eastAsia" w:ascii="宋体" w:hAnsi="宋体" w:eastAsia="宋体" w:cs="宋体"/>
          <w:snapToGrid w:val="0"/>
          <w:color w:val="auto"/>
          <w:kern w:val="0"/>
          <w:sz w:val="24"/>
          <w:szCs w:val="24"/>
          <w:highlight w:val="none"/>
        </w:rPr>
        <w:t>）本节第10.2.2目、第10.3.2目、第10.4.3目中规定的“所有投标人均应提供”的组成内容（包括该组成内容的所附资料）是否完整、齐全</w:t>
      </w:r>
      <w:r>
        <w:rPr>
          <w:rFonts w:hint="eastAsia" w:ascii="宋体" w:hAnsi="宋体" w:eastAsia="宋体" w:cs="宋体"/>
          <w:snapToGrid w:val="0"/>
          <w:color w:val="auto"/>
          <w:kern w:val="0"/>
          <w:sz w:val="24"/>
          <w:szCs w:val="24"/>
          <w:highlight w:val="none"/>
          <w:lang w:eastAsia="zh-CN"/>
        </w:rPr>
        <w:t>。</w:t>
      </w:r>
    </w:p>
    <w:p w14:paraId="666AF006">
      <w:pPr>
        <w:keepNext w:val="0"/>
        <w:keepLines w:val="0"/>
        <w:pageBreakBefore w:val="0"/>
        <w:widowControl w:val="0"/>
        <w:kinsoku/>
        <w:wordWrap w:val="0"/>
        <w:overflowPunct/>
        <w:topLinePunct w:val="0"/>
        <w:autoSpaceDE/>
        <w:autoSpaceDN/>
        <w:bidi w:val="0"/>
        <w:adjustRightInd w:val="0"/>
        <w:snapToGrid w:val="0"/>
        <w:spacing w:line="360" w:lineRule="auto"/>
        <w:ind w:left="0" w:leftChars="0" w:right="0"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15.4.3</w:t>
      </w:r>
      <w:r>
        <w:rPr>
          <w:rFonts w:hint="eastAsia" w:ascii="宋体" w:hAnsi="宋体" w:eastAsia="宋体" w:cs="宋体"/>
          <w:snapToGrid w:val="0"/>
          <w:color w:val="auto"/>
          <w:kern w:val="0"/>
          <w:sz w:val="24"/>
          <w:szCs w:val="24"/>
          <w:highlight w:val="none"/>
        </w:rPr>
        <w:t xml:space="preserve"> 响应性评审环节</w:t>
      </w:r>
    </w:p>
    <w:p w14:paraId="179454E3">
      <w:pPr>
        <w:keepNext w:val="0"/>
        <w:keepLines w:val="0"/>
        <w:pageBreakBefore w:val="0"/>
        <w:widowControl w:val="0"/>
        <w:kinsoku/>
        <w:wordWrap w:val="0"/>
        <w:overflowPunct/>
        <w:topLinePunct w:val="0"/>
        <w:autoSpaceDE/>
        <w:autoSpaceDN/>
        <w:bidi w:val="0"/>
        <w:adjustRightInd w:val="0"/>
        <w:snapToGrid w:val="0"/>
        <w:spacing w:line="360" w:lineRule="auto"/>
        <w:ind w:left="0" w:leftChars="0" w:right="0"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响应性评审事项包括：</w:t>
      </w:r>
    </w:p>
    <w:p w14:paraId="5ED68A82">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（1）投标有效期、质量标准、工期等是否响应招标文件实质性要求；是否擅自修改、遗漏《投标函》《各项承诺一览表》的实质性内容。</w:t>
      </w:r>
    </w:p>
    <w:p w14:paraId="2F181F26">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（2）编制《投标总价》的造价工程师，其注册证书是否合法、有效。</w:t>
      </w:r>
    </w:p>
    <w:p w14:paraId="3A8C3B06">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（3）投标人委托造价咨询单位编制《投标总价》的，是否在《投标总价扉页》（即扉—3）“投标人”栏目加盖造价咨询人公章；是否提供造价咨询人的营业执照</w:t>
      </w:r>
      <w:r>
        <w:rPr>
          <w:rFonts w:hint="eastAsia" w:ascii="宋体" w:hAnsi="宋体" w:eastAsia="宋体" w:cs="宋体"/>
          <w:snapToGrid w:val="0"/>
          <w:color w:val="auto"/>
          <w:kern w:val="0"/>
          <w:sz w:val="24"/>
          <w:szCs w:val="24"/>
          <w:highlight w:val="none"/>
          <w:lang w:eastAsia="zh-CN"/>
        </w:rPr>
        <w:t>彩色扫描件</w:t>
      </w:r>
      <w:r>
        <w:rPr>
          <w:rFonts w:hint="eastAsia" w:ascii="宋体" w:hAnsi="宋体" w:eastAsia="宋体" w:cs="宋体"/>
          <w:snapToGrid w:val="0"/>
          <w:color w:val="auto"/>
          <w:kern w:val="0"/>
          <w:sz w:val="24"/>
          <w:szCs w:val="24"/>
          <w:highlight w:val="none"/>
        </w:rPr>
        <w:t>；</w:t>
      </w:r>
    </w:p>
    <w:p w14:paraId="693F49D1">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（4）投标总价是否唯一；投标总价是否超出</w:t>
      </w:r>
      <w:r>
        <w:rPr>
          <w:rFonts w:hint="eastAsia" w:ascii="宋体" w:hAnsi="宋体" w:eastAsia="宋体" w:cs="宋体"/>
          <w:snapToGrid w:val="0"/>
          <w:color w:val="auto"/>
          <w:kern w:val="0"/>
          <w:sz w:val="24"/>
          <w:szCs w:val="24"/>
          <w:highlight w:val="none"/>
          <w:lang w:eastAsia="zh-CN"/>
        </w:rPr>
        <w:t>最高投标限价</w:t>
      </w: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lang w:eastAsia="zh-CN"/>
        </w:rPr>
        <w:t>安全生产措施费</w:t>
      </w:r>
      <w:r>
        <w:rPr>
          <w:rFonts w:hint="eastAsia" w:ascii="宋体" w:hAnsi="宋体" w:eastAsia="宋体" w:cs="宋体"/>
          <w:snapToGrid w:val="0"/>
          <w:color w:val="auto"/>
          <w:kern w:val="0"/>
          <w:sz w:val="24"/>
          <w:szCs w:val="24"/>
          <w:highlight w:val="none"/>
        </w:rPr>
        <w:t>是否达到最低要求；暂列金额、暂估价是否按照招标工程量清单统一报价；投标人是否以低于成本的价格竞标。</w:t>
      </w:r>
    </w:p>
    <w:p w14:paraId="5B28F3E0">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注：如果某投标人的投标总价下浮率（投标总价下浮率＝100%－投标总价÷</w:t>
      </w:r>
      <w:r>
        <w:rPr>
          <w:rFonts w:hint="eastAsia" w:ascii="宋体" w:hAnsi="宋体" w:eastAsia="宋体" w:cs="宋体"/>
          <w:b/>
          <w:bCs/>
          <w:snapToGrid w:val="0"/>
          <w:color w:val="auto"/>
          <w:kern w:val="0"/>
          <w:sz w:val="24"/>
          <w:szCs w:val="24"/>
          <w:highlight w:val="none"/>
          <w:lang w:eastAsia="zh-CN"/>
        </w:rPr>
        <w:t>最高投标限价</w:t>
      </w:r>
      <w:r>
        <w:rPr>
          <w:rFonts w:hint="eastAsia" w:ascii="宋体" w:hAnsi="宋体" w:eastAsia="宋体" w:cs="宋体"/>
          <w:b/>
          <w:bCs/>
          <w:snapToGrid w:val="0"/>
          <w:color w:val="auto"/>
          <w:kern w:val="0"/>
          <w:sz w:val="24"/>
          <w:szCs w:val="24"/>
          <w:highlight w:val="none"/>
        </w:rPr>
        <w:t>×100%）超过15%，又未提供相应书面说明和佐证材料或提供的书面说明和佐证材料不能令人信服的，评标委员会应认定其以低于成本的价格竞标，并否决其投标。评标委员会接受该投标人的投标总价而未否决其投标的，应在评标报告中说明判断理由。</w:t>
      </w:r>
    </w:p>
    <w:p w14:paraId="67EFFC5A">
      <w:pPr>
        <w:pageBreakBefore w:val="0"/>
        <w:kinsoku/>
        <w:wordWrap w:val="0"/>
        <w:overflowPunct/>
        <w:topLinePunct w:val="0"/>
        <w:autoSpaceDE/>
        <w:autoSpaceDN/>
        <w:bidi w:val="0"/>
        <w:adjustRightInd w:val="0"/>
        <w:spacing w:line="360" w:lineRule="auto"/>
        <w:ind w:left="0" w:leftChars="0" w:right="0" w:firstLine="480" w:firstLineChars="200"/>
        <w:rPr>
          <w:rFonts w:hint="eastAsia" w:ascii="宋体" w:hAnsi="宋体" w:eastAsia="宋体" w:cs="宋体"/>
          <w:b/>
          <w:bCs/>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xml:space="preserve">（5）施工组织设计的质量、进度保障措施是否符合国家和省市现行有关规范、规定、标准，是否能实现工程质量、进度管理目标。  </w:t>
      </w:r>
    </w:p>
    <w:p w14:paraId="1F78BC51">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15.4.4</w:t>
      </w:r>
      <w:r>
        <w:rPr>
          <w:rFonts w:hint="eastAsia" w:ascii="宋体" w:hAnsi="宋体" w:eastAsia="宋体" w:cs="宋体"/>
          <w:snapToGrid w:val="0"/>
          <w:color w:val="auto"/>
          <w:kern w:val="0"/>
          <w:sz w:val="24"/>
          <w:szCs w:val="24"/>
          <w:highlight w:val="none"/>
        </w:rPr>
        <w:t xml:space="preserve"> 否决投标说明</w:t>
      </w:r>
    </w:p>
    <w:p w14:paraId="71E2841F">
      <w:pPr>
        <w:keepNext w:val="0"/>
        <w:keepLines w:val="0"/>
        <w:pageBreakBefore w:val="0"/>
        <w:widowControl w:val="0"/>
        <w:kinsoku/>
        <w:wordWrap w:val="0"/>
        <w:overflowPunct/>
        <w:topLinePunct w:val="0"/>
        <w:autoSpaceDE/>
        <w:autoSpaceDN/>
        <w:bidi w:val="0"/>
        <w:adjustRightInd w:val="0"/>
        <w:snapToGrid w:val="0"/>
        <w:spacing w:line="351" w:lineRule="auto"/>
        <w:ind w:left="0" w:leftChars="0" w:right="0" w:firstLine="480" w:firstLineChars="200"/>
        <w:textAlignment w:val="auto"/>
        <w:rPr>
          <w:rFonts w:hint="eastAsia" w:ascii="宋体" w:hAnsi="宋体" w:eastAsia="宋体" w:cs="宋体"/>
          <w:b/>
          <w:bCs/>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初步评审阶段各个环节否决投标的全部条件，在本章第四节“否决投标条件”第</w:t>
      </w:r>
      <w:r>
        <w:rPr>
          <w:rFonts w:hint="eastAsia" w:ascii="宋体" w:hAnsi="宋体" w:eastAsia="宋体" w:cs="宋体"/>
          <w:b/>
          <w:bCs/>
          <w:snapToGrid w:val="0"/>
          <w:color w:val="auto"/>
          <w:kern w:val="0"/>
          <w:sz w:val="24"/>
          <w:szCs w:val="24"/>
          <w:highlight w:val="none"/>
        </w:rPr>
        <w:t>1</w:t>
      </w:r>
      <w:r>
        <w:rPr>
          <w:rFonts w:hint="eastAsia" w:ascii="宋体" w:hAnsi="宋体" w:eastAsia="宋体" w:cs="宋体"/>
          <w:snapToGrid w:val="0"/>
          <w:color w:val="auto"/>
          <w:kern w:val="0"/>
          <w:sz w:val="24"/>
          <w:szCs w:val="24"/>
          <w:highlight w:val="none"/>
        </w:rPr>
        <w:t>条至第</w:t>
      </w:r>
      <w:r>
        <w:rPr>
          <w:rFonts w:hint="eastAsia" w:ascii="宋体" w:hAnsi="宋体" w:eastAsia="宋体" w:cs="宋体"/>
          <w:b/>
          <w:bCs/>
          <w:snapToGrid w:val="0"/>
          <w:color w:val="auto"/>
          <w:kern w:val="0"/>
          <w:sz w:val="24"/>
          <w:szCs w:val="24"/>
          <w:highlight w:val="none"/>
        </w:rPr>
        <w:t>4</w:t>
      </w:r>
      <w:r>
        <w:rPr>
          <w:rFonts w:hint="eastAsia" w:ascii="宋体" w:hAnsi="宋体" w:eastAsia="宋体" w:cs="宋体"/>
          <w:snapToGrid w:val="0"/>
          <w:color w:val="auto"/>
          <w:kern w:val="0"/>
          <w:sz w:val="24"/>
          <w:szCs w:val="24"/>
          <w:highlight w:val="none"/>
        </w:rPr>
        <w:t>条中集中列示。投标人有其中所列任何一种情形的，由评标委员会否决其投标。在初步评审阶段任何环节被否决的投标人，不进入下一环节（或阶段）评审。在初步评审阶段任何环节，有效投标人数量不足3个时，招标人应依法重新组织招标。</w:t>
      </w:r>
    </w:p>
    <w:p w14:paraId="591D577B">
      <w:pPr>
        <w:keepNext w:val="0"/>
        <w:keepLines w:val="0"/>
        <w:pageBreakBefore w:val="0"/>
        <w:widowControl w:val="0"/>
        <w:kinsoku/>
        <w:wordWrap w:val="0"/>
        <w:overflowPunct/>
        <w:topLinePunct w:val="0"/>
        <w:autoSpaceDE/>
        <w:autoSpaceDN/>
        <w:bidi w:val="0"/>
        <w:adjustRightInd w:val="0"/>
        <w:snapToGrid w:val="0"/>
        <w:spacing w:line="351" w:lineRule="auto"/>
        <w:ind w:left="0" w:leftChars="0" w:right="0"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15.5</w:t>
      </w:r>
      <w:r>
        <w:rPr>
          <w:rFonts w:hint="eastAsia" w:ascii="宋体" w:hAnsi="宋体" w:eastAsia="宋体" w:cs="宋体"/>
          <w:snapToGrid w:val="0"/>
          <w:color w:val="auto"/>
          <w:kern w:val="0"/>
          <w:sz w:val="24"/>
          <w:szCs w:val="24"/>
          <w:highlight w:val="none"/>
        </w:rPr>
        <w:t xml:space="preserve"> 详细评审阶段</w:t>
      </w:r>
    </w:p>
    <w:p w14:paraId="6F5ABB79">
      <w:pPr>
        <w:keepNext w:val="0"/>
        <w:keepLines w:val="0"/>
        <w:pageBreakBefore w:val="0"/>
        <w:widowControl w:val="0"/>
        <w:kinsoku/>
        <w:wordWrap w:val="0"/>
        <w:overflowPunct/>
        <w:topLinePunct w:val="0"/>
        <w:autoSpaceDE/>
        <w:autoSpaceDN/>
        <w:bidi w:val="0"/>
        <w:adjustRightInd w:val="0"/>
        <w:snapToGrid w:val="0"/>
        <w:spacing w:line="351" w:lineRule="auto"/>
        <w:ind w:left="0" w:leftChars="0" w:right="0"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15.5.1</w:t>
      </w:r>
      <w:r>
        <w:rPr>
          <w:rFonts w:hint="eastAsia" w:ascii="宋体" w:hAnsi="宋体" w:eastAsia="宋体" w:cs="宋体"/>
          <w:bCs/>
          <w:snapToGrid w:val="0"/>
          <w:color w:val="auto"/>
          <w:kern w:val="0"/>
          <w:sz w:val="24"/>
          <w:szCs w:val="24"/>
          <w:highlight w:val="none"/>
        </w:rPr>
        <w:t xml:space="preserve"> “综合评估法”评审程序</w:t>
      </w:r>
    </w:p>
    <w:p w14:paraId="43B4D432">
      <w:pPr>
        <w:keepNext w:val="0"/>
        <w:keepLines w:val="0"/>
        <w:pageBreakBefore w:val="0"/>
        <w:widowControl w:val="0"/>
        <w:kinsoku/>
        <w:wordWrap w:val="0"/>
        <w:overflowPunct/>
        <w:topLinePunct w:val="0"/>
        <w:autoSpaceDE/>
        <w:autoSpaceDN/>
        <w:bidi w:val="0"/>
        <w:adjustRightInd w:val="0"/>
        <w:snapToGrid w:val="0"/>
        <w:spacing w:line="351" w:lineRule="auto"/>
        <w:ind w:left="0" w:leftChars="0" w:right="0"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评审内容分为商务技术和投标报价两大部分。其中，商务技术合计满分</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u w:val="single"/>
          <w:lang w:val="en-US" w:eastAsia="zh-CN"/>
        </w:rPr>
        <w:t>100</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分，权重为</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u w:val="single"/>
          <w:lang w:val="en-US" w:eastAsia="zh-CN"/>
        </w:rPr>
        <w:t>40</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%；投标报价满分100分，权重为</w:t>
      </w:r>
      <w:r>
        <w:rPr>
          <w:rFonts w:hint="eastAsia" w:ascii="宋体" w:hAnsi="宋体" w:eastAsia="宋体" w:cs="宋体"/>
          <w:snapToGrid w:val="0"/>
          <w:color w:val="auto"/>
          <w:kern w:val="0"/>
          <w:sz w:val="24"/>
          <w:szCs w:val="24"/>
          <w:highlight w:val="none"/>
          <w:u w:val="single"/>
          <w:lang w:val="en-US" w:eastAsia="zh-CN"/>
        </w:rPr>
        <w:t>60</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%。两大部分权重之和应为</w:t>
      </w:r>
      <w:r>
        <w:rPr>
          <w:rFonts w:hint="eastAsia" w:ascii="宋体" w:hAnsi="宋体" w:eastAsia="宋体" w:cs="宋体"/>
          <w:snapToGrid w:val="0"/>
          <w:color w:val="auto"/>
          <w:kern w:val="0"/>
          <w:sz w:val="24"/>
          <w:szCs w:val="24"/>
          <w:highlight w:val="none"/>
          <w:u w:val="single"/>
        </w:rPr>
        <w:t>100</w:t>
      </w:r>
      <w:r>
        <w:rPr>
          <w:rFonts w:hint="eastAsia" w:ascii="宋体" w:hAnsi="宋体" w:eastAsia="宋体" w:cs="宋体"/>
          <w:snapToGrid w:val="0"/>
          <w:color w:val="auto"/>
          <w:kern w:val="0"/>
          <w:sz w:val="24"/>
          <w:szCs w:val="24"/>
          <w:highlight w:val="none"/>
        </w:rPr>
        <w:t>%。</w:t>
      </w:r>
    </w:p>
    <w:p w14:paraId="6800A856">
      <w:pPr>
        <w:keepNext w:val="0"/>
        <w:keepLines w:val="0"/>
        <w:pageBreakBefore w:val="0"/>
        <w:widowControl w:val="0"/>
        <w:kinsoku/>
        <w:wordWrap w:val="0"/>
        <w:overflowPunct/>
        <w:topLinePunct w:val="0"/>
        <w:autoSpaceDE/>
        <w:autoSpaceDN/>
        <w:bidi w:val="0"/>
        <w:adjustRightInd w:val="0"/>
        <w:snapToGrid w:val="0"/>
        <w:spacing w:line="351" w:lineRule="auto"/>
        <w:ind w:left="0" w:leftChars="0" w:right="0"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除特别注明外，综合得分以及商务技术得分、投标报价得分的中间过程计算值和最终值，均按“四舍五入”原则精确到两位小数。</w:t>
      </w:r>
    </w:p>
    <w:p w14:paraId="3800178D">
      <w:pPr>
        <w:keepNext w:val="0"/>
        <w:keepLines w:val="0"/>
        <w:pageBreakBefore w:val="0"/>
        <w:widowControl w:val="0"/>
        <w:kinsoku/>
        <w:wordWrap w:val="0"/>
        <w:overflowPunct/>
        <w:topLinePunct w:val="0"/>
        <w:autoSpaceDE/>
        <w:autoSpaceDN/>
        <w:bidi w:val="0"/>
        <w:adjustRightInd w:val="0"/>
        <w:snapToGrid w:val="0"/>
        <w:spacing w:line="351" w:lineRule="auto"/>
        <w:ind w:left="0" w:leftChars="0" w:right="0"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（1）商务技术得分M</w:t>
      </w:r>
    </w:p>
    <w:p w14:paraId="27315233">
      <w:pPr>
        <w:keepNext w:val="0"/>
        <w:keepLines w:val="0"/>
        <w:pageBreakBefore w:val="0"/>
        <w:widowControl w:val="0"/>
        <w:kinsoku/>
        <w:wordWrap w:val="0"/>
        <w:overflowPunct/>
        <w:topLinePunct w:val="0"/>
        <w:autoSpaceDE/>
        <w:autoSpaceDN/>
        <w:bidi w:val="0"/>
        <w:adjustRightInd w:val="0"/>
        <w:snapToGrid w:val="0"/>
        <w:spacing w:line="351" w:lineRule="auto"/>
        <w:ind w:left="0" w:leftChars="0" w:right="0"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a</w:t>
      </w:r>
      <w:r>
        <w:rPr>
          <w:rFonts w:hint="eastAsia" w:ascii="宋体" w:hAnsi="宋体" w:eastAsia="宋体" w:cs="宋体"/>
          <w:snapToGrid w:val="0"/>
          <w:color w:val="auto"/>
          <w:kern w:val="0"/>
          <w:sz w:val="24"/>
          <w:szCs w:val="24"/>
          <w:highlight w:val="none"/>
        </w:rPr>
        <w:t>．评标委员会按照《综合评分表》商务部分指定的评分标准对各评分因素进行打分。各评分因素得分之和即为某投标人的商务得分M</w:t>
      </w:r>
      <w:r>
        <w:rPr>
          <w:rFonts w:hint="eastAsia" w:ascii="宋体" w:hAnsi="宋体" w:eastAsia="宋体" w:cs="宋体"/>
          <w:snapToGrid w:val="0"/>
          <w:color w:val="auto"/>
          <w:kern w:val="0"/>
          <w:sz w:val="24"/>
          <w:szCs w:val="24"/>
          <w:highlight w:val="none"/>
          <w:vertAlign w:val="subscript"/>
        </w:rPr>
        <w:t>1</w:t>
      </w:r>
      <w:r>
        <w:rPr>
          <w:rFonts w:hint="eastAsia" w:ascii="宋体" w:hAnsi="宋体" w:eastAsia="宋体" w:cs="宋体"/>
          <w:snapToGrid w:val="0"/>
          <w:color w:val="auto"/>
          <w:kern w:val="0"/>
          <w:sz w:val="24"/>
          <w:szCs w:val="24"/>
          <w:highlight w:val="none"/>
        </w:rPr>
        <w:t>。</w:t>
      </w:r>
    </w:p>
    <w:p w14:paraId="52A417FF">
      <w:pPr>
        <w:keepNext w:val="0"/>
        <w:keepLines w:val="0"/>
        <w:pageBreakBefore w:val="0"/>
        <w:widowControl w:val="0"/>
        <w:kinsoku/>
        <w:wordWrap w:val="0"/>
        <w:overflowPunct/>
        <w:topLinePunct w:val="0"/>
        <w:autoSpaceDE/>
        <w:autoSpaceDN/>
        <w:bidi w:val="0"/>
        <w:adjustRightInd w:val="0"/>
        <w:snapToGrid w:val="0"/>
        <w:spacing w:line="351" w:lineRule="auto"/>
        <w:ind w:left="0" w:leftChars="0" w:right="0"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b</w:t>
      </w:r>
      <w:r>
        <w:rPr>
          <w:rFonts w:hint="eastAsia" w:ascii="宋体" w:hAnsi="宋体" w:eastAsia="宋体" w:cs="宋体"/>
          <w:snapToGrid w:val="0"/>
          <w:color w:val="auto"/>
          <w:kern w:val="0"/>
          <w:sz w:val="24"/>
          <w:szCs w:val="24"/>
          <w:highlight w:val="none"/>
        </w:rPr>
        <w:t>．评标委员会各成员独立按照《综合评分表》技术部分（施工组织设计）指定的评分标准对各评分因素进行打分，累加后得出技术评分。将评标委员会所有成员的技术评分去掉最高分和最低分后，取算术平均值，即为某投标人的技术得分M</w:t>
      </w:r>
      <w:r>
        <w:rPr>
          <w:rFonts w:hint="eastAsia" w:ascii="宋体" w:hAnsi="宋体" w:eastAsia="宋体" w:cs="宋体"/>
          <w:snapToGrid w:val="0"/>
          <w:color w:val="auto"/>
          <w:kern w:val="0"/>
          <w:sz w:val="24"/>
          <w:szCs w:val="24"/>
          <w:highlight w:val="none"/>
          <w:vertAlign w:val="subscript"/>
        </w:rPr>
        <w:t>2</w:t>
      </w:r>
      <w:r>
        <w:rPr>
          <w:rFonts w:hint="eastAsia" w:ascii="宋体" w:hAnsi="宋体" w:eastAsia="宋体" w:cs="宋体"/>
          <w:snapToGrid w:val="0"/>
          <w:color w:val="auto"/>
          <w:kern w:val="0"/>
          <w:sz w:val="24"/>
          <w:szCs w:val="24"/>
          <w:highlight w:val="none"/>
        </w:rPr>
        <w:t>。</w:t>
      </w:r>
    </w:p>
    <w:p w14:paraId="643640C6">
      <w:pPr>
        <w:keepNext w:val="0"/>
        <w:keepLines w:val="0"/>
        <w:pageBreakBefore w:val="0"/>
        <w:widowControl w:val="0"/>
        <w:kinsoku/>
        <w:wordWrap w:val="0"/>
        <w:overflowPunct/>
        <w:topLinePunct w:val="0"/>
        <w:autoSpaceDE/>
        <w:autoSpaceDN/>
        <w:bidi w:val="0"/>
        <w:adjustRightInd w:val="0"/>
        <w:snapToGrid w:val="0"/>
        <w:spacing w:line="351" w:lineRule="auto"/>
        <w:ind w:left="0" w:leftChars="0" w:right="0"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c</w:t>
      </w:r>
      <w:r>
        <w:rPr>
          <w:rFonts w:hint="eastAsia" w:ascii="宋体" w:hAnsi="宋体" w:eastAsia="宋体" w:cs="宋体"/>
          <w:snapToGrid w:val="0"/>
          <w:color w:val="auto"/>
          <w:kern w:val="0"/>
          <w:sz w:val="24"/>
          <w:szCs w:val="24"/>
          <w:highlight w:val="none"/>
        </w:rPr>
        <w:t>．M＝M</w:t>
      </w:r>
      <w:r>
        <w:rPr>
          <w:rFonts w:hint="eastAsia" w:ascii="宋体" w:hAnsi="宋体" w:eastAsia="宋体" w:cs="宋体"/>
          <w:snapToGrid w:val="0"/>
          <w:color w:val="auto"/>
          <w:kern w:val="0"/>
          <w:sz w:val="24"/>
          <w:szCs w:val="24"/>
          <w:highlight w:val="none"/>
          <w:vertAlign w:val="subscript"/>
        </w:rPr>
        <w:t>1</w:t>
      </w:r>
      <w:r>
        <w:rPr>
          <w:rFonts w:hint="eastAsia" w:ascii="宋体" w:hAnsi="宋体" w:eastAsia="宋体" w:cs="宋体"/>
          <w:snapToGrid w:val="0"/>
          <w:color w:val="auto"/>
          <w:kern w:val="0"/>
          <w:sz w:val="24"/>
          <w:szCs w:val="24"/>
          <w:highlight w:val="none"/>
        </w:rPr>
        <w:t>＋M</w:t>
      </w:r>
      <w:r>
        <w:rPr>
          <w:rFonts w:hint="eastAsia" w:ascii="宋体" w:hAnsi="宋体" w:eastAsia="宋体" w:cs="宋体"/>
          <w:snapToGrid w:val="0"/>
          <w:color w:val="auto"/>
          <w:kern w:val="0"/>
          <w:sz w:val="24"/>
          <w:szCs w:val="24"/>
          <w:highlight w:val="none"/>
          <w:vertAlign w:val="subscript"/>
        </w:rPr>
        <w:t>2</w:t>
      </w:r>
    </w:p>
    <w:p w14:paraId="7E05BCFC">
      <w:pPr>
        <w:keepNext w:val="0"/>
        <w:keepLines w:val="0"/>
        <w:pageBreakBefore w:val="0"/>
        <w:widowControl w:val="0"/>
        <w:kinsoku/>
        <w:wordWrap w:val="0"/>
        <w:overflowPunct/>
        <w:topLinePunct w:val="0"/>
        <w:autoSpaceDE/>
        <w:autoSpaceDN/>
        <w:bidi w:val="0"/>
        <w:adjustRightInd w:val="0"/>
        <w:snapToGrid w:val="0"/>
        <w:spacing w:line="351" w:lineRule="auto"/>
        <w:ind w:left="0" w:leftChars="0" w:right="0"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式中：M</w:t>
      </w:r>
      <w:r>
        <w:rPr>
          <w:rFonts w:hint="eastAsia" w:ascii="宋体" w:hAnsi="宋体" w:eastAsia="宋体" w:cs="宋体"/>
          <w:snapToGrid w:val="0"/>
          <w:color w:val="auto"/>
          <w:kern w:val="0"/>
          <w:sz w:val="24"/>
          <w:szCs w:val="24"/>
          <w:highlight w:val="none"/>
          <w:vertAlign w:val="subscript"/>
        </w:rPr>
        <w:t>1</w:t>
      </w:r>
      <w:r>
        <w:rPr>
          <w:rFonts w:hint="eastAsia" w:ascii="宋体" w:hAnsi="宋体" w:eastAsia="宋体" w:cs="宋体"/>
          <w:snapToGrid w:val="0"/>
          <w:color w:val="auto"/>
          <w:kern w:val="0"/>
          <w:sz w:val="24"/>
          <w:szCs w:val="24"/>
          <w:highlight w:val="none"/>
        </w:rPr>
        <w:t>为某投标人的商务得分，M</w:t>
      </w:r>
      <w:r>
        <w:rPr>
          <w:rFonts w:hint="eastAsia" w:ascii="宋体" w:hAnsi="宋体" w:eastAsia="宋体" w:cs="宋体"/>
          <w:snapToGrid w:val="0"/>
          <w:color w:val="auto"/>
          <w:kern w:val="0"/>
          <w:sz w:val="24"/>
          <w:szCs w:val="24"/>
          <w:highlight w:val="none"/>
          <w:vertAlign w:val="subscript"/>
        </w:rPr>
        <w:t>2</w:t>
      </w:r>
      <w:r>
        <w:rPr>
          <w:rFonts w:hint="eastAsia" w:ascii="宋体" w:hAnsi="宋体" w:eastAsia="宋体" w:cs="宋体"/>
          <w:snapToGrid w:val="0"/>
          <w:color w:val="auto"/>
          <w:kern w:val="0"/>
          <w:sz w:val="24"/>
          <w:szCs w:val="24"/>
          <w:highlight w:val="none"/>
        </w:rPr>
        <w:t>为某投标人的技术得分。</w:t>
      </w:r>
    </w:p>
    <w:p w14:paraId="65688A7A">
      <w:pPr>
        <w:keepNext w:val="0"/>
        <w:keepLines w:val="0"/>
        <w:pageBreakBefore w:val="0"/>
        <w:widowControl w:val="0"/>
        <w:kinsoku/>
        <w:wordWrap w:val="0"/>
        <w:overflowPunct/>
        <w:topLinePunct w:val="0"/>
        <w:autoSpaceDE/>
        <w:autoSpaceDN/>
        <w:bidi w:val="0"/>
        <w:adjustRightInd w:val="0"/>
        <w:snapToGrid w:val="0"/>
        <w:spacing w:line="351" w:lineRule="auto"/>
        <w:ind w:left="0" w:leftChars="0" w:right="0"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（2）投标报价得分N</w:t>
      </w:r>
    </w:p>
    <w:p w14:paraId="4959AEE7">
      <w:pPr>
        <w:keepNext w:val="0"/>
        <w:keepLines w:val="0"/>
        <w:pageBreakBefore w:val="0"/>
        <w:widowControl w:val="0"/>
        <w:kinsoku/>
        <w:wordWrap w:val="0"/>
        <w:overflowPunct/>
        <w:topLinePunct w:val="0"/>
        <w:autoSpaceDE/>
        <w:autoSpaceDN/>
        <w:bidi w:val="0"/>
        <w:adjustRightInd w:val="0"/>
        <w:snapToGrid w:val="0"/>
        <w:spacing w:line="351" w:lineRule="auto"/>
        <w:ind w:left="0" w:leftChars="0" w:right="0"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a</w:t>
      </w:r>
      <w:r>
        <w:rPr>
          <w:rFonts w:hint="eastAsia" w:ascii="宋体" w:hAnsi="宋体" w:eastAsia="宋体" w:cs="宋体"/>
          <w:snapToGrid w:val="0"/>
          <w:color w:val="auto"/>
          <w:kern w:val="0"/>
          <w:sz w:val="24"/>
          <w:szCs w:val="24"/>
          <w:highlight w:val="none"/>
        </w:rPr>
        <w:t>．评标委员会按照《综合评分表》投标报价部分指定的方法计算评标基准价D。</w:t>
      </w:r>
    </w:p>
    <w:p w14:paraId="2A56735D">
      <w:pPr>
        <w:keepNext w:val="0"/>
        <w:keepLines w:val="0"/>
        <w:pageBreakBefore w:val="0"/>
        <w:widowControl w:val="0"/>
        <w:kinsoku/>
        <w:wordWrap w:val="0"/>
        <w:overflowPunct/>
        <w:topLinePunct w:val="0"/>
        <w:autoSpaceDE/>
        <w:autoSpaceDN/>
        <w:bidi w:val="0"/>
        <w:adjustRightInd w:val="0"/>
        <w:snapToGrid w:val="0"/>
        <w:spacing w:line="351" w:lineRule="auto"/>
        <w:ind w:left="0" w:leftChars="0" w:right="0" w:firstLine="482" w:firstLineChars="200"/>
        <w:jc w:val="both"/>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b</w:t>
      </w:r>
      <w:r>
        <w:rPr>
          <w:rFonts w:hint="eastAsia" w:ascii="宋体" w:hAnsi="宋体" w:eastAsia="宋体" w:cs="宋体"/>
          <w:snapToGrid w:val="0"/>
          <w:color w:val="auto"/>
          <w:kern w:val="0"/>
          <w:sz w:val="24"/>
          <w:szCs w:val="24"/>
          <w:highlight w:val="none"/>
        </w:rPr>
        <w:t>．采用内插法计算某投标人的投标报价得分N，即当投标人的投标总价等于评标基准价时得100分，每高于评标基准价一个百分点扣</w:t>
      </w:r>
      <w:r>
        <w:rPr>
          <w:rFonts w:hint="eastAsia" w:ascii="宋体" w:hAnsi="宋体" w:eastAsia="宋体" w:cs="宋体"/>
          <w:snapToGrid w:val="0"/>
          <w:color w:val="auto"/>
          <w:kern w:val="0"/>
          <w:sz w:val="24"/>
          <w:szCs w:val="24"/>
          <w:highlight w:val="none"/>
          <w:lang w:val="en-US" w:eastAsia="zh-CN"/>
        </w:rPr>
        <w:t>1</w:t>
      </w:r>
      <w:r>
        <w:rPr>
          <w:rFonts w:hint="eastAsia" w:ascii="宋体" w:hAnsi="宋体" w:eastAsia="宋体" w:cs="宋体"/>
          <w:snapToGrid w:val="0"/>
          <w:color w:val="auto"/>
          <w:kern w:val="0"/>
          <w:sz w:val="24"/>
          <w:szCs w:val="24"/>
          <w:highlight w:val="none"/>
        </w:rPr>
        <w:t>分, 每低于评标基准价一个百分点扣</w:t>
      </w:r>
      <w:r>
        <w:rPr>
          <w:rFonts w:hint="eastAsia" w:ascii="宋体" w:hAnsi="宋体" w:eastAsia="宋体" w:cs="宋体"/>
          <w:snapToGrid w:val="0"/>
          <w:color w:val="auto"/>
          <w:kern w:val="0"/>
          <w:sz w:val="24"/>
          <w:szCs w:val="24"/>
          <w:highlight w:val="none"/>
          <w:lang w:val="en-US" w:eastAsia="zh-CN"/>
        </w:rPr>
        <w:t>0.5</w:t>
      </w:r>
      <w:r>
        <w:rPr>
          <w:rFonts w:hint="eastAsia" w:ascii="宋体" w:hAnsi="宋体" w:eastAsia="宋体" w:cs="宋体"/>
          <w:snapToGrid w:val="0"/>
          <w:color w:val="auto"/>
          <w:kern w:val="0"/>
          <w:sz w:val="24"/>
          <w:szCs w:val="24"/>
          <w:highlight w:val="none"/>
        </w:rPr>
        <w:t>分，扣完为止。公式如下：</w:t>
      </w:r>
    </w:p>
    <w:p w14:paraId="7457B9F0">
      <w:pPr>
        <w:keepNext w:val="0"/>
        <w:keepLines w:val="0"/>
        <w:pageBreakBefore w:val="0"/>
        <w:widowControl w:val="0"/>
        <w:kinsoku/>
        <w:wordWrap w:val="0"/>
        <w:overflowPunct/>
        <w:topLinePunct w:val="0"/>
        <w:autoSpaceDE/>
        <w:autoSpaceDN/>
        <w:bidi w:val="0"/>
        <w:adjustRightInd w:val="0"/>
        <w:snapToGrid w:val="0"/>
        <w:spacing w:line="351" w:lineRule="auto"/>
        <w:ind w:left="0" w:leftChars="0" w:right="0" w:firstLine="480" w:firstLineChars="200"/>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N＝100－（| Di－D | ÷D）×100×E</w:t>
      </w:r>
    </w:p>
    <w:p w14:paraId="0FF61F3C">
      <w:pPr>
        <w:keepNext w:val="0"/>
        <w:keepLines w:val="0"/>
        <w:pageBreakBefore w:val="0"/>
        <w:widowControl w:val="0"/>
        <w:kinsoku/>
        <w:wordWrap w:val="0"/>
        <w:overflowPunct/>
        <w:topLinePunct w:val="0"/>
        <w:autoSpaceDE/>
        <w:autoSpaceDN/>
        <w:bidi w:val="0"/>
        <w:adjustRightInd w:val="0"/>
        <w:snapToGrid w:val="0"/>
        <w:spacing w:line="351" w:lineRule="auto"/>
        <w:ind w:left="0" w:leftChars="0" w:right="0" w:firstLine="480" w:firstLineChars="200"/>
        <w:jc w:val="both"/>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式中：D为评标基准价；Di为某投标人的投标总价；E为扣分因子，当Di＞D时，E＝</w:t>
      </w:r>
      <w:r>
        <w:rPr>
          <w:rFonts w:hint="eastAsia" w:ascii="宋体" w:hAnsi="宋体" w:eastAsia="宋体" w:cs="宋体"/>
          <w:snapToGrid w:val="0"/>
          <w:color w:val="auto"/>
          <w:kern w:val="0"/>
          <w:sz w:val="24"/>
          <w:szCs w:val="24"/>
          <w:highlight w:val="none"/>
          <w:lang w:val="en-US" w:eastAsia="zh-CN"/>
        </w:rPr>
        <w:t>1</w:t>
      </w:r>
      <w:r>
        <w:rPr>
          <w:rFonts w:hint="eastAsia" w:ascii="宋体" w:hAnsi="宋体" w:eastAsia="宋体" w:cs="宋体"/>
          <w:snapToGrid w:val="0"/>
          <w:color w:val="auto"/>
          <w:kern w:val="0"/>
          <w:sz w:val="24"/>
          <w:szCs w:val="24"/>
          <w:highlight w:val="none"/>
        </w:rPr>
        <w:t>；当Di＜D时，E＝</w:t>
      </w:r>
      <w:r>
        <w:rPr>
          <w:rFonts w:hint="eastAsia" w:ascii="宋体" w:hAnsi="宋体" w:eastAsia="宋体" w:cs="宋体"/>
          <w:snapToGrid w:val="0"/>
          <w:color w:val="auto"/>
          <w:kern w:val="0"/>
          <w:sz w:val="24"/>
          <w:szCs w:val="24"/>
          <w:highlight w:val="none"/>
          <w:lang w:val="en-US" w:eastAsia="zh-CN"/>
        </w:rPr>
        <w:t>0.5</w:t>
      </w:r>
      <w:r>
        <w:rPr>
          <w:rFonts w:hint="eastAsia" w:ascii="宋体" w:hAnsi="宋体" w:eastAsia="宋体" w:cs="宋体"/>
          <w:snapToGrid w:val="0"/>
          <w:color w:val="auto"/>
          <w:kern w:val="0"/>
          <w:sz w:val="24"/>
          <w:szCs w:val="24"/>
          <w:highlight w:val="none"/>
        </w:rPr>
        <w:t>。</w:t>
      </w:r>
    </w:p>
    <w:p w14:paraId="5D56130C">
      <w:pPr>
        <w:keepNext w:val="0"/>
        <w:keepLines w:val="0"/>
        <w:pageBreakBefore w:val="0"/>
        <w:widowControl w:val="0"/>
        <w:kinsoku/>
        <w:wordWrap w:val="0"/>
        <w:overflowPunct/>
        <w:topLinePunct w:val="0"/>
        <w:autoSpaceDE/>
        <w:autoSpaceDN/>
        <w:bidi w:val="0"/>
        <w:adjustRightInd w:val="0"/>
        <w:snapToGrid w:val="0"/>
        <w:spacing w:line="351" w:lineRule="auto"/>
        <w:ind w:left="0" w:leftChars="0" w:right="0"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（3）综合得分</w:t>
      </w:r>
    </w:p>
    <w:p w14:paraId="7CBD7B16">
      <w:pPr>
        <w:keepNext w:val="0"/>
        <w:keepLines w:val="0"/>
        <w:pageBreakBefore w:val="0"/>
        <w:widowControl w:val="0"/>
        <w:kinsoku/>
        <w:wordWrap w:val="0"/>
        <w:overflowPunct/>
        <w:topLinePunct w:val="0"/>
        <w:autoSpaceDE/>
        <w:autoSpaceDN/>
        <w:bidi w:val="0"/>
        <w:adjustRightInd w:val="0"/>
        <w:snapToGrid w:val="0"/>
        <w:spacing w:line="351" w:lineRule="auto"/>
        <w:ind w:left="0" w:leftChars="0" w:right="0"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综合得分换算为百分制，满分100分，公式如下：</w:t>
      </w:r>
    </w:p>
    <w:p w14:paraId="03CF0169">
      <w:pPr>
        <w:keepNext w:val="0"/>
        <w:keepLines w:val="0"/>
        <w:pageBreakBefore w:val="0"/>
        <w:widowControl w:val="0"/>
        <w:kinsoku/>
        <w:wordWrap w:val="0"/>
        <w:overflowPunct/>
        <w:topLinePunct w:val="0"/>
        <w:autoSpaceDE/>
        <w:autoSpaceDN/>
        <w:bidi w:val="0"/>
        <w:adjustRightInd w:val="0"/>
        <w:snapToGrid w:val="0"/>
        <w:spacing w:line="351" w:lineRule="auto"/>
        <w:ind w:left="0" w:leftChars="0" w:right="0" w:firstLine="480" w:firstLineChars="200"/>
        <w:jc w:val="both"/>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综合得分＝M÷商务技术合计满分×100×商务技术权重＋N×投标报价权重</w:t>
      </w:r>
    </w:p>
    <w:p w14:paraId="0F3ED5EB">
      <w:pPr>
        <w:keepNext w:val="0"/>
        <w:keepLines w:val="0"/>
        <w:pageBreakBefore w:val="0"/>
        <w:widowControl w:val="0"/>
        <w:kinsoku/>
        <w:wordWrap w:val="0"/>
        <w:overflowPunct/>
        <w:topLinePunct w:val="0"/>
        <w:autoSpaceDE/>
        <w:autoSpaceDN/>
        <w:bidi w:val="0"/>
        <w:adjustRightInd w:val="0"/>
        <w:snapToGrid w:val="0"/>
        <w:spacing w:line="351" w:lineRule="auto"/>
        <w:ind w:left="0" w:leftChars="0" w:right="0"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式中：M为商务技术得分，N为投标报价得分。</w:t>
      </w:r>
    </w:p>
    <w:p w14:paraId="5A7138CF">
      <w:pPr>
        <w:keepNext w:val="0"/>
        <w:keepLines w:val="0"/>
        <w:pageBreakBefore w:val="0"/>
        <w:widowControl w:val="0"/>
        <w:kinsoku/>
        <w:wordWrap w:val="0"/>
        <w:overflowPunct/>
        <w:topLinePunct w:val="0"/>
        <w:autoSpaceDE/>
        <w:autoSpaceDN/>
        <w:bidi w:val="0"/>
        <w:adjustRightInd w:val="0"/>
        <w:snapToGrid w:val="0"/>
        <w:spacing w:line="351" w:lineRule="auto"/>
        <w:ind w:left="0" w:leftChars="0" w:right="0" w:firstLine="480" w:firstLineChars="200"/>
        <w:textAlignment w:val="auto"/>
        <w:rPr>
          <w:rFonts w:hint="eastAsia" w:ascii="宋体" w:hAnsi="宋体" w:eastAsia="宋体" w:cs="宋体"/>
          <w:snapToGrid w:val="0"/>
          <w:color w:val="auto"/>
          <w:kern w:val="0"/>
          <w:highlight w:val="none"/>
        </w:rPr>
        <w:sectPr>
          <w:endnotePr>
            <w:numFmt w:val="decimal"/>
          </w:endnotePr>
          <w:pgSz w:w="11906" w:h="16838"/>
          <w:pgMar w:top="1134" w:right="1134" w:bottom="1134" w:left="1134" w:header="567" w:footer="567" w:gutter="0"/>
          <w:pgBorders>
            <w:top w:val="none" w:sz="0" w:space="0"/>
            <w:left w:val="none" w:sz="0" w:space="0"/>
            <w:bottom w:val="none" w:sz="0" w:space="0"/>
            <w:right w:val="none" w:sz="0" w:space="0"/>
          </w:pgBorders>
          <w:cols w:space="720" w:num="1"/>
          <w:docGrid w:linePitch="327" w:charSpace="0"/>
        </w:sectPr>
      </w:pPr>
      <w:r>
        <w:rPr>
          <w:rFonts w:hint="eastAsia" w:ascii="宋体" w:hAnsi="宋体" w:eastAsia="宋体" w:cs="宋体"/>
          <w:snapToGrid w:val="0"/>
          <w:color w:val="auto"/>
          <w:kern w:val="0"/>
          <w:sz w:val="24"/>
          <w:szCs w:val="24"/>
          <w:highlight w:val="none"/>
        </w:rPr>
        <w:t>（4）评标委员会汇总、比较所有投标人的综合得分后，取综合得分最高的投标人为第一中标候选人，取综合得分第二、第三高的投标人为第二、第三中标候选人。如果最高综合得分相同，取投标总价低者为第一中标候选人，并依此确定第二、第三中标候选人。如果最高综合得分相同，投标总价也相同，由评标委员会投票确定。</w:t>
      </w:r>
    </w:p>
    <w:p w14:paraId="5B7DBDBF">
      <w:pPr>
        <w:keepNext w:val="0"/>
        <w:keepLines w:val="0"/>
        <w:pageBreakBefore w:val="0"/>
        <w:widowControl w:val="0"/>
        <w:kinsoku/>
        <w:wordWrap w:val="0"/>
        <w:overflowPunct/>
        <w:topLinePunct w:val="0"/>
        <w:autoSpaceDE/>
        <w:autoSpaceDN/>
        <w:bidi w:val="0"/>
        <w:adjustRightInd w:val="0"/>
        <w:snapToGrid w:val="0"/>
        <w:spacing w:line="360" w:lineRule="auto"/>
        <w:ind w:firstLine="0" w:firstLineChars="0"/>
        <w:jc w:val="center"/>
        <w:textAlignment w:val="auto"/>
        <w:rPr>
          <w:rFonts w:hint="eastAsia" w:ascii="宋体" w:hAnsi="宋体" w:eastAsia="宋体" w:cs="宋体"/>
          <w:b/>
          <w:bCs/>
          <w:snapToGrid w:val="0"/>
          <w:color w:val="auto"/>
          <w:kern w:val="0"/>
          <w:sz w:val="28"/>
          <w:szCs w:val="28"/>
          <w:highlight w:val="none"/>
        </w:rPr>
      </w:pPr>
      <w:r>
        <w:rPr>
          <w:rFonts w:hint="eastAsia" w:ascii="宋体" w:hAnsi="宋体" w:eastAsia="宋体" w:cs="宋体"/>
          <w:b/>
          <w:bCs/>
          <w:snapToGrid w:val="0"/>
          <w:color w:val="auto"/>
          <w:kern w:val="0"/>
          <w:sz w:val="28"/>
          <w:szCs w:val="28"/>
          <w:highlight w:val="none"/>
        </w:rPr>
        <w:t>综合评分表</w:t>
      </w:r>
    </w:p>
    <w:tbl>
      <w:tblPr>
        <w:tblStyle w:val="30"/>
        <w:tblW w:w="10853" w:type="dxa"/>
        <w:jc w:val="center"/>
        <w:tblLayout w:type="fixed"/>
        <w:tblCellMar>
          <w:top w:w="0" w:type="dxa"/>
          <w:left w:w="108" w:type="dxa"/>
          <w:bottom w:w="0" w:type="dxa"/>
          <w:right w:w="108" w:type="dxa"/>
        </w:tblCellMar>
      </w:tblPr>
      <w:tblGrid>
        <w:gridCol w:w="1493"/>
        <w:gridCol w:w="3927"/>
        <w:gridCol w:w="690"/>
        <w:gridCol w:w="4743"/>
      </w:tblGrid>
      <w:tr w14:paraId="2515FCC3">
        <w:tblPrEx>
          <w:tblCellMar>
            <w:top w:w="0" w:type="dxa"/>
            <w:left w:w="108" w:type="dxa"/>
            <w:bottom w:w="0" w:type="dxa"/>
            <w:right w:w="108" w:type="dxa"/>
          </w:tblCellMar>
        </w:tblPrEx>
        <w:trPr>
          <w:trHeight w:val="23" w:hRule="atLeast"/>
          <w:jc w:val="center"/>
        </w:trPr>
        <w:tc>
          <w:tcPr>
            <w:tcW w:w="10853" w:type="dxa"/>
            <w:gridSpan w:val="4"/>
            <w:tcBorders>
              <w:top w:val="single" w:color="auto" w:sz="4" w:space="0"/>
              <w:left w:val="single" w:color="auto" w:sz="4" w:space="0"/>
              <w:bottom w:val="single" w:color="auto" w:sz="4" w:space="0"/>
              <w:right w:val="single" w:color="auto" w:sz="4" w:space="0"/>
            </w:tcBorders>
            <w:shd w:val="clear" w:color="auto" w:fill="D7D7D7"/>
            <w:noWrap w:val="0"/>
            <w:vAlign w:val="center"/>
          </w:tcPr>
          <w:p w14:paraId="163E87D1">
            <w:pPr>
              <w:pStyle w:val="11"/>
              <w:tabs>
                <w:tab w:val="left" w:pos="1354"/>
                <w:tab w:val="left" w:pos="1459"/>
                <w:tab w:val="center" w:pos="3902"/>
                <w:tab w:val="right" w:pos="7805"/>
              </w:tabs>
              <w:wordWrap w:val="0"/>
              <w:adjustRightInd w:val="0"/>
              <w:snapToGrid w:val="0"/>
              <w:spacing w:after="0"/>
              <w:rPr>
                <w:rFonts w:hint="eastAsia" w:ascii="宋体" w:hAnsi="宋体" w:eastAsia="宋体" w:cs="宋体"/>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商务部分，满分：</w:t>
            </w:r>
            <w:r>
              <w:rPr>
                <w:rFonts w:hint="eastAsia" w:ascii="宋体" w:hAnsi="宋体" w:eastAsia="宋体" w:cs="宋体"/>
                <w:b/>
                <w:bCs/>
                <w:snapToGrid w:val="0"/>
                <w:color w:val="auto"/>
                <w:kern w:val="0"/>
                <w:sz w:val="22"/>
                <w:szCs w:val="22"/>
                <w:highlight w:val="none"/>
                <w:u w:val="single"/>
                <w:lang w:val="en-US" w:eastAsia="zh-CN"/>
              </w:rPr>
              <w:t>80</w:t>
            </w:r>
            <w:r>
              <w:rPr>
                <w:rFonts w:hint="eastAsia" w:ascii="宋体" w:hAnsi="宋体" w:eastAsia="宋体" w:cs="宋体"/>
                <w:b/>
                <w:bCs/>
                <w:snapToGrid w:val="0"/>
                <w:color w:val="auto"/>
                <w:kern w:val="0"/>
                <w:sz w:val="22"/>
                <w:szCs w:val="22"/>
                <w:highlight w:val="none"/>
                <w:u w:val="single"/>
              </w:rPr>
              <w:t xml:space="preserve"> </w:t>
            </w:r>
            <w:r>
              <w:rPr>
                <w:rFonts w:hint="eastAsia" w:ascii="宋体" w:hAnsi="宋体" w:eastAsia="宋体" w:cs="宋体"/>
                <w:b/>
                <w:bCs/>
                <w:snapToGrid w:val="0"/>
                <w:color w:val="auto"/>
                <w:kern w:val="0"/>
                <w:sz w:val="22"/>
                <w:szCs w:val="22"/>
                <w:highlight w:val="none"/>
              </w:rPr>
              <w:t>分。</w:t>
            </w:r>
          </w:p>
        </w:tc>
      </w:tr>
      <w:tr w14:paraId="715481E6">
        <w:tblPrEx>
          <w:tblCellMar>
            <w:top w:w="0" w:type="dxa"/>
            <w:left w:w="108" w:type="dxa"/>
            <w:bottom w:w="0" w:type="dxa"/>
            <w:right w:w="108" w:type="dxa"/>
          </w:tblCellMar>
        </w:tblPrEx>
        <w:trPr>
          <w:trHeight w:val="23" w:hRule="atLeast"/>
          <w:jc w:val="center"/>
        </w:trPr>
        <w:tc>
          <w:tcPr>
            <w:tcW w:w="1493" w:type="dxa"/>
            <w:tcBorders>
              <w:top w:val="single" w:color="auto" w:sz="4" w:space="0"/>
              <w:left w:val="single" w:color="auto" w:sz="4" w:space="0"/>
              <w:bottom w:val="single" w:color="auto" w:sz="4" w:space="0"/>
              <w:right w:val="single" w:color="auto" w:sz="4" w:space="0"/>
            </w:tcBorders>
            <w:noWrap w:val="0"/>
            <w:vAlign w:val="center"/>
          </w:tcPr>
          <w:p w14:paraId="5E5B5EE4">
            <w:pPr>
              <w:pStyle w:val="11"/>
              <w:keepNext w:val="0"/>
              <w:keepLines w:val="0"/>
              <w:pageBreakBefore w:val="0"/>
              <w:tabs>
                <w:tab w:val="left" w:pos="1354"/>
                <w:tab w:val="left" w:pos="1459"/>
                <w:tab w:val="center" w:pos="3902"/>
                <w:tab w:val="right" w:pos="7805"/>
              </w:tabs>
              <w:kinsoku/>
              <w:wordWrap w:val="0"/>
              <w:overflowPunct/>
              <w:topLinePunct w:val="0"/>
              <w:autoSpaceDE/>
              <w:autoSpaceDN/>
              <w:bidi w:val="0"/>
              <w:adjustRightInd w:val="0"/>
              <w:snapToGrid w:val="0"/>
              <w:spacing w:after="0" w:afterLines="0" w:line="360" w:lineRule="auto"/>
              <w:jc w:val="center"/>
              <w:textAlignment w:val="auto"/>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评分因素</w:t>
            </w:r>
          </w:p>
        </w:tc>
        <w:tc>
          <w:tcPr>
            <w:tcW w:w="4617" w:type="dxa"/>
            <w:gridSpan w:val="2"/>
            <w:tcBorders>
              <w:top w:val="single" w:color="auto" w:sz="4" w:space="0"/>
              <w:left w:val="single" w:color="auto" w:sz="4" w:space="0"/>
              <w:bottom w:val="single" w:color="auto" w:sz="4" w:space="0"/>
              <w:right w:val="single" w:color="auto" w:sz="4" w:space="0"/>
            </w:tcBorders>
            <w:noWrap w:val="0"/>
            <w:vAlign w:val="center"/>
          </w:tcPr>
          <w:p w14:paraId="63478C55">
            <w:pPr>
              <w:pStyle w:val="11"/>
              <w:keepNext w:val="0"/>
              <w:keepLines w:val="0"/>
              <w:pageBreakBefore w:val="0"/>
              <w:tabs>
                <w:tab w:val="left" w:pos="1354"/>
                <w:tab w:val="left" w:pos="1459"/>
                <w:tab w:val="center" w:pos="3902"/>
                <w:tab w:val="right" w:pos="7805"/>
              </w:tabs>
              <w:kinsoku/>
              <w:wordWrap w:val="0"/>
              <w:overflowPunct/>
              <w:topLinePunct w:val="0"/>
              <w:autoSpaceDE/>
              <w:autoSpaceDN/>
              <w:bidi w:val="0"/>
              <w:adjustRightInd w:val="0"/>
              <w:snapToGrid w:val="0"/>
              <w:spacing w:after="0" w:afterLines="0" w:line="360" w:lineRule="auto"/>
              <w:jc w:val="center"/>
              <w:textAlignment w:val="auto"/>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评分标准</w:t>
            </w:r>
          </w:p>
        </w:tc>
        <w:tc>
          <w:tcPr>
            <w:tcW w:w="4743" w:type="dxa"/>
            <w:tcBorders>
              <w:top w:val="single" w:color="auto" w:sz="4" w:space="0"/>
              <w:left w:val="single" w:color="auto" w:sz="4" w:space="0"/>
              <w:bottom w:val="single" w:color="auto" w:sz="4" w:space="0"/>
              <w:right w:val="single" w:color="auto" w:sz="4" w:space="0"/>
            </w:tcBorders>
            <w:noWrap w:val="0"/>
            <w:vAlign w:val="center"/>
          </w:tcPr>
          <w:p w14:paraId="2DD875DA">
            <w:pPr>
              <w:pStyle w:val="11"/>
              <w:keepNext w:val="0"/>
              <w:keepLines w:val="0"/>
              <w:pageBreakBefore w:val="0"/>
              <w:tabs>
                <w:tab w:val="left" w:pos="1354"/>
                <w:tab w:val="left" w:pos="1459"/>
                <w:tab w:val="center" w:pos="3902"/>
                <w:tab w:val="right" w:pos="7805"/>
              </w:tabs>
              <w:kinsoku/>
              <w:wordWrap w:val="0"/>
              <w:overflowPunct/>
              <w:topLinePunct w:val="0"/>
              <w:autoSpaceDE/>
              <w:autoSpaceDN/>
              <w:bidi w:val="0"/>
              <w:adjustRightInd w:val="0"/>
              <w:snapToGrid w:val="0"/>
              <w:spacing w:after="0" w:afterLines="0" w:line="360" w:lineRule="auto"/>
              <w:jc w:val="center"/>
              <w:textAlignment w:val="auto"/>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备注</w:t>
            </w:r>
          </w:p>
        </w:tc>
      </w:tr>
      <w:tr w14:paraId="59847AB3">
        <w:tblPrEx>
          <w:tblCellMar>
            <w:top w:w="0" w:type="dxa"/>
            <w:left w:w="108" w:type="dxa"/>
            <w:bottom w:w="0" w:type="dxa"/>
            <w:right w:w="108" w:type="dxa"/>
          </w:tblCellMar>
        </w:tblPrEx>
        <w:trPr>
          <w:trHeight w:val="318" w:hRule="atLeast"/>
          <w:jc w:val="center"/>
        </w:trPr>
        <w:tc>
          <w:tcPr>
            <w:tcW w:w="1493" w:type="dxa"/>
            <w:tcBorders>
              <w:top w:val="single" w:color="auto" w:sz="4" w:space="0"/>
              <w:left w:val="single" w:color="auto" w:sz="4" w:space="0"/>
              <w:bottom w:val="single" w:color="auto" w:sz="4" w:space="0"/>
              <w:right w:val="single" w:color="auto" w:sz="4" w:space="0"/>
            </w:tcBorders>
            <w:noWrap w:val="0"/>
            <w:vAlign w:val="center"/>
          </w:tcPr>
          <w:p w14:paraId="3EA3B44F">
            <w:pPr>
              <w:pStyle w:val="11"/>
              <w:wordWrap w:val="0"/>
              <w:adjustRightInd w:val="0"/>
              <w:snapToGrid w:val="0"/>
              <w:spacing w:after="0" w:line="360" w:lineRule="auto"/>
              <w:jc w:val="center"/>
              <w:rPr>
                <w:rFonts w:hint="eastAsia" w:ascii="宋体" w:hAnsi="宋体" w:eastAsia="宋体" w:cs="宋体"/>
                <w:snapToGrid w:val="0"/>
                <w:color w:val="auto"/>
                <w:kern w:val="0"/>
                <w:sz w:val="24"/>
                <w:szCs w:val="24"/>
              </w:rPr>
            </w:pPr>
            <w:r>
              <w:rPr>
                <w:rFonts w:hint="eastAsia" w:ascii="宋体" w:hAnsi="宋体" w:eastAsia="宋体" w:cs="宋体"/>
                <w:snapToGrid w:val="0"/>
                <w:color w:val="auto"/>
                <w:kern w:val="0"/>
                <w:sz w:val="24"/>
                <w:szCs w:val="24"/>
              </w:rPr>
              <w:t>企业业绩</w:t>
            </w:r>
          </w:p>
          <w:p w14:paraId="6D3C3FF0">
            <w:pPr>
              <w:pStyle w:val="11"/>
              <w:wordWrap w:val="0"/>
              <w:adjustRightInd w:val="0"/>
              <w:snapToGrid w:val="0"/>
              <w:spacing w:after="0"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4"/>
                <w:szCs w:val="24"/>
              </w:rPr>
              <w:t>（</w:t>
            </w:r>
            <w:r>
              <w:rPr>
                <w:rFonts w:hint="eastAsia" w:ascii="宋体" w:hAnsi="宋体" w:eastAsia="宋体" w:cs="宋体"/>
                <w:snapToGrid w:val="0"/>
                <w:color w:val="auto"/>
                <w:kern w:val="0"/>
                <w:sz w:val="24"/>
                <w:szCs w:val="24"/>
                <w:lang w:val="en-US" w:eastAsia="zh-CN"/>
              </w:rPr>
              <w:t>15</w:t>
            </w:r>
            <w:r>
              <w:rPr>
                <w:rFonts w:hint="eastAsia" w:ascii="宋体" w:hAnsi="宋体" w:eastAsia="宋体" w:cs="宋体"/>
                <w:snapToGrid w:val="0"/>
                <w:color w:val="auto"/>
                <w:kern w:val="0"/>
                <w:sz w:val="24"/>
                <w:szCs w:val="24"/>
              </w:rPr>
              <w:t>分）</w:t>
            </w:r>
          </w:p>
        </w:tc>
        <w:tc>
          <w:tcPr>
            <w:tcW w:w="4617" w:type="dxa"/>
            <w:gridSpan w:val="2"/>
            <w:tcBorders>
              <w:top w:val="single" w:color="auto" w:sz="4" w:space="0"/>
              <w:left w:val="single" w:color="auto" w:sz="4" w:space="0"/>
              <w:bottom w:val="single" w:color="auto" w:sz="4" w:space="0"/>
              <w:right w:val="single" w:color="auto" w:sz="4" w:space="0"/>
            </w:tcBorders>
            <w:noWrap w:val="0"/>
            <w:vAlign w:val="center"/>
          </w:tcPr>
          <w:p w14:paraId="0F302765">
            <w:pPr>
              <w:pStyle w:val="11"/>
              <w:wordWrap w:val="0"/>
              <w:adjustRightInd w:val="0"/>
              <w:snapToGrid w:val="0"/>
              <w:spacing w:after="0" w:line="360" w:lineRule="auto"/>
              <w:rPr>
                <w:rFonts w:hint="eastAsia" w:ascii="宋体" w:hAnsi="宋体" w:eastAsia="宋体" w:cs="宋体"/>
                <w:snapToGrid w:val="0"/>
                <w:color w:val="auto"/>
                <w:kern w:val="0"/>
                <w:sz w:val="24"/>
                <w:szCs w:val="24"/>
              </w:rPr>
            </w:pPr>
            <w:r>
              <w:rPr>
                <w:rFonts w:hint="eastAsia" w:ascii="宋体" w:hAnsi="宋体" w:eastAsia="宋体" w:cs="宋体"/>
                <w:snapToGrid w:val="0"/>
                <w:color w:val="auto"/>
                <w:kern w:val="0"/>
                <w:sz w:val="24"/>
                <w:szCs w:val="24"/>
              </w:rPr>
              <w:t>企业近</w:t>
            </w:r>
            <w:r>
              <w:rPr>
                <w:rFonts w:hint="eastAsia" w:ascii="宋体" w:hAnsi="宋体" w:eastAsia="宋体" w:cs="宋体"/>
                <w:b w:val="0"/>
                <w:bCs w:val="0"/>
                <w:snapToGrid w:val="0"/>
                <w:color w:val="auto"/>
                <w:kern w:val="0"/>
                <w:sz w:val="24"/>
                <w:szCs w:val="24"/>
                <w:u w:val="single"/>
              </w:rPr>
              <w:t xml:space="preserve"> 5 </w:t>
            </w:r>
            <w:r>
              <w:rPr>
                <w:rFonts w:hint="eastAsia" w:ascii="宋体" w:hAnsi="宋体" w:eastAsia="宋体" w:cs="宋体"/>
                <w:snapToGrid w:val="0"/>
                <w:color w:val="auto"/>
                <w:kern w:val="0"/>
                <w:sz w:val="24"/>
                <w:szCs w:val="24"/>
              </w:rPr>
              <w:t>年来（</w:t>
            </w:r>
            <w:r>
              <w:rPr>
                <w:rFonts w:hint="eastAsia" w:ascii="宋体" w:hAnsi="宋体" w:eastAsia="宋体" w:cs="宋体"/>
                <w:snapToGrid w:val="0"/>
                <w:color w:val="auto"/>
                <w:kern w:val="0"/>
                <w:sz w:val="24"/>
                <w:szCs w:val="24"/>
                <w:lang w:val="en-US" w:eastAsia="zh-CN"/>
              </w:rPr>
              <w:t>2020</w:t>
            </w:r>
            <w:r>
              <w:rPr>
                <w:rFonts w:hint="eastAsia" w:ascii="宋体" w:hAnsi="宋体" w:eastAsia="宋体" w:cs="宋体"/>
                <w:snapToGrid w:val="0"/>
                <w:color w:val="auto"/>
                <w:kern w:val="0"/>
                <w:sz w:val="24"/>
                <w:szCs w:val="24"/>
              </w:rPr>
              <w:t>年</w:t>
            </w:r>
            <w:r>
              <w:rPr>
                <w:rFonts w:hint="eastAsia" w:ascii="宋体" w:hAnsi="宋体" w:eastAsia="宋体" w:cs="宋体"/>
                <w:snapToGrid w:val="0"/>
                <w:color w:val="auto"/>
                <w:kern w:val="0"/>
                <w:sz w:val="24"/>
                <w:szCs w:val="24"/>
                <w:lang w:val="en-US" w:eastAsia="zh-CN"/>
              </w:rPr>
              <w:t>1</w:t>
            </w:r>
            <w:r>
              <w:rPr>
                <w:rFonts w:hint="eastAsia" w:ascii="宋体" w:hAnsi="宋体" w:eastAsia="宋体" w:cs="宋体"/>
                <w:snapToGrid w:val="0"/>
                <w:color w:val="auto"/>
                <w:kern w:val="0"/>
                <w:sz w:val="24"/>
                <w:szCs w:val="24"/>
              </w:rPr>
              <w:t>月</w:t>
            </w:r>
            <w:r>
              <w:rPr>
                <w:rFonts w:hint="eastAsia" w:ascii="宋体" w:hAnsi="宋体" w:eastAsia="宋体" w:cs="宋体"/>
                <w:snapToGrid w:val="0"/>
                <w:color w:val="auto"/>
                <w:kern w:val="0"/>
                <w:sz w:val="24"/>
                <w:szCs w:val="24"/>
                <w:lang w:val="en-US" w:eastAsia="zh-CN"/>
              </w:rPr>
              <w:t>1</w:t>
            </w:r>
            <w:r>
              <w:rPr>
                <w:rFonts w:hint="eastAsia" w:ascii="宋体" w:hAnsi="宋体" w:eastAsia="宋体" w:cs="宋体"/>
                <w:snapToGrid w:val="0"/>
                <w:color w:val="auto"/>
                <w:kern w:val="0"/>
                <w:sz w:val="24"/>
                <w:szCs w:val="24"/>
              </w:rPr>
              <w:t>日至</w:t>
            </w:r>
            <w:r>
              <w:rPr>
                <w:rFonts w:hint="eastAsia" w:ascii="宋体" w:hAnsi="宋体" w:eastAsia="宋体" w:cs="宋体"/>
                <w:snapToGrid w:val="0"/>
                <w:color w:val="auto"/>
                <w:kern w:val="0"/>
                <w:sz w:val="24"/>
                <w:szCs w:val="24"/>
                <w:lang w:val="en-US" w:eastAsia="zh-CN"/>
              </w:rPr>
              <w:t>今</w:t>
            </w:r>
            <w:r>
              <w:rPr>
                <w:rFonts w:hint="eastAsia" w:ascii="宋体" w:hAnsi="宋体" w:eastAsia="宋体" w:cs="宋体"/>
                <w:snapToGrid w:val="0"/>
                <w:color w:val="auto"/>
                <w:kern w:val="0"/>
                <w:sz w:val="24"/>
                <w:szCs w:val="24"/>
              </w:rPr>
              <w:t>）业绩情况：</w:t>
            </w:r>
          </w:p>
          <w:p w14:paraId="5058F0BE">
            <w:pPr>
              <w:pStyle w:val="11"/>
              <w:wordWrap w:val="0"/>
              <w:adjustRightInd w:val="0"/>
              <w:snapToGrid w:val="0"/>
              <w:spacing w:after="0" w:line="360" w:lineRule="auto"/>
              <w:rPr>
                <w:rFonts w:hint="eastAsia" w:ascii="宋体" w:hAnsi="宋体" w:eastAsia="宋体" w:cs="宋体"/>
                <w:snapToGrid w:val="0"/>
                <w:color w:val="auto"/>
                <w:kern w:val="0"/>
                <w:sz w:val="24"/>
                <w:szCs w:val="24"/>
              </w:rPr>
            </w:pPr>
            <w:r>
              <w:rPr>
                <w:rFonts w:hint="eastAsia" w:ascii="宋体" w:hAnsi="宋体" w:eastAsia="宋体" w:cs="宋体"/>
                <w:snapToGrid w:val="0"/>
                <w:color w:val="auto"/>
                <w:kern w:val="0"/>
                <w:sz w:val="24"/>
                <w:szCs w:val="24"/>
              </w:rPr>
              <w:t>1．</w:t>
            </w:r>
            <w:r>
              <w:rPr>
                <w:rFonts w:hint="eastAsia" w:ascii="宋体" w:hAnsi="宋体" w:eastAsia="宋体" w:cs="宋体"/>
                <w:snapToGrid w:val="0"/>
                <w:color w:val="auto"/>
                <w:kern w:val="0"/>
                <w:sz w:val="24"/>
                <w:szCs w:val="24"/>
                <w:u w:val="single"/>
              </w:rPr>
              <w:t>完成</w:t>
            </w:r>
            <w:r>
              <w:rPr>
                <w:rFonts w:hint="eastAsia" w:ascii="宋体" w:hAnsi="宋体" w:eastAsia="宋体" w:cs="宋体"/>
                <w:snapToGrid w:val="0"/>
                <w:color w:val="auto"/>
                <w:kern w:val="0"/>
                <w:sz w:val="24"/>
                <w:szCs w:val="24"/>
              </w:rPr>
              <w:t>过类似工程的，每个得</w:t>
            </w:r>
            <w:r>
              <w:rPr>
                <w:rFonts w:hint="eastAsia" w:ascii="宋体" w:hAnsi="宋体" w:eastAsia="宋体" w:cs="宋体"/>
                <w:snapToGrid w:val="0"/>
                <w:color w:val="auto"/>
                <w:kern w:val="0"/>
                <w:sz w:val="24"/>
                <w:szCs w:val="24"/>
                <w:u w:val="single"/>
              </w:rPr>
              <w:t xml:space="preserve"> 5 </w:t>
            </w:r>
            <w:r>
              <w:rPr>
                <w:rFonts w:hint="eastAsia" w:ascii="宋体" w:hAnsi="宋体" w:eastAsia="宋体" w:cs="宋体"/>
                <w:snapToGrid w:val="0"/>
                <w:color w:val="auto"/>
                <w:kern w:val="0"/>
                <w:sz w:val="24"/>
                <w:szCs w:val="24"/>
              </w:rPr>
              <w:t>分。</w:t>
            </w:r>
          </w:p>
          <w:p w14:paraId="49C4E71A">
            <w:pPr>
              <w:pStyle w:val="11"/>
              <w:wordWrap w:val="0"/>
              <w:adjustRightInd w:val="0"/>
              <w:snapToGrid w:val="0"/>
              <w:spacing w:after="0" w:line="360" w:lineRule="auto"/>
              <w:rPr>
                <w:rFonts w:hint="eastAsia" w:ascii="宋体" w:hAnsi="宋体" w:eastAsia="宋体" w:cs="宋体"/>
                <w:snapToGrid w:val="0"/>
                <w:color w:val="auto"/>
                <w:kern w:val="0"/>
                <w:sz w:val="24"/>
                <w:szCs w:val="24"/>
              </w:rPr>
            </w:pPr>
            <w:r>
              <w:rPr>
                <w:rFonts w:hint="eastAsia" w:ascii="宋体" w:hAnsi="宋体" w:eastAsia="宋体" w:cs="宋体"/>
                <w:snapToGrid w:val="0"/>
                <w:color w:val="auto"/>
                <w:kern w:val="0"/>
                <w:sz w:val="24"/>
                <w:szCs w:val="24"/>
              </w:rPr>
              <w:t>2．未</w:t>
            </w:r>
            <w:r>
              <w:rPr>
                <w:rFonts w:hint="eastAsia" w:ascii="宋体" w:hAnsi="宋体" w:eastAsia="宋体" w:cs="宋体"/>
                <w:snapToGrid w:val="0"/>
                <w:color w:val="auto"/>
                <w:kern w:val="0"/>
                <w:sz w:val="24"/>
                <w:szCs w:val="24"/>
                <w:u w:val="single"/>
              </w:rPr>
              <w:t>完成</w:t>
            </w:r>
            <w:r>
              <w:rPr>
                <w:rFonts w:hint="eastAsia" w:ascii="宋体" w:hAnsi="宋体" w:eastAsia="宋体" w:cs="宋体"/>
                <w:snapToGrid w:val="0"/>
                <w:color w:val="auto"/>
                <w:kern w:val="0"/>
                <w:sz w:val="24"/>
                <w:szCs w:val="24"/>
              </w:rPr>
              <w:t>过类似工程的，不予计分。</w:t>
            </w:r>
          </w:p>
          <w:p w14:paraId="0B2256A2">
            <w:pPr>
              <w:pStyle w:val="11"/>
              <w:wordWrap w:val="0"/>
              <w:adjustRightInd w:val="0"/>
              <w:snapToGrid w:val="0"/>
              <w:spacing w:after="0" w:line="360" w:lineRule="auto"/>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4"/>
                <w:szCs w:val="24"/>
              </w:rPr>
              <w:t>3．本项最高得</w:t>
            </w:r>
            <w:r>
              <w:rPr>
                <w:rFonts w:hint="eastAsia" w:ascii="宋体" w:hAnsi="宋体" w:eastAsia="宋体" w:cs="宋体"/>
                <w:snapToGrid w:val="0"/>
                <w:color w:val="auto"/>
                <w:kern w:val="0"/>
                <w:sz w:val="24"/>
                <w:szCs w:val="24"/>
                <w:lang w:val="en-US" w:eastAsia="zh-CN"/>
              </w:rPr>
              <w:t>15</w:t>
            </w:r>
            <w:r>
              <w:rPr>
                <w:rFonts w:hint="eastAsia" w:ascii="宋体" w:hAnsi="宋体" w:eastAsia="宋体" w:cs="宋体"/>
                <w:snapToGrid w:val="0"/>
                <w:color w:val="auto"/>
                <w:kern w:val="0"/>
                <w:sz w:val="24"/>
                <w:szCs w:val="24"/>
              </w:rPr>
              <w:t xml:space="preserve">分。 </w:t>
            </w:r>
          </w:p>
        </w:tc>
        <w:tc>
          <w:tcPr>
            <w:tcW w:w="4743" w:type="dxa"/>
            <w:tcBorders>
              <w:top w:val="single" w:color="auto" w:sz="4" w:space="0"/>
              <w:left w:val="single" w:color="auto" w:sz="4" w:space="0"/>
              <w:bottom w:val="single" w:color="auto" w:sz="4" w:space="0"/>
              <w:right w:val="single" w:color="auto" w:sz="4" w:space="0"/>
            </w:tcBorders>
            <w:noWrap w:val="0"/>
            <w:vAlign w:val="center"/>
          </w:tcPr>
          <w:p w14:paraId="5239E6F8">
            <w:pPr>
              <w:pStyle w:val="11"/>
              <w:wordWrap w:val="0"/>
              <w:adjustRightInd w:val="0"/>
              <w:snapToGrid w:val="0"/>
              <w:spacing w:after="0" w:line="360" w:lineRule="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1．类似工程指：</w:t>
            </w:r>
            <w:r>
              <w:rPr>
                <w:rFonts w:hint="eastAsia" w:ascii="宋体" w:hAnsi="宋体" w:eastAsia="宋体" w:cs="宋体"/>
                <w:snapToGrid w:val="0"/>
                <w:color w:val="auto"/>
                <w:kern w:val="0"/>
                <w:sz w:val="24"/>
                <w:szCs w:val="24"/>
                <w:highlight w:val="none"/>
                <w:u w:val="single"/>
                <w:lang w:val="en-US" w:eastAsia="zh-CN"/>
              </w:rPr>
              <w:t>市政类工程</w:t>
            </w:r>
            <w:r>
              <w:rPr>
                <w:rFonts w:hint="eastAsia" w:ascii="宋体" w:hAnsi="宋体" w:eastAsia="宋体" w:cs="宋体"/>
                <w:snapToGrid w:val="0"/>
                <w:color w:val="auto"/>
                <w:kern w:val="0"/>
                <w:sz w:val="24"/>
                <w:szCs w:val="24"/>
                <w:highlight w:val="none"/>
                <w:u w:val="single"/>
              </w:rPr>
              <w:t>。</w:t>
            </w:r>
          </w:p>
          <w:p w14:paraId="19D91983">
            <w:pPr>
              <w:pStyle w:val="11"/>
              <w:wordWrap w:val="0"/>
              <w:adjustRightInd w:val="0"/>
              <w:snapToGrid w:val="0"/>
              <w:spacing w:after="0" w:line="360" w:lineRule="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2．需附有关业绩（仅限于已竣工验收的项目）合同协议书和竣工验收报告的</w:t>
            </w:r>
            <w:r>
              <w:rPr>
                <w:rFonts w:hint="eastAsia" w:ascii="宋体" w:hAnsi="宋体" w:eastAsia="宋体" w:cs="宋体"/>
                <w:color w:val="auto"/>
                <w:kern w:val="0"/>
                <w:sz w:val="24"/>
                <w:szCs w:val="24"/>
                <w:highlight w:val="none"/>
                <w:lang w:val="en-US" w:eastAsia="zh-CN"/>
              </w:rPr>
              <w:t>扫描件</w:t>
            </w:r>
            <w:r>
              <w:rPr>
                <w:rFonts w:hint="eastAsia" w:ascii="宋体" w:hAnsi="宋体" w:eastAsia="宋体" w:cs="宋体"/>
                <w:snapToGrid w:val="0"/>
                <w:color w:val="auto"/>
                <w:kern w:val="0"/>
                <w:sz w:val="24"/>
                <w:szCs w:val="24"/>
                <w:highlight w:val="none"/>
              </w:rPr>
              <w:t>。</w:t>
            </w:r>
          </w:p>
          <w:p w14:paraId="52E46D4D">
            <w:pPr>
              <w:pStyle w:val="11"/>
              <w:wordWrap w:val="0"/>
              <w:adjustRightInd w:val="0"/>
              <w:snapToGrid w:val="0"/>
              <w:spacing w:after="0" w:line="360" w:lineRule="auto"/>
              <w:rPr>
                <w:rFonts w:hint="eastAsia" w:ascii="宋体" w:hAnsi="宋体" w:eastAsia="宋体" w:cs="宋体"/>
                <w:i/>
                <w:iCs/>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3．业绩时间以竣工验收报告日期为准。</w:t>
            </w:r>
          </w:p>
          <w:p w14:paraId="78F2906D">
            <w:pPr>
              <w:pStyle w:val="11"/>
              <w:wordWrap w:val="0"/>
              <w:adjustRightInd w:val="0"/>
              <w:snapToGrid w:val="0"/>
              <w:spacing w:after="0" w:line="360" w:lineRule="auto"/>
              <w:rPr>
                <w:rFonts w:hint="eastAsia" w:ascii="宋体" w:hAnsi="宋体" w:eastAsia="宋体" w:cs="宋体"/>
                <w:snapToGrid w:val="0"/>
                <w:color w:val="auto"/>
                <w:kern w:val="0"/>
                <w:sz w:val="24"/>
                <w:szCs w:val="24"/>
              </w:rPr>
            </w:pPr>
            <w:r>
              <w:rPr>
                <w:rFonts w:hint="eastAsia" w:ascii="宋体" w:hAnsi="宋体" w:eastAsia="宋体" w:cs="宋体"/>
                <w:snapToGrid w:val="0"/>
                <w:color w:val="auto"/>
                <w:kern w:val="0"/>
                <w:sz w:val="24"/>
                <w:szCs w:val="24"/>
              </w:rPr>
              <w:t>4．任一业绩有以下情形之一的，该业绩视为无效，不予计分：</w:t>
            </w:r>
          </w:p>
          <w:p w14:paraId="44F2023F">
            <w:pPr>
              <w:pStyle w:val="11"/>
              <w:wordWrap w:val="0"/>
              <w:adjustRightInd w:val="0"/>
              <w:snapToGrid w:val="0"/>
              <w:spacing w:after="0" w:line="360" w:lineRule="auto"/>
              <w:rPr>
                <w:rFonts w:hint="eastAsia" w:ascii="宋体" w:hAnsi="宋体" w:eastAsia="宋体" w:cs="宋体"/>
                <w:snapToGrid w:val="0"/>
                <w:color w:val="auto"/>
                <w:kern w:val="0"/>
                <w:sz w:val="24"/>
                <w:szCs w:val="24"/>
              </w:rPr>
            </w:pPr>
            <w:r>
              <w:rPr>
                <w:rFonts w:hint="eastAsia" w:ascii="宋体" w:hAnsi="宋体" w:eastAsia="宋体" w:cs="宋体"/>
                <w:snapToGrid w:val="0"/>
                <w:color w:val="auto"/>
                <w:kern w:val="0"/>
                <w:sz w:val="24"/>
                <w:szCs w:val="24"/>
                <w:lang w:val="en-US" w:eastAsia="zh-CN"/>
              </w:rPr>
              <w:t>①</w:t>
            </w:r>
            <w:r>
              <w:rPr>
                <w:rFonts w:hint="eastAsia" w:ascii="宋体" w:hAnsi="宋体" w:eastAsia="宋体" w:cs="宋体"/>
                <w:snapToGrid w:val="0"/>
                <w:color w:val="auto"/>
                <w:kern w:val="0"/>
                <w:sz w:val="24"/>
                <w:szCs w:val="24"/>
              </w:rPr>
              <w:t>业绩不属于类似工程的；</w:t>
            </w:r>
          </w:p>
          <w:p w14:paraId="4784B9BA">
            <w:pPr>
              <w:pStyle w:val="11"/>
              <w:wordWrap w:val="0"/>
              <w:adjustRightInd w:val="0"/>
              <w:snapToGrid w:val="0"/>
              <w:spacing w:after="0" w:line="360" w:lineRule="auto"/>
              <w:rPr>
                <w:rFonts w:hint="eastAsia" w:ascii="宋体" w:hAnsi="宋体" w:eastAsia="宋体" w:cs="宋体"/>
                <w:snapToGrid w:val="0"/>
                <w:color w:val="auto"/>
                <w:kern w:val="0"/>
                <w:sz w:val="24"/>
                <w:szCs w:val="24"/>
              </w:rPr>
            </w:pPr>
            <w:r>
              <w:rPr>
                <w:rFonts w:hint="eastAsia" w:ascii="宋体" w:hAnsi="宋体" w:eastAsia="宋体" w:cs="宋体"/>
                <w:snapToGrid w:val="0"/>
                <w:color w:val="auto"/>
                <w:kern w:val="0"/>
                <w:sz w:val="24"/>
                <w:szCs w:val="24"/>
                <w:lang w:val="en-US" w:eastAsia="zh-CN"/>
              </w:rPr>
              <w:t>②</w:t>
            </w:r>
            <w:r>
              <w:rPr>
                <w:rFonts w:hint="eastAsia" w:ascii="宋体" w:hAnsi="宋体" w:eastAsia="宋体" w:cs="宋体"/>
                <w:snapToGrid w:val="0"/>
                <w:color w:val="auto"/>
                <w:kern w:val="0"/>
                <w:sz w:val="24"/>
                <w:szCs w:val="24"/>
              </w:rPr>
              <w:t>业绩时间不符合要求的；</w:t>
            </w:r>
          </w:p>
          <w:p w14:paraId="4EB28F8E">
            <w:pPr>
              <w:pStyle w:val="11"/>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auto"/>
              <w:ind w:left="0" w:leftChars="0" w:right="0" w:rightChars="0" w:firstLine="0" w:firstLineChars="0"/>
              <w:textAlignment w:val="auto"/>
              <w:outlineLvl w:val="9"/>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4"/>
                <w:szCs w:val="24"/>
                <w:lang w:val="en-US" w:eastAsia="zh-CN"/>
              </w:rPr>
              <w:t>③</w:t>
            </w:r>
            <w:r>
              <w:rPr>
                <w:rFonts w:hint="eastAsia" w:ascii="宋体" w:hAnsi="宋体" w:eastAsia="宋体" w:cs="宋体"/>
                <w:snapToGrid w:val="0"/>
                <w:color w:val="auto"/>
                <w:kern w:val="0"/>
                <w:sz w:val="24"/>
                <w:szCs w:val="24"/>
              </w:rPr>
              <w:t>业绩未竣工验收的。</w:t>
            </w:r>
          </w:p>
        </w:tc>
      </w:tr>
      <w:tr w14:paraId="72FF3856">
        <w:tblPrEx>
          <w:tblCellMar>
            <w:top w:w="0" w:type="dxa"/>
            <w:left w:w="108" w:type="dxa"/>
            <w:bottom w:w="0" w:type="dxa"/>
            <w:right w:w="108" w:type="dxa"/>
          </w:tblCellMar>
        </w:tblPrEx>
        <w:trPr>
          <w:trHeight w:val="318" w:hRule="atLeast"/>
          <w:jc w:val="center"/>
        </w:trPr>
        <w:tc>
          <w:tcPr>
            <w:tcW w:w="1493" w:type="dxa"/>
            <w:tcBorders>
              <w:top w:val="single" w:color="auto" w:sz="4" w:space="0"/>
              <w:left w:val="single" w:color="auto" w:sz="4" w:space="0"/>
              <w:bottom w:val="single" w:color="auto" w:sz="4" w:space="0"/>
              <w:right w:val="single" w:color="auto" w:sz="4" w:space="0"/>
            </w:tcBorders>
            <w:noWrap w:val="0"/>
            <w:vAlign w:val="center"/>
          </w:tcPr>
          <w:p w14:paraId="4FE85D6F">
            <w:pPr>
              <w:pStyle w:val="11"/>
              <w:wordWrap w:val="0"/>
              <w:adjustRightInd w:val="0"/>
              <w:snapToGrid w:val="0"/>
              <w:spacing w:after="0" w:line="360" w:lineRule="auto"/>
              <w:jc w:val="center"/>
              <w:rPr>
                <w:rFonts w:hint="eastAsia" w:ascii="宋体" w:hAnsi="宋体" w:eastAsia="宋体" w:cs="宋体"/>
                <w:snapToGrid w:val="0"/>
                <w:color w:val="auto"/>
                <w:kern w:val="0"/>
                <w:sz w:val="24"/>
                <w:szCs w:val="24"/>
              </w:rPr>
            </w:pPr>
            <w:r>
              <w:rPr>
                <w:rFonts w:hint="eastAsia" w:ascii="宋体" w:hAnsi="宋体" w:eastAsia="宋体" w:cs="宋体"/>
                <w:snapToGrid w:val="0"/>
                <w:color w:val="auto"/>
                <w:kern w:val="0"/>
                <w:sz w:val="24"/>
                <w:szCs w:val="24"/>
              </w:rPr>
              <w:t>项目经理</w:t>
            </w:r>
          </w:p>
          <w:p w14:paraId="510E62FE">
            <w:pPr>
              <w:pStyle w:val="11"/>
              <w:wordWrap w:val="0"/>
              <w:adjustRightInd w:val="0"/>
              <w:snapToGrid w:val="0"/>
              <w:spacing w:after="0" w:line="360" w:lineRule="auto"/>
              <w:jc w:val="center"/>
              <w:rPr>
                <w:rFonts w:hint="eastAsia" w:ascii="宋体" w:hAnsi="宋体" w:eastAsia="宋体" w:cs="宋体"/>
                <w:snapToGrid w:val="0"/>
                <w:color w:val="auto"/>
                <w:kern w:val="0"/>
                <w:sz w:val="24"/>
                <w:szCs w:val="24"/>
              </w:rPr>
            </w:pPr>
            <w:r>
              <w:rPr>
                <w:rFonts w:hint="eastAsia" w:ascii="宋体" w:hAnsi="宋体" w:eastAsia="宋体" w:cs="宋体"/>
                <w:snapToGrid w:val="0"/>
                <w:color w:val="auto"/>
                <w:kern w:val="0"/>
                <w:sz w:val="24"/>
                <w:szCs w:val="24"/>
              </w:rPr>
              <w:t>综合素质</w:t>
            </w:r>
          </w:p>
          <w:p w14:paraId="0E68CB76">
            <w:pPr>
              <w:pStyle w:val="11"/>
              <w:wordWrap w:val="0"/>
              <w:adjustRightInd w:val="0"/>
              <w:snapToGrid w:val="0"/>
              <w:spacing w:after="0"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4"/>
                <w:szCs w:val="24"/>
              </w:rPr>
              <w:t>（10分）</w:t>
            </w:r>
          </w:p>
        </w:tc>
        <w:tc>
          <w:tcPr>
            <w:tcW w:w="4617" w:type="dxa"/>
            <w:gridSpan w:val="2"/>
            <w:tcBorders>
              <w:top w:val="single" w:color="auto" w:sz="4" w:space="0"/>
              <w:left w:val="single" w:color="auto" w:sz="4" w:space="0"/>
              <w:bottom w:val="single" w:color="auto" w:sz="4" w:space="0"/>
              <w:right w:val="single" w:color="auto" w:sz="4" w:space="0"/>
            </w:tcBorders>
            <w:noWrap w:val="0"/>
            <w:vAlign w:val="center"/>
          </w:tcPr>
          <w:p w14:paraId="1A83B972">
            <w:pPr>
              <w:pStyle w:val="11"/>
              <w:wordWrap w:val="0"/>
              <w:adjustRightInd w:val="0"/>
              <w:snapToGrid w:val="0"/>
              <w:spacing w:after="0" w:line="400" w:lineRule="exact"/>
              <w:rPr>
                <w:rFonts w:hint="eastAsia" w:ascii="宋体" w:hAnsi="宋体" w:eastAsia="宋体" w:cs="宋体"/>
                <w:snapToGrid w:val="0"/>
                <w:color w:val="auto"/>
                <w:kern w:val="0"/>
                <w:sz w:val="24"/>
                <w:szCs w:val="24"/>
              </w:rPr>
            </w:pPr>
            <w:r>
              <w:rPr>
                <w:rFonts w:hint="eastAsia" w:ascii="宋体" w:hAnsi="宋体" w:eastAsia="宋体" w:cs="宋体"/>
                <w:snapToGrid w:val="0"/>
                <w:color w:val="auto"/>
                <w:kern w:val="0"/>
                <w:sz w:val="24"/>
                <w:szCs w:val="24"/>
              </w:rPr>
              <w:t>项目经理工程类技术职称情况：</w:t>
            </w:r>
          </w:p>
          <w:p w14:paraId="5A4604A5">
            <w:pPr>
              <w:pStyle w:val="11"/>
              <w:numPr>
                <w:ilvl w:val="0"/>
                <w:numId w:val="0"/>
              </w:numPr>
              <w:wordWrap w:val="0"/>
              <w:adjustRightInd w:val="0"/>
              <w:snapToGrid w:val="0"/>
              <w:spacing w:after="0" w:line="400" w:lineRule="exact"/>
              <w:rPr>
                <w:rFonts w:hint="eastAsia" w:ascii="宋体" w:hAnsi="宋体" w:eastAsia="宋体" w:cs="宋体"/>
                <w:snapToGrid w:val="0"/>
                <w:color w:val="auto"/>
                <w:kern w:val="0"/>
                <w:sz w:val="24"/>
                <w:szCs w:val="24"/>
              </w:rPr>
            </w:pPr>
            <w:r>
              <w:rPr>
                <w:rFonts w:hint="eastAsia" w:ascii="宋体" w:hAnsi="宋体" w:eastAsia="宋体" w:cs="宋体"/>
                <w:snapToGrid w:val="0"/>
                <w:color w:val="auto"/>
                <w:kern w:val="0"/>
                <w:sz w:val="24"/>
                <w:szCs w:val="24"/>
                <w:lang w:val="en-US" w:eastAsia="zh-CN" w:bidi="ar-SA"/>
              </w:rPr>
              <w:t>1.</w:t>
            </w:r>
            <w:r>
              <w:rPr>
                <w:rFonts w:hint="eastAsia" w:ascii="宋体" w:hAnsi="宋体" w:eastAsia="宋体" w:cs="宋体"/>
                <w:snapToGrid w:val="0"/>
                <w:color w:val="auto"/>
                <w:kern w:val="0"/>
                <w:sz w:val="24"/>
                <w:szCs w:val="24"/>
              </w:rPr>
              <w:t>具备工程师或以上职称的，得</w:t>
            </w:r>
            <w:r>
              <w:rPr>
                <w:rFonts w:hint="eastAsia" w:ascii="宋体" w:hAnsi="宋体" w:eastAsia="宋体" w:cs="宋体"/>
                <w:snapToGrid w:val="0"/>
                <w:color w:val="auto"/>
                <w:kern w:val="0"/>
                <w:sz w:val="24"/>
                <w:szCs w:val="24"/>
                <w:u w:val="single"/>
              </w:rPr>
              <w:t>10</w:t>
            </w:r>
            <w:r>
              <w:rPr>
                <w:rFonts w:hint="eastAsia" w:ascii="宋体" w:hAnsi="宋体" w:eastAsia="宋体" w:cs="宋体"/>
                <w:snapToGrid w:val="0"/>
                <w:color w:val="auto"/>
                <w:kern w:val="0"/>
                <w:sz w:val="24"/>
                <w:szCs w:val="24"/>
              </w:rPr>
              <w:t>分。</w:t>
            </w:r>
          </w:p>
          <w:p w14:paraId="61B577F0">
            <w:pPr>
              <w:pStyle w:val="11"/>
              <w:numPr>
                <w:ilvl w:val="0"/>
                <w:numId w:val="0"/>
              </w:numPr>
              <w:wordWrap w:val="0"/>
              <w:adjustRightInd w:val="0"/>
              <w:snapToGrid w:val="0"/>
              <w:spacing w:after="0" w:line="400" w:lineRule="exact"/>
              <w:rPr>
                <w:rFonts w:hint="eastAsia" w:ascii="宋体" w:hAnsi="宋体" w:eastAsia="宋体" w:cs="宋体"/>
                <w:snapToGrid w:val="0"/>
                <w:color w:val="auto"/>
                <w:kern w:val="0"/>
                <w:sz w:val="24"/>
                <w:szCs w:val="24"/>
              </w:rPr>
            </w:pPr>
            <w:r>
              <w:rPr>
                <w:rFonts w:hint="eastAsia" w:ascii="宋体" w:hAnsi="宋体" w:eastAsia="宋体" w:cs="宋体"/>
                <w:snapToGrid w:val="0"/>
                <w:color w:val="auto"/>
                <w:kern w:val="0"/>
                <w:sz w:val="24"/>
                <w:szCs w:val="24"/>
                <w:lang w:val="en-US" w:eastAsia="zh-CN" w:bidi="ar-SA"/>
              </w:rPr>
              <w:t>2.</w:t>
            </w:r>
            <w:r>
              <w:rPr>
                <w:rFonts w:hint="eastAsia" w:ascii="宋体" w:hAnsi="宋体" w:eastAsia="宋体" w:cs="宋体"/>
                <w:snapToGrid w:val="0"/>
                <w:color w:val="auto"/>
                <w:kern w:val="0"/>
                <w:sz w:val="24"/>
                <w:szCs w:val="24"/>
              </w:rPr>
              <w:t xml:space="preserve">具备助理工程师职称的，得 </w:t>
            </w:r>
            <w:r>
              <w:rPr>
                <w:rFonts w:hint="eastAsia" w:ascii="宋体" w:hAnsi="宋体" w:eastAsia="宋体" w:cs="宋体"/>
                <w:snapToGrid w:val="0"/>
                <w:color w:val="auto"/>
                <w:kern w:val="0"/>
                <w:sz w:val="24"/>
                <w:szCs w:val="24"/>
                <w:u w:val="single"/>
              </w:rPr>
              <w:t>5</w:t>
            </w:r>
            <w:r>
              <w:rPr>
                <w:rFonts w:hint="eastAsia" w:ascii="宋体" w:hAnsi="宋体" w:eastAsia="宋体" w:cs="宋体"/>
                <w:snapToGrid w:val="0"/>
                <w:color w:val="auto"/>
                <w:kern w:val="0"/>
                <w:sz w:val="24"/>
                <w:szCs w:val="24"/>
              </w:rPr>
              <w:t>分。</w:t>
            </w:r>
          </w:p>
          <w:p w14:paraId="0B4A1AB2">
            <w:pPr>
              <w:pStyle w:val="11"/>
              <w:numPr>
                <w:ilvl w:val="0"/>
                <w:numId w:val="0"/>
              </w:numPr>
              <w:wordWrap w:val="0"/>
              <w:adjustRightInd w:val="0"/>
              <w:snapToGrid w:val="0"/>
              <w:spacing w:after="0" w:line="400" w:lineRule="exact"/>
              <w:ind w:left="0" w:leftChars="0" w:firstLine="0" w:firstLineChars="0"/>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4"/>
                <w:szCs w:val="24"/>
                <w:lang w:val="en-US" w:eastAsia="zh-CN" w:bidi="ar-SA"/>
              </w:rPr>
              <w:t>3.</w:t>
            </w:r>
            <w:r>
              <w:rPr>
                <w:rFonts w:hint="eastAsia" w:ascii="宋体" w:hAnsi="宋体" w:eastAsia="宋体" w:cs="宋体"/>
                <w:snapToGrid w:val="0"/>
                <w:color w:val="auto"/>
                <w:kern w:val="0"/>
                <w:sz w:val="24"/>
                <w:szCs w:val="24"/>
              </w:rPr>
              <w:t>不具备以上职称的，不予计分。</w:t>
            </w:r>
          </w:p>
        </w:tc>
        <w:tc>
          <w:tcPr>
            <w:tcW w:w="4743" w:type="dxa"/>
            <w:tcBorders>
              <w:top w:val="single" w:color="auto" w:sz="4" w:space="0"/>
              <w:left w:val="single" w:color="auto" w:sz="4" w:space="0"/>
              <w:bottom w:val="single" w:color="auto" w:sz="4" w:space="0"/>
              <w:right w:val="single" w:color="auto" w:sz="4" w:space="0"/>
            </w:tcBorders>
            <w:noWrap w:val="0"/>
            <w:vAlign w:val="center"/>
          </w:tcPr>
          <w:p w14:paraId="37599A0B">
            <w:pPr>
              <w:pStyle w:val="11"/>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auto"/>
              <w:ind w:left="0" w:leftChars="0" w:right="0" w:rightChars="0" w:firstLine="0" w:firstLineChars="0"/>
              <w:textAlignment w:val="auto"/>
              <w:outlineLvl w:val="9"/>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4"/>
                <w:szCs w:val="24"/>
                <w:highlight w:val="none"/>
                <w:lang w:val="en-US" w:eastAsia="zh-CN" w:bidi="ar-SA"/>
              </w:rPr>
              <w:t>需附职称证扫描件。</w:t>
            </w:r>
          </w:p>
        </w:tc>
      </w:tr>
      <w:tr w14:paraId="6C4C3AA6">
        <w:tblPrEx>
          <w:tblCellMar>
            <w:top w:w="0" w:type="dxa"/>
            <w:left w:w="108" w:type="dxa"/>
            <w:bottom w:w="0" w:type="dxa"/>
            <w:right w:w="108" w:type="dxa"/>
          </w:tblCellMar>
        </w:tblPrEx>
        <w:trPr>
          <w:trHeight w:val="23" w:hRule="atLeast"/>
          <w:jc w:val="center"/>
        </w:trPr>
        <w:tc>
          <w:tcPr>
            <w:tcW w:w="1493" w:type="dxa"/>
            <w:tcBorders>
              <w:top w:val="single" w:color="auto" w:sz="4" w:space="0"/>
              <w:left w:val="single" w:color="auto" w:sz="4" w:space="0"/>
              <w:bottom w:val="single" w:color="auto" w:sz="4" w:space="0"/>
              <w:right w:val="single" w:color="auto" w:sz="4" w:space="0"/>
            </w:tcBorders>
            <w:noWrap w:val="0"/>
            <w:vAlign w:val="center"/>
          </w:tcPr>
          <w:p w14:paraId="3EC1B09D">
            <w:pPr>
              <w:pStyle w:val="11"/>
              <w:keepNext w:val="0"/>
              <w:keepLines w:val="0"/>
              <w:pageBreakBefore w:val="0"/>
              <w:widowControl/>
              <w:kinsoku/>
              <w:wordWrap w:val="0"/>
              <w:overflowPunct/>
              <w:topLinePunct w:val="0"/>
              <w:autoSpaceDE/>
              <w:autoSpaceDN/>
              <w:bidi w:val="0"/>
              <w:adjustRightInd w:val="0"/>
              <w:snapToGrid w:val="0"/>
              <w:spacing w:after="0"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企业银行</w:t>
            </w:r>
          </w:p>
          <w:p w14:paraId="52143FC1">
            <w:pPr>
              <w:pStyle w:val="11"/>
              <w:keepNext w:val="0"/>
              <w:keepLines w:val="0"/>
              <w:pageBreakBefore w:val="0"/>
              <w:widowControl/>
              <w:kinsoku/>
              <w:wordWrap w:val="0"/>
              <w:overflowPunct/>
              <w:topLinePunct w:val="0"/>
              <w:autoSpaceDE/>
              <w:autoSpaceDN/>
              <w:bidi w:val="0"/>
              <w:adjustRightInd w:val="0"/>
              <w:snapToGrid w:val="0"/>
              <w:spacing w:after="0"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资信评级</w:t>
            </w:r>
          </w:p>
          <w:p w14:paraId="3ABEEDBF">
            <w:pPr>
              <w:pStyle w:val="11"/>
              <w:keepNext w:val="0"/>
              <w:keepLines w:val="0"/>
              <w:pageBreakBefore w:val="0"/>
              <w:widowControl/>
              <w:kinsoku/>
              <w:wordWrap w:val="0"/>
              <w:overflowPunct/>
              <w:topLinePunct w:val="0"/>
              <w:autoSpaceDE/>
              <w:autoSpaceDN/>
              <w:bidi w:val="0"/>
              <w:adjustRightInd w:val="0"/>
              <w:snapToGrid w:val="0"/>
              <w:spacing w:after="0"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lang w:val="en-US" w:eastAsia="zh-CN"/>
              </w:rPr>
              <w:t>5</w:t>
            </w:r>
            <w:r>
              <w:rPr>
                <w:rFonts w:hint="eastAsia" w:ascii="宋体" w:hAnsi="宋体" w:eastAsia="宋体" w:cs="宋体"/>
                <w:snapToGrid w:val="0"/>
                <w:color w:val="auto"/>
                <w:kern w:val="0"/>
                <w:sz w:val="24"/>
                <w:szCs w:val="24"/>
                <w:highlight w:val="none"/>
              </w:rPr>
              <w:t>分）</w:t>
            </w:r>
          </w:p>
        </w:tc>
        <w:tc>
          <w:tcPr>
            <w:tcW w:w="4617" w:type="dxa"/>
            <w:gridSpan w:val="2"/>
            <w:tcBorders>
              <w:top w:val="single" w:color="auto" w:sz="4" w:space="0"/>
              <w:left w:val="single" w:color="auto" w:sz="4" w:space="0"/>
              <w:bottom w:val="single" w:color="auto" w:sz="4" w:space="0"/>
              <w:right w:val="single" w:color="auto" w:sz="4" w:space="0"/>
            </w:tcBorders>
            <w:noWrap w:val="0"/>
            <w:vAlign w:val="center"/>
          </w:tcPr>
          <w:p w14:paraId="5C6D497A">
            <w:pPr>
              <w:pStyle w:val="11"/>
              <w:wordWrap w:val="0"/>
              <w:adjustRightInd w:val="0"/>
              <w:snapToGrid w:val="0"/>
              <w:spacing w:after="0" w:line="360" w:lineRule="auto"/>
              <w:rPr>
                <w:rFonts w:hint="eastAsia" w:ascii="宋体" w:hAnsi="宋体" w:eastAsia="宋体" w:cs="宋体"/>
                <w:snapToGrid w:val="0"/>
                <w:color w:val="auto"/>
                <w:kern w:val="0"/>
                <w:sz w:val="24"/>
                <w:szCs w:val="24"/>
                <w:lang w:eastAsia="zh-CN"/>
              </w:rPr>
            </w:pPr>
            <w:r>
              <w:rPr>
                <w:rFonts w:hint="eastAsia" w:ascii="宋体" w:hAnsi="宋体" w:eastAsia="宋体" w:cs="宋体"/>
                <w:snapToGrid w:val="0"/>
                <w:color w:val="auto"/>
                <w:kern w:val="0"/>
                <w:sz w:val="24"/>
                <w:szCs w:val="24"/>
              </w:rPr>
              <w:t>1．银行资信评级AAA的，得</w:t>
            </w:r>
            <w:r>
              <w:rPr>
                <w:rFonts w:hint="eastAsia" w:ascii="宋体" w:hAnsi="宋体" w:eastAsia="宋体" w:cs="宋体"/>
                <w:snapToGrid w:val="0"/>
                <w:color w:val="auto"/>
                <w:kern w:val="0"/>
                <w:sz w:val="24"/>
                <w:szCs w:val="24"/>
                <w:u w:val="single"/>
                <w:lang w:val="en-US" w:eastAsia="zh-CN"/>
              </w:rPr>
              <w:t>5</w:t>
            </w:r>
            <w:r>
              <w:rPr>
                <w:rFonts w:hint="eastAsia" w:ascii="宋体" w:hAnsi="宋体" w:eastAsia="宋体" w:cs="宋体"/>
                <w:snapToGrid w:val="0"/>
                <w:color w:val="auto"/>
                <w:kern w:val="0"/>
                <w:sz w:val="24"/>
                <w:szCs w:val="24"/>
              </w:rPr>
              <w:t>分</w:t>
            </w:r>
            <w:r>
              <w:rPr>
                <w:rFonts w:hint="eastAsia" w:ascii="宋体" w:hAnsi="宋体" w:eastAsia="宋体" w:cs="宋体"/>
                <w:snapToGrid w:val="0"/>
                <w:color w:val="auto"/>
                <w:kern w:val="0"/>
                <w:sz w:val="24"/>
                <w:szCs w:val="24"/>
                <w:lang w:eastAsia="zh-CN"/>
              </w:rPr>
              <w:t>。</w:t>
            </w:r>
          </w:p>
          <w:p w14:paraId="5D9072F9">
            <w:pPr>
              <w:pStyle w:val="11"/>
              <w:wordWrap w:val="0"/>
              <w:adjustRightInd w:val="0"/>
              <w:snapToGrid w:val="0"/>
              <w:spacing w:after="0" w:line="360" w:lineRule="auto"/>
              <w:rPr>
                <w:rFonts w:hint="eastAsia" w:ascii="宋体" w:hAnsi="宋体" w:eastAsia="宋体" w:cs="宋体"/>
                <w:snapToGrid w:val="0"/>
                <w:color w:val="auto"/>
                <w:kern w:val="0"/>
                <w:sz w:val="24"/>
                <w:szCs w:val="24"/>
              </w:rPr>
            </w:pPr>
            <w:r>
              <w:rPr>
                <w:rFonts w:hint="eastAsia" w:ascii="宋体" w:hAnsi="宋体" w:eastAsia="宋体" w:cs="宋体"/>
                <w:snapToGrid w:val="0"/>
                <w:color w:val="auto"/>
                <w:kern w:val="0"/>
                <w:sz w:val="24"/>
                <w:szCs w:val="24"/>
              </w:rPr>
              <w:t>2．银行资信评级AA（含AA＋、AA－）的，得</w:t>
            </w:r>
            <w:r>
              <w:rPr>
                <w:rFonts w:hint="eastAsia" w:ascii="宋体" w:hAnsi="宋体" w:eastAsia="宋体" w:cs="宋体"/>
                <w:snapToGrid w:val="0"/>
                <w:color w:val="auto"/>
                <w:kern w:val="0"/>
                <w:sz w:val="24"/>
                <w:szCs w:val="24"/>
                <w:u w:val="single"/>
                <w:lang w:val="en-US" w:eastAsia="zh-CN"/>
              </w:rPr>
              <w:t>3</w:t>
            </w:r>
            <w:r>
              <w:rPr>
                <w:rFonts w:hint="eastAsia" w:ascii="宋体" w:hAnsi="宋体" w:eastAsia="宋体" w:cs="宋体"/>
                <w:snapToGrid w:val="0"/>
                <w:color w:val="auto"/>
                <w:kern w:val="0"/>
                <w:sz w:val="24"/>
                <w:szCs w:val="24"/>
              </w:rPr>
              <w:t>分。</w:t>
            </w:r>
          </w:p>
          <w:p w14:paraId="59D05833">
            <w:pPr>
              <w:pStyle w:val="11"/>
              <w:wordWrap w:val="0"/>
              <w:adjustRightInd w:val="0"/>
              <w:snapToGrid w:val="0"/>
              <w:spacing w:after="0" w:line="360" w:lineRule="auto"/>
              <w:rPr>
                <w:rFonts w:hint="eastAsia" w:ascii="宋体" w:hAnsi="宋体" w:eastAsia="宋体" w:cs="宋体"/>
                <w:snapToGrid w:val="0"/>
                <w:color w:val="auto"/>
                <w:kern w:val="0"/>
                <w:sz w:val="24"/>
                <w:szCs w:val="24"/>
              </w:rPr>
            </w:pPr>
            <w:r>
              <w:rPr>
                <w:rFonts w:hint="eastAsia" w:ascii="宋体" w:hAnsi="宋体" w:eastAsia="宋体" w:cs="宋体"/>
                <w:snapToGrid w:val="0"/>
                <w:color w:val="auto"/>
                <w:kern w:val="0"/>
                <w:sz w:val="24"/>
                <w:szCs w:val="24"/>
              </w:rPr>
              <w:t>3．银行资信评级A（含A＋、A－）的，得</w:t>
            </w:r>
            <w:r>
              <w:rPr>
                <w:rFonts w:hint="eastAsia" w:ascii="宋体" w:hAnsi="宋体" w:eastAsia="宋体" w:cs="宋体"/>
                <w:snapToGrid w:val="0"/>
                <w:color w:val="auto"/>
                <w:kern w:val="0"/>
                <w:sz w:val="24"/>
                <w:szCs w:val="24"/>
                <w:u w:val="single"/>
                <w:lang w:val="en-US" w:eastAsia="zh-CN"/>
              </w:rPr>
              <w:t>1</w:t>
            </w:r>
            <w:r>
              <w:rPr>
                <w:rFonts w:hint="eastAsia" w:ascii="宋体" w:hAnsi="宋体" w:eastAsia="宋体" w:cs="宋体"/>
                <w:snapToGrid w:val="0"/>
                <w:color w:val="auto"/>
                <w:kern w:val="0"/>
                <w:sz w:val="24"/>
                <w:szCs w:val="24"/>
              </w:rPr>
              <w:t>分。</w:t>
            </w:r>
          </w:p>
          <w:p w14:paraId="186AC64C">
            <w:pPr>
              <w:pStyle w:val="11"/>
              <w:keepNext w:val="0"/>
              <w:keepLines w:val="0"/>
              <w:pageBreakBefore w:val="0"/>
              <w:widowControl w:val="0"/>
              <w:numPr>
                <w:ilvl w:val="0"/>
                <w:numId w:val="0"/>
              </w:numPr>
              <w:kinsoku/>
              <w:wordWrap w:val="0"/>
              <w:overflowPunct/>
              <w:topLinePunct w:val="0"/>
              <w:autoSpaceDE/>
              <w:autoSpaceDN/>
              <w:bidi w:val="0"/>
              <w:adjustRightInd w:val="0"/>
              <w:snapToGrid w:val="0"/>
              <w:spacing w:before="0" w:after="0" w:afterLines="0" w:line="360" w:lineRule="auto"/>
              <w:ind w:left="0" w:leftChars="0" w:right="0" w:rightChars="0" w:firstLine="0" w:firstLineChars="0"/>
              <w:textAlignment w:val="auto"/>
              <w:outlineLvl w:val="9"/>
              <w:rPr>
                <w:rFonts w:hint="eastAsia" w:ascii="宋体" w:hAnsi="宋体" w:eastAsia="宋体" w:cs="宋体"/>
                <w:color w:val="auto"/>
                <w:kern w:val="0"/>
                <w:sz w:val="22"/>
                <w:szCs w:val="22"/>
                <w:highlight w:val="none"/>
              </w:rPr>
            </w:pPr>
            <w:r>
              <w:rPr>
                <w:rFonts w:hint="eastAsia" w:ascii="宋体" w:hAnsi="宋体" w:eastAsia="宋体" w:cs="宋体"/>
                <w:snapToGrid w:val="0"/>
                <w:color w:val="auto"/>
                <w:kern w:val="0"/>
                <w:sz w:val="24"/>
                <w:szCs w:val="24"/>
              </w:rPr>
              <w:t>4．未获得过以上评级的，或评级证书无效的，不予计分。</w:t>
            </w:r>
          </w:p>
        </w:tc>
        <w:tc>
          <w:tcPr>
            <w:tcW w:w="4743" w:type="dxa"/>
            <w:tcBorders>
              <w:top w:val="single" w:color="auto" w:sz="4" w:space="0"/>
              <w:left w:val="single" w:color="auto" w:sz="4" w:space="0"/>
              <w:bottom w:val="single" w:color="auto" w:sz="4" w:space="0"/>
              <w:right w:val="single" w:color="auto" w:sz="4" w:space="0"/>
            </w:tcBorders>
            <w:noWrap w:val="0"/>
            <w:vAlign w:val="center"/>
          </w:tcPr>
          <w:p w14:paraId="4477D7BB">
            <w:pPr>
              <w:pStyle w:val="11"/>
              <w:wordWrap w:val="0"/>
              <w:adjustRightInd w:val="0"/>
              <w:snapToGrid w:val="0"/>
              <w:spacing w:after="0" w:line="360" w:lineRule="auto"/>
              <w:rPr>
                <w:rFonts w:hint="eastAsia" w:ascii="宋体" w:hAnsi="宋体" w:eastAsia="宋体" w:cs="宋体"/>
                <w:snapToGrid w:val="0"/>
                <w:color w:val="auto"/>
                <w:kern w:val="0"/>
                <w:sz w:val="24"/>
                <w:szCs w:val="24"/>
              </w:rPr>
            </w:pPr>
            <w:r>
              <w:rPr>
                <w:rFonts w:hint="eastAsia" w:ascii="宋体" w:hAnsi="宋体" w:eastAsia="宋体" w:cs="宋体"/>
                <w:snapToGrid w:val="0"/>
                <w:color w:val="auto"/>
                <w:kern w:val="0"/>
                <w:sz w:val="24"/>
                <w:szCs w:val="24"/>
              </w:rPr>
              <w:t>1．需附在有效期内的资信评级证书（证明）</w:t>
            </w:r>
            <w:r>
              <w:rPr>
                <w:rFonts w:hint="eastAsia" w:ascii="宋体" w:hAnsi="宋体" w:eastAsia="宋体" w:cs="宋体"/>
                <w:snapToGrid w:val="0"/>
                <w:color w:val="auto"/>
                <w:kern w:val="0"/>
                <w:sz w:val="24"/>
                <w:szCs w:val="24"/>
                <w:lang w:val="en-US" w:eastAsia="zh-CN"/>
              </w:rPr>
              <w:t>扫描件</w:t>
            </w:r>
            <w:r>
              <w:rPr>
                <w:rFonts w:hint="eastAsia" w:ascii="宋体" w:hAnsi="宋体" w:eastAsia="宋体" w:cs="宋体"/>
                <w:snapToGrid w:val="0"/>
                <w:color w:val="auto"/>
                <w:kern w:val="0"/>
                <w:sz w:val="24"/>
                <w:szCs w:val="24"/>
              </w:rPr>
              <w:t>（或打印件）。</w:t>
            </w:r>
          </w:p>
          <w:p w14:paraId="2AE42D4F">
            <w:pPr>
              <w:pStyle w:val="11"/>
              <w:wordWrap w:val="0"/>
              <w:adjustRightInd w:val="0"/>
              <w:snapToGrid w:val="0"/>
              <w:spacing w:after="0" w:line="360" w:lineRule="auto"/>
              <w:rPr>
                <w:rFonts w:hint="eastAsia" w:ascii="宋体" w:hAnsi="宋体" w:eastAsia="宋体" w:cs="宋体"/>
                <w:snapToGrid w:val="0"/>
                <w:color w:val="auto"/>
                <w:kern w:val="0"/>
                <w:sz w:val="24"/>
                <w:szCs w:val="24"/>
              </w:rPr>
            </w:pPr>
            <w:r>
              <w:rPr>
                <w:rFonts w:hint="eastAsia" w:ascii="宋体" w:hAnsi="宋体" w:eastAsia="宋体" w:cs="宋体"/>
                <w:snapToGrid w:val="0"/>
                <w:color w:val="auto"/>
                <w:kern w:val="0"/>
                <w:sz w:val="24"/>
                <w:szCs w:val="24"/>
              </w:rPr>
              <w:t>2．评级证书（证明）须由</w:t>
            </w:r>
            <w:r>
              <w:rPr>
                <w:rFonts w:hint="eastAsia" w:ascii="宋体" w:hAnsi="宋体" w:eastAsia="宋体" w:cs="宋体"/>
                <w:snapToGrid w:val="0"/>
                <w:color w:val="auto"/>
                <w:kern w:val="0"/>
                <w:sz w:val="24"/>
                <w:szCs w:val="24"/>
                <w:u w:val="single"/>
                <w:lang w:val="en-US" w:eastAsia="zh-CN"/>
              </w:rPr>
              <w:t>银行或人民银行信用监督机构</w:t>
            </w:r>
            <w:r>
              <w:rPr>
                <w:rFonts w:hint="eastAsia" w:ascii="宋体" w:hAnsi="宋体" w:eastAsia="宋体" w:cs="宋体"/>
                <w:snapToGrid w:val="0"/>
                <w:color w:val="auto"/>
                <w:kern w:val="0"/>
                <w:sz w:val="24"/>
                <w:szCs w:val="24"/>
              </w:rPr>
              <w:t>出具。</w:t>
            </w:r>
          </w:p>
          <w:p w14:paraId="12E2828E">
            <w:pPr>
              <w:pStyle w:val="11"/>
              <w:wordWrap w:val="0"/>
              <w:adjustRightInd w:val="0"/>
              <w:snapToGrid w:val="0"/>
              <w:spacing w:after="0" w:line="360" w:lineRule="auto"/>
              <w:rPr>
                <w:rFonts w:hint="eastAsia" w:ascii="宋体" w:hAnsi="宋体" w:eastAsia="宋体" w:cs="宋体"/>
                <w:snapToGrid w:val="0"/>
                <w:color w:val="auto"/>
                <w:kern w:val="0"/>
                <w:sz w:val="24"/>
                <w:szCs w:val="24"/>
              </w:rPr>
            </w:pPr>
            <w:r>
              <w:rPr>
                <w:rFonts w:hint="eastAsia" w:ascii="宋体" w:hAnsi="宋体" w:eastAsia="宋体" w:cs="宋体"/>
                <w:snapToGrid w:val="0"/>
                <w:color w:val="auto"/>
                <w:kern w:val="0"/>
                <w:sz w:val="24"/>
                <w:szCs w:val="24"/>
              </w:rPr>
              <w:t>3．评级证书（证明）有以下情形之一的，视为无效：</w:t>
            </w:r>
          </w:p>
          <w:p w14:paraId="41607FC6">
            <w:pPr>
              <w:pStyle w:val="11"/>
              <w:wordWrap w:val="0"/>
              <w:adjustRightInd w:val="0"/>
              <w:snapToGrid w:val="0"/>
              <w:spacing w:after="0" w:line="360" w:lineRule="auto"/>
              <w:rPr>
                <w:rFonts w:hint="eastAsia" w:ascii="宋体" w:hAnsi="宋体" w:eastAsia="宋体" w:cs="宋体"/>
                <w:snapToGrid w:val="0"/>
                <w:color w:val="auto"/>
                <w:kern w:val="0"/>
                <w:sz w:val="24"/>
                <w:szCs w:val="24"/>
              </w:rPr>
            </w:pPr>
            <w:r>
              <w:rPr>
                <w:rFonts w:hint="eastAsia" w:ascii="宋体" w:hAnsi="宋体" w:eastAsia="宋体" w:cs="宋体"/>
                <w:snapToGrid w:val="0"/>
                <w:color w:val="auto"/>
                <w:kern w:val="0"/>
                <w:sz w:val="24"/>
                <w:szCs w:val="24"/>
                <w:lang w:val="en-US" w:eastAsia="zh-CN"/>
              </w:rPr>
              <w:t>①</w:t>
            </w:r>
            <w:r>
              <w:rPr>
                <w:rFonts w:hint="eastAsia" w:ascii="宋体" w:hAnsi="宋体" w:eastAsia="宋体" w:cs="宋体"/>
                <w:snapToGrid w:val="0"/>
                <w:color w:val="auto"/>
                <w:kern w:val="0"/>
                <w:sz w:val="24"/>
                <w:szCs w:val="24"/>
              </w:rPr>
              <w:t>评级证书（证明）不在有效期内的；</w:t>
            </w:r>
          </w:p>
          <w:p w14:paraId="40A4B839">
            <w:pPr>
              <w:pStyle w:val="11"/>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auto"/>
              <w:ind w:left="0" w:leftChars="0" w:right="0" w:rightChars="0" w:firstLine="0" w:firstLineChars="0"/>
              <w:jc w:val="both"/>
              <w:textAlignment w:val="auto"/>
              <w:outlineLvl w:val="9"/>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4"/>
                <w:szCs w:val="24"/>
                <w:lang w:val="en-US" w:eastAsia="zh-CN"/>
              </w:rPr>
              <w:t>②</w:t>
            </w:r>
            <w:r>
              <w:rPr>
                <w:rFonts w:hint="eastAsia" w:ascii="宋体" w:hAnsi="宋体" w:eastAsia="宋体" w:cs="宋体"/>
                <w:snapToGrid w:val="0"/>
                <w:color w:val="auto"/>
                <w:kern w:val="0"/>
                <w:sz w:val="24"/>
                <w:szCs w:val="24"/>
              </w:rPr>
              <w:t>出具机构不符合要求的。</w:t>
            </w:r>
          </w:p>
        </w:tc>
      </w:tr>
      <w:tr w14:paraId="23EEFD50">
        <w:tblPrEx>
          <w:tblCellMar>
            <w:top w:w="0" w:type="dxa"/>
            <w:left w:w="108" w:type="dxa"/>
            <w:bottom w:w="0" w:type="dxa"/>
            <w:right w:w="108" w:type="dxa"/>
          </w:tblCellMar>
        </w:tblPrEx>
        <w:trPr>
          <w:trHeight w:val="23" w:hRule="atLeast"/>
          <w:jc w:val="center"/>
        </w:trPr>
        <w:tc>
          <w:tcPr>
            <w:tcW w:w="1493" w:type="dxa"/>
            <w:tcBorders>
              <w:top w:val="single" w:color="auto" w:sz="4" w:space="0"/>
              <w:left w:val="single" w:color="auto" w:sz="4" w:space="0"/>
              <w:bottom w:val="single" w:color="auto" w:sz="4" w:space="0"/>
              <w:right w:val="single" w:color="auto" w:sz="4" w:space="0"/>
            </w:tcBorders>
            <w:noWrap w:val="0"/>
            <w:vAlign w:val="center"/>
          </w:tcPr>
          <w:p w14:paraId="5F0C76E1">
            <w:pPr>
              <w:pStyle w:val="11"/>
              <w:keepNext w:val="0"/>
              <w:keepLines w:val="0"/>
              <w:pageBreakBefore w:val="0"/>
              <w:widowControl/>
              <w:kinsoku/>
              <w:wordWrap w:val="0"/>
              <w:overflowPunct/>
              <w:topLinePunct w:val="0"/>
              <w:autoSpaceDE/>
              <w:autoSpaceDN/>
              <w:bidi w:val="0"/>
              <w:adjustRightInd w:val="0"/>
              <w:snapToGrid w:val="0"/>
              <w:spacing w:after="0" w:line="360" w:lineRule="auto"/>
              <w:jc w:val="center"/>
              <w:rPr>
                <w:rFonts w:hint="eastAsia" w:ascii="宋体" w:hAnsi="宋体" w:eastAsia="宋体" w:cs="宋体"/>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企业获得认证证书</w:t>
            </w:r>
          </w:p>
          <w:p w14:paraId="75E40B1F">
            <w:pPr>
              <w:pStyle w:val="11"/>
              <w:keepNext w:val="0"/>
              <w:keepLines w:val="0"/>
              <w:pageBreakBefore w:val="0"/>
              <w:widowControl/>
              <w:kinsoku/>
              <w:wordWrap w:val="0"/>
              <w:overflowPunct/>
              <w:topLinePunct w:val="0"/>
              <w:autoSpaceDE/>
              <w:autoSpaceDN/>
              <w:bidi w:val="0"/>
              <w:adjustRightInd w:val="0"/>
              <w:snapToGrid w:val="0"/>
              <w:spacing w:after="0"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4"/>
                <w:szCs w:val="24"/>
                <w:highlight w:val="none"/>
                <w:lang w:bidi="ar"/>
              </w:rPr>
              <w:t>（</w:t>
            </w:r>
            <w:r>
              <w:rPr>
                <w:rFonts w:hint="eastAsia" w:ascii="宋体" w:hAnsi="宋体" w:eastAsia="宋体" w:cs="宋体"/>
                <w:snapToGrid w:val="0"/>
                <w:color w:val="auto"/>
                <w:kern w:val="0"/>
                <w:sz w:val="24"/>
                <w:szCs w:val="24"/>
                <w:highlight w:val="none"/>
                <w:lang w:val="en-US" w:eastAsia="zh-CN" w:bidi="ar"/>
              </w:rPr>
              <w:t>15</w:t>
            </w:r>
            <w:r>
              <w:rPr>
                <w:rFonts w:hint="eastAsia" w:ascii="宋体" w:hAnsi="宋体" w:eastAsia="宋体" w:cs="宋体"/>
                <w:snapToGrid w:val="0"/>
                <w:color w:val="auto"/>
                <w:kern w:val="0"/>
                <w:sz w:val="24"/>
                <w:szCs w:val="24"/>
                <w:highlight w:val="none"/>
                <w:lang w:bidi="ar"/>
              </w:rPr>
              <w:t>分）</w:t>
            </w:r>
          </w:p>
        </w:tc>
        <w:tc>
          <w:tcPr>
            <w:tcW w:w="4617" w:type="dxa"/>
            <w:gridSpan w:val="2"/>
            <w:tcBorders>
              <w:top w:val="single" w:color="auto" w:sz="4" w:space="0"/>
              <w:left w:val="single" w:color="auto" w:sz="4" w:space="0"/>
              <w:bottom w:val="single" w:color="auto" w:sz="4" w:space="0"/>
              <w:right w:val="single" w:color="auto" w:sz="4" w:space="0"/>
            </w:tcBorders>
            <w:noWrap w:val="0"/>
            <w:vAlign w:val="top"/>
          </w:tcPr>
          <w:p w14:paraId="7F1D8160">
            <w:pPr>
              <w:spacing w:line="360" w:lineRule="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投标人在招标公告发布前具有下列有效的认证证书</w:t>
            </w:r>
            <w:r>
              <w:rPr>
                <w:rFonts w:hint="eastAsia" w:ascii="宋体" w:hAnsi="宋体" w:eastAsia="宋体" w:cs="宋体"/>
                <w:color w:val="auto"/>
                <w:sz w:val="24"/>
                <w:szCs w:val="24"/>
                <w:lang w:eastAsia="zh-CN"/>
              </w:rPr>
              <w:t>：</w:t>
            </w:r>
          </w:p>
          <w:p w14:paraId="74E338D8">
            <w:pPr>
              <w:spacing w:line="360" w:lineRule="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①</w:t>
            </w:r>
            <w:r>
              <w:rPr>
                <w:rFonts w:hint="eastAsia" w:ascii="宋体" w:hAnsi="宋体" w:eastAsia="宋体" w:cs="宋体"/>
                <w:color w:val="auto"/>
                <w:sz w:val="24"/>
                <w:szCs w:val="24"/>
              </w:rPr>
              <w:t>质量管理体系认证证书</w:t>
            </w:r>
            <w:r>
              <w:rPr>
                <w:rFonts w:hint="eastAsia" w:ascii="宋体" w:hAnsi="宋体" w:eastAsia="宋体" w:cs="宋体"/>
                <w:color w:val="auto"/>
                <w:sz w:val="24"/>
                <w:szCs w:val="24"/>
                <w:lang w:eastAsia="zh-CN"/>
              </w:rPr>
              <w:t>；</w:t>
            </w:r>
          </w:p>
          <w:p w14:paraId="7D632157">
            <w:pPr>
              <w:spacing w:line="360" w:lineRule="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②</w:t>
            </w:r>
            <w:r>
              <w:rPr>
                <w:rFonts w:hint="eastAsia" w:ascii="宋体" w:hAnsi="宋体" w:eastAsia="宋体" w:cs="宋体"/>
                <w:color w:val="auto"/>
                <w:sz w:val="24"/>
                <w:szCs w:val="24"/>
              </w:rPr>
              <w:t>职业健康安全管理体系认证证书</w:t>
            </w:r>
            <w:r>
              <w:rPr>
                <w:rFonts w:hint="eastAsia" w:ascii="宋体" w:hAnsi="宋体" w:eastAsia="宋体" w:cs="宋体"/>
                <w:color w:val="auto"/>
                <w:sz w:val="24"/>
                <w:szCs w:val="24"/>
                <w:lang w:eastAsia="zh-CN"/>
              </w:rPr>
              <w:t>；</w:t>
            </w:r>
          </w:p>
          <w:p w14:paraId="6DDD37AF">
            <w:pPr>
              <w:spacing w:line="360" w:lineRule="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③</w:t>
            </w:r>
            <w:r>
              <w:rPr>
                <w:rFonts w:hint="eastAsia" w:ascii="宋体" w:hAnsi="宋体" w:eastAsia="宋体" w:cs="宋体"/>
                <w:color w:val="auto"/>
                <w:sz w:val="24"/>
                <w:szCs w:val="24"/>
              </w:rPr>
              <w:t>环境管理体系认证证书</w:t>
            </w:r>
            <w:r>
              <w:rPr>
                <w:rFonts w:hint="eastAsia" w:ascii="宋体" w:hAnsi="宋体" w:eastAsia="宋体" w:cs="宋体"/>
                <w:color w:val="auto"/>
                <w:sz w:val="24"/>
                <w:szCs w:val="24"/>
                <w:lang w:eastAsia="zh-CN"/>
              </w:rPr>
              <w:t>；</w:t>
            </w:r>
          </w:p>
          <w:p w14:paraId="76C06FE8">
            <w:pPr>
              <w:spacing w:line="360" w:lineRule="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④</w:t>
            </w:r>
            <w:r>
              <w:rPr>
                <w:rFonts w:hint="eastAsia" w:ascii="宋体" w:hAnsi="宋体" w:eastAsia="宋体" w:cs="宋体"/>
                <w:color w:val="auto"/>
                <w:sz w:val="24"/>
                <w:szCs w:val="24"/>
              </w:rPr>
              <w:t>市政工程施工安全规范体系认证证书</w:t>
            </w:r>
            <w:r>
              <w:rPr>
                <w:rFonts w:hint="eastAsia" w:ascii="宋体" w:hAnsi="宋体" w:eastAsia="宋体" w:cs="宋体"/>
                <w:color w:val="auto"/>
                <w:sz w:val="24"/>
                <w:szCs w:val="24"/>
                <w:lang w:eastAsia="zh-CN"/>
              </w:rPr>
              <w:t>；</w:t>
            </w:r>
          </w:p>
          <w:p w14:paraId="054F8EDA">
            <w:pPr>
              <w:spacing w:line="360" w:lineRule="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⑤工程项目管理规范</w:t>
            </w:r>
            <w:r>
              <w:rPr>
                <w:rFonts w:hint="eastAsia" w:ascii="宋体" w:hAnsi="宋体" w:eastAsia="宋体" w:cs="宋体"/>
                <w:color w:val="auto"/>
                <w:sz w:val="24"/>
                <w:szCs w:val="24"/>
              </w:rPr>
              <w:t>认证证书</w:t>
            </w:r>
            <w:r>
              <w:rPr>
                <w:rFonts w:hint="eastAsia" w:ascii="宋体" w:hAnsi="宋体" w:eastAsia="宋体" w:cs="宋体"/>
                <w:color w:val="auto"/>
                <w:sz w:val="24"/>
                <w:szCs w:val="24"/>
                <w:lang w:eastAsia="zh-CN"/>
              </w:rPr>
              <w:t>；</w:t>
            </w:r>
          </w:p>
          <w:p w14:paraId="20C4FED4">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⑥服务质量评价体系</w:t>
            </w:r>
            <w:r>
              <w:rPr>
                <w:rFonts w:hint="eastAsia" w:ascii="宋体" w:hAnsi="宋体" w:eastAsia="宋体" w:cs="宋体"/>
                <w:color w:val="auto"/>
                <w:sz w:val="24"/>
                <w:szCs w:val="24"/>
              </w:rPr>
              <w:t>认证</w:t>
            </w:r>
            <w:r>
              <w:rPr>
                <w:rFonts w:hint="eastAsia" w:ascii="宋体" w:hAnsi="宋体" w:eastAsia="宋体" w:cs="宋体"/>
                <w:color w:val="auto"/>
                <w:sz w:val="24"/>
                <w:szCs w:val="24"/>
                <w:lang w:val="en-US" w:eastAsia="zh-CN"/>
              </w:rPr>
              <w:t>证书</w:t>
            </w:r>
            <w:r>
              <w:rPr>
                <w:rFonts w:hint="eastAsia" w:ascii="宋体" w:hAnsi="宋体" w:eastAsia="宋体" w:cs="宋体"/>
                <w:color w:val="auto"/>
                <w:sz w:val="24"/>
                <w:szCs w:val="24"/>
                <w:lang w:eastAsia="zh-CN"/>
              </w:rPr>
              <w:t>；</w:t>
            </w:r>
          </w:p>
          <w:p w14:paraId="1FAD729F">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获得</w:t>
            </w:r>
            <w:r>
              <w:rPr>
                <w:rFonts w:hint="eastAsia" w:ascii="宋体" w:hAnsi="宋体" w:eastAsia="宋体" w:cs="宋体"/>
                <w:color w:val="auto"/>
                <w:sz w:val="24"/>
                <w:szCs w:val="24"/>
                <w:lang w:val="en-US" w:eastAsia="zh-CN"/>
              </w:rPr>
              <w:t>其中6个</w:t>
            </w:r>
            <w:r>
              <w:rPr>
                <w:rFonts w:hint="eastAsia" w:ascii="宋体" w:hAnsi="宋体" w:eastAsia="宋体" w:cs="宋体"/>
                <w:color w:val="auto"/>
                <w:sz w:val="24"/>
                <w:szCs w:val="24"/>
              </w:rPr>
              <w:t>认证证书的得</w:t>
            </w:r>
            <w:r>
              <w:rPr>
                <w:rFonts w:hint="eastAsia" w:ascii="宋体" w:hAnsi="宋体" w:eastAsia="宋体" w:cs="宋体"/>
                <w:color w:val="auto"/>
                <w:sz w:val="24"/>
                <w:szCs w:val="24"/>
                <w:lang w:val="en-US" w:eastAsia="zh-CN"/>
              </w:rPr>
              <w:t>15</w:t>
            </w:r>
            <w:r>
              <w:rPr>
                <w:rFonts w:hint="eastAsia" w:ascii="宋体" w:hAnsi="宋体" w:eastAsia="宋体" w:cs="宋体"/>
                <w:color w:val="auto"/>
                <w:sz w:val="24"/>
                <w:szCs w:val="24"/>
              </w:rPr>
              <w:t xml:space="preserve">分； </w:t>
            </w:r>
          </w:p>
          <w:p w14:paraId="210C8A1A">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获得</w:t>
            </w:r>
            <w:r>
              <w:rPr>
                <w:rFonts w:hint="eastAsia" w:ascii="宋体" w:hAnsi="宋体" w:eastAsia="宋体" w:cs="宋体"/>
                <w:color w:val="auto"/>
                <w:sz w:val="24"/>
                <w:szCs w:val="24"/>
                <w:lang w:val="en-US" w:eastAsia="zh-CN"/>
              </w:rPr>
              <w:t>其中5个</w:t>
            </w:r>
            <w:r>
              <w:rPr>
                <w:rFonts w:hint="eastAsia" w:ascii="宋体" w:hAnsi="宋体" w:eastAsia="宋体" w:cs="宋体"/>
                <w:color w:val="auto"/>
                <w:sz w:val="24"/>
                <w:szCs w:val="24"/>
              </w:rPr>
              <w:t>认证证书的得</w:t>
            </w:r>
            <w:r>
              <w:rPr>
                <w:rFonts w:hint="eastAsia" w:ascii="宋体" w:hAnsi="宋体" w:eastAsia="宋体" w:cs="宋体"/>
                <w:color w:val="auto"/>
                <w:sz w:val="24"/>
                <w:szCs w:val="24"/>
                <w:lang w:val="en-US" w:eastAsia="zh-CN"/>
              </w:rPr>
              <w:t>10</w:t>
            </w:r>
            <w:r>
              <w:rPr>
                <w:rFonts w:hint="eastAsia" w:ascii="宋体" w:hAnsi="宋体" w:eastAsia="宋体" w:cs="宋体"/>
                <w:color w:val="auto"/>
                <w:sz w:val="24"/>
                <w:szCs w:val="24"/>
              </w:rPr>
              <w:t>分；</w:t>
            </w:r>
          </w:p>
          <w:p w14:paraId="7C4F5C45">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3</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获得其中4个认证证书的得8分</w:t>
            </w:r>
            <w:r>
              <w:rPr>
                <w:rFonts w:hint="eastAsia" w:ascii="宋体" w:hAnsi="宋体" w:eastAsia="宋体" w:cs="宋体"/>
                <w:color w:val="auto"/>
                <w:sz w:val="24"/>
                <w:szCs w:val="24"/>
              </w:rPr>
              <w:t>；</w:t>
            </w:r>
          </w:p>
          <w:p w14:paraId="3947398E">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4</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获得其中3个认证证书的得5分；</w:t>
            </w:r>
          </w:p>
          <w:p w14:paraId="133252E7">
            <w:pPr>
              <w:spacing w:line="360" w:lineRule="auto"/>
              <w:rPr>
                <w:rFonts w:hint="eastAsia" w:ascii="宋体" w:hAnsi="宋体" w:eastAsia="宋体" w:cs="宋体"/>
                <w:b w:val="0"/>
                <w:bCs w:val="0"/>
                <w:caps w:val="0"/>
                <w:smallCaps w:val="0"/>
                <w:snapToGrid w:val="0"/>
                <w:color w:val="auto"/>
                <w:spacing w:val="0"/>
                <w:kern w:val="0"/>
                <w:sz w:val="22"/>
                <w:szCs w:val="22"/>
                <w:highlight w:val="none"/>
                <w:lang w:val="en-US" w:eastAsia="zh-CN"/>
              </w:rPr>
            </w:pPr>
            <w:r>
              <w:rPr>
                <w:rFonts w:hint="eastAsia" w:ascii="宋体" w:hAnsi="宋体" w:eastAsia="宋体" w:cs="宋体"/>
                <w:color w:val="auto"/>
                <w:sz w:val="24"/>
                <w:szCs w:val="24"/>
                <w:lang w:val="en-US" w:eastAsia="zh-CN"/>
              </w:rPr>
              <w:t>5.</w:t>
            </w:r>
            <w:r>
              <w:rPr>
                <w:rFonts w:hint="eastAsia" w:ascii="宋体" w:hAnsi="宋体" w:eastAsia="宋体" w:cs="宋体"/>
                <w:snapToGrid w:val="0"/>
                <w:color w:val="auto"/>
                <w:kern w:val="0"/>
                <w:sz w:val="24"/>
                <w:szCs w:val="24"/>
              </w:rPr>
              <w:t>其他情形的，</w:t>
            </w:r>
            <w:r>
              <w:rPr>
                <w:rFonts w:hint="eastAsia" w:ascii="宋体" w:hAnsi="宋体" w:eastAsia="宋体" w:cs="宋体"/>
                <w:color w:val="auto"/>
                <w:sz w:val="24"/>
                <w:szCs w:val="24"/>
              </w:rPr>
              <w:t>不予计分。</w:t>
            </w:r>
          </w:p>
        </w:tc>
        <w:tc>
          <w:tcPr>
            <w:tcW w:w="4743" w:type="dxa"/>
            <w:tcBorders>
              <w:top w:val="single" w:color="auto" w:sz="4" w:space="0"/>
              <w:left w:val="single" w:color="auto" w:sz="4" w:space="0"/>
              <w:bottom w:val="single" w:color="auto" w:sz="4" w:space="0"/>
              <w:right w:val="single" w:color="auto" w:sz="4" w:space="0"/>
            </w:tcBorders>
            <w:noWrap w:val="0"/>
            <w:vAlign w:val="center"/>
          </w:tcPr>
          <w:p w14:paraId="66A596BD">
            <w:pPr>
              <w:spacing w:line="360" w:lineRule="auto"/>
              <w:rPr>
                <w:rFonts w:hint="eastAsia" w:ascii="宋体" w:hAnsi="宋体" w:eastAsia="宋体" w:cs="宋体"/>
                <w:color w:val="auto"/>
                <w:sz w:val="24"/>
                <w:szCs w:val="24"/>
                <w:lang w:val="en-US"/>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需附在有效期内的体系认证证书扫描件</w:t>
            </w:r>
            <w:r>
              <w:rPr>
                <w:rFonts w:hint="eastAsia" w:ascii="宋体" w:hAnsi="宋体" w:eastAsia="宋体" w:cs="宋体"/>
                <w:color w:val="auto"/>
                <w:sz w:val="24"/>
                <w:szCs w:val="24"/>
                <w:lang w:val="en-US" w:eastAsia="zh-CN"/>
              </w:rPr>
              <w:t>，且证书有效性在国家认证认可监督管理委员会官网（http://www.cnca.gov.cn/)可查，并提供网页截图，未提供不得分。</w:t>
            </w:r>
          </w:p>
          <w:p w14:paraId="4E3152EF">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2.证书④</w:t>
            </w:r>
            <w:r>
              <w:rPr>
                <w:rFonts w:hint="eastAsia" w:ascii="宋体" w:hAnsi="宋体" w:eastAsia="宋体" w:cs="宋体"/>
                <w:color w:val="auto"/>
                <w:sz w:val="24"/>
                <w:szCs w:val="24"/>
              </w:rPr>
              <w:t>达到CJJ/T275-2018、CCCH1001-2020</w:t>
            </w:r>
            <w:r>
              <w:rPr>
                <w:rFonts w:hint="eastAsia" w:ascii="宋体" w:hAnsi="宋体" w:eastAsia="宋体" w:cs="宋体"/>
                <w:color w:val="auto"/>
                <w:sz w:val="24"/>
                <w:szCs w:val="24"/>
                <w:lang w:val="en-US" w:eastAsia="zh-CN"/>
              </w:rPr>
              <w:t>的标准要求，不符合不得分。</w:t>
            </w:r>
          </w:p>
          <w:p w14:paraId="16B73C40">
            <w:pPr>
              <w:spacing w:line="360" w:lineRule="auto"/>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3.证书⑤</w:t>
            </w:r>
            <w:r>
              <w:rPr>
                <w:rFonts w:hint="eastAsia" w:ascii="宋体" w:hAnsi="宋体" w:eastAsia="宋体" w:cs="宋体"/>
                <w:color w:val="auto"/>
                <w:sz w:val="24"/>
                <w:szCs w:val="24"/>
              </w:rPr>
              <w:t>达到GB/T</w:t>
            </w:r>
            <w:r>
              <w:rPr>
                <w:rFonts w:hint="eastAsia" w:ascii="宋体" w:hAnsi="宋体" w:eastAsia="宋体" w:cs="宋体"/>
                <w:color w:val="auto"/>
                <w:sz w:val="24"/>
                <w:szCs w:val="24"/>
                <w:lang w:val="en-US" w:eastAsia="zh-CN"/>
              </w:rPr>
              <w:t>50326</w:t>
            </w:r>
            <w:r>
              <w:rPr>
                <w:rFonts w:hint="eastAsia" w:ascii="宋体" w:hAnsi="宋体" w:eastAsia="宋体" w:cs="宋体"/>
                <w:color w:val="auto"/>
                <w:sz w:val="24"/>
                <w:szCs w:val="24"/>
              </w:rPr>
              <w:t>-201</w:t>
            </w: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、C</w:t>
            </w:r>
            <w:r>
              <w:rPr>
                <w:rFonts w:hint="eastAsia" w:ascii="宋体" w:hAnsi="宋体" w:eastAsia="宋体" w:cs="宋体"/>
                <w:color w:val="auto"/>
                <w:sz w:val="24"/>
                <w:szCs w:val="24"/>
                <w:lang w:val="en-US" w:eastAsia="zh-CN"/>
              </w:rPr>
              <w:t>RCESS1001</w:t>
            </w:r>
            <w:r>
              <w:rPr>
                <w:rFonts w:hint="eastAsia" w:ascii="宋体" w:hAnsi="宋体" w:eastAsia="宋体" w:cs="宋体"/>
                <w:color w:val="auto"/>
                <w:sz w:val="24"/>
                <w:szCs w:val="24"/>
              </w:rPr>
              <w:t>-20</w:t>
            </w:r>
            <w:r>
              <w:rPr>
                <w:rFonts w:hint="eastAsia" w:ascii="宋体" w:hAnsi="宋体" w:eastAsia="宋体" w:cs="宋体"/>
                <w:color w:val="auto"/>
                <w:sz w:val="24"/>
                <w:szCs w:val="24"/>
                <w:lang w:val="en-US" w:eastAsia="zh-CN"/>
              </w:rPr>
              <w:t>21的标准要求，不符合不得分。</w:t>
            </w:r>
          </w:p>
          <w:p w14:paraId="748E67BC">
            <w:pPr>
              <w:spacing w:line="360" w:lineRule="auto"/>
              <w:jc w:val="left"/>
              <w:rPr>
                <w:rFonts w:hint="eastAsia" w:ascii="宋体" w:hAnsi="宋体" w:eastAsia="宋体" w:cs="宋体"/>
                <w:snapToGrid w:val="0"/>
                <w:color w:val="auto"/>
                <w:kern w:val="0"/>
                <w:sz w:val="22"/>
                <w:szCs w:val="22"/>
                <w:highlight w:val="none"/>
              </w:rPr>
            </w:pPr>
            <w:r>
              <w:rPr>
                <w:rFonts w:hint="eastAsia" w:ascii="宋体" w:hAnsi="宋体" w:eastAsia="宋体" w:cs="宋体"/>
                <w:color w:val="auto"/>
                <w:sz w:val="24"/>
                <w:szCs w:val="24"/>
                <w:lang w:val="en-US" w:eastAsia="zh-CN"/>
              </w:rPr>
              <w:t>4.证书⑥达到</w:t>
            </w:r>
            <w:r>
              <w:rPr>
                <w:rFonts w:hint="eastAsia" w:ascii="宋体" w:hAnsi="宋体" w:eastAsia="宋体" w:cs="宋体"/>
                <w:color w:val="auto"/>
                <w:sz w:val="24"/>
                <w:szCs w:val="24"/>
              </w:rPr>
              <w:t>GB/T</w:t>
            </w:r>
            <w:r>
              <w:rPr>
                <w:rFonts w:hint="eastAsia" w:ascii="宋体" w:hAnsi="宋体" w:eastAsia="宋体" w:cs="宋体"/>
                <w:color w:val="auto"/>
                <w:sz w:val="24"/>
                <w:szCs w:val="24"/>
                <w:lang w:val="en-US" w:eastAsia="zh-CN"/>
              </w:rPr>
              <w:t>36733</w:t>
            </w:r>
            <w:r>
              <w:rPr>
                <w:rFonts w:hint="eastAsia" w:ascii="宋体" w:hAnsi="宋体" w:eastAsia="宋体" w:cs="宋体"/>
                <w:color w:val="auto"/>
                <w:sz w:val="24"/>
                <w:szCs w:val="24"/>
              </w:rPr>
              <w:t>-201</w:t>
            </w:r>
            <w:r>
              <w:rPr>
                <w:rFonts w:hint="eastAsia" w:ascii="宋体" w:hAnsi="宋体" w:eastAsia="宋体" w:cs="宋体"/>
                <w:color w:val="auto"/>
                <w:sz w:val="24"/>
                <w:szCs w:val="24"/>
                <w:lang w:val="en-US" w:eastAsia="zh-CN"/>
              </w:rPr>
              <w:t>8</w:t>
            </w:r>
            <w:r>
              <w:rPr>
                <w:rFonts w:hint="eastAsia" w:ascii="宋体" w:hAnsi="宋体" w:eastAsia="宋体" w:cs="宋体"/>
                <w:color w:val="auto"/>
                <w:sz w:val="24"/>
                <w:szCs w:val="24"/>
              </w:rPr>
              <w:t>、GB/T</w:t>
            </w:r>
            <w:r>
              <w:rPr>
                <w:rFonts w:hint="eastAsia" w:ascii="宋体" w:hAnsi="宋体" w:eastAsia="宋体" w:cs="宋体"/>
                <w:color w:val="auto"/>
                <w:sz w:val="24"/>
                <w:szCs w:val="24"/>
                <w:lang w:val="en-US" w:eastAsia="zh-CN"/>
              </w:rPr>
              <w:t>19039</w:t>
            </w:r>
            <w:r>
              <w:rPr>
                <w:rFonts w:hint="eastAsia" w:ascii="宋体" w:hAnsi="宋体" w:eastAsia="宋体" w:cs="宋体"/>
                <w:color w:val="auto"/>
                <w:sz w:val="24"/>
                <w:szCs w:val="24"/>
              </w:rPr>
              <w:t>-20</w:t>
            </w:r>
            <w:r>
              <w:rPr>
                <w:rFonts w:hint="eastAsia" w:ascii="宋体" w:hAnsi="宋体" w:eastAsia="宋体" w:cs="宋体"/>
                <w:color w:val="auto"/>
                <w:sz w:val="24"/>
                <w:szCs w:val="24"/>
                <w:lang w:val="en-US" w:eastAsia="zh-CN"/>
              </w:rPr>
              <w:t>09、CTSSES1001-2019的标准要求，不符合不得分。</w:t>
            </w:r>
          </w:p>
        </w:tc>
      </w:tr>
      <w:tr w14:paraId="1876F594">
        <w:tblPrEx>
          <w:tblCellMar>
            <w:top w:w="0" w:type="dxa"/>
            <w:left w:w="108" w:type="dxa"/>
            <w:bottom w:w="0" w:type="dxa"/>
            <w:right w:w="108" w:type="dxa"/>
          </w:tblCellMar>
        </w:tblPrEx>
        <w:trPr>
          <w:trHeight w:val="23" w:hRule="atLeast"/>
          <w:jc w:val="center"/>
        </w:trPr>
        <w:tc>
          <w:tcPr>
            <w:tcW w:w="1493" w:type="dxa"/>
            <w:tcBorders>
              <w:top w:val="single" w:color="auto" w:sz="4" w:space="0"/>
              <w:left w:val="single" w:color="auto" w:sz="4" w:space="0"/>
              <w:bottom w:val="single" w:color="auto" w:sz="4" w:space="0"/>
              <w:right w:val="single" w:color="auto" w:sz="4" w:space="0"/>
            </w:tcBorders>
            <w:noWrap w:val="0"/>
            <w:vAlign w:val="center"/>
          </w:tcPr>
          <w:p w14:paraId="51FED876">
            <w:pPr>
              <w:pStyle w:val="11"/>
              <w:keepNext w:val="0"/>
              <w:keepLines w:val="0"/>
              <w:pageBreakBefore w:val="0"/>
              <w:widowControl/>
              <w:kinsoku/>
              <w:wordWrap w:val="0"/>
              <w:overflowPunct/>
              <w:topLinePunct w:val="0"/>
              <w:autoSpaceDE/>
              <w:autoSpaceDN/>
              <w:bidi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企业财务状况</w:t>
            </w:r>
          </w:p>
          <w:p w14:paraId="6434A334">
            <w:pPr>
              <w:pStyle w:val="11"/>
              <w:keepNext w:val="0"/>
              <w:keepLines w:val="0"/>
              <w:pageBreakBefore w:val="0"/>
              <w:widowControl/>
              <w:kinsoku/>
              <w:wordWrap w:val="0"/>
              <w:overflowPunct/>
              <w:topLinePunct w:val="0"/>
              <w:autoSpaceDE/>
              <w:autoSpaceDN/>
              <w:bidi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4"/>
                <w:szCs w:val="24"/>
                <w:highlight w:val="none"/>
              </w:rPr>
              <w:t>（9分）</w:t>
            </w:r>
          </w:p>
        </w:tc>
        <w:tc>
          <w:tcPr>
            <w:tcW w:w="4617" w:type="dxa"/>
            <w:gridSpan w:val="2"/>
            <w:tcBorders>
              <w:top w:val="single" w:color="auto" w:sz="4" w:space="0"/>
              <w:left w:val="single" w:color="auto" w:sz="4" w:space="0"/>
              <w:bottom w:val="single" w:color="auto" w:sz="4" w:space="0"/>
              <w:right w:val="single" w:color="auto" w:sz="4" w:space="0"/>
            </w:tcBorders>
            <w:noWrap w:val="0"/>
            <w:vAlign w:val="center"/>
          </w:tcPr>
          <w:p w14:paraId="41F571AF">
            <w:pPr>
              <w:pStyle w:val="58"/>
              <w:wordWrap w:val="0"/>
              <w:adjustRightInd w:val="0"/>
              <w:snapToGrid w:val="0"/>
              <w:spacing w:line="360" w:lineRule="auto"/>
              <w:jc w:val="left"/>
              <w:rPr>
                <w:rFonts w:hint="eastAsia" w:ascii="宋体" w:hAnsi="宋体" w:eastAsia="宋体" w:cs="宋体"/>
                <w:color w:val="auto"/>
                <w:sz w:val="22"/>
                <w:szCs w:val="22"/>
              </w:rPr>
            </w:pPr>
            <w:r>
              <w:rPr>
                <w:rFonts w:hint="eastAsia" w:ascii="宋体" w:hAnsi="宋体" w:eastAsia="宋体" w:cs="宋体"/>
                <w:snapToGrid w:val="0"/>
                <w:color w:val="auto"/>
                <w:kern w:val="0"/>
                <w:sz w:val="24"/>
                <w:szCs w:val="24"/>
              </w:rPr>
              <w:t>提供投标人基本账户在本项目招标公告发布之日起至投标截止时间期间出现过至少连续3日不少于</w:t>
            </w:r>
            <w:r>
              <w:rPr>
                <w:rFonts w:hint="eastAsia" w:ascii="宋体" w:hAnsi="宋体" w:eastAsia="宋体" w:cs="宋体"/>
                <w:snapToGrid w:val="0"/>
                <w:color w:val="auto"/>
                <w:kern w:val="0"/>
                <w:sz w:val="24"/>
                <w:szCs w:val="24"/>
                <w:u w:val="single"/>
                <w:lang w:val="en-US" w:eastAsia="zh-CN"/>
              </w:rPr>
              <w:t>150</w:t>
            </w:r>
            <w:r>
              <w:rPr>
                <w:rFonts w:hint="eastAsia" w:ascii="宋体" w:hAnsi="宋体" w:eastAsia="宋体" w:cs="宋体"/>
                <w:snapToGrid w:val="0"/>
                <w:color w:val="auto"/>
                <w:kern w:val="0"/>
                <w:sz w:val="24"/>
                <w:szCs w:val="24"/>
              </w:rPr>
              <w:t>万元存款余额资金流水证明的，得</w:t>
            </w:r>
            <w:r>
              <w:rPr>
                <w:rFonts w:hint="eastAsia" w:ascii="宋体" w:hAnsi="宋体" w:eastAsia="宋体" w:cs="宋体"/>
                <w:snapToGrid w:val="0"/>
                <w:color w:val="auto"/>
                <w:kern w:val="0"/>
                <w:sz w:val="24"/>
                <w:szCs w:val="24"/>
                <w:lang w:val="en-US" w:eastAsia="zh-CN" w:bidi="ar-SA"/>
              </w:rPr>
              <w:t>9分。</w:t>
            </w:r>
          </w:p>
        </w:tc>
        <w:tc>
          <w:tcPr>
            <w:tcW w:w="4743" w:type="dxa"/>
            <w:tcBorders>
              <w:top w:val="single" w:color="auto" w:sz="4" w:space="0"/>
              <w:left w:val="single" w:color="auto" w:sz="4" w:space="0"/>
              <w:bottom w:val="single" w:color="auto" w:sz="4" w:space="0"/>
              <w:right w:val="single" w:color="auto" w:sz="4" w:space="0"/>
            </w:tcBorders>
            <w:noWrap w:val="0"/>
            <w:vAlign w:val="center"/>
          </w:tcPr>
          <w:p w14:paraId="77955006">
            <w:pPr>
              <w:pStyle w:val="11"/>
              <w:keepNext w:val="0"/>
              <w:keepLines w:val="0"/>
              <w:pageBreakBefore w:val="0"/>
              <w:kinsoku/>
              <w:wordWrap w:val="0"/>
              <w:overflowPunct/>
              <w:topLinePunct w:val="0"/>
              <w:autoSpaceDE/>
              <w:autoSpaceDN/>
              <w:bidi w:val="0"/>
              <w:adjustRightInd w:val="0"/>
              <w:snapToGrid w:val="0"/>
              <w:spacing w:after="0" w:line="360" w:lineRule="auto"/>
              <w:textAlignment w:val="auto"/>
              <w:rPr>
                <w:rFonts w:hint="eastAsia" w:ascii="宋体" w:hAnsi="宋体" w:eastAsia="宋体" w:cs="宋体"/>
                <w:snapToGrid w:val="0"/>
                <w:color w:val="auto"/>
                <w:kern w:val="0"/>
                <w:sz w:val="24"/>
                <w:szCs w:val="24"/>
              </w:rPr>
            </w:pPr>
            <w:r>
              <w:rPr>
                <w:rFonts w:hint="eastAsia" w:ascii="宋体" w:hAnsi="宋体" w:eastAsia="宋体" w:cs="宋体"/>
                <w:snapToGrid w:val="0"/>
                <w:color w:val="auto"/>
                <w:kern w:val="0"/>
                <w:sz w:val="24"/>
                <w:szCs w:val="24"/>
              </w:rPr>
              <w:t>1．需附在有效期内的有关证明</w:t>
            </w:r>
            <w:r>
              <w:rPr>
                <w:rFonts w:hint="eastAsia" w:ascii="宋体" w:hAnsi="宋体" w:eastAsia="宋体" w:cs="宋体"/>
                <w:snapToGrid w:val="0"/>
                <w:color w:val="auto"/>
                <w:kern w:val="0"/>
                <w:sz w:val="24"/>
                <w:szCs w:val="24"/>
                <w:lang w:val="en-US" w:eastAsia="zh-CN"/>
              </w:rPr>
              <w:t>扫描件</w:t>
            </w:r>
            <w:r>
              <w:rPr>
                <w:rFonts w:hint="eastAsia" w:ascii="宋体" w:hAnsi="宋体" w:eastAsia="宋体" w:cs="宋体"/>
                <w:snapToGrid w:val="0"/>
                <w:color w:val="auto"/>
                <w:kern w:val="0"/>
                <w:sz w:val="24"/>
                <w:szCs w:val="24"/>
              </w:rPr>
              <w:t>（或打印件）</w:t>
            </w:r>
            <w:r>
              <w:rPr>
                <w:rFonts w:hint="eastAsia" w:ascii="宋体" w:hAnsi="宋体" w:eastAsia="宋体" w:cs="宋体"/>
                <w:snapToGrid w:val="0"/>
                <w:color w:val="auto"/>
                <w:kern w:val="0"/>
                <w:sz w:val="24"/>
                <w:szCs w:val="24"/>
                <w:lang w:eastAsia="zh-CN"/>
              </w:rPr>
              <w:t>。</w:t>
            </w:r>
          </w:p>
          <w:p w14:paraId="66417DC7">
            <w:pPr>
              <w:pStyle w:val="11"/>
              <w:keepNext w:val="0"/>
              <w:keepLines w:val="0"/>
              <w:pageBreakBefore w:val="0"/>
              <w:kinsoku/>
              <w:wordWrap w:val="0"/>
              <w:overflowPunct/>
              <w:topLinePunct w:val="0"/>
              <w:autoSpaceDE/>
              <w:autoSpaceDN/>
              <w:bidi w:val="0"/>
              <w:adjustRightInd w:val="0"/>
              <w:snapToGrid w:val="0"/>
              <w:spacing w:after="0" w:line="360" w:lineRule="auto"/>
              <w:textAlignment w:val="auto"/>
              <w:rPr>
                <w:rFonts w:hint="eastAsia" w:ascii="宋体" w:hAnsi="宋体" w:eastAsia="宋体" w:cs="宋体"/>
                <w:snapToGrid w:val="0"/>
                <w:color w:val="auto"/>
                <w:kern w:val="0"/>
                <w:sz w:val="24"/>
                <w:szCs w:val="24"/>
              </w:rPr>
            </w:pPr>
            <w:r>
              <w:rPr>
                <w:rFonts w:hint="eastAsia" w:ascii="宋体" w:hAnsi="宋体" w:eastAsia="宋体" w:cs="宋体"/>
                <w:snapToGrid w:val="0"/>
                <w:color w:val="auto"/>
                <w:kern w:val="0"/>
                <w:sz w:val="24"/>
                <w:szCs w:val="24"/>
                <w:lang w:val="en-US" w:eastAsia="zh-CN"/>
              </w:rPr>
              <w:t>2</w:t>
            </w:r>
            <w:r>
              <w:rPr>
                <w:rFonts w:hint="eastAsia" w:ascii="宋体" w:hAnsi="宋体" w:eastAsia="宋体" w:cs="宋体"/>
                <w:snapToGrid w:val="0"/>
                <w:color w:val="auto"/>
                <w:kern w:val="0"/>
                <w:sz w:val="24"/>
                <w:szCs w:val="24"/>
              </w:rPr>
              <w:t>．存款余额资金流水证明有以下情形之一的，视为无效，不予计分：</w:t>
            </w:r>
          </w:p>
          <w:p w14:paraId="3DF7EB82">
            <w:pPr>
              <w:pStyle w:val="11"/>
              <w:keepNext w:val="0"/>
              <w:keepLines w:val="0"/>
              <w:pageBreakBefore w:val="0"/>
              <w:kinsoku/>
              <w:wordWrap w:val="0"/>
              <w:overflowPunct/>
              <w:topLinePunct w:val="0"/>
              <w:autoSpaceDE/>
              <w:autoSpaceDN/>
              <w:bidi w:val="0"/>
              <w:adjustRightInd w:val="0"/>
              <w:snapToGrid w:val="0"/>
              <w:spacing w:after="0" w:line="360" w:lineRule="auto"/>
              <w:textAlignment w:val="auto"/>
              <w:rPr>
                <w:rFonts w:hint="eastAsia" w:ascii="宋体" w:hAnsi="宋体" w:eastAsia="宋体" w:cs="宋体"/>
                <w:snapToGrid w:val="0"/>
                <w:color w:val="auto"/>
                <w:kern w:val="0"/>
                <w:sz w:val="24"/>
                <w:szCs w:val="24"/>
              </w:rPr>
            </w:pPr>
            <w:r>
              <w:rPr>
                <w:rFonts w:hint="eastAsia" w:ascii="宋体" w:hAnsi="宋体" w:eastAsia="宋体" w:cs="宋体"/>
                <w:snapToGrid w:val="0"/>
                <w:color w:val="auto"/>
                <w:kern w:val="0"/>
                <w:sz w:val="24"/>
                <w:szCs w:val="24"/>
                <w:lang w:val="en-US" w:eastAsia="zh-CN"/>
              </w:rPr>
              <w:t>①</w:t>
            </w:r>
            <w:r>
              <w:rPr>
                <w:rFonts w:hint="eastAsia" w:ascii="宋体" w:hAnsi="宋体" w:eastAsia="宋体" w:cs="宋体"/>
                <w:snapToGrid w:val="0"/>
                <w:color w:val="auto"/>
                <w:kern w:val="0"/>
                <w:sz w:val="24"/>
                <w:szCs w:val="24"/>
              </w:rPr>
              <w:t>存款账户不是基本账户的；</w:t>
            </w:r>
          </w:p>
          <w:p w14:paraId="6A06B957">
            <w:pPr>
              <w:pStyle w:val="11"/>
              <w:keepNext w:val="0"/>
              <w:keepLines w:val="0"/>
              <w:pageBreakBefore w:val="0"/>
              <w:kinsoku/>
              <w:wordWrap w:val="0"/>
              <w:overflowPunct/>
              <w:topLinePunct w:val="0"/>
              <w:autoSpaceDE/>
              <w:autoSpaceDN/>
              <w:bidi w:val="0"/>
              <w:adjustRightInd w:val="0"/>
              <w:snapToGrid w:val="0"/>
              <w:spacing w:after="0" w:line="360" w:lineRule="auto"/>
              <w:textAlignment w:val="auto"/>
              <w:rPr>
                <w:rFonts w:hint="eastAsia" w:ascii="宋体" w:hAnsi="宋体" w:eastAsia="宋体" w:cs="宋体"/>
                <w:snapToGrid w:val="0"/>
                <w:color w:val="auto"/>
                <w:kern w:val="0"/>
                <w:sz w:val="24"/>
                <w:szCs w:val="24"/>
              </w:rPr>
            </w:pPr>
            <w:r>
              <w:rPr>
                <w:rFonts w:hint="eastAsia" w:ascii="宋体" w:hAnsi="宋体" w:eastAsia="宋体" w:cs="宋体"/>
                <w:snapToGrid w:val="0"/>
                <w:color w:val="auto"/>
                <w:kern w:val="0"/>
                <w:sz w:val="24"/>
                <w:szCs w:val="24"/>
                <w:lang w:val="en-US" w:eastAsia="zh-CN"/>
              </w:rPr>
              <w:t>②</w:t>
            </w:r>
            <w:r>
              <w:rPr>
                <w:rFonts w:hint="eastAsia" w:ascii="宋体" w:hAnsi="宋体" w:eastAsia="宋体" w:cs="宋体"/>
                <w:snapToGrid w:val="0"/>
                <w:color w:val="auto"/>
                <w:kern w:val="0"/>
                <w:sz w:val="24"/>
                <w:szCs w:val="24"/>
              </w:rPr>
              <w:t>存款时间不符合要求的；</w:t>
            </w:r>
          </w:p>
          <w:p w14:paraId="3F1293A9">
            <w:pPr>
              <w:pStyle w:val="11"/>
              <w:keepNext w:val="0"/>
              <w:keepLines w:val="0"/>
              <w:pageBreakBefore w:val="0"/>
              <w:widowControl/>
              <w:kinsoku/>
              <w:wordWrap w:val="0"/>
              <w:overflowPunct/>
              <w:topLinePunct w:val="0"/>
              <w:autoSpaceDE/>
              <w:autoSpaceDN/>
              <w:bidi w:val="0"/>
              <w:adjustRightInd w:val="0"/>
              <w:snapToGrid w:val="0"/>
              <w:spacing w:after="0" w:line="360" w:lineRule="auto"/>
              <w:textAlignment w:val="auto"/>
              <w:rPr>
                <w:rFonts w:hint="eastAsia" w:ascii="宋体" w:hAnsi="宋体" w:eastAsia="宋体" w:cs="宋体"/>
                <w:color w:val="auto"/>
                <w:sz w:val="22"/>
                <w:szCs w:val="22"/>
              </w:rPr>
            </w:pPr>
            <w:r>
              <w:rPr>
                <w:rFonts w:hint="eastAsia" w:ascii="宋体" w:hAnsi="宋体" w:eastAsia="宋体" w:cs="宋体"/>
                <w:snapToGrid w:val="0"/>
                <w:color w:val="auto"/>
                <w:kern w:val="0"/>
                <w:sz w:val="24"/>
                <w:szCs w:val="24"/>
                <w:lang w:val="en-US" w:eastAsia="zh-CN"/>
              </w:rPr>
              <w:t>③</w:t>
            </w:r>
            <w:r>
              <w:rPr>
                <w:rFonts w:hint="eastAsia" w:ascii="宋体" w:hAnsi="宋体" w:eastAsia="宋体" w:cs="宋体"/>
                <w:snapToGrid w:val="0"/>
                <w:color w:val="auto"/>
                <w:kern w:val="0"/>
                <w:sz w:val="24"/>
                <w:szCs w:val="24"/>
              </w:rPr>
              <w:t>存款额度不符合要求的。</w:t>
            </w:r>
          </w:p>
        </w:tc>
      </w:tr>
      <w:tr w14:paraId="5478A7D2">
        <w:tblPrEx>
          <w:tblCellMar>
            <w:top w:w="0" w:type="dxa"/>
            <w:left w:w="108" w:type="dxa"/>
            <w:bottom w:w="0" w:type="dxa"/>
            <w:right w:w="108" w:type="dxa"/>
          </w:tblCellMar>
        </w:tblPrEx>
        <w:trPr>
          <w:trHeight w:val="23" w:hRule="atLeast"/>
          <w:jc w:val="center"/>
        </w:trPr>
        <w:tc>
          <w:tcPr>
            <w:tcW w:w="1493" w:type="dxa"/>
            <w:tcBorders>
              <w:top w:val="single" w:color="auto" w:sz="4" w:space="0"/>
              <w:left w:val="single" w:color="auto" w:sz="4" w:space="0"/>
              <w:bottom w:val="single" w:color="auto" w:sz="4" w:space="0"/>
              <w:right w:val="single" w:color="auto" w:sz="4" w:space="0"/>
            </w:tcBorders>
            <w:noWrap w:val="0"/>
            <w:vAlign w:val="center"/>
          </w:tcPr>
          <w:p w14:paraId="36F013C7">
            <w:pPr>
              <w:pStyle w:val="11"/>
              <w:keepNext w:val="0"/>
              <w:keepLines w:val="0"/>
              <w:pageBreakBefore w:val="0"/>
              <w:widowControl/>
              <w:kinsoku/>
              <w:wordWrap w:val="0"/>
              <w:overflowPunct/>
              <w:topLinePunct w:val="0"/>
              <w:autoSpaceDE/>
              <w:autoSpaceDN/>
              <w:bidi w:val="0"/>
              <w:adjustRightInd w:val="0"/>
              <w:snapToGrid w:val="0"/>
              <w:spacing w:after="0" w:line="360" w:lineRule="auto"/>
              <w:jc w:val="center"/>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rPr>
              <w:t>纳税信用</w:t>
            </w:r>
            <w:r>
              <w:rPr>
                <w:rFonts w:hint="eastAsia" w:ascii="宋体" w:hAnsi="宋体" w:eastAsia="宋体" w:cs="宋体"/>
                <w:snapToGrid w:val="0"/>
                <w:color w:val="auto"/>
                <w:kern w:val="0"/>
                <w:sz w:val="24"/>
                <w:szCs w:val="24"/>
                <w:highlight w:val="none"/>
                <w:lang w:val="en-US" w:eastAsia="zh-CN"/>
              </w:rPr>
              <w:t>情况</w:t>
            </w:r>
          </w:p>
          <w:p w14:paraId="43099BCC">
            <w:pPr>
              <w:pStyle w:val="11"/>
              <w:keepNext w:val="0"/>
              <w:keepLines w:val="0"/>
              <w:pageBreakBefore w:val="0"/>
              <w:widowControl/>
              <w:kinsoku/>
              <w:wordWrap w:val="0"/>
              <w:overflowPunct/>
              <w:topLinePunct w:val="0"/>
              <w:autoSpaceDE/>
              <w:autoSpaceDN/>
              <w:bidi w:val="0"/>
              <w:adjustRightInd w:val="0"/>
              <w:snapToGrid w:val="0"/>
              <w:spacing w:after="0"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lang w:val="en-US" w:eastAsia="zh-CN"/>
              </w:rPr>
              <w:t>6分</w:t>
            </w:r>
            <w:r>
              <w:rPr>
                <w:rFonts w:hint="eastAsia" w:ascii="宋体" w:hAnsi="宋体" w:eastAsia="宋体" w:cs="宋体"/>
                <w:snapToGrid w:val="0"/>
                <w:color w:val="auto"/>
                <w:kern w:val="0"/>
                <w:sz w:val="24"/>
                <w:szCs w:val="24"/>
                <w:highlight w:val="none"/>
                <w:lang w:eastAsia="zh-CN"/>
              </w:rPr>
              <w:t>）</w:t>
            </w:r>
          </w:p>
        </w:tc>
        <w:tc>
          <w:tcPr>
            <w:tcW w:w="4617" w:type="dxa"/>
            <w:gridSpan w:val="2"/>
            <w:tcBorders>
              <w:top w:val="single" w:color="auto" w:sz="4" w:space="0"/>
              <w:left w:val="single" w:color="auto" w:sz="4" w:space="0"/>
              <w:bottom w:val="single" w:color="auto" w:sz="4" w:space="0"/>
              <w:right w:val="single" w:color="auto" w:sz="4" w:space="0"/>
            </w:tcBorders>
            <w:noWrap w:val="0"/>
            <w:vAlign w:val="center"/>
          </w:tcPr>
          <w:p w14:paraId="478580DE">
            <w:pPr>
              <w:pStyle w:val="27"/>
              <w:keepNext w:val="0"/>
              <w:keepLines w:val="0"/>
              <w:pageBreakBefore w:val="0"/>
              <w:widowControl/>
              <w:numPr>
                <w:ilvl w:val="0"/>
                <w:numId w:val="0"/>
              </w:numPr>
              <w:kinsoku/>
              <w:overflowPunct/>
              <w:topLinePunct w:val="0"/>
              <w:autoSpaceDE/>
              <w:autoSpaceDN/>
              <w:bidi w:val="0"/>
              <w:spacing w:line="360" w:lineRule="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近</w:t>
            </w:r>
            <w:r>
              <w:rPr>
                <w:rFonts w:hint="eastAsia" w:ascii="宋体" w:hAnsi="宋体" w:eastAsia="宋体" w:cs="宋体"/>
                <w:color w:val="auto"/>
                <w:kern w:val="2"/>
                <w:sz w:val="24"/>
                <w:szCs w:val="24"/>
                <w:u w:val="single"/>
                <w:lang w:val="en-US" w:eastAsia="zh-CN" w:bidi="ar-SA"/>
              </w:rPr>
              <w:t>5</w:t>
            </w:r>
            <w:r>
              <w:rPr>
                <w:rFonts w:hint="eastAsia" w:ascii="宋体" w:hAnsi="宋体" w:eastAsia="宋体" w:cs="宋体"/>
                <w:color w:val="auto"/>
                <w:kern w:val="2"/>
                <w:sz w:val="24"/>
                <w:szCs w:val="24"/>
                <w:lang w:val="en-US" w:eastAsia="zh-CN" w:bidi="ar-SA"/>
              </w:rPr>
              <w:t>年来（2020年1月1日至今）企业获得过纳税等级A级。</w:t>
            </w:r>
          </w:p>
          <w:p w14:paraId="11574FC8">
            <w:pPr>
              <w:pStyle w:val="27"/>
              <w:keepNext w:val="0"/>
              <w:keepLines w:val="0"/>
              <w:pageBreakBefore w:val="0"/>
              <w:widowControl/>
              <w:numPr>
                <w:ilvl w:val="0"/>
                <w:numId w:val="0"/>
              </w:numPr>
              <w:kinsoku/>
              <w:overflowPunct/>
              <w:topLinePunct w:val="0"/>
              <w:autoSpaceDE/>
              <w:autoSpaceDN/>
              <w:bidi w:val="0"/>
              <w:spacing w:line="360" w:lineRule="auto"/>
              <w:ind w:left="0" w:leftChars="0" w:firstLine="0" w:firstLineChars="0"/>
              <w:rPr>
                <w:rFonts w:hint="eastAsia" w:ascii="宋体" w:hAnsi="宋体" w:eastAsia="宋体" w:cs="宋体"/>
                <w:color w:val="auto"/>
                <w:sz w:val="22"/>
                <w:szCs w:val="22"/>
                <w:highlight w:val="none"/>
              </w:rPr>
            </w:pPr>
            <w:r>
              <w:rPr>
                <w:rFonts w:hint="eastAsia" w:ascii="宋体" w:hAnsi="宋体" w:eastAsia="宋体" w:cs="宋体"/>
                <w:color w:val="auto"/>
                <w:kern w:val="2"/>
                <w:sz w:val="24"/>
                <w:szCs w:val="24"/>
                <w:lang w:val="en-US" w:eastAsia="zh-CN" w:bidi="ar-SA"/>
              </w:rPr>
              <w:t>说明：本项最高得6分。</w:t>
            </w:r>
          </w:p>
        </w:tc>
        <w:tc>
          <w:tcPr>
            <w:tcW w:w="4743" w:type="dxa"/>
            <w:tcBorders>
              <w:top w:val="single" w:color="auto" w:sz="4" w:space="0"/>
              <w:left w:val="single" w:color="auto" w:sz="4" w:space="0"/>
              <w:bottom w:val="single" w:color="auto" w:sz="4" w:space="0"/>
              <w:right w:val="single" w:color="auto" w:sz="4" w:space="0"/>
            </w:tcBorders>
            <w:noWrap w:val="0"/>
            <w:vAlign w:val="center"/>
          </w:tcPr>
          <w:p w14:paraId="0F787CE2">
            <w:pPr>
              <w:pStyle w:val="11"/>
              <w:keepNext w:val="0"/>
              <w:keepLines w:val="0"/>
              <w:pageBreakBefore w:val="0"/>
              <w:widowControl/>
              <w:kinsoku/>
              <w:wordWrap w:val="0"/>
              <w:overflowPunct/>
              <w:topLinePunct w:val="0"/>
              <w:autoSpaceDE/>
              <w:autoSpaceDN/>
              <w:bidi w:val="0"/>
              <w:adjustRightInd w:val="0"/>
              <w:snapToGrid w:val="0"/>
              <w:spacing w:line="360"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1.需</w:t>
            </w:r>
            <w:r>
              <w:rPr>
                <w:rFonts w:hint="eastAsia" w:ascii="宋体" w:hAnsi="宋体" w:eastAsia="宋体" w:cs="宋体"/>
                <w:color w:val="auto"/>
                <w:kern w:val="0"/>
                <w:sz w:val="24"/>
                <w:szCs w:val="24"/>
                <w:highlight w:val="none"/>
                <w:lang w:val="en-US" w:eastAsia="zh-CN"/>
              </w:rPr>
              <w:t>提供相关证书（或证明材料）扫描件及税务部门的带网址的网页查询截图，否则不得分。</w:t>
            </w:r>
          </w:p>
          <w:p w14:paraId="7C673BEA">
            <w:pPr>
              <w:pStyle w:val="11"/>
              <w:keepNext w:val="0"/>
              <w:keepLines w:val="0"/>
              <w:pageBreakBefore w:val="0"/>
              <w:widowControl/>
              <w:numPr>
                <w:ilvl w:val="0"/>
                <w:numId w:val="0"/>
              </w:numPr>
              <w:kinsoku/>
              <w:wordWrap w:val="0"/>
              <w:overflowPunct/>
              <w:topLinePunct w:val="0"/>
              <w:autoSpaceDE/>
              <w:autoSpaceDN/>
              <w:bidi w:val="0"/>
              <w:adjustRightInd w:val="0"/>
              <w:snapToGrid w:val="0"/>
              <w:spacing w:line="360" w:lineRule="auto"/>
              <w:ind w:left="0" w:leftChars="0" w:firstLine="0" w:firstLineChars="0"/>
              <w:jc w:val="both"/>
              <w:rPr>
                <w:rFonts w:hint="eastAsia" w:ascii="宋体" w:hAnsi="宋体" w:eastAsia="宋体" w:cs="宋体"/>
                <w:i/>
                <w:iCs/>
                <w:snapToGrid w:val="0"/>
                <w:color w:val="auto"/>
                <w:kern w:val="0"/>
                <w:sz w:val="22"/>
                <w:szCs w:val="22"/>
                <w:highlight w:val="none"/>
              </w:rPr>
            </w:pPr>
            <w:r>
              <w:rPr>
                <w:rFonts w:hint="eastAsia" w:ascii="宋体" w:hAnsi="宋体" w:eastAsia="宋体" w:cs="宋体"/>
                <w:color w:val="auto"/>
                <w:kern w:val="0"/>
                <w:sz w:val="24"/>
                <w:szCs w:val="24"/>
                <w:highlight w:val="none"/>
              </w:rPr>
              <w:t>2.只计算投标人自身（不计算投标人的分公司、子公司及分支机构）</w:t>
            </w:r>
            <w:r>
              <w:rPr>
                <w:rFonts w:hint="eastAsia" w:ascii="宋体" w:hAnsi="宋体" w:eastAsia="宋体" w:cs="宋体"/>
                <w:color w:val="auto"/>
                <w:kern w:val="0"/>
                <w:sz w:val="24"/>
                <w:szCs w:val="24"/>
                <w:highlight w:val="none"/>
                <w:lang w:eastAsia="zh-CN"/>
              </w:rPr>
              <w:t>。</w:t>
            </w:r>
          </w:p>
        </w:tc>
      </w:tr>
      <w:tr w14:paraId="01BD465F">
        <w:tblPrEx>
          <w:tblCellMar>
            <w:top w:w="0" w:type="dxa"/>
            <w:left w:w="108" w:type="dxa"/>
            <w:bottom w:w="0" w:type="dxa"/>
            <w:right w:w="108" w:type="dxa"/>
          </w:tblCellMar>
        </w:tblPrEx>
        <w:trPr>
          <w:trHeight w:val="23" w:hRule="atLeast"/>
          <w:jc w:val="center"/>
        </w:trPr>
        <w:tc>
          <w:tcPr>
            <w:tcW w:w="1493" w:type="dxa"/>
            <w:tcBorders>
              <w:top w:val="single" w:color="auto" w:sz="4" w:space="0"/>
              <w:left w:val="single" w:color="auto" w:sz="4" w:space="0"/>
              <w:bottom w:val="single" w:color="auto" w:sz="4" w:space="0"/>
              <w:right w:val="single" w:color="auto" w:sz="4" w:space="0"/>
            </w:tcBorders>
            <w:noWrap w:val="0"/>
            <w:vAlign w:val="center"/>
          </w:tcPr>
          <w:p w14:paraId="006745B6">
            <w:pPr>
              <w:pStyle w:val="11"/>
              <w:keepNext w:val="0"/>
              <w:keepLines w:val="0"/>
              <w:pageBreakBefore w:val="0"/>
              <w:widowControl/>
              <w:kinsoku/>
              <w:wordWrap w:val="0"/>
              <w:overflowPunct/>
              <w:topLinePunct w:val="0"/>
              <w:autoSpaceDE/>
              <w:autoSpaceDN/>
              <w:bidi w:val="0"/>
              <w:adjustRightInd w:val="0"/>
              <w:snapToGrid w:val="0"/>
              <w:spacing w:after="0" w:line="360" w:lineRule="auto"/>
              <w:jc w:val="center"/>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企业安全质量管理</w:t>
            </w:r>
          </w:p>
          <w:p w14:paraId="6FA3D2A2">
            <w:pPr>
              <w:pStyle w:val="11"/>
              <w:keepNext w:val="0"/>
              <w:keepLines w:val="0"/>
              <w:pageBreakBefore w:val="0"/>
              <w:widowControl/>
              <w:kinsoku/>
              <w:wordWrap w:val="0"/>
              <w:overflowPunct/>
              <w:topLinePunct w:val="0"/>
              <w:autoSpaceDE/>
              <w:autoSpaceDN/>
              <w:bidi w:val="0"/>
              <w:adjustRightInd w:val="0"/>
              <w:snapToGrid w:val="0"/>
              <w:spacing w:after="0"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4"/>
                <w:szCs w:val="24"/>
                <w:highlight w:val="none"/>
                <w:lang w:val="en-US" w:eastAsia="zh-CN"/>
              </w:rPr>
              <w:t>（10分）</w:t>
            </w:r>
          </w:p>
        </w:tc>
        <w:tc>
          <w:tcPr>
            <w:tcW w:w="4617" w:type="dxa"/>
            <w:gridSpan w:val="2"/>
            <w:tcBorders>
              <w:top w:val="single" w:color="auto" w:sz="4" w:space="0"/>
              <w:left w:val="single" w:color="auto" w:sz="4" w:space="0"/>
              <w:bottom w:val="single" w:color="auto" w:sz="4" w:space="0"/>
              <w:right w:val="single" w:color="auto" w:sz="4" w:space="0"/>
            </w:tcBorders>
            <w:noWrap w:val="0"/>
            <w:vAlign w:val="center"/>
          </w:tcPr>
          <w:p w14:paraId="3AF2E6DF">
            <w:pPr>
              <w:pStyle w:val="11"/>
              <w:numPr>
                <w:ilvl w:val="0"/>
                <w:numId w:val="0"/>
              </w:numPr>
              <w:wordWrap w:val="0"/>
              <w:adjustRightInd w:val="0"/>
              <w:snapToGrid w:val="0"/>
              <w:spacing w:after="0" w:line="360" w:lineRule="auto"/>
              <w:jc w:val="left"/>
              <w:rPr>
                <w:rFonts w:hint="eastAsia" w:ascii="宋体" w:hAnsi="宋体" w:eastAsia="宋体" w:cs="宋体"/>
                <w:snapToGrid w:val="0"/>
                <w:color w:val="auto"/>
                <w:kern w:val="0"/>
                <w:sz w:val="24"/>
                <w:szCs w:val="24"/>
              </w:rPr>
            </w:pPr>
            <w:r>
              <w:rPr>
                <w:rFonts w:hint="eastAsia" w:ascii="宋体" w:hAnsi="宋体" w:eastAsia="宋体" w:cs="宋体"/>
                <w:snapToGrid w:val="0"/>
                <w:color w:val="auto"/>
                <w:kern w:val="0"/>
                <w:sz w:val="24"/>
                <w:szCs w:val="24"/>
                <w:lang w:val="en-US" w:eastAsia="zh-CN" w:bidi="ar-SA"/>
              </w:rPr>
              <w:t>1.</w:t>
            </w:r>
            <w:r>
              <w:rPr>
                <w:rFonts w:hint="eastAsia" w:ascii="宋体" w:hAnsi="宋体" w:eastAsia="宋体" w:cs="宋体"/>
                <w:snapToGrid w:val="0"/>
                <w:color w:val="auto"/>
                <w:kern w:val="0"/>
                <w:sz w:val="24"/>
                <w:szCs w:val="24"/>
              </w:rPr>
              <w:t>近</w:t>
            </w:r>
            <w:r>
              <w:rPr>
                <w:rFonts w:hint="eastAsia" w:ascii="宋体" w:hAnsi="宋体" w:eastAsia="宋体" w:cs="宋体"/>
                <w:snapToGrid w:val="0"/>
                <w:color w:val="auto"/>
                <w:kern w:val="0"/>
                <w:sz w:val="24"/>
                <w:szCs w:val="24"/>
                <w:u w:val="single"/>
              </w:rPr>
              <w:t xml:space="preserve"> 5 </w:t>
            </w:r>
            <w:r>
              <w:rPr>
                <w:rFonts w:hint="eastAsia" w:ascii="宋体" w:hAnsi="宋体" w:eastAsia="宋体" w:cs="宋体"/>
                <w:snapToGrid w:val="0"/>
                <w:color w:val="auto"/>
                <w:kern w:val="0"/>
                <w:sz w:val="24"/>
                <w:szCs w:val="24"/>
              </w:rPr>
              <w:t>年来（</w:t>
            </w:r>
            <w:r>
              <w:rPr>
                <w:rFonts w:hint="eastAsia" w:ascii="宋体" w:hAnsi="宋体" w:eastAsia="宋体" w:cs="宋体"/>
                <w:snapToGrid w:val="0"/>
                <w:color w:val="auto"/>
                <w:kern w:val="0"/>
                <w:sz w:val="24"/>
                <w:szCs w:val="24"/>
                <w:lang w:val="en-US" w:eastAsia="zh-CN"/>
              </w:rPr>
              <w:t>2020</w:t>
            </w:r>
            <w:r>
              <w:rPr>
                <w:rFonts w:hint="eastAsia" w:ascii="宋体" w:hAnsi="宋体" w:eastAsia="宋体" w:cs="宋体"/>
                <w:snapToGrid w:val="0"/>
                <w:color w:val="auto"/>
                <w:kern w:val="0"/>
                <w:sz w:val="24"/>
                <w:szCs w:val="24"/>
              </w:rPr>
              <w:t>年</w:t>
            </w:r>
            <w:r>
              <w:rPr>
                <w:rFonts w:hint="eastAsia" w:ascii="宋体" w:hAnsi="宋体" w:eastAsia="宋体" w:cs="宋体"/>
                <w:snapToGrid w:val="0"/>
                <w:color w:val="auto"/>
                <w:kern w:val="0"/>
                <w:sz w:val="24"/>
                <w:szCs w:val="24"/>
                <w:lang w:val="en-US" w:eastAsia="zh-CN"/>
              </w:rPr>
              <w:t>1</w:t>
            </w:r>
            <w:r>
              <w:rPr>
                <w:rFonts w:hint="eastAsia" w:ascii="宋体" w:hAnsi="宋体" w:eastAsia="宋体" w:cs="宋体"/>
                <w:snapToGrid w:val="0"/>
                <w:color w:val="auto"/>
                <w:kern w:val="0"/>
                <w:sz w:val="24"/>
                <w:szCs w:val="24"/>
              </w:rPr>
              <w:t>月</w:t>
            </w:r>
            <w:r>
              <w:rPr>
                <w:rFonts w:hint="eastAsia" w:ascii="宋体" w:hAnsi="宋体" w:eastAsia="宋体" w:cs="宋体"/>
                <w:snapToGrid w:val="0"/>
                <w:color w:val="auto"/>
                <w:kern w:val="0"/>
                <w:sz w:val="24"/>
                <w:szCs w:val="24"/>
                <w:lang w:val="en-US" w:eastAsia="zh-CN"/>
              </w:rPr>
              <w:t>1</w:t>
            </w:r>
            <w:r>
              <w:rPr>
                <w:rFonts w:hint="eastAsia" w:ascii="宋体" w:hAnsi="宋体" w:eastAsia="宋体" w:cs="宋体"/>
                <w:snapToGrid w:val="0"/>
                <w:color w:val="auto"/>
                <w:kern w:val="0"/>
                <w:sz w:val="24"/>
                <w:szCs w:val="24"/>
              </w:rPr>
              <w:t>日至</w:t>
            </w:r>
            <w:r>
              <w:rPr>
                <w:rFonts w:hint="eastAsia" w:ascii="宋体" w:hAnsi="宋体" w:eastAsia="宋体" w:cs="宋体"/>
                <w:snapToGrid w:val="0"/>
                <w:color w:val="auto"/>
                <w:kern w:val="0"/>
                <w:sz w:val="24"/>
                <w:szCs w:val="24"/>
                <w:lang w:val="en-US" w:eastAsia="zh-CN"/>
              </w:rPr>
              <w:t>今</w:t>
            </w:r>
            <w:r>
              <w:rPr>
                <w:rFonts w:hint="eastAsia" w:ascii="宋体" w:hAnsi="宋体" w:eastAsia="宋体" w:cs="宋体"/>
                <w:snapToGrid w:val="0"/>
                <w:color w:val="auto"/>
                <w:kern w:val="0"/>
                <w:sz w:val="24"/>
                <w:szCs w:val="24"/>
              </w:rPr>
              <w:t>）投标人未发生事故等级为一般事故及以上的生产安全事故、一般质量事故及以上的工程质量事故的，得</w:t>
            </w:r>
            <w:r>
              <w:rPr>
                <w:rFonts w:hint="eastAsia" w:ascii="宋体" w:hAnsi="宋体" w:eastAsia="宋体" w:cs="宋体"/>
                <w:snapToGrid w:val="0"/>
                <w:color w:val="auto"/>
                <w:kern w:val="0"/>
                <w:sz w:val="24"/>
                <w:szCs w:val="24"/>
                <w:u w:val="none"/>
                <w:lang w:val="en-US" w:eastAsia="zh-CN"/>
              </w:rPr>
              <w:t>10</w:t>
            </w:r>
            <w:r>
              <w:rPr>
                <w:rFonts w:hint="eastAsia" w:ascii="宋体" w:hAnsi="宋体" w:eastAsia="宋体" w:cs="宋体"/>
                <w:snapToGrid w:val="0"/>
                <w:color w:val="auto"/>
                <w:kern w:val="0"/>
                <w:sz w:val="24"/>
                <w:szCs w:val="24"/>
              </w:rPr>
              <w:t>分；</w:t>
            </w:r>
          </w:p>
          <w:p w14:paraId="5A912CBC">
            <w:pPr>
              <w:pStyle w:val="11"/>
              <w:wordWrap w:val="0"/>
              <w:adjustRightInd w:val="0"/>
              <w:snapToGrid w:val="0"/>
              <w:spacing w:after="0" w:line="360" w:lineRule="auto"/>
              <w:jc w:val="left"/>
              <w:rPr>
                <w:rFonts w:hint="eastAsia" w:ascii="宋体" w:hAnsi="宋体" w:eastAsia="宋体" w:cs="宋体"/>
                <w:color w:val="auto"/>
                <w:kern w:val="2"/>
                <w:sz w:val="22"/>
                <w:szCs w:val="22"/>
                <w:lang w:val="en-US" w:eastAsia="zh-CN" w:bidi="ar-SA"/>
              </w:rPr>
            </w:pPr>
            <w:r>
              <w:rPr>
                <w:rFonts w:hint="eastAsia" w:ascii="宋体" w:hAnsi="宋体" w:eastAsia="宋体" w:cs="宋体"/>
                <w:snapToGrid w:val="0"/>
                <w:color w:val="auto"/>
                <w:kern w:val="0"/>
                <w:sz w:val="24"/>
                <w:szCs w:val="24"/>
              </w:rPr>
              <w:t>2.其他情形的，不予计分。</w:t>
            </w:r>
          </w:p>
        </w:tc>
        <w:tc>
          <w:tcPr>
            <w:tcW w:w="4743" w:type="dxa"/>
            <w:tcBorders>
              <w:top w:val="single" w:color="auto" w:sz="4" w:space="0"/>
              <w:left w:val="single" w:color="auto" w:sz="4" w:space="0"/>
              <w:bottom w:val="single" w:color="auto" w:sz="4" w:space="0"/>
              <w:right w:val="single" w:color="auto" w:sz="4" w:space="0"/>
            </w:tcBorders>
            <w:noWrap w:val="0"/>
            <w:vAlign w:val="center"/>
          </w:tcPr>
          <w:p w14:paraId="35F7BA0E">
            <w:pPr>
              <w:pStyle w:val="58"/>
              <w:numPr>
                <w:ilvl w:val="0"/>
                <w:numId w:val="0"/>
              </w:numPr>
              <w:wordWrap w:val="0"/>
              <w:adjustRightInd w:val="0"/>
              <w:snapToGrid w:val="0"/>
              <w:spacing w:line="360" w:lineRule="auto"/>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bidi="ar-SA"/>
              </w:rPr>
              <w:t>1.</w:t>
            </w:r>
            <w:r>
              <w:rPr>
                <w:rFonts w:hint="eastAsia" w:ascii="宋体" w:hAnsi="宋体" w:eastAsia="宋体" w:cs="宋体"/>
                <w:color w:val="auto"/>
                <w:kern w:val="0"/>
                <w:sz w:val="24"/>
                <w:szCs w:val="24"/>
              </w:rPr>
              <w:t>需提供本单位承诺书（格式自定）并加盖本单位公章。</w:t>
            </w:r>
          </w:p>
          <w:p w14:paraId="61C0F6B4">
            <w:pPr>
              <w:pStyle w:val="58"/>
              <w:numPr>
                <w:ilvl w:val="0"/>
                <w:numId w:val="0"/>
              </w:numPr>
              <w:wordWrap w:val="0"/>
              <w:adjustRightInd w:val="0"/>
              <w:snapToGrid w:val="0"/>
              <w:spacing w:line="360" w:lineRule="auto"/>
              <w:ind w:left="0" w:leftChars="0" w:firstLine="0" w:firstLineChars="0"/>
              <w:jc w:val="left"/>
              <w:rPr>
                <w:rFonts w:hint="eastAsia" w:ascii="宋体" w:hAnsi="宋体" w:eastAsia="宋体" w:cs="宋体"/>
                <w:snapToGrid w:val="0"/>
                <w:color w:val="auto"/>
                <w:kern w:val="0"/>
                <w:sz w:val="22"/>
                <w:szCs w:val="22"/>
                <w:highlight w:val="none"/>
              </w:rPr>
            </w:pPr>
            <w:r>
              <w:rPr>
                <w:rFonts w:hint="eastAsia" w:ascii="宋体" w:hAnsi="宋体" w:eastAsia="宋体" w:cs="宋体"/>
                <w:color w:val="auto"/>
                <w:kern w:val="0"/>
                <w:sz w:val="24"/>
                <w:szCs w:val="24"/>
                <w:lang w:val="en-US" w:eastAsia="zh-CN" w:bidi="ar-SA"/>
              </w:rPr>
              <w:t>2.</w:t>
            </w:r>
            <w:r>
              <w:rPr>
                <w:rFonts w:hint="eastAsia" w:ascii="宋体" w:hAnsi="宋体" w:eastAsia="宋体" w:cs="宋体"/>
                <w:color w:val="auto"/>
                <w:kern w:val="0"/>
                <w:sz w:val="24"/>
                <w:szCs w:val="24"/>
              </w:rPr>
              <w:t>未提供本单位承诺书并加盖本单位公章的，按第2项标准处理。</w:t>
            </w:r>
          </w:p>
        </w:tc>
      </w:tr>
      <w:tr w14:paraId="648AC0CE">
        <w:tblPrEx>
          <w:tblCellMar>
            <w:top w:w="0" w:type="dxa"/>
            <w:left w:w="108" w:type="dxa"/>
            <w:bottom w:w="0" w:type="dxa"/>
            <w:right w:w="108" w:type="dxa"/>
          </w:tblCellMar>
        </w:tblPrEx>
        <w:trPr>
          <w:trHeight w:val="23" w:hRule="atLeast"/>
          <w:jc w:val="center"/>
        </w:trPr>
        <w:tc>
          <w:tcPr>
            <w:tcW w:w="1493" w:type="dxa"/>
            <w:tcBorders>
              <w:top w:val="single" w:color="auto" w:sz="4" w:space="0"/>
              <w:left w:val="single" w:color="auto" w:sz="4" w:space="0"/>
              <w:bottom w:val="single" w:color="auto" w:sz="4" w:space="0"/>
              <w:right w:val="single" w:color="auto" w:sz="4" w:space="0"/>
            </w:tcBorders>
            <w:noWrap w:val="0"/>
            <w:vAlign w:val="center"/>
          </w:tcPr>
          <w:p w14:paraId="6736BA21">
            <w:pPr>
              <w:pStyle w:val="11"/>
              <w:keepNext w:val="0"/>
              <w:keepLines w:val="0"/>
              <w:pageBreakBefore w:val="0"/>
              <w:widowControl/>
              <w:kinsoku/>
              <w:wordWrap w:val="0"/>
              <w:overflowPunct/>
              <w:topLinePunct w:val="0"/>
              <w:autoSpaceDE/>
              <w:autoSpaceDN/>
              <w:bidi w:val="0"/>
              <w:adjustRightInd w:val="0"/>
              <w:snapToGrid w:val="0"/>
              <w:spacing w:after="0"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快速服务保障能力</w:t>
            </w:r>
          </w:p>
          <w:p w14:paraId="65DFCB57">
            <w:pPr>
              <w:pStyle w:val="11"/>
              <w:keepNext w:val="0"/>
              <w:keepLines w:val="0"/>
              <w:pageBreakBefore w:val="0"/>
              <w:widowControl/>
              <w:kinsoku/>
              <w:wordWrap w:val="0"/>
              <w:overflowPunct/>
              <w:topLinePunct w:val="0"/>
              <w:autoSpaceDE/>
              <w:autoSpaceDN/>
              <w:bidi w:val="0"/>
              <w:adjustRightInd w:val="0"/>
              <w:snapToGrid w:val="0"/>
              <w:spacing w:after="0" w:line="360" w:lineRule="auto"/>
              <w:jc w:val="center"/>
              <w:rPr>
                <w:rFonts w:hint="eastAsia" w:ascii="宋体" w:hAnsi="宋体" w:eastAsia="宋体" w:cs="宋体"/>
                <w:snapToGrid w:val="0"/>
                <w:color w:val="auto"/>
                <w:kern w:val="0"/>
                <w:sz w:val="22"/>
                <w:szCs w:val="22"/>
                <w:highlight w:val="none"/>
                <w:lang w:val="en-US" w:eastAsia="zh-CN"/>
              </w:rPr>
            </w:pP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lang w:val="en-US" w:eastAsia="zh-CN"/>
              </w:rPr>
              <w:t>10</w:t>
            </w:r>
            <w:r>
              <w:rPr>
                <w:rFonts w:hint="eastAsia" w:ascii="宋体" w:hAnsi="宋体" w:eastAsia="宋体" w:cs="宋体"/>
                <w:snapToGrid w:val="0"/>
                <w:color w:val="auto"/>
                <w:kern w:val="0"/>
                <w:sz w:val="24"/>
                <w:szCs w:val="24"/>
                <w:highlight w:val="none"/>
              </w:rPr>
              <w:t>分）</w:t>
            </w:r>
          </w:p>
        </w:tc>
        <w:tc>
          <w:tcPr>
            <w:tcW w:w="4617" w:type="dxa"/>
            <w:gridSpan w:val="2"/>
            <w:tcBorders>
              <w:top w:val="single" w:color="auto" w:sz="4" w:space="0"/>
              <w:left w:val="single" w:color="auto" w:sz="4" w:space="0"/>
              <w:bottom w:val="single" w:color="auto" w:sz="4" w:space="0"/>
              <w:right w:val="single" w:color="auto" w:sz="4" w:space="0"/>
            </w:tcBorders>
            <w:noWrap w:val="0"/>
            <w:vAlign w:val="center"/>
          </w:tcPr>
          <w:p w14:paraId="00BA0474">
            <w:pPr>
              <w:pStyle w:val="11"/>
              <w:keepNext w:val="0"/>
              <w:keepLines w:val="0"/>
              <w:pageBreakBefore w:val="0"/>
              <w:widowControl/>
              <w:kinsoku/>
              <w:wordWrap w:val="0"/>
              <w:overflowPunct/>
              <w:topLinePunct w:val="0"/>
              <w:autoSpaceDE/>
              <w:autoSpaceDN/>
              <w:bidi w:val="0"/>
              <w:adjustRightInd w:val="0"/>
              <w:snapToGrid w:val="0"/>
              <w:spacing w:line="360" w:lineRule="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对所有投标人的快速服务保障能力（包括保修期快速服务保障能力）进行横向比较：</w:t>
            </w:r>
          </w:p>
          <w:p w14:paraId="564E282A">
            <w:pPr>
              <w:pStyle w:val="11"/>
              <w:keepNext w:val="0"/>
              <w:keepLines w:val="0"/>
              <w:pageBreakBefore w:val="0"/>
              <w:widowControl/>
              <w:kinsoku/>
              <w:wordWrap w:val="0"/>
              <w:overflowPunct/>
              <w:topLinePunct w:val="0"/>
              <w:autoSpaceDE/>
              <w:autoSpaceDN/>
              <w:bidi w:val="0"/>
              <w:adjustRightInd w:val="0"/>
              <w:snapToGrid w:val="0"/>
              <w:spacing w:line="360" w:lineRule="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1.快速服务保障能力优的得10分；</w:t>
            </w:r>
          </w:p>
          <w:p w14:paraId="71427385">
            <w:pPr>
              <w:pStyle w:val="11"/>
              <w:keepNext w:val="0"/>
              <w:keepLines w:val="0"/>
              <w:pageBreakBefore w:val="0"/>
              <w:widowControl/>
              <w:kinsoku/>
              <w:wordWrap w:val="0"/>
              <w:overflowPunct/>
              <w:topLinePunct w:val="0"/>
              <w:autoSpaceDE/>
              <w:autoSpaceDN/>
              <w:bidi w:val="0"/>
              <w:adjustRightInd w:val="0"/>
              <w:snapToGrid w:val="0"/>
              <w:spacing w:line="360" w:lineRule="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2.快速服务保障能力良的得5分；</w:t>
            </w:r>
          </w:p>
          <w:p w14:paraId="11FA889C">
            <w:pPr>
              <w:pStyle w:val="11"/>
              <w:keepNext w:val="0"/>
              <w:keepLines w:val="0"/>
              <w:pageBreakBefore w:val="0"/>
              <w:widowControl/>
              <w:kinsoku/>
              <w:wordWrap w:val="0"/>
              <w:overflowPunct/>
              <w:topLinePunct w:val="0"/>
              <w:autoSpaceDE/>
              <w:autoSpaceDN/>
              <w:bidi w:val="0"/>
              <w:adjustRightInd w:val="0"/>
              <w:snapToGrid w:val="0"/>
              <w:spacing w:line="360" w:lineRule="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3.快速服务保障能力一般的得2分；</w:t>
            </w:r>
          </w:p>
          <w:p w14:paraId="6D2BE5FD">
            <w:pPr>
              <w:pStyle w:val="11"/>
              <w:keepNext w:val="0"/>
              <w:keepLines w:val="0"/>
              <w:pageBreakBefore w:val="0"/>
              <w:widowControl/>
              <w:kinsoku/>
              <w:wordWrap w:val="0"/>
              <w:overflowPunct/>
              <w:topLinePunct w:val="0"/>
              <w:autoSpaceDE/>
              <w:autoSpaceDN/>
              <w:bidi w:val="0"/>
              <w:adjustRightInd w:val="0"/>
              <w:snapToGrid w:val="0"/>
              <w:spacing w:line="360" w:lineRule="auto"/>
              <w:rPr>
                <w:rFonts w:hint="eastAsia" w:ascii="宋体" w:hAnsi="宋体" w:eastAsia="宋体" w:cs="宋体"/>
                <w:color w:val="auto"/>
                <w:kern w:val="2"/>
                <w:sz w:val="22"/>
                <w:szCs w:val="22"/>
                <w:lang w:val="en-US" w:eastAsia="zh-CN" w:bidi="ar-SA"/>
              </w:rPr>
            </w:pPr>
            <w:r>
              <w:rPr>
                <w:rFonts w:hint="eastAsia" w:ascii="宋体" w:hAnsi="宋体" w:eastAsia="宋体" w:cs="宋体"/>
                <w:snapToGrid w:val="0"/>
                <w:color w:val="auto"/>
                <w:kern w:val="0"/>
                <w:sz w:val="24"/>
                <w:szCs w:val="24"/>
                <w:highlight w:val="none"/>
                <w:lang w:val="en-US" w:eastAsia="zh-CN" w:bidi="ar-SA"/>
              </w:rPr>
              <w:t xml:space="preserve">本项最高得10分。  </w:t>
            </w:r>
          </w:p>
        </w:tc>
        <w:tc>
          <w:tcPr>
            <w:tcW w:w="4743" w:type="dxa"/>
            <w:tcBorders>
              <w:top w:val="single" w:color="auto" w:sz="4" w:space="0"/>
              <w:left w:val="single" w:color="auto" w:sz="4" w:space="0"/>
              <w:bottom w:val="single" w:color="auto" w:sz="4" w:space="0"/>
              <w:right w:val="single" w:color="auto" w:sz="4" w:space="0"/>
            </w:tcBorders>
            <w:noWrap w:val="0"/>
            <w:vAlign w:val="center"/>
          </w:tcPr>
          <w:p w14:paraId="3B60C2E9">
            <w:pPr>
              <w:pStyle w:val="11"/>
              <w:keepNext w:val="0"/>
              <w:keepLines w:val="0"/>
              <w:pageBreakBefore w:val="0"/>
              <w:widowControl/>
              <w:kinsoku/>
              <w:wordWrap w:val="0"/>
              <w:overflowPunct/>
              <w:topLinePunct w:val="0"/>
              <w:autoSpaceDE/>
              <w:autoSpaceDN/>
              <w:bidi w:val="0"/>
              <w:adjustRightInd w:val="0"/>
              <w:snapToGrid w:val="0"/>
              <w:spacing w:after="0" w:line="360" w:lineRule="auto"/>
              <w:jc w:val="left"/>
              <w:textAlignment w:val="baseline"/>
              <w:rPr>
                <w:rFonts w:hint="eastAsia" w:ascii="宋体" w:hAnsi="宋体" w:eastAsia="宋体" w:cs="宋体"/>
                <w:snapToGrid w:val="0"/>
                <w:color w:val="auto"/>
                <w:kern w:val="0"/>
                <w:sz w:val="24"/>
                <w:szCs w:val="24"/>
                <w:highlight w:val="none"/>
                <w:shd w:val="clear" w:color="auto" w:fill="auto"/>
                <w:lang w:eastAsia="zh-CN"/>
              </w:rPr>
            </w:pPr>
            <w:r>
              <w:rPr>
                <w:rFonts w:hint="eastAsia" w:ascii="宋体" w:hAnsi="宋体" w:eastAsia="宋体" w:cs="宋体"/>
                <w:snapToGrid w:val="0"/>
                <w:color w:val="auto"/>
                <w:kern w:val="0"/>
                <w:sz w:val="24"/>
                <w:szCs w:val="24"/>
                <w:highlight w:val="none"/>
                <w:shd w:val="clear" w:color="auto" w:fill="auto"/>
              </w:rPr>
              <w:t>1.投标人须提供快速服务保障能力的承诺函，承诺函中必须包含响应时间及保修期服务的承诺，并提供投标人营业执照的所在地距离招标人地点的百度地图路线网上截图</w:t>
            </w:r>
            <w:r>
              <w:rPr>
                <w:rFonts w:hint="eastAsia" w:ascii="宋体" w:hAnsi="宋体" w:eastAsia="宋体" w:cs="宋体"/>
                <w:snapToGrid w:val="0"/>
                <w:color w:val="auto"/>
                <w:kern w:val="0"/>
                <w:sz w:val="24"/>
                <w:szCs w:val="24"/>
                <w:highlight w:val="none"/>
                <w:shd w:val="clear" w:color="auto" w:fill="auto"/>
                <w:lang w:eastAsia="zh-CN"/>
              </w:rPr>
              <w:t>，</w:t>
            </w:r>
            <w:r>
              <w:rPr>
                <w:rFonts w:hint="eastAsia" w:ascii="宋体" w:hAnsi="宋体" w:eastAsia="宋体" w:cs="宋体"/>
                <w:snapToGrid w:val="0"/>
                <w:color w:val="auto"/>
                <w:kern w:val="0"/>
                <w:sz w:val="24"/>
                <w:szCs w:val="24"/>
                <w:highlight w:val="none"/>
                <w:shd w:val="clear" w:color="auto" w:fill="auto"/>
              </w:rPr>
              <w:t>同城</w:t>
            </w:r>
            <w:r>
              <w:rPr>
                <w:rFonts w:hint="eastAsia" w:ascii="宋体" w:hAnsi="宋体" w:eastAsia="宋体" w:cs="宋体"/>
                <w:snapToGrid w:val="0"/>
                <w:color w:val="auto"/>
                <w:kern w:val="0"/>
                <w:sz w:val="24"/>
                <w:szCs w:val="24"/>
                <w:highlight w:val="none"/>
                <w:shd w:val="clear" w:color="auto" w:fill="auto"/>
                <w:lang w:eastAsia="zh-CN"/>
              </w:rPr>
              <w:t>（</w:t>
            </w:r>
            <w:r>
              <w:rPr>
                <w:rFonts w:hint="eastAsia" w:ascii="宋体" w:hAnsi="宋体" w:eastAsia="宋体" w:cs="宋体"/>
                <w:snapToGrid w:val="0"/>
                <w:color w:val="auto"/>
                <w:kern w:val="0"/>
                <w:sz w:val="24"/>
                <w:szCs w:val="24"/>
                <w:highlight w:val="none"/>
                <w:shd w:val="clear" w:color="auto" w:fill="auto"/>
              </w:rPr>
              <w:t>同个县/区</w:t>
            </w:r>
            <w:r>
              <w:rPr>
                <w:rFonts w:hint="eastAsia" w:ascii="宋体" w:hAnsi="宋体" w:eastAsia="宋体" w:cs="宋体"/>
                <w:snapToGrid w:val="0"/>
                <w:color w:val="auto"/>
                <w:kern w:val="0"/>
                <w:sz w:val="24"/>
                <w:szCs w:val="24"/>
                <w:highlight w:val="none"/>
                <w:shd w:val="clear" w:color="auto" w:fill="auto"/>
                <w:lang w:eastAsia="zh-CN"/>
              </w:rPr>
              <w:t>）</w:t>
            </w:r>
            <w:r>
              <w:rPr>
                <w:rFonts w:hint="eastAsia" w:ascii="宋体" w:hAnsi="宋体" w:eastAsia="宋体" w:cs="宋体"/>
                <w:snapToGrid w:val="0"/>
                <w:color w:val="auto"/>
                <w:kern w:val="0"/>
                <w:sz w:val="24"/>
                <w:szCs w:val="24"/>
                <w:highlight w:val="none"/>
                <w:shd w:val="clear" w:color="auto" w:fill="auto"/>
              </w:rPr>
              <w:t>视为快速服务能力相同。拟投入本项目的施工管理机构人员在</w:t>
            </w:r>
            <w:r>
              <w:rPr>
                <w:rFonts w:hint="eastAsia" w:ascii="宋体" w:hAnsi="宋体" w:eastAsia="宋体" w:cs="宋体"/>
                <w:snapToGrid w:val="0"/>
                <w:color w:val="auto"/>
                <w:kern w:val="0"/>
                <w:sz w:val="24"/>
                <w:szCs w:val="24"/>
                <w:highlight w:val="none"/>
                <w:shd w:val="clear" w:color="auto" w:fill="auto"/>
                <w:lang w:val="en-US" w:eastAsia="zh-CN"/>
              </w:rPr>
              <w:t>投标单位注册地办理</w:t>
            </w:r>
            <w:r>
              <w:rPr>
                <w:rFonts w:hint="eastAsia" w:ascii="宋体" w:hAnsi="宋体" w:eastAsia="宋体" w:cs="宋体"/>
                <w:snapToGrid w:val="0"/>
                <w:color w:val="auto"/>
                <w:kern w:val="0"/>
                <w:sz w:val="24"/>
                <w:szCs w:val="24"/>
                <w:highlight w:val="none"/>
                <w:shd w:val="clear" w:color="auto" w:fill="auto"/>
              </w:rPr>
              <w:t>的社保证明文件</w:t>
            </w:r>
            <w:r>
              <w:rPr>
                <w:rFonts w:hint="eastAsia" w:ascii="宋体" w:hAnsi="宋体" w:eastAsia="宋体" w:cs="宋体"/>
                <w:snapToGrid w:val="0"/>
                <w:color w:val="auto"/>
                <w:kern w:val="0"/>
                <w:sz w:val="24"/>
                <w:szCs w:val="24"/>
                <w:highlight w:val="none"/>
                <w:shd w:val="clear" w:color="auto" w:fill="auto"/>
                <w:lang w:eastAsia="zh-CN"/>
              </w:rPr>
              <w:t>（</w:t>
            </w:r>
            <w:r>
              <w:rPr>
                <w:rFonts w:hint="eastAsia" w:ascii="宋体" w:hAnsi="宋体" w:eastAsia="宋体" w:cs="宋体"/>
                <w:snapToGrid w:val="0"/>
                <w:color w:val="auto"/>
                <w:kern w:val="0"/>
                <w:sz w:val="24"/>
                <w:szCs w:val="24"/>
                <w:highlight w:val="none"/>
                <w:shd w:val="clear" w:color="auto" w:fill="auto"/>
              </w:rPr>
              <w:t>至少</w:t>
            </w:r>
            <w:r>
              <w:rPr>
                <w:rFonts w:hint="eastAsia" w:ascii="宋体" w:hAnsi="宋体" w:eastAsia="宋体" w:cs="宋体"/>
                <w:snapToGrid w:val="0"/>
                <w:color w:val="auto"/>
                <w:kern w:val="0"/>
                <w:sz w:val="24"/>
                <w:szCs w:val="24"/>
                <w:highlight w:val="none"/>
                <w:shd w:val="clear" w:color="auto" w:fill="auto"/>
                <w:lang w:val="en-US" w:eastAsia="zh-CN"/>
              </w:rPr>
              <w:t>1</w:t>
            </w:r>
            <w:r>
              <w:rPr>
                <w:rFonts w:hint="eastAsia" w:ascii="宋体" w:hAnsi="宋体" w:eastAsia="宋体" w:cs="宋体"/>
                <w:snapToGrid w:val="0"/>
                <w:color w:val="auto"/>
                <w:kern w:val="0"/>
                <w:sz w:val="24"/>
                <w:szCs w:val="24"/>
                <w:highlight w:val="none"/>
                <w:shd w:val="clear" w:color="auto" w:fill="auto"/>
              </w:rPr>
              <w:t>个月，其中必须有202</w:t>
            </w:r>
            <w:r>
              <w:rPr>
                <w:rFonts w:hint="eastAsia" w:ascii="宋体" w:hAnsi="宋体" w:eastAsia="宋体" w:cs="宋体"/>
                <w:snapToGrid w:val="0"/>
                <w:color w:val="auto"/>
                <w:kern w:val="0"/>
                <w:sz w:val="24"/>
                <w:szCs w:val="24"/>
                <w:highlight w:val="none"/>
                <w:shd w:val="clear" w:color="auto" w:fill="auto"/>
                <w:lang w:val="en-US" w:eastAsia="zh-CN"/>
              </w:rPr>
              <w:t>5</w:t>
            </w:r>
            <w:r>
              <w:rPr>
                <w:rFonts w:hint="eastAsia" w:ascii="宋体" w:hAnsi="宋体" w:eastAsia="宋体" w:cs="宋体"/>
                <w:snapToGrid w:val="0"/>
                <w:color w:val="auto"/>
                <w:kern w:val="0"/>
                <w:sz w:val="24"/>
                <w:szCs w:val="24"/>
                <w:highlight w:val="none"/>
                <w:shd w:val="clear" w:color="auto" w:fill="auto"/>
              </w:rPr>
              <w:t>年</w:t>
            </w:r>
            <w:r>
              <w:rPr>
                <w:rFonts w:hint="eastAsia" w:ascii="宋体" w:hAnsi="宋体" w:eastAsia="宋体" w:cs="宋体"/>
                <w:snapToGrid w:val="0"/>
                <w:color w:val="auto"/>
                <w:kern w:val="0"/>
                <w:sz w:val="24"/>
                <w:szCs w:val="24"/>
                <w:highlight w:val="none"/>
                <w:shd w:val="clear" w:color="auto" w:fill="auto"/>
                <w:lang w:val="en-US" w:eastAsia="zh-CN"/>
              </w:rPr>
              <w:t>9</w:t>
            </w:r>
            <w:r>
              <w:rPr>
                <w:rFonts w:hint="eastAsia" w:ascii="宋体" w:hAnsi="宋体" w:eastAsia="宋体" w:cs="宋体"/>
                <w:snapToGrid w:val="0"/>
                <w:color w:val="auto"/>
                <w:kern w:val="0"/>
                <w:sz w:val="24"/>
                <w:szCs w:val="24"/>
                <w:highlight w:val="none"/>
                <w:shd w:val="clear" w:color="auto" w:fill="auto"/>
              </w:rPr>
              <w:t>月</w:t>
            </w:r>
            <w:r>
              <w:rPr>
                <w:rFonts w:hint="eastAsia" w:ascii="宋体" w:hAnsi="宋体" w:eastAsia="宋体" w:cs="宋体"/>
                <w:snapToGrid w:val="0"/>
                <w:color w:val="auto"/>
                <w:kern w:val="0"/>
                <w:sz w:val="24"/>
                <w:szCs w:val="24"/>
                <w:highlight w:val="none"/>
                <w:shd w:val="clear" w:color="auto" w:fill="auto"/>
                <w:lang w:eastAsia="zh-CN"/>
              </w:rPr>
              <w:t>），</w:t>
            </w:r>
            <w:r>
              <w:rPr>
                <w:rFonts w:hint="eastAsia" w:ascii="宋体" w:hAnsi="宋体" w:eastAsia="宋体" w:cs="宋体"/>
                <w:snapToGrid w:val="0"/>
                <w:color w:val="auto"/>
                <w:kern w:val="0"/>
                <w:sz w:val="24"/>
                <w:szCs w:val="24"/>
                <w:highlight w:val="none"/>
                <w:shd w:val="clear" w:color="auto" w:fill="auto"/>
              </w:rPr>
              <w:t>投标人营业执照</w:t>
            </w:r>
            <w:r>
              <w:rPr>
                <w:rFonts w:hint="eastAsia" w:ascii="宋体" w:hAnsi="宋体" w:eastAsia="宋体" w:cs="宋体"/>
                <w:color w:val="auto"/>
                <w:kern w:val="0"/>
                <w:sz w:val="24"/>
                <w:szCs w:val="24"/>
                <w:highlight w:val="none"/>
                <w:lang w:val="en-US" w:eastAsia="zh-CN"/>
              </w:rPr>
              <w:t>扫描件</w:t>
            </w:r>
            <w:r>
              <w:rPr>
                <w:rFonts w:hint="eastAsia" w:ascii="宋体" w:hAnsi="宋体" w:eastAsia="宋体" w:cs="宋体"/>
                <w:snapToGrid w:val="0"/>
                <w:color w:val="auto"/>
                <w:kern w:val="0"/>
                <w:sz w:val="24"/>
                <w:szCs w:val="24"/>
                <w:highlight w:val="none"/>
                <w:shd w:val="clear" w:color="auto" w:fill="auto"/>
              </w:rPr>
              <w:t>、人员社保证明</w:t>
            </w:r>
            <w:r>
              <w:rPr>
                <w:rFonts w:hint="eastAsia" w:ascii="宋体" w:hAnsi="宋体" w:eastAsia="宋体" w:cs="宋体"/>
                <w:color w:val="auto"/>
                <w:kern w:val="0"/>
                <w:sz w:val="24"/>
                <w:szCs w:val="24"/>
                <w:highlight w:val="none"/>
                <w:lang w:val="en-US" w:eastAsia="zh-CN"/>
              </w:rPr>
              <w:t>扫描件</w:t>
            </w:r>
            <w:r>
              <w:rPr>
                <w:rFonts w:hint="eastAsia" w:ascii="宋体" w:hAnsi="宋体" w:eastAsia="宋体" w:cs="宋体"/>
                <w:snapToGrid w:val="0"/>
                <w:color w:val="auto"/>
                <w:kern w:val="0"/>
                <w:sz w:val="24"/>
                <w:szCs w:val="24"/>
                <w:highlight w:val="none"/>
                <w:shd w:val="clear" w:color="auto" w:fill="auto"/>
              </w:rPr>
              <w:t>等相关佐证材料。承诺函格式自拟。</w:t>
            </w:r>
          </w:p>
          <w:p w14:paraId="76D8FB16">
            <w:pPr>
              <w:numPr>
                <w:ilvl w:val="0"/>
                <w:numId w:val="0"/>
              </w:numPr>
              <w:wordWrap w:val="0"/>
              <w:snapToGrid w:val="0"/>
              <w:spacing w:line="360" w:lineRule="auto"/>
              <w:ind w:left="0" w:leftChars="0" w:firstLine="0" w:firstLineChars="0"/>
              <w:jc w:val="left"/>
              <w:rPr>
                <w:rFonts w:hint="eastAsia" w:ascii="宋体" w:hAnsi="宋体" w:eastAsia="宋体" w:cs="宋体"/>
                <w:color w:val="auto"/>
                <w:kern w:val="0"/>
                <w:sz w:val="22"/>
                <w:szCs w:val="22"/>
                <w:highlight w:val="none"/>
              </w:rPr>
            </w:pPr>
            <w:r>
              <w:rPr>
                <w:rFonts w:hint="eastAsia" w:ascii="宋体" w:hAnsi="宋体" w:eastAsia="宋体" w:cs="宋体"/>
                <w:snapToGrid w:val="0"/>
                <w:color w:val="auto"/>
                <w:kern w:val="0"/>
                <w:sz w:val="24"/>
                <w:szCs w:val="24"/>
                <w:highlight w:val="none"/>
                <w:shd w:val="clear" w:color="auto" w:fill="auto"/>
              </w:rPr>
              <w:t>2.不符合评分标准和备注规定的，不计分</w:t>
            </w:r>
            <w:r>
              <w:rPr>
                <w:rFonts w:hint="eastAsia" w:ascii="宋体" w:hAnsi="宋体" w:eastAsia="宋体" w:cs="宋体"/>
                <w:snapToGrid w:val="0"/>
                <w:color w:val="auto"/>
                <w:kern w:val="0"/>
                <w:sz w:val="24"/>
                <w:szCs w:val="24"/>
                <w:highlight w:val="none"/>
                <w:shd w:val="clear" w:color="auto" w:fill="auto"/>
                <w:lang w:eastAsia="zh-CN"/>
              </w:rPr>
              <w:t>。</w:t>
            </w:r>
          </w:p>
        </w:tc>
      </w:tr>
      <w:tr w14:paraId="1770ED0C">
        <w:tblPrEx>
          <w:tblCellMar>
            <w:top w:w="0" w:type="dxa"/>
            <w:left w:w="108" w:type="dxa"/>
            <w:bottom w:w="0" w:type="dxa"/>
            <w:right w:w="108" w:type="dxa"/>
          </w:tblCellMar>
        </w:tblPrEx>
        <w:trPr>
          <w:trHeight w:val="23" w:hRule="atLeast"/>
          <w:jc w:val="center"/>
        </w:trPr>
        <w:tc>
          <w:tcPr>
            <w:tcW w:w="10853" w:type="dxa"/>
            <w:gridSpan w:val="4"/>
            <w:tcBorders>
              <w:top w:val="single" w:color="auto" w:sz="4" w:space="0"/>
              <w:left w:val="single" w:color="auto" w:sz="4" w:space="0"/>
              <w:bottom w:val="single" w:color="auto" w:sz="4" w:space="0"/>
              <w:right w:val="single" w:color="auto" w:sz="4" w:space="0"/>
            </w:tcBorders>
            <w:shd w:val="clear" w:color="auto" w:fill="D9D9D9"/>
            <w:noWrap w:val="0"/>
            <w:vAlign w:val="center"/>
          </w:tcPr>
          <w:p w14:paraId="15776CCB">
            <w:pPr>
              <w:pStyle w:val="11"/>
              <w:wordWrap w:val="0"/>
              <w:adjustRightInd w:val="0"/>
              <w:snapToGrid w:val="0"/>
              <w:spacing w:after="0"/>
              <w:jc w:val="left"/>
              <w:rPr>
                <w:rFonts w:hint="eastAsia" w:ascii="宋体" w:hAnsi="宋体" w:eastAsia="宋体" w:cs="宋体"/>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技术部分（施工组织设计），满分：</w:t>
            </w:r>
            <w:r>
              <w:rPr>
                <w:rFonts w:hint="eastAsia" w:ascii="宋体" w:hAnsi="宋体" w:eastAsia="宋体" w:cs="宋体"/>
                <w:b/>
                <w:bCs/>
                <w:snapToGrid w:val="0"/>
                <w:color w:val="auto"/>
                <w:kern w:val="0"/>
                <w:sz w:val="22"/>
                <w:szCs w:val="22"/>
                <w:highlight w:val="none"/>
                <w:u w:val="single"/>
                <w:lang w:val="en-US" w:eastAsia="zh-CN"/>
              </w:rPr>
              <w:t>20</w:t>
            </w:r>
            <w:r>
              <w:rPr>
                <w:rFonts w:hint="eastAsia" w:ascii="宋体" w:hAnsi="宋体" w:eastAsia="宋体" w:cs="宋体"/>
                <w:b/>
                <w:bCs/>
                <w:snapToGrid w:val="0"/>
                <w:color w:val="auto"/>
                <w:kern w:val="0"/>
                <w:sz w:val="22"/>
                <w:szCs w:val="22"/>
                <w:highlight w:val="none"/>
              </w:rPr>
              <w:t>分。</w:t>
            </w:r>
          </w:p>
        </w:tc>
      </w:tr>
      <w:tr w14:paraId="2AD7B249">
        <w:tblPrEx>
          <w:tblCellMar>
            <w:top w:w="0" w:type="dxa"/>
            <w:left w:w="108" w:type="dxa"/>
            <w:bottom w:w="0" w:type="dxa"/>
            <w:right w:w="108" w:type="dxa"/>
          </w:tblCellMar>
        </w:tblPrEx>
        <w:trPr>
          <w:trHeight w:val="23" w:hRule="atLeast"/>
          <w:jc w:val="center"/>
        </w:trPr>
        <w:tc>
          <w:tcPr>
            <w:tcW w:w="1493" w:type="dxa"/>
            <w:tcBorders>
              <w:top w:val="single" w:color="auto" w:sz="4" w:space="0"/>
              <w:left w:val="single" w:color="auto" w:sz="4" w:space="0"/>
              <w:bottom w:val="single" w:color="auto" w:sz="4" w:space="0"/>
              <w:right w:val="single" w:color="auto" w:sz="4" w:space="0"/>
            </w:tcBorders>
            <w:noWrap w:val="0"/>
            <w:vAlign w:val="center"/>
          </w:tcPr>
          <w:p w14:paraId="7C000DBD">
            <w:pPr>
              <w:pStyle w:val="11"/>
              <w:wordWrap w:val="0"/>
              <w:adjustRightInd w:val="0"/>
              <w:snapToGrid w:val="0"/>
              <w:spacing w:after="0"/>
              <w:jc w:val="center"/>
              <w:rPr>
                <w:rFonts w:hint="eastAsia" w:ascii="宋体" w:hAnsi="宋体" w:eastAsia="宋体" w:cs="宋体"/>
                <w:b w:val="0"/>
                <w:bCs w:val="0"/>
                <w:snapToGrid w:val="0"/>
                <w:color w:val="auto"/>
                <w:kern w:val="0"/>
                <w:sz w:val="22"/>
                <w:szCs w:val="22"/>
                <w:highlight w:val="none"/>
              </w:rPr>
            </w:pPr>
            <w:r>
              <w:rPr>
                <w:rFonts w:hint="eastAsia" w:ascii="宋体" w:hAnsi="宋体" w:eastAsia="宋体" w:cs="宋体"/>
                <w:b w:val="0"/>
                <w:bCs w:val="0"/>
                <w:snapToGrid w:val="0"/>
                <w:color w:val="auto"/>
                <w:kern w:val="0"/>
                <w:sz w:val="22"/>
                <w:szCs w:val="22"/>
                <w:highlight w:val="none"/>
              </w:rPr>
              <w:t>评分因素</w:t>
            </w:r>
          </w:p>
        </w:tc>
        <w:tc>
          <w:tcPr>
            <w:tcW w:w="3927" w:type="dxa"/>
            <w:tcBorders>
              <w:top w:val="single" w:color="auto" w:sz="4" w:space="0"/>
              <w:left w:val="single" w:color="auto" w:sz="4" w:space="0"/>
              <w:bottom w:val="single" w:color="auto" w:sz="4" w:space="0"/>
              <w:right w:val="single" w:color="auto" w:sz="4" w:space="0"/>
            </w:tcBorders>
            <w:noWrap w:val="0"/>
            <w:vAlign w:val="center"/>
          </w:tcPr>
          <w:p w14:paraId="26C2747E">
            <w:pPr>
              <w:pStyle w:val="11"/>
              <w:wordWrap w:val="0"/>
              <w:adjustRightInd w:val="0"/>
              <w:snapToGrid w:val="0"/>
              <w:spacing w:after="0"/>
              <w:jc w:val="center"/>
              <w:rPr>
                <w:rFonts w:hint="eastAsia" w:ascii="宋体" w:hAnsi="宋体" w:eastAsia="宋体" w:cs="宋体"/>
                <w:b w:val="0"/>
                <w:bCs w:val="0"/>
                <w:snapToGrid w:val="0"/>
                <w:color w:val="auto"/>
                <w:kern w:val="0"/>
                <w:sz w:val="22"/>
                <w:szCs w:val="22"/>
                <w:highlight w:val="none"/>
              </w:rPr>
            </w:pPr>
            <w:r>
              <w:rPr>
                <w:rFonts w:hint="eastAsia" w:ascii="宋体" w:hAnsi="宋体" w:eastAsia="宋体" w:cs="宋体"/>
                <w:b w:val="0"/>
                <w:bCs w:val="0"/>
                <w:snapToGrid w:val="0"/>
                <w:color w:val="auto"/>
                <w:kern w:val="0"/>
                <w:sz w:val="22"/>
                <w:szCs w:val="22"/>
                <w:highlight w:val="none"/>
              </w:rPr>
              <w:t>评分标准</w:t>
            </w:r>
          </w:p>
        </w:tc>
        <w:tc>
          <w:tcPr>
            <w:tcW w:w="5433" w:type="dxa"/>
            <w:gridSpan w:val="2"/>
            <w:tcBorders>
              <w:top w:val="single" w:color="auto" w:sz="4" w:space="0"/>
              <w:left w:val="single" w:color="auto" w:sz="4" w:space="0"/>
              <w:bottom w:val="single" w:color="auto" w:sz="4" w:space="0"/>
              <w:right w:val="single" w:color="auto" w:sz="4" w:space="0"/>
            </w:tcBorders>
            <w:noWrap w:val="0"/>
            <w:vAlign w:val="center"/>
          </w:tcPr>
          <w:p w14:paraId="43F36B56">
            <w:pPr>
              <w:pStyle w:val="11"/>
              <w:wordWrap w:val="0"/>
              <w:adjustRightInd w:val="0"/>
              <w:snapToGrid w:val="0"/>
              <w:spacing w:after="0"/>
              <w:jc w:val="center"/>
              <w:rPr>
                <w:rFonts w:hint="eastAsia" w:ascii="宋体" w:hAnsi="宋体" w:eastAsia="宋体" w:cs="宋体"/>
                <w:b w:val="0"/>
                <w:bCs w:val="0"/>
                <w:snapToGrid w:val="0"/>
                <w:color w:val="auto"/>
                <w:kern w:val="0"/>
                <w:sz w:val="22"/>
                <w:szCs w:val="22"/>
                <w:highlight w:val="none"/>
              </w:rPr>
            </w:pPr>
            <w:r>
              <w:rPr>
                <w:rFonts w:hint="eastAsia" w:ascii="宋体" w:hAnsi="宋体" w:eastAsia="宋体" w:cs="宋体"/>
                <w:b w:val="0"/>
                <w:bCs w:val="0"/>
                <w:snapToGrid w:val="0"/>
                <w:color w:val="auto"/>
                <w:kern w:val="0"/>
                <w:sz w:val="22"/>
                <w:szCs w:val="22"/>
                <w:highlight w:val="none"/>
              </w:rPr>
              <w:t>备注</w:t>
            </w:r>
          </w:p>
        </w:tc>
      </w:tr>
      <w:tr w14:paraId="0943E310">
        <w:tblPrEx>
          <w:tblCellMar>
            <w:top w:w="0" w:type="dxa"/>
            <w:left w:w="108" w:type="dxa"/>
            <w:bottom w:w="0" w:type="dxa"/>
            <w:right w:w="108" w:type="dxa"/>
          </w:tblCellMar>
        </w:tblPrEx>
        <w:trPr>
          <w:trHeight w:val="23" w:hRule="atLeast"/>
          <w:jc w:val="center"/>
        </w:trPr>
        <w:tc>
          <w:tcPr>
            <w:tcW w:w="1493" w:type="dxa"/>
            <w:tcBorders>
              <w:top w:val="single" w:color="auto" w:sz="4" w:space="0"/>
              <w:left w:val="single" w:color="auto" w:sz="4" w:space="0"/>
              <w:bottom w:val="single" w:color="auto" w:sz="4" w:space="0"/>
              <w:right w:val="single" w:color="auto" w:sz="4" w:space="0"/>
            </w:tcBorders>
            <w:noWrap w:val="0"/>
            <w:vAlign w:val="center"/>
          </w:tcPr>
          <w:p w14:paraId="0096C626">
            <w:pPr>
              <w:jc w:val="center"/>
              <w:rPr>
                <w:rFonts w:hint="eastAsia" w:ascii="宋体" w:hAnsi="宋体" w:eastAsia="宋体" w:cs="宋体"/>
                <w:color w:val="auto"/>
                <w:sz w:val="24"/>
                <w:szCs w:val="24"/>
              </w:rPr>
            </w:pPr>
            <w:r>
              <w:rPr>
                <w:rFonts w:hint="eastAsia" w:ascii="宋体" w:hAnsi="宋体" w:eastAsia="宋体" w:cs="宋体"/>
                <w:color w:val="auto"/>
                <w:sz w:val="24"/>
                <w:szCs w:val="24"/>
              </w:rPr>
              <w:t>总体概述</w:t>
            </w:r>
          </w:p>
          <w:p w14:paraId="4A6052FC">
            <w:pPr>
              <w:jc w:val="center"/>
              <w:rPr>
                <w:rFonts w:hint="eastAsia" w:ascii="宋体" w:hAnsi="宋体" w:eastAsia="宋体" w:cs="宋体"/>
                <w:color w:val="auto"/>
                <w:sz w:val="22"/>
                <w:szCs w:val="22"/>
              </w:rPr>
            </w:pPr>
            <w:r>
              <w:rPr>
                <w:rFonts w:hint="eastAsia" w:ascii="宋体" w:hAnsi="宋体" w:eastAsia="宋体" w:cs="宋体"/>
                <w:color w:val="auto"/>
                <w:sz w:val="24"/>
                <w:szCs w:val="24"/>
              </w:rPr>
              <w:t>（3分）</w:t>
            </w:r>
          </w:p>
        </w:tc>
        <w:tc>
          <w:tcPr>
            <w:tcW w:w="3927" w:type="dxa"/>
            <w:tcBorders>
              <w:top w:val="single" w:color="auto" w:sz="4" w:space="0"/>
              <w:left w:val="single" w:color="auto" w:sz="4" w:space="0"/>
              <w:bottom w:val="single" w:color="auto" w:sz="4" w:space="0"/>
              <w:right w:val="single" w:color="auto" w:sz="4" w:space="0"/>
            </w:tcBorders>
            <w:noWrap w:val="0"/>
            <w:vAlign w:val="center"/>
          </w:tcPr>
          <w:p w14:paraId="20754B12">
            <w:pPr>
              <w:rPr>
                <w:rFonts w:hint="eastAsia" w:ascii="宋体" w:hAnsi="宋体" w:eastAsia="宋体" w:cs="宋体"/>
                <w:color w:val="auto"/>
                <w:sz w:val="24"/>
                <w:szCs w:val="24"/>
              </w:rPr>
            </w:pPr>
            <w:r>
              <w:rPr>
                <w:rFonts w:hint="eastAsia" w:ascii="宋体" w:hAnsi="宋体" w:eastAsia="宋体" w:cs="宋体"/>
                <w:color w:val="auto"/>
                <w:sz w:val="24"/>
                <w:szCs w:val="24"/>
              </w:rPr>
              <w:t>【优】得该项评分因素分值的90%～100%（含90%）。</w:t>
            </w:r>
          </w:p>
          <w:p w14:paraId="7ED2EA7D">
            <w:pPr>
              <w:rPr>
                <w:rFonts w:hint="eastAsia" w:ascii="宋体" w:hAnsi="宋体" w:eastAsia="宋体" w:cs="宋体"/>
                <w:color w:val="auto"/>
                <w:sz w:val="24"/>
                <w:szCs w:val="24"/>
              </w:rPr>
            </w:pPr>
            <w:r>
              <w:rPr>
                <w:rFonts w:hint="eastAsia" w:ascii="宋体" w:hAnsi="宋体" w:eastAsia="宋体" w:cs="宋体"/>
                <w:color w:val="auto"/>
                <w:sz w:val="24"/>
                <w:szCs w:val="24"/>
              </w:rPr>
              <w:t>【良】得该项评分因素分值的80%～90%（含80%）。</w:t>
            </w:r>
          </w:p>
          <w:p w14:paraId="45586488">
            <w:pPr>
              <w:rPr>
                <w:rFonts w:hint="eastAsia" w:ascii="宋体" w:hAnsi="宋体" w:eastAsia="宋体" w:cs="宋体"/>
                <w:color w:val="auto"/>
                <w:sz w:val="24"/>
                <w:szCs w:val="24"/>
              </w:rPr>
            </w:pPr>
            <w:r>
              <w:rPr>
                <w:rFonts w:hint="eastAsia" w:ascii="宋体" w:hAnsi="宋体" w:eastAsia="宋体" w:cs="宋体"/>
                <w:color w:val="auto"/>
                <w:sz w:val="24"/>
                <w:szCs w:val="24"/>
              </w:rPr>
              <w:t>【中】得该项评分因素分值的70%～80%（含70%）。</w:t>
            </w:r>
          </w:p>
          <w:p w14:paraId="4D6DC20F">
            <w:pPr>
              <w:rPr>
                <w:rFonts w:hint="eastAsia" w:ascii="宋体" w:hAnsi="宋体" w:eastAsia="宋体" w:cs="宋体"/>
                <w:color w:val="auto"/>
                <w:sz w:val="22"/>
                <w:szCs w:val="22"/>
              </w:rPr>
            </w:pPr>
            <w:r>
              <w:rPr>
                <w:rFonts w:hint="eastAsia" w:ascii="宋体" w:hAnsi="宋体" w:eastAsia="宋体" w:cs="宋体"/>
                <w:color w:val="auto"/>
                <w:sz w:val="24"/>
                <w:szCs w:val="24"/>
              </w:rPr>
              <w:t>【差】得该项评分因素分值的60～70%（含60%）。</w:t>
            </w:r>
          </w:p>
        </w:tc>
        <w:tc>
          <w:tcPr>
            <w:tcW w:w="5433" w:type="dxa"/>
            <w:gridSpan w:val="2"/>
            <w:tcBorders>
              <w:top w:val="single" w:color="auto" w:sz="4" w:space="0"/>
              <w:left w:val="single" w:color="auto" w:sz="4" w:space="0"/>
              <w:bottom w:val="single" w:color="auto" w:sz="4" w:space="0"/>
              <w:right w:val="single" w:color="auto" w:sz="4" w:space="0"/>
            </w:tcBorders>
            <w:noWrap w:val="0"/>
            <w:vAlign w:val="center"/>
          </w:tcPr>
          <w:p w14:paraId="007D2FF1">
            <w:pPr>
              <w:rPr>
                <w:rFonts w:hint="eastAsia" w:ascii="宋体" w:hAnsi="宋体" w:eastAsia="宋体" w:cs="宋体"/>
                <w:color w:val="auto"/>
                <w:sz w:val="24"/>
                <w:szCs w:val="24"/>
              </w:rPr>
            </w:pPr>
            <w:r>
              <w:rPr>
                <w:rFonts w:hint="eastAsia" w:ascii="宋体" w:hAnsi="宋体" w:eastAsia="宋体" w:cs="宋体"/>
                <w:color w:val="auto"/>
                <w:sz w:val="24"/>
                <w:szCs w:val="24"/>
              </w:rPr>
              <w:t>【优】对项目总体有深刻认识，表述清晰、完整、严谨、合理，措施先进、具体、有效、成熟，采用了新技术、新工艺、新材料、新设备；施工段划分呼应总体表述，划分清晰、合理，符合规范要求。</w:t>
            </w:r>
          </w:p>
          <w:p w14:paraId="1FFBBD2C">
            <w:pPr>
              <w:rPr>
                <w:rFonts w:hint="eastAsia" w:ascii="宋体" w:hAnsi="宋体" w:eastAsia="宋体" w:cs="宋体"/>
                <w:color w:val="auto"/>
                <w:sz w:val="24"/>
                <w:szCs w:val="24"/>
              </w:rPr>
            </w:pPr>
            <w:r>
              <w:rPr>
                <w:rFonts w:hint="eastAsia" w:ascii="宋体" w:hAnsi="宋体" w:eastAsia="宋体" w:cs="宋体"/>
                <w:color w:val="auto"/>
                <w:sz w:val="24"/>
                <w:szCs w:val="24"/>
              </w:rPr>
              <w:t>【良】对项目总体有一定认识，表述清晰、完整，措施具体有效；施工段划分呼应总体表述，划分清晰，符合规范要求。</w:t>
            </w:r>
          </w:p>
          <w:p w14:paraId="2E06693E">
            <w:pPr>
              <w:rPr>
                <w:rFonts w:hint="eastAsia" w:ascii="宋体" w:hAnsi="宋体" w:eastAsia="宋体" w:cs="宋体"/>
                <w:color w:val="auto"/>
                <w:sz w:val="24"/>
                <w:szCs w:val="24"/>
              </w:rPr>
            </w:pPr>
            <w:r>
              <w:rPr>
                <w:rFonts w:hint="eastAsia" w:ascii="宋体" w:hAnsi="宋体" w:eastAsia="宋体" w:cs="宋体"/>
                <w:color w:val="auto"/>
                <w:sz w:val="24"/>
                <w:szCs w:val="24"/>
              </w:rPr>
              <w:t>【中】对项目总体有认识，有一定的措施但部分不具体；施工段划分较合理，符合规范要求。</w:t>
            </w:r>
          </w:p>
          <w:p w14:paraId="50CCA69A">
            <w:pPr>
              <w:rPr>
                <w:rFonts w:hint="eastAsia" w:ascii="宋体" w:hAnsi="宋体" w:eastAsia="宋体" w:cs="宋体"/>
                <w:color w:val="auto"/>
                <w:sz w:val="22"/>
                <w:szCs w:val="22"/>
              </w:rPr>
            </w:pPr>
            <w:r>
              <w:rPr>
                <w:rFonts w:hint="eastAsia" w:ascii="宋体" w:hAnsi="宋体" w:eastAsia="宋体" w:cs="宋体"/>
                <w:color w:val="auto"/>
                <w:sz w:val="24"/>
                <w:szCs w:val="24"/>
              </w:rPr>
              <w:t>【差】对项目认识不足，表述不清晰，措施不具体；施工段划分不合理。</w:t>
            </w:r>
          </w:p>
        </w:tc>
      </w:tr>
      <w:tr w14:paraId="398784B7">
        <w:tblPrEx>
          <w:tblCellMar>
            <w:top w:w="0" w:type="dxa"/>
            <w:left w:w="108" w:type="dxa"/>
            <w:bottom w:w="0" w:type="dxa"/>
            <w:right w:w="108" w:type="dxa"/>
          </w:tblCellMar>
        </w:tblPrEx>
        <w:trPr>
          <w:trHeight w:val="23" w:hRule="atLeast"/>
          <w:jc w:val="center"/>
        </w:trPr>
        <w:tc>
          <w:tcPr>
            <w:tcW w:w="1493" w:type="dxa"/>
            <w:tcBorders>
              <w:top w:val="single" w:color="auto" w:sz="4" w:space="0"/>
              <w:left w:val="single" w:color="auto" w:sz="4" w:space="0"/>
              <w:bottom w:val="single" w:color="auto" w:sz="4" w:space="0"/>
              <w:right w:val="single" w:color="auto" w:sz="4" w:space="0"/>
            </w:tcBorders>
            <w:noWrap w:val="0"/>
            <w:vAlign w:val="center"/>
          </w:tcPr>
          <w:p w14:paraId="29252237">
            <w:pPr>
              <w:jc w:val="center"/>
              <w:rPr>
                <w:rFonts w:hint="eastAsia" w:ascii="宋体" w:hAnsi="宋体" w:eastAsia="宋体" w:cs="宋体"/>
                <w:color w:val="auto"/>
                <w:sz w:val="24"/>
                <w:szCs w:val="24"/>
              </w:rPr>
            </w:pPr>
            <w:r>
              <w:rPr>
                <w:rFonts w:hint="eastAsia" w:ascii="宋体" w:hAnsi="宋体" w:eastAsia="宋体" w:cs="宋体"/>
                <w:color w:val="auto"/>
                <w:sz w:val="24"/>
                <w:szCs w:val="24"/>
              </w:rPr>
              <w:t>施工总进度计划及保证措施</w:t>
            </w:r>
          </w:p>
          <w:p w14:paraId="7D7AAB29">
            <w:pPr>
              <w:jc w:val="center"/>
              <w:rPr>
                <w:rFonts w:hint="eastAsia" w:ascii="宋体" w:hAnsi="宋体" w:eastAsia="宋体" w:cs="宋体"/>
                <w:color w:val="auto"/>
                <w:sz w:val="22"/>
                <w:szCs w:val="22"/>
              </w:rPr>
            </w:pPr>
            <w:r>
              <w:rPr>
                <w:rFonts w:hint="eastAsia" w:ascii="宋体" w:hAnsi="宋体" w:eastAsia="宋体" w:cs="宋体"/>
                <w:color w:val="auto"/>
                <w:sz w:val="24"/>
                <w:szCs w:val="24"/>
              </w:rPr>
              <w:t>（3分）</w:t>
            </w:r>
          </w:p>
        </w:tc>
        <w:tc>
          <w:tcPr>
            <w:tcW w:w="3927" w:type="dxa"/>
            <w:tcBorders>
              <w:top w:val="single" w:color="auto" w:sz="4" w:space="0"/>
              <w:left w:val="single" w:color="auto" w:sz="4" w:space="0"/>
              <w:bottom w:val="single" w:color="auto" w:sz="4" w:space="0"/>
              <w:right w:val="single" w:color="auto" w:sz="4" w:space="0"/>
            </w:tcBorders>
            <w:noWrap w:val="0"/>
            <w:vAlign w:val="center"/>
          </w:tcPr>
          <w:p w14:paraId="6E1F38EF">
            <w:pPr>
              <w:rPr>
                <w:rFonts w:hint="eastAsia" w:ascii="宋体" w:hAnsi="宋体" w:eastAsia="宋体" w:cs="宋体"/>
                <w:color w:val="auto"/>
                <w:sz w:val="24"/>
                <w:szCs w:val="24"/>
              </w:rPr>
            </w:pPr>
            <w:r>
              <w:rPr>
                <w:rFonts w:hint="eastAsia" w:ascii="宋体" w:hAnsi="宋体" w:eastAsia="宋体" w:cs="宋体"/>
                <w:color w:val="auto"/>
                <w:sz w:val="24"/>
                <w:szCs w:val="24"/>
              </w:rPr>
              <w:t>【优】得该项评分因素分值的90%～100%（含90%）。</w:t>
            </w:r>
          </w:p>
          <w:p w14:paraId="1E160652">
            <w:pPr>
              <w:rPr>
                <w:rFonts w:hint="eastAsia" w:ascii="宋体" w:hAnsi="宋体" w:eastAsia="宋体" w:cs="宋体"/>
                <w:color w:val="auto"/>
                <w:sz w:val="24"/>
                <w:szCs w:val="24"/>
              </w:rPr>
            </w:pPr>
            <w:r>
              <w:rPr>
                <w:rFonts w:hint="eastAsia" w:ascii="宋体" w:hAnsi="宋体" w:eastAsia="宋体" w:cs="宋体"/>
                <w:color w:val="auto"/>
                <w:sz w:val="24"/>
                <w:szCs w:val="24"/>
              </w:rPr>
              <w:t>【良】得该项评分因素分值的80%～90%（含80%）。</w:t>
            </w:r>
          </w:p>
          <w:p w14:paraId="5EC08AF0">
            <w:pPr>
              <w:rPr>
                <w:rFonts w:hint="eastAsia" w:ascii="宋体" w:hAnsi="宋体" w:eastAsia="宋体" w:cs="宋体"/>
                <w:color w:val="auto"/>
                <w:sz w:val="24"/>
                <w:szCs w:val="24"/>
              </w:rPr>
            </w:pPr>
            <w:r>
              <w:rPr>
                <w:rFonts w:hint="eastAsia" w:ascii="宋体" w:hAnsi="宋体" w:eastAsia="宋体" w:cs="宋体"/>
                <w:color w:val="auto"/>
                <w:sz w:val="24"/>
                <w:szCs w:val="24"/>
              </w:rPr>
              <w:t>【中】得该项评分因素分值的70%～80%（含70%）。</w:t>
            </w:r>
          </w:p>
          <w:p w14:paraId="6E39AE03">
            <w:pPr>
              <w:rPr>
                <w:rFonts w:hint="eastAsia" w:ascii="宋体" w:hAnsi="宋体" w:eastAsia="宋体" w:cs="宋体"/>
                <w:color w:val="auto"/>
                <w:sz w:val="22"/>
                <w:szCs w:val="22"/>
              </w:rPr>
            </w:pPr>
            <w:r>
              <w:rPr>
                <w:rFonts w:hint="eastAsia" w:ascii="宋体" w:hAnsi="宋体" w:eastAsia="宋体" w:cs="宋体"/>
                <w:color w:val="auto"/>
                <w:sz w:val="24"/>
                <w:szCs w:val="24"/>
              </w:rPr>
              <w:t>【差】得该项评分因素分值的60～70%（含60%）。</w:t>
            </w:r>
          </w:p>
        </w:tc>
        <w:tc>
          <w:tcPr>
            <w:tcW w:w="5433" w:type="dxa"/>
            <w:gridSpan w:val="2"/>
            <w:tcBorders>
              <w:top w:val="single" w:color="auto" w:sz="4" w:space="0"/>
              <w:left w:val="single" w:color="auto" w:sz="4" w:space="0"/>
              <w:bottom w:val="single" w:color="auto" w:sz="4" w:space="0"/>
              <w:right w:val="single" w:color="auto" w:sz="4" w:space="0"/>
            </w:tcBorders>
            <w:noWrap w:val="0"/>
            <w:vAlign w:val="center"/>
          </w:tcPr>
          <w:p w14:paraId="704F91BB">
            <w:pPr>
              <w:rPr>
                <w:rFonts w:hint="eastAsia" w:ascii="宋体" w:hAnsi="宋体" w:eastAsia="宋体" w:cs="宋体"/>
                <w:color w:val="auto"/>
                <w:sz w:val="24"/>
                <w:szCs w:val="24"/>
              </w:rPr>
            </w:pPr>
            <w:r>
              <w:rPr>
                <w:rFonts w:hint="eastAsia" w:ascii="宋体" w:hAnsi="宋体" w:eastAsia="宋体" w:cs="宋体"/>
                <w:color w:val="auto"/>
                <w:sz w:val="24"/>
                <w:szCs w:val="24"/>
              </w:rPr>
              <w:t>【优】关键线路清晰、准确、完整，计划编制合理、可行。关键节点的控制措施有力、合理、可行。人、材、机需求和进场计划与进度计划相呼应，较好满足施工需要，调配投入计划合理、准确。进度违约责任承诺具体，经济赔偿合理。</w:t>
            </w:r>
          </w:p>
          <w:p w14:paraId="37C55B6C">
            <w:pPr>
              <w:rPr>
                <w:rFonts w:hint="eastAsia" w:ascii="宋体" w:hAnsi="宋体" w:eastAsia="宋体" w:cs="宋体"/>
                <w:color w:val="auto"/>
                <w:sz w:val="24"/>
                <w:szCs w:val="24"/>
              </w:rPr>
            </w:pPr>
            <w:r>
              <w:rPr>
                <w:rFonts w:hint="eastAsia" w:ascii="宋体" w:hAnsi="宋体" w:eastAsia="宋体" w:cs="宋体"/>
                <w:color w:val="auto"/>
                <w:sz w:val="24"/>
                <w:szCs w:val="24"/>
              </w:rPr>
              <w:t>【良】关键线路清晰、准确、完整，计划编制可行。关键节点的控制措施合理、可行。人、材、机需求和进场计划与进度计划相呼应，基本满足施工需要，调配投入计划基本合理、准确。进度违约责任承诺具体，经济赔偿较合理。</w:t>
            </w:r>
          </w:p>
          <w:p w14:paraId="1C330CA2">
            <w:pPr>
              <w:rPr>
                <w:rFonts w:hint="eastAsia" w:ascii="宋体" w:hAnsi="宋体" w:eastAsia="宋体" w:cs="宋体"/>
                <w:color w:val="auto"/>
                <w:sz w:val="24"/>
                <w:szCs w:val="24"/>
              </w:rPr>
            </w:pPr>
            <w:r>
              <w:rPr>
                <w:rFonts w:hint="eastAsia" w:ascii="宋体" w:hAnsi="宋体" w:eastAsia="宋体" w:cs="宋体"/>
                <w:color w:val="auto"/>
                <w:sz w:val="24"/>
                <w:szCs w:val="24"/>
              </w:rPr>
              <w:t>【中】关键线路基本准确，计划编制基本合理。关键节点的控制措施基本可行。人、材、机需求和进场计划与进度计划相呼应，基本满足施工需要，调配投入计划基本合理。进度违约责任承诺具体。</w:t>
            </w:r>
          </w:p>
          <w:p w14:paraId="35801B5A">
            <w:pPr>
              <w:rPr>
                <w:rFonts w:hint="eastAsia" w:ascii="宋体" w:hAnsi="宋体" w:eastAsia="宋体" w:cs="宋体"/>
                <w:color w:val="auto"/>
                <w:sz w:val="22"/>
                <w:szCs w:val="22"/>
              </w:rPr>
            </w:pPr>
            <w:r>
              <w:rPr>
                <w:rFonts w:hint="eastAsia" w:ascii="宋体" w:hAnsi="宋体" w:eastAsia="宋体" w:cs="宋体"/>
                <w:color w:val="auto"/>
                <w:sz w:val="24"/>
                <w:szCs w:val="24"/>
              </w:rPr>
              <w:t>【差】关键线路不准确，计划编制不合理。关键节点的控制不可行。人、材、机需求和进场计划与进度计划不相呼应，不能满足施工需要。没有违约责任承诺。</w:t>
            </w:r>
          </w:p>
        </w:tc>
      </w:tr>
      <w:tr w14:paraId="41603872">
        <w:tblPrEx>
          <w:tblCellMar>
            <w:top w:w="0" w:type="dxa"/>
            <w:left w:w="108" w:type="dxa"/>
            <w:bottom w:w="0" w:type="dxa"/>
            <w:right w:w="108" w:type="dxa"/>
          </w:tblCellMar>
        </w:tblPrEx>
        <w:trPr>
          <w:trHeight w:val="23" w:hRule="atLeast"/>
          <w:jc w:val="center"/>
        </w:trPr>
        <w:tc>
          <w:tcPr>
            <w:tcW w:w="1493" w:type="dxa"/>
            <w:tcBorders>
              <w:top w:val="single" w:color="auto" w:sz="4" w:space="0"/>
              <w:left w:val="single" w:color="auto" w:sz="4" w:space="0"/>
              <w:bottom w:val="single" w:color="auto" w:sz="4" w:space="0"/>
              <w:right w:val="single" w:color="auto" w:sz="4" w:space="0"/>
            </w:tcBorders>
            <w:noWrap w:val="0"/>
            <w:vAlign w:val="center"/>
          </w:tcPr>
          <w:p w14:paraId="3E818CD2">
            <w:pPr>
              <w:jc w:val="center"/>
              <w:rPr>
                <w:rFonts w:hint="eastAsia" w:ascii="宋体" w:hAnsi="宋体" w:eastAsia="宋体" w:cs="宋体"/>
                <w:color w:val="auto"/>
                <w:sz w:val="24"/>
                <w:szCs w:val="24"/>
              </w:rPr>
            </w:pPr>
            <w:r>
              <w:rPr>
                <w:rFonts w:hint="eastAsia" w:ascii="宋体" w:hAnsi="宋体" w:eastAsia="宋体" w:cs="宋体"/>
                <w:color w:val="auto"/>
                <w:sz w:val="24"/>
                <w:szCs w:val="24"/>
              </w:rPr>
              <w:t>质量保证措施</w:t>
            </w:r>
          </w:p>
          <w:p w14:paraId="7BC60F80">
            <w:pPr>
              <w:jc w:val="center"/>
              <w:rPr>
                <w:rFonts w:hint="eastAsia" w:ascii="宋体" w:hAnsi="宋体" w:eastAsia="宋体" w:cs="宋体"/>
                <w:color w:val="auto"/>
                <w:sz w:val="22"/>
                <w:szCs w:val="22"/>
              </w:rPr>
            </w:pPr>
            <w:r>
              <w:rPr>
                <w:rFonts w:hint="eastAsia" w:ascii="宋体" w:hAnsi="宋体" w:eastAsia="宋体" w:cs="宋体"/>
                <w:color w:val="auto"/>
                <w:sz w:val="24"/>
                <w:szCs w:val="24"/>
              </w:rPr>
              <w:t>（4分）</w:t>
            </w:r>
          </w:p>
        </w:tc>
        <w:tc>
          <w:tcPr>
            <w:tcW w:w="3927" w:type="dxa"/>
            <w:tcBorders>
              <w:top w:val="single" w:color="auto" w:sz="4" w:space="0"/>
              <w:left w:val="single" w:color="auto" w:sz="4" w:space="0"/>
              <w:bottom w:val="single" w:color="auto" w:sz="4" w:space="0"/>
              <w:right w:val="single" w:color="auto" w:sz="4" w:space="0"/>
            </w:tcBorders>
            <w:noWrap w:val="0"/>
            <w:vAlign w:val="center"/>
          </w:tcPr>
          <w:p w14:paraId="40F9E74A">
            <w:pPr>
              <w:rPr>
                <w:rFonts w:hint="eastAsia" w:ascii="宋体" w:hAnsi="宋体" w:eastAsia="宋体" w:cs="宋体"/>
                <w:color w:val="auto"/>
                <w:sz w:val="24"/>
                <w:szCs w:val="24"/>
              </w:rPr>
            </w:pPr>
            <w:r>
              <w:rPr>
                <w:rFonts w:hint="eastAsia" w:ascii="宋体" w:hAnsi="宋体" w:eastAsia="宋体" w:cs="宋体"/>
                <w:color w:val="auto"/>
                <w:sz w:val="24"/>
                <w:szCs w:val="24"/>
              </w:rPr>
              <w:t>【优】得该项评分因素分值的90%～100%（含90%）。</w:t>
            </w:r>
          </w:p>
          <w:p w14:paraId="7C33F0DE">
            <w:pPr>
              <w:rPr>
                <w:rFonts w:hint="eastAsia" w:ascii="宋体" w:hAnsi="宋体" w:eastAsia="宋体" w:cs="宋体"/>
                <w:color w:val="auto"/>
                <w:sz w:val="24"/>
                <w:szCs w:val="24"/>
              </w:rPr>
            </w:pPr>
            <w:r>
              <w:rPr>
                <w:rFonts w:hint="eastAsia" w:ascii="宋体" w:hAnsi="宋体" w:eastAsia="宋体" w:cs="宋体"/>
                <w:color w:val="auto"/>
                <w:sz w:val="24"/>
                <w:szCs w:val="24"/>
              </w:rPr>
              <w:t>【良】得该项评分因素分值的80%～90%（含80%）。</w:t>
            </w:r>
          </w:p>
          <w:p w14:paraId="21E101C3">
            <w:pPr>
              <w:rPr>
                <w:rFonts w:hint="eastAsia" w:ascii="宋体" w:hAnsi="宋体" w:eastAsia="宋体" w:cs="宋体"/>
                <w:color w:val="auto"/>
                <w:sz w:val="24"/>
                <w:szCs w:val="24"/>
              </w:rPr>
            </w:pPr>
            <w:r>
              <w:rPr>
                <w:rFonts w:hint="eastAsia" w:ascii="宋体" w:hAnsi="宋体" w:eastAsia="宋体" w:cs="宋体"/>
                <w:color w:val="auto"/>
                <w:sz w:val="24"/>
                <w:szCs w:val="24"/>
              </w:rPr>
              <w:t>【中】得该项评分因素分值的70%～80%（含70%）。</w:t>
            </w:r>
          </w:p>
          <w:p w14:paraId="4FDFFEBE">
            <w:pPr>
              <w:rPr>
                <w:rFonts w:hint="eastAsia" w:ascii="宋体" w:hAnsi="宋体" w:eastAsia="宋体" w:cs="宋体"/>
                <w:color w:val="auto"/>
                <w:sz w:val="22"/>
                <w:szCs w:val="22"/>
              </w:rPr>
            </w:pPr>
            <w:r>
              <w:rPr>
                <w:rFonts w:hint="eastAsia" w:ascii="宋体" w:hAnsi="宋体" w:eastAsia="宋体" w:cs="宋体"/>
                <w:color w:val="auto"/>
                <w:sz w:val="24"/>
                <w:szCs w:val="24"/>
              </w:rPr>
              <w:t>【差】得该项评分因素分值的60～70%（含60%）。</w:t>
            </w:r>
          </w:p>
        </w:tc>
        <w:tc>
          <w:tcPr>
            <w:tcW w:w="5433" w:type="dxa"/>
            <w:gridSpan w:val="2"/>
            <w:tcBorders>
              <w:top w:val="single" w:color="auto" w:sz="4" w:space="0"/>
              <w:left w:val="single" w:color="auto" w:sz="4" w:space="0"/>
              <w:bottom w:val="single" w:color="auto" w:sz="4" w:space="0"/>
              <w:right w:val="single" w:color="auto" w:sz="4" w:space="0"/>
            </w:tcBorders>
            <w:noWrap w:val="0"/>
            <w:vAlign w:val="center"/>
          </w:tcPr>
          <w:p w14:paraId="06DD4374">
            <w:pPr>
              <w:widowControl w:val="0"/>
              <w:wordWrap w:val="0"/>
              <w:adjustRightInd w:val="0"/>
              <w:snapToGrid w:val="0"/>
              <w:spacing w:line="360" w:lineRule="auto"/>
              <w:jc w:val="both"/>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【优】应用新技术、新工艺、新材料、新设备，针对项目实际提出先进、可行、具体的保证措施。超过招标文件的质量要求。质量违约责任承诺具体，经济赔偿合理。</w:t>
            </w:r>
          </w:p>
          <w:p w14:paraId="06292BA3">
            <w:pPr>
              <w:widowControl w:val="0"/>
              <w:wordWrap w:val="0"/>
              <w:adjustRightInd w:val="0"/>
              <w:snapToGrid w:val="0"/>
              <w:spacing w:line="360" w:lineRule="auto"/>
              <w:jc w:val="both"/>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【良】针对项目实际提出先进、可行、具体的保证措施。满足招标文件的质量要求。质量违约责任承诺具体，经济赔偿较合理。</w:t>
            </w:r>
          </w:p>
          <w:p w14:paraId="12E7A513">
            <w:pPr>
              <w:widowControl w:val="0"/>
              <w:wordWrap w:val="0"/>
              <w:adjustRightInd w:val="0"/>
              <w:snapToGrid w:val="0"/>
              <w:spacing w:line="360" w:lineRule="auto"/>
              <w:jc w:val="both"/>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【中】具体措施可行。满足招标文件的质量要求。质量违约责任承诺具体。</w:t>
            </w:r>
          </w:p>
          <w:p w14:paraId="7AF0CCD7">
            <w:pPr>
              <w:rPr>
                <w:rFonts w:hint="eastAsia" w:ascii="宋体" w:hAnsi="宋体" w:eastAsia="宋体" w:cs="宋体"/>
                <w:color w:val="auto"/>
                <w:sz w:val="22"/>
                <w:szCs w:val="22"/>
              </w:rPr>
            </w:pPr>
            <w:r>
              <w:rPr>
                <w:rFonts w:hint="eastAsia" w:ascii="宋体" w:hAnsi="宋体" w:eastAsia="宋体" w:cs="宋体"/>
                <w:snapToGrid w:val="0"/>
                <w:color w:val="auto"/>
                <w:kern w:val="0"/>
                <w:sz w:val="24"/>
                <w:szCs w:val="24"/>
                <w:highlight w:val="none"/>
                <w:lang w:val="en-US" w:eastAsia="zh-CN" w:bidi="ar-SA"/>
              </w:rPr>
              <w:t>【差】措施不可行，没有质量违约责任承诺。</w:t>
            </w:r>
          </w:p>
        </w:tc>
      </w:tr>
      <w:tr w14:paraId="320C8B91">
        <w:tblPrEx>
          <w:tblCellMar>
            <w:top w:w="0" w:type="dxa"/>
            <w:left w:w="108" w:type="dxa"/>
            <w:bottom w:w="0" w:type="dxa"/>
            <w:right w:w="108" w:type="dxa"/>
          </w:tblCellMar>
        </w:tblPrEx>
        <w:trPr>
          <w:trHeight w:val="23" w:hRule="atLeast"/>
          <w:jc w:val="center"/>
        </w:trPr>
        <w:tc>
          <w:tcPr>
            <w:tcW w:w="1493" w:type="dxa"/>
            <w:tcBorders>
              <w:top w:val="single" w:color="auto" w:sz="4" w:space="0"/>
              <w:left w:val="single" w:color="auto" w:sz="4" w:space="0"/>
              <w:bottom w:val="single" w:color="auto" w:sz="4" w:space="0"/>
              <w:right w:val="single" w:color="auto" w:sz="4" w:space="0"/>
            </w:tcBorders>
            <w:noWrap w:val="0"/>
            <w:vAlign w:val="center"/>
          </w:tcPr>
          <w:p w14:paraId="39E74FC5">
            <w:pPr>
              <w:jc w:val="center"/>
              <w:rPr>
                <w:rFonts w:hint="eastAsia" w:ascii="宋体" w:hAnsi="宋体" w:eastAsia="宋体" w:cs="宋体"/>
                <w:color w:val="auto"/>
                <w:sz w:val="24"/>
                <w:szCs w:val="24"/>
              </w:rPr>
            </w:pPr>
            <w:r>
              <w:rPr>
                <w:rFonts w:hint="eastAsia" w:ascii="宋体" w:hAnsi="宋体" w:eastAsia="宋体" w:cs="宋体"/>
                <w:color w:val="auto"/>
                <w:sz w:val="24"/>
                <w:szCs w:val="24"/>
              </w:rPr>
              <w:t>施工技术措施</w:t>
            </w:r>
          </w:p>
          <w:p w14:paraId="2A9912B5">
            <w:pPr>
              <w:jc w:val="center"/>
              <w:rPr>
                <w:rFonts w:hint="eastAsia" w:ascii="宋体" w:hAnsi="宋体" w:eastAsia="宋体" w:cs="宋体"/>
                <w:color w:val="auto"/>
                <w:sz w:val="22"/>
                <w:szCs w:val="22"/>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分）</w:t>
            </w:r>
          </w:p>
        </w:tc>
        <w:tc>
          <w:tcPr>
            <w:tcW w:w="3927" w:type="dxa"/>
            <w:tcBorders>
              <w:top w:val="single" w:color="auto" w:sz="4" w:space="0"/>
              <w:left w:val="single" w:color="auto" w:sz="4" w:space="0"/>
              <w:bottom w:val="single" w:color="auto" w:sz="4" w:space="0"/>
              <w:right w:val="single" w:color="auto" w:sz="4" w:space="0"/>
            </w:tcBorders>
            <w:noWrap w:val="0"/>
            <w:vAlign w:val="center"/>
          </w:tcPr>
          <w:p w14:paraId="0B6A52B8">
            <w:pPr>
              <w:rPr>
                <w:rFonts w:hint="eastAsia" w:ascii="宋体" w:hAnsi="宋体" w:eastAsia="宋体" w:cs="宋体"/>
                <w:color w:val="auto"/>
                <w:sz w:val="24"/>
                <w:szCs w:val="24"/>
              </w:rPr>
            </w:pPr>
            <w:r>
              <w:rPr>
                <w:rFonts w:hint="eastAsia" w:ascii="宋体" w:hAnsi="宋体" w:eastAsia="宋体" w:cs="宋体"/>
                <w:color w:val="auto"/>
                <w:sz w:val="24"/>
                <w:szCs w:val="24"/>
              </w:rPr>
              <w:t>【优】得该项评分因素分值的90%～100%（含90%）。</w:t>
            </w:r>
          </w:p>
          <w:p w14:paraId="76CEC937">
            <w:pPr>
              <w:rPr>
                <w:rFonts w:hint="eastAsia" w:ascii="宋体" w:hAnsi="宋体" w:eastAsia="宋体" w:cs="宋体"/>
                <w:color w:val="auto"/>
                <w:sz w:val="24"/>
                <w:szCs w:val="24"/>
              </w:rPr>
            </w:pPr>
            <w:r>
              <w:rPr>
                <w:rFonts w:hint="eastAsia" w:ascii="宋体" w:hAnsi="宋体" w:eastAsia="宋体" w:cs="宋体"/>
                <w:color w:val="auto"/>
                <w:sz w:val="24"/>
                <w:szCs w:val="24"/>
              </w:rPr>
              <w:t>【良】得该项评分因素分值的80%～90%（含80%）。</w:t>
            </w:r>
          </w:p>
          <w:p w14:paraId="0EE88AF8">
            <w:pPr>
              <w:rPr>
                <w:rFonts w:hint="eastAsia" w:ascii="宋体" w:hAnsi="宋体" w:eastAsia="宋体" w:cs="宋体"/>
                <w:color w:val="auto"/>
                <w:sz w:val="24"/>
                <w:szCs w:val="24"/>
              </w:rPr>
            </w:pPr>
            <w:r>
              <w:rPr>
                <w:rFonts w:hint="eastAsia" w:ascii="宋体" w:hAnsi="宋体" w:eastAsia="宋体" w:cs="宋体"/>
                <w:color w:val="auto"/>
                <w:sz w:val="24"/>
                <w:szCs w:val="24"/>
              </w:rPr>
              <w:t>【中】得该项评分因素分值的70%～80%（含70%）。</w:t>
            </w:r>
          </w:p>
          <w:p w14:paraId="0FF2E9BC">
            <w:pPr>
              <w:rPr>
                <w:rFonts w:hint="eastAsia" w:ascii="宋体" w:hAnsi="宋体" w:eastAsia="宋体" w:cs="宋体"/>
                <w:color w:val="auto"/>
                <w:sz w:val="22"/>
                <w:szCs w:val="22"/>
              </w:rPr>
            </w:pPr>
            <w:r>
              <w:rPr>
                <w:rFonts w:hint="eastAsia" w:ascii="宋体" w:hAnsi="宋体" w:eastAsia="宋体" w:cs="宋体"/>
                <w:color w:val="auto"/>
                <w:sz w:val="24"/>
                <w:szCs w:val="24"/>
              </w:rPr>
              <w:t>【差】得该项评分因素分值的60～70%（含60%）。</w:t>
            </w:r>
          </w:p>
        </w:tc>
        <w:tc>
          <w:tcPr>
            <w:tcW w:w="5433" w:type="dxa"/>
            <w:gridSpan w:val="2"/>
            <w:tcBorders>
              <w:top w:val="single" w:color="auto" w:sz="4" w:space="0"/>
              <w:left w:val="single" w:color="auto" w:sz="4" w:space="0"/>
              <w:bottom w:val="single" w:color="auto" w:sz="4" w:space="0"/>
              <w:right w:val="single" w:color="auto" w:sz="4" w:space="0"/>
            </w:tcBorders>
            <w:noWrap w:val="0"/>
            <w:vAlign w:val="center"/>
          </w:tcPr>
          <w:p w14:paraId="77CF327D">
            <w:pPr>
              <w:rPr>
                <w:rFonts w:hint="eastAsia" w:ascii="宋体" w:hAnsi="宋体" w:eastAsia="宋体" w:cs="宋体"/>
                <w:color w:val="auto"/>
                <w:sz w:val="24"/>
                <w:szCs w:val="24"/>
              </w:rPr>
            </w:pPr>
            <w:r>
              <w:rPr>
                <w:rFonts w:hint="eastAsia" w:ascii="宋体" w:hAnsi="宋体" w:eastAsia="宋体" w:cs="宋体"/>
                <w:color w:val="auto"/>
                <w:sz w:val="24"/>
                <w:szCs w:val="24"/>
              </w:rPr>
              <w:t>【优】对项目关键技术、工艺有深入的表述，对重点、难点有先进、合理的建议，解决方案完整、经济、安全、切实可行，措施得力。针对项目实际，提出采用新技术的具体措施。新技术的验证材料可靠，对节约投资和工期的保证措施得力、具体、严谨。对采用新技术可能产生的风险有充分的预见，违约承诺具体，经济赔偿合理。</w:t>
            </w:r>
          </w:p>
          <w:p w14:paraId="59A546B3">
            <w:pPr>
              <w:rPr>
                <w:rFonts w:hint="eastAsia" w:ascii="宋体" w:hAnsi="宋体" w:eastAsia="宋体" w:cs="宋体"/>
                <w:color w:val="auto"/>
                <w:sz w:val="24"/>
                <w:szCs w:val="24"/>
              </w:rPr>
            </w:pPr>
            <w:r>
              <w:rPr>
                <w:rFonts w:hint="eastAsia" w:ascii="宋体" w:hAnsi="宋体" w:eastAsia="宋体" w:cs="宋体"/>
                <w:color w:val="auto"/>
                <w:sz w:val="24"/>
                <w:szCs w:val="24"/>
              </w:rPr>
              <w:t>【良】对项目关键技术、工艺有深入的表述，对重点、难点有合理的建议，解决方案经济、安全、基本可行。针对项目实际，提出采用新技术的具体措施。新技术的验证材料可靠，对节约投资和工期有保证措施。对采用新技术可能产生的风险有一定的预见，违约责任承诺具体，经济赔偿较合理。</w:t>
            </w:r>
          </w:p>
          <w:p w14:paraId="022F8386">
            <w:pPr>
              <w:rPr>
                <w:rFonts w:hint="eastAsia" w:ascii="宋体" w:hAnsi="宋体" w:eastAsia="宋体" w:cs="宋体"/>
                <w:color w:val="auto"/>
                <w:sz w:val="24"/>
                <w:szCs w:val="24"/>
              </w:rPr>
            </w:pPr>
            <w:r>
              <w:rPr>
                <w:rFonts w:hint="eastAsia" w:ascii="宋体" w:hAnsi="宋体" w:eastAsia="宋体" w:cs="宋体"/>
                <w:color w:val="auto"/>
                <w:sz w:val="24"/>
                <w:szCs w:val="24"/>
              </w:rPr>
              <w:t>【中】对项目关键技术有一定了解，对重点、难点有建议，解决方案基本可行。有新技术措施，但验证材料不充分，对节约投资和工期可能有一定收益，但对采用的新技术可能产生的风险预见不足。有违约责任承诺。</w:t>
            </w:r>
          </w:p>
          <w:p w14:paraId="2E412A16">
            <w:pPr>
              <w:rPr>
                <w:rFonts w:hint="eastAsia" w:ascii="宋体" w:hAnsi="宋体" w:eastAsia="宋体" w:cs="宋体"/>
                <w:color w:val="auto"/>
                <w:sz w:val="22"/>
                <w:szCs w:val="22"/>
              </w:rPr>
            </w:pPr>
            <w:r>
              <w:rPr>
                <w:rFonts w:hint="eastAsia" w:ascii="宋体" w:hAnsi="宋体" w:eastAsia="宋体" w:cs="宋体"/>
                <w:color w:val="auto"/>
                <w:sz w:val="24"/>
                <w:szCs w:val="24"/>
              </w:rPr>
              <w:t>【差】对项目关键技术有表述，对重点、难点有建议，解决方案不可行。采用的新技术针对性不强或验证材料不可靠，对节约投资、工期没有具体收益。无违约责任承诺。</w:t>
            </w:r>
          </w:p>
        </w:tc>
      </w:tr>
      <w:tr w14:paraId="7F59B1DE">
        <w:tblPrEx>
          <w:tblCellMar>
            <w:top w:w="0" w:type="dxa"/>
            <w:left w:w="108" w:type="dxa"/>
            <w:bottom w:w="0" w:type="dxa"/>
            <w:right w:w="108" w:type="dxa"/>
          </w:tblCellMar>
        </w:tblPrEx>
        <w:trPr>
          <w:trHeight w:val="23" w:hRule="atLeast"/>
          <w:jc w:val="center"/>
        </w:trPr>
        <w:tc>
          <w:tcPr>
            <w:tcW w:w="1493" w:type="dxa"/>
            <w:tcBorders>
              <w:top w:val="single" w:color="auto" w:sz="4" w:space="0"/>
              <w:left w:val="single" w:color="auto" w:sz="4" w:space="0"/>
              <w:bottom w:val="single" w:color="auto" w:sz="4" w:space="0"/>
              <w:right w:val="single" w:color="auto" w:sz="4" w:space="0"/>
            </w:tcBorders>
            <w:noWrap w:val="0"/>
            <w:vAlign w:val="center"/>
          </w:tcPr>
          <w:p w14:paraId="612036CA">
            <w:pPr>
              <w:jc w:val="center"/>
              <w:rPr>
                <w:rFonts w:hint="eastAsia" w:ascii="宋体" w:hAnsi="宋体" w:eastAsia="宋体" w:cs="宋体"/>
                <w:color w:val="auto"/>
                <w:sz w:val="24"/>
                <w:szCs w:val="24"/>
              </w:rPr>
            </w:pPr>
            <w:r>
              <w:rPr>
                <w:rFonts w:hint="eastAsia" w:ascii="宋体" w:hAnsi="宋体" w:eastAsia="宋体" w:cs="宋体"/>
                <w:color w:val="auto"/>
                <w:sz w:val="24"/>
                <w:szCs w:val="24"/>
              </w:rPr>
              <w:t>绿色施工、安全防护、文明施工措施计划</w:t>
            </w:r>
          </w:p>
          <w:p w14:paraId="5091A7B2">
            <w:pPr>
              <w:jc w:val="center"/>
              <w:rPr>
                <w:rFonts w:hint="eastAsia" w:ascii="宋体" w:hAnsi="宋体" w:eastAsia="宋体" w:cs="宋体"/>
                <w:color w:val="auto"/>
                <w:sz w:val="22"/>
                <w:szCs w:val="22"/>
              </w:rPr>
            </w:pPr>
            <w:r>
              <w:rPr>
                <w:rFonts w:hint="eastAsia" w:ascii="宋体" w:hAnsi="宋体" w:eastAsia="宋体" w:cs="宋体"/>
                <w:color w:val="auto"/>
                <w:sz w:val="24"/>
                <w:szCs w:val="24"/>
              </w:rPr>
              <w:t>（3分）</w:t>
            </w:r>
          </w:p>
        </w:tc>
        <w:tc>
          <w:tcPr>
            <w:tcW w:w="3927" w:type="dxa"/>
            <w:tcBorders>
              <w:top w:val="single" w:color="auto" w:sz="4" w:space="0"/>
              <w:left w:val="single" w:color="auto" w:sz="4" w:space="0"/>
              <w:bottom w:val="single" w:color="auto" w:sz="4" w:space="0"/>
              <w:right w:val="single" w:color="auto" w:sz="4" w:space="0"/>
            </w:tcBorders>
            <w:noWrap w:val="0"/>
            <w:vAlign w:val="center"/>
          </w:tcPr>
          <w:p w14:paraId="4839F742">
            <w:pPr>
              <w:rPr>
                <w:rFonts w:hint="eastAsia" w:ascii="宋体" w:hAnsi="宋体" w:eastAsia="宋体" w:cs="宋体"/>
                <w:color w:val="auto"/>
                <w:sz w:val="24"/>
                <w:szCs w:val="24"/>
              </w:rPr>
            </w:pPr>
            <w:r>
              <w:rPr>
                <w:rFonts w:hint="eastAsia" w:ascii="宋体" w:hAnsi="宋体" w:eastAsia="宋体" w:cs="宋体"/>
                <w:color w:val="auto"/>
                <w:sz w:val="24"/>
                <w:szCs w:val="24"/>
              </w:rPr>
              <w:t>【优】得该项评分因素分值的90%～100%（含90%）。</w:t>
            </w:r>
          </w:p>
          <w:p w14:paraId="008DB564">
            <w:pPr>
              <w:rPr>
                <w:rFonts w:hint="eastAsia" w:ascii="宋体" w:hAnsi="宋体" w:eastAsia="宋体" w:cs="宋体"/>
                <w:color w:val="auto"/>
                <w:sz w:val="24"/>
                <w:szCs w:val="24"/>
              </w:rPr>
            </w:pPr>
            <w:r>
              <w:rPr>
                <w:rFonts w:hint="eastAsia" w:ascii="宋体" w:hAnsi="宋体" w:eastAsia="宋体" w:cs="宋体"/>
                <w:color w:val="auto"/>
                <w:sz w:val="24"/>
                <w:szCs w:val="24"/>
              </w:rPr>
              <w:t>【良】得该项评分因素分值的80%～90%（含80%）。</w:t>
            </w:r>
          </w:p>
          <w:p w14:paraId="52674C4D">
            <w:pPr>
              <w:rPr>
                <w:rFonts w:hint="eastAsia" w:ascii="宋体" w:hAnsi="宋体" w:eastAsia="宋体" w:cs="宋体"/>
                <w:color w:val="auto"/>
                <w:sz w:val="24"/>
                <w:szCs w:val="24"/>
              </w:rPr>
            </w:pPr>
            <w:r>
              <w:rPr>
                <w:rFonts w:hint="eastAsia" w:ascii="宋体" w:hAnsi="宋体" w:eastAsia="宋体" w:cs="宋体"/>
                <w:color w:val="auto"/>
                <w:sz w:val="24"/>
                <w:szCs w:val="24"/>
              </w:rPr>
              <w:t>【中】得该项评分因素分值的70%～80%（含70%）。</w:t>
            </w:r>
          </w:p>
          <w:p w14:paraId="2156CD93">
            <w:pPr>
              <w:rPr>
                <w:rFonts w:hint="eastAsia" w:ascii="宋体" w:hAnsi="宋体" w:eastAsia="宋体" w:cs="宋体"/>
                <w:color w:val="auto"/>
                <w:sz w:val="22"/>
                <w:szCs w:val="22"/>
              </w:rPr>
            </w:pPr>
            <w:r>
              <w:rPr>
                <w:rFonts w:hint="eastAsia" w:ascii="宋体" w:hAnsi="宋体" w:eastAsia="宋体" w:cs="宋体"/>
                <w:color w:val="auto"/>
                <w:sz w:val="24"/>
                <w:szCs w:val="24"/>
              </w:rPr>
              <w:t>【差】得该项评分因素分值的60～70%（含60%）。</w:t>
            </w:r>
          </w:p>
        </w:tc>
        <w:tc>
          <w:tcPr>
            <w:tcW w:w="5433" w:type="dxa"/>
            <w:gridSpan w:val="2"/>
            <w:tcBorders>
              <w:top w:val="single" w:color="auto" w:sz="4" w:space="0"/>
              <w:left w:val="single" w:color="auto" w:sz="4" w:space="0"/>
              <w:bottom w:val="single" w:color="auto" w:sz="4" w:space="0"/>
              <w:right w:val="single" w:color="auto" w:sz="4" w:space="0"/>
            </w:tcBorders>
            <w:noWrap w:val="0"/>
            <w:vAlign w:val="center"/>
          </w:tcPr>
          <w:p w14:paraId="0F9D4418">
            <w:pPr>
              <w:rPr>
                <w:rFonts w:hint="eastAsia" w:ascii="宋体" w:hAnsi="宋体" w:eastAsia="宋体" w:cs="宋体"/>
                <w:color w:val="auto"/>
                <w:sz w:val="24"/>
                <w:szCs w:val="24"/>
              </w:rPr>
            </w:pPr>
            <w:r>
              <w:rPr>
                <w:rFonts w:hint="eastAsia" w:ascii="宋体" w:hAnsi="宋体" w:eastAsia="宋体" w:cs="宋体"/>
                <w:color w:val="auto"/>
                <w:sz w:val="24"/>
                <w:szCs w:val="24"/>
              </w:rPr>
              <w:t>【优】针对项目实际情况，有先进、具体、完整、可行的措施，采用规范准确、清晰。</w:t>
            </w:r>
          </w:p>
          <w:p w14:paraId="0D9987C2">
            <w:pPr>
              <w:rPr>
                <w:rFonts w:hint="eastAsia" w:ascii="宋体" w:hAnsi="宋体" w:eastAsia="宋体" w:cs="宋体"/>
                <w:color w:val="auto"/>
                <w:sz w:val="24"/>
                <w:szCs w:val="24"/>
              </w:rPr>
            </w:pPr>
            <w:r>
              <w:rPr>
                <w:rFonts w:hint="eastAsia" w:ascii="宋体" w:hAnsi="宋体" w:eastAsia="宋体" w:cs="宋体"/>
                <w:color w:val="auto"/>
                <w:sz w:val="24"/>
                <w:szCs w:val="24"/>
              </w:rPr>
              <w:t>【良】针对项目实际情况，有合理的措施且具体、完整，采用规范准确。</w:t>
            </w:r>
          </w:p>
          <w:p w14:paraId="2DBFCFBC">
            <w:pPr>
              <w:rPr>
                <w:rFonts w:hint="eastAsia" w:ascii="宋体" w:hAnsi="宋体" w:eastAsia="宋体" w:cs="宋体"/>
                <w:color w:val="auto"/>
                <w:sz w:val="24"/>
                <w:szCs w:val="24"/>
              </w:rPr>
            </w:pPr>
            <w:r>
              <w:rPr>
                <w:rFonts w:hint="eastAsia" w:ascii="宋体" w:hAnsi="宋体" w:eastAsia="宋体" w:cs="宋体"/>
                <w:color w:val="auto"/>
                <w:sz w:val="24"/>
                <w:szCs w:val="24"/>
              </w:rPr>
              <w:t>【中】有基本合理的措施，采用规范准确。</w:t>
            </w:r>
          </w:p>
          <w:p w14:paraId="2E521E5E">
            <w:pPr>
              <w:rPr>
                <w:rFonts w:hint="eastAsia" w:ascii="宋体" w:hAnsi="宋体" w:eastAsia="宋体" w:cs="宋体"/>
                <w:color w:val="auto"/>
                <w:sz w:val="22"/>
                <w:szCs w:val="22"/>
              </w:rPr>
            </w:pPr>
            <w:r>
              <w:rPr>
                <w:rFonts w:hint="eastAsia" w:ascii="宋体" w:hAnsi="宋体" w:eastAsia="宋体" w:cs="宋体"/>
                <w:color w:val="auto"/>
                <w:sz w:val="24"/>
                <w:szCs w:val="24"/>
              </w:rPr>
              <w:t>【差】措施不力，采用规范不正确。</w:t>
            </w:r>
          </w:p>
        </w:tc>
      </w:tr>
      <w:tr w14:paraId="18FD32B8">
        <w:tblPrEx>
          <w:tblCellMar>
            <w:top w:w="0" w:type="dxa"/>
            <w:left w:w="108" w:type="dxa"/>
            <w:bottom w:w="0" w:type="dxa"/>
            <w:right w:w="108" w:type="dxa"/>
          </w:tblCellMar>
        </w:tblPrEx>
        <w:trPr>
          <w:trHeight w:val="23" w:hRule="atLeast"/>
          <w:jc w:val="center"/>
        </w:trPr>
        <w:tc>
          <w:tcPr>
            <w:tcW w:w="1493" w:type="dxa"/>
            <w:tcBorders>
              <w:top w:val="single" w:color="auto" w:sz="4" w:space="0"/>
              <w:left w:val="single" w:color="auto" w:sz="4" w:space="0"/>
              <w:bottom w:val="single" w:color="auto" w:sz="4" w:space="0"/>
              <w:right w:val="single" w:color="auto" w:sz="4" w:space="0"/>
            </w:tcBorders>
            <w:noWrap w:val="0"/>
            <w:vAlign w:val="center"/>
          </w:tcPr>
          <w:p w14:paraId="49985C72">
            <w:pPr>
              <w:jc w:val="center"/>
              <w:rPr>
                <w:rFonts w:hint="eastAsia" w:ascii="宋体" w:hAnsi="宋体" w:eastAsia="宋体" w:cs="宋体"/>
                <w:color w:val="auto"/>
                <w:sz w:val="24"/>
                <w:szCs w:val="24"/>
              </w:rPr>
            </w:pPr>
            <w:r>
              <w:rPr>
                <w:rFonts w:hint="eastAsia" w:ascii="宋体" w:hAnsi="宋体" w:eastAsia="宋体" w:cs="宋体"/>
                <w:color w:val="auto"/>
                <w:sz w:val="24"/>
                <w:szCs w:val="24"/>
              </w:rPr>
              <w:t>施工平面布置和临时设施布置</w:t>
            </w:r>
          </w:p>
          <w:p w14:paraId="4A5FFDF2">
            <w:pPr>
              <w:jc w:val="center"/>
              <w:rPr>
                <w:rFonts w:hint="eastAsia" w:ascii="宋体" w:hAnsi="宋体" w:eastAsia="宋体" w:cs="宋体"/>
                <w:color w:val="auto"/>
                <w:sz w:val="22"/>
                <w:szCs w:val="22"/>
              </w:rPr>
            </w:pPr>
            <w:r>
              <w:rPr>
                <w:rFonts w:hint="eastAsia" w:ascii="宋体" w:hAnsi="宋体" w:eastAsia="宋体" w:cs="宋体"/>
                <w:color w:val="auto"/>
                <w:sz w:val="24"/>
                <w:szCs w:val="24"/>
              </w:rPr>
              <w:t>（2分）</w:t>
            </w:r>
          </w:p>
        </w:tc>
        <w:tc>
          <w:tcPr>
            <w:tcW w:w="3927" w:type="dxa"/>
            <w:tcBorders>
              <w:top w:val="single" w:color="auto" w:sz="4" w:space="0"/>
              <w:left w:val="single" w:color="auto" w:sz="4" w:space="0"/>
              <w:bottom w:val="single" w:color="auto" w:sz="4" w:space="0"/>
              <w:right w:val="single" w:color="auto" w:sz="4" w:space="0"/>
            </w:tcBorders>
            <w:noWrap w:val="0"/>
            <w:vAlign w:val="center"/>
          </w:tcPr>
          <w:p w14:paraId="42F687E9">
            <w:pPr>
              <w:rPr>
                <w:rFonts w:hint="eastAsia" w:ascii="宋体" w:hAnsi="宋体" w:eastAsia="宋体" w:cs="宋体"/>
                <w:color w:val="auto"/>
                <w:sz w:val="24"/>
                <w:szCs w:val="24"/>
              </w:rPr>
            </w:pPr>
            <w:r>
              <w:rPr>
                <w:rFonts w:hint="eastAsia" w:ascii="宋体" w:hAnsi="宋体" w:eastAsia="宋体" w:cs="宋体"/>
                <w:color w:val="auto"/>
                <w:sz w:val="24"/>
                <w:szCs w:val="24"/>
              </w:rPr>
              <w:t>【优】得该项评分因素分值的90%～100%（含90%）。</w:t>
            </w:r>
          </w:p>
          <w:p w14:paraId="270AE3C5">
            <w:pPr>
              <w:rPr>
                <w:rFonts w:hint="eastAsia" w:ascii="宋体" w:hAnsi="宋体" w:eastAsia="宋体" w:cs="宋体"/>
                <w:color w:val="auto"/>
                <w:sz w:val="24"/>
                <w:szCs w:val="24"/>
              </w:rPr>
            </w:pPr>
            <w:r>
              <w:rPr>
                <w:rFonts w:hint="eastAsia" w:ascii="宋体" w:hAnsi="宋体" w:eastAsia="宋体" w:cs="宋体"/>
                <w:color w:val="auto"/>
                <w:sz w:val="24"/>
                <w:szCs w:val="24"/>
              </w:rPr>
              <w:t>【良】得该项评分因素分值的80%～90%（含80%）。</w:t>
            </w:r>
          </w:p>
          <w:p w14:paraId="7E50EC47">
            <w:pPr>
              <w:rPr>
                <w:rFonts w:hint="eastAsia" w:ascii="宋体" w:hAnsi="宋体" w:eastAsia="宋体" w:cs="宋体"/>
                <w:color w:val="auto"/>
                <w:sz w:val="24"/>
                <w:szCs w:val="24"/>
              </w:rPr>
            </w:pPr>
            <w:r>
              <w:rPr>
                <w:rFonts w:hint="eastAsia" w:ascii="宋体" w:hAnsi="宋体" w:eastAsia="宋体" w:cs="宋体"/>
                <w:color w:val="auto"/>
                <w:sz w:val="24"/>
                <w:szCs w:val="24"/>
              </w:rPr>
              <w:t>【中】得该项评分因素分值的70%～80%（含70%）。</w:t>
            </w:r>
          </w:p>
          <w:p w14:paraId="773F9698">
            <w:pPr>
              <w:rPr>
                <w:rFonts w:hint="eastAsia" w:ascii="宋体" w:hAnsi="宋体" w:eastAsia="宋体" w:cs="宋体"/>
                <w:color w:val="auto"/>
                <w:sz w:val="22"/>
                <w:szCs w:val="22"/>
              </w:rPr>
            </w:pPr>
            <w:r>
              <w:rPr>
                <w:rFonts w:hint="eastAsia" w:ascii="宋体" w:hAnsi="宋体" w:eastAsia="宋体" w:cs="宋体"/>
                <w:color w:val="auto"/>
                <w:sz w:val="24"/>
                <w:szCs w:val="24"/>
              </w:rPr>
              <w:t>【差】得该项评分因素分值的60～70%（含60%）。</w:t>
            </w:r>
          </w:p>
        </w:tc>
        <w:tc>
          <w:tcPr>
            <w:tcW w:w="5433" w:type="dxa"/>
            <w:gridSpan w:val="2"/>
            <w:tcBorders>
              <w:top w:val="single" w:color="auto" w:sz="4" w:space="0"/>
              <w:left w:val="single" w:color="auto" w:sz="4" w:space="0"/>
              <w:bottom w:val="single" w:color="auto" w:sz="4" w:space="0"/>
              <w:right w:val="single" w:color="auto" w:sz="4" w:space="0"/>
            </w:tcBorders>
            <w:noWrap w:val="0"/>
            <w:vAlign w:val="center"/>
          </w:tcPr>
          <w:p w14:paraId="3A572A01">
            <w:pPr>
              <w:rPr>
                <w:rFonts w:hint="eastAsia" w:ascii="宋体" w:hAnsi="宋体" w:eastAsia="宋体" w:cs="宋体"/>
                <w:color w:val="auto"/>
                <w:sz w:val="24"/>
                <w:szCs w:val="24"/>
              </w:rPr>
            </w:pPr>
            <w:r>
              <w:rPr>
                <w:rFonts w:hint="eastAsia" w:ascii="宋体" w:hAnsi="宋体" w:eastAsia="宋体" w:cs="宋体"/>
                <w:color w:val="auto"/>
                <w:sz w:val="24"/>
                <w:szCs w:val="24"/>
              </w:rPr>
              <w:t>【优】总体布置有针对性、合理，较好满足施工需要，符合绿色施工、安全防护、文明施工要求。</w:t>
            </w:r>
          </w:p>
          <w:p w14:paraId="612DBB7E">
            <w:pPr>
              <w:rPr>
                <w:rFonts w:hint="eastAsia" w:ascii="宋体" w:hAnsi="宋体" w:eastAsia="宋体" w:cs="宋体"/>
                <w:color w:val="auto"/>
                <w:sz w:val="24"/>
                <w:szCs w:val="24"/>
              </w:rPr>
            </w:pPr>
            <w:r>
              <w:rPr>
                <w:rFonts w:hint="eastAsia" w:ascii="宋体" w:hAnsi="宋体" w:eastAsia="宋体" w:cs="宋体"/>
                <w:color w:val="auto"/>
                <w:sz w:val="24"/>
                <w:szCs w:val="24"/>
              </w:rPr>
              <w:t>【良】总体布置合理，能满足施工需要，基本符合绿色施工、安全防护、文明施工要求。</w:t>
            </w:r>
          </w:p>
          <w:p w14:paraId="122D0EF6">
            <w:pPr>
              <w:rPr>
                <w:rFonts w:hint="eastAsia" w:ascii="宋体" w:hAnsi="宋体" w:eastAsia="宋体" w:cs="宋体"/>
                <w:color w:val="auto"/>
                <w:sz w:val="24"/>
                <w:szCs w:val="24"/>
              </w:rPr>
            </w:pPr>
            <w:r>
              <w:rPr>
                <w:rFonts w:hint="eastAsia" w:ascii="宋体" w:hAnsi="宋体" w:eastAsia="宋体" w:cs="宋体"/>
                <w:color w:val="auto"/>
                <w:sz w:val="24"/>
                <w:szCs w:val="24"/>
              </w:rPr>
              <w:t>【中】总体布置基本合理，基本满足施工需要。</w:t>
            </w:r>
          </w:p>
          <w:p w14:paraId="69F3EFFA">
            <w:pPr>
              <w:rPr>
                <w:rFonts w:hint="eastAsia" w:ascii="宋体" w:hAnsi="宋体" w:eastAsia="宋体" w:cs="宋体"/>
                <w:color w:val="auto"/>
                <w:sz w:val="22"/>
                <w:szCs w:val="22"/>
              </w:rPr>
            </w:pPr>
            <w:r>
              <w:rPr>
                <w:rFonts w:hint="eastAsia" w:ascii="宋体" w:hAnsi="宋体" w:eastAsia="宋体" w:cs="宋体"/>
                <w:color w:val="auto"/>
                <w:sz w:val="24"/>
                <w:szCs w:val="24"/>
              </w:rPr>
              <w:t>【差】总体布置不合理，不符合绿色施工、安全防护、文明施工要求。</w:t>
            </w:r>
          </w:p>
        </w:tc>
      </w:tr>
      <w:tr w14:paraId="344056C5">
        <w:tblPrEx>
          <w:tblCellMar>
            <w:top w:w="0" w:type="dxa"/>
            <w:left w:w="108" w:type="dxa"/>
            <w:bottom w:w="0" w:type="dxa"/>
            <w:right w:w="108" w:type="dxa"/>
          </w:tblCellMar>
        </w:tblPrEx>
        <w:trPr>
          <w:trHeight w:val="23" w:hRule="atLeast"/>
          <w:jc w:val="center"/>
        </w:trPr>
        <w:tc>
          <w:tcPr>
            <w:tcW w:w="1493" w:type="dxa"/>
            <w:tcBorders>
              <w:top w:val="single" w:color="auto" w:sz="4" w:space="0"/>
              <w:left w:val="single" w:color="auto" w:sz="4" w:space="0"/>
              <w:bottom w:val="single" w:color="auto" w:sz="4" w:space="0"/>
              <w:right w:val="single" w:color="auto" w:sz="4" w:space="0"/>
            </w:tcBorders>
            <w:noWrap w:val="0"/>
            <w:vAlign w:val="center"/>
          </w:tcPr>
          <w:p w14:paraId="15D563B8">
            <w:pPr>
              <w:jc w:val="center"/>
              <w:rPr>
                <w:rFonts w:hint="eastAsia" w:ascii="宋体" w:hAnsi="宋体" w:eastAsia="宋体" w:cs="宋体"/>
                <w:color w:val="auto"/>
                <w:sz w:val="24"/>
                <w:szCs w:val="24"/>
              </w:rPr>
            </w:pPr>
            <w:r>
              <w:rPr>
                <w:rFonts w:hint="eastAsia" w:ascii="宋体" w:hAnsi="宋体" w:eastAsia="宋体" w:cs="宋体"/>
                <w:color w:val="auto"/>
                <w:sz w:val="24"/>
                <w:szCs w:val="24"/>
              </w:rPr>
              <w:t>项目管理机构</w:t>
            </w:r>
          </w:p>
          <w:p w14:paraId="23B2207E">
            <w:pPr>
              <w:jc w:val="center"/>
              <w:rPr>
                <w:rFonts w:hint="eastAsia" w:ascii="宋体" w:hAnsi="宋体" w:eastAsia="宋体" w:cs="宋体"/>
                <w:color w:val="auto"/>
                <w:sz w:val="22"/>
                <w:szCs w:val="22"/>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w:t>
            </w:r>
          </w:p>
        </w:tc>
        <w:tc>
          <w:tcPr>
            <w:tcW w:w="3927" w:type="dxa"/>
            <w:tcBorders>
              <w:top w:val="single" w:color="auto" w:sz="4" w:space="0"/>
              <w:left w:val="single" w:color="auto" w:sz="4" w:space="0"/>
              <w:bottom w:val="single" w:color="auto" w:sz="4" w:space="0"/>
              <w:right w:val="single" w:color="auto" w:sz="4" w:space="0"/>
            </w:tcBorders>
            <w:noWrap w:val="0"/>
            <w:vAlign w:val="center"/>
          </w:tcPr>
          <w:p w14:paraId="4BC0E19B">
            <w:pPr>
              <w:rPr>
                <w:rFonts w:hint="eastAsia" w:ascii="宋体" w:hAnsi="宋体" w:eastAsia="宋体" w:cs="宋体"/>
                <w:color w:val="auto"/>
                <w:sz w:val="24"/>
                <w:szCs w:val="24"/>
              </w:rPr>
            </w:pPr>
            <w:r>
              <w:rPr>
                <w:rFonts w:hint="eastAsia" w:ascii="宋体" w:hAnsi="宋体" w:eastAsia="宋体" w:cs="宋体"/>
                <w:color w:val="auto"/>
                <w:sz w:val="24"/>
                <w:szCs w:val="24"/>
              </w:rPr>
              <w:t>【优】得该项评分因素分值的90%～100%（含90%）。</w:t>
            </w:r>
          </w:p>
          <w:p w14:paraId="486AF452">
            <w:pPr>
              <w:rPr>
                <w:rFonts w:hint="eastAsia" w:ascii="宋体" w:hAnsi="宋体" w:eastAsia="宋体" w:cs="宋体"/>
                <w:color w:val="auto"/>
                <w:sz w:val="24"/>
                <w:szCs w:val="24"/>
              </w:rPr>
            </w:pPr>
            <w:r>
              <w:rPr>
                <w:rFonts w:hint="eastAsia" w:ascii="宋体" w:hAnsi="宋体" w:eastAsia="宋体" w:cs="宋体"/>
                <w:color w:val="auto"/>
                <w:sz w:val="24"/>
                <w:szCs w:val="24"/>
              </w:rPr>
              <w:t>【良】得该项评分因素分值的80%～90%（含80%）。</w:t>
            </w:r>
          </w:p>
          <w:p w14:paraId="48F95EBF">
            <w:pPr>
              <w:rPr>
                <w:rFonts w:hint="eastAsia" w:ascii="宋体" w:hAnsi="宋体" w:eastAsia="宋体" w:cs="宋体"/>
                <w:color w:val="auto"/>
                <w:sz w:val="24"/>
                <w:szCs w:val="24"/>
              </w:rPr>
            </w:pPr>
            <w:r>
              <w:rPr>
                <w:rFonts w:hint="eastAsia" w:ascii="宋体" w:hAnsi="宋体" w:eastAsia="宋体" w:cs="宋体"/>
                <w:color w:val="auto"/>
                <w:sz w:val="24"/>
                <w:szCs w:val="24"/>
              </w:rPr>
              <w:t>【中】得该项评分因素分值的70%～80%（含70%）。</w:t>
            </w:r>
          </w:p>
          <w:p w14:paraId="21AC7437">
            <w:pPr>
              <w:rPr>
                <w:rFonts w:hint="eastAsia" w:ascii="宋体" w:hAnsi="宋体" w:eastAsia="宋体" w:cs="宋体"/>
                <w:color w:val="auto"/>
                <w:sz w:val="22"/>
                <w:szCs w:val="22"/>
              </w:rPr>
            </w:pPr>
            <w:r>
              <w:rPr>
                <w:rFonts w:hint="eastAsia" w:ascii="宋体" w:hAnsi="宋体" w:eastAsia="宋体" w:cs="宋体"/>
                <w:color w:val="auto"/>
                <w:sz w:val="24"/>
                <w:szCs w:val="24"/>
              </w:rPr>
              <w:t>【差】得该项评分因素分值的60～70%（含60%）。</w:t>
            </w:r>
          </w:p>
        </w:tc>
        <w:tc>
          <w:tcPr>
            <w:tcW w:w="5433" w:type="dxa"/>
            <w:gridSpan w:val="2"/>
            <w:tcBorders>
              <w:top w:val="single" w:color="auto" w:sz="4" w:space="0"/>
              <w:left w:val="single" w:color="auto" w:sz="4" w:space="0"/>
              <w:bottom w:val="single" w:color="auto" w:sz="4" w:space="0"/>
              <w:right w:val="single" w:color="auto" w:sz="4" w:space="0"/>
            </w:tcBorders>
            <w:noWrap w:val="0"/>
            <w:vAlign w:val="center"/>
          </w:tcPr>
          <w:p w14:paraId="1515FA73">
            <w:pPr>
              <w:rPr>
                <w:rFonts w:hint="eastAsia" w:ascii="宋体" w:hAnsi="宋体" w:eastAsia="宋体" w:cs="宋体"/>
                <w:color w:val="auto"/>
                <w:sz w:val="24"/>
                <w:szCs w:val="24"/>
              </w:rPr>
            </w:pPr>
            <w:r>
              <w:rPr>
                <w:rFonts w:hint="eastAsia" w:ascii="宋体" w:hAnsi="宋体" w:eastAsia="宋体" w:cs="宋体"/>
                <w:color w:val="auto"/>
                <w:sz w:val="24"/>
                <w:szCs w:val="24"/>
              </w:rPr>
              <w:t>【优】组织机构形式合理，有完善的指挥系统，生产及质量、绿色施工、安全、文明施工、创优达标监控系统、联络协调系统，项目管理人员内高级职称人员20%（含20%）以上、中级职称人员及以上职称60%（含60%）以上。</w:t>
            </w:r>
          </w:p>
          <w:p w14:paraId="0CFAE61F">
            <w:pPr>
              <w:rPr>
                <w:rFonts w:hint="eastAsia" w:ascii="宋体" w:hAnsi="宋体" w:eastAsia="宋体" w:cs="宋体"/>
                <w:color w:val="auto"/>
                <w:sz w:val="24"/>
                <w:szCs w:val="24"/>
              </w:rPr>
            </w:pPr>
            <w:r>
              <w:rPr>
                <w:rFonts w:hint="eastAsia" w:ascii="宋体" w:hAnsi="宋体" w:eastAsia="宋体" w:cs="宋体"/>
                <w:color w:val="auto"/>
                <w:sz w:val="24"/>
                <w:szCs w:val="24"/>
              </w:rPr>
              <w:t>【良】组织机构形式合理，指挥系统，生产及质量、绿色施工、安全、文明施工、创优达标监控系统、联络协调系统齐全，项目管理人员内高级职称人员15%～20%（含15%）、中级职称及以上职称人员50%～60%（含50%）。</w:t>
            </w:r>
          </w:p>
          <w:p w14:paraId="2ADA2725">
            <w:pPr>
              <w:rPr>
                <w:rFonts w:hint="eastAsia" w:ascii="宋体" w:hAnsi="宋体" w:eastAsia="宋体" w:cs="宋体"/>
                <w:color w:val="auto"/>
                <w:sz w:val="24"/>
                <w:szCs w:val="24"/>
              </w:rPr>
            </w:pPr>
            <w:r>
              <w:rPr>
                <w:rFonts w:hint="eastAsia" w:ascii="宋体" w:hAnsi="宋体" w:eastAsia="宋体" w:cs="宋体"/>
                <w:color w:val="auto"/>
                <w:sz w:val="24"/>
                <w:szCs w:val="24"/>
              </w:rPr>
              <w:t>【中】组织机构形式基本合理，有指挥系统，生产及质量、绿色施工、安全、文明施工、创优达标监控系统、联络协调系统，项目管理人员内高级职称人员10%～15%（含10%）、中级职称人员及以上职称40%～50%（含40%）。</w:t>
            </w:r>
          </w:p>
          <w:p w14:paraId="582C3E41">
            <w:pPr>
              <w:rPr>
                <w:rFonts w:hint="eastAsia" w:ascii="宋体" w:hAnsi="宋体" w:eastAsia="宋体" w:cs="宋体"/>
                <w:color w:val="auto"/>
                <w:sz w:val="22"/>
                <w:szCs w:val="22"/>
              </w:rPr>
            </w:pPr>
            <w:r>
              <w:rPr>
                <w:rFonts w:hint="eastAsia" w:ascii="宋体" w:hAnsi="宋体" w:eastAsia="宋体" w:cs="宋体"/>
                <w:color w:val="auto"/>
                <w:sz w:val="24"/>
                <w:szCs w:val="24"/>
              </w:rPr>
              <w:t>【差】组织机构形式合理，指挥系统，生产及质量、绿色施工、安全、文明施工、创优达标监控系统、联络协调系统不齐全，项目管理人员内高级职称人员10%以下、中级职称人员及以上职称40%以下。</w:t>
            </w:r>
          </w:p>
        </w:tc>
      </w:tr>
      <w:tr w14:paraId="6DA566AA">
        <w:tblPrEx>
          <w:tblCellMar>
            <w:top w:w="0" w:type="dxa"/>
            <w:left w:w="108" w:type="dxa"/>
            <w:bottom w:w="0" w:type="dxa"/>
            <w:right w:w="108" w:type="dxa"/>
          </w:tblCellMar>
        </w:tblPrEx>
        <w:trPr>
          <w:trHeight w:val="23" w:hRule="atLeast"/>
          <w:jc w:val="center"/>
        </w:trPr>
        <w:tc>
          <w:tcPr>
            <w:tcW w:w="10853" w:type="dxa"/>
            <w:gridSpan w:val="4"/>
            <w:tcBorders>
              <w:top w:val="single" w:color="auto" w:sz="4" w:space="0"/>
              <w:left w:val="single" w:color="auto" w:sz="4" w:space="0"/>
              <w:bottom w:val="single" w:color="auto" w:sz="4" w:space="0"/>
              <w:right w:val="single" w:color="auto" w:sz="4" w:space="0"/>
            </w:tcBorders>
            <w:shd w:val="clear" w:color="auto" w:fill="D9D9D9"/>
            <w:noWrap w:val="0"/>
            <w:vAlign w:val="center"/>
          </w:tcPr>
          <w:p w14:paraId="4705CF4A">
            <w:pPr>
              <w:pStyle w:val="115"/>
              <w:wordWrap w:val="0"/>
              <w:adjustRightInd w:val="0"/>
              <w:snapToGrid w:val="0"/>
              <w:spacing w:line="360" w:lineRule="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投标报价部分，满分：</w:t>
            </w:r>
            <w:r>
              <w:rPr>
                <w:rFonts w:hint="eastAsia" w:ascii="宋体" w:hAnsi="宋体" w:eastAsia="宋体" w:cs="宋体"/>
                <w:b/>
                <w:bCs/>
                <w:snapToGrid w:val="0"/>
                <w:color w:val="auto"/>
                <w:kern w:val="0"/>
                <w:sz w:val="24"/>
                <w:szCs w:val="24"/>
                <w:highlight w:val="none"/>
                <w:lang w:val="en-US" w:eastAsia="zh-CN"/>
              </w:rPr>
              <w:t>100</w:t>
            </w:r>
            <w:r>
              <w:rPr>
                <w:rFonts w:hint="eastAsia" w:ascii="宋体" w:hAnsi="宋体" w:eastAsia="宋体" w:cs="宋体"/>
                <w:b/>
                <w:bCs/>
                <w:snapToGrid w:val="0"/>
                <w:color w:val="auto"/>
                <w:kern w:val="0"/>
                <w:sz w:val="24"/>
                <w:szCs w:val="24"/>
                <w:highlight w:val="none"/>
              </w:rPr>
              <w:t>分。</w:t>
            </w:r>
          </w:p>
        </w:tc>
      </w:tr>
      <w:tr w14:paraId="2803E02E">
        <w:tblPrEx>
          <w:tblCellMar>
            <w:top w:w="0" w:type="dxa"/>
            <w:left w:w="108" w:type="dxa"/>
            <w:bottom w:w="0" w:type="dxa"/>
            <w:right w:w="108" w:type="dxa"/>
          </w:tblCellMar>
        </w:tblPrEx>
        <w:trPr>
          <w:trHeight w:val="23" w:hRule="atLeast"/>
          <w:jc w:val="center"/>
        </w:trPr>
        <w:tc>
          <w:tcPr>
            <w:tcW w:w="1493" w:type="dxa"/>
            <w:tcBorders>
              <w:top w:val="single" w:color="auto" w:sz="4" w:space="0"/>
              <w:left w:val="single" w:color="auto" w:sz="4" w:space="0"/>
              <w:bottom w:val="single" w:color="auto" w:sz="4" w:space="0"/>
              <w:right w:val="single" w:color="auto" w:sz="4" w:space="0"/>
            </w:tcBorders>
            <w:noWrap w:val="0"/>
            <w:vAlign w:val="center"/>
          </w:tcPr>
          <w:p w14:paraId="21F0920E">
            <w:pPr>
              <w:pStyle w:val="11"/>
              <w:wordWrap w:val="0"/>
              <w:adjustRightInd w:val="0"/>
              <w:snapToGrid w:val="0"/>
              <w:spacing w:after="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评分事项</w:t>
            </w:r>
          </w:p>
        </w:tc>
        <w:tc>
          <w:tcPr>
            <w:tcW w:w="9360" w:type="dxa"/>
            <w:gridSpan w:val="3"/>
            <w:tcBorders>
              <w:top w:val="single" w:color="auto" w:sz="4" w:space="0"/>
              <w:left w:val="single" w:color="auto" w:sz="4" w:space="0"/>
              <w:bottom w:val="single" w:color="auto" w:sz="4" w:space="0"/>
              <w:right w:val="single" w:color="auto" w:sz="4" w:space="0"/>
            </w:tcBorders>
            <w:noWrap w:val="0"/>
            <w:vAlign w:val="center"/>
          </w:tcPr>
          <w:p w14:paraId="3D48CD15">
            <w:pPr>
              <w:pStyle w:val="11"/>
              <w:wordWrap w:val="0"/>
              <w:adjustRightInd w:val="0"/>
              <w:snapToGrid w:val="0"/>
              <w:spacing w:after="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评分方法</w:t>
            </w:r>
          </w:p>
        </w:tc>
      </w:tr>
      <w:tr w14:paraId="2F4D8DE3">
        <w:tblPrEx>
          <w:tblCellMar>
            <w:top w:w="0" w:type="dxa"/>
            <w:left w:w="108" w:type="dxa"/>
            <w:bottom w:w="0" w:type="dxa"/>
            <w:right w:w="108" w:type="dxa"/>
          </w:tblCellMar>
        </w:tblPrEx>
        <w:trPr>
          <w:trHeight w:val="23" w:hRule="atLeast"/>
          <w:jc w:val="center"/>
        </w:trPr>
        <w:tc>
          <w:tcPr>
            <w:tcW w:w="1493" w:type="dxa"/>
            <w:tcBorders>
              <w:top w:val="single" w:color="auto" w:sz="4" w:space="0"/>
              <w:left w:val="single" w:color="auto" w:sz="4" w:space="0"/>
              <w:bottom w:val="single" w:color="auto" w:sz="4" w:space="0"/>
              <w:right w:val="single" w:color="auto" w:sz="4" w:space="0"/>
            </w:tcBorders>
            <w:noWrap w:val="0"/>
            <w:vAlign w:val="center"/>
          </w:tcPr>
          <w:p w14:paraId="1C934317">
            <w:pPr>
              <w:pStyle w:val="66"/>
              <w:keepNext w:val="0"/>
              <w:keepLines w:val="0"/>
              <w:pageBreakBefore w:val="0"/>
              <w:widowControl w:val="0"/>
              <w:kinsoku/>
              <w:wordWrap w:val="0"/>
              <w:overflowPunct/>
              <w:topLinePunct w:val="0"/>
              <w:autoSpaceDE/>
              <w:autoSpaceDN/>
              <w:bidi w:val="0"/>
              <w:adjustRightInd w:val="0"/>
              <w:snapToGrid w:val="0"/>
              <w:spacing w:line="336"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评标基准价D</w:t>
            </w:r>
          </w:p>
        </w:tc>
        <w:tc>
          <w:tcPr>
            <w:tcW w:w="9360" w:type="dxa"/>
            <w:gridSpan w:val="3"/>
            <w:tcBorders>
              <w:top w:val="single" w:color="auto" w:sz="4" w:space="0"/>
              <w:left w:val="single" w:color="auto" w:sz="4" w:space="0"/>
              <w:bottom w:val="single" w:color="auto" w:sz="4" w:space="0"/>
              <w:right w:val="single" w:color="auto" w:sz="4" w:space="0"/>
            </w:tcBorders>
            <w:noWrap w:val="0"/>
            <w:vAlign w:val="center"/>
          </w:tcPr>
          <w:p w14:paraId="701E6C20">
            <w:pPr>
              <w:keepNext w:val="0"/>
              <w:keepLines w:val="0"/>
              <w:pageBreakBefore w:val="0"/>
              <w:widowControl w:val="0"/>
              <w:kinsoku/>
              <w:wordWrap w:val="0"/>
              <w:overflowPunct/>
              <w:topLinePunct w:val="0"/>
              <w:autoSpaceDE/>
              <w:autoSpaceDN/>
              <w:bidi w:val="0"/>
              <w:adjustRightInd w:val="0"/>
              <w:snapToGrid w:val="0"/>
              <w:spacing w:line="336" w:lineRule="auto"/>
              <w:ind w:firstLine="480" w:firstLineChars="200"/>
              <w:jc w:val="left"/>
              <w:textAlignment w:val="auto"/>
              <w:rPr>
                <w:rFonts w:hint="eastAsia" w:ascii="宋体" w:hAnsi="宋体" w:eastAsia="宋体" w:cs="宋体"/>
                <w:snapToGrid w:val="0"/>
                <w:color w:val="auto"/>
                <w:kern w:val="0"/>
                <w:sz w:val="24"/>
                <w:szCs w:val="24"/>
              </w:rPr>
            </w:pPr>
            <w:r>
              <w:rPr>
                <w:rFonts w:hint="eastAsia" w:ascii="宋体" w:hAnsi="宋体" w:eastAsia="宋体" w:cs="宋体"/>
                <w:snapToGrid w:val="0"/>
                <w:color w:val="auto"/>
                <w:kern w:val="0"/>
                <w:sz w:val="24"/>
                <w:szCs w:val="24"/>
              </w:rPr>
              <w:t>（1）确定</w:t>
            </w:r>
            <w:r>
              <w:rPr>
                <w:rFonts w:hint="eastAsia" w:ascii="宋体" w:hAnsi="宋体" w:eastAsia="宋体" w:cs="宋体"/>
                <w:snapToGrid w:val="0"/>
                <w:color w:val="auto"/>
                <w:kern w:val="0"/>
                <w:sz w:val="24"/>
                <w:szCs w:val="24"/>
                <w:lang w:eastAsia="zh-CN"/>
              </w:rPr>
              <w:t>最高投标限价</w:t>
            </w:r>
            <w:r>
              <w:rPr>
                <w:rFonts w:hint="eastAsia" w:ascii="宋体" w:hAnsi="宋体" w:eastAsia="宋体" w:cs="宋体"/>
                <w:snapToGrid w:val="0"/>
                <w:color w:val="auto"/>
                <w:kern w:val="0"/>
                <w:sz w:val="24"/>
                <w:szCs w:val="24"/>
              </w:rPr>
              <w:t>下浮系数n：用1～21号球分别代表一个下浮系数，由评委代表从这21个号码中随机抽取</w:t>
            </w:r>
            <w:r>
              <w:rPr>
                <w:rFonts w:hint="eastAsia" w:ascii="宋体" w:hAnsi="宋体" w:eastAsia="宋体" w:cs="宋体"/>
                <w:snapToGrid w:val="0"/>
                <w:color w:val="auto"/>
                <w:kern w:val="0"/>
                <w:sz w:val="24"/>
                <w:szCs w:val="24"/>
                <w:u w:val="single"/>
              </w:rPr>
              <w:t xml:space="preserve"> 3 </w:t>
            </w:r>
            <w:r>
              <w:rPr>
                <w:rFonts w:hint="eastAsia" w:ascii="宋体" w:hAnsi="宋体" w:eastAsia="宋体" w:cs="宋体"/>
                <w:snapToGrid w:val="0"/>
                <w:color w:val="auto"/>
                <w:kern w:val="0"/>
                <w:sz w:val="24"/>
                <w:szCs w:val="24"/>
              </w:rPr>
              <w:t>次，每次抽取1个号码，抽出的号球不参与下次抽取。所抽取的3个号码对应下浮系数的算术平均值作为</w:t>
            </w:r>
            <w:r>
              <w:rPr>
                <w:rFonts w:hint="eastAsia" w:ascii="宋体" w:hAnsi="宋体" w:eastAsia="宋体" w:cs="宋体"/>
                <w:snapToGrid w:val="0"/>
                <w:color w:val="auto"/>
                <w:kern w:val="0"/>
                <w:sz w:val="24"/>
                <w:szCs w:val="24"/>
                <w:lang w:eastAsia="zh-CN"/>
              </w:rPr>
              <w:t>最高投标限价</w:t>
            </w:r>
            <w:r>
              <w:rPr>
                <w:rFonts w:hint="eastAsia" w:ascii="宋体" w:hAnsi="宋体" w:eastAsia="宋体" w:cs="宋体"/>
                <w:snapToGrid w:val="0"/>
                <w:color w:val="auto"/>
                <w:kern w:val="0"/>
                <w:sz w:val="24"/>
                <w:szCs w:val="24"/>
              </w:rPr>
              <w:t>下浮系数n。具体号码对应的下浮系数可参考下表。</w:t>
            </w:r>
          </w:p>
          <w:tbl>
            <w:tblPr>
              <w:tblStyle w:val="30"/>
              <w:tblW w:w="0" w:type="auto"/>
              <w:jc w:val="center"/>
              <w:tblLayout w:type="fixed"/>
              <w:tblCellMar>
                <w:top w:w="0" w:type="dxa"/>
                <w:left w:w="108" w:type="dxa"/>
                <w:bottom w:w="0" w:type="dxa"/>
                <w:right w:w="108" w:type="dxa"/>
              </w:tblCellMar>
            </w:tblPr>
            <w:tblGrid>
              <w:gridCol w:w="1949"/>
              <w:gridCol w:w="794"/>
              <w:gridCol w:w="830"/>
              <w:gridCol w:w="864"/>
              <w:gridCol w:w="848"/>
              <w:gridCol w:w="882"/>
              <w:gridCol w:w="829"/>
              <w:gridCol w:w="819"/>
            </w:tblGrid>
            <w:tr w14:paraId="0DF1D792">
              <w:tblPrEx>
                <w:tblCellMar>
                  <w:top w:w="0" w:type="dxa"/>
                  <w:left w:w="108" w:type="dxa"/>
                  <w:bottom w:w="0" w:type="dxa"/>
                  <w:right w:w="108" w:type="dxa"/>
                </w:tblCellMar>
              </w:tblPrEx>
              <w:trPr>
                <w:trHeight w:val="248" w:hRule="atLeast"/>
                <w:jc w:val="center"/>
              </w:trPr>
              <w:tc>
                <w:tcPr>
                  <w:tcW w:w="1949" w:type="dxa"/>
                  <w:tcBorders>
                    <w:top w:val="single" w:color="000000" w:sz="4" w:space="0"/>
                    <w:left w:val="single" w:color="000000" w:sz="4" w:space="0"/>
                    <w:bottom w:val="single" w:color="000000" w:sz="4" w:space="0"/>
                    <w:right w:val="single" w:color="000000" w:sz="4" w:space="0"/>
                  </w:tcBorders>
                  <w:vAlign w:val="center"/>
                </w:tcPr>
                <w:p w14:paraId="0DF82A2B">
                  <w:pPr>
                    <w:keepNext w:val="0"/>
                    <w:keepLines w:val="0"/>
                    <w:pageBreakBefore w:val="0"/>
                    <w:widowControl w:val="0"/>
                    <w:kinsoku/>
                    <w:wordWrap w:val="0"/>
                    <w:overflowPunct/>
                    <w:topLinePunct w:val="0"/>
                    <w:autoSpaceDE/>
                    <w:autoSpaceDN/>
                    <w:bidi w:val="0"/>
                    <w:adjustRightInd w:val="0"/>
                    <w:snapToGrid w:val="0"/>
                    <w:spacing w:line="336" w:lineRule="auto"/>
                    <w:jc w:val="center"/>
                    <w:textAlignment w:val="auto"/>
                    <w:rPr>
                      <w:rFonts w:hint="eastAsia" w:ascii="宋体" w:hAnsi="宋体" w:eastAsia="宋体" w:cs="宋体"/>
                      <w:b/>
                      <w:snapToGrid w:val="0"/>
                      <w:color w:val="auto"/>
                      <w:kern w:val="0"/>
                      <w:sz w:val="24"/>
                      <w:szCs w:val="24"/>
                    </w:rPr>
                  </w:pPr>
                  <w:r>
                    <w:rPr>
                      <w:rFonts w:hint="eastAsia" w:ascii="宋体" w:hAnsi="宋体" w:eastAsia="宋体" w:cs="宋体"/>
                      <w:bCs/>
                      <w:snapToGrid w:val="0"/>
                      <w:color w:val="auto"/>
                      <w:kern w:val="0"/>
                      <w:sz w:val="24"/>
                      <w:szCs w:val="24"/>
                    </w:rPr>
                    <w:t>号球</w:t>
                  </w:r>
                </w:p>
              </w:tc>
              <w:tc>
                <w:tcPr>
                  <w:tcW w:w="794" w:type="dxa"/>
                  <w:tcBorders>
                    <w:top w:val="single" w:color="000000" w:sz="4" w:space="0"/>
                    <w:left w:val="single" w:color="000000" w:sz="4" w:space="0"/>
                    <w:bottom w:val="single" w:color="000000" w:sz="4" w:space="0"/>
                    <w:right w:val="single" w:color="000000" w:sz="4" w:space="0"/>
                  </w:tcBorders>
                  <w:vAlign w:val="center"/>
                </w:tcPr>
                <w:p w14:paraId="2503CA61">
                  <w:pPr>
                    <w:keepNext w:val="0"/>
                    <w:keepLines w:val="0"/>
                    <w:pageBreakBefore w:val="0"/>
                    <w:widowControl w:val="0"/>
                    <w:kinsoku/>
                    <w:wordWrap w:val="0"/>
                    <w:overflowPunct/>
                    <w:topLinePunct w:val="0"/>
                    <w:autoSpaceDE/>
                    <w:autoSpaceDN/>
                    <w:bidi w:val="0"/>
                    <w:adjustRightInd w:val="0"/>
                    <w:snapToGrid w:val="0"/>
                    <w:spacing w:line="336" w:lineRule="auto"/>
                    <w:jc w:val="center"/>
                    <w:textAlignment w:val="auto"/>
                    <w:rPr>
                      <w:rFonts w:hint="eastAsia" w:ascii="宋体" w:hAnsi="宋体" w:eastAsia="宋体" w:cs="宋体"/>
                      <w:snapToGrid w:val="0"/>
                      <w:color w:val="auto"/>
                      <w:kern w:val="0"/>
                      <w:sz w:val="24"/>
                      <w:szCs w:val="24"/>
                    </w:rPr>
                  </w:pPr>
                  <w:r>
                    <w:rPr>
                      <w:rFonts w:hint="eastAsia" w:ascii="宋体" w:hAnsi="宋体" w:eastAsia="宋体" w:cs="宋体"/>
                      <w:snapToGrid w:val="0"/>
                      <w:color w:val="auto"/>
                      <w:kern w:val="0"/>
                      <w:sz w:val="24"/>
                      <w:szCs w:val="24"/>
                    </w:rPr>
                    <w:t>1</w:t>
                  </w:r>
                </w:p>
              </w:tc>
              <w:tc>
                <w:tcPr>
                  <w:tcW w:w="830" w:type="dxa"/>
                  <w:tcBorders>
                    <w:top w:val="single" w:color="000000" w:sz="4" w:space="0"/>
                    <w:left w:val="single" w:color="000000" w:sz="4" w:space="0"/>
                    <w:bottom w:val="single" w:color="000000" w:sz="4" w:space="0"/>
                    <w:right w:val="single" w:color="000000" w:sz="4" w:space="0"/>
                  </w:tcBorders>
                  <w:vAlign w:val="center"/>
                </w:tcPr>
                <w:p w14:paraId="2A6A6174">
                  <w:pPr>
                    <w:keepNext w:val="0"/>
                    <w:keepLines w:val="0"/>
                    <w:pageBreakBefore w:val="0"/>
                    <w:widowControl w:val="0"/>
                    <w:kinsoku/>
                    <w:wordWrap w:val="0"/>
                    <w:overflowPunct/>
                    <w:topLinePunct w:val="0"/>
                    <w:autoSpaceDE/>
                    <w:autoSpaceDN/>
                    <w:bidi w:val="0"/>
                    <w:adjustRightInd w:val="0"/>
                    <w:snapToGrid w:val="0"/>
                    <w:spacing w:line="336" w:lineRule="auto"/>
                    <w:jc w:val="center"/>
                    <w:textAlignment w:val="auto"/>
                    <w:rPr>
                      <w:rFonts w:hint="eastAsia" w:ascii="宋体" w:hAnsi="宋体" w:eastAsia="宋体" w:cs="宋体"/>
                      <w:snapToGrid w:val="0"/>
                      <w:color w:val="auto"/>
                      <w:kern w:val="0"/>
                      <w:sz w:val="24"/>
                      <w:szCs w:val="24"/>
                    </w:rPr>
                  </w:pPr>
                  <w:r>
                    <w:rPr>
                      <w:rFonts w:hint="eastAsia" w:ascii="宋体" w:hAnsi="宋体" w:eastAsia="宋体" w:cs="宋体"/>
                      <w:snapToGrid w:val="0"/>
                      <w:color w:val="auto"/>
                      <w:kern w:val="0"/>
                      <w:sz w:val="24"/>
                      <w:szCs w:val="24"/>
                    </w:rPr>
                    <w:t>2</w:t>
                  </w:r>
                </w:p>
              </w:tc>
              <w:tc>
                <w:tcPr>
                  <w:tcW w:w="864" w:type="dxa"/>
                  <w:tcBorders>
                    <w:top w:val="single" w:color="000000" w:sz="4" w:space="0"/>
                    <w:left w:val="single" w:color="000000" w:sz="4" w:space="0"/>
                    <w:bottom w:val="single" w:color="000000" w:sz="4" w:space="0"/>
                    <w:right w:val="single" w:color="000000" w:sz="4" w:space="0"/>
                  </w:tcBorders>
                  <w:vAlign w:val="center"/>
                </w:tcPr>
                <w:p w14:paraId="371F8EDE">
                  <w:pPr>
                    <w:keepNext w:val="0"/>
                    <w:keepLines w:val="0"/>
                    <w:pageBreakBefore w:val="0"/>
                    <w:widowControl w:val="0"/>
                    <w:kinsoku/>
                    <w:wordWrap w:val="0"/>
                    <w:overflowPunct/>
                    <w:topLinePunct w:val="0"/>
                    <w:autoSpaceDE/>
                    <w:autoSpaceDN/>
                    <w:bidi w:val="0"/>
                    <w:adjustRightInd w:val="0"/>
                    <w:snapToGrid w:val="0"/>
                    <w:spacing w:line="336" w:lineRule="auto"/>
                    <w:jc w:val="center"/>
                    <w:textAlignment w:val="auto"/>
                    <w:rPr>
                      <w:rFonts w:hint="eastAsia" w:ascii="宋体" w:hAnsi="宋体" w:eastAsia="宋体" w:cs="宋体"/>
                      <w:snapToGrid w:val="0"/>
                      <w:color w:val="auto"/>
                      <w:kern w:val="0"/>
                      <w:sz w:val="24"/>
                      <w:szCs w:val="24"/>
                    </w:rPr>
                  </w:pPr>
                  <w:r>
                    <w:rPr>
                      <w:rFonts w:hint="eastAsia" w:ascii="宋体" w:hAnsi="宋体" w:eastAsia="宋体" w:cs="宋体"/>
                      <w:snapToGrid w:val="0"/>
                      <w:color w:val="auto"/>
                      <w:kern w:val="0"/>
                      <w:sz w:val="24"/>
                      <w:szCs w:val="24"/>
                    </w:rPr>
                    <w:t>3</w:t>
                  </w:r>
                </w:p>
              </w:tc>
              <w:tc>
                <w:tcPr>
                  <w:tcW w:w="848" w:type="dxa"/>
                  <w:tcBorders>
                    <w:top w:val="single" w:color="000000" w:sz="4" w:space="0"/>
                    <w:left w:val="single" w:color="000000" w:sz="4" w:space="0"/>
                    <w:bottom w:val="single" w:color="000000" w:sz="4" w:space="0"/>
                    <w:right w:val="single" w:color="000000" w:sz="4" w:space="0"/>
                  </w:tcBorders>
                  <w:vAlign w:val="center"/>
                </w:tcPr>
                <w:p w14:paraId="75C4F6AF">
                  <w:pPr>
                    <w:keepNext w:val="0"/>
                    <w:keepLines w:val="0"/>
                    <w:pageBreakBefore w:val="0"/>
                    <w:widowControl w:val="0"/>
                    <w:kinsoku/>
                    <w:wordWrap w:val="0"/>
                    <w:overflowPunct/>
                    <w:topLinePunct w:val="0"/>
                    <w:autoSpaceDE/>
                    <w:autoSpaceDN/>
                    <w:bidi w:val="0"/>
                    <w:adjustRightInd w:val="0"/>
                    <w:snapToGrid w:val="0"/>
                    <w:spacing w:line="336" w:lineRule="auto"/>
                    <w:jc w:val="center"/>
                    <w:textAlignment w:val="auto"/>
                    <w:rPr>
                      <w:rFonts w:hint="eastAsia" w:ascii="宋体" w:hAnsi="宋体" w:eastAsia="宋体" w:cs="宋体"/>
                      <w:snapToGrid w:val="0"/>
                      <w:color w:val="auto"/>
                      <w:kern w:val="0"/>
                      <w:sz w:val="24"/>
                      <w:szCs w:val="24"/>
                    </w:rPr>
                  </w:pPr>
                  <w:r>
                    <w:rPr>
                      <w:rFonts w:hint="eastAsia" w:ascii="宋体" w:hAnsi="宋体" w:eastAsia="宋体" w:cs="宋体"/>
                      <w:snapToGrid w:val="0"/>
                      <w:color w:val="auto"/>
                      <w:kern w:val="0"/>
                      <w:sz w:val="24"/>
                      <w:szCs w:val="24"/>
                    </w:rPr>
                    <w:t>4</w:t>
                  </w:r>
                </w:p>
              </w:tc>
              <w:tc>
                <w:tcPr>
                  <w:tcW w:w="882" w:type="dxa"/>
                  <w:tcBorders>
                    <w:top w:val="single" w:color="000000" w:sz="4" w:space="0"/>
                    <w:left w:val="single" w:color="000000" w:sz="4" w:space="0"/>
                    <w:bottom w:val="single" w:color="000000" w:sz="4" w:space="0"/>
                    <w:right w:val="single" w:color="000000" w:sz="4" w:space="0"/>
                  </w:tcBorders>
                  <w:vAlign w:val="center"/>
                </w:tcPr>
                <w:p w14:paraId="23F174A9">
                  <w:pPr>
                    <w:keepNext w:val="0"/>
                    <w:keepLines w:val="0"/>
                    <w:pageBreakBefore w:val="0"/>
                    <w:widowControl w:val="0"/>
                    <w:kinsoku/>
                    <w:wordWrap w:val="0"/>
                    <w:overflowPunct/>
                    <w:topLinePunct w:val="0"/>
                    <w:autoSpaceDE/>
                    <w:autoSpaceDN/>
                    <w:bidi w:val="0"/>
                    <w:adjustRightInd w:val="0"/>
                    <w:snapToGrid w:val="0"/>
                    <w:spacing w:line="336" w:lineRule="auto"/>
                    <w:jc w:val="center"/>
                    <w:textAlignment w:val="auto"/>
                    <w:rPr>
                      <w:rFonts w:hint="eastAsia" w:ascii="宋体" w:hAnsi="宋体" w:eastAsia="宋体" w:cs="宋体"/>
                      <w:snapToGrid w:val="0"/>
                      <w:color w:val="auto"/>
                      <w:kern w:val="0"/>
                      <w:sz w:val="24"/>
                      <w:szCs w:val="24"/>
                    </w:rPr>
                  </w:pPr>
                  <w:r>
                    <w:rPr>
                      <w:rFonts w:hint="eastAsia" w:ascii="宋体" w:hAnsi="宋体" w:eastAsia="宋体" w:cs="宋体"/>
                      <w:snapToGrid w:val="0"/>
                      <w:color w:val="auto"/>
                      <w:kern w:val="0"/>
                      <w:sz w:val="24"/>
                      <w:szCs w:val="24"/>
                    </w:rPr>
                    <w:t>5</w:t>
                  </w:r>
                </w:p>
              </w:tc>
              <w:tc>
                <w:tcPr>
                  <w:tcW w:w="829" w:type="dxa"/>
                  <w:tcBorders>
                    <w:top w:val="single" w:color="000000" w:sz="4" w:space="0"/>
                    <w:left w:val="single" w:color="000000" w:sz="4" w:space="0"/>
                    <w:bottom w:val="single" w:color="000000" w:sz="4" w:space="0"/>
                    <w:right w:val="single" w:color="000000" w:sz="4" w:space="0"/>
                  </w:tcBorders>
                  <w:vAlign w:val="center"/>
                </w:tcPr>
                <w:p w14:paraId="79333F71">
                  <w:pPr>
                    <w:keepNext w:val="0"/>
                    <w:keepLines w:val="0"/>
                    <w:pageBreakBefore w:val="0"/>
                    <w:widowControl w:val="0"/>
                    <w:kinsoku/>
                    <w:wordWrap w:val="0"/>
                    <w:overflowPunct/>
                    <w:topLinePunct w:val="0"/>
                    <w:autoSpaceDE/>
                    <w:autoSpaceDN/>
                    <w:bidi w:val="0"/>
                    <w:adjustRightInd w:val="0"/>
                    <w:snapToGrid w:val="0"/>
                    <w:spacing w:line="336" w:lineRule="auto"/>
                    <w:jc w:val="center"/>
                    <w:textAlignment w:val="auto"/>
                    <w:rPr>
                      <w:rFonts w:hint="eastAsia" w:ascii="宋体" w:hAnsi="宋体" w:eastAsia="宋体" w:cs="宋体"/>
                      <w:snapToGrid w:val="0"/>
                      <w:color w:val="auto"/>
                      <w:kern w:val="0"/>
                      <w:sz w:val="24"/>
                      <w:szCs w:val="24"/>
                    </w:rPr>
                  </w:pPr>
                  <w:r>
                    <w:rPr>
                      <w:rFonts w:hint="eastAsia" w:ascii="宋体" w:hAnsi="宋体" w:eastAsia="宋体" w:cs="宋体"/>
                      <w:snapToGrid w:val="0"/>
                      <w:color w:val="auto"/>
                      <w:kern w:val="0"/>
                      <w:sz w:val="24"/>
                      <w:szCs w:val="24"/>
                    </w:rPr>
                    <w:t>6</w:t>
                  </w:r>
                </w:p>
              </w:tc>
              <w:tc>
                <w:tcPr>
                  <w:tcW w:w="819" w:type="dxa"/>
                  <w:tcBorders>
                    <w:top w:val="single" w:color="000000" w:sz="4" w:space="0"/>
                    <w:left w:val="single" w:color="000000" w:sz="4" w:space="0"/>
                    <w:bottom w:val="single" w:color="000000" w:sz="4" w:space="0"/>
                    <w:right w:val="single" w:color="000000" w:sz="4" w:space="0"/>
                  </w:tcBorders>
                  <w:vAlign w:val="center"/>
                </w:tcPr>
                <w:p w14:paraId="70068A15">
                  <w:pPr>
                    <w:keepNext w:val="0"/>
                    <w:keepLines w:val="0"/>
                    <w:pageBreakBefore w:val="0"/>
                    <w:widowControl w:val="0"/>
                    <w:kinsoku/>
                    <w:wordWrap w:val="0"/>
                    <w:overflowPunct/>
                    <w:topLinePunct w:val="0"/>
                    <w:autoSpaceDE/>
                    <w:autoSpaceDN/>
                    <w:bidi w:val="0"/>
                    <w:adjustRightInd w:val="0"/>
                    <w:snapToGrid w:val="0"/>
                    <w:spacing w:line="336" w:lineRule="auto"/>
                    <w:jc w:val="center"/>
                    <w:textAlignment w:val="auto"/>
                    <w:rPr>
                      <w:rFonts w:hint="eastAsia" w:ascii="宋体" w:hAnsi="宋体" w:eastAsia="宋体" w:cs="宋体"/>
                      <w:snapToGrid w:val="0"/>
                      <w:color w:val="auto"/>
                      <w:kern w:val="0"/>
                      <w:sz w:val="24"/>
                      <w:szCs w:val="24"/>
                    </w:rPr>
                  </w:pPr>
                  <w:r>
                    <w:rPr>
                      <w:rFonts w:hint="eastAsia" w:ascii="宋体" w:hAnsi="宋体" w:eastAsia="宋体" w:cs="宋体"/>
                      <w:snapToGrid w:val="0"/>
                      <w:color w:val="auto"/>
                      <w:kern w:val="0"/>
                      <w:sz w:val="24"/>
                      <w:szCs w:val="24"/>
                    </w:rPr>
                    <w:t>7</w:t>
                  </w:r>
                </w:p>
              </w:tc>
            </w:tr>
            <w:tr w14:paraId="791D8E76">
              <w:tblPrEx>
                <w:tblCellMar>
                  <w:top w:w="0" w:type="dxa"/>
                  <w:left w:w="108" w:type="dxa"/>
                  <w:bottom w:w="0" w:type="dxa"/>
                  <w:right w:w="108" w:type="dxa"/>
                </w:tblCellMar>
              </w:tblPrEx>
              <w:trPr>
                <w:trHeight w:val="575" w:hRule="atLeast"/>
                <w:jc w:val="center"/>
              </w:trPr>
              <w:tc>
                <w:tcPr>
                  <w:tcW w:w="1949" w:type="dxa"/>
                  <w:tcBorders>
                    <w:top w:val="single" w:color="000000" w:sz="4" w:space="0"/>
                    <w:left w:val="single" w:color="000000" w:sz="4" w:space="0"/>
                    <w:bottom w:val="single" w:color="000000" w:sz="4" w:space="0"/>
                    <w:right w:val="single" w:color="000000" w:sz="4" w:space="0"/>
                  </w:tcBorders>
                  <w:vAlign w:val="center"/>
                </w:tcPr>
                <w:p w14:paraId="0D2BA57E">
                  <w:pPr>
                    <w:keepNext w:val="0"/>
                    <w:keepLines w:val="0"/>
                    <w:pageBreakBefore w:val="0"/>
                    <w:widowControl w:val="0"/>
                    <w:kinsoku/>
                    <w:wordWrap w:val="0"/>
                    <w:overflowPunct/>
                    <w:topLinePunct w:val="0"/>
                    <w:autoSpaceDE/>
                    <w:autoSpaceDN/>
                    <w:bidi w:val="0"/>
                    <w:adjustRightInd w:val="0"/>
                    <w:snapToGrid w:val="0"/>
                    <w:spacing w:line="336" w:lineRule="auto"/>
                    <w:jc w:val="center"/>
                    <w:textAlignment w:val="auto"/>
                    <w:rPr>
                      <w:rFonts w:hint="eastAsia" w:ascii="宋体" w:hAnsi="宋体" w:eastAsia="宋体" w:cs="宋体"/>
                      <w:snapToGrid w:val="0"/>
                      <w:color w:val="auto"/>
                      <w:kern w:val="0"/>
                      <w:sz w:val="24"/>
                      <w:szCs w:val="24"/>
                    </w:rPr>
                  </w:pPr>
                  <w:r>
                    <w:rPr>
                      <w:rFonts w:hint="eastAsia" w:ascii="宋体" w:hAnsi="宋体" w:eastAsia="宋体" w:cs="宋体"/>
                      <w:snapToGrid w:val="0"/>
                      <w:color w:val="auto"/>
                      <w:kern w:val="0"/>
                      <w:sz w:val="24"/>
                      <w:szCs w:val="24"/>
                    </w:rPr>
                    <w:t>下浮系数（%）</w:t>
                  </w:r>
                </w:p>
              </w:tc>
              <w:tc>
                <w:tcPr>
                  <w:tcW w:w="794" w:type="dxa"/>
                  <w:tcBorders>
                    <w:top w:val="single" w:color="000000" w:sz="4" w:space="0"/>
                    <w:left w:val="single" w:color="000000" w:sz="4" w:space="0"/>
                    <w:bottom w:val="single" w:color="000000" w:sz="4" w:space="0"/>
                    <w:right w:val="single" w:color="000000" w:sz="4" w:space="0"/>
                  </w:tcBorders>
                  <w:vAlign w:val="center"/>
                </w:tcPr>
                <w:p w14:paraId="732221F4">
                  <w:pPr>
                    <w:keepNext w:val="0"/>
                    <w:keepLines w:val="0"/>
                    <w:pageBreakBefore w:val="0"/>
                    <w:widowControl w:val="0"/>
                    <w:kinsoku/>
                    <w:wordWrap w:val="0"/>
                    <w:overflowPunct/>
                    <w:topLinePunct w:val="0"/>
                    <w:autoSpaceDE/>
                    <w:autoSpaceDN/>
                    <w:bidi w:val="0"/>
                    <w:adjustRightInd w:val="0"/>
                    <w:snapToGrid w:val="0"/>
                    <w:spacing w:line="336" w:lineRule="auto"/>
                    <w:jc w:val="center"/>
                    <w:textAlignment w:val="auto"/>
                    <w:rPr>
                      <w:rFonts w:hint="eastAsia" w:ascii="宋体" w:hAnsi="宋体" w:eastAsia="宋体" w:cs="宋体"/>
                      <w:snapToGrid w:val="0"/>
                      <w:color w:val="auto"/>
                      <w:kern w:val="0"/>
                      <w:sz w:val="24"/>
                      <w:szCs w:val="24"/>
                    </w:rPr>
                  </w:pPr>
                  <w:r>
                    <w:rPr>
                      <w:rFonts w:hint="eastAsia" w:ascii="宋体" w:hAnsi="宋体" w:eastAsia="宋体" w:cs="宋体"/>
                      <w:snapToGrid w:val="0"/>
                      <w:color w:val="auto"/>
                      <w:kern w:val="0"/>
                      <w:sz w:val="24"/>
                      <w:szCs w:val="24"/>
                    </w:rPr>
                    <w:t>1.0</w:t>
                  </w:r>
                </w:p>
              </w:tc>
              <w:tc>
                <w:tcPr>
                  <w:tcW w:w="830" w:type="dxa"/>
                  <w:tcBorders>
                    <w:top w:val="single" w:color="000000" w:sz="4" w:space="0"/>
                    <w:left w:val="single" w:color="000000" w:sz="4" w:space="0"/>
                    <w:bottom w:val="single" w:color="000000" w:sz="4" w:space="0"/>
                    <w:right w:val="single" w:color="000000" w:sz="4" w:space="0"/>
                  </w:tcBorders>
                  <w:vAlign w:val="center"/>
                </w:tcPr>
                <w:p w14:paraId="4DA2A8D1">
                  <w:pPr>
                    <w:keepNext w:val="0"/>
                    <w:keepLines w:val="0"/>
                    <w:pageBreakBefore w:val="0"/>
                    <w:widowControl w:val="0"/>
                    <w:kinsoku/>
                    <w:wordWrap w:val="0"/>
                    <w:overflowPunct/>
                    <w:topLinePunct w:val="0"/>
                    <w:autoSpaceDE/>
                    <w:autoSpaceDN/>
                    <w:bidi w:val="0"/>
                    <w:adjustRightInd w:val="0"/>
                    <w:snapToGrid w:val="0"/>
                    <w:spacing w:line="336" w:lineRule="auto"/>
                    <w:jc w:val="center"/>
                    <w:textAlignment w:val="auto"/>
                    <w:rPr>
                      <w:rFonts w:hint="eastAsia" w:ascii="宋体" w:hAnsi="宋体" w:eastAsia="宋体" w:cs="宋体"/>
                      <w:snapToGrid w:val="0"/>
                      <w:color w:val="auto"/>
                      <w:kern w:val="0"/>
                      <w:sz w:val="24"/>
                      <w:szCs w:val="24"/>
                    </w:rPr>
                  </w:pPr>
                  <w:r>
                    <w:rPr>
                      <w:rFonts w:hint="eastAsia" w:ascii="宋体" w:hAnsi="宋体" w:eastAsia="宋体" w:cs="宋体"/>
                      <w:snapToGrid w:val="0"/>
                      <w:color w:val="auto"/>
                      <w:kern w:val="0"/>
                      <w:sz w:val="24"/>
                      <w:szCs w:val="24"/>
                    </w:rPr>
                    <w:t>1.1</w:t>
                  </w:r>
                </w:p>
              </w:tc>
              <w:tc>
                <w:tcPr>
                  <w:tcW w:w="864" w:type="dxa"/>
                  <w:tcBorders>
                    <w:top w:val="single" w:color="000000" w:sz="4" w:space="0"/>
                    <w:left w:val="single" w:color="000000" w:sz="4" w:space="0"/>
                    <w:bottom w:val="single" w:color="000000" w:sz="4" w:space="0"/>
                    <w:right w:val="single" w:color="000000" w:sz="4" w:space="0"/>
                  </w:tcBorders>
                  <w:vAlign w:val="center"/>
                </w:tcPr>
                <w:p w14:paraId="72AB3878">
                  <w:pPr>
                    <w:keepNext w:val="0"/>
                    <w:keepLines w:val="0"/>
                    <w:pageBreakBefore w:val="0"/>
                    <w:widowControl w:val="0"/>
                    <w:kinsoku/>
                    <w:wordWrap w:val="0"/>
                    <w:overflowPunct/>
                    <w:topLinePunct w:val="0"/>
                    <w:autoSpaceDE/>
                    <w:autoSpaceDN/>
                    <w:bidi w:val="0"/>
                    <w:adjustRightInd w:val="0"/>
                    <w:snapToGrid w:val="0"/>
                    <w:spacing w:line="336" w:lineRule="auto"/>
                    <w:jc w:val="center"/>
                    <w:textAlignment w:val="auto"/>
                    <w:rPr>
                      <w:rFonts w:hint="eastAsia" w:ascii="宋体" w:hAnsi="宋体" w:eastAsia="宋体" w:cs="宋体"/>
                      <w:snapToGrid w:val="0"/>
                      <w:color w:val="auto"/>
                      <w:kern w:val="0"/>
                      <w:sz w:val="24"/>
                      <w:szCs w:val="24"/>
                    </w:rPr>
                  </w:pPr>
                  <w:r>
                    <w:rPr>
                      <w:rFonts w:hint="eastAsia" w:ascii="宋体" w:hAnsi="宋体" w:eastAsia="宋体" w:cs="宋体"/>
                      <w:snapToGrid w:val="0"/>
                      <w:color w:val="auto"/>
                      <w:kern w:val="0"/>
                      <w:sz w:val="24"/>
                      <w:szCs w:val="24"/>
                    </w:rPr>
                    <w:t>1.2</w:t>
                  </w:r>
                </w:p>
              </w:tc>
              <w:tc>
                <w:tcPr>
                  <w:tcW w:w="848" w:type="dxa"/>
                  <w:tcBorders>
                    <w:top w:val="single" w:color="000000" w:sz="4" w:space="0"/>
                    <w:left w:val="single" w:color="000000" w:sz="4" w:space="0"/>
                    <w:bottom w:val="single" w:color="000000" w:sz="4" w:space="0"/>
                    <w:right w:val="single" w:color="000000" w:sz="4" w:space="0"/>
                  </w:tcBorders>
                  <w:vAlign w:val="center"/>
                </w:tcPr>
                <w:p w14:paraId="55C80E80">
                  <w:pPr>
                    <w:keepNext w:val="0"/>
                    <w:keepLines w:val="0"/>
                    <w:pageBreakBefore w:val="0"/>
                    <w:widowControl w:val="0"/>
                    <w:kinsoku/>
                    <w:wordWrap w:val="0"/>
                    <w:overflowPunct/>
                    <w:topLinePunct w:val="0"/>
                    <w:autoSpaceDE/>
                    <w:autoSpaceDN/>
                    <w:bidi w:val="0"/>
                    <w:adjustRightInd w:val="0"/>
                    <w:snapToGrid w:val="0"/>
                    <w:spacing w:line="336" w:lineRule="auto"/>
                    <w:jc w:val="center"/>
                    <w:textAlignment w:val="auto"/>
                    <w:rPr>
                      <w:rFonts w:hint="eastAsia" w:ascii="宋体" w:hAnsi="宋体" w:eastAsia="宋体" w:cs="宋体"/>
                      <w:snapToGrid w:val="0"/>
                      <w:color w:val="auto"/>
                      <w:kern w:val="0"/>
                      <w:sz w:val="24"/>
                      <w:szCs w:val="24"/>
                    </w:rPr>
                  </w:pPr>
                  <w:r>
                    <w:rPr>
                      <w:rFonts w:hint="eastAsia" w:ascii="宋体" w:hAnsi="宋体" w:eastAsia="宋体" w:cs="宋体"/>
                      <w:snapToGrid w:val="0"/>
                      <w:color w:val="auto"/>
                      <w:kern w:val="0"/>
                      <w:sz w:val="24"/>
                      <w:szCs w:val="24"/>
                    </w:rPr>
                    <w:t>1.3</w:t>
                  </w:r>
                </w:p>
              </w:tc>
              <w:tc>
                <w:tcPr>
                  <w:tcW w:w="882" w:type="dxa"/>
                  <w:tcBorders>
                    <w:top w:val="single" w:color="000000" w:sz="4" w:space="0"/>
                    <w:left w:val="single" w:color="000000" w:sz="4" w:space="0"/>
                    <w:bottom w:val="single" w:color="000000" w:sz="4" w:space="0"/>
                    <w:right w:val="single" w:color="000000" w:sz="4" w:space="0"/>
                  </w:tcBorders>
                  <w:vAlign w:val="center"/>
                </w:tcPr>
                <w:p w14:paraId="63F20F98">
                  <w:pPr>
                    <w:keepNext w:val="0"/>
                    <w:keepLines w:val="0"/>
                    <w:pageBreakBefore w:val="0"/>
                    <w:widowControl w:val="0"/>
                    <w:kinsoku/>
                    <w:wordWrap w:val="0"/>
                    <w:overflowPunct/>
                    <w:topLinePunct w:val="0"/>
                    <w:autoSpaceDE/>
                    <w:autoSpaceDN/>
                    <w:bidi w:val="0"/>
                    <w:adjustRightInd w:val="0"/>
                    <w:snapToGrid w:val="0"/>
                    <w:spacing w:line="336" w:lineRule="auto"/>
                    <w:jc w:val="center"/>
                    <w:textAlignment w:val="auto"/>
                    <w:rPr>
                      <w:rFonts w:hint="eastAsia" w:ascii="宋体" w:hAnsi="宋体" w:eastAsia="宋体" w:cs="宋体"/>
                      <w:snapToGrid w:val="0"/>
                      <w:color w:val="auto"/>
                      <w:kern w:val="0"/>
                      <w:sz w:val="24"/>
                      <w:szCs w:val="24"/>
                    </w:rPr>
                  </w:pPr>
                  <w:r>
                    <w:rPr>
                      <w:rFonts w:hint="eastAsia" w:ascii="宋体" w:hAnsi="宋体" w:eastAsia="宋体" w:cs="宋体"/>
                      <w:snapToGrid w:val="0"/>
                      <w:color w:val="auto"/>
                      <w:kern w:val="0"/>
                      <w:sz w:val="24"/>
                      <w:szCs w:val="24"/>
                    </w:rPr>
                    <w:t>1.4</w:t>
                  </w:r>
                </w:p>
              </w:tc>
              <w:tc>
                <w:tcPr>
                  <w:tcW w:w="829" w:type="dxa"/>
                  <w:tcBorders>
                    <w:top w:val="single" w:color="000000" w:sz="4" w:space="0"/>
                    <w:left w:val="single" w:color="000000" w:sz="4" w:space="0"/>
                    <w:bottom w:val="single" w:color="000000" w:sz="4" w:space="0"/>
                    <w:right w:val="single" w:color="000000" w:sz="4" w:space="0"/>
                  </w:tcBorders>
                  <w:vAlign w:val="center"/>
                </w:tcPr>
                <w:p w14:paraId="5C6515EB">
                  <w:pPr>
                    <w:keepNext w:val="0"/>
                    <w:keepLines w:val="0"/>
                    <w:pageBreakBefore w:val="0"/>
                    <w:widowControl w:val="0"/>
                    <w:kinsoku/>
                    <w:wordWrap w:val="0"/>
                    <w:overflowPunct/>
                    <w:topLinePunct w:val="0"/>
                    <w:autoSpaceDE/>
                    <w:autoSpaceDN/>
                    <w:bidi w:val="0"/>
                    <w:adjustRightInd w:val="0"/>
                    <w:snapToGrid w:val="0"/>
                    <w:spacing w:line="336" w:lineRule="auto"/>
                    <w:jc w:val="center"/>
                    <w:textAlignment w:val="auto"/>
                    <w:rPr>
                      <w:rFonts w:hint="eastAsia" w:ascii="宋体" w:hAnsi="宋体" w:eastAsia="宋体" w:cs="宋体"/>
                      <w:snapToGrid w:val="0"/>
                      <w:color w:val="auto"/>
                      <w:kern w:val="0"/>
                      <w:sz w:val="24"/>
                      <w:szCs w:val="24"/>
                    </w:rPr>
                  </w:pPr>
                  <w:r>
                    <w:rPr>
                      <w:rFonts w:hint="eastAsia" w:ascii="宋体" w:hAnsi="宋体" w:eastAsia="宋体" w:cs="宋体"/>
                      <w:snapToGrid w:val="0"/>
                      <w:color w:val="auto"/>
                      <w:kern w:val="0"/>
                      <w:sz w:val="24"/>
                      <w:szCs w:val="24"/>
                    </w:rPr>
                    <w:t>1.5</w:t>
                  </w:r>
                </w:p>
              </w:tc>
              <w:tc>
                <w:tcPr>
                  <w:tcW w:w="819" w:type="dxa"/>
                  <w:tcBorders>
                    <w:top w:val="single" w:color="000000" w:sz="4" w:space="0"/>
                    <w:left w:val="single" w:color="000000" w:sz="4" w:space="0"/>
                    <w:bottom w:val="single" w:color="000000" w:sz="4" w:space="0"/>
                    <w:right w:val="single" w:color="000000" w:sz="4" w:space="0"/>
                  </w:tcBorders>
                  <w:vAlign w:val="center"/>
                </w:tcPr>
                <w:p w14:paraId="3056149E">
                  <w:pPr>
                    <w:keepNext w:val="0"/>
                    <w:keepLines w:val="0"/>
                    <w:pageBreakBefore w:val="0"/>
                    <w:widowControl w:val="0"/>
                    <w:kinsoku/>
                    <w:wordWrap w:val="0"/>
                    <w:overflowPunct/>
                    <w:topLinePunct w:val="0"/>
                    <w:autoSpaceDE/>
                    <w:autoSpaceDN/>
                    <w:bidi w:val="0"/>
                    <w:adjustRightInd w:val="0"/>
                    <w:snapToGrid w:val="0"/>
                    <w:spacing w:line="336" w:lineRule="auto"/>
                    <w:jc w:val="center"/>
                    <w:textAlignment w:val="auto"/>
                    <w:rPr>
                      <w:rFonts w:hint="eastAsia" w:ascii="宋体" w:hAnsi="宋体" w:eastAsia="宋体" w:cs="宋体"/>
                      <w:snapToGrid w:val="0"/>
                      <w:color w:val="auto"/>
                      <w:kern w:val="0"/>
                      <w:sz w:val="24"/>
                      <w:szCs w:val="24"/>
                    </w:rPr>
                  </w:pPr>
                  <w:r>
                    <w:rPr>
                      <w:rFonts w:hint="eastAsia" w:ascii="宋体" w:hAnsi="宋体" w:eastAsia="宋体" w:cs="宋体"/>
                      <w:snapToGrid w:val="0"/>
                      <w:color w:val="auto"/>
                      <w:kern w:val="0"/>
                      <w:sz w:val="24"/>
                      <w:szCs w:val="24"/>
                    </w:rPr>
                    <w:t>1.6</w:t>
                  </w:r>
                </w:p>
              </w:tc>
            </w:tr>
            <w:tr w14:paraId="3EAD1EE0">
              <w:tblPrEx>
                <w:tblCellMar>
                  <w:top w:w="0" w:type="dxa"/>
                  <w:left w:w="108" w:type="dxa"/>
                  <w:bottom w:w="0" w:type="dxa"/>
                  <w:right w:w="108" w:type="dxa"/>
                </w:tblCellMar>
              </w:tblPrEx>
              <w:trPr>
                <w:trHeight w:val="515" w:hRule="atLeast"/>
                <w:jc w:val="center"/>
              </w:trPr>
              <w:tc>
                <w:tcPr>
                  <w:tcW w:w="1949" w:type="dxa"/>
                  <w:tcBorders>
                    <w:top w:val="single" w:color="000000" w:sz="4" w:space="0"/>
                    <w:left w:val="single" w:color="000000" w:sz="4" w:space="0"/>
                    <w:bottom w:val="single" w:color="000000" w:sz="4" w:space="0"/>
                    <w:right w:val="single" w:color="000000" w:sz="4" w:space="0"/>
                  </w:tcBorders>
                  <w:vAlign w:val="center"/>
                </w:tcPr>
                <w:p w14:paraId="5536D489">
                  <w:pPr>
                    <w:keepNext w:val="0"/>
                    <w:keepLines w:val="0"/>
                    <w:pageBreakBefore w:val="0"/>
                    <w:widowControl w:val="0"/>
                    <w:kinsoku/>
                    <w:wordWrap w:val="0"/>
                    <w:overflowPunct/>
                    <w:topLinePunct w:val="0"/>
                    <w:autoSpaceDE/>
                    <w:autoSpaceDN/>
                    <w:bidi w:val="0"/>
                    <w:adjustRightInd w:val="0"/>
                    <w:snapToGrid w:val="0"/>
                    <w:spacing w:line="336" w:lineRule="auto"/>
                    <w:jc w:val="center"/>
                    <w:textAlignment w:val="auto"/>
                    <w:rPr>
                      <w:rFonts w:hint="eastAsia" w:ascii="宋体" w:hAnsi="宋体" w:eastAsia="宋体" w:cs="宋体"/>
                      <w:b/>
                      <w:snapToGrid w:val="0"/>
                      <w:color w:val="auto"/>
                      <w:kern w:val="0"/>
                      <w:sz w:val="24"/>
                      <w:szCs w:val="24"/>
                    </w:rPr>
                  </w:pPr>
                  <w:r>
                    <w:rPr>
                      <w:rFonts w:hint="eastAsia" w:ascii="宋体" w:hAnsi="宋体" w:eastAsia="宋体" w:cs="宋体"/>
                      <w:bCs/>
                      <w:snapToGrid w:val="0"/>
                      <w:color w:val="auto"/>
                      <w:kern w:val="0"/>
                      <w:sz w:val="24"/>
                      <w:szCs w:val="24"/>
                    </w:rPr>
                    <w:t>号球</w:t>
                  </w:r>
                </w:p>
              </w:tc>
              <w:tc>
                <w:tcPr>
                  <w:tcW w:w="794" w:type="dxa"/>
                  <w:tcBorders>
                    <w:top w:val="single" w:color="000000" w:sz="4" w:space="0"/>
                    <w:left w:val="single" w:color="000000" w:sz="4" w:space="0"/>
                    <w:bottom w:val="single" w:color="000000" w:sz="4" w:space="0"/>
                    <w:right w:val="single" w:color="000000" w:sz="4" w:space="0"/>
                  </w:tcBorders>
                  <w:vAlign w:val="center"/>
                </w:tcPr>
                <w:p w14:paraId="3722F012">
                  <w:pPr>
                    <w:keepNext w:val="0"/>
                    <w:keepLines w:val="0"/>
                    <w:pageBreakBefore w:val="0"/>
                    <w:widowControl w:val="0"/>
                    <w:kinsoku/>
                    <w:wordWrap w:val="0"/>
                    <w:overflowPunct/>
                    <w:topLinePunct w:val="0"/>
                    <w:autoSpaceDE/>
                    <w:autoSpaceDN/>
                    <w:bidi w:val="0"/>
                    <w:adjustRightInd w:val="0"/>
                    <w:snapToGrid w:val="0"/>
                    <w:spacing w:line="336" w:lineRule="auto"/>
                    <w:jc w:val="center"/>
                    <w:textAlignment w:val="auto"/>
                    <w:rPr>
                      <w:rFonts w:hint="eastAsia" w:ascii="宋体" w:hAnsi="宋体" w:eastAsia="宋体" w:cs="宋体"/>
                      <w:snapToGrid w:val="0"/>
                      <w:color w:val="auto"/>
                      <w:kern w:val="0"/>
                      <w:sz w:val="24"/>
                      <w:szCs w:val="24"/>
                    </w:rPr>
                  </w:pPr>
                  <w:r>
                    <w:rPr>
                      <w:rFonts w:hint="eastAsia" w:ascii="宋体" w:hAnsi="宋体" w:eastAsia="宋体" w:cs="宋体"/>
                      <w:snapToGrid w:val="0"/>
                      <w:color w:val="auto"/>
                      <w:kern w:val="0"/>
                      <w:sz w:val="24"/>
                      <w:szCs w:val="24"/>
                    </w:rPr>
                    <w:t>8</w:t>
                  </w:r>
                </w:p>
              </w:tc>
              <w:tc>
                <w:tcPr>
                  <w:tcW w:w="830" w:type="dxa"/>
                  <w:tcBorders>
                    <w:top w:val="single" w:color="000000" w:sz="4" w:space="0"/>
                    <w:left w:val="single" w:color="000000" w:sz="4" w:space="0"/>
                    <w:bottom w:val="single" w:color="000000" w:sz="4" w:space="0"/>
                    <w:right w:val="single" w:color="000000" w:sz="4" w:space="0"/>
                  </w:tcBorders>
                  <w:vAlign w:val="center"/>
                </w:tcPr>
                <w:p w14:paraId="471A335A">
                  <w:pPr>
                    <w:keepNext w:val="0"/>
                    <w:keepLines w:val="0"/>
                    <w:pageBreakBefore w:val="0"/>
                    <w:widowControl w:val="0"/>
                    <w:kinsoku/>
                    <w:wordWrap w:val="0"/>
                    <w:overflowPunct/>
                    <w:topLinePunct w:val="0"/>
                    <w:autoSpaceDE/>
                    <w:autoSpaceDN/>
                    <w:bidi w:val="0"/>
                    <w:adjustRightInd w:val="0"/>
                    <w:snapToGrid w:val="0"/>
                    <w:spacing w:line="336" w:lineRule="auto"/>
                    <w:jc w:val="center"/>
                    <w:textAlignment w:val="auto"/>
                    <w:rPr>
                      <w:rFonts w:hint="eastAsia" w:ascii="宋体" w:hAnsi="宋体" w:eastAsia="宋体" w:cs="宋体"/>
                      <w:snapToGrid w:val="0"/>
                      <w:color w:val="auto"/>
                      <w:kern w:val="0"/>
                      <w:sz w:val="24"/>
                      <w:szCs w:val="24"/>
                    </w:rPr>
                  </w:pPr>
                  <w:r>
                    <w:rPr>
                      <w:rFonts w:hint="eastAsia" w:ascii="宋体" w:hAnsi="宋体" w:eastAsia="宋体" w:cs="宋体"/>
                      <w:snapToGrid w:val="0"/>
                      <w:color w:val="auto"/>
                      <w:kern w:val="0"/>
                      <w:sz w:val="24"/>
                      <w:szCs w:val="24"/>
                    </w:rPr>
                    <w:t>9</w:t>
                  </w:r>
                </w:p>
              </w:tc>
              <w:tc>
                <w:tcPr>
                  <w:tcW w:w="864" w:type="dxa"/>
                  <w:tcBorders>
                    <w:top w:val="single" w:color="000000" w:sz="4" w:space="0"/>
                    <w:left w:val="single" w:color="000000" w:sz="4" w:space="0"/>
                    <w:bottom w:val="single" w:color="000000" w:sz="4" w:space="0"/>
                    <w:right w:val="single" w:color="000000" w:sz="4" w:space="0"/>
                  </w:tcBorders>
                  <w:vAlign w:val="center"/>
                </w:tcPr>
                <w:p w14:paraId="1D7EEDC2">
                  <w:pPr>
                    <w:keepNext w:val="0"/>
                    <w:keepLines w:val="0"/>
                    <w:pageBreakBefore w:val="0"/>
                    <w:widowControl w:val="0"/>
                    <w:kinsoku/>
                    <w:wordWrap w:val="0"/>
                    <w:overflowPunct/>
                    <w:topLinePunct w:val="0"/>
                    <w:autoSpaceDE/>
                    <w:autoSpaceDN/>
                    <w:bidi w:val="0"/>
                    <w:adjustRightInd w:val="0"/>
                    <w:snapToGrid w:val="0"/>
                    <w:spacing w:line="336" w:lineRule="auto"/>
                    <w:jc w:val="center"/>
                    <w:textAlignment w:val="auto"/>
                    <w:rPr>
                      <w:rFonts w:hint="eastAsia" w:ascii="宋体" w:hAnsi="宋体" w:eastAsia="宋体" w:cs="宋体"/>
                      <w:snapToGrid w:val="0"/>
                      <w:color w:val="auto"/>
                      <w:kern w:val="0"/>
                      <w:sz w:val="24"/>
                      <w:szCs w:val="24"/>
                    </w:rPr>
                  </w:pPr>
                  <w:r>
                    <w:rPr>
                      <w:rFonts w:hint="eastAsia" w:ascii="宋体" w:hAnsi="宋体" w:eastAsia="宋体" w:cs="宋体"/>
                      <w:snapToGrid w:val="0"/>
                      <w:color w:val="auto"/>
                      <w:kern w:val="0"/>
                      <w:sz w:val="24"/>
                      <w:szCs w:val="24"/>
                    </w:rPr>
                    <w:t>10</w:t>
                  </w:r>
                </w:p>
              </w:tc>
              <w:tc>
                <w:tcPr>
                  <w:tcW w:w="848" w:type="dxa"/>
                  <w:tcBorders>
                    <w:top w:val="single" w:color="000000" w:sz="4" w:space="0"/>
                    <w:left w:val="single" w:color="000000" w:sz="4" w:space="0"/>
                    <w:bottom w:val="single" w:color="000000" w:sz="4" w:space="0"/>
                    <w:right w:val="single" w:color="000000" w:sz="4" w:space="0"/>
                  </w:tcBorders>
                  <w:vAlign w:val="center"/>
                </w:tcPr>
                <w:p w14:paraId="530D318F">
                  <w:pPr>
                    <w:keepNext w:val="0"/>
                    <w:keepLines w:val="0"/>
                    <w:pageBreakBefore w:val="0"/>
                    <w:widowControl w:val="0"/>
                    <w:kinsoku/>
                    <w:wordWrap w:val="0"/>
                    <w:overflowPunct/>
                    <w:topLinePunct w:val="0"/>
                    <w:autoSpaceDE/>
                    <w:autoSpaceDN/>
                    <w:bidi w:val="0"/>
                    <w:adjustRightInd w:val="0"/>
                    <w:snapToGrid w:val="0"/>
                    <w:spacing w:line="336" w:lineRule="auto"/>
                    <w:jc w:val="center"/>
                    <w:textAlignment w:val="auto"/>
                    <w:rPr>
                      <w:rFonts w:hint="eastAsia" w:ascii="宋体" w:hAnsi="宋体" w:eastAsia="宋体" w:cs="宋体"/>
                      <w:snapToGrid w:val="0"/>
                      <w:color w:val="auto"/>
                      <w:kern w:val="0"/>
                      <w:sz w:val="24"/>
                      <w:szCs w:val="24"/>
                    </w:rPr>
                  </w:pPr>
                  <w:r>
                    <w:rPr>
                      <w:rFonts w:hint="eastAsia" w:ascii="宋体" w:hAnsi="宋体" w:eastAsia="宋体" w:cs="宋体"/>
                      <w:snapToGrid w:val="0"/>
                      <w:color w:val="auto"/>
                      <w:kern w:val="0"/>
                      <w:sz w:val="24"/>
                      <w:szCs w:val="24"/>
                    </w:rPr>
                    <w:t>11</w:t>
                  </w:r>
                </w:p>
              </w:tc>
              <w:tc>
                <w:tcPr>
                  <w:tcW w:w="882" w:type="dxa"/>
                  <w:tcBorders>
                    <w:top w:val="single" w:color="000000" w:sz="4" w:space="0"/>
                    <w:left w:val="single" w:color="000000" w:sz="4" w:space="0"/>
                    <w:bottom w:val="single" w:color="000000" w:sz="4" w:space="0"/>
                    <w:right w:val="single" w:color="000000" w:sz="4" w:space="0"/>
                  </w:tcBorders>
                  <w:vAlign w:val="center"/>
                </w:tcPr>
                <w:p w14:paraId="00C97CF2">
                  <w:pPr>
                    <w:keepNext w:val="0"/>
                    <w:keepLines w:val="0"/>
                    <w:pageBreakBefore w:val="0"/>
                    <w:widowControl w:val="0"/>
                    <w:kinsoku/>
                    <w:wordWrap w:val="0"/>
                    <w:overflowPunct/>
                    <w:topLinePunct w:val="0"/>
                    <w:autoSpaceDE/>
                    <w:autoSpaceDN/>
                    <w:bidi w:val="0"/>
                    <w:adjustRightInd w:val="0"/>
                    <w:snapToGrid w:val="0"/>
                    <w:spacing w:line="336" w:lineRule="auto"/>
                    <w:jc w:val="center"/>
                    <w:textAlignment w:val="auto"/>
                    <w:rPr>
                      <w:rFonts w:hint="eastAsia" w:ascii="宋体" w:hAnsi="宋体" w:eastAsia="宋体" w:cs="宋体"/>
                      <w:snapToGrid w:val="0"/>
                      <w:color w:val="auto"/>
                      <w:kern w:val="0"/>
                      <w:sz w:val="24"/>
                      <w:szCs w:val="24"/>
                    </w:rPr>
                  </w:pPr>
                  <w:r>
                    <w:rPr>
                      <w:rFonts w:hint="eastAsia" w:ascii="宋体" w:hAnsi="宋体" w:eastAsia="宋体" w:cs="宋体"/>
                      <w:snapToGrid w:val="0"/>
                      <w:color w:val="auto"/>
                      <w:kern w:val="0"/>
                      <w:sz w:val="24"/>
                      <w:szCs w:val="24"/>
                    </w:rPr>
                    <w:t>12</w:t>
                  </w:r>
                </w:p>
              </w:tc>
              <w:tc>
                <w:tcPr>
                  <w:tcW w:w="829" w:type="dxa"/>
                  <w:tcBorders>
                    <w:top w:val="single" w:color="000000" w:sz="4" w:space="0"/>
                    <w:left w:val="single" w:color="000000" w:sz="4" w:space="0"/>
                    <w:bottom w:val="single" w:color="000000" w:sz="4" w:space="0"/>
                    <w:right w:val="single" w:color="000000" w:sz="4" w:space="0"/>
                  </w:tcBorders>
                  <w:vAlign w:val="center"/>
                </w:tcPr>
                <w:p w14:paraId="33BEEA0B">
                  <w:pPr>
                    <w:keepNext w:val="0"/>
                    <w:keepLines w:val="0"/>
                    <w:pageBreakBefore w:val="0"/>
                    <w:widowControl w:val="0"/>
                    <w:kinsoku/>
                    <w:wordWrap w:val="0"/>
                    <w:overflowPunct/>
                    <w:topLinePunct w:val="0"/>
                    <w:autoSpaceDE/>
                    <w:autoSpaceDN/>
                    <w:bidi w:val="0"/>
                    <w:adjustRightInd w:val="0"/>
                    <w:snapToGrid w:val="0"/>
                    <w:spacing w:line="336" w:lineRule="auto"/>
                    <w:jc w:val="center"/>
                    <w:textAlignment w:val="auto"/>
                    <w:rPr>
                      <w:rFonts w:hint="eastAsia" w:ascii="宋体" w:hAnsi="宋体" w:eastAsia="宋体" w:cs="宋体"/>
                      <w:snapToGrid w:val="0"/>
                      <w:color w:val="auto"/>
                      <w:kern w:val="0"/>
                      <w:sz w:val="24"/>
                      <w:szCs w:val="24"/>
                    </w:rPr>
                  </w:pPr>
                  <w:r>
                    <w:rPr>
                      <w:rFonts w:hint="eastAsia" w:ascii="宋体" w:hAnsi="宋体" w:eastAsia="宋体" w:cs="宋体"/>
                      <w:snapToGrid w:val="0"/>
                      <w:color w:val="auto"/>
                      <w:kern w:val="0"/>
                      <w:sz w:val="24"/>
                      <w:szCs w:val="24"/>
                    </w:rPr>
                    <w:t>13</w:t>
                  </w:r>
                </w:p>
              </w:tc>
              <w:tc>
                <w:tcPr>
                  <w:tcW w:w="819" w:type="dxa"/>
                  <w:tcBorders>
                    <w:top w:val="single" w:color="000000" w:sz="4" w:space="0"/>
                    <w:left w:val="single" w:color="000000" w:sz="4" w:space="0"/>
                    <w:bottom w:val="single" w:color="000000" w:sz="4" w:space="0"/>
                    <w:right w:val="single" w:color="000000" w:sz="4" w:space="0"/>
                  </w:tcBorders>
                  <w:vAlign w:val="center"/>
                </w:tcPr>
                <w:p w14:paraId="00626974">
                  <w:pPr>
                    <w:keepNext w:val="0"/>
                    <w:keepLines w:val="0"/>
                    <w:pageBreakBefore w:val="0"/>
                    <w:widowControl w:val="0"/>
                    <w:kinsoku/>
                    <w:wordWrap w:val="0"/>
                    <w:overflowPunct/>
                    <w:topLinePunct w:val="0"/>
                    <w:autoSpaceDE/>
                    <w:autoSpaceDN/>
                    <w:bidi w:val="0"/>
                    <w:adjustRightInd w:val="0"/>
                    <w:snapToGrid w:val="0"/>
                    <w:spacing w:line="336" w:lineRule="auto"/>
                    <w:jc w:val="center"/>
                    <w:textAlignment w:val="auto"/>
                    <w:rPr>
                      <w:rFonts w:hint="eastAsia" w:ascii="宋体" w:hAnsi="宋体" w:eastAsia="宋体" w:cs="宋体"/>
                      <w:snapToGrid w:val="0"/>
                      <w:color w:val="auto"/>
                      <w:kern w:val="0"/>
                      <w:sz w:val="24"/>
                      <w:szCs w:val="24"/>
                    </w:rPr>
                  </w:pPr>
                  <w:r>
                    <w:rPr>
                      <w:rFonts w:hint="eastAsia" w:ascii="宋体" w:hAnsi="宋体" w:eastAsia="宋体" w:cs="宋体"/>
                      <w:snapToGrid w:val="0"/>
                      <w:color w:val="auto"/>
                      <w:kern w:val="0"/>
                      <w:sz w:val="24"/>
                      <w:szCs w:val="24"/>
                    </w:rPr>
                    <w:t>14</w:t>
                  </w:r>
                </w:p>
              </w:tc>
            </w:tr>
            <w:tr w14:paraId="4547A747">
              <w:tblPrEx>
                <w:tblCellMar>
                  <w:top w:w="0" w:type="dxa"/>
                  <w:left w:w="108" w:type="dxa"/>
                  <w:bottom w:w="0" w:type="dxa"/>
                  <w:right w:w="108" w:type="dxa"/>
                </w:tblCellMar>
              </w:tblPrEx>
              <w:trPr>
                <w:trHeight w:val="515" w:hRule="atLeast"/>
                <w:jc w:val="center"/>
              </w:trPr>
              <w:tc>
                <w:tcPr>
                  <w:tcW w:w="1949" w:type="dxa"/>
                  <w:tcBorders>
                    <w:top w:val="single" w:color="000000" w:sz="4" w:space="0"/>
                    <w:left w:val="single" w:color="000000" w:sz="4" w:space="0"/>
                    <w:bottom w:val="single" w:color="000000" w:sz="4" w:space="0"/>
                    <w:right w:val="single" w:color="000000" w:sz="4" w:space="0"/>
                  </w:tcBorders>
                  <w:vAlign w:val="center"/>
                </w:tcPr>
                <w:p w14:paraId="71EE082A">
                  <w:pPr>
                    <w:keepNext w:val="0"/>
                    <w:keepLines w:val="0"/>
                    <w:pageBreakBefore w:val="0"/>
                    <w:widowControl w:val="0"/>
                    <w:kinsoku/>
                    <w:wordWrap w:val="0"/>
                    <w:overflowPunct/>
                    <w:topLinePunct w:val="0"/>
                    <w:autoSpaceDE/>
                    <w:autoSpaceDN/>
                    <w:bidi w:val="0"/>
                    <w:adjustRightInd w:val="0"/>
                    <w:snapToGrid w:val="0"/>
                    <w:spacing w:line="336" w:lineRule="auto"/>
                    <w:jc w:val="center"/>
                    <w:textAlignment w:val="auto"/>
                    <w:rPr>
                      <w:rFonts w:hint="eastAsia" w:ascii="宋体" w:hAnsi="宋体" w:eastAsia="宋体" w:cs="宋体"/>
                      <w:snapToGrid w:val="0"/>
                      <w:color w:val="auto"/>
                      <w:kern w:val="0"/>
                      <w:sz w:val="24"/>
                      <w:szCs w:val="24"/>
                    </w:rPr>
                  </w:pPr>
                  <w:r>
                    <w:rPr>
                      <w:rFonts w:hint="eastAsia" w:ascii="宋体" w:hAnsi="宋体" w:eastAsia="宋体" w:cs="宋体"/>
                      <w:snapToGrid w:val="0"/>
                      <w:color w:val="auto"/>
                      <w:kern w:val="0"/>
                      <w:sz w:val="24"/>
                      <w:szCs w:val="24"/>
                    </w:rPr>
                    <w:t>下浮系数（%）</w:t>
                  </w:r>
                </w:p>
              </w:tc>
              <w:tc>
                <w:tcPr>
                  <w:tcW w:w="794" w:type="dxa"/>
                  <w:tcBorders>
                    <w:top w:val="single" w:color="000000" w:sz="4" w:space="0"/>
                    <w:left w:val="single" w:color="000000" w:sz="4" w:space="0"/>
                    <w:bottom w:val="single" w:color="000000" w:sz="4" w:space="0"/>
                    <w:right w:val="single" w:color="000000" w:sz="4" w:space="0"/>
                  </w:tcBorders>
                  <w:vAlign w:val="center"/>
                </w:tcPr>
                <w:p w14:paraId="04D166A6">
                  <w:pPr>
                    <w:keepNext w:val="0"/>
                    <w:keepLines w:val="0"/>
                    <w:pageBreakBefore w:val="0"/>
                    <w:widowControl w:val="0"/>
                    <w:kinsoku/>
                    <w:wordWrap w:val="0"/>
                    <w:overflowPunct/>
                    <w:topLinePunct w:val="0"/>
                    <w:autoSpaceDE/>
                    <w:autoSpaceDN/>
                    <w:bidi w:val="0"/>
                    <w:adjustRightInd w:val="0"/>
                    <w:snapToGrid w:val="0"/>
                    <w:spacing w:line="336" w:lineRule="auto"/>
                    <w:jc w:val="center"/>
                    <w:textAlignment w:val="auto"/>
                    <w:rPr>
                      <w:rFonts w:hint="eastAsia" w:ascii="宋体" w:hAnsi="宋体" w:eastAsia="宋体" w:cs="宋体"/>
                      <w:snapToGrid w:val="0"/>
                      <w:color w:val="auto"/>
                      <w:kern w:val="0"/>
                      <w:sz w:val="24"/>
                      <w:szCs w:val="24"/>
                    </w:rPr>
                  </w:pPr>
                  <w:r>
                    <w:rPr>
                      <w:rFonts w:hint="eastAsia" w:ascii="宋体" w:hAnsi="宋体" w:eastAsia="宋体" w:cs="宋体"/>
                      <w:snapToGrid w:val="0"/>
                      <w:color w:val="auto"/>
                      <w:kern w:val="0"/>
                      <w:sz w:val="24"/>
                      <w:szCs w:val="24"/>
                    </w:rPr>
                    <w:t>1.7</w:t>
                  </w:r>
                </w:p>
              </w:tc>
              <w:tc>
                <w:tcPr>
                  <w:tcW w:w="830" w:type="dxa"/>
                  <w:tcBorders>
                    <w:top w:val="single" w:color="000000" w:sz="4" w:space="0"/>
                    <w:left w:val="single" w:color="000000" w:sz="4" w:space="0"/>
                    <w:bottom w:val="single" w:color="000000" w:sz="4" w:space="0"/>
                    <w:right w:val="single" w:color="000000" w:sz="4" w:space="0"/>
                  </w:tcBorders>
                  <w:vAlign w:val="center"/>
                </w:tcPr>
                <w:p w14:paraId="4BFD1C54">
                  <w:pPr>
                    <w:keepNext w:val="0"/>
                    <w:keepLines w:val="0"/>
                    <w:pageBreakBefore w:val="0"/>
                    <w:widowControl w:val="0"/>
                    <w:kinsoku/>
                    <w:wordWrap w:val="0"/>
                    <w:overflowPunct/>
                    <w:topLinePunct w:val="0"/>
                    <w:autoSpaceDE/>
                    <w:autoSpaceDN/>
                    <w:bidi w:val="0"/>
                    <w:adjustRightInd w:val="0"/>
                    <w:snapToGrid w:val="0"/>
                    <w:spacing w:line="336" w:lineRule="auto"/>
                    <w:jc w:val="center"/>
                    <w:textAlignment w:val="auto"/>
                    <w:rPr>
                      <w:rFonts w:hint="eastAsia" w:ascii="宋体" w:hAnsi="宋体" w:eastAsia="宋体" w:cs="宋体"/>
                      <w:snapToGrid w:val="0"/>
                      <w:color w:val="auto"/>
                      <w:kern w:val="0"/>
                      <w:sz w:val="24"/>
                      <w:szCs w:val="24"/>
                    </w:rPr>
                  </w:pPr>
                  <w:r>
                    <w:rPr>
                      <w:rFonts w:hint="eastAsia" w:ascii="宋体" w:hAnsi="宋体" w:eastAsia="宋体" w:cs="宋体"/>
                      <w:snapToGrid w:val="0"/>
                      <w:color w:val="auto"/>
                      <w:kern w:val="0"/>
                      <w:sz w:val="24"/>
                      <w:szCs w:val="24"/>
                    </w:rPr>
                    <w:t>1.8</w:t>
                  </w:r>
                </w:p>
              </w:tc>
              <w:tc>
                <w:tcPr>
                  <w:tcW w:w="864" w:type="dxa"/>
                  <w:tcBorders>
                    <w:top w:val="single" w:color="000000" w:sz="4" w:space="0"/>
                    <w:left w:val="single" w:color="000000" w:sz="4" w:space="0"/>
                    <w:bottom w:val="single" w:color="000000" w:sz="4" w:space="0"/>
                    <w:right w:val="single" w:color="000000" w:sz="4" w:space="0"/>
                  </w:tcBorders>
                  <w:vAlign w:val="center"/>
                </w:tcPr>
                <w:p w14:paraId="5B40A026">
                  <w:pPr>
                    <w:keepNext w:val="0"/>
                    <w:keepLines w:val="0"/>
                    <w:pageBreakBefore w:val="0"/>
                    <w:widowControl w:val="0"/>
                    <w:kinsoku/>
                    <w:wordWrap w:val="0"/>
                    <w:overflowPunct/>
                    <w:topLinePunct w:val="0"/>
                    <w:autoSpaceDE/>
                    <w:autoSpaceDN/>
                    <w:bidi w:val="0"/>
                    <w:adjustRightInd w:val="0"/>
                    <w:snapToGrid w:val="0"/>
                    <w:spacing w:line="336" w:lineRule="auto"/>
                    <w:jc w:val="center"/>
                    <w:textAlignment w:val="auto"/>
                    <w:rPr>
                      <w:rFonts w:hint="eastAsia" w:ascii="宋体" w:hAnsi="宋体" w:eastAsia="宋体" w:cs="宋体"/>
                      <w:snapToGrid w:val="0"/>
                      <w:color w:val="auto"/>
                      <w:kern w:val="0"/>
                      <w:sz w:val="24"/>
                      <w:szCs w:val="24"/>
                    </w:rPr>
                  </w:pPr>
                  <w:r>
                    <w:rPr>
                      <w:rFonts w:hint="eastAsia" w:ascii="宋体" w:hAnsi="宋体" w:eastAsia="宋体" w:cs="宋体"/>
                      <w:snapToGrid w:val="0"/>
                      <w:color w:val="auto"/>
                      <w:kern w:val="0"/>
                      <w:sz w:val="24"/>
                      <w:szCs w:val="24"/>
                    </w:rPr>
                    <w:t>1.9</w:t>
                  </w:r>
                </w:p>
              </w:tc>
              <w:tc>
                <w:tcPr>
                  <w:tcW w:w="848" w:type="dxa"/>
                  <w:tcBorders>
                    <w:top w:val="single" w:color="000000" w:sz="4" w:space="0"/>
                    <w:left w:val="single" w:color="000000" w:sz="4" w:space="0"/>
                    <w:bottom w:val="single" w:color="000000" w:sz="4" w:space="0"/>
                    <w:right w:val="single" w:color="000000" w:sz="4" w:space="0"/>
                  </w:tcBorders>
                  <w:vAlign w:val="center"/>
                </w:tcPr>
                <w:p w14:paraId="147FC3D2">
                  <w:pPr>
                    <w:keepNext w:val="0"/>
                    <w:keepLines w:val="0"/>
                    <w:pageBreakBefore w:val="0"/>
                    <w:widowControl w:val="0"/>
                    <w:kinsoku/>
                    <w:wordWrap w:val="0"/>
                    <w:overflowPunct/>
                    <w:topLinePunct w:val="0"/>
                    <w:autoSpaceDE/>
                    <w:autoSpaceDN/>
                    <w:bidi w:val="0"/>
                    <w:adjustRightInd w:val="0"/>
                    <w:snapToGrid w:val="0"/>
                    <w:spacing w:line="336" w:lineRule="auto"/>
                    <w:jc w:val="center"/>
                    <w:textAlignment w:val="auto"/>
                    <w:rPr>
                      <w:rFonts w:hint="eastAsia" w:ascii="宋体" w:hAnsi="宋体" w:eastAsia="宋体" w:cs="宋体"/>
                      <w:snapToGrid w:val="0"/>
                      <w:color w:val="auto"/>
                      <w:kern w:val="0"/>
                      <w:sz w:val="24"/>
                      <w:szCs w:val="24"/>
                    </w:rPr>
                  </w:pPr>
                  <w:r>
                    <w:rPr>
                      <w:rFonts w:hint="eastAsia" w:ascii="宋体" w:hAnsi="宋体" w:eastAsia="宋体" w:cs="宋体"/>
                      <w:snapToGrid w:val="0"/>
                      <w:color w:val="auto"/>
                      <w:kern w:val="0"/>
                      <w:sz w:val="24"/>
                      <w:szCs w:val="24"/>
                    </w:rPr>
                    <w:t>2.0</w:t>
                  </w:r>
                </w:p>
              </w:tc>
              <w:tc>
                <w:tcPr>
                  <w:tcW w:w="882" w:type="dxa"/>
                  <w:tcBorders>
                    <w:top w:val="single" w:color="000000" w:sz="4" w:space="0"/>
                    <w:left w:val="single" w:color="000000" w:sz="4" w:space="0"/>
                    <w:bottom w:val="single" w:color="000000" w:sz="4" w:space="0"/>
                    <w:right w:val="single" w:color="000000" w:sz="4" w:space="0"/>
                  </w:tcBorders>
                  <w:vAlign w:val="center"/>
                </w:tcPr>
                <w:p w14:paraId="6B36024B">
                  <w:pPr>
                    <w:keepNext w:val="0"/>
                    <w:keepLines w:val="0"/>
                    <w:pageBreakBefore w:val="0"/>
                    <w:widowControl w:val="0"/>
                    <w:kinsoku/>
                    <w:wordWrap w:val="0"/>
                    <w:overflowPunct/>
                    <w:topLinePunct w:val="0"/>
                    <w:autoSpaceDE/>
                    <w:autoSpaceDN/>
                    <w:bidi w:val="0"/>
                    <w:adjustRightInd w:val="0"/>
                    <w:snapToGrid w:val="0"/>
                    <w:spacing w:line="336" w:lineRule="auto"/>
                    <w:jc w:val="center"/>
                    <w:textAlignment w:val="auto"/>
                    <w:rPr>
                      <w:rFonts w:hint="eastAsia" w:ascii="宋体" w:hAnsi="宋体" w:eastAsia="宋体" w:cs="宋体"/>
                      <w:snapToGrid w:val="0"/>
                      <w:color w:val="auto"/>
                      <w:kern w:val="0"/>
                      <w:sz w:val="24"/>
                      <w:szCs w:val="24"/>
                    </w:rPr>
                  </w:pPr>
                  <w:r>
                    <w:rPr>
                      <w:rFonts w:hint="eastAsia" w:ascii="宋体" w:hAnsi="宋体" w:eastAsia="宋体" w:cs="宋体"/>
                      <w:snapToGrid w:val="0"/>
                      <w:color w:val="auto"/>
                      <w:kern w:val="0"/>
                      <w:sz w:val="24"/>
                      <w:szCs w:val="24"/>
                    </w:rPr>
                    <w:t>2.1</w:t>
                  </w:r>
                </w:p>
              </w:tc>
              <w:tc>
                <w:tcPr>
                  <w:tcW w:w="829" w:type="dxa"/>
                  <w:tcBorders>
                    <w:top w:val="single" w:color="000000" w:sz="4" w:space="0"/>
                    <w:left w:val="single" w:color="000000" w:sz="4" w:space="0"/>
                    <w:bottom w:val="single" w:color="000000" w:sz="4" w:space="0"/>
                    <w:right w:val="single" w:color="000000" w:sz="4" w:space="0"/>
                  </w:tcBorders>
                  <w:vAlign w:val="center"/>
                </w:tcPr>
                <w:p w14:paraId="07BAE1CD">
                  <w:pPr>
                    <w:keepNext w:val="0"/>
                    <w:keepLines w:val="0"/>
                    <w:pageBreakBefore w:val="0"/>
                    <w:widowControl w:val="0"/>
                    <w:kinsoku/>
                    <w:wordWrap w:val="0"/>
                    <w:overflowPunct/>
                    <w:topLinePunct w:val="0"/>
                    <w:autoSpaceDE/>
                    <w:autoSpaceDN/>
                    <w:bidi w:val="0"/>
                    <w:adjustRightInd w:val="0"/>
                    <w:snapToGrid w:val="0"/>
                    <w:spacing w:line="336" w:lineRule="auto"/>
                    <w:jc w:val="center"/>
                    <w:textAlignment w:val="auto"/>
                    <w:rPr>
                      <w:rFonts w:hint="eastAsia" w:ascii="宋体" w:hAnsi="宋体" w:eastAsia="宋体" w:cs="宋体"/>
                      <w:snapToGrid w:val="0"/>
                      <w:color w:val="auto"/>
                      <w:kern w:val="0"/>
                      <w:sz w:val="24"/>
                      <w:szCs w:val="24"/>
                    </w:rPr>
                  </w:pPr>
                  <w:r>
                    <w:rPr>
                      <w:rFonts w:hint="eastAsia" w:ascii="宋体" w:hAnsi="宋体" w:eastAsia="宋体" w:cs="宋体"/>
                      <w:snapToGrid w:val="0"/>
                      <w:color w:val="auto"/>
                      <w:kern w:val="0"/>
                      <w:sz w:val="24"/>
                      <w:szCs w:val="24"/>
                    </w:rPr>
                    <w:t>2.2</w:t>
                  </w:r>
                </w:p>
              </w:tc>
              <w:tc>
                <w:tcPr>
                  <w:tcW w:w="819" w:type="dxa"/>
                  <w:tcBorders>
                    <w:top w:val="single" w:color="000000" w:sz="4" w:space="0"/>
                    <w:left w:val="single" w:color="000000" w:sz="4" w:space="0"/>
                    <w:bottom w:val="single" w:color="000000" w:sz="4" w:space="0"/>
                    <w:right w:val="single" w:color="000000" w:sz="4" w:space="0"/>
                  </w:tcBorders>
                  <w:vAlign w:val="center"/>
                </w:tcPr>
                <w:p w14:paraId="73D30A8D">
                  <w:pPr>
                    <w:keepNext w:val="0"/>
                    <w:keepLines w:val="0"/>
                    <w:pageBreakBefore w:val="0"/>
                    <w:widowControl w:val="0"/>
                    <w:kinsoku/>
                    <w:wordWrap w:val="0"/>
                    <w:overflowPunct/>
                    <w:topLinePunct w:val="0"/>
                    <w:autoSpaceDE/>
                    <w:autoSpaceDN/>
                    <w:bidi w:val="0"/>
                    <w:adjustRightInd w:val="0"/>
                    <w:snapToGrid w:val="0"/>
                    <w:spacing w:line="336" w:lineRule="auto"/>
                    <w:jc w:val="center"/>
                    <w:textAlignment w:val="auto"/>
                    <w:rPr>
                      <w:rFonts w:hint="eastAsia" w:ascii="宋体" w:hAnsi="宋体" w:eastAsia="宋体" w:cs="宋体"/>
                      <w:snapToGrid w:val="0"/>
                      <w:color w:val="auto"/>
                      <w:kern w:val="0"/>
                      <w:sz w:val="24"/>
                      <w:szCs w:val="24"/>
                    </w:rPr>
                  </w:pPr>
                  <w:r>
                    <w:rPr>
                      <w:rFonts w:hint="eastAsia" w:ascii="宋体" w:hAnsi="宋体" w:eastAsia="宋体" w:cs="宋体"/>
                      <w:snapToGrid w:val="0"/>
                      <w:color w:val="auto"/>
                      <w:kern w:val="0"/>
                      <w:sz w:val="24"/>
                      <w:szCs w:val="24"/>
                    </w:rPr>
                    <w:t>2.3</w:t>
                  </w:r>
                </w:p>
              </w:tc>
            </w:tr>
            <w:tr w14:paraId="71D73A2E">
              <w:tblPrEx>
                <w:tblCellMar>
                  <w:top w:w="0" w:type="dxa"/>
                  <w:left w:w="108" w:type="dxa"/>
                  <w:bottom w:w="0" w:type="dxa"/>
                  <w:right w:w="108" w:type="dxa"/>
                </w:tblCellMar>
              </w:tblPrEx>
              <w:trPr>
                <w:trHeight w:val="470" w:hRule="atLeast"/>
                <w:jc w:val="center"/>
              </w:trPr>
              <w:tc>
                <w:tcPr>
                  <w:tcW w:w="1949" w:type="dxa"/>
                  <w:tcBorders>
                    <w:top w:val="single" w:color="000000" w:sz="4" w:space="0"/>
                    <w:left w:val="single" w:color="000000" w:sz="4" w:space="0"/>
                    <w:bottom w:val="single" w:color="000000" w:sz="4" w:space="0"/>
                    <w:right w:val="single" w:color="000000" w:sz="4" w:space="0"/>
                  </w:tcBorders>
                  <w:vAlign w:val="center"/>
                </w:tcPr>
                <w:p w14:paraId="335209A5">
                  <w:pPr>
                    <w:keepNext w:val="0"/>
                    <w:keepLines w:val="0"/>
                    <w:pageBreakBefore w:val="0"/>
                    <w:widowControl w:val="0"/>
                    <w:kinsoku/>
                    <w:wordWrap w:val="0"/>
                    <w:overflowPunct/>
                    <w:topLinePunct w:val="0"/>
                    <w:autoSpaceDE/>
                    <w:autoSpaceDN/>
                    <w:bidi w:val="0"/>
                    <w:adjustRightInd w:val="0"/>
                    <w:snapToGrid w:val="0"/>
                    <w:spacing w:line="336" w:lineRule="auto"/>
                    <w:jc w:val="center"/>
                    <w:textAlignment w:val="auto"/>
                    <w:rPr>
                      <w:rFonts w:hint="eastAsia" w:ascii="宋体" w:hAnsi="宋体" w:eastAsia="宋体" w:cs="宋体"/>
                      <w:b/>
                      <w:snapToGrid w:val="0"/>
                      <w:color w:val="auto"/>
                      <w:kern w:val="0"/>
                      <w:sz w:val="24"/>
                      <w:szCs w:val="24"/>
                    </w:rPr>
                  </w:pPr>
                  <w:r>
                    <w:rPr>
                      <w:rFonts w:hint="eastAsia" w:ascii="宋体" w:hAnsi="宋体" w:eastAsia="宋体" w:cs="宋体"/>
                      <w:bCs/>
                      <w:snapToGrid w:val="0"/>
                      <w:color w:val="auto"/>
                      <w:kern w:val="0"/>
                      <w:sz w:val="24"/>
                      <w:szCs w:val="24"/>
                    </w:rPr>
                    <w:t>号球</w:t>
                  </w:r>
                </w:p>
              </w:tc>
              <w:tc>
                <w:tcPr>
                  <w:tcW w:w="794" w:type="dxa"/>
                  <w:tcBorders>
                    <w:top w:val="single" w:color="000000" w:sz="4" w:space="0"/>
                    <w:left w:val="single" w:color="000000" w:sz="4" w:space="0"/>
                    <w:bottom w:val="single" w:color="000000" w:sz="4" w:space="0"/>
                    <w:right w:val="single" w:color="000000" w:sz="4" w:space="0"/>
                  </w:tcBorders>
                  <w:vAlign w:val="center"/>
                </w:tcPr>
                <w:p w14:paraId="635216F6">
                  <w:pPr>
                    <w:keepNext w:val="0"/>
                    <w:keepLines w:val="0"/>
                    <w:pageBreakBefore w:val="0"/>
                    <w:widowControl w:val="0"/>
                    <w:kinsoku/>
                    <w:wordWrap w:val="0"/>
                    <w:overflowPunct/>
                    <w:topLinePunct w:val="0"/>
                    <w:autoSpaceDE/>
                    <w:autoSpaceDN/>
                    <w:bidi w:val="0"/>
                    <w:adjustRightInd w:val="0"/>
                    <w:snapToGrid w:val="0"/>
                    <w:spacing w:line="336" w:lineRule="auto"/>
                    <w:jc w:val="center"/>
                    <w:textAlignment w:val="auto"/>
                    <w:rPr>
                      <w:rFonts w:hint="eastAsia" w:ascii="宋体" w:hAnsi="宋体" w:eastAsia="宋体" w:cs="宋体"/>
                      <w:snapToGrid w:val="0"/>
                      <w:color w:val="auto"/>
                      <w:kern w:val="0"/>
                      <w:sz w:val="24"/>
                      <w:szCs w:val="24"/>
                    </w:rPr>
                  </w:pPr>
                  <w:r>
                    <w:rPr>
                      <w:rFonts w:hint="eastAsia" w:ascii="宋体" w:hAnsi="宋体" w:eastAsia="宋体" w:cs="宋体"/>
                      <w:snapToGrid w:val="0"/>
                      <w:color w:val="auto"/>
                      <w:kern w:val="0"/>
                      <w:sz w:val="24"/>
                      <w:szCs w:val="24"/>
                    </w:rPr>
                    <w:t>15</w:t>
                  </w:r>
                </w:p>
              </w:tc>
              <w:tc>
                <w:tcPr>
                  <w:tcW w:w="830" w:type="dxa"/>
                  <w:tcBorders>
                    <w:top w:val="single" w:color="000000" w:sz="4" w:space="0"/>
                    <w:left w:val="single" w:color="000000" w:sz="4" w:space="0"/>
                    <w:bottom w:val="single" w:color="000000" w:sz="4" w:space="0"/>
                    <w:right w:val="single" w:color="000000" w:sz="4" w:space="0"/>
                  </w:tcBorders>
                  <w:vAlign w:val="center"/>
                </w:tcPr>
                <w:p w14:paraId="142E09A2">
                  <w:pPr>
                    <w:keepNext w:val="0"/>
                    <w:keepLines w:val="0"/>
                    <w:pageBreakBefore w:val="0"/>
                    <w:widowControl w:val="0"/>
                    <w:kinsoku/>
                    <w:wordWrap w:val="0"/>
                    <w:overflowPunct/>
                    <w:topLinePunct w:val="0"/>
                    <w:autoSpaceDE/>
                    <w:autoSpaceDN/>
                    <w:bidi w:val="0"/>
                    <w:adjustRightInd w:val="0"/>
                    <w:snapToGrid w:val="0"/>
                    <w:spacing w:line="336" w:lineRule="auto"/>
                    <w:jc w:val="center"/>
                    <w:textAlignment w:val="auto"/>
                    <w:rPr>
                      <w:rFonts w:hint="eastAsia" w:ascii="宋体" w:hAnsi="宋体" w:eastAsia="宋体" w:cs="宋体"/>
                      <w:snapToGrid w:val="0"/>
                      <w:color w:val="auto"/>
                      <w:kern w:val="0"/>
                      <w:sz w:val="24"/>
                      <w:szCs w:val="24"/>
                    </w:rPr>
                  </w:pPr>
                  <w:r>
                    <w:rPr>
                      <w:rFonts w:hint="eastAsia" w:ascii="宋体" w:hAnsi="宋体" w:eastAsia="宋体" w:cs="宋体"/>
                      <w:snapToGrid w:val="0"/>
                      <w:color w:val="auto"/>
                      <w:kern w:val="0"/>
                      <w:sz w:val="24"/>
                      <w:szCs w:val="24"/>
                    </w:rPr>
                    <w:t>16</w:t>
                  </w:r>
                </w:p>
              </w:tc>
              <w:tc>
                <w:tcPr>
                  <w:tcW w:w="864" w:type="dxa"/>
                  <w:tcBorders>
                    <w:top w:val="single" w:color="000000" w:sz="4" w:space="0"/>
                    <w:left w:val="single" w:color="000000" w:sz="4" w:space="0"/>
                    <w:bottom w:val="single" w:color="000000" w:sz="4" w:space="0"/>
                    <w:right w:val="single" w:color="000000" w:sz="4" w:space="0"/>
                  </w:tcBorders>
                  <w:vAlign w:val="center"/>
                </w:tcPr>
                <w:p w14:paraId="0E1E685E">
                  <w:pPr>
                    <w:keepNext w:val="0"/>
                    <w:keepLines w:val="0"/>
                    <w:pageBreakBefore w:val="0"/>
                    <w:widowControl w:val="0"/>
                    <w:kinsoku/>
                    <w:wordWrap w:val="0"/>
                    <w:overflowPunct/>
                    <w:topLinePunct w:val="0"/>
                    <w:autoSpaceDE/>
                    <w:autoSpaceDN/>
                    <w:bidi w:val="0"/>
                    <w:adjustRightInd w:val="0"/>
                    <w:snapToGrid w:val="0"/>
                    <w:spacing w:line="336" w:lineRule="auto"/>
                    <w:jc w:val="center"/>
                    <w:textAlignment w:val="auto"/>
                    <w:rPr>
                      <w:rFonts w:hint="eastAsia" w:ascii="宋体" w:hAnsi="宋体" w:eastAsia="宋体" w:cs="宋体"/>
                      <w:snapToGrid w:val="0"/>
                      <w:color w:val="auto"/>
                      <w:kern w:val="0"/>
                      <w:sz w:val="24"/>
                      <w:szCs w:val="24"/>
                    </w:rPr>
                  </w:pPr>
                  <w:r>
                    <w:rPr>
                      <w:rFonts w:hint="eastAsia" w:ascii="宋体" w:hAnsi="宋体" w:eastAsia="宋体" w:cs="宋体"/>
                      <w:snapToGrid w:val="0"/>
                      <w:color w:val="auto"/>
                      <w:kern w:val="0"/>
                      <w:sz w:val="24"/>
                      <w:szCs w:val="24"/>
                    </w:rPr>
                    <w:t>17</w:t>
                  </w:r>
                </w:p>
              </w:tc>
              <w:tc>
                <w:tcPr>
                  <w:tcW w:w="848" w:type="dxa"/>
                  <w:tcBorders>
                    <w:top w:val="single" w:color="000000" w:sz="4" w:space="0"/>
                    <w:left w:val="single" w:color="000000" w:sz="4" w:space="0"/>
                    <w:bottom w:val="single" w:color="000000" w:sz="4" w:space="0"/>
                    <w:right w:val="single" w:color="000000" w:sz="4" w:space="0"/>
                  </w:tcBorders>
                  <w:vAlign w:val="center"/>
                </w:tcPr>
                <w:p w14:paraId="0C86F937">
                  <w:pPr>
                    <w:keepNext w:val="0"/>
                    <w:keepLines w:val="0"/>
                    <w:pageBreakBefore w:val="0"/>
                    <w:widowControl w:val="0"/>
                    <w:kinsoku/>
                    <w:wordWrap w:val="0"/>
                    <w:overflowPunct/>
                    <w:topLinePunct w:val="0"/>
                    <w:autoSpaceDE/>
                    <w:autoSpaceDN/>
                    <w:bidi w:val="0"/>
                    <w:adjustRightInd w:val="0"/>
                    <w:snapToGrid w:val="0"/>
                    <w:spacing w:line="336" w:lineRule="auto"/>
                    <w:jc w:val="center"/>
                    <w:textAlignment w:val="auto"/>
                    <w:rPr>
                      <w:rFonts w:hint="eastAsia" w:ascii="宋体" w:hAnsi="宋体" w:eastAsia="宋体" w:cs="宋体"/>
                      <w:snapToGrid w:val="0"/>
                      <w:color w:val="auto"/>
                      <w:kern w:val="0"/>
                      <w:sz w:val="24"/>
                      <w:szCs w:val="24"/>
                    </w:rPr>
                  </w:pPr>
                  <w:r>
                    <w:rPr>
                      <w:rFonts w:hint="eastAsia" w:ascii="宋体" w:hAnsi="宋体" w:eastAsia="宋体" w:cs="宋体"/>
                      <w:snapToGrid w:val="0"/>
                      <w:color w:val="auto"/>
                      <w:kern w:val="0"/>
                      <w:sz w:val="24"/>
                      <w:szCs w:val="24"/>
                    </w:rPr>
                    <w:t>18</w:t>
                  </w:r>
                </w:p>
              </w:tc>
              <w:tc>
                <w:tcPr>
                  <w:tcW w:w="882" w:type="dxa"/>
                  <w:tcBorders>
                    <w:top w:val="single" w:color="000000" w:sz="4" w:space="0"/>
                    <w:left w:val="single" w:color="000000" w:sz="4" w:space="0"/>
                    <w:bottom w:val="single" w:color="000000" w:sz="4" w:space="0"/>
                    <w:right w:val="single" w:color="000000" w:sz="4" w:space="0"/>
                  </w:tcBorders>
                  <w:vAlign w:val="center"/>
                </w:tcPr>
                <w:p w14:paraId="50AD250B">
                  <w:pPr>
                    <w:keepNext w:val="0"/>
                    <w:keepLines w:val="0"/>
                    <w:pageBreakBefore w:val="0"/>
                    <w:widowControl w:val="0"/>
                    <w:kinsoku/>
                    <w:wordWrap w:val="0"/>
                    <w:overflowPunct/>
                    <w:topLinePunct w:val="0"/>
                    <w:autoSpaceDE/>
                    <w:autoSpaceDN/>
                    <w:bidi w:val="0"/>
                    <w:adjustRightInd w:val="0"/>
                    <w:snapToGrid w:val="0"/>
                    <w:spacing w:line="336" w:lineRule="auto"/>
                    <w:jc w:val="center"/>
                    <w:textAlignment w:val="auto"/>
                    <w:rPr>
                      <w:rFonts w:hint="eastAsia" w:ascii="宋体" w:hAnsi="宋体" w:eastAsia="宋体" w:cs="宋体"/>
                      <w:snapToGrid w:val="0"/>
                      <w:color w:val="auto"/>
                      <w:kern w:val="0"/>
                      <w:sz w:val="24"/>
                      <w:szCs w:val="24"/>
                    </w:rPr>
                  </w:pPr>
                  <w:r>
                    <w:rPr>
                      <w:rFonts w:hint="eastAsia" w:ascii="宋体" w:hAnsi="宋体" w:eastAsia="宋体" w:cs="宋体"/>
                      <w:snapToGrid w:val="0"/>
                      <w:color w:val="auto"/>
                      <w:kern w:val="0"/>
                      <w:sz w:val="24"/>
                      <w:szCs w:val="24"/>
                    </w:rPr>
                    <w:t>19</w:t>
                  </w:r>
                </w:p>
              </w:tc>
              <w:tc>
                <w:tcPr>
                  <w:tcW w:w="829" w:type="dxa"/>
                  <w:tcBorders>
                    <w:top w:val="single" w:color="000000" w:sz="4" w:space="0"/>
                    <w:left w:val="single" w:color="000000" w:sz="4" w:space="0"/>
                    <w:bottom w:val="single" w:color="000000" w:sz="4" w:space="0"/>
                    <w:right w:val="single" w:color="000000" w:sz="4" w:space="0"/>
                  </w:tcBorders>
                  <w:vAlign w:val="center"/>
                </w:tcPr>
                <w:p w14:paraId="49886A84">
                  <w:pPr>
                    <w:keepNext w:val="0"/>
                    <w:keepLines w:val="0"/>
                    <w:pageBreakBefore w:val="0"/>
                    <w:widowControl w:val="0"/>
                    <w:kinsoku/>
                    <w:wordWrap w:val="0"/>
                    <w:overflowPunct/>
                    <w:topLinePunct w:val="0"/>
                    <w:autoSpaceDE/>
                    <w:autoSpaceDN/>
                    <w:bidi w:val="0"/>
                    <w:adjustRightInd w:val="0"/>
                    <w:snapToGrid w:val="0"/>
                    <w:spacing w:line="336" w:lineRule="auto"/>
                    <w:jc w:val="center"/>
                    <w:textAlignment w:val="auto"/>
                    <w:rPr>
                      <w:rFonts w:hint="eastAsia" w:ascii="宋体" w:hAnsi="宋体" w:eastAsia="宋体" w:cs="宋体"/>
                      <w:snapToGrid w:val="0"/>
                      <w:color w:val="auto"/>
                      <w:kern w:val="0"/>
                      <w:sz w:val="24"/>
                      <w:szCs w:val="24"/>
                    </w:rPr>
                  </w:pPr>
                  <w:r>
                    <w:rPr>
                      <w:rFonts w:hint="eastAsia" w:ascii="宋体" w:hAnsi="宋体" w:eastAsia="宋体" w:cs="宋体"/>
                      <w:snapToGrid w:val="0"/>
                      <w:color w:val="auto"/>
                      <w:kern w:val="0"/>
                      <w:sz w:val="24"/>
                      <w:szCs w:val="24"/>
                    </w:rPr>
                    <w:t>20</w:t>
                  </w:r>
                </w:p>
              </w:tc>
              <w:tc>
                <w:tcPr>
                  <w:tcW w:w="819" w:type="dxa"/>
                  <w:tcBorders>
                    <w:top w:val="single" w:color="000000" w:sz="4" w:space="0"/>
                    <w:left w:val="single" w:color="000000" w:sz="4" w:space="0"/>
                    <w:bottom w:val="single" w:color="000000" w:sz="4" w:space="0"/>
                    <w:right w:val="single" w:color="000000" w:sz="4" w:space="0"/>
                  </w:tcBorders>
                  <w:vAlign w:val="center"/>
                </w:tcPr>
                <w:p w14:paraId="5E09FA4C">
                  <w:pPr>
                    <w:keepNext w:val="0"/>
                    <w:keepLines w:val="0"/>
                    <w:pageBreakBefore w:val="0"/>
                    <w:widowControl w:val="0"/>
                    <w:kinsoku/>
                    <w:wordWrap w:val="0"/>
                    <w:overflowPunct/>
                    <w:topLinePunct w:val="0"/>
                    <w:autoSpaceDE/>
                    <w:autoSpaceDN/>
                    <w:bidi w:val="0"/>
                    <w:adjustRightInd w:val="0"/>
                    <w:snapToGrid w:val="0"/>
                    <w:spacing w:line="336" w:lineRule="auto"/>
                    <w:jc w:val="center"/>
                    <w:textAlignment w:val="auto"/>
                    <w:rPr>
                      <w:rFonts w:hint="eastAsia" w:ascii="宋体" w:hAnsi="宋体" w:eastAsia="宋体" w:cs="宋体"/>
                      <w:snapToGrid w:val="0"/>
                      <w:color w:val="auto"/>
                      <w:kern w:val="0"/>
                      <w:sz w:val="24"/>
                      <w:szCs w:val="24"/>
                    </w:rPr>
                  </w:pPr>
                  <w:r>
                    <w:rPr>
                      <w:rFonts w:hint="eastAsia" w:ascii="宋体" w:hAnsi="宋体" w:eastAsia="宋体" w:cs="宋体"/>
                      <w:snapToGrid w:val="0"/>
                      <w:color w:val="auto"/>
                      <w:kern w:val="0"/>
                      <w:sz w:val="24"/>
                      <w:szCs w:val="24"/>
                    </w:rPr>
                    <w:t>21</w:t>
                  </w:r>
                </w:p>
              </w:tc>
            </w:tr>
            <w:tr w14:paraId="792B9D54">
              <w:tblPrEx>
                <w:tblCellMar>
                  <w:top w:w="0" w:type="dxa"/>
                  <w:left w:w="108" w:type="dxa"/>
                  <w:bottom w:w="0" w:type="dxa"/>
                  <w:right w:w="108" w:type="dxa"/>
                </w:tblCellMar>
              </w:tblPrEx>
              <w:trPr>
                <w:trHeight w:val="600" w:hRule="atLeast"/>
                <w:jc w:val="center"/>
              </w:trPr>
              <w:tc>
                <w:tcPr>
                  <w:tcW w:w="1949" w:type="dxa"/>
                  <w:tcBorders>
                    <w:top w:val="single" w:color="000000" w:sz="4" w:space="0"/>
                    <w:left w:val="single" w:color="000000" w:sz="4" w:space="0"/>
                    <w:bottom w:val="single" w:color="000000" w:sz="4" w:space="0"/>
                    <w:right w:val="single" w:color="000000" w:sz="4" w:space="0"/>
                  </w:tcBorders>
                  <w:vAlign w:val="center"/>
                </w:tcPr>
                <w:p w14:paraId="78997BCC">
                  <w:pPr>
                    <w:keepNext w:val="0"/>
                    <w:keepLines w:val="0"/>
                    <w:pageBreakBefore w:val="0"/>
                    <w:widowControl w:val="0"/>
                    <w:kinsoku/>
                    <w:wordWrap w:val="0"/>
                    <w:overflowPunct/>
                    <w:topLinePunct w:val="0"/>
                    <w:autoSpaceDE/>
                    <w:autoSpaceDN/>
                    <w:bidi w:val="0"/>
                    <w:adjustRightInd w:val="0"/>
                    <w:snapToGrid w:val="0"/>
                    <w:spacing w:line="336" w:lineRule="auto"/>
                    <w:jc w:val="center"/>
                    <w:textAlignment w:val="auto"/>
                    <w:rPr>
                      <w:rFonts w:hint="eastAsia" w:ascii="宋体" w:hAnsi="宋体" w:eastAsia="宋体" w:cs="宋体"/>
                      <w:snapToGrid w:val="0"/>
                      <w:color w:val="auto"/>
                      <w:kern w:val="0"/>
                      <w:sz w:val="24"/>
                      <w:szCs w:val="24"/>
                    </w:rPr>
                  </w:pPr>
                  <w:r>
                    <w:rPr>
                      <w:rFonts w:hint="eastAsia" w:ascii="宋体" w:hAnsi="宋体" w:eastAsia="宋体" w:cs="宋体"/>
                      <w:snapToGrid w:val="0"/>
                      <w:color w:val="auto"/>
                      <w:kern w:val="0"/>
                      <w:sz w:val="24"/>
                      <w:szCs w:val="24"/>
                    </w:rPr>
                    <w:t>下浮系数（%）</w:t>
                  </w:r>
                </w:p>
              </w:tc>
              <w:tc>
                <w:tcPr>
                  <w:tcW w:w="794" w:type="dxa"/>
                  <w:tcBorders>
                    <w:top w:val="single" w:color="000000" w:sz="4" w:space="0"/>
                    <w:left w:val="single" w:color="000000" w:sz="4" w:space="0"/>
                    <w:bottom w:val="single" w:color="000000" w:sz="4" w:space="0"/>
                    <w:right w:val="single" w:color="000000" w:sz="4" w:space="0"/>
                  </w:tcBorders>
                  <w:vAlign w:val="center"/>
                </w:tcPr>
                <w:p w14:paraId="75A918BF">
                  <w:pPr>
                    <w:keepNext w:val="0"/>
                    <w:keepLines w:val="0"/>
                    <w:pageBreakBefore w:val="0"/>
                    <w:widowControl w:val="0"/>
                    <w:kinsoku/>
                    <w:wordWrap w:val="0"/>
                    <w:overflowPunct/>
                    <w:topLinePunct w:val="0"/>
                    <w:autoSpaceDE/>
                    <w:autoSpaceDN/>
                    <w:bidi w:val="0"/>
                    <w:adjustRightInd w:val="0"/>
                    <w:snapToGrid w:val="0"/>
                    <w:spacing w:line="336" w:lineRule="auto"/>
                    <w:jc w:val="center"/>
                    <w:textAlignment w:val="auto"/>
                    <w:rPr>
                      <w:rFonts w:hint="eastAsia" w:ascii="宋体" w:hAnsi="宋体" w:eastAsia="宋体" w:cs="宋体"/>
                      <w:snapToGrid w:val="0"/>
                      <w:color w:val="auto"/>
                      <w:kern w:val="0"/>
                      <w:sz w:val="24"/>
                      <w:szCs w:val="24"/>
                    </w:rPr>
                  </w:pPr>
                  <w:r>
                    <w:rPr>
                      <w:rFonts w:hint="eastAsia" w:ascii="宋体" w:hAnsi="宋体" w:eastAsia="宋体" w:cs="宋体"/>
                      <w:snapToGrid w:val="0"/>
                      <w:color w:val="auto"/>
                      <w:kern w:val="0"/>
                      <w:sz w:val="24"/>
                      <w:szCs w:val="24"/>
                    </w:rPr>
                    <w:t>2.4</w:t>
                  </w:r>
                </w:p>
              </w:tc>
              <w:tc>
                <w:tcPr>
                  <w:tcW w:w="830" w:type="dxa"/>
                  <w:tcBorders>
                    <w:top w:val="single" w:color="000000" w:sz="4" w:space="0"/>
                    <w:left w:val="single" w:color="000000" w:sz="4" w:space="0"/>
                    <w:bottom w:val="single" w:color="000000" w:sz="4" w:space="0"/>
                    <w:right w:val="single" w:color="000000" w:sz="4" w:space="0"/>
                  </w:tcBorders>
                  <w:vAlign w:val="center"/>
                </w:tcPr>
                <w:p w14:paraId="4A1DAABD">
                  <w:pPr>
                    <w:keepNext w:val="0"/>
                    <w:keepLines w:val="0"/>
                    <w:pageBreakBefore w:val="0"/>
                    <w:widowControl w:val="0"/>
                    <w:kinsoku/>
                    <w:wordWrap w:val="0"/>
                    <w:overflowPunct/>
                    <w:topLinePunct w:val="0"/>
                    <w:autoSpaceDE/>
                    <w:autoSpaceDN/>
                    <w:bidi w:val="0"/>
                    <w:adjustRightInd w:val="0"/>
                    <w:snapToGrid w:val="0"/>
                    <w:spacing w:line="336" w:lineRule="auto"/>
                    <w:jc w:val="center"/>
                    <w:textAlignment w:val="auto"/>
                    <w:rPr>
                      <w:rFonts w:hint="eastAsia" w:ascii="宋体" w:hAnsi="宋体" w:eastAsia="宋体" w:cs="宋体"/>
                      <w:snapToGrid w:val="0"/>
                      <w:color w:val="auto"/>
                      <w:kern w:val="0"/>
                      <w:sz w:val="24"/>
                      <w:szCs w:val="24"/>
                    </w:rPr>
                  </w:pPr>
                  <w:r>
                    <w:rPr>
                      <w:rFonts w:hint="eastAsia" w:ascii="宋体" w:hAnsi="宋体" w:eastAsia="宋体" w:cs="宋体"/>
                      <w:snapToGrid w:val="0"/>
                      <w:color w:val="auto"/>
                      <w:kern w:val="0"/>
                      <w:sz w:val="24"/>
                      <w:szCs w:val="24"/>
                    </w:rPr>
                    <w:t>2.5</w:t>
                  </w:r>
                </w:p>
              </w:tc>
              <w:tc>
                <w:tcPr>
                  <w:tcW w:w="864" w:type="dxa"/>
                  <w:tcBorders>
                    <w:top w:val="single" w:color="000000" w:sz="4" w:space="0"/>
                    <w:left w:val="single" w:color="000000" w:sz="4" w:space="0"/>
                    <w:bottom w:val="single" w:color="000000" w:sz="4" w:space="0"/>
                    <w:right w:val="single" w:color="000000" w:sz="4" w:space="0"/>
                  </w:tcBorders>
                  <w:vAlign w:val="center"/>
                </w:tcPr>
                <w:p w14:paraId="65AE68DD">
                  <w:pPr>
                    <w:keepNext w:val="0"/>
                    <w:keepLines w:val="0"/>
                    <w:pageBreakBefore w:val="0"/>
                    <w:widowControl w:val="0"/>
                    <w:kinsoku/>
                    <w:wordWrap w:val="0"/>
                    <w:overflowPunct/>
                    <w:topLinePunct w:val="0"/>
                    <w:autoSpaceDE/>
                    <w:autoSpaceDN/>
                    <w:bidi w:val="0"/>
                    <w:adjustRightInd w:val="0"/>
                    <w:snapToGrid w:val="0"/>
                    <w:spacing w:line="336" w:lineRule="auto"/>
                    <w:jc w:val="center"/>
                    <w:textAlignment w:val="auto"/>
                    <w:rPr>
                      <w:rFonts w:hint="eastAsia" w:ascii="宋体" w:hAnsi="宋体" w:eastAsia="宋体" w:cs="宋体"/>
                      <w:snapToGrid w:val="0"/>
                      <w:color w:val="auto"/>
                      <w:kern w:val="0"/>
                      <w:sz w:val="24"/>
                      <w:szCs w:val="24"/>
                    </w:rPr>
                  </w:pPr>
                  <w:r>
                    <w:rPr>
                      <w:rFonts w:hint="eastAsia" w:ascii="宋体" w:hAnsi="宋体" w:eastAsia="宋体" w:cs="宋体"/>
                      <w:snapToGrid w:val="0"/>
                      <w:color w:val="auto"/>
                      <w:kern w:val="0"/>
                      <w:sz w:val="24"/>
                      <w:szCs w:val="24"/>
                    </w:rPr>
                    <w:t>2.6</w:t>
                  </w:r>
                </w:p>
              </w:tc>
              <w:tc>
                <w:tcPr>
                  <w:tcW w:w="848" w:type="dxa"/>
                  <w:tcBorders>
                    <w:top w:val="single" w:color="000000" w:sz="4" w:space="0"/>
                    <w:left w:val="single" w:color="000000" w:sz="4" w:space="0"/>
                    <w:bottom w:val="single" w:color="000000" w:sz="4" w:space="0"/>
                    <w:right w:val="single" w:color="000000" w:sz="4" w:space="0"/>
                  </w:tcBorders>
                  <w:vAlign w:val="center"/>
                </w:tcPr>
                <w:p w14:paraId="0FF11C22">
                  <w:pPr>
                    <w:keepNext w:val="0"/>
                    <w:keepLines w:val="0"/>
                    <w:pageBreakBefore w:val="0"/>
                    <w:widowControl w:val="0"/>
                    <w:kinsoku/>
                    <w:wordWrap w:val="0"/>
                    <w:overflowPunct/>
                    <w:topLinePunct w:val="0"/>
                    <w:autoSpaceDE/>
                    <w:autoSpaceDN/>
                    <w:bidi w:val="0"/>
                    <w:adjustRightInd w:val="0"/>
                    <w:snapToGrid w:val="0"/>
                    <w:spacing w:line="336" w:lineRule="auto"/>
                    <w:jc w:val="center"/>
                    <w:textAlignment w:val="auto"/>
                    <w:rPr>
                      <w:rFonts w:hint="eastAsia" w:ascii="宋体" w:hAnsi="宋体" w:eastAsia="宋体" w:cs="宋体"/>
                      <w:snapToGrid w:val="0"/>
                      <w:color w:val="auto"/>
                      <w:kern w:val="0"/>
                      <w:sz w:val="24"/>
                      <w:szCs w:val="24"/>
                    </w:rPr>
                  </w:pPr>
                  <w:r>
                    <w:rPr>
                      <w:rFonts w:hint="eastAsia" w:ascii="宋体" w:hAnsi="宋体" w:eastAsia="宋体" w:cs="宋体"/>
                      <w:snapToGrid w:val="0"/>
                      <w:color w:val="auto"/>
                      <w:kern w:val="0"/>
                      <w:sz w:val="24"/>
                      <w:szCs w:val="24"/>
                    </w:rPr>
                    <w:t>2.7</w:t>
                  </w:r>
                </w:p>
              </w:tc>
              <w:tc>
                <w:tcPr>
                  <w:tcW w:w="882" w:type="dxa"/>
                  <w:tcBorders>
                    <w:top w:val="single" w:color="000000" w:sz="4" w:space="0"/>
                    <w:left w:val="single" w:color="000000" w:sz="4" w:space="0"/>
                    <w:bottom w:val="single" w:color="000000" w:sz="4" w:space="0"/>
                    <w:right w:val="single" w:color="000000" w:sz="4" w:space="0"/>
                  </w:tcBorders>
                  <w:vAlign w:val="center"/>
                </w:tcPr>
                <w:p w14:paraId="5B044708">
                  <w:pPr>
                    <w:keepNext w:val="0"/>
                    <w:keepLines w:val="0"/>
                    <w:pageBreakBefore w:val="0"/>
                    <w:widowControl w:val="0"/>
                    <w:kinsoku/>
                    <w:wordWrap w:val="0"/>
                    <w:overflowPunct/>
                    <w:topLinePunct w:val="0"/>
                    <w:autoSpaceDE/>
                    <w:autoSpaceDN/>
                    <w:bidi w:val="0"/>
                    <w:adjustRightInd w:val="0"/>
                    <w:snapToGrid w:val="0"/>
                    <w:spacing w:line="336" w:lineRule="auto"/>
                    <w:jc w:val="center"/>
                    <w:textAlignment w:val="auto"/>
                    <w:rPr>
                      <w:rFonts w:hint="eastAsia" w:ascii="宋体" w:hAnsi="宋体" w:eastAsia="宋体" w:cs="宋体"/>
                      <w:snapToGrid w:val="0"/>
                      <w:color w:val="auto"/>
                      <w:kern w:val="0"/>
                      <w:sz w:val="24"/>
                      <w:szCs w:val="24"/>
                    </w:rPr>
                  </w:pPr>
                  <w:r>
                    <w:rPr>
                      <w:rFonts w:hint="eastAsia" w:ascii="宋体" w:hAnsi="宋体" w:eastAsia="宋体" w:cs="宋体"/>
                      <w:snapToGrid w:val="0"/>
                      <w:color w:val="auto"/>
                      <w:kern w:val="0"/>
                      <w:sz w:val="24"/>
                      <w:szCs w:val="24"/>
                    </w:rPr>
                    <w:t>2.8</w:t>
                  </w:r>
                </w:p>
              </w:tc>
              <w:tc>
                <w:tcPr>
                  <w:tcW w:w="829" w:type="dxa"/>
                  <w:tcBorders>
                    <w:top w:val="single" w:color="000000" w:sz="4" w:space="0"/>
                    <w:left w:val="single" w:color="000000" w:sz="4" w:space="0"/>
                    <w:bottom w:val="single" w:color="000000" w:sz="4" w:space="0"/>
                    <w:right w:val="single" w:color="000000" w:sz="4" w:space="0"/>
                  </w:tcBorders>
                  <w:vAlign w:val="center"/>
                </w:tcPr>
                <w:p w14:paraId="543F4C0A">
                  <w:pPr>
                    <w:keepNext w:val="0"/>
                    <w:keepLines w:val="0"/>
                    <w:pageBreakBefore w:val="0"/>
                    <w:widowControl w:val="0"/>
                    <w:kinsoku/>
                    <w:wordWrap w:val="0"/>
                    <w:overflowPunct/>
                    <w:topLinePunct w:val="0"/>
                    <w:autoSpaceDE/>
                    <w:autoSpaceDN/>
                    <w:bidi w:val="0"/>
                    <w:adjustRightInd w:val="0"/>
                    <w:snapToGrid w:val="0"/>
                    <w:spacing w:line="336" w:lineRule="auto"/>
                    <w:jc w:val="center"/>
                    <w:textAlignment w:val="auto"/>
                    <w:rPr>
                      <w:rFonts w:hint="eastAsia" w:ascii="宋体" w:hAnsi="宋体" w:eastAsia="宋体" w:cs="宋体"/>
                      <w:snapToGrid w:val="0"/>
                      <w:color w:val="auto"/>
                      <w:kern w:val="0"/>
                      <w:sz w:val="24"/>
                      <w:szCs w:val="24"/>
                    </w:rPr>
                  </w:pPr>
                  <w:r>
                    <w:rPr>
                      <w:rFonts w:hint="eastAsia" w:ascii="宋体" w:hAnsi="宋体" w:eastAsia="宋体" w:cs="宋体"/>
                      <w:snapToGrid w:val="0"/>
                      <w:color w:val="auto"/>
                      <w:kern w:val="0"/>
                      <w:sz w:val="24"/>
                      <w:szCs w:val="24"/>
                    </w:rPr>
                    <w:t>2.9</w:t>
                  </w:r>
                </w:p>
              </w:tc>
              <w:tc>
                <w:tcPr>
                  <w:tcW w:w="819" w:type="dxa"/>
                  <w:tcBorders>
                    <w:top w:val="single" w:color="000000" w:sz="4" w:space="0"/>
                    <w:left w:val="single" w:color="000000" w:sz="4" w:space="0"/>
                    <w:bottom w:val="single" w:color="000000" w:sz="4" w:space="0"/>
                    <w:right w:val="single" w:color="000000" w:sz="4" w:space="0"/>
                  </w:tcBorders>
                  <w:vAlign w:val="center"/>
                </w:tcPr>
                <w:p w14:paraId="50D535DE">
                  <w:pPr>
                    <w:keepNext w:val="0"/>
                    <w:keepLines w:val="0"/>
                    <w:pageBreakBefore w:val="0"/>
                    <w:widowControl w:val="0"/>
                    <w:kinsoku/>
                    <w:wordWrap w:val="0"/>
                    <w:overflowPunct/>
                    <w:topLinePunct w:val="0"/>
                    <w:autoSpaceDE/>
                    <w:autoSpaceDN/>
                    <w:bidi w:val="0"/>
                    <w:adjustRightInd w:val="0"/>
                    <w:snapToGrid w:val="0"/>
                    <w:spacing w:line="336" w:lineRule="auto"/>
                    <w:jc w:val="center"/>
                    <w:textAlignment w:val="auto"/>
                    <w:rPr>
                      <w:rFonts w:hint="eastAsia" w:ascii="宋体" w:hAnsi="宋体" w:eastAsia="宋体" w:cs="宋体"/>
                      <w:snapToGrid w:val="0"/>
                      <w:color w:val="auto"/>
                      <w:kern w:val="0"/>
                      <w:sz w:val="24"/>
                      <w:szCs w:val="24"/>
                    </w:rPr>
                  </w:pPr>
                  <w:r>
                    <w:rPr>
                      <w:rFonts w:hint="eastAsia" w:ascii="宋体" w:hAnsi="宋体" w:eastAsia="宋体" w:cs="宋体"/>
                      <w:snapToGrid w:val="0"/>
                      <w:color w:val="auto"/>
                      <w:kern w:val="0"/>
                      <w:sz w:val="24"/>
                      <w:szCs w:val="24"/>
                    </w:rPr>
                    <w:t>3.0</w:t>
                  </w:r>
                </w:p>
              </w:tc>
            </w:tr>
          </w:tbl>
          <w:p w14:paraId="6F6597A9">
            <w:pPr>
              <w:keepNext w:val="0"/>
              <w:keepLines w:val="0"/>
              <w:pageBreakBefore w:val="0"/>
              <w:widowControl w:val="0"/>
              <w:kinsoku/>
              <w:wordWrap w:val="0"/>
              <w:overflowPunct/>
              <w:topLinePunct w:val="0"/>
              <w:autoSpaceDE/>
              <w:autoSpaceDN/>
              <w:bidi w:val="0"/>
              <w:adjustRightInd w:val="0"/>
              <w:snapToGrid w:val="0"/>
              <w:spacing w:line="336" w:lineRule="auto"/>
              <w:ind w:firstLine="480" w:firstLineChars="2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rPr>
              <w:t>（2）评标基准价D＝</w:t>
            </w:r>
            <w:r>
              <w:rPr>
                <w:rFonts w:hint="eastAsia" w:ascii="宋体" w:hAnsi="宋体" w:eastAsia="宋体" w:cs="宋体"/>
                <w:snapToGrid w:val="0"/>
                <w:color w:val="auto"/>
                <w:kern w:val="0"/>
                <w:sz w:val="24"/>
                <w:szCs w:val="24"/>
                <w:lang w:eastAsia="zh-CN"/>
              </w:rPr>
              <w:t>最高投标限价</w:t>
            </w:r>
            <w:r>
              <w:rPr>
                <w:rFonts w:hint="eastAsia" w:ascii="宋体" w:hAnsi="宋体" w:eastAsia="宋体" w:cs="宋体"/>
                <w:snapToGrid w:val="0"/>
                <w:color w:val="auto"/>
                <w:kern w:val="0"/>
                <w:sz w:val="24"/>
                <w:szCs w:val="24"/>
              </w:rPr>
              <w:t>×（1－n）</w:t>
            </w:r>
          </w:p>
        </w:tc>
      </w:tr>
      <w:tr w14:paraId="3318ED63">
        <w:tblPrEx>
          <w:tblCellMar>
            <w:top w:w="0" w:type="dxa"/>
            <w:left w:w="108" w:type="dxa"/>
            <w:bottom w:w="0" w:type="dxa"/>
            <w:right w:w="108" w:type="dxa"/>
          </w:tblCellMar>
        </w:tblPrEx>
        <w:trPr>
          <w:trHeight w:val="23" w:hRule="atLeast"/>
          <w:jc w:val="center"/>
        </w:trPr>
        <w:tc>
          <w:tcPr>
            <w:tcW w:w="1493" w:type="dxa"/>
            <w:tcBorders>
              <w:top w:val="single" w:color="auto" w:sz="4" w:space="0"/>
              <w:left w:val="single" w:color="auto" w:sz="4" w:space="0"/>
              <w:bottom w:val="single" w:color="auto" w:sz="4" w:space="0"/>
              <w:right w:val="single" w:color="auto" w:sz="4" w:space="0"/>
            </w:tcBorders>
            <w:noWrap w:val="0"/>
            <w:vAlign w:val="center"/>
          </w:tcPr>
          <w:p w14:paraId="4238D6E6">
            <w:pPr>
              <w:pStyle w:val="66"/>
              <w:keepNext w:val="0"/>
              <w:keepLines w:val="0"/>
              <w:pageBreakBefore w:val="0"/>
              <w:widowControl w:val="0"/>
              <w:kinsoku/>
              <w:wordWrap w:val="0"/>
              <w:overflowPunct/>
              <w:topLinePunct w:val="0"/>
              <w:autoSpaceDE/>
              <w:autoSpaceDN/>
              <w:bidi w:val="0"/>
              <w:adjustRightInd w:val="0"/>
              <w:snapToGrid w:val="0"/>
              <w:spacing w:line="336"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投标报价</w:t>
            </w:r>
          </w:p>
          <w:p w14:paraId="121EC598">
            <w:pPr>
              <w:pStyle w:val="66"/>
              <w:keepNext w:val="0"/>
              <w:keepLines w:val="0"/>
              <w:pageBreakBefore w:val="0"/>
              <w:widowControl w:val="0"/>
              <w:kinsoku/>
              <w:wordWrap w:val="0"/>
              <w:overflowPunct/>
              <w:topLinePunct w:val="0"/>
              <w:autoSpaceDE/>
              <w:autoSpaceDN/>
              <w:bidi w:val="0"/>
              <w:adjustRightInd w:val="0"/>
              <w:snapToGrid w:val="0"/>
              <w:spacing w:line="336"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得分N</w:t>
            </w:r>
          </w:p>
        </w:tc>
        <w:tc>
          <w:tcPr>
            <w:tcW w:w="9360" w:type="dxa"/>
            <w:gridSpan w:val="3"/>
            <w:tcBorders>
              <w:top w:val="single" w:color="auto" w:sz="4" w:space="0"/>
              <w:left w:val="single" w:color="auto" w:sz="4" w:space="0"/>
              <w:bottom w:val="single" w:color="auto" w:sz="4" w:space="0"/>
              <w:right w:val="single" w:color="auto" w:sz="4" w:space="0"/>
            </w:tcBorders>
            <w:noWrap w:val="0"/>
            <w:vAlign w:val="center"/>
          </w:tcPr>
          <w:p w14:paraId="7CFF6B52">
            <w:pPr>
              <w:keepNext w:val="0"/>
              <w:keepLines w:val="0"/>
              <w:pageBreakBefore w:val="0"/>
              <w:widowControl w:val="0"/>
              <w:kinsoku/>
              <w:wordWrap w:val="0"/>
              <w:overflowPunct/>
              <w:topLinePunct w:val="0"/>
              <w:autoSpaceDE/>
              <w:autoSpaceDN/>
              <w:bidi w:val="0"/>
              <w:adjustRightInd w:val="0"/>
              <w:snapToGrid w:val="0"/>
              <w:spacing w:line="336" w:lineRule="auto"/>
              <w:ind w:firstLine="480" w:firstLineChars="2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采用内插法计算某投标人的投标报价得分N，即当投标人的投标总价等于评标基准价时得</w:t>
            </w:r>
            <w:r>
              <w:rPr>
                <w:rFonts w:hint="eastAsia" w:ascii="宋体" w:hAnsi="宋体" w:eastAsia="宋体" w:cs="宋体"/>
                <w:snapToGrid w:val="0"/>
                <w:color w:val="auto"/>
                <w:kern w:val="0"/>
                <w:sz w:val="24"/>
                <w:szCs w:val="24"/>
                <w:highlight w:val="none"/>
                <w:lang w:val="en-US" w:eastAsia="zh-CN"/>
              </w:rPr>
              <w:t>100</w:t>
            </w:r>
            <w:r>
              <w:rPr>
                <w:rFonts w:hint="eastAsia" w:ascii="宋体" w:hAnsi="宋体" w:eastAsia="宋体" w:cs="宋体"/>
                <w:snapToGrid w:val="0"/>
                <w:color w:val="auto"/>
                <w:kern w:val="0"/>
                <w:sz w:val="24"/>
                <w:szCs w:val="24"/>
                <w:highlight w:val="none"/>
              </w:rPr>
              <w:t>分，每高于评标基准价一个百分点扣</w:t>
            </w:r>
            <w:r>
              <w:rPr>
                <w:rFonts w:hint="eastAsia" w:ascii="宋体" w:hAnsi="宋体" w:eastAsia="宋体" w:cs="宋体"/>
                <w:snapToGrid w:val="0"/>
                <w:color w:val="auto"/>
                <w:kern w:val="0"/>
                <w:sz w:val="24"/>
                <w:szCs w:val="24"/>
                <w:highlight w:val="none"/>
                <w:lang w:val="en-US" w:eastAsia="zh-CN"/>
              </w:rPr>
              <w:t>1</w:t>
            </w:r>
            <w:r>
              <w:rPr>
                <w:rFonts w:hint="eastAsia" w:ascii="宋体" w:hAnsi="宋体" w:eastAsia="宋体" w:cs="宋体"/>
                <w:snapToGrid w:val="0"/>
                <w:color w:val="auto"/>
                <w:kern w:val="0"/>
                <w:sz w:val="24"/>
                <w:szCs w:val="24"/>
                <w:highlight w:val="none"/>
              </w:rPr>
              <w:t>分, 每低于评标基准价一个百分点扣</w:t>
            </w:r>
            <w:r>
              <w:rPr>
                <w:rFonts w:hint="eastAsia" w:ascii="宋体" w:hAnsi="宋体" w:eastAsia="宋体" w:cs="宋体"/>
                <w:snapToGrid w:val="0"/>
                <w:color w:val="auto"/>
                <w:kern w:val="0"/>
                <w:sz w:val="24"/>
                <w:szCs w:val="24"/>
                <w:highlight w:val="none"/>
                <w:lang w:val="en-US" w:eastAsia="zh-CN"/>
              </w:rPr>
              <w:t>0.5</w:t>
            </w:r>
            <w:r>
              <w:rPr>
                <w:rFonts w:hint="eastAsia" w:ascii="宋体" w:hAnsi="宋体" w:eastAsia="宋体" w:cs="宋体"/>
                <w:snapToGrid w:val="0"/>
                <w:color w:val="auto"/>
                <w:kern w:val="0"/>
                <w:sz w:val="24"/>
                <w:szCs w:val="24"/>
                <w:highlight w:val="none"/>
              </w:rPr>
              <w:t>分，扣完为止。公式如下：</w:t>
            </w:r>
          </w:p>
          <w:p w14:paraId="41EA87FA">
            <w:pPr>
              <w:keepNext w:val="0"/>
              <w:keepLines w:val="0"/>
              <w:pageBreakBefore w:val="0"/>
              <w:widowControl w:val="0"/>
              <w:kinsoku/>
              <w:wordWrap w:val="0"/>
              <w:overflowPunct/>
              <w:topLinePunct w:val="0"/>
              <w:autoSpaceDE/>
              <w:autoSpaceDN/>
              <w:bidi w:val="0"/>
              <w:adjustRightInd w:val="0"/>
              <w:snapToGrid w:val="0"/>
              <w:spacing w:line="336" w:lineRule="auto"/>
              <w:ind w:firstLine="480" w:firstLineChars="2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N＝</w:t>
            </w:r>
            <w:r>
              <w:rPr>
                <w:rFonts w:hint="eastAsia" w:ascii="宋体" w:hAnsi="宋体" w:eastAsia="宋体" w:cs="宋体"/>
                <w:snapToGrid w:val="0"/>
                <w:color w:val="auto"/>
                <w:kern w:val="0"/>
                <w:sz w:val="24"/>
                <w:szCs w:val="24"/>
                <w:highlight w:val="none"/>
                <w:lang w:val="en-US" w:eastAsia="zh-CN"/>
              </w:rPr>
              <w:t>10</w:t>
            </w:r>
            <w:r>
              <w:rPr>
                <w:rFonts w:hint="eastAsia" w:ascii="宋体" w:hAnsi="宋体" w:eastAsia="宋体" w:cs="宋体"/>
                <w:snapToGrid w:val="0"/>
                <w:color w:val="auto"/>
                <w:kern w:val="0"/>
                <w:sz w:val="24"/>
                <w:szCs w:val="24"/>
                <w:highlight w:val="none"/>
              </w:rPr>
              <w:t>0－（| Di－D | ÷D）×100×E</w:t>
            </w:r>
          </w:p>
          <w:p w14:paraId="21FF5C85">
            <w:pPr>
              <w:keepNext w:val="0"/>
              <w:keepLines w:val="0"/>
              <w:pageBreakBefore w:val="0"/>
              <w:widowControl w:val="0"/>
              <w:kinsoku/>
              <w:wordWrap w:val="0"/>
              <w:overflowPunct/>
              <w:topLinePunct w:val="0"/>
              <w:autoSpaceDE/>
              <w:autoSpaceDN/>
              <w:bidi w:val="0"/>
              <w:adjustRightInd w:val="0"/>
              <w:snapToGrid w:val="0"/>
              <w:spacing w:line="336" w:lineRule="auto"/>
              <w:ind w:firstLine="480" w:firstLineChars="2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式中：D为评标基准价；Di为某投标人的投标总价；E为扣分因子，当Di＞D时，E＝</w:t>
            </w:r>
            <w:r>
              <w:rPr>
                <w:rFonts w:hint="eastAsia" w:ascii="宋体" w:hAnsi="宋体" w:eastAsia="宋体" w:cs="宋体"/>
                <w:snapToGrid w:val="0"/>
                <w:color w:val="auto"/>
                <w:kern w:val="0"/>
                <w:sz w:val="24"/>
                <w:szCs w:val="24"/>
                <w:highlight w:val="none"/>
                <w:lang w:val="en-US" w:eastAsia="zh-CN"/>
              </w:rPr>
              <w:t>1</w:t>
            </w:r>
            <w:r>
              <w:rPr>
                <w:rFonts w:hint="eastAsia" w:ascii="宋体" w:hAnsi="宋体" w:eastAsia="宋体" w:cs="宋体"/>
                <w:snapToGrid w:val="0"/>
                <w:color w:val="auto"/>
                <w:kern w:val="0"/>
                <w:sz w:val="24"/>
                <w:szCs w:val="24"/>
                <w:highlight w:val="none"/>
              </w:rPr>
              <w:t>；当Di＜D时，E＝</w:t>
            </w:r>
            <w:r>
              <w:rPr>
                <w:rFonts w:hint="eastAsia" w:ascii="宋体" w:hAnsi="宋体" w:eastAsia="宋体" w:cs="宋体"/>
                <w:snapToGrid w:val="0"/>
                <w:color w:val="auto"/>
                <w:kern w:val="0"/>
                <w:sz w:val="24"/>
                <w:szCs w:val="24"/>
                <w:highlight w:val="none"/>
                <w:lang w:val="en-US" w:eastAsia="zh-CN"/>
              </w:rPr>
              <w:t>0.5</w:t>
            </w:r>
            <w:r>
              <w:rPr>
                <w:rFonts w:hint="eastAsia" w:ascii="宋体" w:hAnsi="宋体" w:eastAsia="宋体" w:cs="宋体"/>
                <w:snapToGrid w:val="0"/>
                <w:color w:val="auto"/>
                <w:kern w:val="0"/>
                <w:sz w:val="24"/>
                <w:szCs w:val="24"/>
                <w:highlight w:val="none"/>
              </w:rPr>
              <w:t>。</w:t>
            </w:r>
          </w:p>
        </w:tc>
      </w:tr>
    </w:tbl>
    <w:p w14:paraId="51801D79">
      <w:pPr>
        <w:keepNext w:val="0"/>
        <w:keepLines w:val="0"/>
        <w:pageBreakBefore w:val="0"/>
        <w:widowControl w:val="0"/>
        <w:kinsoku/>
        <w:wordWrap w:val="0"/>
        <w:overflowPunct/>
        <w:topLinePunct w:val="0"/>
        <w:autoSpaceDE/>
        <w:autoSpaceDN/>
        <w:bidi w:val="0"/>
        <w:adjustRightInd w:val="0"/>
        <w:snapToGrid w:val="0"/>
        <w:spacing w:line="336" w:lineRule="auto"/>
        <w:ind w:firstLine="482"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 xml:space="preserve">15.5.2 </w:t>
      </w:r>
      <w:r>
        <w:rPr>
          <w:rFonts w:hint="eastAsia" w:ascii="宋体" w:hAnsi="宋体" w:eastAsia="宋体" w:cs="宋体"/>
          <w:snapToGrid w:val="0"/>
          <w:color w:val="auto"/>
          <w:kern w:val="0"/>
          <w:highlight w:val="none"/>
        </w:rPr>
        <w:t>否决投标说明</w:t>
      </w:r>
    </w:p>
    <w:p w14:paraId="5F21881B">
      <w:pPr>
        <w:keepNext w:val="0"/>
        <w:keepLines w:val="0"/>
        <w:pageBreakBefore w:val="0"/>
        <w:kinsoku/>
        <w:wordWrap w:val="0"/>
        <w:overflowPunct/>
        <w:topLinePunct w:val="0"/>
        <w:autoSpaceDE/>
        <w:autoSpaceDN/>
        <w:bidi w:val="0"/>
        <w:adjustRightInd w:val="0"/>
        <w:snapToGrid w:val="0"/>
        <w:spacing w:line="336" w:lineRule="auto"/>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详细评审阶段否决投标的全部条件，在本章第四节“否决投标条件”第</w:t>
      </w:r>
      <w:r>
        <w:rPr>
          <w:rFonts w:hint="eastAsia" w:ascii="宋体" w:hAnsi="宋体" w:eastAsia="宋体" w:cs="宋体"/>
          <w:b/>
          <w:bCs/>
          <w:snapToGrid w:val="0"/>
          <w:color w:val="auto"/>
          <w:kern w:val="0"/>
          <w:highlight w:val="none"/>
        </w:rPr>
        <w:t>4</w:t>
      </w:r>
      <w:r>
        <w:rPr>
          <w:rFonts w:hint="eastAsia" w:ascii="宋体" w:hAnsi="宋体" w:eastAsia="宋体" w:cs="宋体"/>
          <w:snapToGrid w:val="0"/>
          <w:color w:val="auto"/>
          <w:kern w:val="0"/>
          <w:highlight w:val="none"/>
        </w:rPr>
        <w:t>条中集中列示。投标人有其中所列任何一种情形的，由评标委员会否决其投标。</w:t>
      </w:r>
      <w:r>
        <w:rPr>
          <w:rFonts w:hint="eastAsia" w:ascii="宋体" w:hAnsi="宋体" w:eastAsia="宋体" w:cs="宋体"/>
          <w:snapToGrid w:val="0"/>
          <w:color w:val="auto"/>
          <w:kern w:val="0"/>
          <w:highlight w:val="none"/>
          <w:lang w:val="en-US" w:eastAsia="zh-CN"/>
        </w:rPr>
        <w:t>评标委员会经评审，认为所有投标都不符合招标文件要求的，可否决所有投标，项目的所有投标被否决的，招标人应依法重新组织招标。</w:t>
      </w:r>
    </w:p>
    <w:p w14:paraId="20D7B7CF">
      <w:pPr>
        <w:keepNext w:val="0"/>
        <w:keepLines w:val="0"/>
        <w:pageBreakBefore w:val="0"/>
        <w:kinsoku/>
        <w:wordWrap w:val="0"/>
        <w:overflowPunct/>
        <w:topLinePunct w:val="0"/>
        <w:autoSpaceDE/>
        <w:autoSpaceDN/>
        <w:bidi w:val="0"/>
        <w:adjustRightInd w:val="0"/>
        <w:snapToGrid w:val="0"/>
        <w:spacing w:line="336" w:lineRule="auto"/>
        <w:ind w:firstLine="482" w:firstLineChars="200"/>
        <w:textAlignment w:val="auto"/>
        <w:rPr>
          <w:rFonts w:hint="eastAsia" w:ascii="宋体" w:hAnsi="宋体" w:eastAsia="宋体" w:cs="宋体"/>
          <w:b/>
          <w:snapToGrid w:val="0"/>
          <w:color w:val="auto"/>
          <w:kern w:val="0"/>
          <w:highlight w:val="none"/>
        </w:rPr>
      </w:pPr>
      <w:r>
        <w:rPr>
          <w:rFonts w:hint="eastAsia" w:ascii="宋体" w:hAnsi="宋体" w:eastAsia="宋体" w:cs="宋体"/>
          <w:b/>
          <w:bCs/>
          <w:snapToGrid w:val="0"/>
          <w:color w:val="auto"/>
          <w:kern w:val="0"/>
          <w:highlight w:val="none"/>
        </w:rPr>
        <w:t>注：投标人在详细评审阶段根据评分方法提供的佐证材料，其合法性、有效性和准确性不符合要求的，有关量化因素（或评分因素）的折算、调整（或评分）按相应量化标准（或评分标准）处理，但不否决投标。</w:t>
      </w:r>
    </w:p>
    <w:p w14:paraId="0FA5A99F">
      <w:pPr>
        <w:keepNext w:val="0"/>
        <w:keepLines w:val="0"/>
        <w:pageBreakBefore w:val="0"/>
        <w:widowControl w:val="0"/>
        <w:kinsoku/>
        <w:wordWrap/>
        <w:overflowPunct/>
        <w:topLinePunct w:val="0"/>
        <w:autoSpaceDE/>
        <w:autoSpaceDN/>
        <w:bidi w:val="0"/>
        <w:adjustRightInd/>
        <w:snapToGrid/>
        <w:spacing w:line="336" w:lineRule="auto"/>
        <w:ind w:firstLine="482" w:firstLineChars="200"/>
        <w:textAlignment w:val="auto"/>
        <w:outlineLvl w:val="1"/>
        <w:rPr>
          <w:rStyle w:val="154"/>
          <w:rFonts w:hint="eastAsia" w:ascii="宋体" w:hAnsi="宋体" w:eastAsia="宋体" w:cs="宋体"/>
          <w:color w:val="auto"/>
          <w:lang w:val="en-US" w:eastAsia="zh-CN"/>
        </w:rPr>
      </w:pPr>
      <w:bookmarkStart w:id="137" w:name="_Toc2839"/>
      <w:r>
        <w:rPr>
          <w:rStyle w:val="154"/>
          <w:rFonts w:hint="eastAsia" w:ascii="宋体" w:hAnsi="宋体" w:eastAsia="宋体" w:cs="宋体"/>
          <w:color w:val="auto"/>
          <w:lang w:val="en-US" w:eastAsia="zh-CN"/>
        </w:rPr>
        <w:t>16．中标候选人公示</w:t>
      </w:r>
      <w:bookmarkEnd w:id="137"/>
    </w:p>
    <w:p w14:paraId="6C424E97">
      <w:pPr>
        <w:keepNext w:val="0"/>
        <w:keepLines w:val="0"/>
        <w:pageBreakBefore w:val="0"/>
        <w:kinsoku/>
        <w:wordWrap w:val="0"/>
        <w:overflowPunct/>
        <w:topLinePunct w:val="0"/>
        <w:autoSpaceDE/>
        <w:autoSpaceDN/>
        <w:bidi w:val="0"/>
        <w:adjustRightInd w:val="0"/>
        <w:snapToGrid w:val="0"/>
        <w:spacing w:line="336" w:lineRule="auto"/>
        <w:ind w:firstLine="482"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highlight w:val="none"/>
        </w:rPr>
        <w:t>16.1</w:t>
      </w:r>
      <w:r>
        <w:rPr>
          <w:rFonts w:hint="eastAsia" w:ascii="宋体" w:hAnsi="宋体" w:eastAsia="宋体" w:cs="宋体"/>
          <w:snapToGrid w:val="0"/>
          <w:color w:val="auto"/>
          <w:kern w:val="0"/>
          <w:highlight w:val="none"/>
        </w:rPr>
        <w:t xml:space="preserve"> 招标人自收到评标委员会提交的书面评标报告和中标候选人名单之日起3日内，将评标结果（即中标候选人名单）、中标候选人投标文件（指商务标书分册）、评标过程（评标专家姓名用代码标记）一并在广东省招标投标监管网（</w:t>
      </w:r>
      <w:r>
        <w:rPr>
          <w:rFonts w:hint="eastAsia" w:ascii="宋体" w:hAnsi="宋体" w:eastAsia="宋体" w:cs="宋体"/>
          <w:snapToGrid w:val="0"/>
          <w:color w:val="auto"/>
          <w:kern w:val="0"/>
          <w:highlight w:val="none"/>
          <w:lang w:eastAsia="zh-CN"/>
        </w:rPr>
        <w:t>https://www.gdzwfw.gov.cn/ztbjg-portal/#/index</w:t>
      </w:r>
      <w:r>
        <w:rPr>
          <w:rFonts w:hint="eastAsia" w:ascii="宋体" w:hAnsi="宋体" w:eastAsia="宋体" w:cs="宋体"/>
          <w:snapToGrid w:val="0"/>
          <w:color w:val="auto"/>
          <w:kern w:val="0"/>
          <w:highlight w:val="none"/>
        </w:rPr>
        <w:t>）</w:t>
      </w:r>
      <w:r>
        <w:rPr>
          <w:rFonts w:hint="eastAsia" w:ascii="宋体" w:hAnsi="宋体" w:eastAsia="宋体" w:cs="宋体"/>
          <w:snapToGrid w:val="0"/>
          <w:color w:val="auto"/>
          <w:kern w:val="0"/>
          <w:highlight w:val="none"/>
          <w:lang w:eastAsia="zh-CN"/>
        </w:rPr>
        <w:t>、</w:t>
      </w:r>
      <w:r>
        <w:rPr>
          <w:rFonts w:hint="eastAsia" w:ascii="宋体" w:hAnsi="宋体" w:eastAsia="宋体" w:cs="宋体"/>
          <w:snapToGrid w:val="0"/>
          <w:color w:val="auto"/>
          <w:kern w:val="0"/>
          <w:highlight w:val="none"/>
        </w:rPr>
        <w:t>全国公共资源交易平台（广东省·韶关市）（https://ygp.gdzwfw.gov.cn/ggzy-portal/#/440200/index）进行公示，公示期不得少于3天。</w:t>
      </w:r>
    </w:p>
    <w:p w14:paraId="5CC34B69">
      <w:pPr>
        <w:keepNext w:val="0"/>
        <w:keepLines w:val="0"/>
        <w:pageBreakBefore w:val="0"/>
        <w:widowControl/>
        <w:suppressLineNumbers w:val="0"/>
        <w:kinsoku/>
        <w:wordWrap/>
        <w:overflowPunct/>
        <w:topLinePunct w:val="0"/>
        <w:autoSpaceDE/>
        <w:autoSpaceDN/>
        <w:bidi w:val="0"/>
        <w:adjustRightInd/>
        <w:snapToGrid/>
        <w:spacing w:line="336" w:lineRule="auto"/>
        <w:ind w:firstLine="482" w:firstLineChars="200"/>
        <w:jc w:val="left"/>
        <w:textAlignment w:val="auto"/>
        <w:rPr>
          <w:rFonts w:hint="eastAsia" w:ascii="宋体" w:hAnsi="宋体" w:eastAsia="宋体" w:cs="宋体"/>
          <w:color w:val="auto"/>
        </w:rPr>
      </w:pPr>
      <w:r>
        <w:rPr>
          <w:rFonts w:hint="eastAsia" w:ascii="宋体" w:hAnsi="宋体" w:eastAsia="宋体" w:cs="宋体"/>
          <w:b/>
          <w:bCs/>
          <w:snapToGrid w:val="0"/>
          <w:color w:val="auto"/>
          <w:kern w:val="0"/>
          <w:highlight w:val="none"/>
        </w:rPr>
        <w:t>16.3</w:t>
      </w:r>
      <w:r>
        <w:rPr>
          <w:rFonts w:hint="eastAsia" w:ascii="宋体" w:hAnsi="宋体" w:eastAsia="宋体" w:cs="宋体"/>
          <w:snapToGrid w:val="0"/>
          <w:color w:val="auto"/>
          <w:kern w:val="0"/>
          <w:highlight w:val="none"/>
        </w:rPr>
        <w:t xml:space="preserve"> 投标人对评标结果、中标候选人投标文件、评标过程有异议的，必须在以上内容公示期间向招标人提出书面异议，否则招标人不予受理。经招标人书面答复，异议人仍不满意的，可在法律规定的时限内向行政监督部门提出书面投诉。异议（投诉）提出、处理的具体办法和要求，按照《韶关市工程建设项目招标投标活动异议和投诉处理办法》（韶发改〔2021〕44号）执行。</w:t>
      </w:r>
      <w:r>
        <w:rPr>
          <w:rFonts w:hint="eastAsia" w:ascii="宋体" w:hAnsi="宋体" w:eastAsia="宋体" w:cs="宋体"/>
          <w:color w:val="auto"/>
          <w:kern w:val="0"/>
          <w:sz w:val="24"/>
          <w:szCs w:val="24"/>
          <w:lang w:val="en-US" w:eastAsia="zh-CN" w:bidi="ar"/>
        </w:rPr>
        <w:t>如通过交易服务平台提出异议，投标人必须上传提交异议书扫描件（作为附件），异议书格式内容按照</w:t>
      </w:r>
      <w:r>
        <w:rPr>
          <w:rFonts w:hint="eastAsia" w:ascii="宋体" w:hAnsi="宋体" w:eastAsia="宋体" w:cs="宋体"/>
          <w:snapToGrid w:val="0"/>
          <w:color w:val="auto"/>
          <w:kern w:val="0"/>
          <w:highlight w:val="none"/>
        </w:rPr>
        <w:t>《韶关市工程建设项目招标投标活动异议和投诉处理办法》（韶发改〔2021〕44号）</w:t>
      </w:r>
      <w:r>
        <w:rPr>
          <w:rFonts w:hint="eastAsia" w:ascii="宋体" w:hAnsi="宋体" w:eastAsia="宋体" w:cs="宋体"/>
          <w:color w:val="auto"/>
          <w:kern w:val="0"/>
          <w:sz w:val="24"/>
          <w:szCs w:val="24"/>
          <w:lang w:val="en-US" w:eastAsia="zh-CN" w:bidi="ar"/>
        </w:rPr>
        <w:t>，否则招标人不予受理。投标人提出异议后，必须及时通知招标人查收，否则，由此造成的超出法律规定时限的后果，由投标人自行承担。招标人受理异议后，投标人须及时向招标人提交书面异议。项目如收到异议、投诉等情形，可以根据需要从交易中心处调取纸质档案。</w:t>
      </w:r>
    </w:p>
    <w:p w14:paraId="3613602E">
      <w:pPr>
        <w:keepNext w:val="0"/>
        <w:keepLines w:val="0"/>
        <w:pageBreakBefore w:val="0"/>
        <w:kinsoku/>
        <w:wordWrap w:val="0"/>
        <w:overflowPunct/>
        <w:topLinePunct w:val="0"/>
        <w:autoSpaceDE/>
        <w:autoSpaceDN/>
        <w:bidi w:val="0"/>
        <w:adjustRightInd w:val="0"/>
        <w:snapToGrid w:val="0"/>
        <w:spacing w:line="336" w:lineRule="auto"/>
        <w:ind w:firstLine="482"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16.4</w:t>
      </w:r>
      <w:r>
        <w:rPr>
          <w:rFonts w:hint="eastAsia" w:ascii="宋体" w:hAnsi="宋体" w:eastAsia="宋体" w:cs="宋体"/>
          <w:snapToGrid w:val="0"/>
          <w:color w:val="auto"/>
          <w:kern w:val="0"/>
          <w:highlight w:val="none"/>
        </w:rPr>
        <w:t xml:space="preserve"> 中标候选人公示期满无异议（投诉）后，招标人确定第一中标候选人为中标人，并在中标人确定之日起7日内向中标人发出中标通知书。在中标通知书发出后5个工作日内，韶关市公共资源交易中心将投标保证金（或银行保函）退还给中标候选人以外的投标人。</w:t>
      </w:r>
    </w:p>
    <w:p w14:paraId="619B9F5F">
      <w:pPr>
        <w:wordWrap w:val="0"/>
        <w:adjustRightInd w:val="0"/>
        <w:snapToGrid w:val="0"/>
        <w:spacing w:line="360" w:lineRule="auto"/>
        <w:ind w:firstLine="480" w:firstLineChars="200"/>
        <w:rPr>
          <w:rFonts w:hint="eastAsia" w:ascii="宋体" w:hAnsi="宋体" w:eastAsia="宋体" w:cs="宋体"/>
          <w:snapToGrid w:val="0"/>
          <w:color w:val="auto"/>
          <w:kern w:val="0"/>
          <w:highlight w:val="none"/>
        </w:rPr>
        <w:sectPr>
          <w:endnotePr>
            <w:numFmt w:val="decimal"/>
          </w:endnotePr>
          <w:pgSz w:w="11906" w:h="16838"/>
          <w:pgMar w:top="1134" w:right="1134" w:bottom="1134" w:left="1134" w:header="567" w:footer="567" w:gutter="0"/>
          <w:pgBorders>
            <w:top w:val="none" w:sz="0" w:space="0"/>
            <w:left w:val="none" w:sz="0" w:space="0"/>
            <w:bottom w:val="none" w:sz="0" w:space="0"/>
            <w:right w:val="none" w:sz="0" w:space="0"/>
          </w:pgBorders>
          <w:cols w:space="720" w:num="1"/>
          <w:docGrid w:linePitch="327" w:charSpace="0"/>
        </w:sectPr>
      </w:pPr>
    </w:p>
    <w:p w14:paraId="0696D3F1">
      <w:pPr>
        <w:wordWrap w:val="0"/>
        <w:adjustRightInd w:val="0"/>
        <w:snapToGrid w:val="0"/>
        <w:spacing w:line="360" w:lineRule="auto"/>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第四节 否决投标条件</w:t>
      </w:r>
    </w:p>
    <w:p w14:paraId="3944C432">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本节所集中列示的否决投标条件，是本章第三节“投标人须知正文”的组成部分，是对本章第三节所规定的否决投标条件的总结和补充。</w:t>
      </w:r>
      <w:r>
        <w:rPr>
          <w:rFonts w:hint="eastAsia" w:ascii="宋体" w:hAnsi="宋体" w:eastAsia="宋体" w:cs="宋体"/>
          <w:b/>
          <w:bCs/>
          <w:snapToGrid w:val="0"/>
          <w:color w:val="auto"/>
          <w:kern w:val="0"/>
          <w:highlight w:val="none"/>
        </w:rPr>
        <w:t>投标人未有列入本节情形的，评标时一律不得否决其投标。</w:t>
      </w:r>
      <w:r>
        <w:rPr>
          <w:rFonts w:hint="eastAsia" w:ascii="宋体" w:hAnsi="宋体" w:eastAsia="宋体" w:cs="宋体"/>
          <w:snapToGrid w:val="0"/>
          <w:color w:val="auto"/>
          <w:kern w:val="0"/>
          <w:highlight w:val="none"/>
        </w:rPr>
        <w:t>本节所称“规定”均指招标文件的规定。</w:t>
      </w:r>
    </w:p>
    <w:p w14:paraId="75F752CE">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1"/>
        <w:rPr>
          <w:rStyle w:val="154"/>
          <w:rFonts w:hint="eastAsia" w:ascii="宋体" w:hAnsi="宋体" w:eastAsia="宋体" w:cs="宋体"/>
          <w:color w:val="auto"/>
          <w:lang w:val="en-US" w:eastAsia="zh-CN"/>
        </w:rPr>
      </w:pPr>
      <w:bookmarkStart w:id="138" w:name="_Toc18979"/>
      <w:bookmarkStart w:id="139" w:name="_Toc867"/>
      <w:bookmarkStart w:id="140" w:name="_Toc28628"/>
      <w:bookmarkStart w:id="141" w:name="_Toc18351"/>
      <w:bookmarkStart w:id="142" w:name="_Toc25780"/>
      <w:r>
        <w:rPr>
          <w:rStyle w:val="154"/>
          <w:rFonts w:hint="eastAsia" w:ascii="宋体" w:hAnsi="宋体" w:eastAsia="宋体" w:cs="宋体"/>
          <w:color w:val="auto"/>
          <w:lang w:val="en-US" w:eastAsia="zh-CN"/>
        </w:rPr>
        <w:t>1．资格评审环节</w:t>
      </w:r>
      <w:bookmarkEnd w:id="138"/>
      <w:bookmarkEnd w:id="139"/>
      <w:bookmarkEnd w:id="140"/>
      <w:bookmarkEnd w:id="141"/>
      <w:bookmarkEnd w:id="142"/>
    </w:p>
    <w:p w14:paraId="6AA929FD">
      <w:pPr>
        <w:keepNext w:val="0"/>
        <w:keepLines w:val="0"/>
        <w:pageBreakBefore w:val="0"/>
        <w:kinsoku/>
        <w:wordWrap w:val="0"/>
        <w:overflowPunct/>
        <w:topLinePunct w:val="0"/>
        <w:autoSpaceDE/>
        <w:autoSpaceDN/>
        <w:bidi w:val="0"/>
        <w:adjustRightInd w:val="0"/>
        <w:snapToGrid w:val="0"/>
        <w:spacing w:line="360" w:lineRule="auto"/>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投标人有下列情形之一的，评标委员会应否决其投标。被否决的投标人，不进入形式评审环节。</w:t>
      </w:r>
    </w:p>
    <w:p w14:paraId="1D96B39B">
      <w:pPr>
        <w:keepNext w:val="0"/>
        <w:keepLines w:val="0"/>
        <w:pageBreakBefore w:val="0"/>
        <w:kinsoku/>
        <w:wordWrap w:val="0"/>
        <w:overflowPunct/>
        <w:topLinePunct w:val="0"/>
        <w:autoSpaceDE/>
        <w:autoSpaceDN/>
        <w:bidi w:val="0"/>
        <w:adjustRightInd w:val="0"/>
        <w:snapToGrid w:val="0"/>
        <w:spacing w:line="360" w:lineRule="auto"/>
        <w:ind w:firstLine="480" w:firstLineChars="200"/>
        <w:rPr>
          <w:rFonts w:hint="eastAsia" w:ascii="宋体" w:hAnsi="宋体" w:eastAsia="宋体" w:cs="宋体"/>
          <w:b/>
          <w:bCs/>
          <w:snapToGrid w:val="0"/>
          <w:color w:val="auto"/>
          <w:kern w:val="0"/>
          <w:highlight w:val="none"/>
        </w:rPr>
      </w:pPr>
      <w:r>
        <w:rPr>
          <w:rFonts w:hint="eastAsia" w:ascii="宋体" w:hAnsi="宋体" w:eastAsia="宋体" w:cs="宋体"/>
          <w:snapToGrid w:val="0"/>
          <w:color w:val="auto"/>
          <w:kern w:val="0"/>
          <w:highlight w:val="none"/>
        </w:rPr>
        <w:t>（1）有本章第三节第</w:t>
      </w:r>
      <w:r>
        <w:rPr>
          <w:rFonts w:hint="eastAsia" w:ascii="宋体" w:hAnsi="宋体" w:eastAsia="宋体" w:cs="宋体"/>
          <w:b/>
          <w:bCs/>
          <w:snapToGrid w:val="0"/>
          <w:color w:val="auto"/>
          <w:kern w:val="0"/>
          <w:highlight w:val="none"/>
        </w:rPr>
        <w:t>2.4</w:t>
      </w:r>
      <w:r>
        <w:rPr>
          <w:rFonts w:hint="eastAsia" w:ascii="宋体" w:hAnsi="宋体" w:eastAsia="宋体" w:cs="宋体"/>
          <w:snapToGrid w:val="0"/>
          <w:color w:val="auto"/>
          <w:kern w:val="0"/>
          <w:highlight w:val="none"/>
        </w:rPr>
        <w:t>条“禁止投标条款”规定的任何一种情形；</w:t>
      </w:r>
    </w:p>
    <w:p w14:paraId="5C423DBA">
      <w:pPr>
        <w:keepNext w:val="0"/>
        <w:keepLines w:val="0"/>
        <w:pageBreakBefore w:val="0"/>
        <w:kinsoku/>
        <w:wordWrap w:val="0"/>
        <w:overflowPunct/>
        <w:topLinePunct w:val="0"/>
        <w:autoSpaceDE/>
        <w:autoSpaceDN/>
        <w:bidi w:val="0"/>
        <w:adjustRightInd w:val="0"/>
        <w:snapToGrid w:val="0"/>
        <w:spacing w:line="360" w:lineRule="auto"/>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（2）投标人资质不符合</w:t>
      </w:r>
      <w:r>
        <w:rPr>
          <w:rFonts w:hint="eastAsia" w:ascii="宋体" w:hAnsi="宋体" w:eastAsia="宋体" w:cs="宋体"/>
          <w:snapToGrid w:val="0"/>
          <w:color w:val="auto"/>
          <w:kern w:val="0"/>
          <w:szCs w:val="18"/>
          <w:highlight w:val="none"/>
        </w:rPr>
        <w:t>规定的；</w:t>
      </w:r>
    </w:p>
    <w:p w14:paraId="4475671D">
      <w:pPr>
        <w:keepNext w:val="0"/>
        <w:keepLines w:val="0"/>
        <w:pageBreakBefore w:val="0"/>
        <w:kinsoku/>
        <w:wordWrap w:val="0"/>
        <w:overflowPunct/>
        <w:topLinePunct w:val="0"/>
        <w:autoSpaceDE/>
        <w:autoSpaceDN/>
        <w:bidi w:val="0"/>
        <w:adjustRightInd w:val="0"/>
        <w:snapToGrid w:val="0"/>
        <w:spacing w:line="360" w:lineRule="auto"/>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3）投标人名称与营业执照、资质证书、安全生产许可证上的企业名称相互不一致的；其资质证书、安全生产许可证不是由住房城乡建设主管部门颁发的；营业执照、资质证书、安全生产许可证被吊销、暂扣或不在有效期内的；</w:t>
      </w:r>
    </w:p>
    <w:p w14:paraId="0C80F85A">
      <w:pPr>
        <w:keepNext w:val="0"/>
        <w:keepLines w:val="0"/>
        <w:pageBreakBefore w:val="0"/>
        <w:kinsoku/>
        <w:wordWrap w:val="0"/>
        <w:overflowPunct/>
        <w:topLinePunct w:val="0"/>
        <w:autoSpaceDE/>
        <w:autoSpaceDN/>
        <w:bidi w:val="0"/>
        <w:adjustRightInd w:val="0"/>
        <w:snapToGrid w:val="0"/>
        <w:spacing w:line="360" w:lineRule="auto"/>
        <w:ind w:firstLine="482" w:firstLineChars="200"/>
        <w:rPr>
          <w:rFonts w:hint="eastAsia" w:ascii="宋体" w:hAnsi="宋体" w:eastAsia="宋体" w:cs="宋体"/>
          <w:b/>
          <w:bCs/>
          <w:snapToGrid w:val="0"/>
          <w:color w:val="auto"/>
          <w:kern w:val="0"/>
          <w:highlight w:val="none"/>
        </w:rPr>
      </w:pPr>
      <w:r>
        <w:rPr>
          <w:rFonts w:hint="eastAsia" w:ascii="宋体" w:hAnsi="宋体" w:eastAsia="宋体" w:cs="宋体"/>
          <w:b/>
          <w:bCs/>
          <w:snapToGrid w:val="0"/>
          <w:color w:val="auto"/>
          <w:kern w:val="0"/>
          <w:highlight w:val="none"/>
        </w:rPr>
        <w:t>注：投标人已经工商变更，但其企业资质证书、安全生产许可证的企业名称未完成变更的，不得否决其投标；投标人营业执照、资质证书、安全生产许可证之间登记的信息不一致，应当允许投标人澄清，不得直接否决其投标。</w:t>
      </w:r>
    </w:p>
    <w:p w14:paraId="22C60527">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highlight w:val="none"/>
          <w:lang w:val="en-US" w:eastAsia="zh-CN"/>
        </w:rPr>
      </w:pPr>
      <w:r>
        <w:rPr>
          <w:rFonts w:hint="eastAsia" w:ascii="宋体" w:hAnsi="宋体" w:eastAsia="宋体" w:cs="宋体"/>
          <w:snapToGrid w:val="0"/>
          <w:color w:val="auto"/>
          <w:kern w:val="0"/>
          <w:highlight w:val="none"/>
        </w:rPr>
        <w:t xml:space="preserve">根据有关文件精神，投标人的企业相关证书到期的，均按该证书的发证机构相关行业主管部门最新文件执行（如自动顺延或推迟办理延期业务的通知），投标人必须将相关文件附在该证书后面中，证明在开标日继续有效。    </w:t>
      </w:r>
      <w:r>
        <w:rPr>
          <w:rFonts w:hint="eastAsia" w:ascii="宋体" w:hAnsi="宋体" w:eastAsia="宋体" w:cs="宋体"/>
          <w:snapToGrid w:val="0"/>
          <w:color w:val="auto"/>
          <w:kern w:val="0"/>
          <w:highlight w:val="none"/>
          <w:lang w:val="en-US" w:eastAsia="zh-CN"/>
        </w:rPr>
        <w:t xml:space="preserve">  </w:t>
      </w:r>
    </w:p>
    <w:p w14:paraId="689D626E">
      <w:pPr>
        <w:keepNext w:val="0"/>
        <w:keepLines w:val="0"/>
        <w:pageBreakBefore w:val="0"/>
        <w:kinsoku/>
        <w:wordWrap w:val="0"/>
        <w:overflowPunct/>
        <w:topLinePunct w:val="0"/>
        <w:autoSpaceDE/>
        <w:autoSpaceDN/>
        <w:bidi w:val="0"/>
        <w:adjustRightInd w:val="0"/>
        <w:snapToGrid w:val="0"/>
        <w:spacing w:line="360" w:lineRule="auto"/>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（4）拟派项目经理、项目技术负责人、专职安全员的条件不符合规定的；拟派专职安全员数量不符合规定的；</w:t>
      </w:r>
    </w:p>
    <w:p w14:paraId="275EBA9B">
      <w:pPr>
        <w:keepNext w:val="0"/>
        <w:keepLines w:val="0"/>
        <w:pageBreakBefore w:val="0"/>
        <w:kinsoku/>
        <w:wordWrap w:val="0"/>
        <w:overflowPunct/>
        <w:topLinePunct w:val="0"/>
        <w:autoSpaceDE/>
        <w:autoSpaceDN/>
        <w:bidi w:val="0"/>
        <w:adjustRightInd w:val="0"/>
        <w:snapToGrid w:val="0"/>
        <w:spacing w:line="360" w:lineRule="auto"/>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（5）《项目经理简历表》中拟派项目经理与《开标一览表》不一致的；</w:t>
      </w:r>
      <w:r>
        <w:rPr>
          <w:rFonts w:hint="eastAsia" w:ascii="宋体" w:hAnsi="宋体" w:eastAsia="宋体" w:cs="宋体"/>
          <w:snapToGrid w:val="0"/>
          <w:color w:val="auto"/>
          <w:kern w:val="0"/>
          <w:highlight w:val="none"/>
          <w:lang w:val="en-US" w:eastAsia="zh-CN"/>
        </w:rPr>
        <w:t>建造师的注册证书不是住建部门颁发的</w:t>
      </w:r>
      <w:r>
        <w:rPr>
          <w:rFonts w:hint="eastAsia" w:ascii="宋体" w:hAnsi="宋体" w:eastAsia="宋体" w:cs="宋体"/>
          <w:snapToGrid w:val="0"/>
          <w:color w:val="auto"/>
          <w:kern w:val="0"/>
          <w:highlight w:val="none"/>
        </w:rPr>
        <w:t>；建造师的注册单位与投标人不一致的；项目管理班子组成人员的各类证书、证件、证明不在有效期内的（建造师注册证书不在使用有效期内的）；擅自修改、遗漏《项目经理任职声明》实质性内容的；</w:t>
      </w:r>
    </w:p>
    <w:p w14:paraId="6EC677A1">
      <w:pPr>
        <w:keepNext w:val="0"/>
        <w:keepLines w:val="0"/>
        <w:pageBreakBefore w:val="0"/>
        <w:kinsoku/>
        <w:wordWrap w:val="0"/>
        <w:overflowPunct/>
        <w:topLinePunct w:val="0"/>
        <w:autoSpaceDE/>
        <w:autoSpaceDN/>
        <w:bidi w:val="0"/>
        <w:adjustRightInd w:val="0"/>
        <w:snapToGrid w:val="0"/>
        <w:spacing w:line="360" w:lineRule="auto"/>
        <w:ind w:firstLine="482" w:firstLineChars="200"/>
        <w:rPr>
          <w:rFonts w:hint="eastAsia" w:ascii="宋体" w:hAnsi="宋体" w:eastAsia="宋体" w:cs="宋体"/>
          <w:b/>
          <w:bCs/>
          <w:snapToGrid w:val="0"/>
          <w:color w:val="auto"/>
          <w:kern w:val="0"/>
          <w:highlight w:val="none"/>
        </w:rPr>
      </w:pPr>
      <w:r>
        <w:rPr>
          <w:rFonts w:hint="eastAsia" w:ascii="宋体" w:hAnsi="宋体" w:eastAsia="宋体" w:cs="宋体"/>
          <w:b/>
          <w:bCs/>
          <w:snapToGrid w:val="0"/>
          <w:color w:val="auto"/>
          <w:kern w:val="0"/>
          <w:highlight w:val="none"/>
        </w:rPr>
        <w:t>注：投标人已经工商变更，但其员工执业资格注册证书的注册单位名称未完成变更的，不得否决其投标。</w:t>
      </w:r>
    </w:p>
    <w:p w14:paraId="00769B10">
      <w:pPr>
        <w:keepNext w:val="0"/>
        <w:keepLines w:val="0"/>
        <w:pageBreakBefore w:val="0"/>
        <w:widowControl w:val="0"/>
        <w:kinsoku/>
        <w:wordWrap w:val="0"/>
        <w:overflowPunct/>
        <w:topLinePunct w:val="0"/>
        <w:autoSpaceDE/>
        <w:autoSpaceDN/>
        <w:bidi w:val="0"/>
        <w:adjustRightInd w:val="0"/>
        <w:snapToGrid w:val="0"/>
        <w:spacing w:line="336" w:lineRule="auto"/>
        <w:ind w:firstLine="482" w:firstLineChars="200"/>
        <w:textAlignment w:val="auto"/>
        <w:rPr>
          <w:rFonts w:hint="eastAsia" w:ascii="宋体" w:hAnsi="宋体" w:eastAsia="宋体" w:cs="宋体"/>
          <w:color w:val="auto"/>
          <w:highlight w:val="none"/>
        </w:rPr>
      </w:pPr>
      <w:r>
        <w:rPr>
          <w:rFonts w:hint="eastAsia" w:ascii="宋体" w:hAnsi="宋体" w:eastAsia="宋体" w:cs="宋体"/>
          <w:b/>
          <w:bCs/>
          <w:snapToGrid w:val="0"/>
          <w:color w:val="auto"/>
          <w:kern w:val="0"/>
          <w:sz w:val="24"/>
          <w:szCs w:val="24"/>
          <w:highlight w:val="none"/>
        </w:rPr>
        <w:t>鉴于目前继续教育开展的实际情况，建筑和市政工程施工现场专业人员（</w:t>
      </w:r>
      <w:r>
        <w:rPr>
          <w:rFonts w:hint="eastAsia" w:ascii="宋体" w:hAnsi="宋体" w:eastAsia="宋体" w:cs="宋体"/>
          <w:b/>
          <w:bCs/>
          <w:snapToGrid w:val="0"/>
          <w:color w:val="auto"/>
          <w:kern w:val="0"/>
          <w:sz w:val="24"/>
          <w:szCs w:val="24"/>
          <w:highlight w:val="none"/>
          <w:lang w:val="en-US" w:eastAsia="zh-CN"/>
        </w:rPr>
        <w:t>例如</w:t>
      </w:r>
      <w:r>
        <w:rPr>
          <w:rFonts w:hint="eastAsia" w:ascii="宋体" w:hAnsi="宋体" w:eastAsia="宋体" w:cs="宋体"/>
          <w:b/>
          <w:bCs/>
          <w:snapToGrid w:val="0"/>
          <w:color w:val="auto"/>
          <w:kern w:val="0"/>
          <w:sz w:val="24"/>
          <w:szCs w:val="24"/>
          <w:highlight w:val="none"/>
        </w:rPr>
        <w:t>：施工员、质量员、材料员、资料员）的岗位证书或培训证书不审查其证书的有效期。</w:t>
      </w:r>
    </w:p>
    <w:p w14:paraId="500CA949">
      <w:pPr>
        <w:keepNext w:val="0"/>
        <w:keepLines w:val="0"/>
        <w:pageBreakBefore w:val="0"/>
        <w:kinsoku/>
        <w:wordWrap w:val="0"/>
        <w:overflowPunct/>
        <w:topLinePunct w:val="0"/>
        <w:autoSpaceDE/>
        <w:autoSpaceDN/>
        <w:bidi w:val="0"/>
        <w:adjustRightInd w:val="0"/>
        <w:snapToGrid w:val="0"/>
        <w:spacing w:line="360" w:lineRule="auto"/>
        <w:ind w:firstLine="480" w:firstLineChars="200"/>
        <w:rPr>
          <w:rFonts w:hint="eastAsia" w:ascii="宋体" w:hAnsi="宋体" w:eastAsia="宋体" w:cs="宋体"/>
          <w:snapToGrid w:val="0"/>
          <w:color w:val="auto"/>
          <w:kern w:val="0"/>
          <w:szCs w:val="18"/>
          <w:highlight w:val="none"/>
        </w:rPr>
      </w:pPr>
      <w:r>
        <w:rPr>
          <w:rFonts w:hint="eastAsia" w:ascii="宋体" w:hAnsi="宋体" w:eastAsia="宋体" w:cs="宋体"/>
          <w:snapToGrid w:val="0"/>
          <w:color w:val="auto"/>
          <w:kern w:val="0"/>
          <w:highlight w:val="none"/>
        </w:rPr>
        <w:t>（6）招标文件规定不接受联合体投标，但以联合体投标的；</w:t>
      </w:r>
    </w:p>
    <w:p w14:paraId="1F0DC44E">
      <w:pPr>
        <w:keepNext w:val="0"/>
        <w:keepLines w:val="0"/>
        <w:pageBreakBefore w:val="0"/>
        <w:kinsoku/>
        <w:wordWrap w:val="0"/>
        <w:overflowPunct/>
        <w:topLinePunct w:val="0"/>
        <w:autoSpaceDE/>
        <w:autoSpaceDN/>
        <w:bidi w:val="0"/>
        <w:adjustRightInd w:val="0"/>
        <w:snapToGrid w:val="0"/>
        <w:spacing w:line="360" w:lineRule="auto"/>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w:t>
      </w:r>
      <w:r>
        <w:rPr>
          <w:rFonts w:hint="eastAsia" w:ascii="宋体" w:hAnsi="宋体" w:eastAsia="宋体" w:cs="宋体"/>
          <w:snapToGrid w:val="0"/>
          <w:color w:val="auto"/>
          <w:kern w:val="0"/>
          <w:highlight w:val="none"/>
          <w:lang w:val="en-US" w:eastAsia="zh-CN"/>
        </w:rPr>
        <w:t>7</w:t>
      </w:r>
      <w:r>
        <w:rPr>
          <w:rFonts w:hint="eastAsia" w:ascii="宋体" w:hAnsi="宋体" w:eastAsia="宋体" w:cs="宋体"/>
          <w:snapToGrid w:val="0"/>
          <w:color w:val="auto"/>
          <w:kern w:val="0"/>
          <w:highlight w:val="none"/>
        </w:rPr>
        <w:t>）投标人为外省建筑企业，但未提供“进粤企业和人员诚信信息登记平台”企业和拟派人员信息情况打印页或网页截图的。</w:t>
      </w:r>
    </w:p>
    <w:p w14:paraId="4221425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1"/>
        <w:rPr>
          <w:rStyle w:val="154"/>
          <w:rFonts w:hint="eastAsia" w:ascii="宋体" w:hAnsi="宋体" w:eastAsia="宋体" w:cs="宋体"/>
          <w:color w:val="auto"/>
          <w:lang w:val="en-US" w:eastAsia="zh-CN"/>
        </w:rPr>
      </w:pPr>
      <w:bookmarkStart w:id="143" w:name="_Toc21442"/>
      <w:bookmarkStart w:id="144" w:name="_Toc30923"/>
      <w:bookmarkStart w:id="145" w:name="_Toc12980"/>
      <w:bookmarkStart w:id="146" w:name="_Toc3746"/>
      <w:bookmarkStart w:id="147" w:name="_Toc19719"/>
      <w:r>
        <w:rPr>
          <w:rStyle w:val="154"/>
          <w:rFonts w:hint="eastAsia" w:ascii="宋体" w:hAnsi="宋体" w:eastAsia="宋体" w:cs="宋体"/>
          <w:color w:val="auto"/>
          <w:lang w:val="en-US" w:eastAsia="zh-CN"/>
        </w:rPr>
        <w:t>2．形式评审环节</w:t>
      </w:r>
      <w:bookmarkEnd w:id="143"/>
      <w:bookmarkEnd w:id="144"/>
      <w:bookmarkEnd w:id="145"/>
      <w:bookmarkEnd w:id="146"/>
      <w:bookmarkEnd w:id="147"/>
    </w:p>
    <w:p w14:paraId="7BA92EF0">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投标人有下列情形之一的，评标委员会应否决其投标。被否决的投标人，不进入响应性评审环节。</w:t>
      </w:r>
    </w:p>
    <w:p w14:paraId="1CA79946">
      <w:pPr>
        <w:keepNext w:val="0"/>
        <w:keepLines w:val="0"/>
        <w:pageBreakBefore w:val="0"/>
        <w:kinsoku/>
        <w:wordWrap w:val="0"/>
        <w:overflowPunct/>
        <w:topLinePunct w:val="0"/>
        <w:autoSpaceDE/>
        <w:autoSpaceDN/>
        <w:bidi w:val="0"/>
        <w:adjustRightInd w:val="0"/>
        <w:snapToGrid w:val="0"/>
        <w:spacing w:line="360" w:lineRule="auto"/>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w:t>
      </w:r>
      <w:r>
        <w:rPr>
          <w:rFonts w:hint="eastAsia" w:ascii="宋体" w:hAnsi="宋体" w:eastAsia="宋体" w:cs="宋体"/>
          <w:snapToGrid w:val="0"/>
          <w:color w:val="auto"/>
          <w:kern w:val="0"/>
          <w:highlight w:val="none"/>
          <w:lang w:val="en-US" w:eastAsia="zh-CN"/>
        </w:rPr>
        <w:t>1</w:t>
      </w:r>
      <w:r>
        <w:rPr>
          <w:rFonts w:hint="eastAsia" w:ascii="宋体" w:hAnsi="宋体" w:eastAsia="宋体" w:cs="宋体"/>
          <w:snapToGrid w:val="0"/>
          <w:color w:val="auto"/>
          <w:kern w:val="0"/>
          <w:highlight w:val="none"/>
        </w:rPr>
        <w:t>）</w:t>
      </w:r>
      <w:r>
        <w:rPr>
          <w:rStyle w:val="149"/>
          <w:rFonts w:hint="eastAsia" w:ascii="宋体" w:hAnsi="宋体" w:eastAsia="宋体" w:cs="宋体"/>
          <w:color w:val="auto"/>
          <w:kern w:val="0"/>
          <w:highlight w:val="none"/>
        </w:rPr>
        <w:t>投标文件的分册组成是否符合招标文件规定。</w:t>
      </w:r>
    </w:p>
    <w:p w14:paraId="01812C57">
      <w:pPr>
        <w:keepNext w:val="0"/>
        <w:keepLines w:val="0"/>
        <w:pageBreakBefore w:val="0"/>
        <w:kinsoku/>
        <w:wordWrap w:val="0"/>
        <w:overflowPunct/>
        <w:topLinePunct w:val="0"/>
        <w:autoSpaceDE/>
        <w:autoSpaceDN/>
        <w:bidi w:val="0"/>
        <w:adjustRightInd w:val="0"/>
        <w:snapToGrid w:val="0"/>
        <w:spacing w:line="360" w:lineRule="auto"/>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w:t>
      </w:r>
      <w:r>
        <w:rPr>
          <w:rFonts w:hint="eastAsia" w:ascii="宋体" w:hAnsi="宋体" w:eastAsia="宋体" w:cs="宋体"/>
          <w:snapToGrid w:val="0"/>
          <w:color w:val="auto"/>
          <w:kern w:val="0"/>
          <w:highlight w:val="none"/>
          <w:lang w:val="en-US" w:eastAsia="zh-CN"/>
        </w:rPr>
        <w:t>2</w:t>
      </w:r>
      <w:r>
        <w:rPr>
          <w:rFonts w:hint="eastAsia" w:ascii="宋体" w:hAnsi="宋体" w:eastAsia="宋体" w:cs="宋体"/>
          <w:snapToGrid w:val="0"/>
          <w:color w:val="auto"/>
          <w:kern w:val="0"/>
          <w:highlight w:val="none"/>
        </w:rPr>
        <w:t>）本章第三节第</w:t>
      </w:r>
      <w:r>
        <w:rPr>
          <w:rFonts w:hint="eastAsia" w:ascii="宋体" w:hAnsi="宋体" w:eastAsia="宋体" w:cs="宋体"/>
          <w:b/>
          <w:bCs/>
          <w:snapToGrid w:val="0"/>
          <w:color w:val="auto"/>
          <w:kern w:val="0"/>
          <w:szCs w:val="18"/>
          <w:highlight w:val="none"/>
        </w:rPr>
        <w:t>10.2.2</w:t>
      </w:r>
      <w:r>
        <w:rPr>
          <w:rFonts w:hint="eastAsia" w:ascii="宋体" w:hAnsi="宋体" w:eastAsia="宋体" w:cs="宋体"/>
          <w:snapToGrid w:val="0"/>
          <w:color w:val="auto"/>
          <w:kern w:val="0"/>
          <w:szCs w:val="18"/>
          <w:highlight w:val="none"/>
        </w:rPr>
        <w:t>目、</w:t>
      </w:r>
      <w:r>
        <w:rPr>
          <w:rFonts w:hint="eastAsia" w:ascii="宋体" w:hAnsi="宋体" w:eastAsia="宋体" w:cs="宋体"/>
          <w:snapToGrid w:val="0"/>
          <w:color w:val="auto"/>
          <w:kern w:val="0"/>
          <w:highlight w:val="none"/>
        </w:rPr>
        <w:t>第</w:t>
      </w:r>
      <w:r>
        <w:rPr>
          <w:rFonts w:hint="eastAsia" w:ascii="宋体" w:hAnsi="宋体" w:eastAsia="宋体" w:cs="宋体"/>
          <w:b/>
          <w:bCs/>
          <w:snapToGrid w:val="0"/>
          <w:color w:val="auto"/>
          <w:kern w:val="0"/>
          <w:szCs w:val="18"/>
          <w:highlight w:val="none"/>
        </w:rPr>
        <w:t>10.3.2</w:t>
      </w:r>
      <w:r>
        <w:rPr>
          <w:rFonts w:hint="eastAsia" w:ascii="宋体" w:hAnsi="宋体" w:eastAsia="宋体" w:cs="宋体"/>
          <w:snapToGrid w:val="0"/>
          <w:color w:val="auto"/>
          <w:kern w:val="0"/>
          <w:szCs w:val="18"/>
          <w:highlight w:val="none"/>
        </w:rPr>
        <w:t>目、第</w:t>
      </w:r>
      <w:r>
        <w:rPr>
          <w:rFonts w:hint="eastAsia" w:ascii="宋体" w:hAnsi="宋体" w:eastAsia="宋体" w:cs="宋体"/>
          <w:b/>
          <w:bCs/>
          <w:snapToGrid w:val="0"/>
          <w:color w:val="auto"/>
          <w:kern w:val="0"/>
          <w:highlight w:val="none"/>
        </w:rPr>
        <w:t>10.4.3</w:t>
      </w:r>
      <w:r>
        <w:rPr>
          <w:rFonts w:hint="eastAsia" w:ascii="宋体" w:hAnsi="宋体" w:eastAsia="宋体" w:cs="宋体"/>
          <w:snapToGrid w:val="0"/>
          <w:color w:val="auto"/>
          <w:kern w:val="0"/>
          <w:highlight w:val="none"/>
        </w:rPr>
        <w:t>目中规定的“</w:t>
      </w:r>
      <w:r>
        <w:rPr>
          <w:rFonts w:hint="eastAsia" w:ascii="宋体" w:hAnsi="宋体" w:eastAsia="宋体" w:cs="宋体"/>
          <w:snapToGrid w:val="0"/>
          <w:color w:val="auto"/>
          <w:kern w:val="0"/>
          <w:szCs w:val="18"/>
          <w:highlight w:val="none"/>
        </w:rPr>
        <w:t>所有投标人均应提供</w:t>
      </w:r>
      <w:r>
        <w:rPr>
          <w:rFonts w:hint="eastAsia" w:ascii="宋体" w:hAnsi="宋体" w:eastAsia="宋体" w:cs="宋体"/>
          <w:snapToGrid w:val="0"/>
          <w:color w:val="auto"/>
          <w:kern w:val="0"/>
          <w:highlight w:val="none"/>
        </w:rPr>
        <w:t>”的组成内容（包括该组成内容的所附资料）中，任何一项有缺漏的；</w:t>
      </w:r>
    </w:p>
    <w:p w14:paraId="433748C5">
      <w:pPr>
        <w:keepNext w:val="0"/>
        <w:keepLines w:val="0"/>
        <w:pageBreakBefore w:val="0"/>
        <w:kinsoku/>
        <w:wordWrap w:val="0"/>
        <w:overflowPunct/>
        <w:topLinePunct w:val="0"/>
        <w:autoSpaceDE/>
        <w:autoSpaceDN/>
        <w:bidi w:val="0"/>
        <w:adjustRightInd w:val="0"/>
        <w:snapToGrid w:val="0"/>
        <w:spacing w:line="360" w:lineRule="auto"/>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w:t>
      </w:r>
      <w:r>
        <w:rPr>
          <w:rFonts w:hint="eastAsia" w:ascii="宋体" w:hAnsi="宋体" w:eastAsia="宋体" w:cs="宋体"/>
          <w:snapToGrid w:val="0"/>
          <w:color w:val="auto"/>
          <w:kern w:val="0"/>
          <w:highlight w:val="none"/>
          <w:lang w:val="en-US" w:eastAsia="zh-CN"/>
        </w:rPr>
        <w:t>3</w:t>
      </w:r>
      <w:r>
        <w:rPr>
          <w:rFonts w:hint="eastAsia" w:ascii="宋体" w:hAnsi="宋体" w:eastAsia="宋体" w:cs="宋体"/>
          <w:snapToGrid w:val="0"/>
          <w:color w:val="auto"/>
          <w:kern w:val="0"/>
          <w:highlight w:val="none"/>
        </w:rPr>
        <w:t>）关键字迹模糊、无法辨认，</w:t>
      </w:r>
      <w:r>
        <w:rPr>
          <w:rFonts w:hint="eastAsia" w:ascii="宋体" w:hAnsi="宋体" w:eastAsia="宋体" w:cs="宋体"/>
          <w:b/>
          <w:bCs/>
          <w:snapToGrid w:val="0"/>
          <w:color w:val="auto"/>
          <w:kern w:val="0"/>
          <w:highlight w:val="none"/>
        </w:rPr>
        <w:t>且该种过错将导致评标委员会无法判断投标文件是否响应招标文件实质性要求的</w:t>
      </w:r>
      <w:r>
        <w:rPr>
          <w:rFonts w:hint="eastAsia" w:ascii="宋体" w:hAnsi="宋体" w:eastAsia="宋体" w:cs="宋体"/>
          <w:snapToGrid w:val="0"/>
          <w:color w:val="auto"/>
          <w:kern w:val="0"/>
          <w:highlight w:val="none"/>
        </w:rPr>
        <w:t>；有涂改、行间插字或删除，但未加盖单位章或由投标人的法定代表人或其委托代理人签字确认的；</w:t>
      </w:r>
    </w:p>
    <w:p w14:paraId="0B80B721">
      <w:pPr>
        <w:keepNext w:val="0"/>
        <w:keepLines w:val="0"/>
        <w:pageBreakBefore w:val="0"/>
        <w:kinsoku/>
        <w:wordWrap w:val="0"/>
        <w:overflowPunct/>
        <w:topLinePunct w:val="0"/>
        <w:autoSpaceDE/>
        <w:autoSpaceDN/>
        <w:bidi w:val="0"/>
        <w:adjustRightInd w:val="0"/>
        <w:snapToGrid w:val="0"/>
        <w:spacing w:line="360" w:lineRule="auto"/>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w:t>
      </w:r>
      <w:r>
        <w:rPr>
          <w:rFonts w:hint="eastAsia" w:ascii="宋体" w:hAnsi="宋体" w:eastAsia="宋体" w:cs="宋体"/>
          <w:snapToGrid w:val="0"/>
          <w:color w:val="auto"/>
          <w:kern w:val="0"/>
          <w:highlight w:val="none"/>
          <w:lang w:val="en-US" w:eastAsia="zh-CN"/>
        </w:rPr>
        <w:t>4</w:t>
      </w:r>
      <w:r>
        <w:rPr>
          <w:rFonts w:hint="eastAsia" w:ascii="宋体" w:hAnsi="宋体" w:eastAsia="宋体" w:cs="宋体"/>
          <w:snapToGrid w:val="0"/>
          <w:color w:val="auto"/>
          <w:kern w:val="0"/>
          <w:highlight w:val="none"/>
        </w:rPr>
        <w:t>）投标文件未按规定签字、盖章的；</w:t>
      </w:r>
    </w:p>
    <w:p w14:paraId="3C3BB8B1">
      <w:pPr>
        <w:keepNext w:val="0"/>
        <w:keepLines w:val="0"/>
        <w:pageBreakBefore w:val="0"/>
        <w:kinsoku/>
        <w:wordWrap w:val="0"/>
        <w:overflowPunct/>
        <w:topLinePunct w:val="0"/>
        <w:autoSpaceDE/>
        <w:autoSpaceDN/>
        <w:bidi w:val="0"/>
        <w:adjustRightInd w:val="0"/>
        <w:snapToGrid w:val="0"/>
        <w:spacing w:line="360" w:lineRule="auto"/>
        <w:ind w:firstLine="480" w:firstLineChars="200"/>
        <w:rPr>
          <w:rFonts w:hint="eastAsia" w:ascii="宋体" w:hAnsi="宋体" w:eastAsia="宋体" w:cs="宋体"/>
          <w:snapToGrid w:val="0"/>
          <w:color w:val="auto"/>
          <w:kern w:val="0"/>
          <w:highlight w:val="none"/>
        </w:rPr>
      </w:pPr>
    </w:p>
    <w:p w14:paraId="48139FF4">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1"/>
        <w:rPr>
          <w:rStyle w:val="154"/>
          <w:rFonts w:hint="eastAsia" w:ascii="宋体" w:hAnsi="宋体" w:eastAsia="宋体" w:cs="宋体"/>
          <w:color w:val="auto"/>
          <w:lang w:val="en-US" w:eastAsia="zh-CN"/>
        </w:rPr>
      </w:pPr>
      <w:bookmarkStart w:id="148" w:name="_Toc23068"/>
      <w:bookmarkStart w:id="149" w:name="_Toc31483"/>
      <w:bookmarkStart w:id="150" w:name="_Toc8201"/>
      <w:bookmarkStart w:id="151" w:name="_Toc27344"/>
      <w:bookmarkStart w:id="152" w:name="_Toc13299"/>
      <w:r>
        <w:rPr>
          <w:rStyle w:val="154"/>
          <w:rFonts w:hint="eastAsia" w:ascii="宋体" w:hAnsi="宋体" w:eastAsia="宋体" w:cs="宋体"/>
          <w:color w:val="auto"/>
          <w:lang w:val="en-US" w:eastAsia="zh-CN"/>
        </w:rPr>
        <w:t>3．响应性评审环节</w:t>
      </w:r>
      <w:bookmarkEnd w:id="148"/>
      <w:bookmarkEnd w:id="149"/>
      <w:bookmarkEnd w:id="150"/>
      <w:bookmarkEnd w:id="151"/>
      <w:bookmarkEnd w:id="152"/>
    </w:p>
    <w:p w14:paraId="1EEBA7D7">
      <w:pPr>
        <w:keepNext w:val="0"/>
        <w:keepLines w:val="0"/>
        <w:pageBreakBefore w:val="0"/>
        <w:kinsoku/>
        <w:wordWrap w:val="0"/>
        <w:overflowPunct/>
        <w:topLinePunct w:val="0"/>
        <w:autoSpaceDE/>
        <w:autoSpaceDN/>
        <w:bidi w:val="0"/>
        <w:adjustRightInd w:val="0"/>
        <w:snapToGrid w:val="0"/>
        <w:spacing w:line="360" w:lineRule="auto"/>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投标人有下列情形之一的，评标委员会应否决其投标。被否决的投标人，不进入详细评审阶段。</w:t>
      </w:r>
    </w:p>
    <w:p w14:paraId="5E3F8E3D">
      <w:pPr>
        <w:keepNext w:val="0"/>
        <w:keepLines w:val="0"/>
        <w:pageBreakBefore w:val="0"/>
        <w:kinsoku/>
        <w:wordWrap w:val="0"/>
        <w:overflowPunct/>
        <w:topLinePunct w:val="0"/>
        <w:autoSpaceDE/>
        <w:autoSpaceDN/>
        <w:bidi w:val="0"/>
        <w:adjustRightInd w:val="0"/>
        <w:snapToGrid w:val="0"/>
        <w:spacing w:line="360" w:lineRule="auto"/>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w:t>
      </w:r>
      <w:r>
        <w:rPr>
          <w:rFonts w:hint="eastAsia" w:ascii="宋体" w:hAnsi="宋体" w:eastAsia="宋体" w:cs="宋体"/>
          <w:snapToGrid w:val="0"/>
          <w:color w:val="auto"/>
          <w:kern w:val="0"/>
          <w:highlight w:val="none"/>
          <w:lang w:val="en-US" w:eastAsia="zh-CN"/>
        </w:rPr>
        <w:t>1</w:t>
      </w:r>
      <w:r>
        <w:rPr>
          <w:rFonts w:hint="eastAsia" w:ascii="宋体" w:hAnsi="宋体" w:eastAsia="宋体" w:cs="宋体"/>
          <w:snapToGrid w:val="0"/>
          <w:color w:val="auto"/>
          <w:kern w:val="0"/>
          <w:highlight w:val="none"/>
        </w:rPr>
        <w:t>）承诺的投标有效期短于规定的；质量标准低于规定的；工期超出规定的；擅自修改、遗漏《投标函》《各项承诺一览表》实质性内容的；</w:t>
      </w:r>
    </w:p>
    <w:p w14:paraId="38FC6911">
      <w:pPr>
        <w:keepNext w:val="0"/>
        <w:keepLines w:val="0"/>
        <w:pageBreakBefore w:val="0"/>
        <w:kinsoku/>
        <w:wordWrap w:val="0"/>
        <w:overflowPunct/>
        <w:topLinePunct w:val="0"/>
        <w:autoSpaceDE/>
        <w:autoSpaceDN/>
        <w:bidi w:val="0"/>
        <w:adjustRightInd w:val="0"/>
        <w:snapToGrid w:val="0"/>
        <w:spacing w:line="360" w:lineRule="auto"/>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w:t>
      </w:r>
      <w:r>
        <w:rPr>
          <w:rFonts w:hint="eastAsia" w:ascii="宋体" w:hAnsi="宋体" w:eastAsia="宋体" w:cs="宋体"/>
          <w:snapToGrid w:val="0"/>
          <w:color w:val="auto"/>
          <w:kern w:val="0"/>
          <w:highlight w:val="none"/>
          <w:lang w:val="en-US" w:eastAsia="zh-CN"/>
        </w:rPr>
        <w:t>2</w:t>
      </w:r>
      <w:r>
        <w:rPr>
          <w:rFonts w:hint="eastAsia" w:ascii="宋体" w:hAnsi="宋体" w:eastAsia="宋体" w:cs="宋体"/>
          <w:snapToGrid w:val="0"/>
          <w:color w:val="auto"/>
          <w:kern w:val="0"/>
          <w:highlight w:val="none"/>
        </w:rPr>
        <w:t>）编制《投标总价》的</w:t>
      </w:r>
      <w:r>
        <w:rPr>
          <w:rFonts w:hint="eastAsia" w:ascii="宋体" w:hAnsi="宋体" w:eastAsia="宋体" w:cs="宋体"/>
          <w:snapToGrid w:val="0"/>
          <w:color w:val="auto"/>
          <w:kern w:val="0"/>
          <w:szCs w:val="18"/>
          <w:highlight w:val="none"/>
        </w:rPr>
        <w:t>造价工程师，其注册证书不是住建部门颁发的；其注册单位与投标人（或造价咨询人）不一致的；其注册证书</w:t>
      </w:r>
      <w:r>
        <w:rPr>
          <w:rFonts w:hint="eastAsia" w:ascii="宋体" w:hAnsi="宋体" w:eastAsia="宋体" w:cs="宋体"/>
          <w:snapToGrid w:val="0"/>
          <w:color w:val="auto"/>
          <w:kern w:val="0"/>
          <w:highlight w:val="none"/>
        </w:rPr>
        <w:t>不在有效期内的。</w:t>
      </w:r>
    </w:p>
    <w:p w14:paraId="789271B2">
      <w:pPr>
        <w:keepNext w:val="0"/>
        <w:keepLines w:val="0"/>
        <w:pageBreakBefore w:val="0"/>
        <w:kinsoku/>
        <w:wordWrap w:val="0"/>
        <w:overflowPunct/>
        <w:topLinePunct w:val="0"/>
        <w:autoSpaceDE/>
        <w:autoSpaceDN/>
        <w:bidi w:val="0"/>
        <w:adjustRightInd w:val="0"/>
        <w:snapToGrid w:val="0"/>
        <w:spacing w:line="360" w:lineRule="auto"/>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注：投标人（或造价咨询人）已经工商变更，但其员工的执业资格注册证书的注册单位名称未完成变更的，不得否决其投标。</w:t>
      </w:r>
    </w:p>
    <w:p w14:paraId="4DDF576F">
      <w:pPr>
        <w:keepNext w:val="0"/>
        <w:keepLines w:val="0"/>
        <w:pageBreakBefore w:val="0"/>
        <w:kinsoku/>
        <w:wordWrap w:val="0"/>
        <w:overflowPunct/>
        <w:topLinePunct w:val="0"/>
        <w:autoSpaceDE/>
        <w:autoSpaceDN/>
        <w:bidi w:val="0"/>
        <w:adjustRightInd w:val="0"/>
        <w:snapToGrid w:val="0"/>
        <w:spacing w:line="360" w:lineRule="auto"/>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w:t>
      </w:r>
      <w:r>
        <w:rPr>
          <w:rFonts w:hint="eastAsia" w:ascii="宋体" w:hAnsi="宋体" w:eastAsia="宋体" w:cs="宋体"/>
          <w:snapToGrid w:val="0"/>
          <w:color w:val="auto"/>
          <w:kern w:val="0"/>
          <w:highlight w:val="none"/>
          <w:lang w:val="en-US" w:eastAsia="zh-CN"/>
        </w:rPr>
        <w:t>3</w:t>
      </w:r>
      <w:r>
        <w:rPr>
          <w:rFonts w:hint="eastAsia" w:ascii="宋体" w:hAnsi="宋体" w:eastAsia="宋体" w:cs="宋体"/>
          <w:snapToGrid w:val="0"/>
          <w:color w:val="auto"/>
          <w:kern w:val="0"/>
          <w:highlight w:val="none"/>
        </w:rPr>
        <w:t>）投标人委托造价咨询单位编制《投标总价》，但未在《投标总价》封面（即封—3）加盖造价咨询人公章的；未提供造价咨询人的营业执照</w:t>
      </w:r>
      <w:r>
        <w:rPr>
          <w:rFonts w:hint="eastAsia" w:ascii="宋体" w:hAnsi="宋体" w:eastAsia="宋体" w:cs="宋体"/>
          <w:snapToGrid w:val="0"/>
          <w:color w:val="auto"/>
          <w:kern w:val="0"/>
          <w:highlight w:val="none"/>
          <w:lang w:eastAsia="zh-CN"/>
        </w:rPr>
        <w:t>彩色扫描件</w:t>
      </w:r>
      <w:r>
        <w:rPr>
          <w:rFonts w:hint="eastAsia" w:ascii="宋体" w:hAnsi="宋体" w:eastAsia="宋体" w:cs="宋体"/>
          <w:snapToGrid w:val="0"/>
          <w:color w:val="auto"/>
          <w:kern w:val="0"/>
          <w:highlight w:val="none"/>
        </w:rPr>
        <w:t>的；</w:t>
      </w:r>
    </w:p>
    <w:p w14:paraId="10FDD5D9">
      <w:pPr>
        <w:keepNext w:val="0"/>
        <w:keepLines w:val="0"/>
        <w:pageBreakBefore w:val="0"/>
        <w:kinsoku/>
        <w:wordWrap w:val="0"/>
        <w:overflowPunct/>
        <w:topLinePunct w:val="0"/>
        <w:autoSpaceDE/>
        <w:autoSpaceDN/>
        <w:bidi w:val="0"/>
        <w:adjustRightInd w:val="0"/>
        <w:snapToGrid w:val="0"/>
        <w:spacing w:line="360" w:lineRule="auto"/>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w:t>
      </w:r>
      <w:r>
        <w:rPr>
          <w:rFonts w:hint="eastAsia" w:ascii="宋体" w:hAnsi="宋体" w:eastAsia="宋体" w:cs="宋体"/>
          <w:snapToGrid w:val="0"/>
          <w:color w:val="auto"/>
          <w:kern w:val="0"/>
          <w:highlight w:val="none"/>
          <w:lang w:val="en-US" w:eastAsia="zh-CN"/>
        </w:rPr>
        <w:t>4</w:t>
      </w:r>
      <w:r>
        <w:rPr>
          <w:rFonts w:hint="eastAsia" w:ascii="宋体" w:hAnsi="宋体" w:eastAsia="宋体" w:cs="宋体"/>
          <w:snapToGrid w:val="0"/>
          <w:color w:val="auto"/>
          <w:kern w:val="0"/>
          <w:highlight w:val="none"/>
        </w:rPr>
        <w:t>）出现两个或两个以上投标总价的（同一个投标总价大、小写不一致的除外）；投标总价超出</w:t>
      </w:r>
      <w:r>
        <w:rPr>
          <w:rFonts w:hint="eastAsia" w:ascii="宋体" w:hAnsi="宋体" w:eastAsia="宋体" w:cs="宋体"/>
          <w:snapToGrid w:val="0"/>
          <w:color w:val="auto"/>
          <w:kern w:val="0"/>
          <w:highlight w:val="none"/>
          <w:lang w:eastAsia="zh-CN"/>
        </w:rPr>
        <w:t>最高投标限价</w:t>
      </w:r>
      <w:r>
        <w:rPr>
          <w:rFonts w:hint="eastAsia" w:ascii="宋体" w:hAnsi="宋体" w:eastAsia="宋体" w:cs="宋体"/>
          <w:snapToGrid w:val="0"/>
          <w:color w:val="auto"/>
          <w:kern w:val="0"/>
          <w:highlight w:val="none"/>
        </w:rPr>
        <w:t>的；</w:t>
      </w:r>
      <w:r>
        <w:rPr>
          <w:rFonts w:hint="eastAsia" w:ascii="宋体" w:hAnsi="宋体" w:eastAsia="宋体" w:cs="宋体"/>
          <w:snapToGrid w:val="0"/>
          <w:color w:val="auto"/>
          <w:kern w:val="0"/>
          <w:highlight w:val="none"/>
          <w:lang w:eastAsia="zh-CN"/>
        </w:rPr>
        <w:t>安全生产措施费</w:t>
      </w:r>
      <w:r>
        <w:rPr>
          <w:rFonts w:hint="eastAsia" w:ascii="宋体" w:hAnsi="宋体" w:eastAsia="宋体" w:cs="宋体"/>
          <w:snapToGrid w:val="0"/>
          <w:color w:val="auto"/>
          <w:kern w:val="0"/>
          <w:highlight w:val="none"/>
        </w:rPr>
        <w:t>少于规定的；暂列金额、暂估价未按照招标工程量清单统一报价的；投标总价下浮率超过15%，又未提供相应书面说明和佐证材料或提供的书面说明和佐证材料不能令人信服，被评标委员会认定以低于成本报价竞标的；擅自修改、增减招标工程量清单项目（包括措施项目）的；</w:t>
      </w:r>
    </w:p>
    <w:p w14:paraId="08E170B2">
      <w:pPr>
        <w:keepNext w:val="0"/>
        <w:keepLines w:val="0"/>
        <w:pageBreakBefore w:val="0"/>
        <w:kinsoku/>
        <w:wordWrap w:val="0"/>
        <w:overflowPunct/>
        <w:topLinePunct w:val="0"/>
        <w:autoSpaceDE/>
        <w:autoSpaceDN/>
        <w:bidi w:val="0"/>
        <w:adjustRightInd w:val="0"/>
        <w:snapToGrid w:val="0"/>
        <w:spacing w:line="360" w:lineRule="auto"/>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w:t>
      </w:r>
      <w:r>
        <w:rPr>
          <w:rFonts w:hint="eastAsia" w:ascii="宋体" w:hAnsi="宋体" w:eastAsia="宋体" w:cs="宋体"/>
          <w:snapToGrid w:val="0"/>
          <w:color w:val="auto"/>
          <w:kern w:val="0"/>
          <w:highlight w:val="none"/>
          <w:lang w:val="en-US" w:eastAsia="zh-CN"/>
        </w:rPr>
        <w:t>5</w:t>
      </w:r>
      <w:r>
        <w:rPr>
          <w:rFonts w:hint="eastAsia" w:ascii="宋体" w:hAnsi="宋体" w:eastAsia="宋体" w:cs="宋体"/>
          <w:snapToGrid w:val="0"/>
          <w:color w:val="auto"/>
          <w:kern w:val="0"/>
          <w:highlight w:val="none"/>
        </w:rPr>
        <w:t>）在施工组织设计评审中，评标委员会认定质量、进度保障措施与国家和省市现行有关规范、规定、标准有重大偏差，</w:t>
      </w:r>
      <w:r>
        <w:rPr>
          <w:rFonts w:hint="eastAsia" w:ascii="宋体" w:hAnsi="宋体" w:eastAsia="宋体" w:cs="宋体"/>
          <w:b/>
          <w:bCs/>
          <w:snapToGrid w:val="0"/>
          <w:color w:val="auto"/>
          <w:kern w:val="0"/>
          <w:highlight w:val="none"/>
        </w:rPr>
        <w:t>且该种过错将导致工程质量、进度管理目标无法实现的</w:t>
      </w:r>
      <w:r>
        <w:rPr>
          <w:rFonts w:hint="eastAsia" w:ascii="宋体" w:hAnsi="宋体" w:eastAsia="宋体" w:cs="宋体"/>
          <w:snapToGrid w:val="0"/>
          <w:color w:val="auto"/>
          <w:kern w:val="0"/>
          <w:highlight w:val="none"/>
        </w:rPr>
        <w:t>。</w:t>
      </w:r>
    </w:p>
    <w:p w14:paraId="5AC70DCF">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highlight w:val="none"/>
        </w:rPr>
      </w:pPr>
    </w:p>
    <w:p w14:paraId="478E18C8">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1"/>
        <w:rPr>
          <w:rStyle w:val="154"/>
          <w:rFonts w:hint="eastAsia" w:ascii="宋体" w:hAnsi="宋体" w:eastAsia="宋体" w:cs="宋体"/>
          <w:color w:val="auto"/>
          <w:lang w:val="en-US" w:eastAsia="zh-CN"/>
        </w:rPr>
      </w:pPr>
      <w:bookmarkStart w:id="153" w:name="_Toc24919"/>
      <w:r>
        <w:rPr>
          <w:rStyle w:val="154"/>
          <w:rFonts w:hint="eastAsia" w:ascii="宋体" w:hAnsi="宋体" w:eastAsia="宋体" w:cs="宋体"/>
          <w:color w:val="auto"/>
          <w:lang w:val="en-US" w:eastAsia="zh-CN"/>
        </w:rPr>
        <w:t>4．其他</w:t>
      </w:r>
      <w:bookmarkEnd w:id="153"/>
    </w:p>
    <w:p w14:paraId="5C2FF6B1">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szCs w:val="22"/>
          <w:highlight w:val="none"/>
        </w:rPr>
      </w:pPr>
      <w:r>
        <w:rPr>
          <w:rFonts w:hint="eastAsia" w:ascii="宋体" w:hAnsi="宋体" w:eastAsia="宋体" w:cs="宋体"/>
          <w:snapToGrid w:val="0"/>
          <w:color w:val="auto"/>
          <w:kern w:val="0"/>
          <w:highlight w:val="none"/>
        </w:rPr>
        <w:t>在任何评标环节（或阶段），投标人有下列情形之一的，评标委员会应否决其投标。</w:t>
      </w:r>
      <w:r>
        <w:rPr>
          <w:rFonts w:hint="eastAsia" w:ascii="宋体" w:hAnsi="宋体" w:eastAsia="宋体" w:cs="宋体"/>
          <w:snapToGrid w:val="0"/>
          <w:color w:val="auto"/>
          <w:kern w:val="0"/>
          <w:szCs w:val="22"/>
          <w:highlight w:val="none"/>
        </w:rPr>
        <w:t>被否决的投标人，不进入下一环节（或阶段）。</w:t>
      </w:r>
    </w:p>
    <w:p w14:paraId="71BB4B13">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（1）不按评标委员会要求澄清、说明或补正的；</w:t>
      </w:r>
    </w:p>
    <w:p w14:paraId="1DCBB723">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（2）有下列情形之一，被评标委员会认定属于串通投标的：</w:t>
      </w:r>
    </w:p>
    <w:p w14:paraId="4BA0D477">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①不同投标人的投标文件两处以上（含两处）错、漏一致；</w:t>
      </w:r>
    </w:p>
    <w:p w14:paraId="643B229A">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②不同投标人的投标总价相近且各分项报价、综合单价分析表内容混乱不能相互对应、乱调乱压或乱抬的，而在询标时没有合理的解释或者不能提供计算依据和报价依据；</w:t>
      </w:r>
    </w:p>
    <w:p w14:paraId="27FF91F1">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③不同投标人的投标各项报价存在异常一致或者呈规律性变化；</w:t>
      </w:r>
    </w:p>
    <w:p w14:paraId="18C13B04">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④不同投标人的投标文件由同一单位或者同一个人编制；</w:t>
      </w:r>
    </w:p>
    <w:p w14:paraId="7E64FC6E">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⑤不同投标人的投标文件中投标资料（包括电子资料）相互混装或项目班子成员出现同一人；</w:t>
      </w:r>
    </w:p>
    <w:p w14:paraId="06781C17">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⑥不同投标人的投标文件由同一电脑编制或同一台附属设备打印，或投标报价用同一个预算编制软件密码锁制作或出自同一电子文档；</w:t>
      </w:r>
    </w:p>
    <w:p w14:paraId="661EC41C">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⑦不同投标人的投标保证由同一企业或同一账户资金缴纳；</w:t>
      </w:r>
    </w:p>
    <w:p w14:paraId="1D31BC8A">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highlight w:val="none"/>
        </w:rPr>
        <w:sectPr>
          <w:endnotePr>
            <w:numFmt w:val="decimal"/>
          </w:endnotePr>
          <w:pgSz w:w="11906" w:h="16838"/>
          <w:pgMar w:top="1134" w:right="1134" w:bottom="1134" w:left="1134" w:header="850" w:footer="567" w:gutter="0"/>
          <w:pgBorders>
            <w:top w:val="none" w:sz="0" w:space="0"/>
            <w:left w:val="none" w:sz="0" w:space="0"/>
            <w:bottom w:val="none" w:sz="0" w:space="0"/>
            <w:right w:val="none" w:sz="0" w:space="0"/>
          </w:pgBorders>
          <w:cols w:space="720" w:num="1"/>
          <w:docGrid w:linePitch="327" w:charSpace="0"/>
        </w:sectPr>
      </w:pPr>
      <w:r>
        <w:rPr>
          <w:rFonts w:hint="eastAsia" w:ascii="宋体" w:hAnsi="宋体" w:eastAsia="宋体" w:cs="宋体"/>
          <w:snapToGrid w:val="0"/>
          <w:color w:val="auto"/>
          <w:kern w:val="0"/>
          <w:highlight w:val="none"/>
        </w:rPr>
        <w:t>⑧不同投标人委托同一个人或注册在同一家企业的注册人员或同一家企业为其投标提供投标咨询、商务报价、技术咨询（招标项目本身要求采用专有技术的除外）等服务。</w:t>
      </w:r>
      <w:bookmarkEnd w:id="89"/>
    </w:p>
    <w:p w14:paraId="074F1233">
      <w:pPr>
        <w:pStyle w:val="2"/>
        <w:wordWrap w:val="0"/>
        <w:autoSpaceDE/>
        <w:autoSpaceDN/>
        <w:snapToGrid w:val="0"/>
        <w:spacing w:line="440" w:lineRule="exact"/>
        <w:jc w:val="center"/>
        <w:rPr>
          <w:rFonts w:hint="eastAsia" w:ascii="宋体" w:hAnsi="宋体" w:eastAsia="宋体" w:cs="宋体"/>
          <w:b/>
          <w:snapToGrid w:val="0"/>
          <w:color w:val="auto"/>
          <w:kern w:val="0"/>
          <w:highlight w:val="none"/>
        </w:rPr>
      </w:pPr>
      <w:bookmarkStart w:id="154" w:name="_Hlt70150994"/>
      <w:bookmarkEnd w:id="154"/>
      <w:bookmarkStart w:id="155" w:name="_Hlt87952408"/>
      <w:bookmarkEnd w:id="155"/>
      <w:bookmarkStart w:id="156" w:name="_Hlt112206772"/>
      <w:bookmarkEnd w:id="156"/>
      <w:bookmarkStart w:id="157" w:name="_Hlt69669771"/>
      <w:bookmarkEnd w:id="157"/>
      <w:bookmarkStart w:id="158" w:name="_Toc24543"/>
      <w:bookmarkStart w:id="159" w:name="_Toc20451"/>
      <w:bookmarkStart w:id="160" w:name="_Hlt69698722"/>
      <w:bookmarkStart w:id="161" w:name="_Hlt69698741"/>
      <w:bookmarkStart w:id="162" w:name="_Hlt69698769"/>
      <w:r>
        <w:rPr>
          <w:rFonts w:hint="eastAsia" w:ascii="宋体" w:hAnsi="宋体" w:eastAsia="宋体" w:cs="宋体"/>
          <w:b/>
          <w:snapToGrid w:val="0"/>
          <w:color w:val="auto"/>
          <w:sz w:val="24"/>
          <w:highlight w:val="none"/>
          <w:lang w:val="en-US" w:eastAsia="zh-CN"/>
        </w:rPr>
        <w:t>第</w:t>
      </w:r>
      <w:bookmarkStart w:id="163" w:name="_Hlt69669171"/>
      <w:bookmarkEnd w:id="163"/>
      <w:r>
        <w:rPr>
          <w:rFonts w:hint="eastAsia" w:ascii="宋体" w:hAnsi="宋体" w:eastAsia="宋体" w:cs="宋体"/>
          <w:b/>
          <w:snapToGrid w:val="0"/>
          <w:color w:val="auto"/>
          <w:sz w:val="24"/>
          <w:highlight w:val="none"/>
          <w:lang w:val="en-US" w:eastAsia="zh-CN"/>
        </w:rPr>
        <w:t>二章</w:t>
      </w:r>
      <w:bookmarkStart w:id="164" w:name="_Hlt87793839"/>
      <w:bookmarkEnd w:id="164"/>
      <w:r>
        <w:rPr>
          <w:rFonts w:hint="eastAsia" w:ascii="宋体" w:hAnsi="宋体" w:eastAsia="宋体" w:cs="宋体"/>
          <w:b/>
          <w:snapToGrid w:val="0"/>
          <w:color w:val="auto"/>
          <w:sz w:val="24"/>
          <w:highlight w:val="none"/>
          <w:lang w:val="en-US" w:eastAsia="zh-CN"/>
        </w:rPr>
        <w:t xml:space="preserve"> 中标人须知</w:t>
      </w:r>
      <w:bookmarkEnd w:id="158"/>
      <w:bookmarkEnd w:id="159"/>
      <w:bookmarkEnd w:id="160"/>
      <w:bookmarkEnd w:id="161"/>
      <w:bookmarkEnd w:id="162"/>
    </w:p>
    <w:p w14:paraId="72010CA4">
      <w:pPr>
        <w:pStyle w:val="4"/>
        <w:bidi w:val="0"/>
        <w:spacing w:line="360" w:lineRule="auto"/>
        <w:rPr>
          <w:rFonts w:hint="eastAsia" w:ascii="宋体" w:hAnsi="宋体" w:eastAsia="宋体" w:cs="宋体"/>
          <w:color w:val="auto"/>
        </w:rPr>
      </w:pPr>
      <w:bookmarkStart w:id="165" w:name="_Toc2206"/>
      <w:bookmarkStart w:id="166" w:name="_Toc19632"/>
      <w:bookmarkStart w:id="167" w:name="_Toc28684"/>
      <w:bookmarkStart w:id="168" w:name="_Hlt69698765"/>
      <w:bookmarkStart w:id="169" w:name="_Hlt69698713"/>
      <w:bookmarkStart w:id="170" w:name="_Hlt69698776"/>
      <w:bookmarkStart w:id="171" w:name="_Toc28918"/>
      <w:r>
        <w:rPr>
          <w:rFonts w:hint="eastAsia" w:ascii="宋体" w:hAnsi="宋体" w:eastAsia="宋体" w:cs="宋体"/>
          <w:color w:val="auto"/>
        </w:rPr>
        <w:t>1．中标通知书</w:t>
      </w:r>
      <w:bookmarkEnd w:id="165"/>
    </w:p>
    <w:p w14:paraId="16784DF1">
      <w:pPr>
        <w:wordWrap w:val="0"/>
        <w:adjustRightInd w:val="0"/>
        <w:snapToGrid w:val="0"/>
        <w:spacing w:line="360" w:lineRule="auto"/>
        <w:ind w:firstLine="562"/>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招标人确定第一中标候选人为中标人，并在中标人确定之日起7日内向中标人发出中标通知书，中标人必须按韶关市公共资源交易中心的规定办理相关手续后方可领取。中标通知书对招标人和中标人均具有法律约束力。中标通知书发出后，招标人改变中标结果和中标人放弃中标的，应当承担法律责任。</w:t>
      </w:r>
    </w:p>
    <w:p w14:paraId="0D245D85">
      <w:pPr>
        <w:wordWrap w:val="0"/>
        <w:adjustRightInd w:val="0"/>
        <w:snapToGrid w:val="0"/>
        <w:spacing w:line="360" w:lineRule="auto"/>
        <w:ind w:firstLine="562"/>
        <w:rPr>
          <w:rFonts w:hint="eastAsia" w:ascii="宋体" w:hAnsi="宋体" w:eastAsia="宋体" w:cs="宋体"/>
          <w:snapToGrid w:val="0"/>
          <w:color w:val="auto"/>
          <w:kern w:val="0"/>
          <w:highlight w:val="none"/>
        </w:rPr>
      </w:pPr>
    </w:p>
    <w:p w14:paraId="79A077BF">
      <w:pPr>
        <w:pStyle w:val="4"/>
        <w:bidi w:val="0"/>
        <w:spacing w:line="360" w:lineRule="auto"/>
        <w:rPr>
          <w:rFonts w:hint="eastAsia" w:ascii="宋体" w:hAnsi="宋体" w:eastAsia="宋体" w:cs="宋体"/>
          <w:color w:val="auto"/>
        </w:rPr>
      </w:pPr>
      <w:bookmarkStart w:id="172" w:name="_Toc14349"/>
      <w:r>
        <w:rPr>
          <w:rFonts w:hint="eastAsia" w:ascii="宋体" w:hAnsi="宋体" w:eastAsia="宋体" w:cs="宋体"/>
          <w:color w:val="auto"/>
        </w:rPr>
        <w:t>2．中标结果公示</w:t>
      </w:r>
      <w:bookmarkEnd w:id="172"/>
    </w:p>
    <w:p w14:paraId="041EC288">
      <w:pPr>
        <w:wordWrap w:val="0"/>
        <w:adjustRightInd w:val="0"/>
        <w:snapToGrid w:val="0"/>
        <w:spacing w:line="360" w:lineRule="auto"/>
        <w:ind w:firstLine="562"/>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中标通知书发出后15日内，招标人应将中标结果在广东省招标投标监管网（</w:t>
      </w:r>
      <w:r>
        <w:rPr>
          <w:rFonts w:hint="eastAsia" w:ascii="宋体" w:hAnsi="宋体" w:eastAsia="宋体" w:cs="宋体"/>
          <w:snapToGrid w:val="0"/>
          <w:color w:val="auto"/>
          <w:kern w:val="0"/>
          <w:highlight w:val="none"/>
          <w:lang w:eastAsia="zh-CN"/>
        </w:rPr>
        <w:t>https://www.gdzwfw.gov.cn/ztbjg-portal/#/index</w:t>
      </w:r>
      <w:r>
        <w:rPr>
          <w:rFonts w:hint="eastAsia" w:ascii="宋体" w:hAnsi="宋体" w:eastAsia="宋体" w:cs="宋体"/>
          <w:snapToGrid w:val="0"/>
          <w:color w:val="auto"/>
          <w:kern w:val="0"/>
          <w:highlight w:val="none"/>
        </w:rPr>
        <w:t>）、</w:t>
      </w:r>
      <w:r>
        <w:rPr>
          <w:rFonts w:hint="eastAsia" w:ascii="宋体" w:hAnsi="宋体" w:eastAsia="宋体" w:cs="宋体"/>
          <w:snapToGrid w:val="0"/>
          <w:color w:val="auto"/>
          <w:kern w:val="0"/>
          <w:highlight w:val="none"/>
          <w:lang w:eastAsia="zh-CN"/>
        </w:rPr>
        <w:t>全国公共资源交易平台（广东省·韶关市）（https://ygp.gdzwfw.gov.cn/ggzy-portal/#/440200/index）</w:t>
      </w:r>
      <w:r>
        <w:rPr>
          <w:rFonts w:hint="eastAsia" w:ascii="宋体" w:hAnsi="宋体" w:eastAsia="宋体" w:cs="宋体"/>
          <w:snapToGrid w:val="0"/>
          <w:color w:val="auto"/>
          <w:kern w:val="0"/>
          <w:highlight w:val="none"/>
        </w:rPr>
        <w:t>进行公示。</w:t>
      </w:r>
    </w:p>
    <w:p w14:paraId="1127DF11">
      <w:pPr>
        <w:wordWrap w:val="0"/>
        <w:adjustRightInd w:val="0"/>
        <w:snapToGrid w:val="0"/>
        <w:spacing w:line="360" w:lineRule="auto"/>
        <w:ind w:firstLine="562"/>
        <w:rPr>
          <w:rFonts w:hint="eastAsia" w:ascii="宋体" w:hAnsi="宋体" w:eastAsia="宋体" w:cs="宋体"/>
          <w:snapToGrid w:val="0"/>
          <w:color w:val="auto"/>
          <w:kern w:val="0"/>
          <w:highlight w:val="none"/>
        </w:rPr>
      </w:pPr>
    </w:p>
    <w:p w14:paraId="57599105">
      <w:pPr>
        <w:pStyle w:val="4"/>
        <w:pageBreakBefore w:val="0"/>
        <w:kinsoku/>
        <w:overflowPunct/>
        <w:topLinePunct w:val="0"/>
        <w:autoSpaceDE/>
        <w:autoSpaceDN/>
        <w:bidi w:val="0"/>
        <w:spacing w:beforeLines="0" w:afterLines="0" w:line="360" w:lineRule="auto"/>
        <w:ind w:firstLine="482" w:firstLineChars="200"/>
        <w:textAlignment w:val="auto"/>
        <w:rPr>
          <w:rFonts w:hint="eastAsia" w:ascii="宋体" w:hAnsi="宋体" w:eastAsia="宋体" w:cs="宋体"/>
          <w:color w:val="auto"/>
        </w:rPr>
      </w:pPr>
      <w:bookmarkStart w:id="173" w:name="_Toc10406"/>
      <w:r>
        <w:rPr>
          <w:rFonts w:hint="eastAsia" w:ascii="宋体" w:hAnsi="宋体" w:eastAsia="宋体" w:cs="宋体"/>
          <w:color w:val="auto"/>
        </w:rPr>
        <w:t>3．履约保证</w:t>
      </w:r>
      <w:bookmarkEnd w:id="173"/>
    </w:p>
    <w:p w14:paraId="146217A2">
      <w:pPr>
        <w:pageBreakBefore w:val="0"/>
        <w:kinsoku/>
        <w:wordWrap w:val="0"/>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3.1</w:t>
      </w:r>
      <w:r>
        <w:rPr>
          <w:rFonts w:hint="eastAsia" w:ascii="宋体" w:hAnsi="宋体" w:eastAsia="宋体" w:cs="宋体"/>
          <w:snapToGrid w:val="0"/>
          <w:color w:val="auto"/>
          <w:kern w:val="0"/>
          <w:highlight w:val="none"/>
        </w:rPr>
        <w:t xml:space="preserve"> 中标人须在领取中标通知书之日起</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u w:val="single"/>
          <w:lang w:val="en-US" w:eastAsia="zh-CN"/>
        </w:rPr>
        <w:t xml:space="preserve">10 </w:t>
      </w:r>
      <w:r>
        <w:rPr>
          <w:rFonts w:hint="eastAsia" w:ascii="宋体" w:hAnsi="宋体" w:eastAsia="宋体" w:cs="宋体"/>
          <w:snapToGrid w:val="0"/>
          <w:color w:val="auto"/>
          <w:kern w:val="0"/>
          <w:highlight w:val="none"/>
        </w:rPr>
        <w:t>个工作日内、签订合同前向招标人提交金额为中标价</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u w:val="single"/>
          <w:lang w:val="en-US" w:eastAsia="zh-CN"/>
        </w:rPr>
        <w:t>5</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 xml:space="preserve">%的履约保证。 </w:t>
      </w:r>
    </w:p>
    <w:p w14:paraId="5346E332">
      <w:pPr>
        <w:wordWrap w:val="0"/>
        <w:adjustRightInd w:val="0"/>
        <w:snapToGrid w:val="0"/>
        <w:spacing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中标人根据《关于统一在市公共资源交易一体化服务平台缴退工程建设项目履约保证金的通知》办理相关手续，履约保证的形式包括履约保证金、履约保证担保、履约保证保险三种，由中标人在建设工程交易系统中自主选择一种进行缴交。</w:t>
      </w:r>
    </w:p>
    <w:p w14:paraId="5E10CB1F">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2"/>
          <w:highlight w:val="none"/>
        </w:rPr>
      </w:pPr>
      <w:r>
        <w:rPr>
          <w:rFonts w:hint="eastAsia" w:ascii="宋体" w:hAnsi="宋体" w:eastAsia="宋体" w:cs="宋体"/>
          <w:b/>
          <w:bCs/>
          <w:color w:val="auto"/>
          <w:sz w:val="24"/>
          <w:szCs w:val="22"/>
          <w:highlight w:val="none"/>
        </w:rPr>
        <w:t>3.</w:t>
      </w:r>
      <w:r>
        <w:rPr>
          <w:rFonts w:hint="eastAsia" w:ascii="宋体" w:hAnsi="宋体" w:eastAsia="宋体" w:cs="宋体"/>
          <w:b/>
          <w:bCs/>
          <w:color w:val="auto"/>
          <w:sz w:val="24"/>
          <w:szCs w:val="22"/>
          <w:highlight w:val="none"/>
          <w:lang w:val="en-US" w:eastAsia="zh-CN"/>
        </w:rPr>
        <w:t>2</w:t>
      </w:r>
      <w:r>
        <w:rPr>
          <w:rFonts w:hint="eastAsia" w:ascii="宋体" w:hAnsi="宋体" w:eastAsia="宋体" w:cs="宋体"/>
          <w:color w:val="auto"/>
          <w:sz w:val="24"/>
          <w:szCs w:val="22"/>
          <w:highlight w:val="none"/>
        </w:rPr>
        <w:t>中标通知书发出时，招标人应登录韶关市公共资源一体化平台发起收缴履约担保并填写担保金金额、缴交时限和项目工期。收缴信息推送至中标人账号中，向中标人收缴履约担保。</w:t>
      </w:r>
    </w:p>
    <w:p w14:paraId="52D9B165">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2"/>
          <w:highlight w:val="none"/>
        </w:rPr>
      </w:pPr>
      <w:r>
        <w:rPr>
          <w:rFonts w:hint="eastAsia" w:ascii="宋体" w:hAnsi="宋体" w:eastAsia="宋体" w:cs="宋体"/>
          <w:b/>
          <w:bCs/>
          <w:color w:val="auto"/>
          <w:sz w:val="24"/>
          <w:szCs w:val="22"/>
          <w:highlight w:val="none"/>
        </w:rPr>
        <w:t>3.</w:t>
      </w:r>
      <w:r>
        <w:rPr>
          <w:rFonts w:hint="eastAsia" w:ascii="宋体" w:hAnsi="宋体" w:eastAsia="宋体" w:cs="宋体"/>
          <w:b/>
          <w:bCs/>
          <w:color w:val="auto"/>
          <w:sz w:val="24"/>
          <w:szCs w:val="22"/>
          <w:highlight w:val="none"/>
          <w:lang w:val="en-US" w:eastAsia="zh-CN"/>
        </w:rPr>
        <w:t>3</w:t>
      </w:r>
      <w:r>
        <w:rPr>
          <w:rFonts w:hint="eastAsia" w:ascii="宋体" w:hAnsi="宋体" w:eastAsia="宋体" w:cs="宋体"/>
          <w:color w:val="auto"/>
          <w:sz w:val="24"/>
          <w:szCs w:val="22"/>
          <w:highlight w:val="none"/>
        </w:rPr>
        <w:t>项目通过竣工验收后招标人应登录韶关市公共资源一体化平台进行履约担保退回操作。</w:t>
      </w:r>
    </w:p>
    <w:p w14:paraId="472B688E">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2"/>
          <w:highlight w:val="none"/>
        </w:rPr>
      </w:pPr>
      <w:r>
        <w:rPr>
          <w:rFonts w:hint="eastAsia" w:ascii="宋体" w:hAnsi="宋体" w:eastAsia="宋体" w:cs="宋体"/>
          <w:b/>
          <w:bCs/>
          <w:color w:val="auto"/>
          <w:sz w:val="24"/>
          <w:szCs w:val="22"/>
          <w:highlight w:val="none"/>
        </w:rPr>
        <w:t>3.</w:t>
      </w:r>
      <w:r>
        <w:rPr>
          <w:rFonts w:hint="eastAsia" w:ascii="宋体" w:hAnsi="宋体" w:eastAsia="宋体" w:cs="宋体"/>
          <w:b/>
          <w:bCs/>
          <w:color w:val="auto"/>
          <w:sz w:val="24"/>
          <w:szCs w:val="22"/>
          <w:highlight w:val="none"/>
          <w:lang w:val="en-US" w:eastAsia="zh-CN"/>
        </w:rPr>
        <w:t>4</w:t>
      </w:r>
      <w:r>
        <w:rPr>
          <w:rFonts w:hint="eastAsia" w:ascii="宋体" w:hAnsi="宋体" w:eastAsia="宋体" w:cs="宋体"/>
          <w:color w:val="auto"/>
          <w:sz w:val="24"/>
          <w:szCs w:val="24"/>
        </w:rPr>
        <w:t>项目通过竣工验收之日后</w:t>
      </w:r>
      <w:r>
        <w:rPr>
          <w:rFonts w:hint="eastAsia" w:ascii="宋体" w:hAnsi="宋体" w:eastAsia="宋体" w:cs="宋体"/>
          <w:color w:val="auto"/>
          <w:sz w:val="24"/>
          <w:szCs w:val="22"/>
          <w:highlight w:val="none"/>
        </w:rPr>
        <w:t>28天内，招标人将履约担保退还给承包人。</w:t>
      </w:r>
    </w:p>
    <w:p w14:paraId="058081E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2"/>
          <w:highlight w:val="none"/>
        </w:rPr>
      </w:pPr>
      <w:r>
        <w:rPr>
          <w:rFonts w:hint="eastAsia" w:ascii="宋体" w:hAnsi="宋体" w:eastAsia="宋体" w:cs="宋体"/>
          <w:b/>
          <w:bCs/>
          <w:color w:val="auto"/>
          <w:sz w:val="24"/>
          <w:szCs w:val="22"/>
          <w:highlight w:val="none"/>
        </w:rPr>
        <w:t>3.</w:t>
      </w:r>
      <w:r>
        <w:rPr>
          <w:rFonts w:hint="eastAsia" w:ascii="宋体" w:hAnsi="宋体" w:eastAsia="宋体" w:cs="宋体"/>
          <w:b/>
          <w:bCs/>
          <w:color w:val="auto"/>
          <w:sz w:val="24"/>
          <w:szCs w:val="22"/>
          <w:highlight w:val="none"/>
          <w:lang w:val="en-US" w:eastAsia="zh-CN"/>
        </w:rPr>
        <w:t>5</w:t>
      </w:r>
      <w:r>
        <w:rPr>
          <w:rFonts w:hint="eastAsia" w:ascii="宋体" w:hAnsi="宋体" w:eastAsia="宋体" w:cs="宋体"/>
          <w:color w:val="auto"/>
          <w:sz w:val="24"/>
          <w:szCs w:val="22"/>
          <w:highlight w:val="none"/>
        </w:rPr>
        <w:t>项目延期竣工的，中标人应登录韶关市公共资源一体化平台办理延长履约担保期限。</w:t>
      </w:r>
    </w:p>
    <w:p w14:paraId="1EF4D2B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2"/>
          <w:highlight w:val="none"/>
        </w:rPr>
      </w:pPr>
      <w:r>
        <w:rPr>
          <w:rFonts w:hint="eastAsia" w:ascii="宋体" w:hAnsi="宋体" w:eastAsia="宋体" w:cs="宋体"/>
          <w:b/>
          <w:bCs/>
          <w:color w:val="auto"/>
          <w:sz w:val="24"/>
          <w:szCs w:val="22"/>
          <w:highlight w:val="none"/>
        </w:rPr>
        <w:t>3.</w:t>
      </w:r>
      <w:r>
        <w:rPr>
          <w:rFonts w:hint="eastAsia" w:ascii="宋体" w:hAnsi="宋体" w:eastAsia="宋体" w:cs="宋体"/>
          <w:b/>
          <w:bCs/>
          <w:color w:val="auto"/>
          <w:sz w:val="24"/>
          <w:szCs w:val="22"/>
          <w:highlight w:val="none"/>
          <w:lang w:val="en-US" w:eastAsia="zh-CN"/>
        </w:rPr>
        <w:t>6</w:t>
      </w:r>
      <w:r>
        <w:rPr>
          <w:rFonts w:hint="eastAsia" w:ascii="宋体" w:hAnsi="宋体" w:eastAsia="宋体" w:cs="宋体"/>
          <w:color w:val="auto"/>
          <w:sz w:val="24"/>
          <w:szCs w:val="22"/>
          <w:highlight w:val="none"/>
        </w:rPr>
        <w:t>中标人在领取中标通知书之后按有关规定及时提交履约保证。</w:t>
      </w:r>
    </w:p>
    <w:p w14:paraId="5907BD0A">
      <w:pPr>
        <w:wordWrap w:val="0"/>
        <w:adjustRightInd w:val="0"/>
        <w:snapToGrid w:val="0"/>
        <w:spacing w:line="360" w:lineRule="auto"/>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color w:val="auto"/>
          <w:sz w:val="24"/>
          <w:szCs w:val="22"/>
          <w:highlight w:val="none"/>
        </w:rPr>
        <w:t>3.</w:t>
      </w:r>
      <w:r>
        <w:rPr>
          <w:rFonts w:hint="eastAsia" w:ascii="宋体" w:hAnsi="宋体" w:eastAsia="宋体" w:cs="宋体"/>
          <w:b/>
          <w:bCs/>
          <w:color w:val="auto"/>
          <w:sz w:val="24"/>
          <w:szCs w:val="22"/>
          <w:highlight w:val="none"/>
          <w:lang w:val="en-US" w:eastAsia="zh-CN"/>
        </w:rPr>
        <w:t>7</w:t>
      </w:r>
      <w:r>
        <w:rPr>
          <w:rFonts w:hint="eastAsia" w:ascii="宋体" w:hAnsi="宋体" w:eastAsia="宋体" w:cs="宋体"/>
          <w:color w:val="auto"/>
          <w:sz w:val="24"/>
          <w:szCs w:val="22"/>
          <w:highlight w:val="none"/>
        </w:rPr>
        <w:t>在工程实施过程中，如果承包人（即招标阶段的中标人，下同）由于自身的资金、技术、质量、非不可抗力等原因给发包人（即招标阶段的招标人，下同）造成经济损失，发包人有权扣划相应金额的履约保证。</w:t>
      </w:r>
    </w:p>
    <w:p w14:paraId="6AE92E6D">
      <w:pPr>
        <w:wordWrap w:val="0"/>
        <w:adjustRightInd w:val="0"/>
        <w:snapToGrid w:val="0"/>
        <w:spacing w:line="360" w:lineRule="auto"/>
        <w:ind w:firstLine="480" w:firstLineChars="200"/>
        <w:rPr>
          <w:rFonts w:hint="eastAsia" w:ascii="宋体" w:hAnsi="宋体" w:eastAsia="宋体" w:cs="宋体"/>
          <w:snapToGrid w:val="0"/>
          <w:color w:val="auto"/>
          <w:kern w:val="0"/>
          <w:highlight w:val="none"/>
        </w:rPr>
      </w:pPr>
    </w:p>
    <w:p w14:paraId="4E778795">
      <w:pPr>
        <w:pStyle w:val="4"/>
        <w:bidi w:val="0"/>
        <w:spacing w:line="360" w:lineRule="auto"/>
        <w:rPr>
          <w:rFonts w:hint="eastAsia" w:ascii="宋体" w:hAnsi="宋体" w:eastAsia="宋体" w:cs="宋体"/>
          <w:color w:val="auto"/>
        </w:rPr>
      </w:pPr>
      <w:bookmarkStart w:id="174" w:name="_Toc9821"/>
      <w:r>
        <w:rPr>
          <w:rFonts w:hint="eastAsia" w:ascii="宋体" w:hAnsi="宋体" w:eastAsia="宋体" w:cs="宋体"/>
          <w:color w:val="auto"/>
        </w:rPr>
        <w:t>4．合同订立</w:t>
      </w:r>
      <w:bookmarkEnd w:id="174"/>
    </w:p>
    <w:p w14:paraId="7585DDEA">
      <w:pPr>
        <w:wordWrap w:val="0"/>
        <w:adjustRightInd w:val="0"/>
        <w:snapToGrid w:val="0"/>
        <w:spacing w:line="360" w:lineRule="auto"/>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4.1</w:t>
      </w:r>
      <w:r>
        <w:rPr>
          <w:rFonts w:hint="eastAsia" w:ascii="宋体" w:hAnsi="宋体" w:eastAsia="宋体" w:cs="宋体"/>
          <w:snapToGrid w:val="0"/>
          <w:color w:val="auto"/>
          <w:kern w:val="0"/>
          <w:highlight w:val="none"/>
        </w:rPr>
        <w:t xml:space="preserve"> 招标人应当自中标通知书发出之日起</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u w:val="single"/>
          <w:lang w:val="en-US" w:eastAsia="zh-CN"/>
        </w:rPr>
        <w:t>30</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日内，按照招标文件、中标人的投标文件与中标人订立书面合同。</w:t>
      </w:r>
    </w:p>
    <w:p w14:paraId="500B5C5E">
      <w:pPr>
        <w:wordWrap w:val="0"/>
        <w:adjustRightInd w:val="0"/>
        <w:snapToGrid w:val="0"/>
        <w:spacing w:line="360" w:lineRule="auto"/>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4.2</w:t>
      </w:r>
      <w:r>
        <w:rPr>
          <w:rFonts w:hint="eastAsia" w:ascii="宋体" w:hAnsi="宋体" w:eastAsia="宋体" w:cs="宋体"/>
          <w:snapToGrid w:val="0"/>
          <w:color w:val="auto"/>
          <w:kern w:val="0"/>
          <w:highlight w:val="none"/>
        </w:rPr>
        <w:t xml:space="preserve"> 不正常报价的梳理和确认</w:t>
      </w:r>
    </w:p>
    <w:p w14:paraId="3C6E33DB">
      <w:pPr>
        <w:wordWrap w:val="0"/>
        <w:adjustRightInd w:val="0"/>
        <w:snapToGrid w:val="0"/>
        <w:spacing w:line="360" w:lineRule="auto"/>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4.2.1</w:t>
      </w:r>
      <w:r>
        <w:rPr>
          <w:rFonts w:hint="eastAsia" w:ascii="宋体" w:hAnsi="宋体" w:eastAsia="宋体" w:cs="宋体"/>
          <w:snapToGrid w:val="0"/>
          <w:color w:val="auto"/>
          <w:kern w:val="0"/>
          <w:highlight w:val="none"/>
        </w:rPr>
        <w:t xml:space="preserve"> </w:t>
      </w:r>
      <w:r>
        <w:rPr>
          <w:rFonts w:hint="eastAsia" w:ascii="宋体" w:hAnsi="宋体" w:eastAsia="宋体" w:cs="宋体"/>
          <w:b/>
          <w:bCs/>
          <w:snapToGrid w:val="0"/>
          <w:color w:val="auto"/>
          <w:kern w:val="0"/>
          <w:highlight w:val="none"/>
        </w:rPr>
        <w:t>合同订立期间，在不改变中标人的投标总价的前提下，招标人应对中标人的投标报价进行全面分析和整理，从而发现并提取其中可能存在的算术性错误、错漏项、不平衡报价等不正常报价，并修正其中的算术性错误。</w:t>
      </w:r>
      <w:r>
        <w:rPr>
          <w:rFonts w:hint="eastAsia" w:ascii="宋体" w:hAnsi="宋体" w:eastAsia="宋体" w:cs="宋体"/>
          <w:snapToGrid w:val="0"/>
          <w:color w:val="auto"/>
          <w:kern w:val="0"/>
          <w:highlight w:val="none"/>
        </w:rPr>
        <w:t>招标人不具备以上能力的，可授权编制本项目</w:t>
      </w:r>
      <w:r>
        <w:rPr>
          <w:rFonts w:hint="eastAsia" w:ascii="宋体" w:hAnsi="宋体" w:eastAsia="宋体" w:cs="宋体"/>
          <w:snapToGrid w:val="0"/>
          <w:color w:val="auto"/>
          <w:kern w:val="0"/>
          <w:highlight w:val="none"/>
          <w:lang w:eastAsia="zh-CN"/>
        </w:rPr>
        <w:t>最高投标限价</w:t>
      </w:r>
      <w:r>
        <w:rPr>
          <w:rFonts w:hint="eastAsia" w:ascii="宋体" w:hAnsi="宋体" w:eastAsia="宋体" w:cs="宋体"/>
          <w:snapToGrid w:val="0"/>
          <w:color w:val="auto"/>
          <w:kern w:val="0"/>
          <w:highlight w:val="none"/>
        </w:rPr>
        <w:t>的造价咨询单位实施。</w:t>
      </w:r>
    </w:p>
    <w:p w14:paraId="6558B3A6">
      <w:pPr>
        <w:wordWrap w:val="0"/>
        <w:adjustRightInd w:val="0"/>
        <w:snapToGrid w:val="0"/>
        <w:spacing w:line="360" w:lineRule="auto"/>
        <w:ind w:firstLine="48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4.2.2</w:t>
      </w:r>
      <w:r>
        <w:rPr>
          <w:rFonts w:hint="eastAsia" w:ascii="宋体" w:hAnsi="宋体" w:eastAsia="宋体" w:cs="宋体"/>
          <w:snapToGrid w:val="0"/>
          <w:color w:val="auto"/>
          <w:kern w:val="0"/>
          <w:highlight w:val="none"/>
        </w:rPr>
        <w:t xml:space="preserve"> 算术性错误的分析和修正。投标报价汇总表中，投标总价与各分项费用之和不一致的，以投标总价为准修正分项费用；投标报价汇总表的各分项费用与对应分项表中的费用不一致的，以投标报价汇总表中的分项费用为准修正对应分项表中的费用；各分项表中总价金额与依据单价计算出的结果不一致的，以总价为准修正单价。</w:t>
      </w:r>
    </w:p>
    <w:p w14:paraId="702E453C">
      <w:pPr>
        <w:wordWrap w:val="0"/>
        <w:adjustRightInd w:val="0"/>
        <w:snapToGrid w:val="0"/>
        <w:spacing w:line="360" w:lineRule="auto"/>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4.2.3</w:t>
      </w:r>
      <w:r>
        <w:rPr>
          <w:rFonts w:hint="eastAsia" w:ascii="宋体" w:hAnsi="宋体" w:eastAsia="宋体" w:cs="宋体"/>
          <w:snapToGrid w:val="0"/>
          <w:color w:val="auto"/>
          <w:kern w:val="0"/>
          <w:highlight w:val="none"/>
        </w:rPr>
        <w:t xml:space="preserve"> 错漏项的认定。中标人已标价工程量清单中，任一清单项目未填报价格或价格为零的，视为错漏项。</w:t>
      </w:r>
    </w:p>
    <w:p w14:paraId="7D05A169">
      <w:pPr>
        <w:wordWrap w:val="0"/>
        <w:adjustRightInd w:val="0"/>
        <w:snapToGrid w:val="0"/>
        <w:spacing w:line="360" w:lineRule="auto"/>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4.2.4</w:t>
      </w:r>
      <w:r>
        <w:rPr>
          <w:rFonts w:hint="eastAsia" w:ascii="宋体" w:hAnsi="宋体" w:eastAsia="宋体" w:cs="宋体"/>
          <w:snapToGrid w:val="0"/>
          <w:color w:val="auto"/>
          <w:kern w:val="0"/>
          <w:highlight w:val="none"/>
        </w:rPr>
        <w:t xml:space="preserve"> 不平衡报价的认定。经修正算术性错误后的中标人已标价工程量清单中，</w:t>
      </w:r>
      <w:r>
        <w:rPr>
          <w:rFonts w:hint="eastAsia" w:ascii="宋体" w:hAnsi="宋体" w:eastAsia="宋体" w:cs="宋体"/>
          <w:b/>
          <w:bCs/>
          <w:snapToGrid w:val="0"/>
          <w:color w:val="auto"/>
          <w:kern w:val="0"/>
          <w:highlight w:val="none"/>
          <w:u w:val="single"/>
        </w:rPr>
        <w:t>分部分项工程量清单项目的投标综合单价与</w:t>
      </w:r>
      <w:r>
        <w:rPr>
          <w:rFonts w:hint="eastAsia" w:ascii="宋体" w:hAnsi="宋体" w:eastAsia="宋体" w:cs="宋体"/>
          <w:b/>
          <w:bCs/>
          <w:snapToGrid w:val="0"/>
          <w:color w:val="auto"/>
          <w:kern w:val="0"/>
          <w:highlight w:val="none"/>
          <w:u w:val="single"/>
          <w:lang w:eastAsia="zh-CN"/>
        </w:rPr>
        <w:t>最高投标限价</w:t>
      </w:r>
      <w:r>
        <w:rPr>
          <w:rFonts w:hint="eastAsia" w:ascii="宋体" w:hAnsi="宋体" w:eastAsia="宋体" w:cs="宋体"/>
          <w:b/>
          <w:bCs/>
          <w:snapToGrid w:val="0"/>
          <w:color w:val="auto"/>
          <w:kern w:val="0"/>
          <w:highlight w:val="none"/>
          <w:u w:val="single"/>
        </w:rPr>
        <w:t>分部分项工程量清单项目的综合单价偏差≥20%</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的清单项目，视为不平衡报价项目。</w:t>
      </w:r>
    </w:p>
    <w:p w14:paraId="7E277DD2">
      <w:pPr>
        <w:wordWrap w:val="0"/>
        <w:adjustRightInd w:val="0"/>
        <w:snapToGrid w:val="0"/>
        <w:spacing w:line="360" w:lineRule="auto"/>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4.2.5</w:t>
      </w:r>
      <w:r>
        <w:rPr>
          <w:rFonts w:hint="eastAsia" w:ascii="宋体" w:hAnsi="宋体" w:eastAsia="宋体" w:cs="宋体"/>
          <w:snapToGrid w:val="0"/>
          <w:color w:val="auto"/>
          <w:kern w:val="0"/>
          <w:highlight w:val="none"/>
        </w:rPr>
        <w:t xml:space="preserve"> 招标人或其授权的造价咨询单位应就发现的以上所有不正常报价分类整理、汇总，形成《不正常报价清单》，并交中标人复核和确认。经招标人和中标人共同签字、盖章确认的《不正常报价清单》，构成施工合同的组成部分。</w:t>
      </w:r>
    </w:p>
    <w:p w14:paraId="78F778E1">
      <w:pPr>
        <w:wordWrap w:val="0"/>
        <w:adjustRightInd w:val="0"/>
        <w:snapToGrid w:val="0"/>
        <w:spacing w:line="360" w:lineRule="auto"/>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4.2.6</w:t>
      </w:r>
      <w:r>
        <w:rPr>
          <w:rFonts w:hint="eastAsia" w:ascii="宋体" w:hAnsi="宋体" w:eastAsia="宋体" w:cs="宋体"/>
          <w:snapToGrid w:val="0"/>
          <w:color w:val="auto"/>
          <w:kern w:val="0"/>
          <w:highlight w:val="none"/>
        </w:rPr>
        <w:t xml:space="preserve"> </w:t>
      </w:r>
      <w:r>
        <w:rPr>
          <w:rFonts w:hint="eastAsia" w:ascii="宋体" w:hAnsi="宋体" w:eastAsia="宋体" w:cs="宋体"/>
          <w:b/>
          <w:bCs/>
          <w:snapToGrid w:val="0"/>
          <w:color w:val="auto"/>
          <w:kern w:val="0"/>
          <w:highlight w:val="none"/>
        </w:rPr>
        <w:t>合同履行过程中，被认定为错漏项的清单项目，结算时按照第三章“拟签订合同的主要条款”第2.6条规定处理。</w:t>
      </w:r>
    </w:p>
    <w:p w14:paraId="558AD17B">
      <w:pPr>
        <w:wordWrap w:val="0"/>
        <w:adjustRightInd w:val="0"/>
        <w:snapToGrid w:val="0"/>
        <w:spacing w:line="360" w:lineRule="auto"/>
        <w:ind w:firstLine="482" w:firstLineChars="200"/>
        <w:rPr>
          <w:rFonts w:hint="eastAsia" w:ascii="宋体" w:hAnsi="宋体" w:eastAsia="宋体" w:cs="宋体"/>
          <w:b/>
          <w:bCs/>
          <w:snapToGrid w:val="0"/>
          <w:color w:val="auto"/>
          <w:kern w:val="0"/>
          <w:highlight w:val="none"/>
        </w:rPr>
      </w:pPr>
      <w:r>
        <w:rPr>
          <w:rFonts w:hint="eastAsia" w:ascii="宋体" w:hAnsi="宋体" w:eastAsia="宋体" w:cs="宋体"/>
          <w:b/>
          <w:bCs/>
          <w:snapToGrid w:val="0"/>
          <w:color w:val="auto"/>
          <w:kern w:val="0"/>
          <w:highlight w:val="none"/>
        </w:rPr>
        <w:t>4.2.7 合同履行过程中，合同约定的调整因素（如工程量偏差、工程变更、项目特征不符、招标工程量清单缺项等）出现时，被认定为不平衡报价的清单项目以及采用被认定为不平衡报价的清单项目的价格作为取价（或参照取价）依据的变更、新增项目，按照第三章“拟签订合同的主要条款”第2.3条的有关规定调整合同价款。</w:t>
      </w:r>
    </w:p>
    <w:p w14:paraId="0C9C79C6">
      <w:pPr>
        <w:wordWrap w:val="0"/>
        <w:adjustRightInd w:val="0"/>
        <w:snapToGrid w:val="0"/>
        <w:spacing w:line="360" w:lineRule="auto"/>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 xml:space="preserve">4.3 </w:t>
      </w:r>
      <w:r>
        <w:rPr>
          <w:rFonts w:hint="eastAsia" w:ascii="宋体" w:hAnsi="宋体" w:eastAsia="宋体" w:cs="宋体"/>
          <w:snapToGrid w:val="0"/>
          <w:color w:val="auto"/>
          <w:kern w:val="0"/>
          <w:highlight w:val="none"/>
        </w:rPr>
        <w:t>本招标项目合同计价方式为：</w:t>
      </w:r>
      <w:r>
        <w:rPr>
          <w:rFonts w:hint="eastAsia" w:ascii="宋体" w:hAnsi="宋体" w:eastAsia="宋体" w:cs="宋体"/>
          <w:snapToGrid w:val="0"/>
          <w:color w:val="auto"/>
          <w:kern w:val="0"/>
          <w:highlight w:val="none"/>
          <w:u w:val="single"/>
        </w:rPr>
        <w:t xml:space="preserve"> 单价 </w:t>
      </w:r>
      <w:r>
        <w:rPr>
          <w:rFonts w:hint="eastAsia" w:ascii="宋体" w:hAnsi="宋体" w:eastAsia="宋体" w:cs="宋体"/>
          <w:snapToGrid w:val="0"/>
          <w:color w:val="auto"/>
          <w:kern w:val="0"/>
          <w:highlight w:val="none"/>
        </w:rPr>
        <w:t>合同。</w:t>
      </w:r>
    </w:p>
    <w:p w14:paraId="519978E4">
      <w:pPr>
        <w:wordWrap w:val="0"/>
        <w:adjustRightInd w:val="0"/>
        <w:snapToGrid w:val="0"/>
        <w:spacing w:line="360" w:lineRule="auto"/>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4.4</w:t>
      </w:r>
      <w:r>
        <w:rPr>
          <w:rFonts w:hint="eastAsia" w:ascii="宋体" w:hAnsi="宋体" w:eastAsia="宋体" w:cs="宋体"/>
          <w:snapToGrid w:val="0"/>
          <w:color w:val="auto"/>
          <w:kern w:val="0"/>
          <w:highlight w:val="none"/>
        </w:rPr>
        <w:t xml:space="preserve"> 合同的标的、质量、履行期限条款和合同的价款、单价、比例条款等主要条款，应当与招标文件、中标人的投标文件的内容一致。中标人在签订合同时不得向招标人提出附加条件。</w:t>
      </w:r>
    </w:p>
    <w:p w14:paraId="2A640E25">
      <w:pPr>
        <w:wordWrap w:val="0"/>
        <w:adjustRightInd w:val="0"/>
        <w:snapToGrid w:val="0"/>
        <w:spacing w:line="360" w:lineRule="auto"/>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4.5</w:t>
      </w:r>
      <w:r>
        <w:rPr>
          <w:rFonts w:hint="eastAsia" w:ascii="宋体" w:hAnsi="宋体" w:eastAsia="宋体" w:cs="宋体"/>
          <w:snapToGrid w:val="0"/>
          <w:color w:val="auto"/>
          <w:kern w:val="0"/>
          <w:highlight w:val="none"/>
        </w:rPr>
        <w:t xml:space="preserve"> 若中标人在领取中标通知书之日起30天内仍未签订合同，招标人发出第一次提醒函；在领取中标通知书之日起40天内仍未签订，招标人发出第二次提醒函；在领取中标通知书之日起45天内仍未签订，视其放弃中标。</w:t>
      </w:r>
    </w:p>
    <w:p w14:paraId="66A55A2C">
      <w:pPr>
        <w:wordWrap w:val="0"/>
        <w:adjustRightInd w:val="0"/>
        <w:snapToGrid w:val="0"/>
        <w:spacing w:line="360" w:lineRule="auto"/>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4.6</w:t>
      </w:r>
      <w:r>
        <w:rPr>
          <w:rFonts w:hint="eastAsia" w:ascii="宋体" w:hAnsi="宋体" w:eastAsia="宋体" w:cs="宋体"/>
          <w:snapToGrid w:val="0"/>
          <w:color w:val="auto"/>
          <w:kern w:val="0"/>
          <w:highlight w:val="none"/>
        </w:rPr>
        <w:t xml:space="preserve"> 在书面合同订立之日起2个工作日内，由中标人或招标</w:t>
      </w:r>
      <w:r>
        <w:rPr>
          <w:rFonts w:hint="eastAsia" w:ascii="宋体" w:hAnsi="宋体" w:eastAsia="宋体" w:cs="宋体"/>
          <w:snapToGrid w:val="0"/>
          <w:color w:val="auto"/>
          <w:kern w:val="0"/>
          <w:highlight w:val="none"/>
          <w:lang w:val="en-US" w:eastAsia="zh-CN"/>
        </w:rPr>
        <w:t>人</w:t>
      </w:r>
      <w:r>
        <w:rPr>
          <w:rFonts w:hint="eastAsia" w:ascii="宋体" w:hAnsi="宋体" w:eastAsia="宋体" w:cs="宋体"/>
          <w:snapToGrid w:val="0"/>
          <w:color w:val="auto"/>
          <w:kern w:val="0"/>
          <w:highlight w:val="none"/>
        </w:rPr>
        <w:t>将合同上传至建设工程交易系统，并发起退还投标保证的申请。韶关市公共资源交易中心在收到申请之日起3个工作日内，将投标保证金退还给中标人和其他中标候选人。</w:t>
      </w:r>
    </w:p>
    <w:p w14:paraId="43C8D710">
      <w:pPr>
        <w:wordWrap w:val="0"/>
        <w:adjustRightInd w:val="0"/>
        <w:snapToGrid w:val="0"/>
        <w:spacing w:line="360" w:lineRule="auto"/>
        <w:ind w:firstLine="482" w:firstLineChars="200"/>
        <w:rPr>
          <w:rFonts w:hint="eastAsia" w:ascii="宋体" w:hAnsi="宋体" w:eastAsia="宋体" w:cs="宋体"/>
          <w:b/>
          <w:bCs/>
          <w:snapToGrid w:val="0"/>
          <w:color w:val="auto"/>
          <w:kern w:val="0"/>
          <w:highlight w:val="none"/>
        </w:rPr>
      </w:pPr>
    </w:p>
    <w:p w14:paraId="4375DFA1">
      <w:pPr>
        <w:pStyle w:val="4"/>
        <w:bidi w:val="0"/>
        <w:spacing w:line="360" w:lineRule="auto"/>
        <w:ind w:firstLine="964"/>
        <w:rPr>
          <w:rFonts w:hint="eastAsia" w:ascii="宋体" w:hAnsi="宋体" w:eastAsia="宋体" w:cs="宋体"/>
          <w:color w:val="auto"/>
        </w:rPr>
      </w:pPr>
      <w:bookmarkStart w:id="175" w:name="_Toc6695"/>
      <w:r>
        <w:rPr>
          <w:rFonts w:hint="eastAsia" w:ascii="宋体" w:hAnsi="宋体" w:eastAsia="宋体" w:cs="宋体"/>
          <w:color w:val="auto"/>
        </w:rPr>
        <w:t>5．放弃中标的处理</w:t>
      </w:r>
      <w:bookmarkEnd w:id="175"/>
    </w:p>
    <w:p w14:paraId="729A45A3">
      <w:pPr>
        <w:wordWrap w:val="0"/>
        <w:adjustRightInd w:val="0"/>
        <w:snapToGrid w:val="0"/>
        <w:spacing w:line="360" w:lineRule="auto"/>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5.1</w:t>
      </w:r>
      <w:r>
        <w:rPr>
          <w:rFonts w:hint="eastAsia" w:ascii="宋体" w:hAnsi="宋体" w:eastAsia="宋体" w:cs="宋体"/>
          <w:snapToGrid w:val="0"/>
          <w:color w:val="auto"/>
          <w:kern w:val="0"/>
          <w:highlight w:val="none"/>
        </w:rPr>
        <w:t xml:space="preserve"> 中标人</w:t>
      </w:r>
      <w:r>
        <w:rPr>
          <w:rFonts w:hint="eastAsia" w:ascii="宋体" w:hAnsi="宋体" w:eastAsia="宋体" w:cs="宋体"/>
          <w:snapToGrid w:val="0"/>
          <w:color w:val="auto"/>
          <w:highlight w:val="none"/>
        </w:rPr>
        <w:t>无正当理由放弃中标的，</w:t>
      </w:r>
      <w:r>
        <w:rPr>
          <w:rFonts w:hint="eastAsia" w:ascii="宋体" w:hAnsi="宋体" w:eastAsia="宋体" w:cs="宋体"/>
          <w:snapToGrid w:val="0"/>
          <w:color w:val="auto"/>
          <w:kern w:val="0"/>
          <w:highlight w:val="none"/>
        </w:rPr>
        <w:t>取消其中标资格，其投标保证不予退还，给招标人造成的损失超过投标保证金额的，弃标人还应当对超过部分予以赔偿。招标人可按照评标委员会提交的中标候选人名单排序依次确定其他中标候选人为中标人，如果招标人认为其他中标候选人的条件明显不利于招标人的，也可以重新招标。</w:t>
      </w:r>
      <w:r>
        <w:rPr>
          <w:rFonts w:hint="eastAsia" w:ascii="宋体" w:hAnsi="宋体" w:eastAsia="宋体" w:cs="宋体"/>
          <w:bCs/>
          <w:snapToGrid w:val="0"/>
          <w:color w:val="auto"/>
          <w:kern w:val="0"/>
          <w:highlight w:val="none"/>
        </w:rPr>
        <w:t>因此种情况造成招标人重新招标的</w:t>
      </w:r>
      <w:r>
        <w:rPr>
          <w:rFonts w:hint="eastAsia" w:ascii="宋体" w:hAnsi="宋体" w:eastAsia="宋体" w:cs="宋体"/>
          <w:snapToGrid w:val="0"/>
          <w:color w:val="auto"/>
          <w:kern w:val="0"/>
          <w:highlight w:val="none"/>
        </w:rPr>
        <w:t>，招标人可不接受该弃标人再次投标。同时，招标人应将该弃标人的失信行为向行政监督部门报告。</w:t>
      </w:r>
    </w:p>
    <w:p w14:paraId="17489473">
      <w:pPr>
        <w:wordWrap w:val="0"/>
        <w:adjustRightInd w:val="0"/>
        <w:snapToGrid w:val="0"/>
        <w:spacing w:line="360" w:lineRule="auto"/>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5.2</w:t>
      </w:r>
      <w:r>
        <w:rPr>
          <w:rFonts w:hint="eastAsia" w:ascii="宋体" w:hAnsi="宋体" w:eastAsia="宋体" w:cs="宋体"/>
          <w:snapToGrid w:val="0"/>
          <w:color w:val="auto"/>
          <w:kern w:val="0"/>
          <w:highlight w:val="none"/>
        </w:rPr>
        <w:t xml:space="preserve"> 中标人因不可抗力提出不能履行合同的，须在领取中标通知书之日起10天内提供有关证明文件或资料，其投标保证予以退还，招标人可按照评标委员会提出的中标候选人名单排序依次确定其他中标候选人为中标人。如果招标人认为其他中标候选人的条件明显不利于招标人的，也可以重新招标。</w:t>
      </w:r>
    </w:p>
    <w:p w14:paraId="20E97176">
      <w:pPr>
        <w:pStyle w:val="146"/>
        <w:keepNext w:val="0"/>
        <w:keepLines w:val="0"/>
        <w:pageBreakBefore w:val="0"/>
        <w:widowControl/>
        <w:kinsoku/>
        <w:wordWrap/>
        <w:overflowPunct/>
        <w:topLinePunct w:val="0"/>
        <w:autoSpaceDE/>
        <w:autoSpaceDN/>
        <w:bidi w:val="0"/>
        <w:adjustRightInd/>
        <w:spacing w:line="360" w:lineRule="auto"/>
        <w:ind w:firstLine="470" w:firstLineChars="0"/>
        <w:textAlignment w:val="auto"/>
        <w:rPr>
          <w:rFonts w:hint="eastAsia" w:ascii="宋体" w:hAnsi="宋体" w:eastAsia="宋体" w:cs="宋体"/>
          <w:b/>
          <w:bCs/>
          <w:color w:val="auto"/>
          <w:kern w:val="2"/>
          <w:sz w:val="24"/>
          <w:szCs w:val="24"/>
          <w:highlight w:val="none"/>
          <w:shd w:val="clear" w:color="auto" w:fill="FFFFFF"/>
          <w:lang w:val="en-US" w:eastAsia="zh-CN" w:bidi="ar-SA"/>
        </w:rPr>
      </w:pPr>
    </w:p>
    <w:p w14:paraId="3D634CEF">
      <w:pPr>
        <w:pStyle w:val="146"/>
        <w:keepNext w:val="0"/>
        <w:keepLines w:val="0"/>
        <w:pageBreakBefore w:val="0"/>
        <w:widowControl/>
        <w:kinsoku/>
        <w:wordWrap/>
        <w:overflowPunct/>
        <w:topLinePunct w:val="0"/>
        <w:autoSpaceDE/>
        <w:autoSpaceDN/>
        <w:bidi w:val="0"/>
        <w:adjustRightInd/>
        <w:spacing w:line="360" w:lineRule="auto"/>
        <w:ind w:firstLine="470" w:firstLineChars="0"/>
        <w:textAlignment w:val="auto"/>
        <w:rPr>
          <w:rFonts w:hint="eastAsia" w:ascii="宋体" w:hAnsi="宋体" w:eastAsia="宋体" w:cs="宋体"/>
          <w:color w:val="auto"/>
          <w:kern w:val="2"/>
          <w:sz w:val="24"/>
          <w:szCs w:val="24"/>
          <w:highlight w:val="none"/>
          <w:shd w:val="clear" w:color="auto" w:fill="FFFFFF"/>
          <w:lang w:val="en-US" w:eastAsia="zh-CN" w:bidi="ar-SA"/>
        </w:rPr>
      </w:pPr>
      <w:r>
        <w:rPr>
          <w:rFonts w:hint="eastAsia" w:ascii="宋体" w:hAnsi="宋体" w:eastAsia="宋体" w:cs="宋体"/>
          <w:b/>
          <w:bCs/>
          <w:color w:val="auto"/>
          <w:kern w:val="2"/>
          <w:sz w:val="24"/>
          <w:szCs w:val="24"/>
          <w:highlight w:val="none"/>
          <w:shd w:val="clear" w:color="auto" w:fill="FFFFFF"/>
          <w:lang w:val="en-US" w:eastAsia="zh-CN" w:bidi="ar-SA"/>
        </w:rPr>
        <w:t>6.</w:t>
      </w:r>
      <w:r>
        <w:rPr>
          <w:rFonts w:hint="eastAsia" w:ascii="宋体" w:hAnsi="宋体" w:eastAsia="宋体" w:cs="宋体"/>
          <w:b w:val="0"/>
          <w:bCs w:val="0"/>
          <w:color w:val="auto"/>
          <w:kern w:val="2"/>
          <w:sz w:val="24"/>
          <w:szCs w:val="24"/>
          <w:highlight w:val="none"/>
          <w:shd w:val="clear" w:color="auto" w:fill="FFFFFF"/>
          <w:lang w:val="en-US" w:eastAsia="zh-CN" w:bidi="ar-SA"/>
        </w:rPr>
        <w:t>招标代理费及评标专家酬劳的支付：本项目的招标代理服务费和评标专家酬劳全部由中标人支付，该费用不再另行报价，由投标人在投标报价时综合考虑在内。招标代理服务费参照按《招标代理服务收费管理暂行办法》（计价格[2002]1980号文）和国家发展改革委关于降低部分建设项目收费标准规范收费行为等有关问题的通知（发改价格[2011]534号）计取。</w:t>
      </w:r>
    </w:p>
    <w:p w14:paraId="5A30A767">
      <w:pPr>
        <w:pStyle w:val="146"/>
        <w:keepNext w:val="0"/>
        <w:keepLines w:val="0"/>
        <w:pageBreakBefore w:val="0"/>
        <w:widowControl/>
        <w:kinsoku/>
        <w:wordWrap/>
        <w:overflowPunct/>
        <w:topLinePunct w:val="0"/>
        <w:autoSpaceDE/>
        <w:autoSpaceDN/>
        <w:bidi w:val="0"/>
        <w:adjustRightInd/>
        <w:spacing w:line="360" w:lineRule="auto"/>
        <w:ind w:firstLine="470" w:firstLineChars="0"/>
        <w:textAlignment w:val="auto"/>
        <w:rPr>
          <w:rFonts w:hint="eastAsia" w:ascii="宋体" w:hAnsi="宋体" w:eastAsia="宋体" w:cs="宋体"/>
          <w:color w:val="auto"/>
          <w:kern w:val="2"/>
          <w:sz w:val="24"/>
          <w:szCs w:val="24"/>
          <w:highlight w:val="none"/>
          <w:shd w:val="clear" w:color="auto" w:fill="FFFFFF"/>
          <w:lang w:val="en-US" w:eastAsia="zh-CN" w:bidi="ar-SA"/>
        </w:rPr>
      </w:pPr>
    </w:p>
    <w:p w14:paraId="0E39B07B">
      <w:pPr>
        <w:rPr>
          <w:rFonts w:hint="eastAsia" w:ascii="宋体" w:hAnsi="宋体" w:eastAsia="宋体" w:cs="宋体"/>
          <w:b/>
          <w:snapToGrid w:val="0"/>
          <w:color w:val="auto"/>
          <w:sz w:val="24"/>
          <w:highlight w:val="none"/>
          <w:lang w:val="en-US" w:eastAsia="zh-CN"/>
        </w:rPr>
      </w:pPr>
      <w:bookmarkStart w:id="176" w:name="_Toc24436"/>
      <w:r>
        <w:rPr>
          <w:rFonts w:hint="eastAsia" w:ascii="宋体" w:hAnsi="宋体" w:eastAsia="宋体" w:cs="宋体"/>
          <w:b/>
          <w:snapToGrid w:val="0"/>
          <w:color w:val="auto"/>
          <w:sz w:val="24"/>
          <w:highlight w:val="none"/>
          <w:lang w:val="en-US" w:eastAsia="zh-CN"/>
        </w:rPr>
        <w:br w:type="page"/>
      </w:r>
    </w:p>
    <w:p w14:paraId="040426AF">
      <w:pPr>
        <w:pStyle w:val="2"/>
        <w:wordWrap w:val="0"/>
        <w:autoSpaceDE/>
        <w:autoSpaceDN/>
        <w:snapToGrid w:val="0"/>
        <w:spacing w:line="440" w:lineRule="exact"/>
        <w:jc w:val="center"/>
        <w:rPr>
          <w:rFonts w:hint="eastAsia" w:ascii="宋体" w:hAnsi="宋体" w:eastAsia="宋体" w:cs="宋体"/>
          <w:b/>
          <w:snapToGrid w:val="0"/>
          <w:color w:val="auto"/>
          <w:sz w:val="24"/>
          <w:highlight w:val="none"/>
          <w:lang w:val="en-US" w:eastAsia="zh-CN"/>
        </w:rPr>
      </w:pPr>
      <w:r>
        <w:rPr>
          <w:rFonts w:hint="eastAsia" w:ascii="宋体" w:hAnsi="宋体" w:eastAsia="宋体" w:cs="宋体"/>
          <w:b/>
          <w:snapToGrid w:val="0"/>
          <w:color w:val="auto"/>
          <w:sz w:val="24"/>
          <w:highlight w:val="none"/>
          <w:lang w:val="en-US" w:eastAsia="zh-CN"/>
        </w:rPr>
        <w:t>第三章</w:t>
      </w:r>
      <w:bookmarkStart w:id="177" w:name="_Hlt87793831"/>
      <w:bookmarkEnd w:id="177"/>
      <w:r>
        <w:rPr>
          <w:rFonts w:hint="eastAsia" w:ascii="宋体" w:hAnsi="宋体" w:eastAsia="宋体" w:cs="宋体"/>
          <w:b/>
          <w:snapToGrid w:val="0"/>
          <w:color w:val="auto"/>
          <w:sz w:val="24"/>
          <w:highlight w:val="none"/>
          <w:lang w:val="en-US" w:eastAsia="zh-CN"/>
        </w:rPr>
        <w:t xml:space="preserve"> 拟签订合同的主要条款</w:t>
      </w:r>
      <w:bookmarkEnd w:id="166"/>
      <w:bookmarkEnd w:id="167"/>
      <w:bookmarkEnd w:id="176"/>
    </w:p>
    <w:bookmarkEnd w:id="168"/>
    <w:bookmarkEnd w:id="169"/>
    <w:p w14:paraId="311BC8F6">
      <w:pPr>
        <w:pStyle w:val="3"/>
        <w:wordWrap w:val="0"/>
        <w:autoSpaceDE/>
        <w:autoSpaceDN/>
        <w:snapToGrid w:val="0"/>
        <w:spacing w:line="440" w:lineRule="exact"/>
        <w:ind w:firstLine="480"/>
        <w:jc w:val="both"/>
        <w:rPr>
          <w:rFonts w:hint="eastAsia" w:ascii="宋体" w:hAnsi="宋体" w:eastAsia="宋体" w:cs="宋体"/>
          <w:b/>
          <w:snapToGrid w:val="0"/>
          <w:color w:val="auto"/>
          <w:highlight w:val="none"/>
        </w:rPr>
      </w:pPr>
      <w:bookmarkStart w:id="178" w:name="_Toc322793288"/>
      <w:bookmarkStart w:id="179" w:name="_Toc2688"/>
      <w:bookmarkStart w:id="180" w:name="_Toc326916629"/>
    </w:p>
    <w:p w14:paraId="7B3F3A34">
      <w:pPr>
        <w:pStyle w:val="4"/>
        <w:bidi w:val="0"/>
        <w:ind w:firstLine="964"/>
        <w:rPr>
          <w:rFonts w:hint="eastAsia" w:ascii="宋体" w:hAnsi="宋体" w:eastAsia="宋体" w:cs="宋体"/>
          <w:color w:val="auto"/>
        </w:rPr>
      </w:pPr>
      <w:bookmarkStart w:id="181" w:name="_Toc17021"/>
      <w:bookmarkStart w:id="182" w:name="_Toc28441"/>
      <w:bookmarkStart w:id="183" w:name="_Toc12150"/>
      <w:r>
        <w:rPr>
          <w:rFonts w:hint="eastAsia" w:ascii="宋体" w:hAnsi="宋体" w:eastAsia="宋体" w:cs="宋体"/>
          <w:color w:val="auto"/>
        </w:rPr>
        <w:t>1．工程承包方式</w:t>
      </w:r>
      <w:bookmarkEnd w:id="178"/>
      <w:bookmarkEnd w:id="179"/>
      <w:bookmarkEnd w:id="180"/>
      <w:bookmarkEnd w:id="181"/>
      <w:bookmarkEnd w:id="182"/>
      <w:bookmarkEnd w:id="183"/>
    </w:p>
    <w:p w14:paraId="207CD343">
      <w:pPr>
        <w:wordWrap w:val="0"/>
        <w:adjustRightInd w:val="0"/>
        <w:snapToGrid w:val="0"/>
        <w:spacing w:line="440" w:lineRule="exact"/>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1.1</w:t>
      </w:r>
      <w:r>
        <w:rPr>
          <w:rFonts w:hint="eastAsia" w:ascii="宋体" w:hAnsi="宋体" w:eastAsia="宋体" w:cs="宋体"/>
          <w:snapToGrid w:val="0"/>
          <w:color w:val="auto"/>
          <w:kern w:val="0"/>
          <w:highlight w:val="none"/>
        </w:rPr>
        <w:t xml:space="preserve"> 承包人以中标价按包工</w:t>
      </w:r>
      <w:bookmarkStart w:id="184" w:name="_Hlt87948212"/>
      <w:bookmarkEnd w:id="184"/>
      <w:r>
        <w:rPr>
          <w:rFonts w:hint="eastAsia" w:ascii="宋体" w:hAnsi="宋体" w:eastAsia="宋体" w:cs="宋体"/>
          <w:snapToGrid w:val="0"/>
          <w:color w:val="auto"/>
          <w:kern w:val="0"/>
          <w:highlight w:val="none"/>
        </w:rPr>
        <w:t>包料、包质量、包安全包文明施工、包工期方式总承包施工，不允许转包和违法分包，如果确需分包须与发包人协商，在得到发包人和监理单位同意后报建设行政主管部门备案。</w:t>
      </w:r>
    </w:p>
    <w:p w14:paraId="07862F77">
      <w:pPr>
        <w:wordWrap w:val="0"/>
        <w:adjustRightInd w:val="0"/>
        <w:snapToGrid w:val="0"/>
        <w:spacing w:line="440" w:lineRule="exact"/>
        <w:ind w:firstLine="56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1.1.1</w:t>
      </w:r>
      <w:r>
        <w:rPr>
          <w:rFonts w:hint="eastAsia" w:ascii="宋体" w:hAnsi="宋体" w:eastAsia="宋体" w:cs="宋体"/>
          <w:snapToGrid w:val="0"/>
          <w:color w:val="auto"/>
          <w:kern w:val="0"/>
          <w:highlight w:val="none"/>
        </w:rPr>
        <w:t xml:space="preserve"> 包工包料：材料符合招标文件要求并报验使用；办理用工保险。</w:t>
      </w:r>
    </w:p>
    <w:p w14:paraId="3BACB0B2">
      <w:pPr>
        <w:wordWrap w:val="0"/>
        <w:adjustRightInd w:val="0"/>
        <w:snapToGrid w:val="0"/>
        <w:spacing w:line="440" w:lineRule="exact"/>
        <w:ind w:firstLine="56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1.1.2</w:t>
      </w:r>
      <w:r>
        <w:rPr>
          <w:rFonts w:hint="eastAsia" w:ascii="宋体" w:hAnsi="宋体" w:eastAsia="宋体" w:cs="宋体"/>
          <w:snapToGrid w:val="0"/>
          <w:color w:val="auto"/>
          <w:kern w:val="0"/>
          <w:highlight w:val="none"/>
        </w:rPr>
        <w:t xml:space="preserve"> 包质量：符合招标文件要求。</w:t>
      </w:r>
    </w:p>
    <w:p w14:paraId="6D745C9D">
      <w:pPr>
        <w:wordWrap w:val="0"/>
        <w:adjustRightInd w:val="0"/>
        <w:snapToGrid w:val="0"/>
        <w:spacing w:line="440" w:lineRule="exact"/>
        <w:ind w:firstLine="56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1.1.3</w:t>
      </w:r>
      <w:r>
        <w:rPr>
          <w:rFonts w:hint="eastAsia" w:ascii="宋体" w:hAnsi="宋体" w:eastAsia="宋体" w:cs="宋体"/>
          <w:snapToGrid w:val="0"/>
          <w:color w:val="auto"/>
          <w:kern w:val="0"/>
          <w:highlight w:val="none"/>
        </w:rPr>
        <w:t xml:space="preserve"> 包安全包文明施工：符合招标文件要求。</w:t>
      </w:r>
    </w:p>
    <w:p w14:paraId="5D39D0D9">
      <w:pPr>
        <w:wordWrap w:val="0"/>
        <w:adjustRightInd w:val="0"/>
        <w:snapToGrid w:val="0"/>
        <w:spacing w:line="440" w:lineRule="exact"/>
        <w:ind w:firstLine="56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 xml:space="preserve">1.1.4 </w:t>
      </w:r>
      <w:r>
        <w:rPr>
          <w:rFonts w:hint="eastAsia" w:ascii="宋体" w:hAnsi="宋体" w:eastAsia="宋体" w:cs="宋体"/>
          <w:snapToGrid w:val="0"/>
          <w:color w:val="auto"/>
          <w:kern w:val="0"/>
          <w:highlight w:val="none"/>
        </w:rPr>
        <w:t>包工期：本招标项目施工必须在招标工期内完成。</w:t>
      </w:r>
    </w:p>
    <w:p w14:paraId="21564866">
      <w:pPr>
        <w:wordWrap w:val="0"/>
        <w:adjustRightInd w:val="0"/>
        <w:snapToGrid w:val="0"/>
        <w:spacing w:line="440" w:lineRule="exact"/>
        <w:ind w:firstLine="560"/>
        <w:rPr>
          <w:rFonts w:hint="eastAsia" w:ascii="宋体" w:hAnsi="宋体" w:eastAsia="宋体" w:cs="宋体"/>
          <w:snapToGrid w:val="0"/>
          <w:color w:val="auto"/>
          <w:kern w:val="0"/>
          <w:highlight w:val="none"/>
        </w:rPr>
      </w:pPr>
    </w:p>
    <w:p w14:paraId="6DB5E88B">
      <w:pPr>
        <w:pStyle w:val="4"/>
        <w:bidi w:val="0"/>
        <w:ind w:firstLine="964"/>
        <w:rPr>
          <w:rFonts w:hint="eastAsia" w:ascii="宋体" w:hAnsi="宋体" w:eastAsia="宋体" w:cs="宋体"/>
          <w:color w:val="auto"/>
        </w:rPr>
      </w:pPr>
      <w:bookmarkStart w:id="185" w:name="_2、工程结算原则"/>
      <w:bookmarkEnd w:id="185"/>
      <w:bookmarkStart w:id="186" w:name="_Toc3107"/>
      <w:bookmarkStart w:id="187" w:name="_Toc9168"/>
      <w:bookmarkStart w:id="188" w:name="_Toc27001"/>
      <w:bookmarkStart w:id="189" w:name="_Toc21894"/>
      <w:bookmarkStart w:id="190" w:name="_Toc322793289"/>
      <w:bookmarkStart w:id="191" w:name="_Toc326916630"/>
      <w:bookmarkStart w:id="192" w:name="_Hlt87948449"/>
      <w:bookmarkStart w:id="193" w:name="_Hlt87948447"/>
      <w:r>
        <w:rPr>
          <w:rFonts w:hint="eastAsia" w:ascii="宋体" w:hAnsi="宋体" w:eastAsia="宋体" w:cs="宋体"/>
          <w:color w:val="auto"/>
        </w:rPr>
        <w:t>2．工程结算原则</w:t>
      </w:r>
      <w:bookmarkEnd w:id="186"/>
      <w:bookmarkEnd w:id="187"/>
      <w:bookmarkEnd w:id="188"/>
      <w:bookmarkEnd w:id="189"/>
      <w:bookmarkEnd w:id="190"/>
      <w:bookmarkEnd w:id="191"/>
    </w:p>
    <w:p w14:paraId="3B1C80AA">
      <w:pPr>
        <w:wordWrap w:val="0"/>
        <w:adjustRightInd w:val="0"/>
        <w:snapToGrid w:val="0"/>
        <w:spacing w:line="440" w:lineRule="exact"/>
        <w:ind w:firstLine="480"/>
        <w:rPr>
          <w:rFonts w:hint="eastAsia" w:ascii="宋体" w:hAnsi="宋体" w:eastAsia="宋体" w:cs="宋体"/>
          <w:snapToGrid w:val="0"/>
          <w:color w:val="auto"/>
          <w:kern w:val="0"/>
          <w:szCs w:val="24"/>
          <w:highlight w:val="none"/>
        </w:rPr>
      </w:pPr>
      <w:bookmarkStart w:id="194" w:name="_Hlt88974053"/>
      <w:bookmarkEnd w:id="194"/>
      <w:r>
        <w:rPr>
          <w:rFonts w:hint="eastAsia" w:ascii="宋体" w:hAnsi="宋体" w:eastAsia="宋体" w:cs="宋体"/>
          <w:b/>
          <w:bCs/>
          <w:snapToGrid w:val="0"/>
          <w:color w:val="auto"/>
          <w:kern w:val="0"/>
          <w:szCs w:val="24"/>
          <w:highlight w:val="none"/>
        </w:rPr>
        <w:t>2.1</w:t>
      </w:r>
      <w:r>
        <w:rPr>
          <w:rFonts w:hint="eastAsia" w:ascii="宋体" w:hAnsi="宋体" w:eastAsia="宋体" w:cs="宋体"/>
          <w:snapToGrid w:val="0"/>
          <w:color w:val="auto"/>
          <w:kern w:val="0"/>
          <w:szCs w:val="24"/>
          <w:highlight w:val="none"/>
        </w:rPr>
        <w:t xml:space="preserve"> </w:t>
      </w:r>
      <w:r>
        <w:rPr>
          <w:rFonts w:hint="eastAsia" w:ascii="宋体" w:hAnsi="宋体" w:eastAsia="宋体" w:cs="宋体"/>
          <w:snapToGrid w:val="0"/>
          <w:color w:val="auto"/>
          <w:kern w:val="0"/>
          <w:highlight w:val="none"/>
        </w:rPr>
        <w:t>承包</w:t>
      </w:r>
      <w:r>
        <w:rPr>
          <w:rFonts w:hint="eastAsia" w:ascii="宋体" w:hAnsi="宋体" w:eastAsia="宋体" w:cs="宋体"/>
          <w:snapToGrid w:val="0"/>
          <w:color w:val="auto"/>
          <w:kern w:val="0"/>
          <w:szCs w:val="24"/>
          <w:highlight w:val="none"/>
        </w:rPr>
        <w:t>人的投标总价为中标价，即为签约合同价。</w:t>
      </w:r>
    </w:p>
    <w:p w14:paraId="0B6A5EF6">
      <w:pPr>
        <w:wordWrap w:val="0"/>
        <w:adjustRightInd w:val="0"/>
        <w:snapToGrid w:val="0"/>
        <w:spacing w:line="440" w:lineRule="exact"/>
        <w:ind w:firstLine="480"/>
        <w:rPr>
          <w:rFonts w:hint="eastAsia" w:ascii="宋体" w:hAnsi="宋体" w:eastAsia="宋体" w:cs="宋体"/>
          <w:color w:val="auto"/>
          <w:highlight w:val="none"/>
        </w:rPr>
      </w:pPr>
      <w:r>
        <w:rPr>
          <w:rFonts w:hint="eastAsia" w:ascii="宋体" w:hAnsi="宋体" w:eastAsia="宋体" w:cs="宋体"/>
          <w:b/>
          <w:bCs/>
          <w:snapToGrid w:val="0"/>
          <w:color w:val="auto"/>
          <w:kern w:val="0"/>
          <w:szCs w:val="24"/>
          <w:highlight w:val="none"/>
        </w:rPr>
        <w:t>2.2</w:t>
      </w:r>
      <w:r>
        <w:rPr>
          <w:rFonts w:hint="eastAsia" w:ascii="宋体" w:hAnsi="宋体" w:eastAsia="宋体" w:cs="宋体"/>
          <w:snapToGrid w:val="0"/>
          <w:color w:val="auto"/>
          <w:kern w:val="0"/>
          <w:szCs w:val="24"/>
          <w:highlight w:val="none"/>
        </w:rPr>
        <w:t xml:space="preserve"> 招标工程量清单标明的工程量是投标人投标报价的共同基础，竣工结算的工程量按</w:t>
      </w:r>
      <w:r>
        <w:rPr>
          <w:rFonts w:hint="eastAsia" w:ascii="宋体" w:hAnsi="宋体" w:eastAsia="宋体" w:cs="宋体"/>
          <w:snapToGrid w:val="0"/>
          <w:color w:val="auto"/>
          <w:kern w:val="0"/>
          <w:sz w:val="24"/>
          <w:szCs w:val="24"/>
          <w:highlight w:val="none"/>
          <w:lang w:val="en-US" w:eastAsia="zh-CN"/>
        </w:rPr>
        <w:t>《建设工程工程量清单计价标准》(GB/T50500-2024)</w:t>
      </w:r>
      <w:r>
        <w:rPr>
          <w:rFonts w:hint="eastAsia" w:ascii="宋体" w:hAnsi="宋体" w:eastAsia="宋体" w:cs="宋体"/>
          <w:snapToGrid w:val="0"/>
          <w:color w:val="auto"/>
          <w:kern w:val="0"/>
          <w:szCs w:val="24"/>
          <w:highlight w:val="none"/>
        </w:rPr>
        <w:t>对工程计量的规定进行计量，必须以承包人完成合同工程应予计量的工程量确定。施工中进行工程计量，当发现招标工程量清单中出现缺项、工程量偏差、或因工程变更引起工程量增减时，应按承包人在履行合同义务中完成的工程量计算。因承包人原因造成的超出合同工程范围施工或返工的工程量，发包人不予计量。</w:t>
      </w:r>
    </w:p>
    <w:p w14:paraId="113F0888">
      <w:pPr>
        <w:spacing w:line="240" w:lineRule="auto"/>
        <w:ind w:firstLine="482" w:firstLineChars="200"/>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2.3</w:t>
      </w:r>
      <w:r>
        <w:rPr>
          <w:rFonts w:hint="eastAsia" w:ascii="宋体" w:hAnsi="宋体" w:eastAsia="宋体" w:cs="宋体"/>
          <w:snapToGrid w:val="0"/>
          <w:color w:val="auto"/>
          <w:kern w:val="0"/>
          <w:szCs w:val="24"/>
          <w:highlight w:val="none"/>
        </w:rPr>
        <w:t xml:space="preserve"> 施工合同履行期间，若出现下列情形的，发、承包双方应当按照以下规定调整合同价款：</w:t>
      </w:r>
    </w:p>
    <w:p w14:paraId="3C4CC2D4">
      <w:pPr>
        <w:wordWrap w:val="0"/>
        <w:adjustRightInd w:val="0"/>
        <w:snapToGrid w:val="0"/>
        <w:spacing w:line="440" w:lineRule="exact"/>
        <w:ind w:firstLine="480"/>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2.3.1</w:t>
      </w:r>
      <w:r>
        <w:rPr>
          <w:rFonts w:hint="eastAsia" w:ascii="宋体" w:hAnsi="宋体" w:eastAsia="宋体" w:cs="宋体"/>
          <w:snapToGrid w:val="0"/>
          <w:color w:val="auto"/>
          <w:kern w:val="0"/>
          <w:szCs w:val="24"/>
          <w:highlight w:val="none"/>
        </w:rPr>
        <w:t xml:space="preserve"> 法律法规变化</w:t>
      </w:r>
    </w:p>
    <w:p w14:paraId="431CEA75">
      <w:pPr>
        <w:wordWrap w:val="0"/>
        <w:adjustRightInd w:val="0"/>
        <w:snapToGrid w:val="0"/>
        <w:spacing w:line="440" w:lineRule="exact"/>
        <w:ind w:firstLine="480"/>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2.3.1.1</w:t>
      </w:r>
      <w:r>
        <w:rPr>
          <w:rFonts w:hint="eastAsia" w:ascii="宋体" w:hAnsi="宋体" w:eastAsia="宋体" w:cs="宋体"/>
          <w:snapToGrid w:val="0"/>
          <w:color w:val="auto"/>
          <w:kern w:val="0"/>
          <w:szCs w:val="24"/>
          <w:highlight w:val="none"/>
        </w:rPr>
        <w:t xml:space="preserve"> 基准日之后，因国家法律、法规、规章和政策发生变化引起工程造价增减变化时，发、承包双方应按照省级建设主管部门（或省级行业主管部门）或其授权的工程造价管理机构据此发布的最新规定调整合同价款。</w:t>
      </w:r>
    </w:p>
    <w:p w14:paraId="38C06DB2">
      <w:pPr>
        <w:wordWrap w:val="0"/>
        <w:adjustRightInd w:val="0"/>
        <w:snapToGrid w:val="0"/>
        <w:spacing w:line="440" w:lineRule="exact"/>
        <w:ind w:firstLine="480"/>
        <w:rPr>
          <w:rFonts w:hint="eastAsia" w:ascii="宋体" w:hAnsi="宋体" w:eastAsia="宋体" w:cs="宋体"/>
          <w:b/>
          <w:bCs/>
          <w:snapToGrid w:val="0"/>
          <w:color w:val="auto"/>
          <w:kern w:val="0"/>
          <w:highlight w:val="none"/>
          <w:lang w:val="en-US" w:eastAsia="zh-CN"/>
        </w:rPr>
      </w:pPr>
      <w:r>
        <w:rPr>
          <w:rFonts w:hint="eastAsia" w:ascii="宋体" w:hAnsi="宋体" w:eastAsia="宋体" w:cs="宋体"/>
          <w:b/>
          <w:bCs/>
          <w:snapToGrid w:val="0"/>
          <w:color w:val="auto"/>
          <w:kern w:val="0"/>
          <w:highlight w:val="none"/>
        </w:rPr>
        <w:t>注：本招标文件所称“基准日”，均指投标文件递交截止时间（见第一章第二节“重要事项时间地点一览表”）前28天。</w:t>
      </w:r>
    </w:p>
    <w:p w14:paraId="16991919">
      <w:pPr>
        <w:wordWrap w:val="0"/>
        <w:adjustRightInd w:val="0"/>
        <w:snapToGrid w:val="0"/>
        <w:spacing w:line="440" w:lineRule="exact"/>
        <w:ind w:firstLine="480"/>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2.3.1.2</w:t>
      </w:r>
      <w:r>
        <w:rPr>
          <w:rFonts w:hint="eastAsia" w:ascii="宋体" w:hAnsi="宋体" w:eastAsia="宋体" w:cs="宋体"/>
          <w:snapToGrid w:val="0"/>
          <w:color w:val="auto"/>
          <w:kern w:val="0"/>
          <w:szCs w:val="24"/>
          <w:highlight w:val="none"/>
        </w:rPr>
        <w:t xml:space="preserve"> 因承包人原因导致工程延误，本章第</w:t>
      </w:r>
      <w:r>
        <w:rPr>
          <w:rFonts w:hint="eastAsia" w:ascii="宋体" w:hAnsi="宋体" w:eastAsia="宋体" w:cs="宋体"/>
          <w:b/>
          <w:bCs/>
          <w:snapToGrid w:val="0"/>
          <w:color w:val="auto"/>
          <w:kern w:val="0"/>
          <w:szCs w:val="24"/>
          <w:highlight w:val="none"/>
        </w:rPr>
        <w:t>2.3.1.1</w:t>
      </w:r>
      <w:r>
        <w:rPr>
          <w:rFonts w:hint="eastAsia" w:ascii="宋体" w:hAnsi="宋体" w:eastAsia="宋体" w:cs="宋体"/>
          <w:snapToGrid w:val="0"/>
          <w:color w:val="auto"/>
          <w:kern w:val="0"/>
          <w:szCs w:val="24"/>
          <w:highlight w:val="none"/>
        </w:rPr>
        <w:t>子目中的法定机构根据国家法律法规变化发布新规的时间在合同工程原定竣工时间之后的，合同价款调增的不予调整，合同价款调减的予以调整。</w:t>
      </w:r>
    </w:p>
    <w:p w14:paraId="22AD9081">
      <w:pPr>
        <w:wordWrap w:val="0"/>
        <w:adjustRightInd w:val="0"/>
        <w:snapToGrid w:val="0"/>
        <w:spacing w:line="440" w:lineRule="exact"/>
        <w:ind w:firstLine="480"/>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2.3.2</w:t>
      </w:r>
      <w:r>
        <w:rPr>
          <w:rFonts w:hint="eastAsia" w:ascii="宋体" w:hAnsi="宋体" w:eastAsia="宋体" w:cs="宋体"/>
          <w:snapToGrid w:val="0"/>
          <w:color w:val="auto"/>
          <w:kern w:val="0"/>
          <w:szCs w:val="24"/>
          <w:highlight w:val="none"/>
        </w:rPr>
        <w:t xml:space="preserve"> 工程量偏差或变化</w:t>
      </w:r>
    </w:p>
    <w:p w14:paraId="12EDF1AC">
      <w:pPr>
        <w:wordWrap w:val="0"/>
        <w:adjustRightInd w:val="0"/>
        <w:snapToGrid w:val="0"/>
        <w:spacing w:line="440" w:lineRule="exact"/>
        <w:ind w:firstLine="480"/>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2.3.2.1</w:t>
      </w:r>
      <w:r>
        <w:rPr>
          <w:rFonts w:hint="eastAsia" w:ascii="宋体" w:hAnsi="宋体" w:eastAsia="宋体" w:cs="宋体"/>
          <w:snapToGrid w:val="0"/>
          <w:color w:val="auto"/>
          <w:kern w:val="0"/>
          <w:szCs w:val="24"/>
          <w:highlight w:val="none"/>
        </w:rPr>
        <w:t xml:space="preserve"> 合同履行期间，当应予计算的实际工程量与招标工程量清单出现偏差或因工程变更引起已标价工程量清单项目的工程数量发生变化时，工程量偏差或变化在15%以内（含15%）的，其综合单价不予调整；工程量偏差或变化超过15%的，按照以下规定调整：</w:t>
      </w:r>
    </w:p>
    <w:bookmarkEnd w:id="192"/>
    <w:bookmarkEnd w:id="193"/>
    <w:p w14:paraId="39ED405F">
      <w:pPr>
        <w:wordWrap w:val="0"/>
        <w:adjustRightInd w:val="0"/>
        <w:snapToGrid w:val="0"/>
        <w:spacing w:line="440" w:lineRule="exact"/>
        <w:ind w:firstLine="480"/>
        <w:rPr>
          <w:rFonts w:hint="eastAsia" w:ascii="宋体" w:hAnsi="宋体" w:eastAsia="宋体" w:cs="宋体"/>
          <w:snapToGrid w:val="0"/>
          <w:color w:val="auto"/>
          <w:kern w:val="0"/>
          <w:szCs w:val="24"/>
          <w:highlight w:val="none"/>
        </w:rPr>
      </w:pPr>
      <w:bookmarkStart w:id="195" w:name="_Hlt87951777"/>
      <w:bookmarkStart w:id="196" w:name="_Toc322793290"/>
      <w:bookmarkStart w:id="197" w:name="_Toc326916631"/>
      <w:bookmarkStart w:id="198" w:name="_Toc14272"/>
      <w:r>
        <w:rPr>
          <w:rFonts w:hint="eastAsia" w:ascii="宋体" w:hAnsi="宋体" w:eastAsia="宋体" w:cs="宋体"/>
          <w:snapToGrid w:val="0"/>
          <w:color w:val="auto"/>
          <w:kern w:val="0"/>
          <w:szCs w:val="24"/>
          <w:highlight w:val="none"/>
        </w:rPr>
        <w:t>对于合理报价的清单项目，当工程量增加超过15%时，增加部分的工程量的综合单价以</w:t>
      </w:r>
      <w:r>
        <w:rPr>
          <w:rFonts w:hint="eastAsia" w:ascii="宋体" w:hAnsi="宋体" w:eastAsia="宋体" w:cs="宋体"/>
          <w:b/>
          <w:bCs/>
          <w:snapToGrid w:val="0"/>
          <w:color w:val="auto"/>
          <w:kern w:val="0"/>
          <w:sz w:val="24"/>
          <w:szCs w:val="24"/>
          <w:highlight w:val="none"/>
          <w:u w:val="single"/>
        </w:rPr>
        <w:t>该分部分项工程量清单项目原综合单价</w:t>
      </w:r>
      <w:r>
        <w:rPr>
          <w:rFonts w:hint="eastAsia" w:ascii="宋体" w:hAnsi="宋体" w:eastAsia="宋体" w:cs="宋体"/>
          <w:snapToGrid w:val="0"/>
          <w:color w:val="auto"/>
          <w:kern w:val="0"/>
          <w:szCs w:val="24"/>
          <w:highlight w:val="none"/>
        </w:rPr>
        <w:t>为基价调低</w:t>
      </w:r>
      <w:r>
        <w:rPr>
          <w:rFonts w:hint="eastAsia" w:ascii="宋体" w:hAnsi="宋体" w:eastAsia="宋体" w:cs="宋体"/>
          <w:b/>
          <w:bCs/>
          <w:snapToGrid w:val="0"/>
          <w:color w:val="auto"/>
          <w:kern w:val="0"/>
          <w:sz w:val="24"/>
          <w:szCs w:val="24"/>
          <w:highlight w:val="none"/>
          <w:u w:val="single"/>
        </w:rPr>
        <w:t>该分部分项工程量清单项目原综合单价的3</w:t>
      </w:r>
      <w:r>
        <w:rPr>
          <w:rFonts w:hint="eastAsia" w:ascii="宋体" w:hAnsi="宋体" w:eastAsia="宋体" w:cs="宋体"/>
          <w:snapToGrid w:val="0"/>
          <w:color w:val="auto"/>
          <w:kern w:val="0"/>
          <w:szCs w:val="24"/>
          <w:highlight w:val="none"/>
        </w:rPr>
        <w:t>%；当工程量</w:t>
      </w:r>
      <w:r>
        <w:rPr>
          <w:rFonts w:hint="eastAsia" w:ascii="宋体" w:hAnsi="宋体" w:eastAsia="宋体" w:cs="宋体"/>
          <w:snapToGrid w:val="0"/>
          <w:color w:val="auto"/>
          <w:kern w:val="0"/>
          <w:szCs w:val="24"/>
          <w:highlight w:val="none"/>
          <w:lang w:val="en-US" w:eastAsia="zh-CN"/>
        </w:rPr>
        <w:t>减少</w:t>
      </w:r>
      <w:r>
        <w:rPr>
          <w:rFonts w:hint="eastAsia" w:ascii="宋体" w:hAnsi="宋体" w:eastAsia="宋体" w:cs="宋体"/>
          <w:snapToGrid w:val="0"/>
          <w:color w:val="auto"/>
          <w:kern w:val="0"/>
          <w:szCs w:val="24"/>
          <w:highlight w:val="none"/>
        </w:rPr>
        <w:t>超过15%时，</w:t>
      </w:r>
      <w:r>
        <w:rPr>
          <w:rFonts w:hint="eastAsia" w:ascii="宋体" w:hAnsi="宋体" w:eastAsia="宋体" w:cs="宋体"/>
          <w:snapToGrid w:val="0"/>
          <w:color w:val="auto"/>
          <w:kern w:val="0"/>
          <w:szCs w:val="24"/>
          <w:highlight w:val="none"/>
          <w:lang w:val="en-US" w:eastAsia="zh-CN"/>
        </w:rPr>
        <w:t>减少后剩余</w:t>
      </w:r>
      <w:r>
        <w:rPr>
          <w:rFonts w:hint="eastAsia" w:ascii="宋体" w:hAnsi="宋体" w:eastAsia="宋体" w:cs="宋体"/>
          <w:snapToGrid w:val="0"/>
          <w:color w:val="auto"/>
          <w:kern w:val="0"/>
          <w:szCs w:val="24"/>
          <w:highlight w:val="none"/>
        </w:rPr>
        <w:t>部分的工程量的综合单价以</w:t>
      </w:r>
      <w:r>
        <w:rPr>
          <w:rFonts w:hint="eastAsia" w:ascii="宋体" w:hAnsi="宋体" w:eastAsia="宋体" w:cs="宋体"/>
          <w:b/>
          <w:bCs/>
          <w:snapToGrid w:val="0"/>
          <w:color w:val="auto"/>
          <w:kern w:val="0"/>
          <w:sz w:val="24"/>
          <w:szCs w:val="24"/>
          <w:highlight w:val="none"/>
          <w:u w:val="single"/>
        </w:rPr>
        <w:t>该分部分项工程量清单项目原综合单价</w:t>
      </w:r>
      <w:r>
        <w:rPr>
          <w:rFonts w:hint="eastAsia" w:ascii="宋体" w:hAnsi="宋体" w:eastAsia="宋体" w:cs="宋体"/>
          <w:snapToGrid w:val="0"/>
          <w:color w:val="auto"/>
          <w:kern w:val="0"/>
          <w:sz w:val="24"/>
          <w:szCs w:val="24"/>
          <w:highlight w:val="none"/>
        </w:rPr>
        <w:t>为基价调高</w:t>
      </w:r>
      <w:r>
        <w:rPr>
          <w:rFonts w:hint="eastAsia" w:ascii="宋体" w:hAnsi="宋体" w:eastAsia="宋体" w:cs="宋体"/>
          <w:b/>
          <w:bCs/>
          <w:snapToGrid w:val="0"/>
          <w:color w:val="auto"/>
          <w:kern w:val="0"/>
          <w:sz w:val="24"/>
          <w:szCs w:val="24"/>
          <w:highlight w:val="none"/>
          <w:u w:val="single"/>
        </w:rPr>
        <w:t>该分部分项工程量清单项目原综合单价的3</w:t>
      </w: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Cs w:val="24"/>
          <w:highlight w:val="none"/>
        </w:rPr>
        <w:t>。</w:t>
      </w:r>
    </w:p>
    <w:p w14:paraId="6DE2D3FC">
      <w:pPr>
        <w:wordWrap w:val="0"/>
        <w:adjustRightInd w:val="0"/>
        <w:snapToGrid w:val="0"/>
        <w:spacing w:line="440" w:lineRule="exact"/>
        <w:ind w:firstLine="482"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Cs w:val="24"/>
          <w:highlight w:val="none"/>
        </w:rPr>
        <w:t>对于按照第二章“中标人须知”第4.2条被认定为不平衡报价的清单项目，其综合单价按照以下方法调整：</w:t>
      </w:r>
      <w:r>
        <w:rPr>
          <w:rFonts w:hint="eastAsia" w:ascii="宋体" w:hAnsi="宋体" w:eastAsia="宋体" w:cs="宋体"/>
          <w:snapToGrid w:val="0"/>
          <w:color w:val="auto"/>
          <w:kern w:val="0"/>
          <w:sz w:val="24"/>
          <w:szCs w:val="24"/>
          <w:highlight w:val="none"/>
          <w:u w:val="single"/>
        </w:rPr>
        <w:t>以</w:t>
      </w:r>
      <w:r>
        <w:rPr>
          <w:rFonts w:hint="eastAsia" w:ascii="宋体" w:hAnsi="宋体" w:eastAsia="宋体" w:cs="宋体"/>
          <w:snapToGrid w:val="0"/>
          <w:color w:val="auto"/>
          <w:kern w:val="0"/>
          <w:sz w:val="24"/>
          <w:szCs w:val="24"/>
          <w:highlight w:val="none"/>
          <w:u w:val="single"/>
          <w:lang w:eastAsia="zh-CN"/>
        </w:rPr>
        <w:t>最高投标限价</w:t>
      </w:r>
      <w:r>
        <w:rPr>
          <w:rFonts w:hint="eastAsia" w:ascii="宋体" w:hAnsi="宋体" w:eastAsia="宋体" w:cs="宋体"/>
          <w:snapToGrid w:val="0"/>
          <w:color w:val="auto"/>
          <w:kern w:val="0"/>
          <w:sz w:val="24"/>
          <w:szCs w:val="24"/>
          <w:highlight w:val="none"/>
          <w:u w:val="single"/>
        </w:rPr>
        <w:t>中的《分部分项工程和单价措施项目清单与计价表》子目相对应综合单价×（1-中标下浮率）</w:t>
      </w:r>
      <w:r>
        <w:rPr>
          <w:rFonts w:hint="eastAsia" w:ascii="宋体" w:hAnsi="宋体" w:eastAsia="宋体" w:cs="宋体"/>
          <w:snapToGrid w:val="0"/>
          <w:color w:val="auto"/>
          <w:kern w:val="0"/>
          <w:sz w:val="24"/>
          <w:szCs w:val="24"/>
          <w:highlight w:val="none"/>
        </w:rPr>
        <w:t>。</w:t>
      </w:r>
    </w:p>
    <w:p w14:paraId="6324771E">
      <w:pPr>
        <w:wordWrap w:val="0"/>
        <w:adjustRightInd w:val="0"/>
        <w:snapToGrid w:val="0"/>
        <w:spacing w:line="440" w:lineRule="exact"/>
        <w:ind w:firstLine="482" w:firstLineChars="200"/>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2.3.2.2</w:t>
      </w:r>
      <w:r>
        <w:rPr>
          <w:rFonts w:hint="eastAsia" w:ascii="宋体" w:hAnsi="宋体" w:eastAsia="宋体" w:cs="宋体"/>
          <w:snapToGrid w:val="0"/>
          <w:color w:val="auto"/>
          <w:kern w:val="0"/>
          <w:szCs w:val="24"/>
          <w:highlight w:val="none"/>
        </w:rPr>
        <w:t xml:space="preserve"> 如果工程量出现本章第</w:t>
      </w:r>
      <w:r>
        <w:rPr>
          <w:rFonts w:hint="eastAsia" w:ascii="宋体" w:hAnsi="宋体" w:eastAsia="宋体" w:cs="宋体"/>
          <w:b/>
          <w:bCs/>
          <w:snapToGrid w:val="0"/>
          <w:color w:val="auto"/>
          <w:kern w:val="0"/>
          <w:szCs w:val="24"/>
          <w:highlight w:val="none"/>
        </w:rPr>
        <w:t>2.3.2.1</w:t>
      </w:r>
      <w:r>
        <w:rPr>
          <w:rFonts w:hint="eastAsia" w:ascii="宋体" w:hAnsi="宋体" w:eastAsia="宋体" w:cs="宋体"/>
          <w:snapToGrid w:val="0"/>
          <w:color w:val="auto"/>
          <w:kern w:val="0"/>
          <w:szCs w:val="24"/>
          <w:highlight w:val="none"/>
        </w:rPr>
        <w:t>子目的变化，且该变化引起相关措施项目相应发生变化时，按系数或单一总价方式计价的，工程量增加的措施项目费调增，工程量减少的措施项目费调减。</w:t>
      </w:r>
    </w:p>
    <w:p w14:paraId="6E9A72CD">
      <w:pPr>
        <w:wordWrap w:val="0"/>
        <w:adjustRightInd w:val="0"/>
        <w:snapToGrid w:val="0"/>
        <w:spacing w:line="440" w:lineRule="exact"/>
        <w:ind w:firstLine="480"/>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2.3.3</w:t>
      </w:r>
      <w:r>
        <w:rPr>
          <w:rFonts w:hint="eastAsia" w:ascii="宋体" w:hAnsi="宋体" w:eastAsia="宋体" w:cs="宋体"/>
          <w:snapToGrid w:val="0"/>
          <w:color w:val="auto"/>
          <w:kern w:val="0"/>
          <w:szCs w:val="24"/>
          <w:highlight w:val="none"/>
        </w:rPr>
        <w:t xml:space="preserve"> 工程变更</w:t>
      </w:r>
    </w:p>
    <w:p w14:paraId="3A2BE1E5">
      <w:pPr>
        <w:wordWrap w:val="0"/>
        <w:adjustRightInd w:val="0"/>
        <w:snapToGrid w:val="0"/>
        <w:spacing w:line="440" w:lineRule="exact"/>
        <w:ind w:firstLine="480"/>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2.3.3.1</w:t>
      </w:r>
      <w:r>
        <w:rPr>
          <w:rFonts w:hint="eastAsia" w:ascii="宋体" w:hAnsi="宋体" w:eastAsia="宋体" w:cs="宋体"/>
          <w:snapToGrid w:val="0"/>
          <w:color w:val="auto"/>
          <w:kern w:val="0"/>
          <w:szCs w:val="24"/>
          <w:highlight w:val="none"/>
        </w:rPr>
        <w:t xml:space="preserve"> 合同履行期间，因工程变更引起已标价工程量清单项目发生变化时，按照以下规定调整：</w:t>
      </w:r>
    </w:p>
    <w:p w14:paraId="5A919CA4">
      <w:pPr>
        <w:wordWrap w:val="0"/>
        <w:adjustRightInd w:val="0"/>
        <w:snapToGrid w:val="0"/>
        <w:spacing w:line="440" w:lineRule="exact"/>
        <w:ind w:firstLine="480" w:firstLineChars="200"/>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（1）已标价工程量清单中有适用于变更工程项目的，采用该项目的单价。</w:t>
      </w:r>
      <w:r>
        <w:rPr>
          <w:rFonts w:hint="eastAsia" w:ascii="宋体" w:hAnsi="宋体" w:eastAsia="宋体" w:cs="宋体"/>
          <w:b/>
          <w:bCs/>
          <w:snapToGrid w:val="0"/>
          <w:color w:val="auto"/>
          <w:kern w:val="0"/>
          <w:szCs w:val="24"/>
          <w:highlight w:val="none"/>
        </w:rPr>
        <w:t>但如果被采用的项目属于按照第二章“中标人须知”第4.2条被认定为不平衡报价的清单项目，变更工程项目的单价按照以下方法调整：</w:t>
      </w:r>
      <w:r>
        <w:rPr>
          <w:rFonts w:hint="eastAsia" w:ascii="宋体" w:hAnsi="宋体" w:eastAsia="宋体" w:cs="宋体"/>
          <w:snapToGrid w:val="0"/>
          <w:color w:val="auto"/>
          <w:kern w:val="0"/>
          <w:sz w:val="24"/>
          <w:szCs w:val="24"/>
          <w:highlight w:val="none"/>
          <w:u w:val="single"/>
        </w:rPr>
        <w:t>以</w:t>
      </w:r>
      <w:r>
        <w:rPr>
          <w:rFonts w:hint="eastAsia" w:ascii="宋体" w:hAnsi="宋体" w:eastAsia="宋体" w:cs="宋体"/>
          <w:snapToGrid w:val="0"/>
          <w:color w:val="auto"/>
          <w:kern w:val="0"/>
          <w:sz w:val="24"/>
          <w:szCs w:val="20"/>
          <w:highlight w:val="none"/>
          <w:u w:val="single"/>
          <w:lang w:eastAsia="zh-CN"/>
        </w:rPr>
        <w:t>最高投标限价</w:t>
      </w:r>
      <w:r>
        <w:rPr>
          <w:rFonts w:hint="eastAsia" w:ascii="宋体" w:hAnsi="宋体" w:eastAsia="宋体" w:cs="宋体"/>
          <w:snapToGrid w:val="0"/>
          <w:color w:val="auto"/>
          <w:kern w:val="0"/>
          <w:sz w:val="24"/>
          <w:szCs w:val="20"/>
          <w:highlight w:val="none"/>
          <w:u w:val="single"/>
        </w:rPr>
        <w:t>中的《分部分项工程和单价措施项目清单与计价表》子目相对应综合单价</w:t>
      </w:r>
      <w:r>
        <w:rPr>
          <w:rFonts w:hint="eastAsia" w:ascii="宋体" w:hAnsi="宋体" w:eastAsia="宋体" w:cs="宋体"/>
          <w:snapToGrid w:val="0"/>
          <w:color w:val="auto"/>
          <w:kern w:val="0"/>
          <w:sz w:val="24"/>
          <w:szCs w:val="24"/>
          <w:highlight w:val="none"/>
          <w:u w:val="single"/>
        </w:rPr>
        <w:t>×（1-中标下浮率）</w:t>
      </w:r>
      <w:r>
        <w:rPr>
          <w:rFonts w:hint="eastAsia" w:ascii="宋体" w:hAnsi="宋体" w:eastAsia="宋体" w:cs="宋体"/>
          <w:snapToGrid w:val="0"/>
          <w:color w:val="auto"/>
          <w:kern w:val="0"/>
          <w:szCs w:val="24"/>
          <w:highlight w:val="none"/>
          <w:u w:val="single"/>
        </w:rPr>
        <w:t xml:space="preserve"> </w:t>
      </w:r>
      <w:r>
        <w:rPr>
          <w:rFonts w:hint="eastAsia" w:ascii="宋体" w:hAnsi="宋体" w:eastAsia="宋体" w:cs="宋体"/>
          <w:snapToGrid w:val="0"/>
          <w:color w:val="auto"/>
          <w:kern w:val="0"/>
          <w:szCs w:val="24"/>
          <w:highlight w:val="none"/>
        </w:rPr>
        <w:t>。</w:t>
      </w:r>
    </w:p>
    <w:p w14:paraId="173EFF19">
      <w:pPr>
        <w:wordWrap w:val="0"/>
        <w:adjustRightInd w:val="0"/>
        <w:snapToGrid w:val="0"/>
        <w:spacing w:line="440" w:lineRule="exact"/>
        <w:ind w:firstLine="480" w:firstLineChars="200"/>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（2）已标价工程量清单中没有适用但有类似于变更工程项目的，可在合理范围内参照类似项目的单价。</w:t>
      </w:r>
      <w:r>
        <w:rPr>
          <w:rFonts w:hint="eastAsia" w:ascii="宋体" w:hAnsi="宋体" w:eastAsia="宋体" w:cs="宋体"/>
          <w:b/>
          <w:bCs/>
          <w:snapToGrid w:val="0"/>
          <w:color w:val="auto"/>
          <w:kern w:val="0"/>
          <w:szCs w:val="24"/>
          <w:highlight w:val="none"/>
        </w:rPr>
        <w:t>但如果被参考的类似项目属于按照第二章“中标人须知”第4.2条被认定为不平衡报价的清单项目，变更工程项目的单价按照以下方法调整：</w:t>
      </w:r>
      <w:r>
        <w:rPr>
          <w:rFonts w:hint="eastAsia" w:ascii="宋体" w:hAnsi="宋体" w:eastAsia="宋体" w:cs="宋体"/>
          <w:snapToGrid w:val="0"/>
          <w:color w:val="auto"/>
          <w:kern w:val="0"/>
          <w:szCs w:val="24"/>
          <w:highlight w:val="none"/>
          <w:u w:val="single"/>
        </w:rPr>
        <w:t xml:space="preserve"> </w:t>
      </w:r>
      <w:r>
        <w:rPr>
          <w:rFonts w:hint="eastAsia" w:ascii="宋体" w:hAnsi="宋体" w:eastAsia="宋体" w:cs="宋体"/>
          <w:snapToGrid w:val="0"/>
          <w:color w:val="auto"/>
          <w:kern w:val="0"/>
          <w:sz w:val="24"/>
          <w:szCs w:val="24"/>
          <w:highlight w:val="none"/>
          <w:u w:val="single"/>
        </w:rPr>
        <w:t>以</w:t>
      </w:r>
      <w:r>
        <w:rPr>
          <w:rFonts w:hint="eastAsia" w:ascii="宋体" w:hAnsi="宋体" w:eastAsia="宋体" w:cs="宋体"/>
          <w:snapToGrid w:val="0"/>
          <w:color w:val="auto"/>
          <w:kern w:val="0"/>
          <w:sz w:val="24"/>
          <w:szCs w:val="20"/>
          <w:highlight w:val="none"/>
          <w:u w:val="single"/>
          <w:lang w:eastAsia="zh-CN"/>
        </w:rPr>
        <w:t>最高投标限价</w:t>
      </w:r>
      <w:r>
        <w:rPr>
          <w:rFonts w:hint="eastAsia" w:ascii="宋体" w:hAnsi="宋体" w:eastAsia="宋体" w:cs="宋体"/>
          <w:snapToGrid w:val="0"/>
          <w:color w:val="auto"/>
          <w:kern w:val="0"/>
          <w:sz w:val="24"/>
          <w:szCs w:val="20"/>
          <w:highlight w:val="none"/>
          <w:u w:val="single"/>
        </w:rPr>
        <w:t>中的《分部分项工程和单价措施项目清单与计价表》子目相对应综合单价</w:t>
      </w:r>
      <w:r>
        <w:rPr>
          <w:rFonts w:hint="eastAsia" w:ascii="宋体" w:hAnsi="宋体" w:eastAsia="宋体" w:cs="宋体"/>
          <w:snapToGrid w:val="0"/>
          <w:color w:val="auto"/>
          <w:kern w:val="0"/>
          <w:sz w:val="24"/>
          <w:szCs w:val="24"/>
          <w:highlight w:val="none"/>
          <w:u w:val="single"/>
        </w:rPr>
        <w:t>×（1-中标下浮率）</w:t>
      </w:r>
      <w:r>
        <w:rPr>
          <w:rFonts w:hint="eastAsia" w:ascii="宋体" w:hAnsi="宋体" w:eastAsia="宋体" w:cs="宋体"/>
          <w:snapToGrid w:val="0"/>
          <w:color w:val="auto"/>
          <w:kern w:val="0"/>
          <w:szCs w:val="24"/>
          <w:highlight w:val="none"/>
          <w:u w:val="single"/>
        </w:rPr>
        <w:t xml:space="preserve">  </w:t>
      </w:r>
      <w:r>
        <w:rPr>
          <w:rFonts w:hint="eastAsia" w:ascii="宋体" w:hAnsi="宋体" w:eastAsia="宋体" w:cs="宋体"/>
          <w:snapToGrid w:val="0"/>
          <w:color w:val="auto"/>
          <w:kern w:val="0"/>
          <w:szCs w:val="24"/>
          <w:highlight w:val="none"/>
        </w:rPr>
        <w:t>。</w:t>
      </w:r>
    </w:p>
    <w:p w14:paraId="2FFED022">
      <w:pPr>
        <w:wordWrap w:val="0"/>
        <w:adjustRightInd w:val="0"/>
        <w:snapToGrid w:val="0"/>
        <w:spacing w:line="440" w:lineRule="exact"/>
        <w:ind w:firstLine="480" w:firstLineChars="200"/>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3）已标价工程量清单中没有适用也没有类似于变更工程项目的，由承包人根据变更工程资料、计量规则、计价办法、施工当月项目所在地工程造价管理机构发布的价格信息和中标下浮率提出变更工程项目的单价，报发包人确认后调整。中标下浮率的计算公式如下：</w:t>
      </w:r>
    </w:p>
    <w:p w14:paraId="4AB93DD4">
      <w:pPr>
        <w:wordWrap w:val="0"/>
        <w:adjustRightInd w:val="0"/>
        <w:snapToGrid w:val="0"/>
        <w:spacing w:line="440" w:lineRule="exact"/>
        <w:jc w:val="center"/>
        <w:rPr>
          <w:rFonts w:hint="eastAsia" w:ascii="宋体" w:hAnsi="宋体" w:eastAsia="宋体" w:cs="宋体"/>
          <w:snapToGrid w:val="0"/>
          <w:color w:val="auto"/>
          <w:kern w:val="0"/>
          <w:szCs w:val="24"/>
          <w:highlight w:val="none"/>
          <w:u w:val="wave"/>
        </w:rPr>
      </w:pPr>
      <w:r>
        <w:rPr>
          <w:rFonts w:hint="eastAsia" w:ascii="宋体" w:hAnsi="宋体" w:eastAsia="宋体" w:cs="宋体"/>
          <w:snapToGrid w:val="0"/>
          <w:color w:val="auto"/>
          <w:kern w:val="0"/>
          <w:szCs w:val="24"/>
          <w:highlight w:val="none"/>
        </w:rPr>
        <w:t>中标下浮率＝（1－中标价÷</w:t>
      </w:r>
      <w:r>
        <w:rPr>
          <w:rFonts w:hint="eastAsia" w:ascii="宋体" w:hAnsi="宋体" w:eastAsia="宋体" w:cs="宋体"/>
          <w:snapToGrid w:val="0"/>
          <w:color w:val="auto"/>
          <w:kern w:val="0"/>
          <w:szCs w:val="24"/>
          <w:highlight w:val="none"/>
          <w:lang w:eastAsia="zh-CN"/>
        </w:rPr>
        <w:t>最高投标限价</w:t>
      </w:r>
      <w:r>
        <w:rPr>
          <w:rFonts w:hint="eastAsia" w:ascii="宋体" w:hAnsi="宋体" w:eastAsia="宋体" w:cs="宋体"/>
          <w:snapToGrid w:val="0"/>
          <w:color w:val="auto"/>
          <w:kern w:val="0"/>
          <w:szCs w:val="24"/>
          <w:highlight w:val="none"/>
        </w:rPr>
        <w:t>）×100%</w:t>
      </w:r>
    </w:p>
    <w:p w14:paraId="52F2A33B">
      <w:pPr>
        <w:wordWrap w:val="0"/>
        <w:adjustRightInd w:val="0"/>
        <w:snapToGrid w:val="0"/>
        <w:spacing w:line="440" w:lineRule="exact"/>
        <w:ind w:firstLine="480" w:firstLineChars="200"/>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4）已标价工程量清单中没有适用也没有类似于变更工程项目，且施工当月项目所在地工程造价管理机构发布的价格信息缺项的，由承包人根据变更工程资料、计量规则、计价办法和通过市场调查等取得有合法依据的市场价格提出变更工程项目的单价，报发包人确认后调整。</w:t>
      </w:r>
    </w:p>
    <w:p w14:paraId="5485B758">
      <w:pPr>
        <w:wordWrap w:val="0"/>
        <w:adjustRightInd w:val="0"/>
        <w:snapToGrid w:val="0"/>
        <w:spacing w:line="440" w:lineRule="exact"/>
        <w:ind w:firstLine="482" w:firstLineChars="200"/>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2.3.3.2</w:t>
      </w:r>
      <w:r>
        <w:rPr>
          <w:rFonts w:hint="eastAsia" w:ascii="宋体" w:hAnsi="宋体" w:eastAsia="宋体" w:cs="宋体"/>
          <w:snapToGrid w:val="0"/>
          <w:color w:val="auto"/>
          <w:kern w:val="0"/>
          <w:szCs w:val="24"/>
          <w:highlight w:val="none"/>
        </w:rPr>
        <w:t xml:space="preserve"> 工程变更引起施工方案改变并使措施项目发生变化时，承包人提出调整措施项目费的，应事先将拟实施的方案提交发包人确认，并应详细说明与原方案措施项目相比的变化情况。拟实施的方案经发、承包双方确认后执行，并按照本章下列规定调整措施项目费：</w:t>
      </w:r>
    </w:p>
    <w:p w14:paraId="7ACDFC8B">
      <w:pPr>
        <w:wordWrap w:val="0"/>
        <w:adjustRightInd w:val="0"/>
        <w:snapToGrid w:val="0"/>
        <w:spacing w:line="440" w:lineRule="exact"/>
        <w:ind w:firstLine="480" w:firstLineChars="200"/>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（1）</w:t>
      </w:r>
      <w:r>
        <w:rPr>
          <w:rFonts w:hint="eastAsia" w:ascii="宋体" w:hAnsi="宋体" w:eastAsia="宋体" w:cs="宋体"/>
          <w:snapToGrid w:val="0"/>
          <w:color w:val="auto"/>
          <w:kern w:val="0"/>
          <w:szCs w:val="24"/>
          <w:highlight w:val="none"/>
          <w:lang w:eastAsia="zh-CN"/>
        </w:rPr>
        <w:t>安全生产措施费</w:t>
      </w:r>
      <w:r>
        <w:rPr>
          <w:rFonts w:hint="eastAsia" w:ascii="宋体" w:hAnsi="宋体" w:eastAsia="宋体" w:cs="宋体"/>
          <w:snapToGrid w:val="0"/>
          <w:color w:val="auto"/>
          <w:kern w:val="0"/>
          <w:szCs w:val="24"/>
          <w:highlight w:val="none"/>
        </w:rPr>
        <w:t>应按照实际发生变化的措施项目计算。</w:t>
      </w:r>
    </w:p>
    <w:p w14:paraId="45005664">
      <w:pPr>
        <w:wordWrap w:val="0"/>
        <w:adjustRightInd w:val="0"/>
        <w:snapToGrid w:val="0"/>
        <w:spacing w:line="440" w:lineRule="exact"/>
        <w:ind w:firstLine="480" w:firstLineChars="200"/>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（2）采用单价计算的措施项目费，应按照实际发生变化的措施项目，按本章第</w:t>
      </w:r>
      <w:r>
        <w:rPr>
          <w:rFonts w:hint="eastAsia" w:ascii="宋体" w:hAnsi="宋体" w:eastAsia="宋体" w:cs="宋体"/>
          <w:b/>
          <w:bCs/>
          <w:snapToGrid w:val="0"/>
          <w:color w:val="auto"/>
          <w:kern w:val="0"/>
          <w:szCs w:val="24"/>
          <w:highlight w:val="none"/>
        </w:rPr>
        <w:t>2.3.3.1</w:t>
      </w:r>
      <w:r>
        <w:rPr>
          <w:rFonts w:hint="eastAsia" w:ascii="宋体" w:hAnsi="宋体" w:eastAsia="宋体" w:cs="宋体"/>
          <w:snapToGrid w:val="0"/>
          <w:color w:val="auto"/>
          <w:kern w:val="0"/>
          <w:szCs w:val="24"/>
          <w:highlight w:val="none"/>
        </w:rPr>
        <w:t>子目的规定确定单价。</w:t>
      </w:r>
    </w:p>
    <w:p w14:paraId="71DB5569">
      <w:pPr>
        <w:wordWrap w:val="0"/>
        <w:adjustRightInd w:val="0"/>
        <w:snapToGrid w:val="0"/>
        <w:spacing w:line="440" w:lineRule="exact"/>
        <w:ind w:firstLine="480" w:firstLineChars="200"/>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（3）按总价或系数计算的措施项目费，应按照实际发生变化的措施项目费调整并考虑中标下浮率因素，即调整金额</w:t>
      </w:r>
      <w:r>
        <w:rPr>
          <w:rFonts w:hint="eastAsia" w:ascii="宋体" w:hAnsi="宋体" w:eastAsia="宋体" w:cs="宋体"/>
          <w:bCs/>
          <w:snapToGrid w:val="0"/>
          <w:color w:val="auto"/>
          <w:kern w:val="0"/>
          <w:szCs w:val="28"/>
          <w:highlight w:val="none"/>
        </w:rPr>
        <w:t>＝按照实际变化调整</w:t>
      </w:r>
      <w:r>
        <w:rPr>
          <w:rFonts w:hint="eastAsia" w:ascii="宋体" w:hAnsi="宋体" w:eastAsia="宋体" w:cs="宋体"/>
          <w:snapToGrid w:val="0"/>
          <w:color w:val="auto"/>
          <w:kern w:val="0"/>
          <w:szCs w:val="24"/>
          <w:highlight w:val="none"/>
        </w:rPr>
        <w:t>后的金额</w:t>
      </w:r>
      <w:r>
        <w:rPr>
          <w:rFonts w:hint="eastAsia" w:ascii="宋体" w:hAnsi="宋体" w:eastAsia="宋体" w:cs="宋体"/>
          <w:bCs/>
          <w:snapToGrid w:val="0"/>
          <w:color w:val="auto"/>
          <w:kern w:val="0"/>
          <w:szCs w:val="28"/>
          <w:highlight w:val="none"/>
        </w:rPr>
        <w:t>×（1-</w:t>
      </w:r>
      <w:r>
        <w:rPr>
          <w:rFonts w:hint="eastAsia" w:ascii="宋体" w:hAnsi="宋体" w:eastAsia="宋体" w:cs="宋体"/>
          <w:snapToGrid w:val="0"/>
          <w:color w:val="auto"/>
          <w:kern w:val="0"/>
          <w:szCs w:val="24"/>
          <w:highlight w:val="none"/>
        </w:rPr>
        <w:t>中标下浮率）。</w:t>
      </w:r>
    </w:p>
    <w:p w14:paraId="1603DD59">
      <w:pPr>
        <w:wordWrap w:val="0"/>
        <w:adjustRightInd w:val="0"/>
        <w:snapToGrid w:val="0"/>
        <w:spacing w:line="440" w:lineRule="exact"/>
        <w:ind w:firstLine="480" w:firstLineChars="200"/>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如果承包人未事先将拟实施的方案提交发包人确认，视为工程变更不引起措施项目费的调整或承包人放弃调整措施项目费的权利。</w:t>
      </w:r>
    </w:p>
    <w:p w14:paraId="7DBC08AD">
      <w:pPr>
        <w:wordWrap w:val="0"/>
        <w:adjustRightInd w:val="0"/>
        <w:snapToGrid w:val="0"/>
        <w:spacing w:line="440" w:lineRule="exact"/>
        <w:ind w:firstLine="482" w:firstLineChars="200"/>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2.3.3.3</w:t>
      </w:r>
      <w:r>
        <w:rPr>
          <w:rFonts w:hint="eastAsia" w:ascii="宋体" w:hAnsi="宋体" w:eastAsia="宋体" w:cs="宋体"/>
          <w:snapToGrid w:val="0"/>
          <w:color w:val="auto"/>
          <w:kern w:val="0"/>
          <w:szCs w:val="24"/>
          <w:highlight w:val="none"/>
        </w:rPr>
        <w:t xml:space="preserve"> 当因非承包人原因，发包人提出的工程变更删减了合同中的某项原定工作或工程，致使承包人发生的费用或（和）得到的收益不能被包括在其他已支付或应支付的项目中，也未被包含在任何替代的工作或工程中时，承包人有权提出并应得到合理的费用及利润补偿。</w:t>
      </w:r>
    </w:p>
    <w:p w14:paraId="26E95ED0">
      <w:pPr>
        <w:wordWrap w:val="0"/>
        <w:adjustRightInd w:val="0"/>
        <w:snapToGrid w:val="0"/>
        <w:spacing w:line="440" w:lineRule="exact"/>
        <w:ind w:firstLine="480"/>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2.3.4</w:t>
      </w:r>
      <w:r>
        <w:rPr>
          <w:rFonts w:hint="eastAsia" w:ascii="宋体" w:hAnsi="宋体" w:eastAsia="宋体" w:cs="宋体"/>
          <w:snapToGrid w:val="0"/>
          <w:color w:val="auto"/>
          <w:kern w:val="0"/>
          <w:szCs w:val="24"/>
          <w:highlight w:val="none"/>
        </w:rPr>
        <w:t xml:space="preserve"> 项目特征不符</w:t>
      </w:r>
    </w:p>
    <w:p w14:paraId="1F5FF32B">
      <w:pPr>
        <w:wordWrap w:val="0"/>
        <w:adjustRightInd w:val="0"/>
        <w:snapToGrid w:val="0"/>
        <w:spacing w:line="440" w:lineRule="exact"/>
        <w:ind w:firstLine="480"/>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承包人应按照发包人提供的设计图纸实施合同工程，若在合同履行期间出现设计图纸（含设计变更）与招标工程量清单任一项目的特征描述不符，且该变化引起该项目工程造价增减变化的，应按照实际施工的项目特征，并按本章第</w:t>
      </w:r>
      <w:r>
        <w:rPr>
          <w:rFonts w:hint="eastAsia" w:ascii="宋体" w:hAnsi="宋体" w:eastAsia="宋体" w:cs="宋体"/>
          <w:b/>
          <w:bCs/>
          <w:snapToGrid w:val="0"/>
          <w:color w:val="auto"/>
          <w:kern w:val="0"/>
          <w:szCs w:val="24"/>
          <w:highlight w:val="none"/>
        </w:rPr>
        <w:t>2.3.3</w:t>
      </w:r>
      <w:r>
        <w:rPr>
          <w:rFonts w:hint="eastAsia" w:ascii="宋体" w:hAnsi="宋体" w:eastAsia="宋体" w:cs="宋体"/>
          <w:snapToGrid w:val="0"/>
          <w:color w:val="auto"/>
          <w:kern w:val="0"/>
          <w:szCs w:val="24"/>
          <w:highlight w:val="none"/>
        </w:rPr>
        <w:t>目相关条款的规定重新确定相应工程量清单项目的综合单价，并调整合同价款。</w:t>
      </w:r>
    </w:p>
    <w:p w14:paraId="3A4BA281">
      <w:pPr>
        <w:wordWrap w:val="0"/>
        <w:adjustRightInd w:val="0"/>
        <w:snapToGrid w:val="0"/>
        <w:spacing w:line="440" w:lineRule="exact"/>
        <w:ind w:firstLine="480"/>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2.3.5</w:t>
      </w:r>
      <w:r>
        <w:rPr>
          <w:rFonts w:hint="eastAsia" w:ascii="宋体" w:hAnsi="宋体" w:eastAsia="宋体" w:cs="宋体"/>
          <w:snapToGrid w:val="0"/>
          <w:color w:val="auto"/>
          <w:kern w:val="0"/>
          <w:szCs w:val="24"/>
          <w:highlight w:val="none"/>
        </w:rPr>
        <w:t xml:space="preserve"> 招标工程量清单缺项</w:t>
      </w:r>
    </w:p>
    <w:p w14:paraId="37735E4B">
      <w:pPr>
        <w:wordWrap w:val="0"/>
        <w:adjustRightInd w:val="0"/>
        <w:snapToGrid w:val="0"/>
        <w:spacing w:line="440" w:lineRule="exact"/>
        <w:ind w:firstLine="480"/>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2.3.5.1</w:t>
      </w:r>
      <w:r>
        <w:rPr>
          <w:rFonts w:hint="eastAsia" w:ascii="宋体" w:hAnsi="宋体" w:eastAsia="宋体" w:cs="宋体"/>
          <w:snapToGrid w:val="0"/>
          <w:color w:val="auto"/>
          <w:kern w:val="0"/>
          <w:szCs w:val="24"/>
          <w:highlight w:val="none"/>
        </w:rPr>
        <w:t xml:space="preserve"> 合同履行期间，由于招标工程量清单中缺项，新增分部分项工程清单项目，应按照本章第</w:t>
      </w:r>
      <w:r>
        <w:rPr>
          <w:rFonts w:hint="eastAsia" w:ascii="宋体" w:hAnsi="宋体" w:eastAsia="宋体" w:cs="宋体"/>
          <w:b/>
          <w:bCs/>
          <w:snapToGrid w:val="0"/>
          <w:color w:val="auto"/>
          <w:kern w:val="0"/>
          <w:szCs w:val="24"/>
          <w:highlight w:val="none"/>
        </w:rPr>
        <w:t>2.3.3.1</w:t>
      </w:r>
      <w:r>
        <w:rPr>
          <w:rFonts w:hint="eastAsia" w:ascii="宋体" w:hAnsi="宋体" w:eastAsia="宋体" w:cs="宋体"/>
          <w:snapToGrid w:val="0"/>
          <w:color w:val="auto"/>
          <w:kern w:val="0"/>
          <w:szCs w:val="24"/>
          <w:highlight w:val="none"/>
        </w:rPr>
        <w:t>子目的规定确定单价，并调整合同价款。</w:t>
      </w:r>
    </w:p>
    <w:p w14:paraId="6FE66576">
      <w:pPr>
        <w:wordWrap w:val="0"/>
        <w:adjustRightInd w:val="0"/>
        <w:snapToGrid w:val="0"/>
        <w:spacing w:line="440" w:lineRule="exact"/>
        <w:ind w:firstLine="480"/>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2.3.5.2</w:t>
      </w:r>
      <w:r>
        <w:rPr>
          <w:rFonts w:hint="eastAsia" w:ascii="宋体" w:hAnsi="宋体" w:eastAsia="宋体" w:cs="宋体"/>
          <w:snapToGrid w:val="0"/>
          <w:color w:val="auto"/>
          <w:kern w:val="0"/>
          <w:szCs w:val="24"/>
          <w:highlight w:val="none"/>
        </w:rPr>
        <w:t xml:space="preserve"> 新增分部分项工程清单项目后，引起措施项目发生变化的，应按照本章第</w:t>
      </w:r>
      <w:r>
        <w:rPr>
          <w:rFonts w:hint="eastAsia" w:ascii="宋体" w:hAnsi="宋体" w:eastAsia="宋体" w:cs="宋体"/>
          <w:b/>
          <w:bCs/>
          <w:snapToGrid w:val="0"/>
          <w:color w:val="auto"/>
          <w:kern w:val="0"/>
          <w:szCs w:val="24"/>
          <w:highlight w:val="none"/>
        </w:rPr>
        <w:t>2.3.3.2</w:t>
      </w:r>
      <w:r>
        <w:rPr>
          <w:rFonts w:hint="eastAsia" w:ascii="宋体" w:hAnsi="宋体" w:eastAsia="宋体" w:cs="宋体"/>
          <w:snapToGrid w:val="0"/>
          <w:color w:val="auto"/>
          <w:kern w:val="0"/>
          <w:szCs w:val="24"/>
          <w:highlight w:val="none"/>
        </w:rPr>
        <w:t>子目的规定，在承包人提交的实施方案被发包人批准后调整合同价款。</w:t>
      </w:r>
    </w:p>
    <w:p w14:paraId="1839F275">
      <w:pPr>
        <w:wordWrap w:val="0"/>
        <w:adjustRightInd w:val="0"/>
        <w:snapToGrid w:val="0"/>
        <w:spacing w:line="440" w:lineRule="exact"/>
        <w:ind w:firstLine="480"/>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2.3.5.3</w:t>
      </w:r>
      <w:r>
        <w:rPr>
          <w:rFonts w:hint="eastAsia" w:ascii="宋体" w:hAnsi="宋体" w:eastAsia="宋体" w:cs="宋体"/>
          <w:snapToGrid w:val="0"/>
          <w:color w:val="auto"/>
          <w:kern w:val="0"/>
          <w:szCs w:val="24"/>
          <w:highlight w:val="none"/>
        </w:rPr>
        <w:t xml:space="preserve"> 由于招标工程量清单中措施项目缺项，承包人应将新增措施项目实施方案提交发包人批准后，按照本章第</w:t>
      </w:r>
      <w:r>
        <w:rPr>
          <w:rFonts w:hint="eastAsia" w:ascii="宋体" w:hAnsi="宋体" w:eastAsia="宋体" w:cs="宋体"/>
          <w:b/>
          <w:bCs/>
          <w:snapToGrid w:val="0"/>
          <w:color w:val="auto"/>
          <w:kern w:val="0"/>
          <w:szCs w:val="24"/>
          <w:highlight w:val="none"/>
        </w:rPr>
        <w:t>2.3.3.1</w:t>
      </w:r>
      <w:r>
        <w:rPr>
          <w:rFonts w:hint="eastAsia" w:ascii="宋体" w:hAnsi="宋体" w:eastAsia="宋体" w:cs="宋体"/>
          <w:snapToGrid w:val="0"/>
          <w:color w:val="auto"/>
          <w:kern w:val="0"/>
          <w:szCs w:val="24"/>
          <w:highlight w:val="none"/>
        </w:rPr>
        <w:t>子目、第</w:t>
      </w:r>
      <w:r>
        <w:rPr>
          <w:rFonts w:hint="eastAsia" w:ascii="宋体" w:hAnsi="宋体" w:eastAsia="宋体" w:cs="宋体"/>
          <w:b/>
          <w:bCs/>
          <w:snapToGrid w:val="0"/>
          <w:color w:val="auto"/>
          <w:kern w:val="0"/>
          <w:szCs w:val="24"/>
          <w:highlight w:val="none"/>
        </w:rPr>
        <w:t>2.3.3.2</w:t>
      </w:r>
      <w:r>
        <w:rPr>
          <w:rFonts w:hint="eastAsia" w:ascii="宋体" w:hAnsi="宋体" w:eastAsia="宋体" w:cs="宋体"/>
          <w:snapToGrid w:val="0"/>
          <w:color w:val="auto"/>
          <w:kern w:val="0"/>
          <w:szCs w:val="24"/>
          <w:highlight w:val="none"/>
        </w:rPr>
        <w:t>子目的规定调整合同价款。</w:t>
      </w:r>
    </w:p>
    <w:p w14:paraId="628ACDEB">
      <w:pPr>
        <w:wordWrap w:val="0"/>
        <w:adjustRightInd w:val="0"/>
        <w:snapToGrid w:val="0"/>
        <w:spacing w:line="440" w:lineRule="exact"/>
        <w:ind w:firstLine="482" w:firstLineChars="200"/>
        <w:rPr>
          <w:rFonts w:hint="eastAsia" w:ascii="宋体" w:hAnsi="宋体" w:eastAsia="宋体" w:cs="宋体"/>
          <w:bCs/>
          <w:snapToGrid w:val="0"/>
          <w:color w:val="auto"/>
          <w:kern w:val="0"/>
          <w:szCs w:val="28"/>
          <w:highlight w:val="none"/>
        </w:rPr>
      </w:pPr>
      <w:r>
        <w:rPr>
          <w:rFonts w:hint="eastAsia" w:ascii="宋体" w:hAnsi="宋体" w:eastAsia="宋体" w:cs="宋体"/>
          <w:b/>
          <w:snapToGrid w:val="0"/>
          <w:color w:val="auto"/>
          <w:kern w:val="0"/>
          <w:szCs w:val="28"/>
          <w:highlight w:val="none"/>
        </w:rPr>
        <w:t>2.3.6</w:t>
      </w:r>
      <w:r>
        <w:rPr>
          <w:rFonts w:hint="eastAsia" w:ascii="宋体" w:hAnsi="宋体" w:eastAsia="宋体" w:cs="宋体"/>
          <w:bCs/>
          <w:snapToGrid w:val="0"/>
          <w:color w:val="auto"/>
          <w:kern w:val="0"/>
          <w:szCs w:val="28"/>
          <w:highlight w:val="none"/>
        </w:rPr>
        <w:t xml:space="preserve"> 物价变化</w:t>
      </w:r>
    </w:p>
    <w:p w14:paraId="08F2B5DA">
      <w:pPr>
        <w:wordWrap w:val="0"/>
        <w:adjustRightInd w:val="0"/>
        <w:snapToGrid w:val="0"/>
        <w:spacing w:line="440" w:lineRule="exact"/>
        <w:ind w:firstLine="482" w:firstLineChars="200"/>
        <w:rPr>
          <w:rFonts w:hint="eastAsia" w:ascii="宋体" w:hAnsi="宋体" w:eastAsia="宋体" w:cs="宋体"/>
          <w:bCs/>
          <w:snapToGrid w:val="0"/>
          <w:color w:val="auto"/>
          <w:kern w:val="0"/>
          <w:szCs w:val="28"/>
          <w:highlight w:val="none"/>
        </w:rPr>
      </w:pPr>
      <w:r>
        <w:rPr>
          <w:rFonts w:hint="eastAsia" w:ascii="宋体" w:hAnsi="宋体" w:eastAsia="宋体" w:cs="宋体"/>
          <w:b/>
          <w:snapToGrid w:val="0"/>
          <w:color w:val="auto"/>
          <w:kern w:val="0"/>
          <w:szCs w:val="28"/>
          <w:highlight w:val="none"/>
        </w:rPr>
        <w:t>2.3.6.1</w:t>
      </w:r>
      <w:r>
        <w:rPr>
          <w:rFonts w:hint="eastAsia" w:ascii="宋体" w:hAnsi="宋体" w:eastAsia="宋体" w:cs="宋体"/>
          <w:bCs/>
          <w:snapToGrid w:val="0"/>
          <w:color w:val="auto"/>
          <w:kern w:val="0"/>
          <w:szCs w:val="28"/>
          <w:highlight w:val="none"/>
        </w:rPr>
        <w:t xml:space="preserve"> 合同履行期间，项目所在地工程造价管理机构发布的动态人工调整系数发生变化时，如果承包人投标报价中人工费（</w:t>
      </w:r>
      <w:r>
        <w:rPr>
          <w:rFonts w:hint="eastAsia" w:ascii="宋体" w:hAnsi="宋体" w:eastAsia="宋体" w:cs="宋体"/>
          <w:snapToGrid w:val="0"/>
          <w:color w:val="auto"/>
          <w:kern w:val="0"/>
          <w:szCs w:val="24"/>
          <w:highlight w:val="none"/>
        </w:rPr>
        <w:t>以下简称“中标人工费”</w:t>
      </w:r>
      <w:r>
        <w:rPr>
          <w:rFonts w:hint="eastAsia" w:ascii="宋体" w:hAnsi="宋体" w:eastAsia="宋体" w:cs="宋体"/>
          <w:bCs/>
          <w:snapToGrid w:val="0"/>
          <w:color w:val="auto"/>
          <w:kern w:val="0"/>
          <w:szCs w:val="28"/>
          <w:highlight w:val="none"/>
        </w:rPr>
        <w:t>）等于或超过施工当月经动态调整后的定额人工费，该清单项目中标人工费不予调整；如果中标人工费低于施工当月经动态调整后的定额人工费，该清单项目中标人工费可以调整，相关费用按有关规定进行相应调整。结算人工费调整公式为：</w:t>
      </w:r>
    </w:p>
    <w:p w14:paraId="5E36086D">
      <w:pPr>
        <w:wordWrap w:val="0"/>
        <w:adjustRightInd w:val="0"/>
        <w:snapToGrid w:val="0"/>
        <w:spacing w:line="440" w:lineRule="exact"/>
        <w:ind w:firstLine="480" w:firstLineChars="200"/>
        <w:rPr>
          <w:rFonts w:hint="eastAsia" w:ascii="宋体" w:hAnsi="宋体" w:eastAsia="宋体" w:cs="宋体"/>
          <w:bCs/>
          <w:snapToGrid w:val="0"/>
          <w:color w:val="auto"/>
          <w:kern w:val="0"/>
          <w:szCs w:val="28"/>
          <w:highlight w:val="none"/>
        </w:rPr>
      </w:pPr>
      <w:r>
        <w:rPr>
          <w:rFonts w:hint="eastAsia" w:ascii="宋体" w:hAnsi="宋体" w:eastAsia="宋体" w:cs="宋体"/>
          <w:bCs/>
          <w:snapToGrid w:val="0"/>
          <w:color w:val="auto"/>
          <w:kern w:val="0"/>
          <w:szCs w:val="28"/>
          <w:highlight w:val="none"/>
        </w:rPr>
        <w:t>结算人工费＝中标人工费×F</w:t>
      </w:r>
      <w:r>
        <w:rPr>
          <w:rFonts w:hint="eastAsia" w:ascii="宋体" w:hAnsi="宋体" w:eastAsia="宋体" w:cs="宋体"/>
          <w:bCs/>
          <w:snapToGrid w:val="0"/>
          <w:color w:val="auto"/>
          <w:kern w:val="0"/>
          <w:szCs w:val="28"/>
          <w:highlight w:val="none"/>
          <w:vertAlign w:val="subscript"/>
        </w:rPr>
        <w:t>1</w:t>
      </w:r>
    </w:p>
    <w:p w14:paraId="597C08FA">
      <w:pPr>
        <w:wordWrap w:val="0"/>
        <w:adjustRightInd w:val="0"/>
        <w:snapToGrid w:val="0"/>
        <w:spacing w:line="440" w:lineRule="exact"/>
        <w:ind w:firstLine="480" w:firstLineChars="200"/>
        <w:rPr>
          <w:rFonts w:hint="eastAsia" w:ascii="宋体" w:hAnsi="宋体" w:eastAsia="宋体" w:cs="宋体"/>
          <w:snapToGrid w:val="0"/>
          <w:color w:val="auto"/>
          <w:kern w:val="0"/>
          <w:szCs w:val="24"/>
          <w:highlight w:val="none"/>
        </w:rPr>
      </w:pPr>
      <w:r>
        <w:rPr>
          <w:rFonts w:hint="eastAsia" w:ascii="宋体" w:hAnsi="宋体" w:eastAsia="宋体" w:cs="宋体"/>
          <w:bCs/>
          <w:snapToGrid w:val="0"/>
          <w:color w:val="auto"/>
          <w:kern w:val="0"/>
          <w:szCs w:val="28"/>
          <w:highlight w:val="none"/>
        </w:rPr>
        <w:t>式中，F</w:t>
      </w:r>
      <w:r>
        <w:rPr>
          <w:rFonts w:hint="eastAsia" w:ascii="宋体" w:hAnsi="宋体" w:eastAsia="宋体" w:cs="宋体"/>
          <w:bCs/>
          <w:snapToGrid w:val="0"/>
          <w:color w:val="auto"/>
          <w:kern w:val="0"/>
          <w:szCs w:val="28"/>
          <w:highlight w:val="none"/>
          <w:vertAlign w:val="subscript"/>
        </w:rPr>
        <w:t>1</w:t>
      </w:r>
      <w:r>
        <w:rPr>
          <w:rFonts w:hint="eastAsia" w:ascii="宋体" w:hAnsi="宋体" w:eastAsia="宋体" w:cs="宋体"/>
          <w:bCs/>
          <w:snapToGrid w:val="0"/>
          <w:color w:val="auto"/>
          <w:kern w:val="0"/>
          <w:szCs w:val="28"/>
          <w:highlight w:val="none"/>
        </w:rPr>
        <w:t>为施工当月项目所在地工程造价管理机构发布的动态人工调整系数。</w:t>
      </w:r>
    </w:p>
    <w:p w14:paraId="50097BA6">
      <w:pPr>
        <w:wordWrap w:val="0"/>
        <w:adjustRightInd w:val="0"/>
        <w:snapToGrid w:val="0"/>
        <w:spacing w:line="440" w:lineRule="exact"/>
        <w:ind w:firstLine="482" w:firstLineChars="200"/>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2.3.6.2</w:t>
      </w:r>
      <w:r>
        <w:rPr>
          <w:rFonts w:hint="eastAsia" w:ascii="宋体" w:hAnsi="宋体" w:eastAsia="宋体" w:cs="宋体"/>
          <w:snapToGrid w:val="0"/>
          <w:color w:val="auto"/>
          <w:kern w:val="0"/>
          <w:szCs w:val="24"/>
          <w:highlight w:val="none"/>
        </w:rPr>
        <w:t xml:space="preserve"> 本招标项目约定，材料、工程设备单价涨跌风险幅度值A为</w:t>
      </w:r>
      <w:r>
        <w:rPr>
          <w:rFonts w:hint="eastAsia" w:ascii="宋体" w:hAnsi="宋体" w:eastAsia="宋体" w:cs="宋体"/>
          <w:snapToGrid w:val="0"/>
          <w:color w:val="auto"/>
          <w:kern w:val="0"/>
          <w:szCs w:val="24"/>
          <w:highlight w:val="none"/>
          <w:u w:val="single"/>
        </w:rPr>
        <w:t xml:space="preserve"> 5% </w:t>
      </w:r>
      <w:r>
        <w:rPr>
          <w:rFonts w:hint="eastAsia" w:ascii="宋体" w:hAnsi="宋体" w:eastAsia="宋体" w:cs="宋体"/>
          <w:snapToGrid w:val="0"/>
          <w:color w:val="auto"/>
          <w:kern w:val="0"/>
          <w:szCs w:val="24"/>
          <w:highlight w:val="none"/>
        </w:rPr>
        <w:t>。合同履行期间，当《承包人提供主要材料和工程设备一览表》（详见招标工程量清单）中的材料、工程设备单价涨跌幅度等于或低于A值时，该材料、工程设备单价不予调整；超过A值时，其超过部分可以调整。相关费用按有关规定进行相应调整。</w:t>
      </w:r>
    </w:p>
    <w:p w14:paraId="3598D257">
      <w:pPr>
        <w:wordWrap w:val="0"/>
        <w:adjustRightInd w:val="0"/>
        <w:snapToGrid w:val="0"/>
        <w:spacing w:line="440" w:lineRule="exact"/>
        <w:ind w:firstLine="482" w:firstLineChars="200"/>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a</w:t>
      </w:r>
      <w:r>
        <w:rPr>
          <w:rFonts w:hint="eastAsia" w:ascii="宋体" w:hAnsi="宋体" w:eastAsia="宋体" w:cs="宋体"/>
          <w:snapToGrid w:val="0"/>
          <w:color w:val="auto"/>
          <w:kern w:val="0"/>
          <w:szCs w:val="24"/>
          <w:highlight w:val="none"/>
        </w:rPr>
        <w:t>．如果承包人投标报价中材料、工程设备单价（以下简称“中标单价”）低于基准日当月项目所在地工程造价管理机构发布的对应材料、工程设备单价（以下简称“基准单价”），该材料、工程设备的结算单价调整公式为：</w:t>
      </w:r>
    </w:p>
    <w:p w14:paraId="4BCFCB77">
      <w:pPr>
        <w:spacing w:line="418" w:lineRule="exact"/>
        <w:ind w:left="120"/>
        <w:jc w:val="left"/>
        <w:rPr>
          <w:rFonts w:hint="eastAsia" w:ascii="宋体" w:hAnsi="宋体" w:eastAsia="宋体" w:cs="宋体"/>
          <w:color w:val="auto"/>
          <w:szCs w:val="24"/>
          <w:highlight w:val="none"/>
        </w:rPr>
      </w:pPr>
      <w:r>
        <w:rPr>
          <w:rFonts w:hint="eastAsia" w:ascii="宋体" w:hAnsi="宋体" w:eastAsia="宋体" w:cs="宋体"/>
          <w:color w:val="auto"/>
          <w:highlight w:val="none"/>
        </w:rPr>
        <mc:AlternateContent>
          <mc:Choice Requires="wpg">
            <w:drawing>
              <wp:anchor distT="0" distB="0" distL="114300" distR="114300" simplePos="0" relativeHeight="251662336" behindDoc="1" locked="0" layoutInCell="1" allowOverlap="1">
                <wp:simplePos x="0" y="0"/>
                <wp:positionH relativeFrom="page">
                  <wp:posOffset>3107055</wp:posOffset>
                </wp:positionH>
                <wp:positionV relativeFrom="paragraph">
                  <wp:posOffset>259715</wp:posOffset>
                </wp:positionV>
                <wp:extent cx="403860" cy="1270"/>
                <wp:effectExtent l="0" t="0" r="0" b="0"/>
                <wp:wrapNone/>
                <wp:docPr id="38" name="组合 38"/>
                <wp:cNvGraphicFramePr/>
                <a:graphic xmlns:a="http://schemas.openxmlformats.org/drawingml/2006/main">
                  <a:graphicData uri="http://schemas.microsoft.com/office/word/2010/wordprocessingGroup">
                    <wpg:wgp>
                      <wpg:cNvGrpSpPr/>
                      <wpg:grpSpPr>
                        <a:xfrm>
                          <a:off x="0" y="0"/>
                          <a:ext cx="403860" cy="1270"/>
                          <a:chOff x="4894" y="410"/>
                          <a:chExt cx="636" cy="2"/>
                        </a:xfrm>
                        <a:effectLst/>
                      </wpg:grpSpPr>
                      <wps:wsp>
                        <wps:cNvPr id="1" name="任意多边形 24"/>
                        <wps:cNvSpPr/>
                        <wps:spPr>
                          <a:xfrm>
                            <a:off x="4894" y="410"/>
                            <a:ext cx="636" cy="2"/>
                          </a:xfrm>
                          <a:custGeom>
                            <a:avLst/>
                            <a:gdLst/>
                            <a:ahLst/>
                            <a:cxnLst/>
                            <a:pathLst>
                              <a:path w="636">
                                <a:moveTo>
                                  <a:pt x="0" y="0"/>
                                </a:moveTo>
                                <a:lnTo>
                                  <a:pt x="636" y="0"/>
                                </a:lnTo>
                              </a:path>
                            </a:pathLst>
                          </a:custGeom>
                          <a:noFill/>
                          <a:ln w="6350" cap="flat" cmpd="sng">
                            <a:solidFill>
                              <a:srgbClr val="000000"/>
                            </a:solidFill>
                            <a:prstDash val="solid"/>
                            <a:headEnd type="none" w="med" len="med"/>
                            <a:tailEnd type="none" w="med" len="med"/>
                          </a:ln>
                          <a:effectLst/>
                        </wps:spPr>
                        <wps:bodyPr wrap="square" upright="1"/>
                      </wps:wsp>
                    </wpg:wgp>
                  </a:graphicData>
                </a:graphic>
              </wp:anchor>
            </w:drawing>
          </mc:Choice>
          <mc:Fallback>
            <w:pict>
              <v:group id="_x0000_s1026" o:spid="_x0000_s1026" o:spt="203" style="position:absolute;left:0pt;margin-left:244.65pt;margin-top:20.45pt;height:0.1pt;width:31.8pt;mso-position-horizontal-relative:page;z-index:-251654144;mso-width-relative:page;mso-height-relative:page;" coordorigin="4894,410" coordsize="636,2" o:gfxdata="UEsDBAoAAAAAAIdO4kAAAAAAAAAAAAAAAAAEAAAAZHJzL1BLAwQUAAAACACHTuJAUT1lkNkAAAAJ&#10;AQAADwAAAGRycy9kb3ducmV2LnhtbE2PQW/CMAyF75P2HyIj7TbSwDpBaYomtO2EJgGTpt1CY9qK&#10;xqma0MK/n3fabs9+T8+f8/XVtWLAPjSeNKhpAgKp9LahSsPn4e1xASJEQ9a0nlDDDQOsi/u73GTW&#10;j7TDYR8rwSUUMqOhjrHLpAxljc6Eqe+Q2Dv53pnIY19J25uRy10rZ0nyLJ1piC/UpsNNjeV5f3Ea&#10;3kczvszV67A9nza370P68bVVqPXDRCUrEBGv8S8Mv/iMDgUzHf2FbBCthqfFcs5RFskSBAfSdMbi&#10;yAulQBa5/P9B8QNQSwMEFAAAAAgAh07iQMLJck6YAgAA1gUAAA4AAABkcnMvZTJvRG9jLnhtbKVU&#10;zW4TMRC+I/EOlu9k80cIq256IG0vCCq1PIDr9e5a8h+2k03uPXCDM0fUl0ARPA0FHoOx9yclBamC&#10;HDbj+fN834zn6HgjBVoz67hWGR4NhhgxRXXOVZnhN5enT+YYOU9UToRWLMNb5vDx4vGjo9qkbKwr&#10;LXJmESRRLq1NhivvTZokjlZMEjfQhikwFtpK4uFoyyS3pIbsUiTj4XCW1NrmxmrKnAPtsjHiNqN9&#10;SEJdFJyypaYryZRvslomiAdIruLG4UWstigY9a+LwjGPRIYBqY9fuATkq/BNFkckLS0xFadtCeQh&#10;JRxgkoQruLRPtSSeoJXl91JJTq12uvADqmXSAImMAIrR8ICbM6tXJmIp07o0PenQqAPW/zktfbU+&#10;t4jnGZ5A3xWR0PEfu+vbD+8QKICd2pQpOJ1Zc2HObasom1MAvCmsDP8ABW0ir9ueV7bxiIJyOpzM&#10;Z8A4BdNo/KxlnVbQmhAznT+fYgS26ag3nbShs8msiRuHYpL9fSw296XzQR2K7GuqDQym27Pl/o+t&#10;i4oYFpvgAhEtW6OOrG+73ffr97c3H39+/Xz75RMaTxvWonNPmUsdsPcHvu5j70j7K3K6cv6M6cg6&#10;WTcMwODlnUSqTqIb1YmG+KAOFQQR1RkOF4Sz1Gt2qaPFH7QQ+N5bhbrrFcvrWg1+jRWEkD52qr8S&#10;lHdrVvqUCwFtC0FNIU/DcBBYJgU8YhClgYF0qoz1OS14HkJChLPl1Qth0ZqEBx1/7WD85mas80vi&#10;qsYvmoIbSStG8hOVI781MOkKNhwOJUiWYyQYLMQgRU9PuHiIZ8QeUh9MZNfyMI5XOt/C4NSwZwDX&#10;2xWxcO3KWF5WsJFGEUE7tu00w3OPJLarKeyTu+fotV/Hi1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KBQAAW0NvbnRlbnRfVHlwZXNdLnhtbFBL&#10;AQIUAAoAAAAAAIdO4kAAAAAAAAAAAAAAAAAGAAAAAAAAAAAAEAAAAOwDAABfcmVscy9QSwECFAAU&#10;AAAACACHTuJAihRmPNEAAACUAQAACwAAAAAAAAABACAAAAAQBAAAX3JlbHMvLnJlbHNQSwECFAAK&#10;AAAAAACHTuJAAAAAAAAAAAAAAAAABAAAAAAAAAAAABAAAAAAAAAAZHJzL1BLAQIUABQAAAAIAIdO&#10;4kBRPWWQ2QAAAAkBAAAPAAAAAAAAAAEAIAAAACIAAABkcnMvZG93bnJldi54bWxQSwECFAAUAAAA&#10;CACHTuJAwslyTpgCAADWBQAADgAAAAAAAAABACAAAAAoAQAAZHJzL2Uyb0RvYy54bWxQSwUGAAAA&#10;AAYABgBZAQAAMgYAAAAA&#10;">
                <o:lock v:ext="edit" aspectratio="f"/>
                <v:shape id="任意多边形 24" o:spid="_x0000_s1026" o:spt="100" style="position:absolute;left:4894;top:410;height:2;width:636;" filled="f" stroked="t" coordsize="636,1" o:gfxdata="UEsDBAoAAAAAAIdO4kAAAAAAAAAAAAAAAAAEAAAAZHJzL1BLAwQUAAAACACHTuJAphBWD7kAAADa&#10;AAAADwAAAGRycy9kb3ducmV2LnhtbEVPS4vCMBC+L/gfwix4W1M9iFSjh8KuDzys1R8wNLNtaTOp&#10;SayPX78RBE/Dx/ecxepmWtGT87VlBeNRAoK4sLrmUsHp+P01A+EDssbWMim4k4fVcvCxwFTbKx+o&#10;z0MpYgj7FBVUIXSplL6oyKAf2Y44cn/WGQwRulJqh9cYblo5SZKpNFhzbKiwo6yioskvRsEPts22&#10;z357emz369DlU7d7nJUafo6TOYhAt/AWv9wbHefD85Xnlct/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YQVg+5AAAA2gAA&#10;AA8AAAAAAAAAAQAgAAAAIgAAAGRycy9kb3ducmV2LnhtbFBLAQIUABQAAAAIAIdO4kAzLwWeOwAA&#10;ADkAAAAQAAAAAAAAAAEAIAAAAAgBAABkcnMvc2hhcGV4bWwueG1sUEsFBgAAAAAGAAYAWwEAALID&#10;AAAAAA==&#10;" path="m0,0l636,0e">
                  <v:fill on="f" focussize="0,0"/>
                  <v:stroke weight="0.5pt" color="#000000" joinstyle="round"/>
                  <v:imagedata o:title=""/>
                  <o:lock v:ext="edit" aspectratio="f"/>
                </v:shape>
              </v:group>
            </w:pict>
          </mc:Fallback>
        </mc:AlternateContent>
      </w:r>
      <w:r>
        <w:rPr>
          <w:rFonts w:hint="eastAsia" w:ascii="宋体" w:hAnsi="宋体" w:eastAsia="宋体" w:cs="宋体"/>
          <w:color w:val="auto"/>
          <w:spacing w:val="1"/>
          <w:sz w:val="21"/>
          <w:szCs w:val="21"/>
          <w:highlight w:val="none"/>
        </w:rPr>
        <w:t>a</w:t>
      </w:r>
      <w:r>
        <w:rPr>
          <w:rFonts w:hint="eastAsia" w:ascii="宋体" w:hAnsi="宋体" w:eastAsia="宋体" w:cs="宋体"/>
          <w:color w:val="auto"/>
          <w:spacing w:val="-2"/>
          <w:sz w:val="21"/>
          <w:szCs w:val="21"/>
          <w:highlight w:val="none"/>
        </w:rPr>
        <w:t>.</w:t>
      </w:r>
      <w:r>
        <w:rPr>
          <w:rFonts w:hint="eastAsia" w:ascii="宋体" w:hAnsi="宋体" w:eastAsia="宋体" w:cs="宋体"/>
          <w:color w:val="auto"/>
          <w:spacing w:val="-1"/>
          <w:sz w:val="21"/>
          <w:szCs w:val="21"/>
          <w:highlight w:val="none"/>
        </w:rPr>
        <w:t>涨</w:t>
      </w:r>
      <w:r>
        <w:rPr>
          <w:rFonts w:hint="eastAsia" w:ascii="宋体" w:hAnsi="宋体" w:eastAsia="宋体" w:cs="宋体"/>
          <w:color w:val="auto"/>
          <w:spacing w:val="2"/>
          <w:sz w:val="21"/>
          <w:szCs w:val="21"/>
          <w:highlight w:val="none"/>
        </w:rPr>
        <w:t>价</w:t>
      </w:r>
      <w:r>
        <w:rPr>
          <w:rFonts w:hint="eastAsia" w:ascii="宋体" w:hAnsi="宋体" w:eastAsia="宋体" w:cs="宋体"/>
          <w:color w:val="auto"/>
          <w:spacing w:val="-1"/>
          <w:sz w:val="21"/>
          <w:szCs w:val="21"/>
          <w:highlight w:val="none"/>
        </w:rPr>
        <w:t>时</w:t>
      </w:r>
      <w:r>
        <w:rPr>
          <w:rFonts w:hint="eastAsia" w:ascii="宋体" w:hAnsi="宋体" w:eastAsia="宋体" w:cs="宋体"/>
          <w:color w:val="auto"/>
          <w:sz w:val="21"/>
          <w:szCs w:val="21"/>
          <w:highlight w:val="none"/>
        </w:rPr>
        <w:t>，</w:t>
      </w:r>
      <w:r>
        <w:rPr>
          <w:rFonts w:hint="eastAsia" w:ascii="宋体" w:hAnsi="宋体" w:eastAsia="宋体" w:cs="宋体"/>
          <w:color w:val="auto"/>
          <w:spacing w:val="-84"/>
          <w:sz w:val="21"/>
          <w:szCs w:val="21"/>
          <w:highlight w:val="none"/>
        </w:rPr>
        <w:t xml:space="preserve"> </w:t>
      </w:r>
      <w:r>
        <w:rPr>
          <w:rFonts w:hint="eastAsia" w:ascii="宋体" w:hAnsi="宋体" w:eastAsia="宋体" w:cs="宋体"/>
          <w:color w:val="auto"/>
          <w:szCs w:val="24"/>
          <w:highlight w:val="none"/>
        </w:rPr>
        <w:t>结算单价</w:t>
      </w:r>
      <w:r>
        <w:rPr>
          <w:rFonts w:hint="eastAsia" w:ascii="宋体" w:hAnsi="宋体" w:eastAsia="宋体" w:cs="宋体"/>
          <w:color w:val="auto"/>
          <w:spacing w:val="9"/>
          <w:szCs w:val="24"/>
          <w:highlight w:val="none"/>
        </w:rPr>
        <w:t>＝</w:t>
      </w:r>
      <w:r>
        <w:rPr>
          <w:rFonts w:hint="eastAsia" w:ascii="宋体" w:hAnsi="宋体" w:eastAsia="宋体" w:cs="宋体"/>
          <w:color w:val="auto"/>
          <w:spacing w:val="7"/>
          <w:sz w:val="28"/>
          <w:szCs w:val="28"/>
          <w:highlight w:val="none"/>
        </w:rPr>
        <w:t>F</w:t>
      </w:r>
      <w:r>
        <w:rPr>
          <w:rFonts w:hint="eastAsia" w:ascii="宋体" w:hAnsi="宋体" w:eastAsia="宋体" w:cs="宋体"/>
          <w:color w:val="auto"/>
          <w:spacing w:val="1"/>
          <w:szCs w:val="24"/>
          <w:highlight w:val="none"/>
        </w:rPr>
        <w:t>＋</w:t>
      </w:r>
      <w:r>
        <w:rPr>
          <w:rFonts w:hint="eastAsia" w:ascii="宋体" w:hAnsi="宋体" w:eastAsia="宋体" w:cs="宋体"/>
          <w:color w:val="auto"/>
          <w:sz w:val="28"/>
          <w:szCs w:val="28"/>
          <w:highlight w:val="none"/>
        </w:rPr>
        <w:t>F</w:t>
      </w:r>
      <w:r>
        <w:rPr>
          <w:rFonts w:hint="eastAsia" w:ascii="宋体" w:hAnsi="宋体" w:eastAsia="宋体" w:cs="宋体"/>
          <w:color w:val="auto"/>
          <w:spacing w:val="15"/>
          <w:szCs w:val="24"/>
          <w:highlight w:val="none"/>
        </w:rPr>
        <w:t xml:space="preserve"> </w:t>
      </w:r>
      <w:r>
        <w:rPr>
          <w:rFonts w:hint="eastAsia" w:ascii="宋体" w:hAnsi="宋体" w:eastAsia="宋体" w:cs="宋体"/>
          <w:color w:val="auto"/>
          <w:spacing w:val="-102"/>
          <w:szCs w:val="24"/>
          <w:highlight w:val="none"/>
        </w:rPr>
        <w:t></w:t>
      </w:r>
      <w:r>
        <w:rPr>
          <w:rFonts w:hint="eastAsia" w:ascii="宋体" w:hAnsi="宋体" w:eastAsia="宋体" w:cs="宋体"/>
          <w:color w:val="auto"/>
          <w:szCs w:val="24"/>
          <w:highlight w:val="none"/>
        </w:rPr>
        <w:t xml:space="preserve">（  </w:t>
      </w:r>
      <w:r>
        <w:rPr>
          <w:rFonts w:hint="eastAsia" w:ascii="宋体" w:hAnsi="宋体" w:eastAsia="宋体" w:cs="宋体"/>
          <w:color w:val="auto"/>
          <w:spacing w:val="-100"/>
          <w:szCs w:val="24"/>
          <w:highlight w:val="none"/>
        </w:rPr>
        <w:t xml:space="preserve"> </w:t>
      </w:r>
      <w:r>
        <w:rPr>
          <w:rFonts w:hint="eastAsia" w:ascii="宋体" w:hAnsi="宋体" w:eastAsia="宋体" w:cs="宋体"/>
          <w:color w:val="auto"/>
          <w:spacing w:val="-23"/>
          <w:position w:val="15"/>
          <w:szCs w:val="24"/>
          <w:highlight w:val="none"/>
        </w:rPr>
        <w:t>F</w:t>
      </w:r>
      <w:r>
        <w:rPr>
          <w:rFonts w:hint="eastAsia" w:ascii="宋体" w:hAnsi="宋体" w:eastAsia="宋体" w:cs="宋体"/>
          <w:color w:val="auto"/>
          <w:spacing w:val="-15"/>
          <w:position w:val="9"/>
          <w:sz w:val="14"/>
          <w:szCs w:val="14"/>
          <w:highlight w:val="none"/>
        </w:rPr>
        <w:t>2</w:t>
      </w:r>
      <w:r>
        <w:rPr>
          <w:rFonts w:hint="eastAsia" w:ascii="宋体" w:hAnsi="宋体" w:eastAsia="宋体" w:cs="宋体"/>
          <w:color w:val="auto"/>
          <w:spacing w:val="1"/>
          <w:position w:val="15"/>
          <w:szCs w:val="24"/>
          <w:highlight w:val="none"/>
        </w:rPr>
        <w:t>－</w:t>
      </w:r>
      <w:r>
        <w:rPr>
          <w:rFonts w:hint="eastAsia" w:ascii="宋体" w:hAnsi="宋体" w:eastAsia="宋体" w:cs="宋体"/>
          <w:color w:val="auto"/>
          <w:spacing w:val="-26"/>
          <w:position w:val="15"/>
          <w:szCs w:val="24"/>
          <w:highlight w:val="none"/>
        </w:rPr>
        <w:t>F</w:t>
      </w:r>
      <w:r>
        <w:rPr>
          <w:rFonts w:hint="eastAsia" w:ascii="宋体" w:hAnsi="宋体" w:eastAsia="宋体" w:cs="宋体"/>
          <w:color w:val="auto"/>
          <w:position w:val="9"/>
          <w:sz w:val="14"/>
          <w:szCs w:val="14"/>
          <w:highlight w:val="none"/>
        </w:rPr>
        <w:t>0</w:t>
      </w:r>
      <w:r>
        <w:rPr>
          <w:rFonts w:hint="eastAsia" w:ascii="宋体" w:hAnsi="宋体" w:eastAsia="宋体" w:cs="宋体"/>
          <w:color w:val="auto"/>
          <w:spacing w:val="20"/>
          <w:position w:val="9"/>
          <w:sz w:val="14"/>
          <w:szCs w:val="14"/>
          <w:highlight w:val="none"/>
        </w:rPr>
        <w:t xml:space="preserve"> </w:t>
      </w:r>
      <w:r>
        <w:rPr>
          <w:rFonts w:hint="eastAsia" w:ascii="宋体" w:hAnsi="宋体" w:eastAsia="宋体" w:cs="宋体"/>
          <w:color w:val="auto"/>
          <w:spacing w:val="8"/>
          <w:szCs w:val="24"/>
          <w:highlight w:val="none"/>
        </w:rPr>
        <w:t></w:t>
      </w:r>
      <w:r>
        <w:rPr>
          <w:rFonts w:hint="eastAsia" w:ascii="宋体" w:hAnsi="宋体" w:eastAsia="宋体" w:cs="宋体"/>
          <w:color w:val="auto"/>
          <w:spacing w:val="8"/>
          <w:szCs w:val="24"/>
          <w:highlight w:val="none"/>
          <w:lang w:val="en-US" w:eastAsia="zh-CN"/>
        </w:rPr>
        <w:t>x</w:t>
      </w:r>
      <w:r>
        <w:rPr>
          <w:rFonts w:hint="eastAsia" w:ascii="宋体" w:hAnsi="宋体" w:eastAsia="宋体" w:cs="宋体"/>
          <w:color w:val="auto"/>
          <w:szCs w:val="24"/>
          <w:highlight w:val="none"/>
        </w:rPr>
        <w:t>10</w:t>
      </w:r>
      <w:r>
        <w:rPr>
          <w:rFonts w:hint="eastAsia" w:ascii="宋体" w:hAnsi="宋体" w:eastAsia="宋体" w:cs="宋体"/>
          <w:color w:val="auto"/>
          <w:spacing w:val="2"/>
          <w:szCs w:val="24"/>
          <w:highlight w:val="none"/>
        </w:rPr>
        <w:t>0</w:t>
      </w:r>
      <w:r>
        <w:rPr>
          <w:rFonts w:hint="eastAsia" w:ascii="宋体" w:hAnsi="宋体" w:eastAsia="宋体" w:cs="宋体"/>
          <w:color w:val="auto"/>
          <w:spacing w:val="-20"/>
          <w:szCs w:val="24"/>
          <w:highlight w:val="none"/>
        </w:rPr>
        <w:t>%</w:t>
      </w:r>
      <w:r>
        <w:rPr>
          <w:rFonts w:hint="eastAsia" w:ascii="宋体" w:hAnsi="宋体" w:eastAsia="宋体" w:cs="宋体"/>
          <w:color w:val="auto"/>
          <w:spacing w:val="1"/>
          <w:szCs w:val="24"/>
          <w:highlight w:val="none"/>
        </w:rPr>
        <w:t>－</w:t>
      </w:r>
      <w:r>
        <w:rPr>
          <w:rFonts w:hint="eastAsia" w:ascii="宋体" w:hAnsi="宋体" w:eastAsia="宋体" w:cs="宋体"/>
          <w:color w:val="auto"/>
          <w:spacing w:val="-5"/>
          <w:szCs w:val="24"/>
          <w:highlight w:val="none"/>
        </w:rPr>
        <w:t>A</w:t>
      </w:r>
      <w:r>
        <w:rPr>
          <w:rFonts w:hint="eastAsia" w:ascii="宋体" w:hAnsi="宋体" w:eastAsia="宋体" w:cs="宋体"/>
          <w:color w:val="auto"/>
          <w:szCs w:val="24"/>
          <w:highlight w:val="none"/>
        </w:rPr>
        <w:t>）</w:t>
      </w:r>
    </w:p>
    <w:p w14:paraId="76B2F387">
      <w:pPr>
        <w:pStyle w:val="11"/>
        <w:tabs>
          <w:tab w:val="left" w:pos="2817"/>
        </w:tabs>
        <w:spacing w:after="0" w:line="200" w:lineRule="exact"/>
        <w:ind w:left="2426"/>
        <w:jc w:val="left"/>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mc:AlternateContent>
          <mc:Choice Requires="wps">
            <w:drawing>
              <wp:anchor distT="0" distB="0" distL="114300" distR="114300" simplePos="0" relativeHeight="251663360" behindDoc="1" locked="0" layoutInCell="1" allowOverlap="1">
                <wp:simplePos x="0" y="0"/>
                <wp:positionH relativeFrom="page">
                  <wp:posOffset>3246755</wp:posOffset>
                </wp:positionH>
                <wp:positionV relativeFrom="paragraph">
                  <wp:posOffset>29845</wp:posOffset>
                </wp:positionV>
                <wp:extent cx="220980" cy="246380"/>
                <wp:effectExtent l="0" t="0" r="0" b="0"/>
                <wp:wrapNone/>
                <wp:docPr id="3" name="文本框 3"/>
                <wp:cNvGraphicFramePr/>
                <a:graphic xmlns:a="http://schemas.openxmlformats.org/drawingml/2006/main">
                  <a:graphicData uri="http://schemas.microsoft.com/office/word/2010/wordprocessingShape">
                    <wps:wsp>
                      <wps:cNvSpPr txBox="1"/>
                      <wps:spPr>
                        <a:xfrm>
                          <a:off x="0" y="0"/>
                          <a:ext cx="220980" cy="246380"/>
                        </a:xfrm>
                        <a:prstGeom prst="rect">
                          <a:avLst/>
                        </a:prstGeom>
                        <a:noFill/>
                        <a:ln>
                          <a:noFill/>
                        </a:ln>
                        <a:effectLst/>
                      </wps:spPr>
                      <wps:txbx>
                        <w:txbxContent>
                          <w:p w14:paraId="77B7CB44">
                            <w:r>
                              <w:rPr>
                                <w:rFonts w:ascii="Times New Roman" w:eastAsia="Times New Roman"/>
                                <w:spacing w:val="-26"/>
                                <w:position w:val="15"/>
                                <w:szCs w:val="24"/>
                              </w:rPr>
                              <w:t>F</w:t>
                            </w:r>
                            <w:r>
                              <w:rPr>
                                <w:rFonts w:ascii="Times New Roman" w:eastAsia="Times New Roman"/>
                                <w:position w:val="9"/>
                                <w:sz w:val="14"/>
                                <w:szCs w:val="14"/>
                              </w:rPr>
                              <w:t>0</w:t>
                            </w:r>
                            <w:r>
                              <w:rPr>
                                <w:rFonts w:ascii="Times New Roman" w:eastAsia="Times New Roman"/>
                                <w:spacing w:val="20"/>
                                <w:position w:val="9"/>
                                <w:sz w:val="14"/>
                                <w:szCs w:val="14"/>
                              </w:rPr>
                              <w:t xml:space="preserve"> </w:t>
                            </w:r>
                          </w:p>
                        </w:txbxContent>
                      </wps:txbx>
                      <wps:bodyPr wrap="square" lIns="0" tIns="0" rIns="0" bIns="0" upright="1"/>
                    </wps:wsp>
                  </a:graphicData>
                </a:graphic>
              </wp:anchor>
            </w:drawing>
          </mc:Choice>
          <mc:Fallback>
            <w:pict>
              <v:shape id="_x0000_s1026" o:spid="_x0000_s1026" o:spt="202" type="#_x0000_t202" style="position:absolute;left:0pt;margin-left:255.65pt;margin-top:2.35pt;height:19.4pt;width:17.4pt;mso-position-horizontal-relative:page;z-index:-251653120;mso-width-relative:page;mso-height-relative:page;" filled="f" stroked="f" coordsize="21600,21600" o:gfxdata="UEsDBAoAAAAAAIdO4kAAAAAAAAAAAAAAAAAEAAAAZHJzL1BLAwQUAAAACACHTuJAVbHiCdcAAAAI&#10;AQAADwAAAGRycy9kb3ducmV2LnhtbE2PzU7DMBCE70i8g7VI3Kht2gQIcSqE4ISEmoYDRyfeJlbj&#10;dYjdH94ec4LjaEYz35TrsxvZEedgPSmQCwEMqfPGUq/go3m9uQcWoiajR0+o4BsDrKvLi1IXxp+o&#10;xuM29iyVUCi0giHGqeA8dAM6HRZ+Qkrezs9OxyTnnptZn1K5G/mtEDl32lJaGPSEzwN2++3BKXj6&#10;pPrFfr23m3pX26Z5EPSW75W6vpLiEVjEc/wLwy9+QocqMbX+QCawUUEm5TJFFazugCU/W+USWJv0&#10;MgNelfz/geoHUEsDBBQAAAAIAIdO4kA6NrkbxwEAAI0DAAAOAAAAZHJzL2Uyb0RvYy54bWytU0tu&#10;2zAQ3RfIHQjuaylyEaSC5QCFkaBA0RZIewCaoiwC/HWGtuQLtDfoqpvuey6fo0N93Hw2WXRDPc6Q&#10;j/PejFY3vTXsoAC1dxW/XOScKSd9rd2u4l+/3L6+5gyjcLUw3qmKHxXym/XFq1UXSlX41ptaASMS&#10;h2UXKt7GGMosQ9kqK3Dhg3KUbDxYEWkLu6wG0RG7NVmR51dZ56EO4KVCpOhmTPKJEV5C6JtGS7Xx&#10;cm+ViyMrKCMiScJWB+TrodqmUTJ+ahpUkZmKk9I4rPQI4W1as/VKlDsQodVyKkG8pIQnmqzQjh49&#10;U21EFGwP+hmV1RI8+iYupLfZKGRwhFRc5k+8uW9FUIMWshrD2XT8f7Ty4+EzMF1XfMmZE5Yafvr5&#10;4/Trz+n3d7ZM9nQBSzp1H+hc7N/5noZmjiMFk+q+AZu+pIdRnsw9ns1VfWSSgkWRv72mjKRU8eZq&#10;SZjYs3+XA2C8U96yBCoO1LvBUnH4gHE8Oh9Jbzl/q40Z+mfcowBxjhE1DMB0O+kY600o9tt+Erf1&#10;9ZG0dTQEFcdvewGKM/PekctpYmYAM9jOYB9A71oqdfAjS7TUpUHTNFFpDB7uCT/8i9Z/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FWx4gnXAAAACAEAAA8AAAAAAAAAAQAgAAAAIgAAAGRycy9kb3du&#10;cmV2LnhtbFBLAQIUABQAAAAIAIdO4kA6NrkbxwEAAI0DAAAOAAAAAAAAAAEAIAAAACYBAABkcnMv&#10;ZTJvRG9jLnhtbFBLBQYAAAAABgAGAFkBAABfBQAAAAA=&#10;">
                <v:fill on="f" focussize="0,0"/>
                <v:stroke on="f"/>
                <v:imagedata o:title=""/>
                <o:lock v:ext="edit" aspectratio="f"/>
                <v:textbox inset="0mm,0mm,0mm,0mm">
                  <w:txbxContent>
                    <w:p w14:paraId="77B7CB44">
                      <w:r>
                        <w:rPr>
                          <w:rFonts w:ascii="Times New Roman" w:eastAsia="Times New Roman"/>
                          <w:spacing w:val="-26"/>
                          <w:position w:val="15"/>
                          <w:szCs w:val="24"/>
                        </w:rPr>
                        <w:t>F</w:t>
                      </w:r>
                      <w:r>
                        <w:rPr>
                          <w:rFonts w:ascii="Times New Roman" w:eastAsia="Times New Roman"/>
                          <w:position w:val="9"/>
                          <w:sz w:val="14"/>
                          <w:szCs w:val="14"/>
                        </w:rPr>
                        <w:t>0</w:t>
                      </w:r>
                      <w:r>
                        <w:rPr>
                          <w:rFonts w:ascii="Times New Roman" w:eastAsia="Times New Roman"/>
                          <w:spacing w:val="20"/>
                          <w:position w:val="9"/>
                          <w:sz w:val="14"/>
                          <w:szCs w:val="14"/>
                        </w:rPr>
                        <w:t xml:space="preserve"> </w:t>
                      </w:r>
                    </w:p>
                  </w:txbxContent>
                </v:textbox>
              </v:shape>
            </w:pict>
          </mc:Fallback>
        </mc:AlternateContent>
      </w:r>
      <w:r>
        <w:rPr>
          <w:rFonts w:hint="eastAsia" w:ascii="宋体" w:hAnsi="宋体" w:eastAsia="宋体" w:cs="宋体"/>
          <w:color w:val="auto"/>
          <w:sz w:val="15"/>
          <w:szCs w:val="15"/>
          <w:highlight w:val="none"/>
        </w:rPr>
        <w:t>1</w:t>
      </w:r>
      <w:r>
        <w:rPr>
          <w:rFonts w:hint="eastAsia" w:ascii="宋体" w:hAnsi="宋体" w:eastAsia="宋体" w:cs="宋体"/>
          <w:color w:val="auto"/>
          <w:sz w:val="15"/>
          <w:szCs w:val="15"/>
          <w:highlight w:val="none"/>
        </w:rPr>
        <w:tab/>
      </w:r>
      <w:r>
        <w:rPr>
          <w:rFonts w:hint="eastAsia" w:ascii="宋体" w:hAnsi="宋体" w:eastAsia="宋体" w:cs="宋体"/>
          <w:color w:val="auto"/>
          <w:sz w:val="15"/>
          <w:szCs w:val="15"/>
          <w:highlight w:val="none"/>
        </w:rPr>
        <w:t>0</w:t>
      </w:r>
    </w:p>
    <w:p w14:paraId="54466567">
      <w:pPr>
        <w:pStyle w:val="11"/>
        <w:spacing w:after="0" w:line="240" w:lineRule="exact"/>
        <w:ind w:left="3454" w:right="4848"/>
        <w:jc w:val="center"/>
        <w:rPr>
          <w:rFonts w:hint="eastAsia" w:ascii="宋体" w:hAnsi="宋体" w:eastAsia="宋体" w:cs="宋体"/>
          <w:color w:val="auto"/>
          <w:sz w:val="15"/>
          <w:szCs w:val="15"/>
          <w:highlight w:val="none"/>
        </w:rPr>
      </w:pPr>
    </w:p>
    <w:p w14:paraId="4B345399">
      <w:pPr>
        <w:spacing w:before="4" w:line="170" w:lineRule="exact"/>
        <w:rPr>
          <w:rFonts w:hint="eastAsia" w:ascii="宋体" w:hAnsi="宋体" w:eastAsia="宋体" w:cs="宋体"/>
          <w:color w:val="auto"/>
          <w:sz w:val="17"/>
          <w:szCs w:val="17"/>
          <w:highlight w:val="none"/>
        </w:rPr>
      </w:pPr>
    </w:p>
    <w:p w14:paraId="52F454C7">
      <w:pPr>
        <w:spacing w:line="404" w:lineRule="exact"/>
        <w:ind w:left="328"/>
        <w:jc w:val="left"/>
        <w:rPr>
          <w:rFonts w:hint="eastAsia" w:ascii="宋体" w:hAnsi="宋体" w:eastAsia="宋体" w:cs="宋体"/>
          <w:color w:val="auto"/>
          <w:szCs w:val="24"/>
          <w:highlight w:val="none"/>
        </w:rPr>
      </w:pPr>
      <w:r>
        <w:rPr>
          <w:rFonts w:hint="eastAsia" w:ascii="宋体" w:hAnsi="宋体" w:eastAsia="宋体" w:cs="宋体"/>
          <w:color w:val="auto"/>
          <w:highlight w:val="none"/>
        </w:rPr>
        <mc:AlternateContent>
          <mc:Choice Requires="wpg">
            <w:drawing>
              <wp:anchor distT="0" distB="0" distL="114300" distR="114300" simplePos="0" relativeHeight="251664384" behindDoc="1" locked="0" layoutInCell="1" allowOverlap="1">
                <wp:simplePos x="0" y="0"/>
                <wp:positionH relativeFrom="page">
                  <wp:posOffset>3134360</wp:posOffset>
                </wp:positionH>
                <wp:positionV relativeFrom="paragraph">
                  <wp:posOffset>250825</wp:posOffset>
                </wp:positionV>
                <wp:extent cx="388620" cy="1270"/>
                <wp:effectExtent l="0" t="0" r="0" b="0"/>
                <wp:wrapNone/>
                <wp:docPr id="39" name="组合 39"/>
                <wp:cNvGraphicFramePr/>
                <a:graphic xmlns:a="http://schemas.openxmlformats.org/drawingml/2006/main">
                  <a:graphicData uri="http://schemas.microsoft.com/office/word/2010/wordprocessingGroup">
                    <wpg:wgp>
                      <wpg:cNvGrpSpPr/>
                      <wpg:grpSpPr>
                        <a:xfrm>
                          <a:off x="0" y="0"/>
                          <a:ext cx="388620" cy="1270"/>
                          <a:chOff x="4937" y="395"/>
                          <a:chExt cx="612" cy="2"/>
                        </a:xfrm>
                        <a:effectLst/>
                      </wpg:grpSpPr>
                      <wps:wsp>
                        <wps:cNvPr id="4" name="任意多边形 27"/>
                        <wps:cNvSpPr/>
                        <wps:spPr>
                          <a:xfrm>
                            <a:off x="4937" y="395"/>
                            <a:ext cx="612" cy="2"/>
                          </a:xfrm>
                          <a:custGeom>
                            <a:avLst/>
                            <a:gdLst/>
                            <a:ahLst/>
                            <a:cxnLst/>
                            <a:pathLst>
                              <a:path w="612">
                                <a:moveTo>
                                  <a:pt x="0" y="0"/>
                                </a:moveTo>
                                <a:lnTo>
                                  <a:pt x="612" y="0"/>
                                </a:lnTo>
                              </a:path>
                            </a:pathLst>
                          </a:custGeom>
                          <a:noFill/>
                          <a:ln w="6350" cap="flat" cmpd="sng">
                            <a:solidFill>
                              <a:srgbClr val="000000"/>
                            </a:solidFill>
                            <a:prstDash val="solid"/>
                            <a:headEnd type="none" w="med" len="med"/>
                            <a:tailEnd type="none" w="med" len="med"/>
                          </a:ln>
                          <a:effectLst/>
                        </wps:spPr>
                        <wps:bodyPr wrap="square" upright="1"/>
                      </wps:wsp>
                    </wpg:wgp>
                  </a:graphicData>
                </a:graphic>
              </wp:anchor>
            </w:drawing>
          </mc:Choice>
          <mc:Fallback>
            <w:pict>
              <v:group id="_x0000_s1026" o:spid="_x0000_s1026" o:spt="203" style="position:absolute;left:0pt;margin-left:246.8pt;margin-top:19.75pt;height:0.1pt;width:30.6pt;mso-position-horizontal-relative:page;z-index:-251652096;mso-width-relative:page;mso-height-relative:page;" coordorigin="4937,395" coordsize="612,2" o:gfxdata="UEsDBAoAAAAAAIdO4kAAAAAAAAAAAAAAAAAEAAAAZHJzL1BLAwQUAAAACACHTuJAVJix7dkAAAAJ&#10;AQAADwAAAGRycy9kb3ducmV2LnhtbE2PwU7CQBCG7ya+w2ZMvMm2liLUbokh6omQCCbE29Ad2obu&#10;btNdWnh7h5MeZ+bLP9+fLy+mFQP1vnFWQTyJQJAtnW5speB79/E0B+EDWo2ts6TgSh6Wxf1djpl2&#10;o/2iYRsqwSHWZ6igDqHLpPRlTQb9xHVk+XZ0vcHAY19J3ePI4aaVz1E0kwYbyx9q7GhVU3nano2C&#10;zxHHtyR+H9an4+r6s0s3+3VMSj0+xNEriECX8AfDTZ/VoWCngztb7UWrYLpIZowqSBYpCAbSdMpd&#10;DrfFC8gil/8bFL9QSwMEFAAAAAgAh07iQFzZX+OcAgAA1gUAAA4AAABkcnMvZTJvRG9jLnhtbKVU&#10;zY7TMBC+I/EOlu80bbq/UdM90N29IFhplwdwHSex5D9st2nve+AGZ46Il0AreBoWeAzGTtKWLkgr&#10;6CEdz5+/+WY8k7OVFGjJrONa5Xg0GGLEFNUFV1WOX99cPDvByHmiCiK0YjleM4fPpk+fTBqTsVTX&#10;WhTMIkiiXNaYHNfemyxJHK2ZJG6gDVNgLLWVxMPRVklhSQPZpUjS4fAoabQtjNWUOQfaWWvEXUb7&#10;mIS6LDllM00XkinfZrVMEA8luZobh6cRbVky6l+VpWMeiRxDpT5+4RKQ5+GbTCckqywxNacdBPIY&#10;CHs1ScIVXLpJNSOeoIXlD1JJTq12uvQDqmXSFhIZgSpGwz1uLq1emFhLlTWV2ZAOjdpj/Z/T0pfL&#10;K4t4kePxKUaKSOj4j7vb+/dvESiAncZUGThdWnNtrmynqNpTKHhVWhn+oRS0iryuN7yylUcUlOOT&#10;k6MUGKdgGqXHHeu0htaEmIPT8TFGYBufHrYNofV5F3o0Stu4NFiS7X0sNveF80EdQG4wNQYG023Z&#10;cv/H1nVNDItNcIGIjq2Dnqxvd3ffb9/df/rw8+vn+y8fUXrcshadN5S5zAF7f+DrYe09aX+tnC6c&#10;v2Q6sk6WLQMweEUvkbqX6Er1oiE+qAOCIKImx+GCcJZ6yW50tPi9FgLfW6tQu14RXt9q8GutIIT0&#10;sVObK0G5i1npCy4EtC0ERSDjwzAcBJZJCY8YRGlgIJ2qIj6nBS9CSIhwtpo/FxYtSXjQ8dcNxm9u&#10;xjo/I65u/aKpnayakeJcFcivDUy6gg2HAwTJCowEg4UYpIjNEy4e4xlrD9D2JrJveRjHuS7WMDgN&#10;7Bmo682CWLh2YSyvathIo1hBN7bdNMNzjyR2qynsk91z9Nqu4+k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DgUAAFtDb250ZW50X1R5cGVzXS54&#10;bWxQSwECFAAKAAAAAACHTuJAAAAAAAAAAAAAAAAABgAAAAAAAAAAABAAAADwAwAAX3JlbHMvUEsB&#10;AhQAFAAAAAgAh07iQIoUZjzRAAAAlAEAAAsAAAAAAAAAAQAgAAAAFAQAAF9yZWxzLy5yZWxzUEsB&#10;AhQACgAAAAAAh07iQAAAAAAAAAAAAAAAAAQAAAAAAAAAAAAQAAAAAAAAAGRycy9QSwECFAAUAAAA&#10;CACHTuJAVJix7dkAAAAJAQAADwAAAAAAAAABACAAAAAiAAAAZHJzL2Rvd25yZXYueG1sUEsBAhQA&#10;FAAAAAgAh07iQFzZX+OcAgAA1gUAAA4AAAAAAAAAAQAgAAAAKAEAAGRycy9lMm9Eb2MueG1sUEsF&#10;BgAAAAAGAAYAWQEAADYGAAAAAA==&#10;">
                <o:lock v:ext="edit" aspectratio="f"/>
                <v:shape id="任意多边形 27" o:spid="_x0000_s1026" o:spt="100" style="position:absolute;left:4937;top:395;height:2;width:612;" filled="f" stroked="t" coordsize="612,1" o:gfxdata="UEsDBAoAAAAAAIdO4kAAAAAAAAAAAAAAAAAEAAAAZHJzL1BLAwQUAAAACACHTuJA4rO5kL4AAADa&#10;AAAADwAAAGRycy9kb3ducmV2LnhtbEWPX0vDQBDE3wv9DscWfGsvqSIl9lragn9eKlpF8G3Jrblg&#10;bjfkzqTtp+8Jgo/DzPyGWa6PvlE9daEWNpDPMlDEpdiaKwPvb/fTBagQkS02wmTgRAHWq/FoiYWV&#10;gV+pP8RKJQiHAg24GNtC61A68hhm0hIn70s6jzHJrtK2wyHBfaPnWXarPdacFhy2tHNUfh9+vIH9&#10;9eKcP28fh417qD/b/kXkIxdjriZ5dgcq0jH+h//aT9bADfxeSTdAry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4rO5kL4A&#10;AADaAAAADwAAAAAAAAABACAAAAAiAAAAZHJzL2Rvd25yZXYueG1sUEsBAhQAFAAAAAgAh07iQDMv&#10;BZ47AAAAOQAAABAAAAAAAAAAAQAgAAAADQEAAGRycy9zaGFwZXhtbC54bWxQSwUGAAAAAAYABgBb&#10;AQAAtwMAAAAA&#10;" path="m0,0l612,0e">
                  <v:fill on="f" focussize="0,0"/>
                  <v:stroke weight="0.5pt" color="#000000" joinstyle="round"/>
                  <v:imagedata o:title=""/>
                  <o:lock v:ext="edit" aspectratio="f"/>
                </v:shape>
              </v:group>
            </w:pict>
          </mc:Fallback>
        </mc:AlternateContent>
      </w:r>
      <w:r>
        <w:rPr>
          <w:rFonts w:hint="eastAsia" w:ascii="宋体" w:hAnsi="宋体" w:eastAsia="宋体" w:cs="宋体"/>
          <w:color w:val="auto"/>
          <w:spacing w:val="-1"/>
          <w:sz w:val="21"/>
          <w:szCs w:val="21"/>
          <w:highlight w:val="none"/>
        </w:rPr>
        <w:t>跌</w:t>
      </w:r>
      <w:r>
        <w:rPr>
          <w:rFonts w:hint="eastAsia" w:ascii="宋体" w:hAnsi="宋体" w:eastAsia="宋体" w:cs="宋体"/>
          <w:color w:val="auto"/>
          <w:spacing w:val="2"/>
          <w:sz w:val="21"/>
          <w:szCs w:val="21"/>
          <w:highlight w:val="none"/>
        </w:rPr>
        <w:t>价</w:t>
      </w:r>
      <w:r>
        <w:rPr>
          <w:rFonts w:hint="eastAsia" w:ascii="宋体" w:hAnsi="宋体" w:eastAsia="宋体" w:cs="宋体"/>
          <w:color w:val="auto"/>
          <w:spacing w:val="-1"/>
          <w:sz w:val="21"/>
          <w:szCs w:val="21"/>
          <w:highlight w:val="none"/>
        </w:rPr>
        <w:t>时</w:t>
      </w:r>
      <w:r>
        <w:rPr>
          <w:rFonts w:hint="eastAsia" w:ascii="宋体" w:hAnsi="宋体" w:eastAsia="宋体" w:cs="宋体"/>
          <w:color w:val="auto"/>
          <w:sz w:val="21"/>
          <w:szCs w:val="21"/>
          <w:highlight w:val="none"/>
        </w:rPr>
        <w:t>，</w:t>
      </w:r>
      <w:r>
        <w:rPr>
          <w:rFonts w:hint="eastAsia" w:ascii="宋体" w:hAnsi="宋体" w:eastAsia="宋体" w:cs="宋体"/>
          <w:color w:val="auto"/>
          <w:spacing w:val="-83"/>
          <w:sz w:val="21"/>
          <w:szCs w:val="21"/>
          <w:highlight w:val="none"/>
        </w:rPr>
        <w:t xml:space="preserve"> </w:t>
      </w:r>
      <w:r>
        <w:rPr>
          <w:rFonts w:hint="eastAsia" w:ascii="宋体" w:hAnsi="宋体" w:eastAsia="宋体" w:cs="宋体"/>
          <w:color w:val="auto"/>
          <w:szCs w:val="24"/>
          <w:highlight w:val="none"/>
        </w:rPr>
        <w:t>结算单价</w:t>
      </w:r>
      <w:r>
        <w:rPr>
          <w:rFonts w:hint="eastAsia" w:ascii="宋体" w:hAnsi="宋体" w:eastAsia="宋体" w:cs="宋体"/>
          <w:color w:val="auto"/>
          <w:spacing w:val="9"/>
          <w:szCs w:val="24"/>
          <w:highlight w:val="none"/>
        </w:rPr>
        <w:t>＝</w:t>
      </w:r>
      <w:r>
        <w:rPr>
          <w:rFonts w:hint="eastAsia" w:ascii="宋体" w:hAnsi="宋体" w:eastAsia="宋体" w:cs="宋体"/>
          <w:color w:val="auto"/>
          <w:spacing w:val="7"/>
          <w:sz w:val="30"/>
          <w:szCs w:val="30"/>
          <w:highlight w:val="none"/>
        </w:rPr>
        <w:t>F</w:t>
      </w:r>
      <w:r>
        <w:rPr>
          <w:rFonts w:hint="eastAsia" w:ascii="宋体" w:hAnsi="宋体" w:eastAsia="宋体" w:cs="宋体"/>
          <w:color w:val="auto"/>
          <w:spacing w:val="1"/>
          <w:szCs w:val="24"/>
          <w:highlight w:val="none"/>
        </w:rPr>
        <w:t>＋</w:t>
      </w:r>
      <w:r>
        <w:rPr>
          <w:rFonts w:hint="eastAsia" w:ascii="宋体" w:hAnsi="宋体" w:eastAsia="宋体" w:cs="宋体"/>
          <w:color w:val="auto"/>
          <w:sz w:val="32"/>
          <w:szCs w:val="32"/>
          <w:highlight w:val="none"/>
        </w:rPr>
        <w:t>F</w:t>
      </w:r>
      <w:r>
        <w:rPr>
          <w:rFonts w:hint="eastAsia" w:ascii="宋体" w:hAnsi="宋体" w:eastAsia="宋体" w:cs="宋体"/>
          <w:color w:val="auto"/>
          <w:spacing w:val="-6"/>
          <w:szCs w:val="24"/>
          <w:highlight w:val="none"/>
        </w:rPr>
        <w:t xml:space="preserve"> </w:t>
      </w:r>
      <w:r>
        <w:rPr>
          <w:rFonts w:hint="eastAsia" w:ascii="宋体" w:hAnsi="宋体" w:eastAsia="宋体" w:cs="宋体"/>
          <w:color w:val="auto"/>
          <w:spacing w:val="-102"/>
          <w:szCs w:val="24"/>
          <w:highlight w:val="none"/>
        </w:rPr>
        <w:t></w:t>
      </w:r>
      <w:r>
        <w:rPr>
          <w:rFonts w:hint="eastAsia" w:ascii="宋体" w:hAnsi="宋体" w:eastAsia="宋体" w:cs="宋体"/>
          <w:color w:val="auto"/>
          <w:szCs w:val="24"/>
          <w:highlight w:val="none"/>
        </w:rPr>
        <w:t xml:space="preserve">（  </w:t>
      </w:r>
      <w:r>
        <w:rPr>
          <w:rFonts w:hint="eastAsia" w:ascii="宋体" w:hAnsi="宋体" w:eastAsia="宋体" w:cs="宋体"/>
          <w:color w:val="auto"/>
          <w:spacing w:val="-101"/>
          <w:szCs w:val="24"/>
          <w:highlight w:val="none"/>
        </w:rPr>
        <w:t xml:space="preserve"> </w:t>
      </w:r>
      <w:r>
        <w:rPr>
          <w:rFonts w:hint="eastAsia" w:ascii="宋体" w:hAnsi="宋体" w:eastAsia="宋体" w:cs="宋体"/>
          <w:color w:val="auto"/>
          <w:spacing w:val="-23"/>
          <w:position w:val="15"/>
          <w:szCs w:val="24"/>
          <w:highlight w:val="none"/>
        </w:rPr>
        <w:t>F</w:t>
      </w:r>
      <w:r>
        <w:rPr>
          <w:rFonts w:hint="eastAsia" w:ascii="宋体" w:hAnsi="宋体" w:eastAsia="宋体" w:cs="宋体"/>
          <w:color w:val="auto"/>
          <w:spacing w:val="-15"/>
          <w:position w:val="9"/>
          <w:sz w:val="14"/>
          <w:szCs w:val="14"/>
          <w:highlight w:val="none"/>
        </w:rPr>
        <w:t>2</w:t>
      </w:r>
      <w:r>
        <w:rPr>
          <w:rFonts w:hint="eastAsia" w:ascii="宋体" w:hAnsi="宋体" w:eastAsia="宋体" w:cs="宋体"/>
          <w:color w:val="auto"/>
          <w:spacing w:val="1"/>
          <w:position w:val="15"/>
          <w:szCs w:val="24"/>
          <w:highlight w:val="none"/>
        </w:rPr>
        <w:t>－</w:t>
      </w:r>
      <w:r>
        <w:rPr>
          <w:rFonts w:hint="eastAsia" w:ascii="宋体" w:hAnsi="宋体" w:eastAsia="宋体" w:cs="宋体"/>
          <w:color w:val="auto"/>
          <w:spacing w:val="-39"/>
          <w:position w:val="15"/>
          <w:szCs w:val="24"/>
          <w:highlight w:val="none"/>
        </w:rPr>
        <w:t>F</w:t>
      </w:r>
      <w:r>
        <w:rPr>
          <w:rFonts w:hint="eastAsia" w:ascii="宋体" w:hAnsi="宋体" w:eastAsia="宋体" w:cs="宋体"/>
          <w:color w:val="auto"/>
          <w:position w:val="9"/>
          <w:sz w:val="14"/>
          <w:szCs w:val="14"/>
          <w:highlight w:val="none"/>
        </w:rPr>
        <w:t>1</w:t>
      </w:r>
      <w:r>
        <w:rPr>
          <w:rFonts w:hint="eastAsia" w:ascii="宋体" w:hAnsi="宋体" w:eastAsia="宋体" w:cs="宋体"/>
          <w:color w:val="auto"/>
          <w:spacing w:val="10"/>
          <w:position w:val="9"/>
          <w:sz w:val="14"/>
          <w:szCs w:val="14"/>
          <w:highlight w:val="none"/>
        </w:rPr>
        <w:t xml:space="preserve"> </w:t>
      </w:r>
      <w:r>
        <w:rPr>
          <w:rFonts w:hint="eastAsia" w:ascii="宋体" w:hAnsi="宋体" w:eastAsia="宋体" w:cs="宋体"/>
          <w:color w:val="auto"/>
          <w:spacing w:val="8"/>
          <w:szCs w:val="24"/>
          <w:highlight w:val="none"/>
        </w:rPr>
        <w:t></w:t>
      </w:r>
      <w:r>
        <w:rPr>
          <w:rFonts w:hint="eastAsia" w:ascii="宋体" w:hAnsi="宋体" w:eastAsia="宋体" w:cs="宋体"/>
          <w:color w:val="auto"/>
          <w:spacing w:val="8"/>
          <w:szCs w:val="24"/>
          <w:highlight w:val="none"/>
          <w:lang w:val="en-US" w:eastAsia="zh-CN"/>
        </w:rPr>
        <w:t>x</w:t>
      </w:r>
      <w:r>
        <w:rPr>
          <w:rFonts w:hint="eastAsia" w:ascii="宋体" w:hAnsi="宋体" w:eastAsia="宋体" w:cs="宋体"/>
          <w:color w:val="auto"/>
          <w:szCs w:val="24"/>
          <w:highlight w:val="none"/>
        </w:rPr>
        <w:t>10</w:t>
      </w:r>
      <w:r>
        <w:rPr>
          <w:rFonts w:hint="eastAsia" w:ascii="宋体" w:hAnsi="宋体" w:eastAsia="宋体" w:cs="宋体"/>
          <w:color w:val="auto"/>
          <w:spacing w:val="2"/>
          <w:szCs w:val="24"/>
          <w:highlight w:val="none"/>
        </w:rPr>
        <w:t>0</w:t>
      </w:r>
      <w:r>
        <w:rPr>
          <w:rFonts w:hint="eastAsia" w:ascii="宋体" w:hAnsi="宋体" w:eastAsia="宋体" w:cs="宋体"/>
          <w:color w:val="auto"/>
          <w:spacing w:val="-20"/>
          <w:szCs w:val="24"/>
          <w:highlight w:val="none"/>
        </w:rPr>
        <w:t>%</w:t>
      </w:r>
      <w:r>
        <w:rPr>
          <w:rFonts w:hint="eastAsia" w:ascii="宋体" w:hAnsi="宋体" w:eastAsia="宋体" w:cs="宋体"/>
          <w:color w:val="auto"/>
          <w:spacing w:val="1"/>
          <w:szCs w:val="24"/>
          <w:highlight w:val="none"/>
        </w:rPr>
        <w:t>＋</w:t>
      </w:r>
      <w:r>
        <w:rPr>
          <w:rFonts w:hint="eastAsia" w:ascii="宋体" w:hAnsi="宋体" w:eastAsia="宋体" w:cs="宋体"/>
          <w:color w:val="auto"/>
          <w:spacing w:val="-5"/>
          <w:szCs w:val="24"/>
          <w:highlight w:val="none"/>
        </w:rPr>
        <w:t>A</w:t>
      </w:r>
      <w:r>
        <w:rPr>
          <w:rFonts w:hint="eastAsia" w:ascii="宋体" w:hAnsi="宋体" w:eastAsia="宋体" w:cs="宋体"/>
          <w:color w:val="auto"/>
          <w:szCs w:val="24"/>
          <w:highlight w:val="none"/>
        </w:rPr>
        <w:t>）</w:t>
      </w:r>
    </w:p>
    <w:p w14:paraId="14CA9F9E">
      <w:pPr>
        <w:pStyle w:val="11"/>
        <w:tabs>
          <w:tab w:val="left" w:pos="2870"/>
        </w:tabs>
        <w:spacing w:line="142" w:lineRule="exact"/>
        <w:ind w:left="2490"/>
        <w:jc w:val="left"/>
        <w:rPr>
          <w:rFonts w:hint="eastAsia" w:ascii="宋体" w:hAnsi="宋体" w:eastAsia="宋体" w:cs="宋体"/>
          <w:color w:val="auto"/>
          <w:sz w:val="14"/>
          <w:szCs w:val="14"/>
          <w:highlight w:val="none"/>
        </w:rPr>
      </w:pPr>
      <w:r>
        <w:rPr>
          <w:rFonts w:hint="eastAsia" w:ascii="宋体" w:hAnsi="宋体" w:eastAsia="宋体" w:cs="宋体"/>
          <w:color w:val="auto"/>
          <w:sz w:val="14"/>
          <w:szCs w:val="14"/>
          <w:highlight w:val="none"/>
        </w:rPr>
        <mc:AlternateContent>
          <mc:Choice Requires="wps">
            <w:drawing>
              <wp:anchor distT="0" distB="0" distL="114300" distR="114300" simplePos="0" relativeHeight="251665408" behindDoc="1" locked="0" layoutInCell="1" allowOverlap="1">
                <wp:simplePos x="0" y="0"/>
                <wp:positionH relativeFrom="page">
                  <wp:posOffset>3274060</wp:posOffset>
                </wp:positionH>
                <wp:positionV relativeFrom="paragraph">
                  <wp:posOffset>29845</wp:posOffset>
                </wp:positionV>
                <wp:extent cx="231140" cy="198755"/>
                <wp:effectExtent l="0" t="0" r="0" b="0"/>
                <wp:wrapNone/>
                <wp:docPr id="6" name="文本框 6"/>
                <wp:cNvGraphicFramePr/>
                <a:graphic xmlns:a="http://schemas.openxmlformats.org/drawingml/2006/main">
                  <a:graphicData uri="http://schemas.microsoft.com/office/word/2010/wordprocessingShape">
                    <wps:wsp>
                      <wps:cNvSpPr txBox="1"/>
                      <wps:spPr>
                        <a:xfrm>
                          <a:off x="0" y="0"/>
                          <a:ext cx="231140" cy="198755"/>
                        </a:xfrm>
                        <a:prstGeom prst="rect">
                          <a:avLst/>
                        </a:prstGeom>
                        <a:noFill/>
                        <a:ln>
                          <a:noFill/>
                        </a:ln>
                        <a:effectLst/>
                      </wps:spPr>
                      <wps:txbx>
                        <w:txbxContent>
                          <w:p w14:paraId="285C5D92">
                            <w:r>
                              <w:rPr>
                                <w:rFonts w:ascii="Times New Roman" w:eastAsia="Times New Roman"/>
                                <w:spacing w:val="-39"/>
                                <w:position w:val="15"/>
                                <w:szCs w:val="24"/>
                              </w:rPr>
                              <w:t>F</w:t>
                            </w:r>
                            <w:r>
                              <w:rPr>
                                <w:rFonts w:ascii="Times New Roman" w:eastAsia="Times New Roman"/>
                                <w:position w:val="9"/>
                                <w:sz w:val="14"/>
                                <w:szCs w:val="14"/>
                              </w:rPr>
                              <w:t>1</w:t>
                            </w:r>
                          </w:p>
                        </w:txbxContent>
                      </wps:txbx>
                      <wps:bodyPr wrap="square" lIns="0" tIns="0" rIns="0" bIns="0" upright="1"/>
                    </wps:wsp>
                  </a:graphicData>
                </a:graphic>
              </wp:anchor>
            </w:drawing>
          </mc:Choice>
          <mc:Fallback>
            <w:pict>
              <v:shape id="_x0000_s1026" o:spid="_x0000_s1026" o:spt="202" type="#_x0000_t202" style="position:absolute;left:0pt;margin-left:257.8pt;margin-top:2.35pt;height:15.65pt;width:18.2pt;mso-position-horizontal-relative:page;z-index:-251651072;mso-width-relative:page;mso-height-relative:page;" filled="f" stroked="f" coordsize="21600,21600" o:gfxdata="UEsDBAoAAAAAAIdO4kAAAAAAAAAAAAAAAAAEAAAAZHJzL1BLAwQUAAAACACHTuJAZ5bUVtcAAAAI&#10;AQAADwAAAGRycy9kb3ducmV2LnhtbE2PzU7DMBCE70i8g7VI3KidQkIJ2VQIwQkJkYZDj07sJlHj&#10;dYjdH96e5QTH0YxmvinWZzeKo53D4AkhWSgQllpvBuoQPuvXmxWIEDUZPXqyCN82wLq8vCh0bvyJ&#10;KnvcxE5wCYVcI/QxTrmUoe2t02HhJ0vs7fzsdGQ5d9LM+sTlbpRLpTLp9EC80OvJPve23W8ODuFp&#10;S9XL8PXefFS7aqjrB0Vv2R7x+ipRjyCiPce/MPziMzqUzNT4A5kgRoQ0STOOItzdg2A/TZf8rUG4&#10;zRTIspD/D5Q/UEsDBBQAAAAIAIdO4kBsio3PyAEAAI0DAAAOAAAAZHJzL2Uyb0RvYy54bWytU82O&#10;0zAQviPtO1i+b9OU3bJETVdC1SIkBEgLD+A6k8aS/9bjNukLwBtw4sKd5+pzMM5PWZbLHrg445nx&#10;N/N9M1nddkazAwRUzpY8n805Aytdpeyu5F8+313ecIZR2EpoZ6HkR0B+u754sWp9AQvXOF1BYARi&#10;sWh9yZsYfZFlKBswAmfOg6Vg7YIRka5hl1VBtIRudLaYz5dZ60Llg5OASN7NEOQjYngOoKtrJWHj&#10;5N6AjQNqAC0iUcJGeeTrvtu6Bhk/1jVCZLrkxDT2JxUhe5vObL0SxS4I3yg5tiCe08ITTkYoS0XP&#10;UBsRBdsH9Q+UUTI4dHWcSWeygUivCLHI50+0uW+Eh54LSY3+LDr+P1j54fApMFWVfMmZFYYGfvr+&#10;7fTj1+nnV7ZM8rQeC8q695QXuzeuo6WZ/EjOxLqrg0lf4sMoTuIez+JCF5kk5+Jlnl9RRFIof33z&#10;6vo6oWR/HvuA8S04w5JR8kCz6yUVh/cYh9QpJdWy7k5p3c9P278chDl4oF+A8XXiMfSbrNhtu5Hc&#10;1lVH4tbSEpQcH/YiAGf6nSWV08ZMRpiM7WTsfVC7hlrt9cgSLE2p5zRuVFqDx3eyH/9F69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nltRW1wAAAAgBAAAPAAAAAAAAAAEAIAAAACIAAABkcnMvZG93&#10;bnJldi54bWxQSwECFAAUAAAACACHTuJAbIqNz8gBAACNAwAADgAAAAAAAAABACAAAAAmAQAAZHJz&#10;L2Uyb0RvYy54bWxQSwUGAAAAAAYABgBZAQAAYAUAAAAA&#10;">
                <v:fill on="f" focussize="0,0"/>
                <v:stroke on="f"/>
                <v:imagedata o:title=""/>
                <o:lock v:ext="edit" aspectratio="f"/>
                <v:textbox inset="0mm,0mm,0mm,0mm">
                  <w:txbxContent>
                    <w:p w14:paraId="285C5D92">
                      <w:r>
                        <w:rPr>
                          <w:rFonts w:ascii="Times New Roman" w:eastAsia="Times New Roman"/>
                          <w:spacing w:val="-39"/>
                          <w:position w:val="15"/>
                          <w:szCs w:val="24"/>
                        </w:rPr>
                        <w:t>F</w:t>
                      </w:r>
                      <w:r>
                        <w:rPr>
                          <w:rFonts w:ascii="Times New Roman" w:eastAsia="Times New Roman"/>
                          <w:position w:val="9"/>
                          <w:sz w:val="14"/>
                          <w:szCs w:val="14"/>
                        </w:rPr>
                        <w:t>1</w:t>
                      </w:r>
                    </w:p>
                  </w:txbxContent>
                </v:textbox>
              </v:shape>
            </w:pict>
          </mc:Fallback>
        </mc:AlternateContent>
      </w:r>
      <w:r>
        <w:rPr>
          <w:rFonts w:hint="eastAsia" w:ascii="宋体" w:hAnsi="宋体" w:eastAsia="宋体" w:cs="宋体"/>
          <w:color w:val="auto"/>
          <w:sz w:val="14"/>
          <w:szCs w:val="14"/>
          <w:highlight w:val="none"/>
        </w:rPr>
        <w:t>1</w:t>
      </w:r>
      <w:r>
        <w:rPr>
          <w:rFonts w:hint="eastAsia" w:ascii="宋体" w:hAnsi="宋体" w:eastAsia="宋体" w:cs="宋体"/>
          <w:color w:val="auto"/>
          <w:sz w:val="14"/>
          <w:szCs w:val="14"/>
          <w:highlight w:val="none"/>
        </w:rPr>
        <w:tab/>
      </w:r>
      <w:r>
        <w:rPr>
          <w:rFonts w:hint="eastAsia" w:ascii="宋体" w:hAnsi="宋体" w:eastAsia="宋体" w:cs="宋体"/>
          <w:color w:val="auto"/>
          <w:sz w:val="14"/>
          <w:szCs w:val="14"/>
          <w:highlight w:val="none"/>
        </w:rPr>
        <w:t xml:space="preserve"> 1</w:t>
      </w:r>
    </w:p>
    <w:p w14:paraId="379C0B38">
      <w:pPr>
        <w:pStyle w:val="11"/>
        <w:spacing w:before="26"/>
        <w:ind w:left="3496" w:right="4830"/>
        <w:jc w:val="center"/>
        <w:rPr>
          <w:rFonts w:hint="eastAsia" w:ascii="宋体" w:hAnsi="宋体" w:eastAsia="宋体" w:cs="宋体"/>
          <w:color w:val="auto"/>
          <w:highlight w:val="none"/>
        </w:rPr>
      </w:pPr>
    </w:p>
    <w:p w14:paraId="6FCAB2E1">
      <w:pPr>
        <w:spacing w:before="6" w:line="170" w:lineRule="exact"/>
        <w:rPr>
          <w:rFonts w:hint="eastAsia" w:ascii="宋体" w:hAnsi="宋体" w:eastAsia="宋体" w:cs="宋体"/>
          <w:color w:val="auto"/>
          <w:sz w:val="17"/>
          <w:szCs w:val="17"/>
          <w:highlight w:val="none"/>
        </w:rPr>
      </w:pPr>
    </w:p>
    <w:p w14:paraId="27A4034D">
      <w:pPr>
        <w:spacing w:line="404" w:lineRule="exact"/>
        <w:ind w:left="120"/>
        <w:jc w:val="left"/>
        <w:rPr>
          <w:rFonts w:hint="eastAsia" w:ascii="宋体" w:hAnsi="宋体" w:eastAsia="宋体" w:cs="宋体"/>
          <w:color w:val="auto"/>
          <w:szCs w:val="24"/>
          <w:highlight w:val="none"/>
        </w:rPr>
      </w:pPr>
      <w:r>
        <w:rPr>
          <w:rFonts w:hint="eastAsia" w:ascii="宋体" w:hAnsi="宋体" w:eastAsia="宋体" w:cs="宋体"/>
          <w:color w:val="auto"/>
          <w:highlight w:val="none"/>
        </w:rPr>
        <mc:AlternateContent>
          <mc:Choice Requires="wpg">
            <w:drawing>
              <wp:anchor distT="0" distB="0" distL="114300" distR="114300" simplePos="0" relativeHeight="251666432" behindDoc="1" locked="0" layoutInCell="1" allowOverlap="1">
                <wp:simplePos x="0" y="0"/>
                <wp:positionH relativeFrom="page">
                  <wp:posOffset>3099435</wp:posOffset>
                </wp:positionH>
                <wp:positionV relativeFrom="paragraph">
                  <wp:posOffset>250825</wp:posOffset>
                </wp:positionV>
                <wp:extent cx="388620" cy="1270"/>
                <wp:effectExtent l="0" t="0" r="0" b="0"/>
                <wp:wrapNone/>
                <wp:docPr id="36" name="组合 36"/>
                <wp:cNvGraphicFramePr/>
                <a:graphic xmlns:a="http://schemas.openxmlformats.org/drawingml/2006/main">
                  <a:graphicData uri="http://schemas.microsoft.com/office/word/2010/wordprocessingGroup">
                    <wpg:wgp>
                      <wpg:cNvGrpSpPr/>
                      <wpg:grpSpPr>
                        <a:xfrm>
                          <a:off x="0" y="0"/>
                          <a:ext cx="388620" cy="1270"/>
                          <a:chOff x="4882" y="395"/>
                          <a:chExt cx="612" cy="2"/>
                        </a:xfrm>
                        <a:effectLst/>
                      </wpg:grpSpPr>
                      <wps:wsp>
                        <wps:cNvPr id="7" name="任意多边形 30"/>
                        <wps:cNvSpPr/>
                        <wps:spPr>
                          <a:xfrm>
                            <a:off x="4882" y="395"/>
                            <a:ext cx="612" cy="2"/>
                          </a:xfrm>
                          <a:custGeom>
                            <a:avLst/>
                            <a:gdLst/>
                            <a:ahLst/>
                            <a:cxnLst/>
                            <a:pathLst>
                              <a:path w="612">
                                <a:moveTo>
                                  <a:pt x="0" y="0"/>
                                </a:moveTo>
                                <a:lnTo>
                                  <a:pt x="612" y="0"/>
                                </a:lnTo>
                              </a:path>
                            </a:pathLst>
                          </a:custGeom>
                          <a:noFill/>
                          <a:ln w="6350" cap="flat" cmpd="sng">
                            <a:solidFill>
                              <a:srgbClr val="000000"/>
                            </a:solidFill>
                            <a:prstDash val="solid"/>
                            <a:headEnd type="none" w="med" len="med"/>
                            <a:tailEnd type="none" w="med" len="med"/>
                          </a:ln>
                          <a:effectLst/>
                        </wps:spPr>
                        <wps:bodyPr wrap="square" upright="1"/>
                      </wps:wsp>
                    </wpg:wgp>
                  </a:graphicData>
                </a:graphic>
              </wp:anchor>
            </w:drawing>
          </mc:Choice>
          <mc:Fallback>
            <w:pict>
              <v:group id="_x0000_s1026" o:spid="_x0000_s1026" o:spt="203" style="position:absolute;left:0pt;margin-left:244.05pt;margin-top:19.75pt;height:0.1pt;width:30.6pt;mso-position-horizontal-relative:page;z-index:-251650048;mso-width-relative:page;mso-height-relative:page;" coordorigin="4882,395" coordsize="612,2" o:gfxdata="UEsDBAoAAAAAAIdO4kAAAAAAAAAAAAAAAAAEAAAAZHJzL1BLAwQUAAAACACHTuJAN0ZRf9oAAAAJ&#10;AQAADwAAAGRycy9kb3ducmV2LnhtbE2PwU7DMAyG70i8Q2QkbiwNXaErTSc0AadpEhsS4ua1Xlut&#10;caoma7e3JzvB0fan39+fL8+mEyMNrrWsQc0iEMSlrVquNXzt3h9SEM4jV9hZJg0XcrAsbm9yzCo7&#10;8SeNW1+LEMIuQw2N930mpSsbMuhmticOt4MdDPowDrWsBpxCuOnkYxQ9SYMthw8N9rRqqDxuT0bD&#10;x4TTa6zexvXxsLr87JLN91qR1vd3KnoB4ens/2C46gd1KILT3p64cqLTME9TFVAN8SIBEYBkvohB&#10;7K+LZ5BFLv83KH4BUEsDBBQAAAAIAIdO4kD5RoxBnwIAANYFAAAOAAAAZHJzL2Uyb0RvYy54bWyl&#10;VM1uEzEQviPxDpbvdPND07DqpgfS9oKgUssDuF7vriWvbWwnm9x74AZnjoiXQBE8DQUegxnvblJS&#10;kCrIYTP2jMff9814jk9WtSJL4bw0OqPDgwElQnOTS11m9PXV2ZMpJT4wnTNltMjoWnh6Mnv86Lix&#10;qRiZyqhcOAJJtE8bm9EqBJsmieeVqJk/MFZocBbG1SzA0pVJ7lgD2WuVjAaDSdIYl1tnuPAeduet&#10;k3YZ3UMSmqKQXMwNX9RChzarE4oFoOQraT2dRbRFIXh4VRReBKIyCkxD/MIlYF/jN5kds7R0zFaS&#10;dxDYQyDscaqZ1HDpNtWcBUYWTt5LVUvujDdFOOCmTloiURFgMRzsaXPuzMJGLmXalHYrOhRqT/V/&#10;TstfLi8ckXlGxxNKNKuh4j82N7fv3xLYAHUaW6YQdO7spb1w3UbZrpDwqnA1/gMVsoq6rre6ilUg&#10;HDbH0+lkBIpzcA1HR53qvILS4Jmn0+mIEvCNnx22BeHVaXd0MgQXnhuhJ9ndJ2JxX/iA2whyi6mx&#10;0Jh+p5b/P7UuK2ZFLIJHITq1jnqxvm0232/e3X768PPr59svH8k4skMMELyVzKce1PuDXve596L9&#10;lTlf+HAuTFSdLVsFoPHy3mJVb/GV7k3LAm4jAjRJk1G8ANe1WYorEz1hr4Sg986r9N2oCK8vNcS1&#10;XjAwfazU9krYvItZmzOpFJQND0Ug40NsDgbDpIBHDGZtoSG9LiM+b5TM8Qie8K68fq4cWTJ80PHX&#10;NcZvYdb5MGe+auOiq+2sSrD8VOckrC10uoYJRxFCLXJKlICBiFbEFphUD4mM3BHaXkf2JcdWuDb5&#10;GhqngTkDvN4smINrF9bJsoKJNIwMurbtuhmeexSxG004T+6uY9RuHM9+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BIFAABbQ29udGVudF9UeXBl&#10;c10ueG1sUEsBAhQACgAAAAAAh07iQAAAAAAAAAAAAAAAAAYAAAAAAAAAAAAQAAAA9AMAAF9yZWxz&#10;L1BLAQIUABQAAAAIAIdO4kCKFGY80QAAAJQBAAALAAAAAAAAAAEAIAAAABgEAABfcmVscy8ucmVs&#10;c1BLAQIUAAoAAAAAAIdO4kAAAAAAAAAAAAAAAAAEAAAAAAAAAAAAEAAAAAAAAABkcnMvUEsBAhQA&#10;FAAAAAgAh07iQDdGUX/aAAAACQEAAA8AAAAAAAAAAQAgAAAAIgAAAGRycy9kb3ducmV2LnhtbFBL&#10;AQIUABQAAAAIAIdO4kD5RoxBnwIAANYFAAAOAAAAAAAAAAEAIAAAACkBAABkcnMvZTJvRG9jLnht&#10;bFBLBQYAAAAABgAGAFkBAAA6BgAAAAA=&#10;">
                <o:lock v:ext="edit" aspectratio="f"/>
                <v:shape id="任意多边形 30" o:spid="_x0000_s1026" o:spt="100" style="position:absolute;left:4882;top:395;height:2;width:612;" filled="f" stroked="t" coordsize="612,1" o:gfxdata="UEsDBAoAAAAAAIdO4kAAAAAAAAAAAAAAAAAEAAAAZHJzL1BLAwQUAAAACACHTuJAEmEn574AAADa&#10;AAAADwAAAGRycy9kb3ducmV2LnhtbEWPX0vDQBDE3wv9DscWfGsvqaAl9lragn9eKlpF8G3Jrblg&#10;bjfkzqTtp+8Jgo/DzPyGWa6PvlE9daEWNpDPMlDEpdiaKwPvb/fTBagQkS02wmTgRAHWq/FoiYWV&#10;gV+pP8RKJQiHAg24GNtC61A68hhm0hIn70s6jzHJrtK2wyHBfaPnWXajPdacFhy2tHNUfh9+vIH9&#10;9eKcP28fh417qD/b/kXkIxdjriZ5dgcq0jH+h//aT9bALfxeSTdAry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mEn574A&#10;AADaAAAADwAAAAAAAAABACAAAAAiAAAAZHJzL2Rvd25yZXYueG1sUEsBAhQAFAAAAAgAh07iQDMv&#10;BZ47AAAAOQAAABAAAAAAAAAAAQAgAAAADQEAAGRycy9zaGFwZXhtbC54bWxQSwUGAAAAAAYABgBb&#10;AQAAtwMAAAAA&#10;" path="m0,0l612,0e">
                  <v:fill on="f" focussize="0,0"/>
                  <v:stroke weight="0.5pt" color="#000000" joinstyle="round"/>
                  <v:imagedata o:title=""/>
                  <o:lock v:ext="edit" aspectratio="f"/>
                </v:shape>
              </v:group>
            </w:pict>
          </mc:Fallback>
        </mc:AlternateContent>
      </w:r>
      <w:r>
        <w:rPr>
          <w:rFonts w:hint="eastAsia" w:ascii="宋体" w:hAnsi="宋体" w:eastAsia="宋体" w:cs="宋体"/>
          <w:color w:val="auto"/>
          <w:spacing w:val="1"/>
          <w:sz w:val="21"/>
          <w:szCs w:val="21"/>
          <w:highlight w:val="none"/>
        </w:rPr>
        <w:t>b</w:t>
      </w:r>
      <w:r>
        <w:rPr>
          <w:rFonts w:hint="eastAsia" w:ascii="宋体" w:hAnsi="宋体" w:eastAsia="宋体" w:cs="宋体"/>
          <w:color w:val="auto"/>
          <w:spacing w:val="-2"/>
          <w:sz w:val="21"/>
          <w:szCs w:val="21"/>
          <w:highlight w:val="none"/>
        </w:rPr>
        <w:t>.</w:t>
      </w:r>
      <w:r>
        <w:rPr>
          <w:rFonts w:hint="eastAsia" w:ascii="宋体" w:hAnsi="宋体" w:eastAsia="宋体" w:cs="宋体"/>
          <w:color w:val="auto"/>
          <w:spacing w:val="-1"/>
          <w:sz w:val="21"/>
          <w:szCs w:val="21"/>
          <w:highlight w:val="none"/>
        </w:rPr>
        <w:t>涨</w:t>
      </w:r>
      <w:r>
        <w:rPr>
          <w:rFonts w:hint="eastAsia" w:ascii="宋体" w:hAnsi="宋体" w:eastAsia="宋体" w:cs="宋体"/>
          <w:color w:val="auto"/>
          <w:spacing w:val="2"/>
          <w:sz w:val="21"/>
          <w:szCs w:val="21"/>
          <w:highlight w:val="none"/>
        </w:rPr>
        <w:t>价</w:t>
      </w:r>
      <w:r>
        <w:rPr>
          <w:rFonts w:hint="eastAsia" w:ascii="宋体" w:hAnsi="宋体" w:eastAsia="宋体" w:cs="宋体"/>
          <w:color w:val="auto"/>
          <w:spacing w:val="-1"/>
          <w:sz w:val="21"/>
          <w:szCs w:val="21"/>
          <w:highlight w:val="none"/>
        </w:rPr>
        <w:t>时</w:t>
      </w:r>
      <w:r>
        <w:rPr>
          <w:rFonts w:hint="eastAsia" w:ascii="宋体" w:hAnsi="宋体" w:eastAsia="宋体" w:cs="宋体"/>
          <w:color w:val="auto"/>
          <w:sz w:val="21"/>
          <w:szCs w:val="21"/>
          <w:highlight w:val="none"/>
        </w:rPr>
        <w:t>，</w:t>
      </w:r>
      <w:r>
        <w:rPr>
          <w:rFonts w:hint="eastAsia" w:ascii="宋体" w:hAnsi="宋体" w:eastAsia="宋体" w:cs="宋体"/>
          <w:color w:val="auto"/>
          <w:spacing w:val="-85"/>
          <w:sz w:val="21"/>
          <w:szCs w:val="21"/>
          <w:highlight w:val="none"/>
        </w:rPr>
        <w:t xml:space="preserve"> </w:t>
      </w:r>
      <w:r>
        <w:rPr>
          <w:rFonts w:hint="eastAsia" w:ascii="宋体" w:hAnsi="宋体" w:eastAsia="宋体" w:cs="宋体"/>
          <w:color w:val="auto"/>
          <w:szCs w:val="24"/>
          <w:highlight w:val="none"/>
        </w:rPr>
        <w:t>结算单价</w:t>
      </w:r>
      <w:r>
        <w:rPr>
          <w:rFonts w:hint="eastAsia" w:ascii="宋体" w:hAnsi="宋体" w:eastAsia="宋体" w:cs="宋体"/>
          <w:color w:val="auto"/>
          <w:spacing w:val="9"/>
          <w:szCs w:val="24"/>
          <w:highlight w:val="none"/>
        </w:rPr>
        <w:t>＝</w:t>
      </w:r>
      <w:r>
        <w:rPr>
          <w:rFonts w:hint="eastAsia" w:ascii="宋体" w:hAnsi="宋体" w:eastAsia="宋体" w:cs="宋体"/>
          <w:color w:val="auto"/>
          <w:spacing w:val="7"/>
          <w:sz w:val="32"/>
          <w:szCs w:val="32"/>
          <w:highlight w:val="none"/>
        </w:rPr>
        <w:t>F</w:t>
      </w:r>
      <w:r>
        <w:rPr>
          <w:rFonts w:hint="eastAsia" w:ascii="宋体" w:hAnsi="宋体" w:eastAsia="宋体" w:cs="宋体"/>
          <w:color w:val="auto"/>
          <w:spacing w:val="1"/>
          <w:szCs w:val="24"/>
          <w:highlight w:val="none"/>
        </w:rPr>
        <w:t>＋</w:t>
      </w:r>
      <w:r>
        <w:rPr>
          <w:rFonts w:hint="eastAsia" w:ascii="宋体" w:hAnsi="宋体" w:eastAsia="宋体" w:cs="宋体"/>
          <w:color w:val="auto"/>
          <w:sz w:val="32"/>
          <w:szCs w:val="32"/>
          <w:highlight w:val="none"/>
        </w:rPr>
        <w:t>F</w:t>
      </w:r>
      <w:r>
        <w:rPr>
          <w:rFonts w:hint="eastAsia" w:ascii="宋体" w:hAnsi="宋体" w:eastAsia="宋体" w:cs="宋体"/>
          <w:color w:val="auto"/>
          <w:spacing w:val="-7"/>
          <w:szCs w:val="24"/>
          <w:highlight w:val="none"/>
        </w:rPr>
        <w:t xml:space="preserve"> </w:t>
      </w:r>
      <w:r>
        <w:rPr>
          <w:rFonts w:hint="eastAsia" w:ascii="宋体" w:hAnsi="宋体" w:eastAsia="宋体" w:cs="宋体"/>
          <w:color w:val="auto"/>
          <w:spacing w:val="-102"/>
          <w:szCs w:val="24"/>
          <w:highlight w:val="none"/>
        </w:rPr>
        <w:t></w:t>
      </w:r>
      <w:r>
        <w:rPr>
          <w:rFonts w:hint="eastAsia" w:ascii="宋体" w:hAnsi="宋体" w:eastAsia="宋体" w:cs="宋体"/>
          <w:color w:val="auto"/>
          <w:szCs w:val="24"/>
          <w:highlight w:val="none"/>
        </w:rPr>
        <w:t xml:space="preserve">（ </w:t>
      </w:r>
      <w:r>
        <w:rPr>
          <w:rFonts w:hint="eastAsia" w:ascii="宋体" w:hAnsi="宋体" w:eastAsia="宋体" w:cs="宋体"/>
          <w:color w:val="auto"/>
          <w:spacing w:val="-23"/>
          <w:position w:val="15"/>
          <w:szCs w:val="24"/>
          <w:highlight w:val="none"/>
        </w:rPr>
        <w:t>F</w:t>
      </w:r>
      <w:r>
        <w:rPr>
          <w:rFonts w:hint="eastAsia" w:ascii="宋体" w:hAnsi="宋体" w:eastAsia="宋体" w:cs="宋体"/>
          <w:color w:val="auto"/>
          <w:spacing w:val="-15"/>
          <w:position w:val="9"/>
          <w:sz w:val="14"/>
          <w:szCs w:val="14"/>
          <w:highlight w:val="none"/>
        </w:rPr>
        <w:t>2</w:t>
      </w:r>
      <w:r>
        <w:rPr>
          <w:rFonts w:hint="eastAsia" w:ascii="宋体" w:hAnsi="宋体" w:eastAsia="宋体" w:cs="宋体"/>
          <w:color w:val="auto"/>
          <w:spacing w:val="1"/>
          <w:position w:val="15"/>
          <w:szCs w:val="24"/>
          <w:highlight w:val="none"/>
        </w:rPr>
        <w:t>－</w:t>
      </w:r>
      <w:r>
        <w:rPr>
          <w:rFonts w:hint="eastAsia" w:ascii="宋体" w:hAnsi="宋体" w:eastAsia="宋体" w:cs="宋体"/>
          <w:color w:val="auto"/>
          <w:spacing w:val="-39"/>
          <w:position w:val="15"/>
          <w:szCs w:val="24"/>
          <w:highlight w:val="none"/>
        </w:rPr>
        <w:t>F</w:t>
      </w:r>
      <w:r>
        <w:rPr>
          <w:rFonts w:hint="eastAsia" w:ascii="宋体" w:hAnsi="宋体" w:eastAsia="宋体" w:cs="宋体"/>
          <w:color w:val="auto"/>
          <w:position w:val="9"/>
          <w:sz w:val="14"/>
          <w:szCs w:val="14"/>
          <w:highlight w:val="none"/>
        </w:rPr>
        <w:t>1</w:t>
      </w:r>
      <w:r>
        <w:rPr>
          <w:rFonts w:hint="eastAsia" w:ascii="宋体" w:hAnsi="宋体" w:eastAsia="宋体" w:cs="宋体"/>
          <w:color w:val="auto"/>
          <w:spacing w:val="10"/>
          <w:position w:val="9"/>
          <w:sz w:val="14"/>
          <w:szCs w:val="14"/>
          <w:highlight w:val="none"/>
        </w:rPr>
        <w:t xml:space="preserve"> </w:t>
      </w:r>
      <w:r>
        <w:rPr>
          <w:rFonts w:hint="eastAsia" w:ascii="宋体" w:hAnsi="宋体" w:eastAsia="宋体" w:cs="宋体"/>
          <w:color w:val="auto"/>
          <w:spacing w:val="8"/>
          <w:szCs w:val="24"/>
          <w:highlight w:val="none"/>
        </w:rPr>
        <w:t></w:t>
      </w:r>
      <w:r>
        <w:rPr>
          <w:rFonts w:hint="eastAsia" w:ascii="宋体" w:hAnsi="宋体" w:eastAsia="宋体" w:cs="宋体"/>
          <w:color w:val="auto"/>
          <w:spacing w:val="8"/>
          <w:szCs w:val="24"/>
          <w:highlight w:val="none"/>
          <w:lang w:val="en-US" w:eastAsia="zh-CN"/>
        </w:rPr>
        <w:t>x</w:t>
      </w:r>
      <w:r>
        <w:rPr>
          <w:rFonts w:hint="eastAsia" w:ascii="宋体" w:hAnsi="宋体" w:eastAsia="宋体" w:cs="宋体"/>
          <w:color w:val="auto"/>
          <w:szCs w:val="24"/>
          <w:highlight w:val="none"/>
        </w:rPr>
        <w:t>10</w:t>
      </w:r>
      <w:r>
        <w:rPr>
          <w:rFonts w:hint="eastAsia" w:ascii="宋体" w:hAnsi="宋体" w:eastAsia="宋体" w:cs="宋体"/>
          <w:color w:val="auto"/>
          <w:spacing w:val="2"/>
          <w:szCs w:val="24"/>
          <w:highlight w:val="none"/>
        </w:rPr>
        <w:t>0</w:t>
      </w:r>
      <w:r>
        <w:rPr>
          <w:rFonts w:hint="eastAsia" w:ascii="宋体" w:hAnsi="宋体" w:eastAsia="宋体" w:cs="宋体"/>
          <w:color w:val="auto"/>
          <w:spacing w:val="-20"/>
          <w:szCs w:val="24"/>
          <w:highlight w:val="none"/>
        </w:rPr>
        <w:t>%</w:t>
      </w:r>
      <w:r>
        <w:rPr>
          <w:rFonts w:hint="eastAsia" w:ascii="宋体" w:hAnsi="宋体" w:eastAsia="宋体" w:cs="宋体"/>
          <w:color w:val="auto"/>
          <w:spacing w:val="1"/>
          <w:szCs w:val="24"/>
          <w:highlight w:val="none"/>
        </w:rPr>
        <w:t>－</w:t>
      </w:r>
      <w:r>
        <w:rPr>
          <w:rFonts w:hint="eastAsia" w:ascii="宋体" w:hAnsi="宋体" w:eastAsia="宋体" w:cs="宋体"/>
          <w:color w:val="auto"/>
          <w:spacing w:val="-5"/>
          <w:szCs w:val="24"/>
          <w:highlight w:val="none"/>
        </w:rPr>
        <w:t>A</w:t>
      </w:r>
      <w:r>
        <w:rPr>
          <w:rFonts w:hint="eastAsia" w:ascii="宋体" w:hAnsi="宋体" w:eastAsia="宋体" w:cs="宋体"/>
          <w:color w:val="auto"/>
          <w:szCs w:val="24"/>
          <w:highlight w:val="none"/>
        </w:rPr>
        <w:t>）</w:t>
      </w:r>
    </w:p>
    <w:p w14:paraId="3EC0EC69">
      <w:pPr>
        <w:pStyle w:val="11"/>
        <w:tabs>
          <w:tab w:val="left" w:pos="2815"/>
        </w:tabs>
        <w:spacing w:line="142" w:lineRule="exact"/>
        <w:ind w:firstLine="2520" w:firstLineChars="1800"/>
        <w:jc w:val="left"/>
        <w:rPr>
          <w:rFonts w:hint="eastAsia" w:ascii="宋体" w:hAnsi="宋体" w:eastAsia="宋体" w:cs="宋体"/>
          <w:color w:val="auto"/>
          <w:sz w:val="14"/>
          <w:szCs w:val="14"/>
          <w:highlight w:val="none"/>
        </w:rPr>
      </w:pPr>
      <w:r>
        <w:rPr>
          <w:rFonts w:hint="eastAsia" w:ascii="宋体" w:hAnsi="宋体" w:eastAsia="宋体" w:cs="宋体"/>
          <w:color w:val="auto"/>
          <w:sz w:val="14"/>
          <w:szCs w:val="14"/>
          <w:highlight w:val="none"/>
        </w:rPr>
        <mc:AlternateContent>
          <mc:Choice Requires="wps">
            <w:drawing>
              <wp:anchor distT="0" distB="0" distL="114300" distR="114300" simplePos="0" relativeHeight="251667456" behindDoc="1" locked="0" layoutInCell="1" allowOverlap="1">
                <wp:simplePos x="0" y="0"/>
                <wp:positionH relativeFrom="page">
                  <wp:posOffset>3239135</wp:posOffset>
                </wp:positionH>
                <wp:positionV relativeFrom="paragraph">
                  <wp:posOffset>29845</wp:posOffset>
                </wp:positionV>
                <wp:extent cx="288290" cy="255270"/>
                <wp:effectExtent l="0" t="0" r="0" b="0"/>
                <wp:wrapNone/>
                <wp:docPr id="9" name="文本框 9"/>
                <wp:cNvGraphicFramePr/>
                <a:graphic xmlns:a="http://schemas.openxmlformats.org/drawingml/2006/main">
                  <a:graphicData uri="http://schemas.microsoft.com/office/word/2010/wordprocessingShape">
                    <wps:wsp>
                      <wps:cNvSpPr txBox="1"/>
                      <wps:spPr>
                        <a:xfrm>
                          <a:off x="0" y="0"/>
                          <a:ext cx="288290" cy="255270"/>
                        </a:xfrm>
                        <a:prstGeom prst="rect">
                          <a:avLst/>
                        </a:prstGeom>
                        <a:noFill/>
                        <a:ln>
                          <a:noFill/>
                        </a:ln>
                        <a:effectLst/>
                      </wps:spPr>
                      <wps:txbx>
                        <w:txbxContent>
                          <w:p w14:paraId="24F8BD4A">
                            <w:r>
                              <w:rPr>
                                <w:rFonts w:ascii="Times New Roman" w:eastAsia="Times New Roman"/>
                                <w:spacing w:val="-39"/>
                                <w:position w:val="15"/>
                                <w:szCs w:val="24"/>
                              </w:rPr>
                              <w:t>F</w:t>
                            </w:r>
                            <w:r>
                              <w:rPr>
                                <w:rFonts w:ascii="Times New Roman" w:eastAsia="Times New Roman"/>
                                <w:position w:val="9"/>
                                <w:sz w:val="14"/>
                                <w:szCs w:val="14"/>
                              </w:rPr>
                              <w:t>1</w:t>
                            </w:r>
                          </w:p>
                          <w:p w14:paraId="0CFF0AC4"/>
                        </w:txbxContent>
                      </wps:txbx>
                      <wps:bodyPr wrap="square" lIns="0" tIns="0" rIns="0" bIns="0" upright="1"/>
                    </wps:wsp>
                  </a:graphicData>
                </a:graphic>
              </wp:anchor>
            </w:drawing>
          </mc:Choice>
          <mc:Fallback>
            <w:pict>
              <v:shape id="_x0000_s1026" o:spid="_x0000_s1026" o:spt="202" type="#_x0000_t202" style="position:absolute;left:0pt;margin-left:255.05pt;margin-top:2.35pt;height:20.1pt;width:22.7pt;mso-position-horizontal-relative:page;z-index:-251649024;mso-width-relative:page;mso-height-relative:page;" filled="f" stroked="f" coordsize="21600,21600" o:gfxdata="UEsDBAoAAAAAAIdO4kAAAAAAAAAAAAAAAAAEAAAAZHJzL1BLAwQUAAAACACHTuJAc2f4rNYAAAAI&#10;AQAADwAAAGRycy9kb3ducmV2LnhtbE2PzU7DMBCE70i8g7VI3Kgd1BaaxqkQghMSIg2HHp14m1iN&#10;1yF2f3h7lhPsbTSj2W+KzcUP4oRTdIE0ZDMFAqkN1lGn4bN+vXsEEZMha4ZAqOEbI2zK66vC5Dac&#10;qcLTNnWCSyjmRkOf0phLGdsevYmzMCKxtw+TN4nl1Ek7mTOX+0HeK7WU3jjiD70Z8bnH9rA9eg1P&#10;O6pe3Nd781HtK1fXK0Vvy4PWtzeZWoNIeEl/YfjFZ3QomakJR7JRDBoWmco4qmH+AIL9BR+IhvV8&#10;BbIs5P8B5Q9QSwMEFAAAAAgAh07iQMzgHF3IAQAAjQMAAA4AAABkcnMvZTJvRG9jLnhtbK1TzY7T&#10;MBC+I/EOlu803UgLbdR0pVW1CAkB0sIDuM6kseQ/xm6TvgC8AScu3HmuPgdjpynLctnDXpzxzPib&#10;+b6ZrG4Go9kBMChna341m3MGVrpG2V3Nv3y+e7XgLERhG6GdhZofIfCb9csXq95XULrO6QaQEYgN&#10;Ve9r3sXoq6IIsgMjwsx5sBRsHRoR6Yq7okHRE7rRRTmfvy56h41HJyEE8m7GID8j4lMAXdsqCRsn&#10;9wZsHFERtIhEKXTKB77O3bYtyPixbQNEpmtOTGM+qQjZ23QW65Wodih8p+S5BfGUFh5xMkJZKnqB&#10;2ogo2B7Vf1BGSXTBtXEmnSlGIlkRYnE1f6TNfSc8ZC4kdfAX0cPzwcoPh0/IVFPzJWdWGBr46cf3&#10;08/fp1/f2DLJ0/tQUda9p7w43LqBlmbyB3Im1kOLJn2JD6M4iXu8iAtDZJKc5WJRLikiKVReX5dv&#10;svjF38ceQ3wLzrBk1BxpdllScXgfIjVCqVNKqmXdndI6z0/bfxyUOHogL8D5deIx9pusOGyHM7mt&#10;a47EraclqHn4uhcInOl3llROGzMZOBnbydh7VLuOWs16FAmWppQbPW9UWoOHd7If/kXrP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HNn+KzWAAAACAEAAA8AAAAAAAAAAQAgAAAAIgAAAGRycy9kb3du&#10;cmV2LnhtbFBLAQIUABQAAAAIAIdO4kDM4BxdyAEAAI0DAAAOAAAAAAAAAAEAIAAAACUBAABkcnMv&#10;ZTJvRG9jLnhtbFBLBQYAAAAABgAGAFkBAABfBQAAAAA=&#10;">
                <v:fill on="f" focussize="0,0"/>
                <v:stroke on="f"/>
                <v:imagedata o:title=""/>
                <o:lock v:ext="edit" aspectratio="f"/>
                <v:textbox inset="0mm,0mm,0mm,0mm">
                  <w:txbxContent>
                    <w:p w14:paraId="24F8BD4A">
                      <w:r>
                        <w:rPr>
                          <w:rFonts w:ascii="Times New Roman" w:eastAsia="Times New Roman"/>
                          <w:spacing w:val="-39"/>
                          <w:position w:val="15"/>
                          <w:szCs w:val="24"/>
                        </w:rPr>
                        <w:t>F</w:t>
                      </w:r>
                      <w:r>
                        <w:rPr>
                          <w:rFonts w:ascii="Times New Roman" w:eastAsia="Times New Roman"/>
                          <w:position w:val="9"/>
                          <w:sz w:val="14"/>
                          <w:szCs w:val="14"/>
                        </w:rPr>
                        <w:t>1</w:t>
                      </w:r>
                    </w:p>
                    <w:p w14:paraId="0CFF0AC4"/>
                  </w:txbxContent>
                </v:textbox>
              </v:shape>
            </w:pict>
          </mc:Fallback>
        </mc:AlternateContent>
      </w:r>
      <w:r>
        <w:rPr>
          <w:rFonts w:hint="eastAsia" w:ascii="宋体" w:hAnsi="宋体" w:eastAsia="宋体" w:cs="宋体"/>
          <w:color w:val="auto"/>
          <w:sz w:val="14"/>
          <w:szCs w:val="14"/>
          <w:highlight w:val="none"/>
        </w:rPr>
        <w:t>1</w:t>
      </w:r>
      <w:r>
        <w:rPr>
          <w:rFonts w:hint="eastAsia" w:ascii="宋体" w:hAnsi="宋体" w:eastAsia="宋体" w:cs="宋体"/>
          <w:color w:val="auto"/>
          <w:sz w:val="14"/>
          <w:szCs w:val="14"/>
          <w:highlight w:val="none"/>
        </w:rPr>
        <w:tab/>
      </w:r>
      <w:r>
        <w:rPr>
          <w:rFonts w:hint="eastAsia" w:ascii="宋体" w:hAnsi="宋体" w:eastAsia="宋体" w:cs="宋体"/>
          <w:color w:val="auto"/>
          <w:sz w:val="14"/>
          <w:szCs w:val="14"/>
          <w:highlight w:val="none"/>
        </w:rPr>
        <w:t xml:space="preserve">  1</w:t>
      </w:r>
    </w:p>
    <w:p w14:paraId="262F68FE">
      <w:pPr>
        <w:pStyle w:val="11"/>
        <w:spacing w:before="26"/>
        <w:ind w:left="3441" w:right="4885"/>
        <w:jc w:val="center"/>
        <w:rPr>
          <w:rFonts w:hint="eastAsia" w:ascii="宋体" w:hAnsi="宋体" w:eastAsia="宋体" w:cs="宋体"/>
          <w:color w:val="auto"/>
          <w:highlight w:val="none"/>
        </w:rPr>
      </w:pPr>
    </w:p>
    <w:p w14:paraId="34E0FB22">
      <w:pPr>
        <w:spacing w:before="3" w:line="170" w:lineRule="exact"/>
        <w:rPr>
          <w:rFonts w:hint="eastAsia" w:ascii="宋体" w:hAnsi="宋体" w:eastAsia="宋体" w:cs="宋体"/>
          <w:color w:val="auto"/>
          <w:sz w:val="17"/>
          <w:szCs w:val="17"/>
          <w:highlight w:val="none"/>
        </w:rPr>
      </w:pPr>
    </w:p>
    <w:p w14:paraId="3EC31376">
      <w:pPr>
        <w:spacing w:line="404" w:lineRule="exact"/>
        <w:ind w:left="328"/>
        <w:jc w:val="left"/>
        <w:rPr>
          <w:rFonts w:hint="eastAsia" w:ascii="宋体" w:hAnsi="宋体" w:eastAsia="宋体" w:cs="宋体"/>
          <w:color w:val="auto"/>
          <w:szCs w:val="24"/>
          <w:highlight w:val="none"/>
        </w:rPr>
      </w:pPr>
      <w:r>
        <w:rPr>
          <w:rFonts w:hint="eastAsia" w:ascii="宋体" w:hAnsi="宋体" w:eastAsia="宋体" w:cs="宋体"/>
          <w:color w:val="auto"/>
          <w:highlight w:val="none"/>
        </w:rPr>
        <mc:AlternateContent>
          <mc:Choice Requires="wpg">
            <w:drawing>
              <wp:anchor distT="0" distB="0" distL="114300" distR="114300" simplePos="0" relativeHeight="251668480" behindDoc="1" locked="0" layoutInCell="1" allowOverlap="1">
                <wp:simplePos x="0" y="0"/>
                <wp:positionH relativeFrom="page">
                  <wp:posOffset>3150235</wp:posOffset>
                </wp:positionH>
                <wp:positionV relativeFrom="paragraph">
                  <wp:posOffset>250825</wp:posOffset>
                </wp:positionV>
                <wp:extent cx="403860" cy="1270"/>
                <wp:effectExtent l="0" t="0" r="0" b="0"/>
                <wp:wrapNone/>
                <wp:docPr id="43" name="组合 43"/>
                <wp:cNvGraphicFramePr/>
                <a:graphic xmlns:a="http://schemas.openxmlformats.org/drawingml/2006/main">
                  <a:graphicData uri="http://schemas.microsoft.com/office/word/2010/wordprocessingGroup">
                    <wpg:wgp>
                      <wpg:cNvGrpSpPr/>
                      <wpg:grpSpPr>
                        <a:xfrm>
                          <a:off x="0" y="0"/>
                          <a:ext cx="403860" cy="1270"/>
                          <a:chOff x="4961" y="396"/>
                          <a:chExt cx="636" cy="2"/>
                        </a:xfrm>
                        <a:effectLst/>
                      </wpg:grpSpPr>
                      <wps:wsp>
                        <wps:cNvPr id="10" name="任意多边形 33"/>
                        <wps:cNvSpPr/>
                        <wps:spPr>
                          <a:xfrm>
                            <a:off x="4961" y="396"/>
                            <a:ext cx="636" cy="2"/>
                          </a:xfrm>
                          <a:custGeom>
                            <a:avLst/>
                            <a:gdLst/>
                            <a:ahLst/>
                            <a:cxnLst/>
                            <a:pathLst>
                              <a:path w="636">
                                <a:moveTo>
                                  <a:pt x="0" y="0"/>
                                </a:moveTo>
                                <a:lnTo>
                                  <a:pt x="636" y="0"/>
                                </a:lnTo>
                              </a:path>
                            </a:pathLst>
                          </a:custGeom>
                          <a:noFill/>
                          <a:ln w="6350" cap="flat" cmpd="sng">
                            <a:solidFill>
                              <a:srgbClr val="000000"/>
                            </a:solidFill>
                            <a:prstDash val="solid"/>
                            <a:headEnd type="none" w="med" len="med"/>
                            <a:tailEnd type="none" w="med" len="med"/>
                          </a:ln>
                          <a:effectLst/>
                        </wps:spPr>
                        <wps:bodyPr wrap="square" upright="1"/>
                      </wps:wsp>
                    </wpg:wgp>
                  </a:graphicData>
                </a:graphic>
              </wp:anchor>
            </w:drawing>
          </mc:Choice>
          <mc:Fallback>
            <w:pict>
              <v:group id="_x0000_s1026" o:spid="_x0000_s1026" o:spt="203" style="position:absolute;left:0pt;margin-left:248.05pt;margin-top:19.75pt;height:0.1pt;width:31.8pt;mso-position-horizontal-relative:page;z-index:-251648000;mso-width-relative:page;mso-height-relative:page;" coordorigin="4961,396" coordsize="636,2" o:gfxdata="UEsDBAoAAAAAAIdO4kAAAAAAAAAAAAAAAAAEAAAAZHJzL1BLAwQUAAAACACHTuJASMOuYdoAAAAJ&#10;AQAADwAAAGRycy9kb3ducmV2LnhtbE2PwU7CQBCG7ya+w2ZMvMl2xQKt3RJD1BMhEUwMt6Ed2obu&#10;bNNdWnh7l5MeZ+bLP9+fLS+mFQP1rrGsQU0iEMSFLRuuNHzvPp4WIJxHLrG1TBqu5GCZ399lmJZ2&#10;5C8atr4SIYRdihpq77tUSlfUZNBNbEccbkfbG/Rh7CtZ9jiGcNPK5yiaSYMNhw81drSqqThtz0bD&#10;54jj21S9D+vTcXXd7+LNz1qR1o8PKnoF4eni/2C46Qd1yIPTwZ65dKLV8JLMVEA1TJMYRADiOJmD&#10;ONwWc5B5Jv83yH8BUEsDBBQAAAAIAIdO4kCT8dwNnAIAANcFAAAOAAAAZHJzL2Uyb0RvYy54bWyl&#10;VEuOEzEQ3SNxB8t70vkRZlrpzILMZINgpBkO4Ljd3Zb8w3bSyX4W7GDNEnEJFMFpCHAMyu7OhwxI&#10;I8iiU66f670q1/hiJQVaMuu4VhnudboYMUV1zlWZ4de3V0/OMHKeqJwIrViG18zhi8njR+PapKyv&#10;Ky1yZhEkUS6tTYYr702aJI5WTBLX0YYpMBbaSuLhaMskt6SG7FIk/W53lNTa5sZqypwD7bQx4jaj&#10;fUhCXRScsqmmC8mUb7JaJogHSK7ixuFJrLYoGPWvisIxj0SGAamPX7gE5Hn4JpMxSUtLTMVpWwJ5&#10;SAknmCThCi7dp5oST9DC8nupJKdWO134DtUyaYBERgBFr3vCzczqhYlYyrQuzZ50aNQJ6/+clr5c&#10;XlvE8wwPBxgpIqHjPzZ32/dvESiAndqUKTjNrLkx17ZVlM0pAF4VVoZ/gIJWkdf1nle28oiCctgd&#10;nI2AcQqmXv9ZyzqtoDUhZng+6mEEtsH5qGkIrS7b0NFg1MT1gyU53Mdic184H9ShyH1NtYHBdAe2&#10;3P+xdVMRw2ITXCCiZasHcBq2vm023+/ebT99+Pn18/bLRzRoaYvee85c6oC+PxB2H/yOtb9Cpwvn&#10;Z0xH2smyoQAmL99JpNpJdKV2oiE+qEMFQUR1hsMF4Sz1kt3qaPEnPQTCD1ahjr1iebteg19jBSGk&#10;j63aXwnK45qVvuJCQN9CUFPI0zAdBLZJAa8YRGlgIp0qY31OC56HkBDhbDl/LixakvCi46+djN/c&#10;jHV+SlzV+EVTM1oVI/mlypFfGxh1BSsOhxIkyzESDDZikGJtnnDxEM+IPZR2MpK7lod5nOt8DZNT&#10;w6IBXG8WxMK1C2N5WcFK6kUE7dy24wzvPZLY7qawUI7P0euwjye/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A8FAABbQ29udGVudF9UeXBlc10u&#10;eG1sUEsBAhQACgAAAAAAh07iQAAAAAAAAAAAAAAAAAYAAAAAAAAAAAAQAAAA8QMAAF9yZWxzL1BL&#10;AQIUABQAAAAIAIdO4kCKFGY80QAAAJQBAAALAAAAAAAAAAEAIAAAABUEAABfcmVscy8ucmVsc1BL&#10;AQIUAAoAAAAAAIdO4kAAAAAAAAAAAAAAAAAEAAAAAAAAAAAAEAAAAAAAAABkcnMvUEsBAhQAFAAA&#10;AAgAh07iQEjDrmHaAAAACQEAAA8AAAAAAAAAAQAgAAAAIgAAAGRycy9kb3ducmV2LnhtbFBLAQIU&#10;ABQAAAAIAIdO4kCT8dwNnAIAANcFAAAOAAAAAAAAAAEAIAAAACkBAABkcnMvZTJvRG9jLnhtbFBL&#10;BQYAAAAABgAGAFkBAAA3BgAAAAA=&#10;">
                <o:lock v:ext="edit" aspectratio="f"/>
                <v:shape id="任意多边形 33" o:spid="_x0000_s1026" o:spt="100" style="position:absolute;left:4961;top:396;height:2;width:636;" filled="f" stroked="t" coordsize="636,1" o:gfxdata="UEsDBAoAAAAAAIdO4kAAAAAAAAAAAAAAAAAEAAAAZHJzL1BLAwQUAAAACACHTuJAfsiBvb4AAADb&#10;AAAADwAAAGRycy9kb3ducmV2LnhtbEWPzW7CQAyE70i8w8pIvZENPaAqZeGAVH4qDjT0Aaysm0Rk&#10;vWF3G36eHh8q9WZrxjOfF6ub69RAIbaeDcyyHBRx5W3LtYHv08f0DVRMyBY7z2TgThFWy/FogYX1&#10;V/6ioUy1khCOBRpoUuoLrWPVkMOY+Z5YtB8fHCZZQ61twKuEu06/5vlcO2xZGhrsad1QdS5/nYEN&#10;duf9sD4O9Ngftqkv5+HzcTHmZTLL30EluqV/89/1zgq+0MsvMoBeP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siBvb4A&#10;AADbAAAADwAAAAAAAAABACAAAAAiAAAAZHJzL2Rvd25yZXYueG1sUEsBAhQAFAAAAAgAh07iQDMv&#10;BZ47AAAAOQAAABAAAAAAAAAAAQAgAAAADQEAAGRycy9zaGFwZXhtbC54bWxQSwUGAAAAAAYABgBb&#10;AQAAtwMAAAAA&#10;" path="m0,0l636,0e">
                  <v:fill on="f" focussize="0,0"/>
                  <v:stroke weight="0.5pt" color="#000000" joinstyle="round"/>
                  <v:imagedata o:title=""/>
                  <o:lock v:ext="edit" aspectratio="f"/>
                </v:shape>
              </v:group>
            </w:pict>
          </mc:Fallback>
        </mc:AlternateContent>
      </w:r>
      <w:r>
        <w:rPr>
          <w:rFonts w:hint="eastAsia" w:ascii="宋体" w:hAnsi="宋体" w:eastAsia="宋体" w:cs="宋体"/>
          <w:color w:val="auto"/>
          <w:spacing w:val="-1"/>
          <w:sz w:val="21"/>
          <w:szCs w:val="21"/>
          <w:highlight w:val="none"/>
        </w:rPr>
        <w:t>跌</w:t>
      </w:r>
      <w:r>
        <w:rPr>
          <w:rFonts w:hint="eastAsia" w:ascii="宋体" w:hAnsi="宋体" w:eastAsia="宋体" w:cs="宋体"/>
          <w:color w:val="auto"/>
          <w:spacing w:val="2"/>
          <w:sz w:val="21"/>
          <w:szCs w:val="21"/>
          <w:highlight w:val="none"/>
        </w:rPr>
        <w:t>价</w:t>
      </w:r>
      <w:r>
        <w:rPr>
          <w:rFonts w:hint="eastAsia" w:ascii="宋体" w:hAnsi="宋体" w:eastAsia="宋体" w:cs="宋体"/>
          <w:color w:val="auto"/>
          <w:spacing w:val="-1"/>
          <w:sz w:val="21"/>
          <w:szCs w:val="21"/>
          <w:highlight w:val="none"/>
        </w:rPr>
        <w:t>时</w:t>
      </w:r>
      <w:r>
        <w:rPr>
          <w:rFonts w:hint="eastAsia" w:ascii="宋体" w:hAnsi="宋体" w:eastAsia="宋体" w:cs="宋体"/>
          <w:color w:val="auto"/>
          <w:sz w:val="21"/>
          <w:szCs w:val="21"/>
          <w:highlight w:val="none"/>
        </w:rPr>
        <w:t>，</w:t>
      </w:r>
      <w:r>
        <w:rPr>
          <w:rFonts w:hint="eastAsia" w:ascii="宋体" w:hAnsi="宋体" w:eastAsia="宋体" w:cs="宋体"/>
          <w:color w:val="auto"/>
          <w:spacing w:val="-82"/>
          <w:sz w:val="21"/>
          <w:szCs w:val="21"/>
          <w:highlight w:val="none"/>
        </w:rPr>
        <w:t xml:space="preserve"> </w:t>
      </w:r>
      <w:r>
        <w:rPr>
          <w:rFonts w:hint="eastAsia" w:ascii="宋体" w:hAnsi="宋体" w:eastAsia="宋体" w:cs="宋体"/>
          <w:color w:val="auto"/>
          <w:szCs w:val="24"/>
          <w:highlight w:val="none"/>
        </w:rPr>
        <w:t>结算单价</w:t>
      </w:r>
      <w:r>
        <w:rPr>
          <w:rFonts w:hint="eastAsia" w:ascii="宋体" w:hAnsi="宋体" w:eastAsia="宋体" w:cs="宋体"/>
          <w:color w:val="auto"/>
          <w:spacing w:val="9"/>
          <w:szCs w:val="24"/>
          <w:highlight w:val="none"/>
        </w:rPr>
        <w:t>＝</w:t>
      </w:r>
      <w:r>
        <w:rPr>
          <w:rFonts w:hint="eastAsia" w:ascii="宋体" w:hAnsi="宋体" w:eastAsia="宋体" w:cs="宋体"/>
          <w:color w:val="auto"/>
          <w:spacing w:val="7"/>
          <w:szCs w:val="24"/>
          <w:highlight w:val="none"/>
        </w:rPr>
        <w:t>F</w:t>
      </w:r>
      <w:r>
        <w:rPr>
          <w:rFonts w:hint="eastAsia" w:ascii="宋体" w:hAnsi="宋体" w:eastAsia="宋体" w:cs="宋体"/>
          <w:color w:val="auto"/>
          <w:spacing w:val="1"/>
          <w:szCs w:val="24"/>
          <w:highlight w:val="none"/>
        </w:rPr>
        <w:t>＋</w:t>
      </w:r>
      <w:r>
        <w:rPr>
          <w:rFonts w:hint="eastAsia" w:ascii="宋体" w:hAnsi="宋体" w:eastAsia="宋体" w:cs="宋体"/>
          <w:color w:val="auto"/>
          <w:szCs w:val="24"/>
          <w:highlight w:val="none"/>
        </w:rPr>
        <w:t>F</w:t>
      </w:r>
      <w:r>
        <w:rPr>
          <w:rFonts w:hint="eastAsia" w:ascii="宋体" w:hAnsi="宋体" w:eastAsia="宋体" w:cs="宋体"/>
          <w:color w:val="auto"/>
          <w:spacing w:val="16"/>
          <w:szCs w:val="24"/>
          <w:highlight w:val="none"/>
        </w:rPr>
        <w:t xml:space="preserve"> </w:t>
      </w:r>
      <w:r>
        <w:rPr>
          <w:rFonts w:hint="eastAsia" w:ascii="宋体" w:hAnsi="宋体" w:eastAsia="宋体" w:cs="宋体"/>
          <w:color w:val="auto"/>
          <w:spacing w:val="-102"/>
          <w:szCs w:val="24"/>
          <w:highlight w:val="none"/>
        </w:rPr>
        <w:t></w:t>
      </w:r>
      <w:r>
        <w:rPr>
          <w:rFonts w:hint="eastAsia" w:ascii="宋体" w:hAnsi="宋体" w:eastAsia="宋体" w:cs="宋体"/>
          <w:color w:val="auto"/>
          <w:szCs w:val="24"/>
          <w:highlight w:val="none"/>
        </w:rPr>
        <w:t xml:space="preserve">（  </w:t>
      </w:r>
      <w:r>
        <w:rPr>
          <w:rFonts w:hint="eastAsia" w:ascii="宋体" w:hAnsi="宋体" w:eastAsia="宋体" w:cs="宋体"/>
          <w:color w:val="auto"/>
          <w:spacing w:val="-100"/>
          <w:szCs w:val="24"/>
          <w:highlight w:val="none"/>
        </w:rPr>
        <w:t xml:space="preserve"> </w:t>
      </w:r>
      <w:r>
        <w:rPr>
          <w:rFonts w:hint="eastAsia" w:ascii="宋体" w:hAnsi="宋体" w:eastAsia="宋体" w:cs="宋体"/>
          <w:color w:val="auto"/>
          <w:spacing w:val="-23"/>
          <w:position w:val="15"/>
          <w:szCs w:val="24"/>
          <w:highlight w:val="none"/>
        </w:rPr>
        <w:t>F</w:t>
      </w:r>
      <w:r>
        <w:rPr>
          <w:rFonts w:hint="eastAsia" w:ascii="宋体" w:hAnsi="宋体" w:eastAsia="宋体" w:cs="宋体"/>
          <w:color w:val="auto"/>
          <w:spacing w:val="-15"/>
          <w:position w:val="9"/>
          <w:sz w:val="14"/>
          <w:szCs w:val="14"/>
          <w:highlight w:val="none"/>
        </w:rPr>
        <w:t>2</w:t>
      </w:r>
      <w:r>
        <w:rPr>
          <w:rFonts w:hint="eastAsia" w:ascii="宋体" w:hAnsi="宋体" w:eastAsia="宋体" w:cs="宋体"/>
          <w:color w:val="auto"/>
          <w:spacing w:val="1"/>
          <w:position w:val="15"/>
          <w:szCs w:val="24"/>
          <w:highlight w:val="none"/>
        </w:rPr>
        <w:t>－</w:t>
      </w:r>
      <w:r>
        <w:rPr>
          <w:rFonts w:hint="eastAsia" w:ascii="宋体" w:hAnsi="宋体" w:eastAsia="宋体" w:cs="宋体"/>
          <w:color w:val="auto"/>
          <w:spacing w:val="-26"/>
          <w:position w:val="15"/>
          <w:szCs w:val="24"/>
          <w:highlight w:val="none"/>
        </w:rPr>
        <w:t>F</w:t>
      </w:r>
      <w:r>
        <w:rPr>
          <w:rFonts w:hint="eastAsia" w:ascii="宋体" w:hAnsi="宋体" w:eastAsia="宋体" w:cs="宋体"/>
          <w:color w:val="auto"/>
          <w:position w:val="9"/>
          <w:sz w:val="14"/>
          <w:szCs w:val="14"/>
          <w:highlight w:val="none"/>
        </w:rPr>
        <w:t>0</w:t>
      </w:r>
      <w:r>
        <w:rPr>
          <w:rFonts w:hint="eastAsia" w:ascii="宋体" w:hAnsi="宋体" w:eastAsia="宋体" w:cs="宋体"/>
          <w:color w:val="auto"/>
          <w:spacing w:val="20"/>
          <w:position w:val="9"/>
          <w:sz w:val="14"/>
          <w:szCs w:val="14"/>
          <w:highlight w:val="none"/>
        </w:rPr>
        <w:t xml:space="preserve"> </w:t>
      </w:r>
      <w:r>
        <w:rPr>
          <w:rFonts w:hint="eastAsia" w:ascii="宋体" w:hAnsi="宋体" w:eastAsia="宋体" w:cs="宋体"/>
          <w:color w:val="auto"/>
          <w:spacing w:val="8"/>
          <w:szCs w:val="24"/>
          <w:highlight w:val="none"/>
        </w:rPr>
        <w:t></w:t>
      </w:r>
      <w:r>
        <w:rPr>
          <w:rFonts w:hint="eastAsia" w:ascii="宋体" w:hAnsi="宋体" w:eastAsia="宋体" w:cs="宋体"/>
          <w:color w:val="auto"/>
          <w:spacing w:val="8"/>
          <w:szCs w:val="24"/>
          <w:highlight w:val="none"/>
          <w:lang w:val="en-US" w:eastAsia="zh-CN"/>
        </w:rPr>
        <w:t>x</w:t>
      </w:r>
      <w:r>
        <w:rPr>
          <w:rFonts w:hint="eastAsia" w:ascii="宋体" w:hAnsi="宋体" w:eastAsia="宋体" w:cs="宋体"/>
          <w:color w:val="auto"/>
          <w:szCs w:val="24"/>
          <w:highlight w:val="none"/>
        </w:rPr>
        <w:t>10</w:t>
      </w:r>
      <w:r>
        <w:rPr>
          <w:rFonts w:hint="eastAsia" w:ascii="宋体" w:hAnsi="宋体" w:eastAsia="宋体" w:cs="宋体"/>
          <w:color w:val="auto"/>
          <w:spacing w:val="2"/>
          <w:szCs w:val="24"/>
          <w:highlight w:val="none"/>
        </w:rPr>
        <w:t>0</w:t>
      </w:r>
      <w:r>
        <w:rPr>
          <w:rFonts w:hint="eastAsia" w:ascii="宋体" w:hAnsi="宋体" w:eastAsia="宋体" w:cs="宋体"/>
          <w:color w:val="auto"/>
          <w:spacing w:val="-20"/>
          <w:szCs w:val="24"/>
          <w:highlight w:val="none"/>
        </w:rPr>
        <w:t>%</w:t>
      </w:r>
      <w:r>
        <w:rPr>
          <w:rFonts w:hint="eastAsia" w:ascii="宋体" w:hAnsi="宋体" w:eastAsia="宋体" w:cs="宋体"/>
          <w:color w:val="auto"/>
          <w:spacing w:val="1"/>
          <w:szCs w:val="24"/>
          <w:highlight w:val="none"/>
        </w:rPr>
        <w:t>＋</w:t>
      </w:r>
      <w:r>
        <w:rPr>
          <w:rFonts w:hint="eastAsia" w:ascii="宋体" w:hAnsi="宋体" w:eastAsia="宋体" w:cs="宋体"/>
          <w:color w:val="auto"/>
          <w:spacing w:val="-5"/>
          <w:szCs w:val="24"/>
          <w:highlight w:val="none"/>
        </w:rPr>
        <w:t>A</w:t>
      </w:r>
      <w:r>
        <w:rPr>
          <w:rFonts w:hint="eastAsia" w:ascii="宋体" w:hAnsi="宋体" w:eastAsia="宋体" w:cs="宋体"/>
          <w:color w:val="auto"/>
          <w:szCs w:val="24"/>
          <w:highlight w:val="none"/>
        </w:rPr>
        <w:t>）</w:t>
      </w:r>
    </w:p>
    <w:p w14:paraId="2BF32FD6">
      <w:pPr>
        <w:pStyle w:val="11"/>
        <w:tabs>
          <w:tab w:val="left" w:pos="2884"/>
        </w:tabs>
        <w:spacing w:line="142" w:lineRule="exact"/>
        <w:ind w:firstLine="2520" w:firstLineChars="1800"/>
        <w:jc w:val="left"/>
        <w:rPr>
          <w:rFonts w:hint="eastAsia" w:ascii="宋体" w:hAnsi="宋体" w:eastAsia="宋体" w:cs="宋体"/>
          <w:color w:val="auto"/>
          <w:highlight w:val="none"/>
        </w:rPr>
      </w:pPr>
      <w:r>
        <w:rPr>
          <w:rFonts w:hint="eastAsia" w:ascii="宋体" w:hAnsi="宋体" w:eastAsia="宋体" w:cs="宋体"/>
          <w:color w:val="auto"/>
          <w:sz w:val="14"/>
          <w:szCs w:val="14"/>
          <w:highlight w:val="none"/>
        </w:rPr>
        <mc:AlternateContent>
          <mc:Choice Requires="wps">
            <w:drawing>
              <wp:anchor distT="0" distB="0" distL="114300" distR="114300" simplePos="0" relativeHeight="251669504" behindDoc="1" locked="0" layoutInCell="1" allowOverlap="1">
                <wp:simplePos x="0" y="0"/>
                <wp:positionH relativeFrom="page">
                  <wp:posOffset>3289300</wp:posOffset>
                </wp:positionH>
                <wp:positionV relativeFrom="paragraph">
                  <wp:posOffset>29845</wp:posOffset>
                </wp:positionV>
                <wp:extent cx="220980" cy="29337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220980" cy="293370"/>
                        </a:xfrm>
                        <a:prstGeom prst="rect">
                          <a:avLst/>
                        </a:prstGeom>
                        <a:noFill/>
                        <a:ln>
                          <a:noFill/>
                        </a:ln>
                        <a:effectLst/>
                      </wps:spPr>
                      <wps:txbx>
                        <w:txbxContent>
                          <w:p w14:paraId="362051E1">
                            <w:r>
                              <w:rPr>
                                <w:rFonts w:ascii="Times New Roman" w:eastAsia="Times New Roman"/>
                                <w:spacing w:val="-26"/>
                                <w:position w:val="15"/>
                                <w:szCs w:val="24"/>
                              </w:rPr>
                              <w:t>F</w:t>
                            </w:r>
                            <w:r>
                              <w:rPr>
                                <w:rFonts w:ascii="Times New Roman" w:eastAsia="Times New Roman"/>
                                <w:position w:val="9"/>
                                <w:sz w:val="14"/>
                                <w:szCs w:val="14"/>
                              </w:rPr>
                              <w:t>0</w:t>
                            </w:r>
                            <w:r>
                              <w:rPr>
                                <w:rFonts w:ascii="Times New Roman" w:eastAsia="Times New Roman"/>
                                <w:spacing w:val="20"/>
                                <w:position w:val="9"/>
                                <w:sz w:val="14"/>
                                <w:szCs w:val="14"/>
                              </w:rPr>
                              <w:t xml:space="preserve"> </w:t>
                            </w:r>
                          </w:p>
                        </w:txbxContent>
                      </wps:txbx>
                      <wps:bodyPr wrap="square" lIns="0" tIns="0" rIns="0" bIns="0" upright="1"/>
                    </wps:wsp>
                  </a:graphicData>
                </a:graphic>
              </wp:anchor>
            </w:drawing>
          </mc:Choice>
          <mc:Fallback>
            <w:pict>
              <v:shape id="_x0000_s1026" o:spid="_x0000_s1026" o:spt="202" type="#_x0000_t202" style="position:absolute;left:0pt;margin-left:259pt;margin-top:2.35pt;height:23.1pt;width:17.4pt;mso-position-horizontal-relative:page;z-index:-251646976;mso-width-relative:page;mso-height-relative:page;" filled="f" stroked="f" coordsize="21600,21600" o:gfxdata="UEsDBAoAAAAAAIdO4kAAAAAAAAAAAAAAAAAEAAAAZHJzL1BLAwQUAAAACACHTuJAw2mqedgAAAAI&#10;AQAADwAAAGRycy9kb3ducmV2LnhtbE2PTU/DMAyG70j7D5EncWNJJzq20nRCCE5IiK4cOKaN11Zr&#10;nNJkH/x7zIndbL3W6+fJtxc3iBNOofekIVkoEEiNtz21Gj6r17s1iBANWTN4Qg0/GGBbzG5yk1l/&#10;phJPu9gKLqGQGQ1djGMmZWg6dCYs/IjE2d5PzkRep1bayZy53A1yqdRKOtMTf+jMiM8dNofd0Wl4&#10;+qLypf9+rz/KfdlX1UbR2+qg9e08UY8gIl7i/zH84TM6FMxU+yPZIAYNabJml6jh/gEE52m6ZJWa&#10;B7UBWeTyWqD4BVBLAwQUAAAACACHTuJAfkBkgMkBAACPAwAADgAAAGRycy9lMm9Eb2MueG1srVPN&#10;jtMwEL4j8Q6W7zTdrAS7UdOVVtUiJARICw/gOk5jyX/MuE36AvAGnLhw57n6HIydpCzLZQ97ccYz&#10;42/m+2ayuhmsYQcFqL2r+cViyZly0jfa7Wr+5fPdqyvOMArXCOOdqvlRIb9Zv3yx6kOlSt950yhg&#10;BOKw6kPNuxhDVRQoO2UFLnxQjoKtBysiXWFXNCB6QremKJfL10XvoQngpUIk72YM8gkRngLo21ZL&#10;tfFyb5WLIyooIyJRwk4H5OvcbdsqGT+2LarITM2JacwnFSF7m85ivRLVDkTotJxaEE9p4REnK7Sj&#10;omeojYiC7UH/B2W1BI++jQvpbTESyYoQi4vlI23uOxFU5kJSYziLjs8HKz8cPgHTDW1CyZkTliZ+&#10;+vH99PP36dc3Rj4SqA9YUd59oMw43PqBkmc/kjPxHlqw6UuMGMVJ3uNZXjVEJslZlsvrK4pICpXX&#10;l5dvsvzF38cBML5V3rJk1BxoellUcXiPkRqh1Dkl1XL+ThuTJ2jcPw5KHD0qr8D0OvEY+01WHLbD&#10;RG7rmyNx62kNao5f9wIUZ+adI53TzswGzMZ2NvYB9K6jVrMeRYKlOeVGp51Ki/DwTvbD/2j9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MNpqnnYAAAACAEAAA8AAAAAAAAAAQAgAAAAIgAAAGRycy9k&#10;b3ducmV2LnhtbFBLAQIUABQAAAAIAIdO4kB+QGSAyQEAAI8DAAAOAAAAAAAAAAEAIAAAACcBAABk&#10;cnMvZTJvRG9jLnhtbFBLBQYAAAAABgAGAFkBAABiBQAAAAA=&#10;">
                <v:fill on="f" focussize="0,0"/>
                <v:stroke on="f"/>
                <v:imagedata o:title=""/>
                <o:lock v:ext="edit" aspectratio="f"/>
                <v:textbox inset="0mm,0mm,0mm,0mm">
                  <w:txbxContent>
                    <w:p w14:paraId="362051E1">
                      <w:r>
                        <w:rPr>
                          <w:rFonts w:ascii="Times New Roman" w:eastAsia="Times New Roman"/>
                          <w:spacing w:val="-26"/>
                          <w:position w:val="15"/>
                          <w:szCs w:val="24"/>
                        </w:rPr>
                        <w:t>F</w:t>
                      </w:r>
                      <w:r>
                        <w:rPr>
                          <w:rFonts w:ascii="Times New Roman" w:eastAsia="Times New Roman"/>
                          <w:position w:val="9"/>
                          <w:sz w:val="14"/>
                          <w:szCs w:val="14"/>
                        </w:rPr>
                        <w:t>0</w:t>
                      </w:r>
                      <w:r>
                        <w:rPr>
                          <w:rFonts w:ascii="Times New Roman" w:eastAsia="Times New Roman"/>
                          <w:spacing w:val="20"/>
                          <w:position w:val="9"/>
                          <w:sz w:val="14"/>
                          <w:szCs w:val="14"/>
                        </w:rPr>
                        <w:t xml:space="preserve"> </w:t>
                      </w:r>
                    </w:p>
                  </w:txbxContent>
                </v:textbox>
              </v:shape>
            </w:pict>
          </mc:Fallback>
        </mc:AlternateContent>
      </w:r>
      <w:r>
        <w:rPr>
          <w:rFonts w:hint="eastAsia" w:ascii="宋体" w:hAnsi="宋体" w:eastAsia="宋体" w:cs="宋体"/>
          <w:color w:val="auto"/>
          <w:sz w:val="14"/>
          <w:szCs w:val="14"/>
          <w:highlight w:val="none"/>
        </w:rPr>
        <w:t>1    0</w:t>
      </w:r>
    </w:p>
    <w:p w14:paraId="3D3FFEFC">
      <w:pPr>
        <w:spacing w:before="4" w:line="110" w:lineRule="exact"/>
        <w:rPr>
          <w:rFonts w:hint="eastAsia" w:ascii="宋体" w:hAnsi="宋体" w:eastAsia="宋体" w:cs="宋体"/>
          <w:color w:val="auto"/>
          <w:sz w:val="11"/>
          <w:szCs w:val="11"/>
          <w:highlight w:val="none"/>
        </w:rPr>
      </w:pPr>
    </w:p>
    <w:p w14:paraId="43E961A6">
      <w:pPr>
        <w:spacing w:line="200" w:lineRule="exact"/>
        <w:rPr>
          <w:rFonts w:hint="eastAsia" w:ascii="宋体" w:hAnsi="宋体" w:eastAsia="宋体" w:cs="宋体"/>
          <w:color w:val="auto"/>
          <w:sz w:val="20"/>
          <w:highlight w:val="none"/>
        </w:rPr>
      </w:pPr>
    </w:p>
    <w:p w14:paraId="37D54CFC">
      <w:pPr>
        <w:spacing w:line="200" w:lineRule="exact"/>
        <w:rPr>
          <w:rFonts w:hint="eastAsia" w:ascii="宋体" w:hAnsi="宋体" w:eastAsia="宋体" w:cs="宋体"/>
          <w:color w:val="auto"/>
          <w:sz w:val="20"/>
          <w:highlight w:val="none"/>
        </w:rPr>
      </w:pPr>
    </w:p>
    <w:p w14:paraId="1402F437">
      <w:pPr>
        <w:spacing w:line="404" w:lineRule="exact"/>
        <w:ind w:left="120"/>
        <w:jc w:val="left"/>
        <w:rPr>
          <w:rFonts w:hint="eastAsia" w:ascii="宋体" w:hAnsi="宋体" w:eastAsia="宋体" w:cs="宋体"/>
          <w:color w:val="auto"/>
          <w:szCs w:val="24"/>
          <w:highlight w:val="none"/>
        </w:rPr>
      </w:pPr>
      <w:r>
        <w:rPr>
          <w:rFonts w:hint="eastAsia" w:ascii="宋体" w:hAnsi="宋体" w:eastAsia="宋体" w:cs="宋体"/>
          <w:color w:val="auto"/>
          <w:highlight w:val="none"/>
        </w:rPr>
        <mc:AlternateContent>
          <mc:Choice Requires="wpg">
            <w:drawing>
              <wp:anchor distT="0" distB="0" distL="114300" distR="114300" simplePos="0" relativeHeight="251670528" behindDoc="1" locked="0" layoutInCell="1" allowOverlap="1">
                <wp:simplePos x="0" y="0"/>
                <wp:positionH relativeFrom="page">
                  <wp:posOffset>3107055</wp:posOffset>
                </wp:positionH>
                <wp:positionV relativeFrom="paragraph">
                  <wp:posOffset>250825</wp:posOffset>
                </wp:positionV>
                <wp:extent cx="403860" cy="1270"/>
                <wp:effectExtent l="0" t="0" r="0" b="0"/>
                <wp:wrapNone/>
                <wp:docPr id="44" name="组合 44"/>
                <wp:cNvGraphicFramePr/>
                <a:graphic xmlns:a="http://schemas.openxmlformats.org/drawingml/2006/main">
                  <a:graphicData uri="http://schemas.microsoft.com/office/word/2010/wordprocessingGroup">
                    <wpg:wgp>
                      <wpg:cNvGrpSpPr/>
                      <wpg:grpSpPr>
                        <a:xfrm>
                          <a:off x="0" y="0"/>
                          <a:ext cx="403860" cy="1270"/>
                          <a:chOff x="4894" y="396"/>
                          <a:chExt cx="636" cy="2"/>
                        </a:xfrm>
                        <a:effectLst/>
                      </wpg:grpSpPr>
                      <wps:wsp>
                        <wps:cNvPr id="13" name="任意多边形 36"/>
                        <wps:cNvSpPr/>
                        <wps:spPr>
                          <a:xfrm>
                            <a:off x="4894" y="396"/>
                            <a:ext cx="636" cy="2"/>
                          </a:xfrm>
                          <a:custGeom>
                            <a:avLst/>
                            <a:gdLst/>
                            <a:ahLst/>
                            <a:cxnLst/>
                            <a:pathLst>
                              <a:path w="636">
                                <a:moveTo>
                                  <a:pt x="0" y="0"/>
                                </a:moveTo>
                                <a:lnTo>
                                  <a:pt x="636" y="0"/>
                                </a:lnTo>
                              </a:path>
                            </a:pathLst>
                          </a:custGeom>
                          <a:noFill/>
                          <a:ln w="6350" cap="flat" cmpd="sng">
                            <a:solidFill>
                              <a:srgbClr val="000000"/>
                            </a:solidFill>
                            <a:prstDash val="solid"/>
                            <a:headEnd type="none" w="med" len="med"/>
                            <a:tailEnd type="none" w="med" len="med"/>
                          </a:ln>
                          <a:effectLst/>
                        </wps:spPr>
                        <wps:bodyPr wrap="square" upright="1"/>
                      </wps:wsp>
                    </wpg:wgp>
                  </a:graphicData>
                </a:graphic>
              </wp:anchor>
            </w:drawing>
          </mc:Choice>
          <mc:Fallback>
            <w:pict>
              <v:group id="_x0000_s1026" o:spid="_x0000_s1026" o:spt="203" style="position:absolute;left:0pt;margin-left:244.65pt;margin-top:19.75pt;height:0.1pt;width:31.8pt;mso-position-horizontal-relative:page;z-index:-251645952;mso-width-relative:page;mso-height-relative:page;" coordorigin="4894,396" coordsize="636,2" o:gfxdata="UEsDBAoAAAAAAIdO4kAAAAAAAAAAAAAAAAAEAAAAZHJzL1BLAwQUAAAACACHTuJAXMh7+9oAAAAJ&#10;AQAADwAAAGRycy9kb3ducmV2LnhtbE2PwU7DMAyG70i8Q2QkbiztSmEtTSc0AadpEhsS4uY1Xlut&#10;caoma7e3JzvB0fan399fLM+mEyMNrrWsIJ5FIIgrq1uuFXzt3h8WIJxH1thZJgUXcrAsb28KzLWd&#10;+JPGra9FCGGXo4LG+z6X0lUNGXQz2xOH28EOBn0Yh1rqAacQbjo5j6InabDl8KHBnlYNVcftySj4&#10;mHB6TeK3cX08rC4/u3TzvY5Jqfu7OHoB4ens/2C46gd1KIPT3p5YO9EpeFxkSUAVJFkKIgBpOs9A&#10;7K+LZ5BlIf83KH8BUEsDBBQAAAAIAIdO4kBH4jrmnAIAANcFAAAOAAAAZHJzL2Uyb0RvYy54bWyl&#10;VM1uEzEQviPxDpbvdPNHSFfd9EDaXBBUankA1+vdteQ/bCeb3HvgBmeOiJdAETwNAR6DsXc3KSlI&#10;EeSwGc+MZ775Zjxn5ysp0JJZx7XKcP+khxFTVOdclRl+fXP5ZIKR80TlRGjFMrxmDp9PHz86q03K&#10;BrrSImcWQRDl0tpkuPLepEniaMUkcSfaMAXGQltJPBxtmeSW1BBdimTQ642TWtvcWE2Zc6CdNUbc&#10;RrTHBNRFwSmbabqQTPkmqmWCeCjJVdw4PI1oi4JR/6ooHPNIZBgq9fELSUC+Dd9kekbS0hJTcdpC&#10;IMdAOKhJEq4g6S7UjHiCFpY/CCU5tdrpwp9QLZOmkMgIVNHvHXAzt3phYi1lWpdmRzo06oD1fw5L&#10;Xy6vLOJ5hkcjjBSR0PEfm7vt+7cIFMBObcoUnObWXJsr2yrK5hQKXhVWhn8oBa0ir+sdr2zlEQXl&#10;qDecjIFxCqb+4FnLOq2gNeHOaHIKucE2PB03DaHVRXt1PBw39wbBkuzzsdjcF84HdQC5w1QbGEy3&#10;Z8v9H1vXFTEsNsEFIlq2+sOOrW+bzfe7d9tPH35+/bz98hEB4MhS9N5x5lIH9P2BsIfFd6z9tXS6&#10;cH7OdKSdLBsKYPLyTiJVJ9GV6kRDfFAHBEFEdYZDgnCWesludLT4gx4C4XurUPe9Iryu1+DXWEEI&#10;4WOrdilBeR+z0pdcCCApXGqAPA3TQWCbFPCKQZQGJtKpMuJzWvA8XAk3nC1vnwuLliS86PhrJ+M3&#10;N2OdnxFXNX7R1IxWxUh+oXLk1wZGXcGKwwGCZDlGgsFGDFLE5gkXx3jG2gO0g5HsWh7m8Vbna5ic&#10;GhYN1PVmQSykXRjLywpWUj9W0M5tO87w3iOJ7W4KC+X+OXrt9/H0F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A8FAABbQ29udGVudF9UeXBlc10u&#10;eG1sUEsBAhQACgAAAAAAh07iQAAAAAAAAAAAAAAAAAYAAAAAAAAAAAAQAAAA8QMAAF9yZWxzL1BL&#10;AQIUABQAAAAIAIdO4kCKFGY80QAAAJQBAAALAAAAAAAAAAEAIAAAABUEAABfcmVscy8ucmVsc1BL&#10;AQIUAAoAAAAAAIdO4kAAAAAAAAAAAAAAAAAEAAAAAAAAAAAAEAAAAAAAAABkcnMvUEsBAhQAFAAA&#10;AAgAh07iQFzIe/vaAAAACQEAAA8AAAAAAAAAAQAgAAAAIgAAAGRycy9kb3ducmV2LnhtbFBLAQIU&#10;ABQAAAAIAIdO4kBH4jrmnAIAANcFAAAOAAAAAAAAAAEAIAAAACkBAABkcnMvZTJvRG9jLnhtbFBL&#10;BQYAAAAABgAGAFkBAAA3BgAAAAA=&#10;">
                <o:lock v:ext="edit" aspectratio="f"/>
                <v:shape id="任意多边形 36" o:spid="_x0000_s1026" o:spt="100" style="position:absolute;left:4894;top:396;height:2;width:636;" filled="f" stroked="t" coordsize="636,1" o:gfxdata="UEsDBAoAAAAAAIdO4kAAAAAAAAAAAAAAAAAEAAAAZHJzL1BLAwQUAAAACACHTuJAjhofyroAAADb&#10;AAAADwAAAGRycy9kb3ducmV2LnhtbEVPzYrCMBC+C75DGMGbTV1Blmr0IOiq7GG3+gBDM7bFZlKT&#10;WH+efrMgeJuP73fmy7tpREfO15YVjJMUBHFhdc2lguNhPfoE4QOyxsYyKXiQh+Wi35tjpu2Nf6nL&#10;QyliCPsMFVQhtJmUvqjIoE9sSxy5k3UGQ4SulNrhLYabRn6k6VQarDk2VNjSqqLinF+Ngg025123&#10;+unoufv+Cm0+dfvnRanhYJzOQAS6h7f45d7qOH8C/7/EA+Ti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OGh/KugAAANsA&#10;AAAPAAAAAAAAAAEAIAAAACIAAABkcnMvZG93bnJldi54bWxQSwECFAAUAAAACACHTuJAMy8FnjsA&#10;AAA5AAAAEAAAAAAAAAABACAAAAAJAQAAZHJzL3NoYXBleG1sLnhtbFBLBQYAAAAABgAGAFsBAACz&#10;AwAAAAA=&#10;" path="m0,0l636,0e">
                  <v:fill on="f" focussize="0,0"/>
                  <v:stroke weight="0.5pt" color="#000000" joinstyle="round"/>
                  <v:imagedata o:title=""/>
                  <o:lock v:ext="edit" aspectratio="f"/>
                </v:shape>
              </v:group>
            </w:pict>
          </mc:Fallback>
        </mc:AlternateContent>
      </w:r>
      <w:r>
        <w:rPr>
          <w:rFonts w:hint="eastAsia" w:ascii="宋体" w:hAnsi="宋体" w:eastAsia="宋体" w:cs="宋体"/>
          <w:color w:val="auto"/>
          <w:spacing w:val="1"/>
          <w:sz w:val="21"/>
          <w:szCs w:val="21"/>
          <w:highlight w:val="none"/>
        </w:rPr>
        <w:t>c</w:t>
      </w:r>
      <w:r>
        <w:rPr>
          <w:rFonts w:hint="eastAsia" w:ascii="宋体" w:hAnsi="宋体" w:eastAsia="宋体" w:cs="宋体"/>
          <w:color w:val="auto"/>
          <w:spacing w:val="-2"/>
          <w:sz w:val="21"/>
          <w:szCs w:val="21"/>
          <w:highlight w:val="none"/>
        </w:rPr>
        <w:t>.</w:t>
      </w:r>
      <w:r>
        <w:rPr>
          <w:rFonts w:hint="eastAsia" w:ascii="宋体" w:hAnsi="宋体" w:eastAsia="宋体" w:cs="宋体"/>
          <w:color w:val="auto"/>
          <w:spacing w:val="-1"/>
          <w:sz w:val="21"/>
          <w:szCs w:val="21"/>
          <w:highlight w:val="none"/>
        </w:rPr>
        <w:t>涨</w:t>
      </w:r>
      <w:r>
        <w:rPr>
          <w:rFonts w:hint="eastAsia" w:ascii="宋体" w:hAnsi="宋体" w:eastAsia="宋体" w:cs="宋体"/>
          <w:color w:val="auto"/>
          <w:spacing w:val="2"/>
          <w:sz w:val="21"/>
          <w:szCs w:val="21"/>
          <w:highlight w:val="none"/>
        </w:rPr>
        <w:t>价</w:t>
      </w:r>
      <w:r>
        <w:rPr>
          <w:rFonts w:hint="eastAsia" w:ascii="宋体" w:hAnsi="宋体" w:eastAsia="宋体" w:cs="宋体"/>
          <w:color w:val="auto"/>
          <w:spacing w:val="-1"/>
          <w:sz w:val="21"/>
          <w:szCs w:val="21"/>
          <w:highlight w:val="none"/>
        </w:rPr>
        <w:t>时</w:t>
      </w:r>
      <w:r>
        <w:rPr>
          <w:rFonts w:hint="eastAsia" w:ascii="宋体" w:hAnsi="宋体" w:eastAsia="宋体" w:cs="宋体"/>
          <w:color w:val="auto"/>
          <w:sz w:val="21"/>
          <w:szCs w:val="21"/>
          <w:highlight w:val="none"/>
        </w:rPr>
        <w:t>，</w:t>
      </w:r>
      <w:r>
        <w:rPr>
          <w:rFonts w:hint="eastAsia" w:ascii="宋体" w:hAnsi="宋体" w:eastAsia="宋体" w:cs="宋体"/>
          <w:color w:val="auto"/>
          <w:spacing w:val="-84"/>
          <w:sz w:val="21"/>
          <w:szCs w:val="21"/>
          <w:highlight w:val="none"/>
        </w:rPr>
        <w:t xml:space="preserve"> </w:t>
      </w:r>
      <w:r>
        <w:rPr>
          <w:rFonts w:hint="eastAsia" w:ascii="宋体" w:hAnsi="宋体" w:eastAsia="宋体" w:cs="宋体"/>
          <w:color w:val="auto"/>
          <w:szCs w:val="24"/>
          <w:highlight w:val="none"/>
        </w:rPr>
        <w:t>结算单价</w:t>
      </w:r>
      <w:r>
        <w:rPr>
          <w:rFonts w:hint="eastAsia" w:ascii="宋体" w:hAnsi="宋体" w:eastAsia="宋体" w:cs="宋体"/>
          <w:color w:val="auto"/>
          <w:spacing w:val="9"/>
          <w:szCs w:val="24"/>
          <w:highlight w:val="none"/>
        </w:rPr>
        <w:t>＝</w:t>
      </w:r>
      <w:r>
        <w:rPr>
          <w:rFonts w:hint="eastAsia" w:ascii="宋体" w:hAnsi="宋体" w:eastAsia="宋体" w:cs="宋体"/>
          <w:color w:val="auto"/>
          <w:spacing w:val="7"/>
          <w:szCs w:val="24"/>
          <w:highlight w:val="none"/>
        </w:rPr>
        <w:t>F</w:t>
      </w:r>
      <w:r>
        <w:rPr>
          <w:rFonts w:hint="eastAsia" w:ascii="宋体" w:hAnsi="宋体" w:eastAsia="宋体" w:cs="宋体"/>
          <w:color w:val="auto"/>
          <w:spacing w:val="1"/>
          <w:szCs w:val="24"/>
          <w:highlight w:val="none"/>
        </w:rPr>
        <w:t>＋</w:t>
      </w:r>
      <w:r>
        <w:rPr>
          <w:rFonts w:hint="eastAsia" w:ascii="宋体" w:hAnsi="宋体" w:eastAsia="宋体" w:cs="宋体"/>
          <w:color w:val="auto"/>
          <w:szCs w:val="24"/>
          <w:highlight w:val="none"/>
        </w:rPr>
        <w:t>F</w:t>
      </w:r>
      <w:r>
        <w:rPr>
          <w:rFonts w:hint="eastAsia" w:ascii="宋体" w:hAnsi="宋体" w:eastAsia="宋体" w:cs="宋体"/>
          <w:color w:val="auto"/>
          <w:spacing w:val="15"/>
          <w:szCs w:val="24"/>
          <w:highlight w:val="none"/>
        </w:rPr>
        <w:t xml:space="preserve"> </w:t>
      </w:r>
      <w:r>
        <w:rPr>
          <w:rFonts w:hint="eastAsia" w:ascii="宋体" w:hAnsi="宋体" w:eastAsia="宋体" w:cs="宋体"/>
          <w:color w:val="auto"/>
          <w:spacing w:val="-102"/>
          <w:szCs w:val="24"/>
          <w:highlight w:val="none"/>
        </w:rPr>
        <w:t></w:t>
      </w:r>
      <w:r>
        <w:rPr>
          <w:rFonts w:hint="eastAsia" w:ascii="宋体" w:hAnsi="宋体" w:eastAsia="宋体" w:cs="宋体"/>
          <w:color w:val="auto"/>
          <w:szCs w:val="24"/>
          <w:highlight w:val="none"/>
        </w:rPr>
        <w:t xml:space="preserve">（ </w:t>
      </w:r>
      <w:r>
        <w:rPr>
          <w:rFonts w:hint="eastAsia" w:ascii="宋体" w:hAnsi="宋体" w:eastAsia="宋体" w:cs="宋体"/>
          <w:color w:val="auto"/>
          <w:spacing w:val="-100"/>
          <w:szCs w:val="24"/>
          <w:highlight w:val="none"/>
        </w:rPr>
        <w:t xml:space="preserve"> </w:t>
      </w:r>
      <w:r>
        <w:rPr>
          <w:rFonts w:hint="eastAsia" w:ascii="宋体" w:hAnsi="宋体" w:eastAsia="宋体" w:cs="宋体"/>
          <w:color w:val="auto"/>
          <w:spacing w:val="-23"/>
          <w:position w:val="15"/>
          <w:szCs w:val="24"/>
          <w:highlight w:val="none"/>
        </w:rPr>
        <w:t>F</w:t>
      </w:r>
      <w:r>
        <w:rPr>
          <w:rFonts w:hint="eastAsia" w:ascii="宋体" w:hAnsi="宋体" w:eastAsia="宋体" w:cs="宋体"/>
          <w:color w:val="auto"/>
          <w:spacing w:val="-15"/>
          <w:position w:val="9"/>
          <w:sz w:val="14"/>
          <w:szCs w:val="14"/>
          <w:highlight w:val="none"/>
        </w:rPr>
        <w:t>2</w:t>
      </w:r>
      <w:r>
        <w:rPr>
          <w:rFonts w:hint="eastAsia" w:ascii="宋体" w:hAnsi="宋体" w:eastAsia="宋体" w:cs="宋体"/>
          <w:color w:val="auto"/>
          <w:spacing w:val="1"/>
          <w:position w:val="15"/>
          <w:szCs w:val="24"/>
          <w:highlight w:val="none"/>
        </w:rPr>
        <w:t>－</w:t>
      </w:r>
      <w:r>
        <w:rPr>
          <w:rFonts w:hint="eastAsia" w:ascii="宋体" w:hAnsi="宋体" w:eastAsia="宋体" w:cs="宋体"/>
          <w:color w:val="auto"/>
          <w:spacing w:val="-26"/>
          <w:position w:val="15"/>
          <w:szCs w:val="24"/>
          <w:highlight w:val="none"/>
        </w:rPr>
        <w:t>F</w:t>
      </w:r>
      <w:r>
        <w:rPr>
          <w:rFonts w:hint="eastAsia" w:ascii="宋体" w:hAnsi="宋体" w:eastAsia="宋体" w:cs="宋体"/>
          <w:color w:val="auto"/>
          <w:position w:val="9"/>
          <w:sz w:val="14"/>
          <w:szCs w:val="14"/>
          <w:highlight w:val="none"/>
        </w:rPr>
        <w:t>0</w:t>
      </w:r>
      <w:r>
        <w:rPr>
          <w:rFonts w:hint="eastAsia" w:ascii="宋体" w:hAnsi="宋体" w:eastAsia="宋体" w:cs="宋体"/>
          <w:color w:val="auto"/>
          <w:spacing w:val="20"/>
          <w:position w:val="9"/>
          <w:sz w:val="14"/>
          <w:szCs w:val="14"/>
          <w:highlight w:val="none"/>
        </w:rPr>
        <w:t xml:space="preserve"> </w:t>
      </w:r>
      <w:r>
        <w:rPr>
          <w:rFonts w:hint="eastAsia" w:ascii="宋体" w:hAnsi="宋体" w:eastAsia="宋体" w:cs="宋体"/>
          <w:color w:val="auto"/>
          <w:spacing w:val="8"/>
          <w:szCs w:val="24"/>
          <w:highlight w:val="none"/>
        </w:rPr>
        <w:t></w:t>
      </w:r>
      <w:r>
        <w:rPr>
          <w:rFonts w:hint="eastAsia" w:ascii="宋体" w:hAnsi="宋体" w:eastAsia="宋体" w:cs="宋体"/>
          <w:color w:val="auto"/>
          <w:spacing w:val="8"/>
          <w:szCs w:val="24"/>
          <w:highlight w:val="none"/>
          <w:lang w:val="en-US" w:eastAsia="zh-CN"/>
        </w:rPr>
        <w:t>x</w:t>
      </w:r>
      <w:r>
        <w:rPr>
          <w:rFonts w:hint="eastAsia" w:ascii="宋体" w:hAnsi="宋体" w:eastAsia="宋体" w:cs="宋体"/>
          <w:color w:val="auto"/>
          <w:szCs w:val="24"/>
          <w:highlight w:val="none"/>
        </w:rPr>
        <w:t>10</w:t>
      </w:r>
      <w:r>
        <w:rPr>
          <w:rFonts w:hint="eastAsia" w:ascii="宋体" w:hAnsi="宋体" w:eastAsia="宋体" w:cs="宋体"/>
          <w:color w:val="auto"/>
          <w:spacing w:val="2"/>
          <w:szCs w:val="24"/>
          <w:highlight w:val="none"/>
        </w:rPr>
        <w:t>0</w:t>
      </w:r>
      <w:r>
        <w:rPr>
          <w:rFonts w:hint="eastAsia" w:ascii="宋体" w:hAnsi="宋体" w:eastAsia="宋体" w:cs="宋体"/>
          <w:color w:val="auto"/>
          <w:spacing w:val="-20"/>
          <w:szCs w:val="24"/>
          <w:highlight w:val="none"/>
        </w:rPr>
        <w:t>%</w:t>
      </w:r>
      <w:r>
        <w:rPr>
          <w:rFonts w:hint="eastAsia" w:ascii="宋体" w:hAnsi="宋体" w:eastAsia="宋体" w:cs="宋体"/>
          <w:color w:val="auto"/>
          <w:spacing w:val="1"/>
          <w:szCs w:val="24"/>
          <w:highlight w:val="none"/>
        </w:rPr>
        <w:t>－</w:t>
      </w:r>
      <w:r>
        <w:rPr>
          <w:rFonts w:hint="eastAsia" w:ascii="宋体" w:hAnsi="宋体" w:eastAsia="宋体" w:cs="宋体"/>
          <w:color w:val="auto"/>
          <w:spacing w:val="-5"/>
          <w:szCs w:val="24"/>
          <w:highlight w:val="none"/>
        </w:rPr>
        <w:t>A</w:t>
      </w:r>
      <w:r>
        <w:rPr>
          <w:rFonts w:hint="eastAsia" w:ascii="宋体" w:hAnsi="宋体" w:eastAsia="宋体" w:cs="宋体"/>
          <w:color w:val="auto"/>
          <w:szCs w:val="24"/>
          <w:highlight w:val="none"/>
        </w:rPr>
        <w:t>）</w:t>
      </w:r>
    </w:p>
    <w:p w14:paraId="70BA9A76">
      <w:pPr>
        <w:pStyle w:val="11"/>
        <w:tabs>
          <w:tab w:val="left" w:pos="2817"/>
        </w:tabs>
        <w:spacing w:line="142" w:lineRule="exact"/>
        <w:ind w:left="2424"/>
        <w:jc w:val="left"/>
        <w:rPr>
          <w:rFonts w:hint="eastAsia" w:ascii="宋体" w:hAnsi="宋体" w:eastAsia="宋体" w:cs="宋体"/>
          <w:color w:val="auto"/>
          <w:sz w:val="14"/>
          <w:szCs w:val="14"/>
          <w:highlight w:val="none"/>
        </w:rPr>
      </w:pPr>
      <w:r>
        <w:rPr>
          <w:rFonts w:hint="eastAsia" w:ascii="宋体" w:hAnsi="宋体" w:eastAsia="宋体" w:cs="宋体"/>
          <w:color w:val="auto"/>
          <w:sz w:val="14"/>
          <w:szCs w:val="14"/>
          <w:highlight w:val="none"/>
        </w:rPr>
        <mc:AlternateContent>
          <mc:Choice Requires="wps">
            <w:drawing>
              <wp:anchor distT="0" distB="0" distL="114300" distR="114300" simplePos="0" relativeHeight="251671552" behindDoc="1" locked="0" layoutInCell="1" allowOverlap="1">
                <wp:simplePos x="0" y="0"/>
                <wp:positionH relativeFrom="page">
                  <wp:posOffset>3246755</wp:posOffset>
                </wp:positionH>
                <wp:positionV relativeFrom="paragraph">
                  <wp:posOffset>29845</wp:posOffset>
                </wp:positionV>
                <wp:extent cx="163195" cy="20828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63195" cy="208280"/>
                        </a:xfrm>
                        <a:prstGeom prst="rect">
                          <a:avLst/>
                        </a:prstGeom>
                        <a:noFill/>
                        <a:ln>
                          <a:noFill/>
                        </a:ln>
                        <a:effectLst/>
                      </wps:spPr>
                      <wps:txbx>
                        <w:txbxContent>
                          <w:p w14:paraId="63B3E82E">
                            <w:r>
                              <w:rPr>
                                <w:rFonts w:ascii="Times New Roman" w:eastAsia="Times New Roman"/>
                                <w:spacing w:val="-26"/>
                                <w:position w:val="15"/>
                                <w:szCs w:val="24"/>
                              </w:rPr>
                              <w:t>F</w:t>
                            </w:r>
                            <w:r>
                              <w:rPr>
                                <w:rFonts w:ascii="Times New Roman" w:eastAsia="Times New Roman"/>
                                <w:position w:val="9"/>
                                <w:sz w:val="14"/>
                                <w:szCs w:val="14"/>
                              </w:rPr>
                              <w:t>0</w:t>
                            </w:r>
                            <w:r>
                              <w:rPr>
                                <w:rFonts w:ascii="Times New Roman" w:eastAsia="Times New Roman"/>
                                <w:spacing w:val="20"/>
                                <w:position w:val="9"/>
                                <w:sz w:val="14"/>
                                <w:szCs w:val="14"/>
                              </w:rPr>
                              <w:t xml:space="preserve"> </w:t>
                            </w:r>
                          </w:p>
                        </w:txbxContent>
                      </wps:txbx>
                      <wps:bodyPr wrap="square" lIns="0" tIns="0" rIns="0" bIns="0" upright="1"/>
                    </wps:wsp>
                  </a:graphicData>
                </a:graphic>
              </wp:anchor>
            </w:drawing>
          </mc:Choice>
          <mc:Fallback>
            <w:pict>
              <v:shape id="_x0000_s1026" o:spid="_x0000_s1026" o:spt="202" type="#_x0000_t202" style="position:absolute;left:0pt;margin-left:255.65pt;margin-top:2.35pt;height:16.4pt;width:12.85pt;mso-position-horizontal-relative:page;z-index:-251644928;mso-width-relative:page;mso-height-relative:page;" filled="f" stroked="f" coordsize="21600,21600" o:gfxdata="UEsDBAoAAAAAAIdO4kAAAAAAAAAAAAAAAAAEAAAAZHJzL1BLAwQUAAAACACHTuJAtTO3s9gAAAAI&#10;AQAADwAAAGRycy9kb3ducmV2LnhtbE2PzU7DMBCE70i8g7VI3KgdQpo2ZFMhBCckRBoOHJ3YTazG&#10;6xC7P7w95lSOoxnNfFNuznZkRz174wghWQhgmjqnDPUIn83r3QqYD5KUHB1phB/tYVNdX5WyUO5E&#10;tT5uQ89iCflCIgwhTAXnvhu0lX7hJk3R27nZyhDl3HM1y1MstyO/F2LJrTQUFwY56edBd/vtwSI8&#10;fVH9Yr7f2496V5umWQt6W+4Rb28S8Qgs6HO4hOEPP6JDFZladyDl2YiQJUkaowgPObDoZ2kev7UI&#10;aZ4Br0r+/0D1C1BLAwQUAAAACACHTuJABwV0s8kBAACPAwAADgAAAGRycy9lMm9Eb2MueG1srVPN&#10;jtMwEL4j8Q6W7zRtEasSNV0JVYuQECAt+wCu4zSW/MeM26QvAG/AiQt3nqvPwdhJyrJ72cNenPHM&#10;+Jv5vpmsr3tr2FEBau8qvpjNOVNO+lq7fcXvvt68WnGGUbhaGO9UxU8K+fXm5Yt1F0q19K03tQJG&#10;IA7LLlS8jTGURYGyVVbgzAflKNh4sCLSFfZFDaIjdGuK5Xx+VXQe6gBeKkTybocgHxHhKYC+abRU&#10;Wy8PVrk4oIIyIhIlbHVAvsndNo2S8XPToIrMVJyYxnxSEbJ36Sw2a1HuQYRWy7EF8ZQWHnCyQjsq&#10;eoHaiijYAfQjKKslePRNnElvi4FIVoRYLOYPtLltRVCZC0mN4SI6Ph+s/HT8AkzXtAlvOHPC0sTP&#10;P3+cf/05//7OyEcCdQFLyrsNlBn7d76n5MmP5Ey8+wZs+hIjRnGS93SRV/WRyfTo6vXiLVWRFFrO&#10;V8tVlr/49zgAxvfKW5aMigNNL4sqjh8xUiOUOqWkWs7faGPyBI37z0GJg0flFRhfJx5Dv8mK/a4f&#10;ye18fSJuHa1BxfHbQYDizHxwpHPamcmAydhNxiGA3rfUatajSLA0p9zouFNpEe7fyb7/H23+A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Uzt7PYAAAACAEAAA8AAAAAAAAAAQAgAAAAIgAAAGRycy9k&#10;b3ducmV2LnhtbFBLAQIUABQAAAAIAIdO4kAHBXSzyQEAAI8DAAAOAAAAAAAAAAEAIAAAACcBAABk&#10;cnMvZTJvRG9jLnhtbFBLBQYAAAAABgAGAFkBAABiBQAAAAA=&#10;">
                <v:fill on="f" focussize="0,0"/>
                <v:stroke on="f"/>
                <v:imagedata o:title=""/>
                <o:lock v:ext="edit" aspectratio="f"/>
                <v:textbox inset="0mm,0mm,0mm,0mm">
                  <w:txbxContent>
                    <w:p w14:paraId="63B3E82E">
                      <w:r>
                        <w:rPr>
                          <w:rFonts w:ascii="Times New Roman" w:eastAsia="Times New Roman"/>
                          <w:spacing w:val="-26"/>
                          <w:position w:val="15"/>
                          <w:szCs w:val="24"/>
                        </w:rPr>
                        <w:t>F</w:t>
                      </w:r>
                      <w:r>
                        <w:rPr>
                          <w:rFonts w:ascii="Times New Roman" w:eastAsia="Times New Roman"/>
                          <w:position w:val="9"/>
                          <w:sz w:val="14"/>
                          <w:szCs w:val="14"/>
                        </w:rPr>
                        <w:t>0</w:t>
                      </w:r>
                      <w:r>
                        <w:rPr>
                          <w:rFonts w:ascii="Times New Roman" w:eastAsia="Times New Roman"/>
                          <w:spacing w:val="20"/>
                          <w:position w:val="9"/>
                          <w:sz w:val="14"/>
                          <w:szCs w:val="14"/>
                        </w:rPr>
                        <w:t xml:space="preserve"> </w:t>
                      </w:r>
                    </w:p>
                  </w:txbxContent>
                </v:textbox>
              </v:shape>
            </w:pict>
          </mc:Fallback>
        </mc:AlternateContent>
      </w:r>
      <w:r>
        <w:rPr>
          <w:rFonts w:hint="eastAsia" w:ascii="宋体" w:hAnsi="宋体" w:eastAsia="宋体" w:cs="宋体"/>
          <w:color w:val="auto"/>
          <w:sz w:val="14"/>
          <w:szCs w:val="14"/>
          <w:highlight w:val="none"/>
        </w:rPr>
        <w:t>1</w:t>
      </w:r>
      <w:r>
        <w:rPr>
          <w:rFonts w:hint="eastAsia" w:ascii="宋体" w:hAnsi="宋体" w:eastAsia="宋体" w:cs="宋体"/>
          <w:color w:val="auto"/>
          <w:sz w:val="14"/>
          <w:szCs w:val="14"/>
          <w:highlight w:val="none"/>
        </w:rPr>
        <w:tab/>
      </w:r>
      <w:r>
        <w:rPr>
          <w:rFonts w:hint="eastAsia" w:ascii="宋体" w:hAnsi="宋体" w:eastAsia="宋体" w:cs="宋体"/>
          <w:color w:val="auto"/>
          <w:sz w:val="14"/>
          <w:szCs w:val="14"/>
          <w:highlight w:val="none"/>
        </w:rPr>
        <w:t>0</w:t>
      </w:r>
    </w:p>
    <w:p w14:paraId="373761D9">
      <w:pPr>
        <w:pStyle w:val="11"/>
        <w:spacing w:before="26"/>
        <w:ind w:left="3454" w:right="4848"/>
        <w:jc w:val="center"/>
        <w:rPr>
          <w:rFonts w:hint="eastAsia" w:ascii="宋体" w:hAnsi="宋体" w:eastAsia="宋体" w:cs="宋体"/>
          <w:color w:val="auto"/>
          <w:sz w:val="14"/>
          <w:szCs w:val="14"/>
          <w:highlight w:val="none"/>
        </w:rPr>
      </w:pPr>
    </w:p>
    <w:p w14:paraId="617CC1C8">
      <w:pPr>
        <w:spacing w:before="4" w:line="170" w:lineRule="exact"/>
        <w:rPr>
          <w:rFonts w:hint="eastAsia" w:ascii="宋体" w:hAnsi="宋体" w:eastAsia="宋体" w:cs="宋体"/>
          <w:color w:val="auto"/>
          <w:sz w:val="17"/>
          <w:szCs w:val="17"/>
          <w:highlight w:val="none"/>
        </w:rPr>
      </w:pPr>
    </w:p>
    <w:p w14:paraId="77536381">
      <w:pPr>
        <w:spacing w:line="405" w:lineRule="exact"/>
        <w:ind w:left="328"/>
        <w:jc w:val="left"/>
        <w:rPr>
          <w:rFonts w:hint="eastAsia" w:ascii="宋体" w:hAnsi="宋体" w:eastAsia="宋体" w:cs="宋体"/>
          <w:color w:val="auto"/>
          <w:szCs w:val="24"/>
          <w:highlight w:val="none"/>
        </w:rPr>
      </w:pPr>
      <w:r>
        <w:rPr>
          <w:rFonts w:hint="eastAsia" w:ascii="宋体" w:hAnsi="宋体" w:eastAsia="宋体" w:cs="宋体"/>
          <w:color w:val="auto"/>
          <w:highlight w:val="none"/>
        </w:rPr>
        <mc:AlternateContent>
          <mc:Choice Requires="wpg">
            <w:drawing>
              <wp:anchor distT="0" distB="0" distL="114300" distR="114300" simplePos="0" relativeHeight="251672576" behindDoc="1" locked="0" layoutInCell="1" allowOverlap="1">
                <wp:simplePos x="0" y="0"/>
                <wp:positionH relativeFrom="page">
                  <wp:posOffset>3150235</wp:posOffset>
                </wp:positionH>
                <wp:positionV relativeFrom="paragraph">
                  <wp:posOffset>250825</wp:posOffset>
                </wp:positionV>
                <wp:extent cx="403860" cy="1270"/>
                <wp:effectExtent l="0" t="0" r="0" b="0"/>
                <wp:wrapNone/>
                <wp:docPr id="40" name="组合 40"/>
                <wp:cNvGraphicFramePr/>
                <a:graphic xmlns:a="http://schemas.openxmlformats.org/drawingml/2006/main">
                  <a:graphicData uri="http://schemas.microsoft.com/office/word/2010/wordprocessingGroup">
                    <wpg:wgp>
                      <wpg:cNvGrpSpPr/>
                      <wpg:grpSpPr>
                        <a:xfrm>
                          <a:off x="0" y="0"/>
                          <a:ext cx="403860" cy="1270"/>
                          <a:chOff x="4961" y="396"/>
                          <a:chExt cx="636" cy="2"/>
                        </a:xfrm>
                        <a:effectLst/>
                      </wpg:grpSpPr>
                      <wps:wsp>
                        <wps:cNvPr id="16" name="任意多边形 39"/>
                        <wps:cNvSpPr/>
                        <wps:spPr>
                          <a:xfrm>
                            <a:off x="4961" y="396"/>
                            <a:ext cx="636" cy="2"/>
                          </a:xfrm>
                          <a:custGeom>
                            <a:avLst/>
                            <a:gdLst/>
                            <a:ahLst/>
                            <a:cxnLst/>
                            <a:pathLst>
                              <a:path w="636">
                                <a:moveTo>
                                  <a:pt x="0" y="0"/>
                                </a:moveTo>
                                <a:lnTo>
                                  <a:pt x="636" y="0"/>
                                </a:lnTo>
                              </a:path>
                            </a:pathLst>
                          </a:custGeom>
                          <a:noFill/>
                          <a:ln w="6350" cap="flat" cmpd="sng">
                            <a:solidFill>
                              <a:srgbClr val="000000"/>
                            </a:solidFill>
                            <a:prstDash val="solid"/>
                            <a:headEnd type="none" w="med" len="med"/>
                            <a:tailEnd type="none" w="med" len="med"/>
                          </a:ln>
                          <a:effectLst/>
                        </wps:spPr>
                        <wps:bodyPr wrap="square" upright="1"/>
                      </wps:wsp>
                    </wpg:wgp>
                  </a:graphicData>
                </a:graphic>
              </wp:anchor>
            </w:drawing>
          </mc:Choice>
          <mc:Fallback>
            <w:pict>
              <v:group id="_x0000_s1026" o:spid="_x0000_s1026" o:spt="203" style="position:absolute;left:0pt;margin-left:248.05pt;margin-top:19.75pt;height:0.1pt;width:31.8pt;mso-position-horizontal-relative:page;z-index:-251643904;mso-width-relative:page;mso-height-relative:page;" coordorigin="4961,396" coordsize="636,2" o:gfxdata="UEsDBAoAAAAAAIdO4kAAAAAAAAAAAAAAAAAEAAAAZHJzL1BLAwQUAAAACACHTuJASMOuYdoAAAAJ&#10;AQAADwAAAGRycy9kb3ducmV2LnhtbE2PwU7CQBCG7ya+w2ZMvMl2xQKt3RJD1BMhEUwMt6Ed2obu&#10;bNNdWnh7l5MeZ+bLP9+fLS+mFQP1rrGsQU0iEMSFLRuuNHzvPp4WIJxHLrG1TBqu5GCZ399lmJZ2&#10;5C8atr4SIYRdihpq77tUSlfUZNBNbEccbkfbG/Rh7CtZ9jiGcNPK5yiaSYMNhw81drSqqThtz0bD&#10;54jj21S9D+vTcXXd7+LNz1qR1o8PKnoF4eni/2C46Qd1yIPTwZ65dKLV8JLMVEA1TJMYRADiOJmD&#10;ONwWc5B5Jv83yH8BUEsDBBQAAAAIAIdO4kByO27HnAIAANcFAAAOAAAAZHJzL2Uyb0RvYy54bWyl&#10;VM1uEzEQviPxDpbvdPNTQrPqpgfS5oKgUssDOF7vriX/YTvZ5N4DNzhzRLwEquBpKPAYjO1NUlKQ&#10;IshhM54/f/PNeE7PVlKgJbOOa1Xg/lEPI6aoLrmqC/z6+uLJCUbOE1USoRUr8Jo5fDZ5/Oi0NTkb&#10;6EaLklkESZTLW1PgxnuTZ5mjDZPEHWnDFBgrbSXxcLR1VlrSQnYpskGvN8pabUtjNWXOgXaajLjL&#10;aA9JqKuKUzbVdCGZ8imrZYJ4KMk13Dg8iWirilH/qqoc80gUGCr18QuXgDwP32xySvLaEtNw2kEg&#10;h0DYq0kSruDSbaop8QQtLH+QSnJqtdOVP6JaZqmQyAhU0e/tcTOzemFiLXXe1mZLOjRqj/V/Tktf&#10;Li8t4mWBj4ESRSR0/Mftzd37twgUwE5r6hycZtZcmUvbKep0CgWvKivDP5SCVpHX9ZZXtvKIgvK4&#10;NzwZQXoKpv7gWcc6baA1IeZ4POpjBLbheJQaQpvzLnQ0HKW4QbBku/tYbO4L54M6gNxiag0Mptux&#10;5f6PrauGGBab4AIRHVt9gJXY+nZ7+/3m3d2nDz+/fr778hENx4m26L3lzOUO6PsDYQ+L37D219Lp&#10;wvkZ05F2skwUwOSVG4k0G4mu1EY0xAd1QBBE1BY4XBDOUi/ZtY4Wv9dDIHxnFeq+V4S36TX4JSsI&#10;IX1s1fZKUN7HrPQFFwL6FoISkKdhOghskwpeMYjSwEQ6VUd8TgtehpAQ4Ww9fy4sWpLwouOvm4zf&#10;3Ix1fkpck/yiKY1Ww0h5rkrk1wZGXcGKwwGCZCVGgsFGDFLE5gkXh3jG2gO0vZHctDzM41yXa5ic&#10;FhYN1PVmQSxcuzCW1w2spH6soJvbbpzhvUcSu90UFsr9c/Ta7ePJL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A8FAABbQ29udGVudF9UeXBlc10u&#10;eG1sUEsBAhQACgAAAAAAh07iQAAAAAAAAAAAAAAAAAYAAAAAAAAAAAAQAAAA8QMAAF9yZWxzL1BL&#10;AQIUABQAAAAIAIdO4kCKFGY80QAAAJQBAAALAAAAAAAAAAEAIAAAABUEAABfcmVscy8ucmVsc1BL&#10;AQIUAAoAAAAAAIdO4kAAAAAAAAAAAAAAAAAEAAAAAAAAAAAAEAAAAAAAAABkcnMvUEsBAhQAFAAA&#10;AAgAh07iQEjDrmHaAAAACQEAAA8AAAAAAAAAAQAgAAAAIgAAAGRycy9kb3ducmV2LnhtbFBLAQIU&#10;ABQAAAAIAIdO4kByO27HnAIAANcFAAAOAAAAAAAAAAEAIAAAACkBAABkcnMvZTJvRG9jLnhtbFBL&#10;BQYAAAAABgAGAFkBAAA3BgAAAAA=&#10;">
                <o:lock v:ext="edit" aspectratio="f"/>
                <v:shape id="任意多边形 39" o:spid="_x0000_s1026" o:spt="100" style="position:absolute;left:4961;top:396;height:2;width:636;" filled="f" stroked="t" coordsize="636,1" o:gfxdata="UEsDBAoAAAAAAIdO4kAAAAAAAAAAAAAAAAAEAAAAZHJzL1BLAwQUAAAACACHTuJAnm28UrkAAADb&#10;AAAADwAAAGRycy9kb3ducmV2LnhtbEVPS4vCMBC+L/gfwgje1lQPRarRg+ATD271BwzN2BabSU1i&#10;ffx6s7Cwt/n4njNbPE0jOnK+tqxgNExAEBdW11wqOJ9W3xMQPiBrbCyTghd5WMx7XzPMtH3wD3V5&#10;KEUMYZ+hgiqENpPSFxUZ9EPbEkfuYp3BEKErpXb4iOGmkeMkSaXBmmNDhS0tKyqu+d0oWGNz3XXL&#10;Y0fv3WET2jx1+/dNqUF/lExBBHqGf/Gfe6vj/BR+f4kHyPk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J5tvFK5AAAA2wAA&#10;AA8AAAAAAAAAAQAgAAAAIgAAAGRycy9kb3ducmV2LnhtbFBLAQIUABQAAAAIAIdO4kAzLwWeOwAA&#10;ADkAAAAQAAAAAAAAAAEAIAAAAAgBAABkcnMvc2hhcGV4bWwueG1sUEsFBgAAAAAGAAYAWwEAALID&#10;AAAAAA==&#10;" path="m0,0l636,0e">
                  <v:fill on="f" focussize="0,0"/>
                  <v:stroke weight="0.5pt" color="#000000" joinstyle="round"/>
                  <v:imagedata o:title=""/>
                  <o:lock v:ext="edit" aspectratio="f"/>
                </v:shape>
              </v:group>
            </w:pict>
          </mc:Fallback>
        </mc:AlternateContent>
      </w:r>
      <w:r>
        <w:rPr>
          <w:rFonts w:hint="eastAsia" w:ascii="宋体" w:hAnsi="宋体" w:eastAsia="宋体" w:cs="宋体"/>
          <w:color w:val="auto"/>
          <w:spacing w:val="-1"/>
          <w:sz w:val="21"/>
          <w:szCs w:val="21"/>
          <w:highlight w:val="none"/>
        </w:rPr>
        <w:t>跌</w:t>
      </w:r>
      <w:r>
        <w:rPr>
          <w:rFonts w:hint="eastAsia" w:ascii="宋体" w:hAnsi="宋体" w:eastAsia="宋体" w:cs="宋体"/>
          <w:color w:val="auto"/>
          <w:spacing w:val="2"/>
          <w:sz w:val="21"/>
          <w:szCs w:val="21"/>
          <w:highlight w:val="none"/>
        </w:rPr>
        <w:t>价</w:t>
      </w:r>
      <w:r>
        <w:rPr>
          <w:rFonts w:hint="eastAsia" w:ascii="宋体" w:hAnsi="宋体" w:eastAsia="宋体" w:cs="宋体"/>
          <w:color w:val="auto"/>
          <w:spacing w:val="-1"/>
          <w:sz w:val="21"/>
          <w:szCs w:val="21"/>
          <w:highlight w:val="none"/>
        </w:rPr>
        <w:t>时</w:t>
      </w:r>
      <w:r>
        <w:rPr>
          <w:rFonts w:hint="eastAsia" w:ascii="宋体" w:hAnsi="宋体" w:eastAsia="宋体" w:cs="宋体"/>
          <w:color w:val="auto"/>
          <w:sz w:val="21"/>
          <w:szCs w:val="21"/>
          <w:highlight w:val="none"/>
        </w:rPr>
        <w:t>，</w:t>
      </w:r>
      <w:r>
        <w:rPr>
          <w:rFonts w:hint="eastAsia" w:ascii="宋体" w:hAnsi="宋体" w:eastAsia="宋体" w:cs="宋体"/>
          <w:color w:val="auto"/>
          <w:spacing w:val="-82"/>
          <w:sz w:val="21"/>
          <w:szCs w:val="21"/>
          <w:highlight w:val="none"/>
        </w:rPr>
        <w:t xml:space="preserve"> </w:t>
      </w:r>
      <w:r>
        <w:rPr>
          <w:rFonts w:hint="eastAsia" w:ascii="宋体" w:hAnsi="宋体" w:eastAsia="宋体" w:cs="宋体"/>
          <w:color w:val="auto"/>
          <w:szCs w:val="24"/>
          <w:highlight w:val="none"/>
        </w:rPr>
        <w:t>结算单价</w:t>
      </w:r>
      <w:r>
        <w:rPr>
          <w:rFonts w:hint="eastAsia" w:ascii="宋体" w:hAnsi="宋体" w:eastAsia="宋体" w:cs="宋体"/>
          <w:color w:val="auto"/>
          <w:spacing w:val="9"/>
          <w:szCs w:val="24"/>
          <w:highlight w:val="none"/>
        </w:rPr>
        <w:t>＝</w:t>
      </w:r>
      <w:r>
        <w:rPr>
          <w:rFonts w:hint="eastAsia" w:ascii="宋体" w:hAnsi="宋体" w:eastAsia="宋体" w:cs="宋体"/>
          <w:color w:val="auto"/>
          <w:spacing w:val="7"/>
          <w:szCs w:val="24"/>
          <w:highlight w:val="none"/>
        </w:rPr>
        <w:t>F</w:t>
      </w:r>
      <w:r>
        <w:rPr>
          <w:rFonts w:hint="eastAsia" w:ascii="宋体" w:hAnsi="宋体" w:eastAsia="宋体" w:cs="宋体"/>
          <w:color w:val="auto"/>
          <w:spacing w:val="1"/>
          <w:szCs w:val="24"/>
          <w:highlight w:val="none"/>
        </w:rPr>
        <w:t>＋</w:t>
      </w:r>
      <w:r>
        <w:rPr>
          <w:rFonts w:hint="eastAsia" w:ascii="宋体" w:hAnsi="宋体" w:eastAsia="宋体" w:cs="宋体"/>
          <w:color w:val="auto"/>
          <w:szCs w:val="24"/>
          <w:highlight w:val="none"/>
        </w:rPr>
        <w:t>F</w:t>
      </w:r>
      <w:r>
        <w:rPr>
          <w:rFonts w:hint="eastAsia" w:ascii="宋体" w:hAnsi="宋体" w:eastAsia="宋体" w:cs="宋体"/>
          <w:color w:val="auto"/>
          <w:spacing w:val="16"/>
          <w:szCs w:val="24"/>
          <w:highlight w:val="none"/>
        </w:rPr>
        <w:t xml:space="preserve"> </w:t>
      </w:r>
      <w:r>
        <w:rPr>
          <w:rFonts w:hint="eastAsia" w:ascii="宋体" w:hAnsi="宋体" w:eastAsia="宋体" w:cs="宋体"/>
          <w:color w:val="auto"/>
          <w:spacing w:val="-102"/>
          <w:szCs w:val="24"/>
          <w:highlight w:val="none"/>
        </w:rPr>
        <w:t></w:t>
      </w:r>
      <w:r>
        <w:rPr>
          <w:rFonts w:hint="eastAsia" w:ascii="宋体" w:hAnsi="宋体" w:eastAsia="宋体" w:cs="宋体"/>
          <w:color w:val="auto"/>
          <w:szCs w:val="24"/>
          <w:highlight w:val="none"/>
        </w:rPr>
        <w:t xml:space="preserve">（  </w:t>
      </w:r>
      <w:r>
        <w:rPr>
          <w:rFonts w:hint="eastAsia" w:ascii="宋体" w:hAnsi="宋体" w:eastAsia="宋体" w:cs="宋体"/>
          <w:color w:val="auto"/>
          <w:spacing w:val="-100"/>
          <w:szCs w:val="24"/>
          <w:highlight w:val="none"/>
        </w:rPr>
        <w:t xml:space="preserve"> </w:t>
      </w:r>
      <w:r>
        <w:rPr>
          <w:rFonts w:hint="eastAsia" w:ascii="宋体" w:hAnsi="宋体" w:eastAsia="宋体" w:cs="宋体"/>
          <w:color w:val="auto"/>
          <w:spacing w:val="-23"/>
          <w:position w:val="15"/>
          <w:szCs w:val="24"/>
          <w:highlight w:val="none"/>
        </w:rPr>
        <w:t>F</w:t>
      </w:r>
      <w:r>
        <w:rPr>
          <w:rFonts w:hint="eastAsia" w:ascii="宋体" w:hAnsi="宋体" w:eastAsia="宋体" w:cs="宋体"/>
          <w:color w:val="auto"/>
          <w:spacing w:val="-15"/>
          <w:position w:val="9"/>
          <w:sz w:val="14"/>
          <w:szCs w:val="14"/>
          <w:highlight w:val="none"/>
        </w:rPr>
        <w:t>2</w:t>
      </w:r>
      <w:r>
        <w:rPr>
          <w:rFonts w:hint="eastAsia" w:ascii="宋体" w:hAnsi="宋体" w:eastAsia="宋体" w:cs="宋体"/>
          <w:color w:val="auto"/>
          <w:spacing w:val="1"/>
          <w:position w:val="15"/>
          <w:szCs w:val="24"/>
          <w:highlight w:val="none"/>
        </w:rPr>
        <w:t>－</w:t>
      </w:r>
      <w:r>
        <w:rPr>
          <w:rFonts w:hint="eastAsia" w:ascii="宋体" w:hAnsi="宋体" w:eastAsia="宋体" w:cs="宋体"/>
          <w:color w:val="auto"/>
          <w:spacing w:val="-26"/>
          <w:position w:val="15"/>
          <w:szCs w:val="24"/>
          <w:highlight w:val="none"/>
        </w:rPr>
        <w:t>F</w:t>
      </w:r>
      <w:r>
        <w:rPr>
          <w:rFonts w:hint="eastAsia" w:ascii="宋体" w:hAnsi="宋体" w:eastAsia="宋体" w:cs="宋体"/>
          <w:color w:val="auto"/>
          <w:position w:val="9"/>
          <w:sz w:val="14"/>
          <w:szCs w:val="14"/>
          <w:highlight w:val="none"/>
        </w:rPr>
        <w:t>0</w:t>
      </w:r>
      <w:r>
        <w:rPr>
          <w:rFonts w:hint="eastAsia" w:ascii="宋体" w:hAnsi="宋体" w:eastAsia="宋体" w:cs="宋体"/>
          <w:color w:val="auto"/>
          <w:spacing w:val="20"/>
          <w:position w:val="9"/>
          <w:sz w:val="14"/>
          <w:szCs w:val="14"/>
          <w:highlight w:val="none"/>
        </w:rPr>
        <w:t xml:space="preserve"> </w:t>
      </w:r>
      <w:r>
        <w:rPr>
          <w:rFonts w:hint="eastAsia" w:ascii="宋体" w:hAnsi="宋体" w:eastAsia="宋体" w:cs="宋体"/>
          <w:color w:val="auto"/>
          <w:spacing w:val="8"/>
          <w:szCs w:val="24"/>
          <w:highlight w:val="none"/>
        </w:rPr>
        <w:t></w:t>
      </w:r>
      <w:r>
        <w:rPr>
          <w:rFonts w:hint="eastAsia" w:ascii="宋体" w:hAnsi="宋体" w:eastAsia="宋体" w:cs="宋体"/>
          <w:color w:val="auto"/>
          <w:spacing w:val="8"/>
          <w:szCs w:val="24"/>
          <w:highlight w:val="none"/>
          <w:lang w:val="en-US" w:eastAsia="zh-CN"/>
        </w:rPr>
        <w:t>x</w:t>
      </w:r>
      <w:r>
        <w:rPr>
          <w:rFonts w:hint="eastAsia" w:ascii="宋体" w:hAnsi="宋体" w:eastAsia="宋体" w:cs="宋体"/>
          <w:color w:val="auto"/>
          <w:szCs w:val="24"/>
          <w:highlight w:val="none"/>
        </w:rPr>
        <w:t>10</w:t>
      </w:r>
      <w:r>
        <w:rPr>
          <w:rFonts w:hint="eastAsia" w:ascii="宋体" w:hAnsi="宋体" w:eastAsia="宋体" w:cs="宋体"/>
          <w:color w:val="auto"/>
          <w:spacing w:val="2"/>
          <w:szCs w:val="24"/>
          <w:highlight w:val="none"/>
        </w:rPr>
        <w:t>0</w:t>
      </w:r>
      <w:r>
        <w:rPr>
          <w:rFonts w:hint="eastAsia" w:ascii="宋体" w:hAnsi="宋体" w:eastAsia="宋体" w:cs="宋体"/>
          <w:color w:val="auto"/>
          <w:spacing w:val="-20"/>
          <w:szCs w:val="24"/>
          <w:highlight w:val="none"/>
        </w:rPr>
        <w:t>%</w:t>
      </w:r>
      <w:r>
        <w:rPr>
          <w:rFonts w:hint="eastAsia" w:ascii="宋体" w:hAnsi="宋体" w:eastAsia="宋体" w:cs="宋体"/>
          <w:color w:val="auto"/>
          <w:spacing w:val="1"/>
          <w:szCs w:val="24"/>
          <w:highlight w:val="none"/>
        </w:rPr>
        <w:t>＋</w:t>
      </w:r>
      <w:r>
        <w:rPr>
          <w:rFonts w:hint="eastAsia" w:ascii="宋体" w:hAnsi="宋体" w:eastAsia="宋体" w:cs="宋体"/>
          <w:color w:val="auto"/>
          <w:spacing w:val="-5"/>
          <w:szCs w:val="24"/>
          <w:highlight w:val="none"/>
        </w:rPr>
        <w:t>A</w:t>
      </w:r>
      <w:r>
        <w:rPr>
          <w:rFonts w:hint="eastAsia" w:ascii="宋体" w:hAnsi="宋体" w:eastAsia="宋体" w:cs="宋体"/>
          <w:color w:val="auto"/>
          <w:szCs w:val="24"/>
          <w:highlight w:val="none"/>
        </w:rPr>
        <w:t>）</w:t>
      </w:r>
    </w:p>
    <w:p w14:paraId="2ACABD42">
      <w:pPr>
        <w:pStyle w:val="11"/>
        <w:tabs>
          <w:tab w:val="left" w:pos="2884"/>
        </w:tabs>
        <w:spacing w:line="142" w:lineRule="exact"/>
        <w:ind w:firstLine="2520" w:firstLineChars="1800"/>
        <w:jc w:val="left"/>
        <w:rPr>
          <w:rFonts w:hint="eastAsia" w:ascii="宋体" w:hAnsi="宋体" w:eastAsia="宋体" w:cs="宋体"/>
          <w:color w:val="auto"/>
          <w:sz w:val="14"/>
          <w:szCs w:val="14"/>
          <w:highlight w:val="none"/>
        </w:rPr>
      </w:pPr>
      <w:r>
        <w:rPr>
          <w:rFonts w:hint="eastAsia" w:ascii="宋体" w:hAnsi="宋体" w:eastAsia="宋体" w:cs="宋体"/>
          <w:color w:val="auto"/>
          <w:sz w:val="14"/>
          <w:szCs w:val="14"/>
          <w:highlight w:val="none"/>
        </w:rPr>
        <mc:AlternateContent>
          <mc:Choice Requires="wps">
            <w:drawing>
              <wp:anchor distT="0" distB="0" distL="114300" distR="114300" simplePos="0" relativeHeight="251673600" behindDoc="1" locked="0" layoutInCell="1" allowOverlap="1">
                <wp:simplePos x="0" y="0"/>
                <wp:positionH relativeFrom="page">
                  <wp:posOffset>3289300</wp:posOffset>
                </wp:positionH>
                <wp:positionV relativeFrom="paragraph">
                  <wp:posOffset>29845</wp:posOffset>
                </wp:positionV>
                <wp:extent cx="296545" cy="24638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296545" cy="246380"/>
                        </a:xfrm>
                        <a:prstGeom prst="rect">
                          <a:avLst/>
                        </a:prstGeom>
                        <a:noFill/>
                        <a:ln>
                          <a:noFill/>
                        </a:ln>
                        <a:effectLst/>
                      </wps:spPr>
                      <wps:txbx>
                        <w:txbxContent>
                          <w:p w14:paraId="47875231">
                            <w:r>
                              <w:rPr>
                                <w:rFonts w:ascii="Times New Roman" w:eastAsia="Times New Roman"/>
                                <w:spacing w:val="-26"/>
                                <w:position w:val="15"/>
                                <w:szCs w:val="24"/>
                              </w:rPr>
                              <w:t>F</w:t>
                            </w:r>
                            <w:r>
                              <w:rPr>
                                <w:rFonts w:ascii="Times New Roman" w:eastAsia="Times New Roman"/>
                                <w:position w:val="9"/>
                                <w:sz w:val="14"/>
                                <w:szCs w:val="14"/>
                              </w:rPr>
                              <w:t>0</w:t>
                            </w:r>
                          </w:p>
                        </w:txbxContent>
                      </wps:txbx>
                      <wps:bodyPr wrap="square" lIns="0" tIns="0" rIns="0" bIns="0" upright="1"/>
                    </wps:wsp>
                  </a:graphicData>
                </a:graphic>
              </wp:anchor>
            </w:drawing>
          </mc:Choice>
          <mc:Fallback>
            <w:pict>
              <v:shape id="_x0000_s1026" o:spid="_x0000_s1026" o:spt="202" type="#_x0000_t202" style="position:absolute;left:0pt;margin-left:259pt;margin-top:2.35pt;height:19.4pt;width:23.35pt;mso-position-horizontal-relative:page;z-index:-251642880;mso-width-relative:page;mso-height-relative:page;" filled="f" stroked="f" coordsize="21600,21600" o:gfxdata="UEsDBAoAAAAAAIdO4kAAAAAAAAAAAAAAAAAEAAAAZHJzL1BLAwQUAAAACACHTuJA3kLzGdcAAAAI&#10;AQAADwAAAGRycy9kb3ducmV2LnhtbE2PzU7DMBCE70i8g7VI3KgdIKGEOBVCcEJCTcOBoxNvk6jx&#10;OsTuD2/P9gS3Hc1o9ptidXKjOOAcBk8akoUCgdR6O1Cn4bN+u1mCCNGQNaMn1PCDAVbl5UVhcuuP&#10;VOFhEzvBJRRyo6GPccqlDG2PzoSFn5DY2/rZmchy7qSdzZHL3ShvlcqkMwPxh95M+NJju9vsnYbn&#10;L6peh++PZl1tq6GuHxW9Zzutr68S9QQi4in+heGMz+hQMlPj92SDGDWkyZK3RA33DyDYT7Pz0bC+&#10;S0GWhfw/oPwFUEsDBBQAAAAIAIdO4kC7W5FxygEAAI8DAAAOAAAAZHJzL2Uyb0RvYy54bWytU82O&#10;0zAQviPxDpbvNN2yWy1R05VQtQgJAdLCA7iO01jyHzNuk74AvAEnLtx5rj4HYycpy+5lD3txxjPj&#10;b+b7ZrK66a1hBwWovav4xWzOmXLS19rtKv71y+2ra84wClcL452q+FEhv1m/fLHqQqkWvvWmVsAI&#10;xGHZhYq3MYayKFC2ygqc+aAcBRsPVkS6wq6oQXSEbk2xmM+XReehDuClQiTvZgjyERGeAuibRku1&#10;8XJvlYsDKigjIlHCVgfk69xt0ygZPzUNqshMxYlpzCcVIXubzmK9EuUORGi1HFsQT2nhAScrtKOi&#10;Z6iNiILtQT+CslqCR9/EmfS2GIhkRYjFxfyBNnetCCpzIakxnEXH54OVHw+fgemaNoHm7oSliZ9+&#10;/jj9+nP6/Z2RjwTqApaUdxcoM/ZvfU/Jkx/JmXj3Ddj0JUaM4iTv8Syv6iOT5Fy8WV5dXnEmKbS4&#10;XL6+zvIX/x4HwPhOecuSUXGg6WVRxeEDRmqEUqeUVMv5W21MnqBx/zkocfCovALj68Rj6DdZsd/2&#10;I7mtr4/EraM1qDh+2wtQnJn3jnROOzMZMBnbydgH0LuWWs16FAmW5pQbHXcqLcL9O9n3/6P1X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N5C8xnXAAAACAEAAA8AAAAAAAAAAQAgAAAAIgAAAGRycy9k&#10;b3ducmV2LnhtbFBLAQIUABQAAAAIAIdO4kC7W5FxygEAAI8DAAAOAAAAAAAAAAEAIAAAACYBAABk&#10;cnMvZTJvRG9jLnhtbFBLBQYAAAAABgAGAFkBAABiBQAAAAA=&#10;">
                <v:fill on="f" focussize="0,0"/>
                <v:stroke on="f"/>
                <v:imagedata o:title=""/>
                <o:lock v:ext="edit" aspectratio="f"/>
                <v:textbox inset="0mm,0mm,0mm,0mm">
                  <w:txbxContent>
                    <w:p w14:paraId="47875231">
                      <w:r>
                        <w:rPr>
                          <w:rFonts w:ascii="Times New Roman" w:eastAsia="Times New Roman"/>
                          <w:spacing w:val="-26"/>
                          <w:position w:val="15"/>
                          <w:szCs w:val="24"/>
                        </w:rPr>
                        <w:t>F</w:t>
                      </w:r>
                      <w:r>
                        <w:rPr>
                          <w:rFonts w:ascii="Times New Roman" w:eastAsia="Times New Roman"/>
                          <w:position w:val="9"/>
                          <w:sz w:val="14"/>
                          <w:szCs w:val="14"/>
                        </w:rPr>
                        <w:t>0</w:t>
                      </w:r>
                    </w:p>
                  </w:txbxContent>
                </v:textbox>
              </v:shape>
            </w:pict>
          </mc:Fallback>
        </mc:AlternateContent>
      </w:r>
      <w:r>
        <w:rPr>
          <w:rFonts w:hint="eastAsia" w:ascii="宋体" w:hAnsi="宋体" w:eastAsia="宋体" w:cs="宋体"/>
          <w:color w:val="auto"/>
          <w:sz w:val="14"/>
          <w:szCs w:val="14"/>
          <w:highlight w:val="none"/>
        </w:rPr>
        <w:t>1    0</w:t>
      </w:r>
    </w:p>
    <w:p w14:paraId="1213BFF2">
      <w:pPr>
        <w:pStyle w:val="11"/>
        <w:spacing w:before="26"/>
        <w:ind w:left="3521" w:right="4781"/>
        <w:jc w:val="center"/>
        <w:rPr>
          <w:rFonts w:hint="eastAsia" w:ascii="宋体" w:hAnsi="宋体" w:eastAsia="宋体" w:cs="宋体"/>
          <w:color w:val="auto"/>
          <w:sz w:val="14"/>
          <w:szCs w:val="14"/>
          <w:highlight w:val="none"/>
        </w:rPr>
      </w:pPr>
    </w:p>
    <w:p w14:paraId="4038BD76">
      <w:pPr>
        <w:spacing w:before="3" w:line="120" w:lineRule="exact"/>
        <w:rPr>
          <w:rFonts w:hint="eastAsia" w:ascii="宋体" w:hAnsi="宋体" w:eastAsia="宋体" w:cs="宋体"/>
          <w:color w:val="auto"/>
          <w:sz w:val="12"/>
          <w:szCs w:val="12"/>
          <w:highlight w:val="none"/>
        </w:rPr>
      </w:pPr>
    </w:p>
    <w:p w14:paraId="37950967">
      <w:pPr>
        <w:wordWrap w:val="0"/>
        <w:adjustRightInd w:val="0"/>
        <w:snapToGrid w:val="0"/>
        <w:spacing w:line="440" w:lineRule="exact"/>
        <w:ind w:firstLine="480" w:firstLineChars="200"/>
        <w:rPr>
          <w:rFonts w:hint="eastAsia" w:ascii="宋体" w:hAnsi="宋体" w:eastAsia="宋体" w:cs="宋体"/>
          <w:bCs/>
          <w:snapToGrid w:val="0"/>
          <w:color w:val="auto"/>
          <w:kern w:val="0"/>
          <w:szCs w:val="28"/>
          <w:highlight w:val="none"/>
        </w:rPr>
      </w:pPr>
      <w:r>
        <w:rPr>
          <w:rFonts w:hint="eastAsia" w:ascii="宋体" w:hAnsi="宋体" w:eastAsia="宋体" w:cs="宋体"/>
          <w:snapToGrid w:val="0"/>
          <w:color w:val="auto"/>
          <w:kern w:val="0"/>
          <w:szCs w:val="24"/>
          <w:highlight w:val="none"/>
        </w:rPr>
        <w:t>以上公式中，</w:t>
      </w:r>
      <w:r>
        <w:rPr>
          <w:rFonts w:hint="eastAsia" w:ascii="宋体" w:hAnsi="宋体" w:eastAsia="宋体" w:cs="宋体"/>
          <w:bCs/>
          <w:snapToGrid w:val="0"/>
          <w:color w:val="auto"/>
          <w:kern w:val="0"/>
          <w:szCs w:val="28"/>
          <w:highlight w:val="none"/>
        </w:rPr>
        <w:t>F</w:t>
      </w:r>
      <w:r>
        <w:rPr>
          <w:rFonts w:hint="eastAsia" w:ascii="宋体" w:hAnsi="宋体" w:eastAsia="宋体" w:cs="宋体"/>
          <w:bCs/>
          <w:snapToGrid w:val="0"/>
          <w:color w:val="auto"/>
          <w:kern w:val="0"/>
          <w:szCs w:val="28"/>
          <w:highlight w:val="none"/>
          <w:vertAlign w:val="subscript"/>
        </w:rPr>
        <w:t>1</w:t>
      </w:r>
      <w:r>
        <w:rPr>
          <w:rFonts w:hint="eastAsia" w:ascii="宋体" w:hAnsi="宋体" w:eastAsia="宋体" w:cs="宋体"/>
          <w:bCs/>
          <w:snapToGrid w:val="0"/>
          <w:color w:val="auto"/>
          <w:kern w:val="0"/>
          <w:szCs w:val="28"/>
          <w:highlight w:val="none"/>
        </w:rPr>
        <w:t>为中标单价；F</w:t>
      </w:r>
      <w:r>
        <w:rPr>
          <w:rFonts w:hint="eastAsia" w:ascii="宋体" w:hAnsi="宋体" w:eastAsia="宋体" w:cs="宋体"/>
          <w:bCs/>
          <w:snapToGrid w:val="0"/>
          <w:color w:val="auto"/>
          <w:kern w:val="0"/>
          <w:szCs w:val="28"/>
          <w:highlight w:val="none"/>
          <w:vertAlign w:val="subscript"/>
        </w:rPr>
        <w:t>0</w:t>
      </w:r>
      <w:r>
        <w:rPr>
          <w:rFonts w:hint="eastAsia" w:ascii="宋体" w:hAnsi="宋体" w:eastAsia="宋体" w:cs="宋体"/>
          <w:bCs/>
          <w:snapToGrid w:val="0"/>
          <w:color w:val="auto"/>
          <w:kern w:val="0"/>
          <w:szCs w:val="28"/>
          <w:highlight w:val="none"/>
        </w:rPr>
        <w:t>为基准单价；F</w:t>
      </w:r>
      <w:r>
        <w:rPr>
          <w:rFonts w:hint="eastAsia" w:ascii="宋体" w:hAnsi="宋体" w:eastAsia="宋体" w:cs="宋体"/>
          <w:bCs/>
          <w:snapToGrid w:val="0"/>
          <w:color w:val="auto"/>
          <w:kern w:val="0"/>
          <w:szCs w:val="28"/>
          <w:highlight w:val="none"/>
          <w:vertAlign w:val="subscript"/>
        </w:rPr>
        <w:t>2</w:t>
      </w:r>
      <w:r>
        <w:rPr>
          <w:rFonts w:hint="eastAsia" w:ascii="宋体" w:hAnsi="宋体" w:eastAsia="宋体" w:cs="宋体"/>
          <w:bCs/>
          <w:snapToGrid w:val="0"/>
          <w:color w:val="auto"/>
          <w:kern w:val="0"/>
          <w:szCs w:val="28"/>
          <w:highlight w:val="none"/>
        </w:rPr>
        <w:t>为施工当月项目所在地工程造价管理机构发布的材料、工程设备单价；A为合同约定的材料、工程设备单价涨跌风险幅度值。</w:t>
      </w:r>
    </w:p>
    <w:p w14:paraId="73CB7F79">
      <w:pPr>
        <w:wordWrap w:val="0"/>
        <w:adjustRightInd w:val="0"/>
        <w:snapToGrid w:val="0"/>
        <w:spacing w:line="440" w:lineRule="exact"/>
        <w:ind w:firstLine="482" w:firstLineChars="200"/>
        <w:rPr>
          <w:rFonts w:hint="eastAsia" w:ascii="宋体" w:hAnsi="宋体" w:eastAsia="宋体" w:cs="宋体"/>
          <w:bCs/>
          <w:snapToGrid w:val="0"/>
          <w:color w:val="auto"/>
          <w:kern w:val="0"/>
          <w:szCs w:val="28"/>
          <w:highlight w:val="none"/>
        </w:rPr>
      </w:pPr>
      <w:r>
        <w:rPr>
          <w:rFonts w:hint="eastAsia" w:ascii="宋体" w:hAnsi="宋体" w:eastAsia="宋体" w:cs="宋体"/>
          <w:b/>
          <w:bCs/>
          <w:snapToGrid w:val="0"/>
          <w:color w:val="auto"/>
          <w:kern w:val="0"/>
          <w:szCs w:val="24"/>
          <w:highlight w:val="none"/>
        </w:rPr>
        <w:t>2.3.6.3</w:t>
      </w:r>
      <w:r>
        <w:rPr>
          <w:rFonts w:hint="eastAsia" w:ascii="宋体" w:hAnsi="宋体" w:eastAsia="宋体" w:cs="宋体"/>
          <w:snapToGrid w:val="0"/>
          <w:color w:val="auto"/>
          <w:kern w:val="0"/>
          <w:szCs w:val="24"/>
          <w:highlight w:val="none"/>
        </w:rPr>
        <w:t xml:space="preserve"> 合同履行期间，当《发包人提供材料和工程设备一览表》（详见招标工程量清单）中的材料、工程设备单价发生变化时，由发包人按照实际变化调整，并列入合同价款。</w:t>
      </w:r>
    </w:p>
    <w:p w14:paraId="1647916E">
      <w:pPr>
        <w:wordWrap w:val="0"/>
        <w:adjustRightInd w:val="0"/>
        <w:snapToGrid w:val="0"/>
        <w:spacing w:line="440" w:lineRule="exact"/>
        <w:ind w:firstLine="482" w:firstLineChars="200"/>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2.3.6.4</w:t>
      </w:r>
      <w:r>
        <w:rPr>
          <w:rFonts w:hint="eastAsia" w:ascii="宋体" w:hAnsi="宋体" w:eastAsia="宋体" w:cs="宋体"/>
          <w:snapToGrid w:val="0"/>
          <w:color w:val="auto"/>
          <w:kern w:val="0"/>
          <w:szCs w:val="24"/>
          <w:highlight w:val="none"/>
        </w:rPr>
        <w:t xml:space="preserve"> 本招标项目约定，施工机具台班单价涨跌风险幅度值B为</w:t>
      </w:r>
      <w:r>
        <w:rPr>
          <w:rFonts w:hint="eastAsia" w:ascii="宋体" w:hAnsi="宋体" w:eastAsia="宋体" w:cs="宋体"/>
          <w:snapToGrid w:val="0"/>
          <w:color w:val="auto"/>
          <w:kern w:val="0"/>
          <w:szCs w:val="24"/>
          <w:highlight w:val="none"/>
          <w:u w:val="single"/>
        </w:rPr>
        <w:t xml:space="preserve"> 10% </w:t>
      </w:r>
      <w:r>
        <w:rPr>
          <w:rFonts w:hint="eastAsia" w:ascii="宋体" w:hAnsi="宋体" w:eastAsia="宋体" w:cs="宋体"/>
          <w:snapToGrid w:val="0"/>
          <w:color w:val="auto"/>
          <w:kern w:val="0"/>
          <w:szCs w:val="24"/>
          <w:highlight w:val="none"/>
        </w:rPr>
        <w:t>。合同履行期间，当施工机具台班单价涨跌幅度等于或低于B值时，该施工机具台班单价不予调整；超过B值时，其超过部分可以调整。相关费用按有关规定进行相应调整。</w:t>
      </w:r>
    </w:p>
    <w:p w14:paraId="1AD9618F">
      <w:pPr>
        <w:wordWrap w:val="0"/>
        <w:adjustRightInd w:val="0"/>
        <w:snapToGrid w:val="0"/>
        <w:spacing w:line="440" w:lineRule="exact"/>
        <w:ind w:firstLine="482" w:firstLineChars="200"/>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a</w:t>
      </w:r>
      <w:r>
        <w:rPr>
          <w:rFonts w:hint="eastAsia" w:ascii="宋体" w:hAnsi="宋体" w:eastAsia="宋体" w:cs="宋体"/>
          <w:snapToGrid w:val="0"/>
          <w:color w:val="auto"/>
          <w:kern w:val="0"/>
          <w:szCs w:val="24"/>
          <w:highlight w:val="none"/>
        </w:rPr>
        <w:t>．如果承包人投标报价中施工机具台班单价（以下简称“中标单价”）低于基准日当月项目所在地工程造价管理机构发布的对应施工机具台班单价（以下简称“基准单价”），该施工机具台班的结算单价调整公式为：</w:t>
      </w:r>
    </w:p>
    <w:p w14:paraId="0B210D0E">
      <w:pPr>
        <w:spacing w:line="418" w:lineRule="exact"/>
        <w:ind w:left="120" w:firstLine="241" w:firstLineChars="100"/>
        <w:jc w:val="left"/>
        <w:rPr>
          <w:rFonts w:hint="eastAsia" w:ascii="宋体" w:hAnsi="宋体" w:eastAsia="宋体" w:cs="宋体"/>
          <w:color w:val="auto"/>
          <w:szCs w:val="24"/>
          <w:highlight w:val="none"/>
        </w:rPr>
      </w:pPr>
      <w:r>
        <w:rPr>
          <w:rFonts w:hint="eastAsia" w:ascii="宋体" w:hAnsi="宋体" w:eastAsia="宋体" w:cs="宋体"/>
          <w:b/>
          <w:bCs/>
          <w:color w:val="auto"/>
          <w:highlight w:val="none"/>
        </w:rPr>
        <mc:AlternateContent>
          <mc:Choice Requires="wpg">
            <w:drawing>
              <wp:anchor distT="0" distB="0" distL="114300" distR="114300" simplePos="0" relativeHeight="251674624" behindDoc="0" locked="0" layoutInCell="1" allowOverlap="1">
                <wp:simplePos x="0" y="0"/>
                <wp:positionH relativeFrom="page">
                  <wp:posOffset>3107055</wp:posOffset>
                </wp:positionH>
                <wp:positionV relativeFrom="paragraph">
                  <wp:posOffset>259715</wp:posOffset>
                </wp:positionV>
                <wp:extent cx="403860" cy="1270"/>
                <wp:effectExtent l="0" t="0" r="0" b="0"/>
                <wp:wrapNone/>
                <wp:docPr id="41" name="组合 41"/>
                <wp:cNvGraphicFramePr/>
                <a:graphic xmlns:a="http://schemas.openxmlformats.org/drawingml/2006/main">
                  <a:graphicData uri="http://schemas.microsoft.com/office/word/2010/wordprocessingGroup">
                    <wpg:wgp>
                      <wpg:cNvGrpSpPr/>
                      <wpg:grpSpPr>
                        <a:xfrm>
                          <a:off x="0" y="0"/>
                          <a:ext cx="403860" cy="1270"/>
                          <a:chOff x="4894" y="410"/>
                          <a:chExt cx="636" cy="2"/>
                        </a:xfrm>
                        <a:effectLst/>
                      </wpg:grpSpPr>
                      <wps:wsp>
                        <wps:cNvPr id="21" name="任意多边形 42"/>
                        <wps:cNvSpPr/>
                        <wps:spPr>
                          <a:xfrm>
                            <a:off x="4894" y="410"/>
                            <a:ext cx="636" cy="2"/>
                          </a:xfrm>
                          <a:custGeom>
                            <a:avLst/>
                            <a:gdLst/>
                            <a:ahLst/>
                            <a:cxnLst/>
                            <a:pathLst>
                              <a:path w="636">
                                <a:moveTo>
                                  <a:pt x="0" y="0"/>
                                </a:moveTo>
                                <a:lnTo>
                                  <a:pt x="636" y="0"/>
                                </a:lnTo>
                              </a:path>
                            </a:pathLst>
                          </a:custGeom>
                          <a:noFill/>
                          <a:ln w="6350" cap="flat" cmpd="sng">
                            <a:solidFill>
                              <a:srgbClr val="000000"/>
                            </a:solidFill>
                            <a:prstDash val="solid"/>
                            <a:headEnd type="none" w="med" len="med"/>
                            <a:tailEnd type="none" w="med" len="med"/>
                          </a:ln>
                          <a:effectLst/>
                        </wps:spPr>
                        <wps:bodyPr wrap="square" upright="1"/>
                      </wps:wsp>
                    </wpg:wgp>
                  </a:graphicData>
                </a:graphic>
              </wp:anchor>
            </w:drawing>
          </mc:Choice>
          <mc:Fallback>
            <w:pict>
              <v:group id="_x0000_s1026" o:spid="_x0000_s1026" o:spt="203" style="position:absolute;left:0pt;margin-left:244.65pt;margin-top:20.45pt;height:0.1pt;width:31.8pt;mso-position-horizontal-relative:page;z-index:251674624;mso-width-relative:page;mso-height-relative:page;" coordorigin="4894,410" coordsize="636,2" o:gfxdata="UEsDBAoAAAAAAIdO4kAAAAAAAAAAAAAAAAAEAAAAZHJzL1BLAwQUAAAACACHTuJAUT1lkNkAAAAJ&#10;AQAADwAAAGRycy9kb3ducmV2LnhtbE2PQW/CMAyF75P2HyIj7TbSwDpBaYomtO2EJgGTpt1CY9qK&#10;xqma0MK/n3fabs9+T8+f8/XVtWLAPjSeNKhpAgKp9LahSsPn4e1xASJEQ9a0nlDDDQOsi/u73GTW&#10;j7TDYR8rwSUUMqOhjrHLpAxljc6Eqe+Q2Dv53pnIY19J25uRy10rZ0nyLJ1piC/UpsNNjeV5f3Ea&#10;3kczvszV67A9nza370P68bVVqPXDRCUrEBGv8S8Mv/iMDgUzHf2FbBCthqfFcs5RFskSBAfSdMbi&#10;yAulQBa5/P9B8QNQSwMEFAAAAAgAh07iQG7mfNWcAgAA1wUAAA4AAABkcnMvZTJvRG9jLnhtbKVU&#10;zW4TMRC+I/EOlu90kzSEssqmB9L2gqBSywO4Xu+uJa9tbCeb3HvgBmeOqC+BKngaCjwGM97NJqQg&#10;VZDDZjx//uab8UyPV7UiS+G8NDqjw4MBJUJzk0tdZvTN5emTI0p8YDpnymiR0bXw9Hj2+NG0sakY&#10;mcqoXDgCSbRPG5vRKgSbJonnlaiZPzBWaDAWxtUswNGVSe5YA9lrlYwGg0nSGJdbZ7jwHrTz1ki7&#10;jO4hCU1RSC7mhi9qoUOb1QnFApTkK2k9nUW0RSF4eF0UXgSiMgqVhviFS0C+wm8ym7K0dMxWkncQ&#10;2EMg7NVUM6nh0j7VnAVGFk7eS1VL7ow3RTjgpk7aQiIjUMVwsMfNmTMLG2sp06a0PenQqD3W/zkt&#10;f7U8d0TmGR0PKdGsho7/uL2++/COgALYaWyZgtOZsxf23HWKsj1hwavC1fgPpZBV5HXd8ypWgXBQ&#10;jgeHRxNgnINpOHrWsc4raA3GjI+ejykB23jYm0660MnhpI0bIZhke5+IzX3pA6oRZI+psTCYfsuW&#10;/z+2LipmRWyCRyI6tkY9W99ub79fv7+7+fjz6+e7L5/IOCJFEODdc+ZTD/T9gbD7xW9Y+2vpfOHD&#10;mTCRdrZsKYDJyzcSqzYSX+mNaFlANSJAkTQZxQvwXJuluDTREvZ6CIRvrUrvekV4m16DX2sFAdPH&#10;VvVXgnIXszanUinoGwa1QJ7idDDYJgW8YhBrCxPpdRnxeaNkjiEY4V159UI5smT4ouOvm4zf3Kzz&#10;Yc581fpFE7qxtBIsP9E5CWsLo65hxVGEUIucEiVgI6IUPQOT6iGesXZMvTeSm5bjKFyZfA2T08Ci&#10;gbreLpiDaxfWybKClRQfGgxxnNtunOG9RxK73YQLZfccvbb7ePY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DgUAAFtDb250ZW50X1R5cGVzXS54&#10;bWxQSwECFAAKAAAAAACHTuJAAAAAAAAAAAAAAAAABgAAAAAAAAAAABAAAADwAwAAX3JlbHMvUEsB&#10;AhQAFAAAAAgAh07iQIoUZjzRAAAAlAEAAAsAAAAAAAAAAQAgAAAAFAQAAF9yZWxzLy5yZWxzUEsB&#10;AhQACgAAAAAAh07iQAAAAAAAAAAAAAAAAAQAAAAAAAAAAAAQAAAAAAAAAGRycy9QSwECFAAUAAAA&#10;CACHTuJAUT1lkNkAAAAJAQAADwAAAAAAAAABACAAAAAiAAAAZHJzL2Rvd25yZXYueG1sUEsBAhQA&#10;FAAAAAgAh07iQG7mfNWcAgAA1wUAAA4AAAAAAAAAAQAgAAAAKAEAAGRycy9lMm9Eb2MueG1sUEsF&#10;BgAAAAAGAAYAWQEAADYGAAAAAA==&#10;">
                <o:lock v:ext="edit" aspectratio="f"/>
                <v:shape id="任意多边形 42" o:spid="_x0000_s1026" o:spt="100" style="position:absolute;left:4894;top:410;height:2;width:636;" filled="f" stroked="t" coordsize="636,1" o:gfxdata="UEsDBAoAAAAAAIdO4kAAAAAAAAAAAAAAAAAEAAAAZHJzL1BLAwQUAAAACACHTuJA3+jum7sAAADb&#10;AAAADwAAAGRycy9kb3ducmV2LnhtbEWPQYvCMBSE74L/ITxhb5rWgyzV6EHQXcXDWv0Bj+bZFpuX&#10;msTq+uuNIHgcZuYbZra4m0Z05HxtWUE6SkAQF1bXXCo4HlbDbxA+IGtsLJOCf/KwmPd7M8y0vfGe&#10;ujyUIkLYZ6igCqHNpPRFRQb9yLbE0TtZZzBE6UqpHd4i3DRynCQTabDmuFBhS8uKinN+NQrW2Jw3&#10;3fKvo8dm9xPafOK2j4tSX4M0mYIIdA+f8Lv9qxWMU3h9iT9Azp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3+jum7sAAADb&#10;AAAADwAAAAAAAAABACAAAAAiAAAAZHJzL2Rvd25yZXYueG1sUEsBAhQAFAAAAAgAh07iQDMvBZ47&#10;AAAAOQAAABAAAAAAAAAAAQAgAAAACgEAAGRycy9zaGFwZXhtbC54bWxQSwUGAAAAAAYABgBbAQAA&#10;tAMAAAAA&#10;" path="m0,0l636,0e">
                  <v:fill on="f" focussize="0,0"/>
                  <v:stroke weight="0.5pt" color="#000000" joinstyle="round"/>
                  <v:imagedata o:title=""/>
                  <o:lock v:ext="edit" aspectratio="f"/>
                </v:shape>
              </v:group>
            </w:pict>
          </mc:Fallback>
        </mc:AlternateContent>
      </w:r>
      <w:r>
        <w:rPr>
          <w:rFonts w:hint="eastAsia" w:ascii="宋体" w:hAnsi="宋体" w:eastAsia="宋体" w:cs="宋体"/>
          <w:color w:val="auto"/>
          <w:spacing w:val="-1"/>
          <w:sz w:val="21"/>
          <w:szCs w:val="21"/>
          <w:highlight w:val="none"/>
        </w:rPr>
        <w:t>涨</w:t>
      </w:r>
      <w:r>
        <w:rPr>
          <w:rFonts w:hint="eastAsia" w:ascii="宋体" w:hAnsi="宋体" w:eastAsia="宋体" w:cs="宋体"/>
          <w:color w:val="auto"/>
          <w:spacing w:val="2"/>
          <w:sz w:val="21"/>
          <w:szCs w:val="21"/>
          <w:highlight w:val="none"/>
        </w:rPr>
        <w:t>价</w:t>
      </w:r>
      <w:r>
        <w:rPr>
          <w:rFonts w:hint="eastAsia" w:ascii="宋体" w:hAnsi="宋体" w:eastAsia="宋体" w:cs="宋体"/>
          <w:color w:val="auto"/>
          <w:spacing w:val="-1"/>
          <w:sz w:val="21"/>
          <w:szCs w:val="21"/>
          <w:highlight w:val="none"/>
        </w:rPr>
        <w:t>时</w:t>
      </w:r>
      <w:r>
        <w:rPr>
          <w:rFonts w:hint="eastAsia" w:ascii="宋体" w:hAnsi="宋体" w:eastAsia="宋体" w:cs="宋体"/>
          <w:color w:val="auto"/>
          <w:sz w:val="21"/>
          <w:szCs w:val="21"/>
          <w:highlight w:val="none"/>
        </w:rPr>
        <w:t>，</w:t>
      </w:r>
      <w:r>
        <w:rPr>
          <w:rFonts w:hint="eastAsia" w:ascii="宋体" w:hAnsi="宋体" w:eastAsia="宋体" w:cs="宋体"/>
          <w:color w:val="auto"/>
          <w:spacing w:val="-84"/>
          <w:sz w:val="21"/>
          <w:szCs w:val="21"/>
          <w:highlight w:val="none"/>
        </w:rPr>
        <w:t xml:space="preserve"> </w:t>
      </w:r>
      <w:r>
        <w:rPr>
          <w:rFonts w:hint="eastAsia" w:ascii="宋体" w:hAnsi="宋体" w:eastAsia="宋体" w:cs="宋体"/>
          <w:color w:val="auto"/>
          <w:szCs w:val="24"/>
          <w:highlight w:val="none"/>
        </w:rPr>
        <w:t>结算单价</w:t>
      </w:r>
      <w:r>
        <w:rPr>
          <w:rFonts w:hint="eastAsia" w:ascii="宋体" w:hAnsi="宋体" w:eastAsia="宋体" w:cs="宋体"/>
          <w:color w:val="auto"/>
          <w:spacing w:val="9"/>
          <w:szCs w:val="24"/>
          <w:highlight w:val="none"/>
        </w:rPr>
        <w:t>＝</w:t>
      </w:r>
      <w:r>
        <w:rPr>
          <w:rFonts w:hint="eastAsia" w:ascii="宋体" w:hAnsi="宋体" w:eastAsia="宋体" w:cs="宋体"/>
          <w:color w:val="auto"/>
          <w:spacing w:val="7"/>
          <w:sz w:val="28"/>
          <w:szCs w:val="28"/>
          <w:highlight w:val="none"/>
        </w:rPr>
        <w:t>F</w:t>
      </w:r>
      <w:r>
        <w:rPr>
          <w:rFonts w:hint="eastAsia" w:ascii="宋体" w:hAnsi="宋体" w:eastAsia="宋体" w:cs="宋体"/>
          <w:color w:val="auto"/>
          <w:spacing w:val="1"/>
          <w:szCs w:val="24"/>
          <w:highlight w:val="none"/>
        </w:rPr>
        <w:t>＋</w:t>
      </w:r>
      <w:r>
        <w:rPr>
          <w:rFonts w:hint="eastAsia" w:ascii="宋体" w:hAnsi="宋体" w:eastAsia="宋体" w:cs="宋体"/>
          <w:color w:val="auto"/>
          <w:sz w:val="28"/>
          <w:szCs w:val="28"/>
          <w:highlight w:val="none"/>
        </w:rPr>
        <w:t>F</w:t>
      </w:r>
      <w:r>
        <w:rPr>
          <w:rFonts w:hint="eastAsia" w:ascii="宋体" w:hAnsi="宋体" w:eastAsia="宋体" w:cs="宋体"/>
          <w:color w:val="auto"/>
          <w:spacing w:val="15"/>
          <w:szCs w:val="24"/>
          <w:highlight w:val="none"/>
        </w:rPr>
        <w:t xml:space="preserve"> </w:t>
      </w:r>
      <w:r>
        <w:rPr>
          <w:rFonts w:hint="eastAsia" w:ascii="宋体" w:hAnsi="宋体" w:eastAsia="宋体" w:cs="宋体"/>
          <w:color w:val="auto"/>
          <w:spacing w:val="-102"/>
          <w:szCs w:val="24"/>
          <w:highlight w:val="none"/>
        </w:rPr>
        <w:t></w:t>
      </w:r>
      <w:r>
        <w:rPr>
          <w:rFonts w:hint="eastAsia" w:ascii="宋体" w:hAnsi="宋体" w:eastAsia="宋体" w:cs="宋体"/>
          <w:color w:val="auto"/>
          <w:szCs w:val="24"/>
          <w:highlight w:val="none"/>
        </w:rPr>
        <w:t xml:space="preserve">（  </w:t>
      </w:r>
      <w:r>
        <w:rPr>
          <w:rFonts w:hint="eastAsia" w:ascii="宋体" w:hAnsi="宋体" w:eastAsia="宋体" w:cs="宋体"/>
          <w:color w:val="auto"/>
          <w:spacing w:val="-100"/>
          <w:szCs w:val="24"/>
          <w:highlight w:val="none"/>
        </w:rPr>
        <w:t xml:space="preserve"> </w:t>
      </w:r>
      <w:r>
        <w:rPr>
          <w:rFonts w:hint="eastAsia" w:ascii="宋体" w:hAnsi="宋体" w:eastAsia="宋体" w:cs="宋体"/>
          <w:color w:val="auto"/>
          <w:spacing w:val="-23"/>
          <w:position w:val="15"/>
          <w:szCs w:val="24"/>
          <w:highlight w:val="none"/>
        </w:rPr>
        <w:t>F</w:t>
      </w:r>
      <w:r>
        <w:rPr>
          <w:rFonts w:hint="eastAsia" w:ascii="宋体" w:hAnsi="宋体" w:eastAsia="宋体" w:cs="宋体"/>
          <w:color w:val="auto"/>
          <w:spacing w:val="-15"/>
          <w:position w:val="9"/>
          <w:sz w:val="14"/>
          <w:szCs w:val="14"/>
          <w:highlight w:val="none"/>
        </w:rPr>
        <w:t>2</w:t>
      </w:r>
      <w:r>
        <w:rPr>
          <w:rFonts w:hint="eastAsia" w:ascii="宋体" w:hAnsi="宋体" w:eastAsia="宋体" w:cs="宋体"/>
          <w:color w:val="auto"/>
          <w:spacing w:val="1"/>
          <w:position w:val="15"/>
          <w:szCs w:val="24"/>
          <w:highlight w:val="none"/>
        </w:rPr>
        <w:t>－</w:t>
      </w:r>
      <w:r>
        <w:rPr>
          <w:rFonts w:hint="eastAsia" w:ascii="宋体" w:hAnsi="宋体" w:eastAsia="宋体" w:cs="宋体"/>
          <w:color w:val="auto"/>
          <w:spacing w:val="-26"/>
          <w:position w:val="15"/>
          <w:szCs w:val="24"/>
          <w:highlight w:val="none"/>
        </w:rPr>
        <w:t>F</w:t>
      </w:r>
      <w:r>
        <w:rPr>
          <w:rFonts w:hint="eastAsia" w:ascii="宋体" w:hAnsi="宋体" w:eastAsia="宋体" w:cs="宋体"/>
          <w:color w:val="auto"/>
          <w:position w:val="9"/>
          <w:sz w:val="14"/>
          <w:szCs w:val="14"/>
          <w:highlight w:val="none"/>
        </w:rPr>
        <w:t>0</w:t>
      </w:r>
      <w:r>
        <w:rPr>
          <w:rFonts w:hint="eastAsia" w:ascii="宋体" w:hAnsi="宋体" w:eastAsia="宋体" w:cs="宋体"/>
          <w:color w:val="auto"/>
          <w:spacing w:val="20"/>
          <w:position w:val="9"/>
          <w:sz w:val="14"/>
          <w:szCs w:val="14"/>
          <w:highlight w:val="none"/>
        </w:rPr>
        <w:t xml:space="preserve"> </w:t>
      </w:r>
      <w:r>
        <w:rPr>
          <w:rFonts w:hint="eastAsia" w:ascii="宋体" w:hAnsi="宋体" w:eastAsia="宋体" w:cs="宋体"/>
          <w:color w:val="auto"/>
          <w:spacing w:val="8"/>
          <w:szCs w:val="24"/>
          <w:highlight w:val="none"/>
        </w:rPr>
        <w:t></w:t>
      </w:r>
      <w:r>
        <w:rPr>
          <w:rFonts w:hint="eastAsia" w:ascii="宋体" w:hAnsi="宋体" w:eastAsia="宋体" w:cs="宋体"/>
          <w:color w:val="auto"/>
          <w:spacing w:val="8"/>
          <w:szCs w:val="24"/>
          <w:highlight w:val="none"/>
          <w:lang w:val="en-US" w:eastAsia="zh-CN"/>
        </w:rPr>
        <w:t>x</w:t>
      </w:r>
      <w:r>
        <w:rPr>
          <w:rFonts w:hint="eastAsia" w:ascii="宋体" w:hAnsi="宋体" w:eastAsia="宋体" w:cs="宋体"/>
          <w:color w:val="auto"/>
          <w:szCs w:val="24"/>
          <w:highlight w:val="none"/>
        </w:rPr>
        <w:t>10</w:t>
      </w:r>
      <w:r>
        <w:rPr>
          <w:rFonts w:hint="eastAsia" w:ascii="宋体" w:hAnsi="宋体" w:eastAsia="宋体" w:cs="宋体"/>
          <w:color w:val="auto"/>
          <w:spacing w:val="2"/>
          <w:szCs w:val="24"/>
          <w:highlight w:val="none"/>
        </w:rPr>
        <w:t>0</w:t>
      </w:r>
      <w:r>
        <w:rPr>
          <w:rFonts w:hint="eastAsia" w:ascii="宋体" w:hAnsi="宋体" w:eastAsia="宋体" w:cs="宋体"/>
          <w:color w:val="auto"/>
          <w:spacing w:val="-20"/>
          <w:szCs w:val="24"/>
          <w:highlight w:val="none"/>
        </w:rPr>
        <w:t>%</w:t>
      </w:r>
      <w:r>
        <w:rPr>
          <w:rFonts w:hint="eastAsia" w:ascii="宋体" w:hAnsi="宋体" w:eastAsia="宋体" w:cs="宋体"/>
          <w:color w:val="auto"/>
          <w:spacing w:val="1"/>
          <w:szCs w:val="24"/>
          <w:highlight w:val="none"/>
        </w:rPr>
        <w:t>－</w:t>
      </w:r>
      <w:r>
        <w:rPr>
          <w:rFonts w:hint="eastAsia" w:ascii="宋体" w:hAnsi="宋体" w:eastAsia="宋体" w:cs="宋体"/>
          <w:color w:val="auto"/>
          <w:spacing w:val="-5"/>
          <w:szCs w:val="24"/>
          <w:highlight w:val="none"/>
        </w:rPr>
        <w:t>B</w:t>
      </w:r>
      <w:r>
        <w:rPr>
          <w:rFonts w:hint="eastAsia" w:ascii="宋体" w:hAnsi="宋体" w:eastAsia="宋体" w:cs="宋体"/>
          <w:color w:val="auto"/>
          <w:szCs w:val="24"/>
          <w:highlight w:val="none"/>
        </w:rPr>
        <w:t>）</w:t>
      </w:r>
    </w:p>
    <w:p w14:paraId="456E3453">
      <w:pPr>
        <w:pStyle w:val="11"/>
        <w:tabs>
          <w:tab w:val="left" w:pos="2817"/>
        </w:tabs>
        <w:spacing w:after="0" w:line="200" w:lineRule="exact"/>
        <w:ind w:left="2426"/>
        <w:jc w:val="left"/>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mc:AlternateContent>
          <mc:Choice Requires="wps">
            <w:drawing>
              <wp:anchor distT="0" distB="0" distL="114300" distR="114300" simplePos="0" relativeHeight="251675648" behindDoc="0" locked="0" layoutInCell="1" allowOverlap="1">
                <wp:simplePos x="0" y="0"/>
                <wp:positionH relativeFrom="page">
                  <wp:posOffset>3246755</wp:posOffset>
                </wp:positionH>
                <wp:positionV relativeFrom="paragraph">
                  <wp:posOffset>29845</wp:posOffset>
                </wp:positionV>
                <wp:extent cx="220980" cy="24638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220980" cy="246380"/>
                        </a:xfrm>
                        <a:prstGeom prst="rect">
                          <a:avLst/>
                        </a:prstGeom>
                        <a:noFill/>
                        <a:ln>
                          <a:noFill/>
                        </a:ln>
                        <a:effectLst/>
                      </wps:spPr>
                      <wps:txbx>
                        <w:txbxContent>
                          <w:p w14:paraId="206D93FF">
                            <w:r>
                              <w:rPr>
                                <w:rFonts w:ascii="Times New Roman" w:eastAsia="Times New Roman"/>
                                <w:spacing w:val="-26"/>
                                <w:position w:val="15"/>
                                <w:szCs w:val="24"/>
                              </w:rPr>
                              <w:t>F</w:t>
                            </w:r>
                            <w:r>
                              <w:rPr>
                                <w:rFonts w:ascii="Times New Roman" w:eastAsia="Times New Roman"/>
                                <w:position w:val="9"/>
                                <w:sz w:val="14"/>
                                <w:szCs w:val="14"/>
                              </w:rPr>
                              <w:t>0</w:t>
                            </w:r>
                            <w:r>
                              <w:rPr>
                                <w:rFonts w:ascii="Times New Roman" w:eastAsia="Times New Roman"/>
                                <w:spacing w:val="20"/>
                                <w:position w:val="9"/>
                                <w:sz w:val="14"/>
                                <w:szCs w:val="14"/>
                              </w:rPr>
                              <w:t xml:space="preserve"> </w:t>
                            </w:r>
                          </w:p>
                        </w:txbxContent>
                      </wps:txbx>
                      <wps:bodyPr wrap="square" lIns="0" tIns="0" rIns="0" bIns="0" upright="1"/>
                    </wps:wsp>
                  </a:graphicData>
                </a:graphic>
              </wp:anchor>
            </w:drawing>
          </mc:Choice>
          <mc:Fallback>
            <w:pict>
              <v:shape id="_x0000_s1026" o:spid="_x0000_s1026" o:spt="202" type="#_x0000_t202" style="position:absolute;left:0pt;margin-left:255.65pt;margin-top:2.35pt;height:19.4pt;width:17.4pt;mso-position-horizontal-relative:page;z-index:251675648;mso-width-relative:page;mso-height-relative:page;" filled="f" stroked="f" coordsize="21600,21600" o:gfxdata="UEsDBAoAAAAAAIdO4kAAAAAAAAAAAAAAAAAEAAAAZHJzL1BLAwQUAAAACACHTuJAVbHiCdcAAAAI&#10;AQAADwAAAGRycy9kb3ducmV2LnhtbE2PzU7DMBCE70i8g7VI3Kht2gQIcSqE4ISEmoYDRyfeJlbj&#10;dYjdH94ec4LjaEYz35TrsxvZEedgPSmQCwEMqfPGUq/go3m9uQcWoiajR0+o4BsDrKvLi1IXxp+o&#10;xuM29iyVUCi0giHGqeA8dAM6HRZ+Qkrezs9OxyTnnptZn1K5G/mtEDl32lJaGPSEzwN2++3BKXj6&#10;pPrFfr23m3pX26Z5EPSW75W6vpLiEVjEc/wLwy9+QocqMbX+QCawUUEm5TJFFazugCU/W+USWJv0&#10;MgNelfz/geoHUEsDBBQAAAAIAIdO4kAbqaZByAEAAI8DAAAOAAAAZHJzL2Uyb0RvYy54bWytU0tu&#10;2zAQ3RfIHQjuaylKEaSC5QCBkaBA0RZIewCaGlkE+OuQtuQLJDfoqpvuey6fo0N93DTdZJEN9ThD&#10;Ps57M1pe90azPWBQzlb8fJFzBla6Wtltxb99vX17xVmIwtZCOwsVP0Dg16uzN8vOl1C41ukakBGJ&#10;DWXnK97G6MssC7IFI8LCebCUbBwaEWmL26xG0RG70VmR55dZ57D26CSEQNH1mOQTI76E0DWNkrB2&#10;cmfAxpEVQYtIkkKrfOCrodqmARk/N02AyHTFSWkcVnqE8Cat2Wopyi0K3yo5lSBeUsIzTUYoS4+e&#10;qNYiCrZD9R+VURJdcE1cSGeyUcjgCKk4z595c98KD4MWsjr4k+nh9Wjlp/0XZKqueHHBmRWGOn78&#10;8Xj8+fv464FRjAzqfCjp3L2nk7G/cT2NzRwPFEy6+wZN+pIiRnmy93CyF/rIJAWLIn9/RRlJqeLd&#10;5QVhYs/+XvYY4h04wxKoOFL3BlPF/mOI49H5SHrLulul9dBBbf8JEOcYgWEEpttJx1hvQrHf9JO4&#10;jasPpK2jMah4+L4TCJzpD5Z8TjMzA5zBZgY7j2rbUqmDH1mipT4NmqaZSoPwdE/46X+0+g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VseIJ1wAAAAgBAAAPAAAAAAAAAAEAIAAAACIAAABkcnMvZG93&#10;bnJldi54bWxQSwECFAAUAAAACACHTuJAG6mmQcgBAACPAwAADgAAAAAAAAABACAAAAAmAQAAZHJz&#10;L2Uyb0RvYy54bWxQSwUGAAAAAAYABgBZAQAAYAUAAAAA&#10;">
                <v:fill on="f" focussize="0,0"/>
                <v:stroke on="f"/>
                <v:imagedata o:title=""/>
                <o:lock v:ext="edit" aspectratio="f"/>
                <v:textbox inset="0mm,0mm,0mm,0mm">
                  <w:txbxContent>
                    <w:p w14:paraId="206D93FF">
                      <w:r>
                        <w:rPr>
                          <w:rFonts w:ascii="Times New Roman" w:eastAsia="Times New Roman"/>
                          <w:spacing w:val="-26"/>
                          <w:position w:val="15"/>
                          <w:szCs w:val="24"/>
                        </w:rPr>
                        <w:t>F</w:t>
                      </w:r>
                      <w:r>
                        <w:rPr>
                          <w:rFonts w:ascii="Times New Roman" w:eastAsia="Times New Roman"/>
                          <w:position w:val="9"/>
                          <w:sz w:val="14"/>
                          <w:szCs w:val="14"/>
                        </w:rPr>
                        <w:t>0</w:t>
                      </w:r>
                      <w:r>
                        <w:rPr>
                          <w:rFonts w:ascii="Times New Roman" w:eastAsia="Times New Roman"/>
                          <w:spacing w:val="20"/>
                          <w:position w:val="9"/>
                          <w:sz w:val="14"/>
                          <w:szCs w:val="14"/>
                        </w:rPr>
                        <w:t xml:space="preserve"> </w:t>
                      </w:r>
                    </w:p>
                  </w:txbxContent>
                </v:textbox>
              </v:shape>
            </w:pict>
          </mc:Fallback>
        </mc:AlternateContent>
      </w:r>
      <w:r>
        <w:rPr>
          <w:rFonts w:hint="eastAsia" w:ascii="宋体" w:hAnsi="宋体" w:eastAsia="宋体" w:cs="宋体"/>
          <w:color w:val="auto"/>
          <w:sz w:val="15"/>
          <w:szCs w:val="15"/>
          <w:highlight w:val="none"/>
        </w:rPr>
        <w:t>1</w:t>
      </w:r>
      <w:r>
        <w:rPr>
          <w:rFonts w:hint="eastAsia" w:ascii="宋体" w:hAnsi="宋体" w:eastAsia="宋体" w:cs="宋体"/>
          <w:color w:val="auto"/>
          <w:sz w:val="15"/>
          <w:szCs w:val="15"/>
          <w:highlight w:val="none"/>
        </w:rPr>
        <w:tab/>
      </w:r>
      <w:r>
        <w:rPr>
          <w:rFonts w:hint="eastAsia" w:ascii="宋体" w:hAnsi="宋体" w:eastAsia="宋体" w:cs="宋体"/>
          <w:color w:val="auto"/>
          <w:sz w:val="15"/>
          <w:szCs w:val="15"/>
          <w:highlight w:val="none"/>
        </w:rPr>
        <w:t>0</w:t>
      </w:r>
    </w:p>
    <w:p w14:paraId="5F906F7C">
      <w:pPr>
        <w:pStyle w:val="11"/>
        <w:spacing w:after="0" w:line="240" w:lineRule="exact"/>
        <w:ind w:left="3454" w:right="4848"/>
        <w:jc w:val="center"/>
        <w:rPr>
          <w:rFonts w:hint="eastAsia" w:ascii="宋体" w:hAnsi="宋体" w:eastAsia="宋体" w:cs="宋体"/>
          <w:color w:val="auto"/>
          <w:sz w:val="15"/>
          <w:szCs w:val="15"/>
          <w:highlight w:val="none"/>
        </w:rPr>
      </w:pPr>
    </w:p>
    <w:p w14:paraId="538C9BB6">
      <w:pPr>
        <w:spacing w:before="4" w:line="170" w:lineRule="exact"/>
        <w:rPr>
          <w:rFonts w:hint="eastAsia" w:ascii="宋体" w:hAnsi="宋体" w:eastAsia="宋体" w:cs="宋体"/>
          <w:color w:val="auto"/>
          <w:sz w:val="17"/>
          <w:szCs w:val="17"/>
          <w:highlight w:val="none"/>
        </w:rPr>
      </w:pPr>
    </w:p>
    <w:p w14:paraId="2B55985B">
      <w:pPr>
        <w:spacing w:line="404" w:lineRule="exact"/>
        <w:ind w:left="328"/>
        <w:jc w:val="left"/>
        <w:rPr>
          <w:rFonts w:hint="eastAsia" w:ascii="宋体" w:hAnsi="宋体" w:eastAsia="宋体" w:cs="宋体"/>
          <w:color w:val="auto"/>
          <w:szCs w:val="24"/>
          <w:highlight w:val="none"/>
        </w:rPr>
      </w:pPr>
      <w:r>
        <w:rPr>
          <w:rFonts w:hint="eastAsia" w:ascii="宋体" w:hAnsi="宋体" w:eastAsia="宋体" w:cs="宋体"/>
          <w:color w:val="auto"/>
          <w:highlight w:val="none"/>
        </w:rPr>
        <mc:AlternateContent>
          <mc:Choice Requires="wpg">
            <w:drawing>
              <wp:anchor distT="0" distB="0" distL="114300" distR="114300" simplePos="0" relativeHeight="251676672" behindDoc="0" locked="0" layoutInCell="1" allowOverlap="1">
                <wp:simplePos x="0" y="0"/>
                <wp:positionH relativeFrom="page">
                  <wp:posOffset>3048635</wp:posOffset>
                </wp:positionH>
                <wp:positionV relativeFrom="paragraph">
                  <wp:posOffset>222250</wp:posOffset>
                </wp:positionV>
                <wp:extent cx="388620" cy="1270"/>
                <wp:effectExtent l="0" t="0" r="0" b="0"/>
                <wp:wrapNone/>
                <wp:docPr id="42" name="组合 42"/>
                <wp:cNvGraphicFramePr/>
                <a:graphic xmlns:a="http://schemas.openxmlformats.org/drawingml/2006/main">
                  <a:graphicData uri="http://schemas.microsoft.com/office/word/2010/wordprocessingGroup">
                    <wpg:wgp>
                      <wpg:cNvGrpSpPr/>
                      <wpg:grpSpPr>
                        <a:xfrm>
                          <a:off x="0" y="0"/>
                          <a:ext cx="388620" cy="1270"/>
                          <a:chOff x="4937" y="395"/>
                          <a:chExt cx="612" cy="2"/>
                        </a:xfrm>
                        <a:effectLst/>
                      </wpg:grpSpPr>
                      <wps:wsp>
                        <wps:cNvPr id="24" name="任意多边形 45"/>
                        <wps:cNvSpPr/>
                        <wps:spPr>
                          <a:xfrm>
                            <a:off x="4937" y="395"/>
                            <a:ext cx="612" cy="2"/>
                          </a:xfrm>
                          <a:custGeom>
                            <a:avLst/>
                            <a:gdLst/>
                            <a:ahLst/>
                            <a:cxnLst/>
                            <a:pathLst>
                              <a:path w="612">
                                <a:moveTo>
                                  <a:pt x="0" y="0"/>
                                </a:moveTo>
                                <a:lnTo>
                                  <a:pt x="612" y="0"/>
                                </a:lnTo>
                              </a:path>
                            </a:pathLst>
                          </a:custGeom>
                          <a:noFill/>
                          <a:ln w="6350" cap="flat" cmpd="sng">
                            <a:solidFill>
                              <a:srgbClr val="000000"/>
                            </a:solidFill>
                            <a:prstDash val="solid"/>
                            <a:headEnd type="none" w="med" len="med"/>
                            <a:tailEnd type="none" w="med" len="med"/>
                          </a:ln>
                          <a:effectLst/>
                        </wps:spPr>
                        <wps:bodyPr wrap="square" upright="1"/>
                      </wps:wsp>
                    </wpg:wgp>
                  </a:graphicData>
                </a:graphic>
              </wp:anchor>
            </w:drawing>
          </mc:Choice>
          <mc:Fallback>
            <w:pict>
              <v:group id="_x0000_s1026" o:spid="_x0000_s1026" o:spt="203" style="position:absolute;left:0pt;margin-left:240.05pt;margin-top:17.5pt;height:0.1pt;width:30.6pt;mso-position-horizontal-relative:page;z-index:251676672;mso-width-relative:page;mso-height-relative:page;" coordorigin="4937,395" coordsize="612,2" o:gfxdata="UEsDBAoAAAAAAIdO4kAAAAAAAAAAAAAAAAAEAAAAZHJzL1BLAwQUAAAACACHTuJA6jhxnNkAAAAJ&#10;AQAADwAAAGRycy9kb3ducmV2LnhtbE2PwWrDMAyG74O9g9Fgt9Vx04ySxSmjbDuVwdrB2M2N1SQ0&#10;lkPsJu3bTz2tR0kfv76/WJ1dJ0YcQutJg5olIJAqb1uqNXzv3p+WIEI0ZE3nCTVcMMCqvL8rTG79&#10;RF84bmMtOIRCbjQ0Mfa5lKFq0Jkw8z0S3w5+cCbyONTSDmbicNfJeZI8S2da4g+N6XHdYHXcnpyG&#10;j8lMr6l6GzfHw/ryu8s+fzYKtX58UMkLiIjn+A/DVZ/VoWSnvT+RDaLTsFgmilENacadGMgWKgWx&#10;vy7mIMtC3jYo/wBQSwMEFAAAAAgAh07iQK19r0CkAgAA1wUAAA4AAABkcnMvZTJvRG9jLnhtbKVU&#10;zW4TMRC+I/EOlu9089c2XXXTA2lzQVCp5QFcr3fXkv+wnWxy74EbnDkiXgJF8DQEeAzG3t2kpCBF&#10;kMNm1jOe+b5vZuf8YikFWjDruFYZ7h/1MGKK6pyrMsOvb6+ejTFynqicCK1YhlfM4YvJ0yfntUnZ&#10;QFda5MwiSKJcWpsMV96bNEkcrZgk7kgbpsBZaCuJh1dbJrklNWSXIhn0eidJrW1urKbMOTidNk7c&#10;ZrSHJNRFwSmbajqXTPkmq2WCeKDkKm4cnkS0RcGof1UUjnkkMgxMfXxCEbDvwjOZnJO0tMRUnLYQ&#10;yCEQ9jhJwhUU3aaaEk/Q3PJHqSSnVjtd+COqZdIQiYoAi35vT5uZ1XMTuZRpXZqt6NCoPdX/OS19&#10;ubi2iOcZHg0wUkRCx3+s7zfv3yI4AHVqU6YQNLPmxlzb9qBs3gLhZWFl+AcqaBl1XW11ZUuPKBwO&#10;x+OTAShOwdUfnLaq0wpaE+6MzoanGIFveHbcNIRWl+3Vkz7ACvcimGRXj8XmvnAeICUB5BZTbWAw&#10;3U4t939q3VTEsNgEF4Ro1RqMOrW+rdff799tPn34+fXz5stHNIocAgiI3mrmUgfy/UGwx+Q71f5K&#10;nc6dnzEdZSeLRgKYvLyzSNVZdKk60xAfjgOCYKI6w6FAeJd6wW519Pi9HoLgO69QD6MivK7XENd4&#10;wQjpoSeNEUuC/RCz0ldcCOhbuBSBDI/DdBDYJgV8xWBKAxPpVBnxOS14Hq6EG86Wd8+FRQsSvuj4&#10;CzMDJX4LM9b5KXFVExddzWhVjOSXKkd+ZWDUFaw4HCBIlmMkGGzEYEVsnnBxSCSUFipA2xvJruVh&#10;FO50voLJqWHRAK83c2Kh7NxYXlawkvqRQTu37TjD9x5ZtbspLJSH7zFqt48nv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WBQAAW0NvbnRlbnRf&#10;VHlwZXNdLnhtbFBLAQIUAAoAAAAAAIdO4kAAAAAAAAAAAAAAAAAGAAAAAAAAAAAAEAAAAPgDAABf&#10;cmVscy9QSwECFAAUAAAACACHTuJAihRmPNEAAACUAQAACwAAAAAAAAABACAAAAAcBAAAX3JlbHMv&#10;LnJlbHNQSwECFAAKAAAAAACHTuJAAAAAAAAAAAAAAAAABAAAAAAAAAAAABAAAAAAAAAAZHJzL1BL&#10;AQIUABQAAAAIAIdO4kDqOHGc2QAAAAkBAAAPAAAAAAAAAAEAIAAAACIAAABkcnMvZG93bnJldi54&#10;bWxQSwECFAAUAAAACACHTuJArX2vQKQCAADXBQAADgAAAAAAAAABACAAAAAoAQAAZHJzL2Uyb0Rv&#10;Yy54bWxQSwUGAAAAAAYABgBZAQAAPgYAAAAA&#10;">
                <o:lock v:ext="edit" aspectratio="f"/>
                <v:shape id="任意多边形 45" o:spid="_x0000_s1026" o:spt="100" style="position:absolute;left:4937;top:395;height:2;width:612;" filled="f" stroked="t" coordsize="612,1" o:gfxdata="UEsDBAoAAAAAAIdO4kAAAAAAAAAAAAAAAAAEAAAAZHJzL1BLAwQUAAAACACHTuJA9kZMb78AAADb&#10;AAAADwAAAGRycy9kb3ducmV2LnhtbEWPX0vDQBDE34V+h2MLvtlLqkhJey1V8M+LUttS6NuS2+ZC&#10;c7shdybVT+8Jgo/DzPyGWawuvlE9daEWNpBPMlDEpdiaKwP73dPNDFSIyBYbYTLwRQFWy9HVAgsr&#10;A39Qv42VShAOBRpwMbaF1qF05DFMpCVO3kk6jzHJrtK2wyHBfaOnWXavPdacFhy29OioPG8/vYG3&#10;29l3/v7wMqzdc31s+43IIRdjrsd5NgcV6RL/w3/tV2tgege/X9IP0Ms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ZGTG+/&#10;AAAA2wAAAA8AAAAAAAAAAQAgAAAAIgAAAGRycy9kb3ducmV2LnhtbFBLAQIUABQAAAAIAIdO4kAz&#10;LwWeOwAAADkAAAAQAAAAAAAAAAEAIAAAAA4BAABkcnMvc2hhcGV4bWwueG1sUEsFBgAAAAAGAAYA&#10;WwEAALgDAAAAAA==&#10;" path="m0,0l612,0e">
                  <v:fill on="f" focussize="0,0"/>
                  <v:stroke weight="0.5pt" color="#000000" joinstyle="round"/>
                  <v:imagedata o:title=""/>
                  <o:lock v:ext="edit" aspectratio="f"/>
                </v:shape>
              </v:group>
            </w:pict>
          </mc:Fallback>
        </mc:AlternateContent>
      </w:r>
      <w:r>
        <w:rPr>
          <w:rFonts w:hint="eastAsia" w:ascii="宋体" w:hAnsi="宋体" w:eastAsia="宋体" w:cs="宋体"/>
          <w:color w:val="auto"/>
          <w:spacing w:val="-1"/>
          <w:sz w:val="21"/>
          <w:szCs w:val="21"/>
          <w:highlight w:val="none"/>
        </w:rPr>
        <w:t>跌</w:t>
      </w:r>
      <w:r>
        <w:rPr>
          <w:rFonts w:hint="eastAsia" w:ascii="宋体" w:hAnsi="宋体" w:eastAsia="宋体" w:cs="宋体"/>
          <w:color w:val="auto"/>
          <w:spacing w:val="2"/>
          <w:sz w:val="21"/>
          <w:szCs w:val="21"/>
          <w:highlight w:val="none"/>
        </w:rPr>
        <w:t>价</w:t>
      </w:r>
      <w:r>
        <w:rPr>
          <w:rFonts w:hint="eastAsia" w:ascii="宋体" w:hAnsi="宋体" w:eastAsia="宋体" w:cs="宋体"/>
          <w:color w:val="auto"/>
          <w:spacing w:val="-1"/>
          <w:sz w:val="21"/>
          <w:szCs w:val="21"/>
          <w:highlight w:val="none"/>
        </w:rPr>
        <w:t>时</w:t>
      </w:r>
      <w:r>
        <w:rPr>
          <w:rFonts w:hint="eastAsia" w:ascii="宋体" w:hAnsi="宋体" w:eastAsia="宋体" w:cs="宋体"/>
          <w:color w:val="auto"/>
          <w:sz w:val="21"/>
          <w:szCs w:val="21"/>
          <w:highlight w:val="none"/>
        </w:rPr>
        <w:t>，</w:t>
      </w:r>
      <w:r>
        <w:rPr>
          <w:rFonts w:hint="eastAsia" w:ascii="宋体" w:hAnsi="宋体" w:eastAsia="宋体" w:cs="宋体"/>
          <w:color w:val="auto"/>
          <w:spacing w:val="-83"/>
          <w:sz w:val="21"/>
          <w:szCs w:val="21"/>
          <w:highlight w:val="none"/>
        </w:rPr>
        <w:t xml:space="preserve"> </w:t>
      </w:r>
      <w:r>
        <w:rPr>
          <w:rFonts w:hint="eastAsia" w:ascii="宋体" w:hAnsi="宋体" w:eastAsia="宋体" w:cs="宋体"/>
          <w:color w:val="auto"/>
          <w:szCs w:val="24"/>
          <w:highlight w:val="none"/>
        </w:rPr>
        <w:t>结算单价</w:t>
      </w:r>
      <w:r>
        <w:rPr>
          <w:rFonts w:hint="eastAsia" w:ascii="宋体" w:hAnsi="宋体" w:eastAsia="宋体" w:cs="宋体"/>
          <w:color w:val="auto"/>
          <w:spacing w:val="9"/>
          <w:szCs w:val="24"/>
          <w:highlight w:val="none"/>
        </w:rPr>
        <w:t>＝</w:t>
      </w:r>
      <w:r>
        <w:rPr>
          <w:rFonts w:hint="eastAsia" w:ascii="宋体" w:hAnsi="宋体" w:eastAsia="宋体" w:cs="宋体"/>
          <w:color w:val="auto"/>
          <w:spacing w:val="7"/>
          <w:sz w:val="30"/>
          <w:szCs w:val="30"/>
          <w:highlight w:val="none"/>
        </w:rPr>
        <w:t>F</w:t>
      </w:r>
      <w:r>
        <w:rPr>
          <w:rFonts w:hint="eastAsia" w:ascii="宋体" w:hAnsi="宋体" w:eastAsia="宋体" w:cs="宋体"/>
          <w:color w:val="auto"/>
          <w:spacing w:val="1"/>
          <w:szCs w:val="24"/>
          <w:highlight w:val="none"/>
        </w:rPr>
        <w:t>＋</w:t>
      </w:r>
      <w:r>
        <w:rPr>
          <w:rFonts w:hint="eastAsia" w:ascii="宋体" w:hAnsi="宋体" w:eastAsia="宋体" w:cs="宋体"/>
          <w:color w:val="auto"/>
          <w:sz w:val="32"/>
          <w:szCs w:val="32"/>
          <w:highlight w:val="none"/>
        </w:rPr>
        <w:t>F</w:t>
      </w:r>
      <w:r>
        <w:rPr>
          <w:rFonts w:hint="eastAsia" w:ascii="宋体" w:hAnsi="宋体" w:eastAsia="宋体" w:cs="宋体"/>
          <w:color w:val="auto"/>
          <w:spacing w:val="-6"/>
          <w:szCs w:val="24"/>
          <w:highlight w:val="none"/>
        </w:rPr>
        <w:t xml:space="preserve"> </w:t>
      </w:r>
      <w:r>
        <w:rPr>
          <w:rFonts w:hint="eastAsia" w:ascii="宋体" w:hAnsi="宋体" w:eastAsia="宋体" w:cs="宋体"/>
          <w:color w:val="auto"/>
          <w:spacing w:val="-102"/>
          <w:szCs w:val="24"/>
          <w:highlight w:val="none"/>
        </w:rPr>
        <w:t></w:t>
      </w:r>
      <w:r>
        <w:rPr>
          <w:rFonts w:hint="eastAsia" w:ascii="宋体" w:hAnsi="宋体" w:eastAsia="宋体" w:cs="宋体"/>
          <w:color w:val="auto"/>
          <w:szCs w:val="24"/>
          <w:highlight w:val="none"/>
        </w:rPr>
        <w:t xml:space="preserve">（  </w:t>
      </w:r>
      <w:r>
        <w:rPr>
          <w:rFonts w:hint="eastAsia" w:ascii="宋体" w:hAnsi="宋体" w:eastAsia="宋体" w:cs="宋体"/>
          <w:color w:val="auto"/>
          <w:spacing w:val="-101"/>
          <w:szCs w:val="24"/>
          <w:highlight w:val="none"/>
        </w:rPr>
        <w:t xml:space="preserve"> </w:t>
      </w:r>
      <w:r>
        <w:rPr>
          <w:rFonts w:hint="eastAsia" w:ascii="宋体" w:hAnsi="宋体" w:eastAsia="宋体" w:cs="宋体"/>
          <w:color w:val="auto"/>
          <w:spacing w:val="-23"/>
          <w:position w:val="15"/>
          <w:szCs w:val="24"/>
          <w:highlight w:val="none"/>
        </w:rPr>
        <w:t>F</w:t>
      </w:r>
      <w:r>
        <w:rPr>
          <w:rFonts w:hint="eastAsia" w:ascii="宋体" w:hAnsi="宋体" w:eastAsia="宋体" w:cs="宋体"/>
          <w:color w:val="auto"/>
          <w:spacing w:val="-15"/>
          <w:position w:val="9"/>
          <w:sz w:val="14"/>
          <w:szCs w:val="14"/>
          <w:highlight w:val="none"/>
        </w:rPr>
        <w:t>2</w:t>
      </w:r>
      <w:r>
        <w:rPr>
          <w:rFonts w:hint="eastAsia" w:ascii="宋体" w:hAnsi="宋体" w:eastAsia="宋体" w:cs="宋体"/>
          <w:color w:val="auto"/>
          <w:spacing w:val="1"/>
          <w:position w:val="15"/>
          <w:szCs w:val="24"/>
          <w:highlight w:val="none"/>
        </w:rPr>
        <w:t>－</w:t>
      </w:r>
      <w:r>
        <w:rPr>
          <w:rFonts w:hint="eastAsia" w:ascii="宋体" w:hAnsi="宋体" w:eastAsia="宋体" w:cs="宋体"/>
          <w:color w:val="auto"/>
          <w:spacing w:val="-39"/>
          <w:position w:val="15"/>
          <w:szCs w:val="24"/>
          <w:highlight w:val="none"/>
        </w:rPr>
        <w:t>F</w:t>
      </w:r>
      <w:r>
        <w:rPr>
          <w:rFonts w:hint="eastAsia" w:ascii="宋体" w:hAnsi="宋体" w:eastAsia="宋体" w:cs="宋体"/>
          <w:color w:val="auto"/>
          <w:position w:val="9"/>
          <w:sz w:val="14"/>
          <w:szCs w:val="14"/>
          <w:highlight w:val="none"/>
        </w:rPr>
        <w:t>1</w:t>
      </w:r>
      <w:r>
        <w:rPr>
          <w:rFonts w:hint="eastAsia" w:ascii="宋体" w:hAnsi="宋体" w:eastAsia="宋体" w:cs="宋体"/>
          <w:color w:val="auto"/>
          <w:spacing w:val="10"/>
          <w:position w:val="9"/>
          <w:sz w:val="14"/>
          <w:szCs w:val="14"/>
          <w:highlight w:val="none"/>
        </w:rPr>
        <w:t xml:space="preserve"> </w:t>
      </w:r>
      <w:r>
        <w:rPr>
          <w:rFonts w:hint="eastAsia" w:ascii="宋体" w:hAnsi="宋体" w:eastAsia="宋体" w:cs="宋体"/>
          <w:color w:val="auto"/>
          <w:spacing w:val="8"/>
          <w:szCs w:val="24"/>
          <w:highlight w:val="none"/>
        </w:rPr>
        <w:t></w:t>
      </w:r>
      <w:r>
        <w:rPr>
          <w:rFonts w:hint="eastAsia" w:ascii="宋体" w:hAnsi="宋体" w:eastAsia="宋体" w:cs="宋体"/>
          <w:color w:val="auto"/>
          <w:spacing w:val="8"/>
          <w:szCs w:val="24"/>
          <w:highlight w:val="none"/>
          <w:lang w:val="en-US" w:eastAsia="zh-CN"/>
        </w:rPr>
        <w:t>x</w:t>
      </w:r>
      <w:r>
        <w:rPr>
          <w:rFonts w:hint="eastAsia" w:ascii="宋体" w:hAnsi="宋体" w:eastAsia="宋体" w:cs="宋体"/>
          <w:color w:val="auto"/>
          <w:szCs w:val="24"/>
          <w:highlight w:val="none"/>
        </w:rPr>
        <w:t>10</w:t>
      </w:r>
      <w:r>
        <w:rPr>
          <w:rFonts w:hint="eastAsia" w:ascii="宋体" w:hAnsi="宋体" w:eastAsia="宋体" w:cs="宋体"/>
          <w:color w:val="auto"/>
          <w:spacing w:val="2"/>
          <w:szCs w:val="24"/>
          <w:highlight w:val="none"/>
        </w:rPr>
        <w:t>0</w:t>
      </w:r>
      <w:r>
        <w:rPr>
          <w:rFonts w:hint="eastAsia" w:ascii="宋体" w:hAnsi="宋体" w:eastAsia="宋体" w:cs="宋体"/>
          <w:color w:val="auto"/>
          <w:spacing w:val="-20"/>
          <w:szCs w:val="24"/>
          <w:highlight w:val="none"/>
        </w:rPr>
        <w:t>%</w:t>
      </w:r>
      <w:r>
        <w:rPr>
          <w:rFonts w:hint="eastAsia" w:ascii="宋体" w:hAnsi="宋体" w:eastAsia="宋体" w:cs="宋体"/>
          <w:color w:val="auto"/>
          <w:spacing w:val="1"/>
          <w:szCs w:val="24"/>
          <w:highlight w:val="none"/>
        </w:rPr>
        <w:t>＋</w:t>
      </w:r>
      <w:r>
        <w:rPr>
          <w:rFonts w:hint="eastAsia" w:ascii="宋体" w:hAnsi="宋体" w:eastAsia="宋体" w:cs="宋体"/>
          <w:color w:val="auto"/>
          <w:spacing w:val="-5"/>
          <w:szCs w:val="24"/>
          <w:highlight w:val="none"/>
        </w:rPr>
        <w:t>B</w:t>
      </w:r>
      <w:r>
        <w:rPr>
          <w:rFonts w:hint="eastAsia" w:ascii="宋体" w:hAnsi="宋体" w:eastAsia="宋体" w:cs="宋体"/>
          <w:color w:val="auto"/>
          <w:szCs w:val="24"/>
          <w:highlight w:val="none"/>
        </w:rPr>
        <w:t>）</w:t>
      </w:r>
    </w:p>
    <w:p w14:paraId="59B7EC88">
      <w:pPr>
        <w:pStyle w:val="11"/>
        <w:tabs>
          <w:tab w:val="left" w:pos="2870"/>
        </w:tabs>
        <w:spacing w:line="142" w:lineRule="exact"/>
        <w:ind w:left="2490"/>
        <w:jc w:val="left"/>
        <w:rPr>
          <w:rFonts w:hint="eastAsia" w:ascii="宋体" w:hAnsi="宋体" w:eastAsia="宋体" w:cs="宋体"/>
          <w:color w:val="auto"/>
          <w:highlight w:val="none"/>
        </w:rPr>
      </w:pPr>
      <w:r>
        <w:rPr>
          <w:rFonts w:hint="eastAsia" w:ascii="宋体" w:hAnsi="宋体" w:eastAsia="宋体" w:cs="宋体"/>
          <w:color w:val="auto"/>
          <w:sz w:val="14"/>
          <w:szCs w:val="14"/>
          <w:highlight w:val="none"/>
        </w:rPr>
        <mc:AlternateContent>
          <mc:Choice Requires="wps">
            <w:drawing>
              <wp:anchor distT="0" distB="0" distL="114300" distR="114300" simplePos="0" relativeHeight="251677696" behindDoc="0" locked="0" layoutInCell="1" allowOverlap="1">
                <wp:simplePos x="0" y="0"/>
                <wp:positionH relativeFrom="page">
                  <wp:posOffset>3274060</wp:posOffset>
                </wp:positionH>
                <wp:positionV relativeFrom="paragraph">
                  <wp:posOffset>29845</wp:posOffset>
                </wp:positionV>
                <wp:extent cx="231140" cy="198755"/>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231140" cy="198755"/>
                        </a:xfrm>
                        <a:prstGeom prst="rect">
                          <a:avLst/>
                        </a:prstGeom>
                        <a:noFill/>
                        <a:ln>
                          <a:noFill/>
                        </a:ln>
                        <a:effectLst/>
                      </wps:spPr>
                      <wps:txbx>
                        <w:txbxContent>
                          <w:p w14:paraId="65AC1867">
                            <w:r>
                              <w:rPr>
                                <w:rFonts w:ascii="Times New Roman" w:eastAsia="Times New Roman"/>
                                <w:spacing w:val="-39"/>
                                <w:position w:val="15"/>
                                <w:szCs w:val="24"/>
                              </w:rPr>
                              <w:t>F</w:t>
                            </w:r>
                            <w:r>
                              <w:rPr>
                                <w:rFonts w:ascii="Times New Roman" w:eastAsia="Times New Roman"/>
                                <w:position w:val="9"/>
                                <w:sz w:val="14"/>
                                <w:szCs w:val="14"/>
                              </w:rPr>
                              <w:t>1</w:t>
                            </w:r>
                          </w:p>
                        </w:txbxContent>
                      </wps:txbx>
                      <wps:bodyPr wrap="square" lIns="0" tIns="0" rIns="0" bIns="0" upright="1"/>
                    </wps:wsp>
                  </a:graphicData>
                </a:graphic>
              </wp:anchor>
            </w:drawing>
          </mc:Choice>
          <mc:Fallback>
            <w:pict>
              <v:shape id="_x0000_s1026" o:spid="_x0000_s1026" o:spt="202" type="#_x0000_t202" style="position:absolute;left:0pt;margin-left:257.8pt;margin-top:2.35pt;height:15.65pt;width:18.2pt;mso-position-horizontal-relative:page;z-index:251677696;mso-width-relative:page;mso-height-relative:page;" filled="f" stroked="f" coordsize="21600,21600" o:gfxdata="UEsDBAoAAAAAAIdO4kAAAAAAAAAAAAAAAAAEAAAAZHJzL1BLAwQUAAAACACHTuJAZ5bUVtcAAAAI&#10;AQAADwAAAGRycy9kb3ducmV2LnhtbE2PzU7DMBCE70i8g7VI3KidQkIJ2VQIwQkJkYZDj07sJlHj&#10;dYjdH96e5QTH0YxmvinWZzeKo53D4AkhWSgQllpvBuoQPuvXmxWIEDUZPXqyCN82wLq8vCh0bvyJ&#10;KnvcxE5wCYVcI/QxTrmUoe2t02HhJ0vs7fzsdGQ5d9LM+sTlbpRLpTLp9EC80OvJPve23W8ODuFp&#10;S9XL8PXefFS7aqjrB0Vv2R7x+ipRjyCiPce/MPziMzqUzNT4A5kgRoQ0STOOItzdg2A/TZf8rUG4&#10;zRTIspD/D5Q/UEsDBBQAAAAIAIdO4kD4rfATygEAAI8DAAAOAAAAZHJzL2Uyb0RvYy54bWytU0tu&#10;2zAQ3RfoHQjua1lukiaC5QCFkaJA0RZIcwCaGlkE+AuHtuQLtDfoqpvuey6fo0N9nE83WXRDDWeG&#10;b+a9GS2vO6PZHgIqZ0uez+acgZWuUnZb8rtvN28uOcMobCW0s1DyAyC/Xr1+tWx9AQvXOF1BYARi&#10;sWh9yZsYfZFlKBswAmfOg6Vg7YIRka5hm1VBtIRudLaYzy+y1oXKBycBkbzrIchHxPASQFfXSsLa&#10;yZ0BGwfUAFpEooSN8shXfbd1DTJ+qWuEyHTJiWnsTypC9iad2Wopim0QvlFybEG8pIVnnIxQloqe&#10;oNYiCrYL6h8oo2Rw6Oo4k85kA5FeEWKRz59pc9sIDz0Xkhr9SXT8f7Dy8/5rYKoq+eKCMysMTfz4&#10;88fx15/j7++MfCRQ67GgvFtPmbF77zpam8mP5Ey8uzqY9CVGjOIk7+EkL3SRSXIu3ub5GUUkhfKr&#10;y3fn5wkle3jsA8YP4AxLRskDTa8XVew/YRxSp5RUy7obpXU/QW2fOAhz8EC/AuPrxGPoN1mx23Qj&#10;uY2rDsStpTUoOd7vRADO9EdLOqedmYwwGZvJ2Pmgtg212uuRJViaU89p3Km0CI/vZD/+j1Z/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GeW1FbXAAAACAEAAA8AAAAAAAAAAQAgAAAAIgAAAGRycy9k&#10;b3ducmV2LnhtbFBLAQIUABQAAAAIAIdO4kD4rfATygEAAI8DAAAOAAAAAAAAAAEAIAAAACYBAABk&#10;cnMvZTJvRG9jLnhtbFBLBQYAAAAABgAGAFkBAABiBQAAAAA=&#10;">
                <v:fill on="f" focussize="0,0"/>
                <v:stroke on="f"/>
                <v:imagedata o:title=""/>
                <o:lock v:ext="edit" aspectratio="f"/>
                <v:textbox inset="0mm,0mm,0mm,0mm">
                  <w:txbxContent>
                    <w:p w14:paraId="65AC1867">
                      <w:r>
                        <w:rPr>
                          <w:rFonts w:ascii="Times New Roman" w:eastAsia="Times New Roman"/>
                          <w:spacing w:val="-39"/>
                          <w:position w:val="15"/>
                          <w:szCs w:val="24"/>
                        </w:rPr>
                        <w:t>F</w:t>
                      </w:r>
                      <w:r>
                        <w:rPr>
                          <w:rFonts w:ascii="Times New Roman" w:eastAsia="Times New Roman"/>
                          <w:position w:val="9"/>
                          <w:sz w:val="14"/>
                          <w:szCs w:val="14"/>
                        </w:rPr>
                        <w:t>1</w:t>
                      </w:r>
                    </w:p>
                  </w:txbxContent>
                </v:textbox>
              </v:shape>
            </w:pict>
          </mc:Fallback>
        </mc:AlternateContent>
      </w:r>
      <w:r>
        <w:rPr>
          <w:rFonts w:hint="eastAsia" w:ascii="宋体" w:hAnsi="宋体" w:eastAsia="宋体" w:cs="宋体"/>
          <w:color w:val="auto"/>
          <w:sz w:val="14"/>
          <w:szCs w:val="14"/>
          <w:highlight w:val="none"/>
        </w:rPr>
        <w:t>1</w:t>
      </w:r>
      <w:r>
        <w:rPr>
          <w:rFonts w:hint="eastAsia" w:ascii="宋体" w:hAnsi="宋体" w:eastAsia="宋体" w:cs="宋体"/>
          <w:color w:val="auto"/>
          <w:sz w:val="14"/>
          <w:szCs w:val="14"/>
          <w:highlight w:val="none"/>
        </w:rPr>
        <w:tab/>
      </w:r>
      <w:r>
        <w:rPr>
          <w:rFonts w:hint="eastAsia" w:ascii="宋体" w:hAnsi="宋体" w:eastAsia="宋体" w:cs="宋体"/>
          <w:color w:val="auto"/>
          <w:sz w:val="14"/>
          <w:szCs w:val="14"/>
          <w:highlight w:val="none"/>
        </w:rPr>
        <w:t xml:space="preserve"> 1</w:t>
      </w:r>
    </w:p>
    <w:p w14:paraId="34675FDF">
      <w:pPr>
        <w:wordWrap w:val="0"/>
        <w:adjustRightInd w:val="0"/>
        <w:snapToGrid w:val="0"/>
        <w:spacing w:line="440" w:lineRule="exact"/>
        <w:ind w:firstLine="482" w:firstLineChars="200"/>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b</w:t>
      </w:r>
      <w:r>
        <w:rPr>
          <w:rFonts w:hint="eastAsia" w:ascii="宋体" w:hAnsi="宋体" w:eastAsia="宋体" w:cs="宋体"/>
          <w:snapToGrid w:val="0"/>
          <w:color w:val="auto"/>
          <w:kern w:val="0"/>
          <w:szCs w:val="24"/>
          <w:highlight w:val="none"/>
        </w:rPr>
        <w:t>．如果中标单价高于基准单价，该施工机具台班的结算单价调整公式为：</w:t>
      </w:r>
    </w:p>
    <w:p w14:paraId="587FCCFA">
      <w:pPr>
        <w:spacing w:line="404" w:lineRule="exact"/>
        <w:ind w:left="120" w:firstLine="240" w:firstLineChars="100"/>
        <w:jc w:val="left"/>
        <w:rPr>
          <w:rFonts w:hint="eastAsia" w:ascii="宋体" w:hAnsi="宋体" w:eastAsia="宋体" w:cs="宋体"/>
          <w:color w:val="auto"/>
          <w:szCs w:val="24"/>
          <w:highlight w:val="none"/>
        </w:rPr>
      </w:pPr>
      <w:r>
        <w:rPr>
          <w:rFonts w:hint="eastAsia" w:ascii="宋体" w:hAnsi="宋体" w:eastAsia="宋体" w:cs="宋体"/>
          <w:color w:val="auto"/>
          <w:highlight w:val="none"/>
        </w:rPr>
        <mc:AlternateContent>
          <mc:Choice Requires="wpg">
            <w:drawing>
              <wp:anchor distT="0" distB="0" distL="114300" distR="114300" simplePos="0" relativeHeight="251684864" behindDoc="0" locked="0" layoutInCell="1" allowOverlap="1">
                <wp:simplePos x="0" y="0"/>
                <wp:positionH relativeFrom="page">
                  <wp:posOffset>2962910</wp:posOffset>
                </wp:positionH>
                <wp:positionV relativeFrom="paragraph">
                  <wp:posOffset>234315</wp:posOffset>
                </wp:positionV>
                <wp:extent cx="388620" cy="1270"/>
                <wp:effectExtent l="0" t="0" r="0" b="0"/>
                <wp:wrapNone/>
                <wp:docPr id="5" name="组合 5"/>
                <wp:cNvGraphicFramePr/>
                <a:graphic xmlns:a="http://schemas.openxmlformats.org/drawingml/2006/main">
                  <a:graphicData uri="http://schemas.microsoft.com/office/word/2010/wordprocessingGroup">
                    <wpg:wgp>
                      <wpg:cNvGrpSpPr/>
                      <wpg:grpSpPr>
                        <a:xfrm>
                          <a:off x="0" y="0"/>
                          <a:ext cx="388620" cy="1270"/>
                          <a:chOff x="4937" y="395"/>
                          <a:chExt cx="612" cy="2"/>
                        </a:xfrm>
                        <a:effectLst/>
                      </wpg:grpSpPr>
                      <wps:wsp>
                        <wps:cNvPr id="8" name="任意多边形 45"/>
                        <wps:cNvSpPr/>
                        <wps:spPr>
                          <a:xfrm>
                            <a:off x="4937" y="395"/>
                            <a:ext cx="612" cy="2"/>
                          </a:xfrm>
                          <a:custGeom>
                            <a:avLst/>
                            <a:gdLst/>
                            <a:ahLst/>
                            <a:cxnLst/>
                            <a:pathLst>
                              <a:path w="612">
                                <a:moveTo>
                                  <a:pt x="0" y="0"/>
                                </a:moveTo>
                                <a:lnTo>
                                  <a:pt x="612" y="0"/>
                                </a:lnTo>
                              </a:path>
                            </a:pathLst>
                          </a:custGeom>
                          <a:noFill/>
                          <a:ln w="6350" cap="flat" cmpd="sng">
                            <a:solidFill>
                              <a:srgbClr val="000000"/>
                            </a:solidFill>
                            <a:prstDash val="solid"/>
                            <a:headEnd type="none" w="med" len="med"/>
                            <a:tailEnd type="none" w="med" len="med"/>
                          </a:ln>
                          <a:effectLst/>
                        </wps:spPr>
                        <wps:bodyPr wrap="square" upright="1"/>
                      </wps:wsp>
                    </wpg:wgp>
                  </a:graphicData>
                </a:graphic>
              </wp:anchor>
            </w:drawing>
          </mc:Choice>
          <mc:Fallback>
            <w:pict>
              <v:group id="_x0000_s1026" o:spid="_x0000_s1026" o:spt="203" style="position:absolute;left:0pt;margin-left:233.3pt;margin-top:18.45pt;height:0.1pt;width:30.6pt;mso-position-horizontal-relative:page;z-index:251684864;mso-width-relative:page;mso-height-relative:page;" coordorigin="4937,395" coordsize="612,2" o:gfxdata="UEsDBAoAAAAAAIdO4kAAAAAAAAAAAAAAAAAEAAAAZHJzL1BLAwQUAAAACACHTuJAv2y3ldoAAAAJ&#10;AQAADwAAAGRycy9kb3ducmV2LnhtbE2PwU7DMAyG70i8Q2QkbizNxrpRmk5oAk4TEhvSxM1rvLZa&#10;k1RN1m5vjznB0fan39+fry62FQP1ofFOg5okIMiV3jSu0vC1e3tYgggRncHWO9JwpQCr4vYmx8z4&#10;0X3SsI2V4BAXMtRQx9hlUoayJoth4jtyfDv63mLksa+k6XHkcNvKaZKk0mLj+EONHa1rKk/bs9Xw&#10;PuL4MlOvw+Z0XF+/d/OP/UaR1vd3KnkGEekS/2D41Wd1KNjp4M/OBNFqeEzTlFENs/QJBAPz6YK7&#10;HHixUCCLXP5vUPwAUEsDBBQAAAAIAIdO4kDpMWI5mwIAANQFAAAOAAAAZHJzL2Uyb0RvYy54bWyl&#10;VM1uEzEQviPxDpbvdPPT31U3PZC2FwSVWh7A9Xp3LfkP28km9x64wZkj4iVQBU9DgcdgxrtJSgpS&#10;BTlsxp7f75vxHJ8stCJz4YO0pqDDnQElwnBbSlMX9PXV2bNDSkJkpmTKGlHQpQj0ZPL0yXHrcjGy&#10;jVWl8ASCmJC3rqBNjC7PssAboVnYsU4YUFbWaxbh6Ous9KyF6Fplo8FgP2utL523XIQAt9NOSfuI&#10;/jEBbVVJLqaWz7QwsYvqhWIRIIVGukAnqdqqEjy+qqogIlEFBaQxfSEJyNf4zSbHLK89c43kfQns&#10;MSVsYdJMGki6DjVlkZGZlw9Cacm9DbaKO9zqrAOSGAEUw8EWN+fezlzCUudt7dakQ6O2WP/nsPzl&#10;/MITWRZ0jxLDNDT8x+3N3fu3ZA+5aV2dg8m5d5fuwvcXdXdCuIvKa/wHIGSRWF2uWRWLSDhcjg8P&#10;90fANwfVcHTQc84baAz67B6NDygB3fgopWQ5b0571/3hqPMbYTHZJp9IrX0RIl5jkeuaWgdjGTZc&#10;hf/j6rJhTqQWBCSi5wqeSMfVt9vb7zfv7j59+Pn1892Xj2S3Zy0ZrykLeQD2/sDXQ+wr0v6KnM9C&#10;PBc2sc7mHQMwduVKYs1K4guzEh2LeI0VoEjagmICPGs7F1c2aeJWC4HvjVaZ+1apvFWrwa7TgoDh&#10;U6fWKeHyfs3GnkmloG3olAoZ7+FwMFglFTxhELWDcQymTvUFq2SJLugRfH39XHkyZ/ic068fjN/M&#10;nA9xykLT2SUVmrG8Eaw8NSWJSweDbmC/USxBi5ISJWAdopQsI5PqMZYJO4bemshVy3Ecr225hMFp&#10;YcsArjcz5iHtzHlZN7CPhglBP7b9NMNjTyT2iwm3yf1zstos48k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DgUAAFtDb250ZW50X1R5cGVzXS54&#10;bWxQSwECFAAKAAAAAACHTuJAAAAAAAAAAAAAAAAABgAAAAAAAAAAABAAAADwAwAAX3JlbHMvUEsB&#10;AhQAFAAAAAgAh07iQIoUZjzRAAAAlAEAAAsAAAAAAAAAAQAgAAAAFAQAAF9yZWxzLy5yZWxzUEsB&#10;AhQACgAAAAAAh07iQAAAAAAAAAAAAAAAAAQAAAAAAAAAAAAQAAAAAAAAAGRycy9QSwECFAAUAAAA&#10;CACHTuJAv2y3ldoAAAAJAQAADwAAAAAAAAABACAAAAAiAAAAZHJzL2Rvd25yZXYueG1sUEsBAhQA&#10;FAAAAAgAh07iQOkxYjmbAgAA1AUAAA4AAAAAAAAAAQAgAAAAKQEAAGRycy9lMm9Eb2MueG1sUEsF&#10;BgAAAAAGAAYAWQEAADYGAAAAAA==&#10;">
                <o:lock v:ext="edit" aspectratio="f"/>
                <v:shape id="任意多边形 45" o:spid="_x0000_s1026" o:spt="100" style="position:absolute;left:4937;top:395;height:2;width:612;" filled="f" stroked="t" coordsize="612,1" o:gfxdata="UEsDBAoAAAAAAIdO4kAAAAAAAAAAAAAAAAAEAAAAZHJzL1BLAwQUAAAACACHTuJAY/6zlbsAAADa&#10;AAAADwAAAGRycy9kb3ducmV2LnhtbEVPTWvCQBC9F/wPyxR6q5soiERXaQVrL0pri9DbkJ1mQ7Mz&#10;IbtN1F/vHgo9Pt73cn32jeqpC7WwgXycgSIuxdZcGfj82D7OQYWIbLERJgMXCrBeje6WWFgZ+J36&#10;Y6xUCuFQoAEXY1toHUpHHsNYWuLEfUvnMSbYVdp2OKRw3+hJls20x5pTg8OWNo7Kn+OvN7Cfzq/5&#10;4Xk3PLmX+qvt30ROuRjzcJ9nC1CRzvFf/Od+tQbS1nQl3QC9u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6zlbsAAADa&#10;AAAADwAAAAAAAAABACAAAAAiAAAAZHJzL2Rvd25yZXYueG1sUEsBAhQAFAAAAAgAh07iQDMvBZ47&#10;AAAAOQAAABAAAAAAAAAAAQAgAAAACgEAAGRycy9zaGFwZXhtbC54bWxQSwUGAAAAAAYABgBbAQAA&#10;tAMAAAAA&#10;" path="m0,0l612,0e">
                  <v:fill on="f" focussize="0,0"/>
                  <v:stroke weight="0.5pt" color="#000000" joinstyle="round"/>
                  <v:imagedata o:title=""/>
                  <o:lock v:ext="edit" aspectratio="f"/>
                </v:shape>
              </v:group>
            </w:pict>
          </mc:Fallback>
        </mc:AlternateContent>
      </w:r>
      <w:r>
        <w:rPr>
          <w:rFonts w:hint="eastAsia" w:ascii="宋体" w:hAnsi="宋体" w:eastAsia="宋体" w:cs="宋体"/>
          <w:color w:val="auto"/>
          <w:spacing w:val="-1"/>
          <w:sz w:val="21"/>
          <w:szCs w:val="21"/>
          <w:highlight w:val="none"/>
        </w:rPr>
        <w:t>涨</w:t>
      </w:r>
      <w:r>
        <w:rPr>
          <w:rFonts w:hint="eastAsia" w:ascii="宋体" w:hAnsi="宋体" w:eastAsia="宋体" w:cs="宋体"/>
          <w:color w:val="auto"/>
          <w:spacing w:val="2"/>
          <w:sz w:val="21"/>
          <w:szCs w:val="21"/>
          <w:highlight w:val="none"/>
        </w:rPr>
        <w:t>价</w:t>
      </w:r>
      <w:r>
        <w:rPr>
          <w:rFonts w:hint="eastAsia" w:ascii="宋体" w:hAnsi="宋体" w:eastAsia="宋体" w:cs="宋体"/>
          <w:color w:val="auto"/>
          <w:spacing w:val="-1"/>
          <w:sz w:val="21"/>
          <w:szCs w:val="21"/>
          <w:highlight w:val="none"/>
        </w:rPr>
        <w:t>时</w:t>
      </w:r>
      <w:r>
        <w:rPr>
          <w:rFonts w:hint="eastAsia" w:ascii="宋体" w:hAnsi="宋体" w:eastAsia="宋体" w:cs="宋体"/>
          <w:color w:val="auto"/>
          <w:sz w:val="21"/>
          <w:szCs w:val="21"/>
          <w:highlight w:val="none"/>
        </w:rPr>
        <w:t>，</w:t>
      </w:r>
      <w:r>
        <w:rPr>
          <w:rFonts w:hint="eastAsia" w:ascii="宋体" w:hAnsi="宋体" w:eastAsia="宋体" w:cs="宋体"/>
          <w:color w:val="auto"/>
          <w:spacing w:val="-85"/>
          <w:sz w:val="21"/>
          <w:szCs w:val="21"/>
          <w:highlight w:val="none"/>
        </w:rPr>
        <w:t xml:space="preserve"> </w:t>
      </w:r>
      <w:r>
        <w:rPr>
          <w:rFonts w:hint="eastAsia" w:ascii="宋体" w:hAnsi="宋体" w:eastAsia="宋体" w:cs="宋体"/>
          <w:color w:val="auto"/>
          <w:szCs w:val="24"/>
          <w:highlight w:val="none"/>
        </w:rPr>
        <w:t>结算单价</w:t>
      </w:r>
      <w:r>
        <w:rPr>
          <w:rFonts w:hint="eastAsia" w:ascii="宋体" w:hAnsi="宋体" w:eastAsia="宋体" w:cs="宋体"/>
          <w:color w:val="auto"/>
          <w:spacing w:val="9"/>
          <w:szCs w:val="24"/>
          <w:highlight w:val="none"/>
        </w:rPr>
        <w:t>＝</w:t>
      </w:r>
      <w:r>
        <w:rPr>
          <w:rFonts w:hint="eastAsia" w:ascii="宋体" w:hAnsi="宋体" w:eastAsia="宋体" w:cs="宋体"/>
          <w:color w:val="auto"/>
          <w:spacing w:val="7"/>
          <w:sz w:val="32"/>
          <w:szCs w:val="32"/>
          <w:highlight w:val="none"/>
        </w:rPr>
        <w:t>F</w:t>
      </w:r>
      <w:r>
        <w:rPr>
          <w:rFonts w:hint="eastAsia" w:ascii="宋体" w:hAnsi="宋体" w:eastAsia="宋体" w:cs="宋体"/>
          <w:color w:val="auto"/>
          <w:spacing w:val="1"/>
          <w:szCs w:val="24"/>
          <w:highlight w:val="none"/>
        </w:rPr>
        <w:t>＋</w:t>
      </w:r>
      <w:r>
        <w:rPr>
          <w:rFonts w:hint="eastAsia" w:ascii="宋体" w:hAnsi="宋体" w:eastAsia="宋体" w:cs="宋体"/>
          <w:color w:val="auto"/>
          <w:sz w:val="32"/>
          <w:szCs w:val="32"/>
          <w:highlight w:val="none"/>
        </w:rPr>
        <w:t>F</w:t>
      </w:r>
      <w:r>
        <w:rPr>
          <w:rFonts w:hint="eastAsia" w:ascii="宋体" w:hAnsi="宋体" w:eastAsia="宋体" w:cs="宋体"/>
          <w:color w:val="auto"/>
          <w:spacing w:val="-7"/>
          <w:szCs w:val="24"/>
          <w:highlight w:val="none"/>
        </w:rPr>
        <w:t xml:space="preserve"> </w:t>
      </w:r>
      <w:r>
        <w:rPr>
          <w:rFonts w:hint="eastAsia" w:ascii="宋体" w:hAnsi="宋体" w:eastAsia="宋体" w:cs="宋体"/>
          <w:color w:val="auto"/>
          <w:spacing w:val="-102"/>
          <w:szCs w:val="24"/>
          <w:highlight w:val="none"/>
        </w:rPr>
        <w:t></w:t>
      </w:r>
      <w:r>
        <w:rPr>
          <w:rFonts w:hint="eastAsia" w:ascii="宋体" w:hAnsi="宋体" w:eastAsia="宋体" w:cs="宋体"/>
          <w:color w:val="auto"/>
          <w:szCs w:val="24"/>
          <w:highlight w:val="none"/>
        </w:rPr>
        <w:t xml:space="preserve">（ </w:t>
      </w:r>
      <w:r>
        <w:rPr>
          <w:rFonts w:hint="eastAsia" w:ascii="宋体" w:hAnsi="宋体" w:eastAsia="宋体" w:cs="宋体"/>
          <w:color w:val="auto"/>
          <w:spacing w:val="-23"/>
          <w:position w:val="15"/>
          <w:szCs w:val="24"/>
          <w:highlight w:val="none"/>
        </w:rPr>
        <w:t>F</w:t>
      </w:r>
      <w:r>
        <w:rPr>
          <w:rFonts w:hint="eastAsia" w:ascii="宋体" w:hAnsi="宋体" w:eastAsia="宋体" w:cs="宋体"/>
          <w:color w:val="auto"/>
          <w:spacing w:val="-15"/>
          <w:position w:val="9"/>
          <w:sz w:val="14"/>
          <w:szCs w:val="14"/>
          <w:highlight w:val="none"/>
        </w:rPr>
        <w:t>2</w:t>
      </w:r>
      <w:r>
        <w:rPr>
          <w:rFonts w:hint="eastAsia" w:ascii="宋体" w:hAnsi="宋体" w:eastAsia="宋体" w:cs="宋体"/>
          <w:color w:val="auto"/>
          <w:spacing w:val="1"/>
          <w:position w:val="15"/>
          <w:szCs w:val="24"/>
          <w:highlight w:val="none"/>
        </w:rPr>
        <w:t>－</w:t>
      </w:r>
      <w:r>
        <w:rPr>
          <w:rFonts w:hint="eastAsia" w:ascii="宋体" w:hAnsi="宋体" w:eastAsia="宋体" w:cs="宋体"/>
          <w:color w:val="auto"/>
          <w:spacing w:val="-39"/>
          <w:position w:val="15"/>
          <w:szCs w:val="24"/>
          <w:highlight w:val="none"/>
        </w:rPr>
        <w:t>F</w:t>
      </w:r>
      <w:r>
        <w:rPr>
          <w:rFonts w:hint="eastAsia" w:ascii="宋体" w:hAnsi="宋体" w:eastAsia="宋体" w:cs="宋体"/>
          <w:color w:val="auto"/>
          <w:position w:val="9"/>
          <w:sz w:val="14"/>
          <w:szCs w:val="14"/>
          <w:highlight w:val="none"/>
        </w:rPr>
        <w:t>1</w:t>
      </w:r>
      <w:r>
        <w:rPr>
          <w:rFonts w:hint="eastAsia" w:ascii="宋体" w:hAnsi="宋体" w:eastAsia="宋体" w:cs="宋体"/>
          <w:color w:val="auto"/>
          <w:spacing w:val="10"/>
          <w:position w:val="9"/>
          <w:sz w:val="14"/>
          <w:szCs w:val="14"/>
          <w:highlight w:val="none"/>
        </w:rPr>
        <w:t xml:space="preserve"> </w:t>
      </w:r>
      <w:r>
        <w:rPr>
          <w:rFonts w:hint="eastAsia" w:ascii="宋体" w:hAnsi="宋体" w:eastAsia="宋体" w:cs="宋体"/>
          <w:color w:val="auto"/>
          <w:spacing w:val="8"/>
          <w:szCs w:val="24"/>
          <w:highlight w:val="none"/>
        </w:rPr>
        <w:t></w:t>
      </w:r>
      <w:r>
        <w:rPr>
          <w:rFonts w:hint="eastAsia" w:ascii="宋体" w:hAnsi="宋体" w:eastAsia="宋体" w:cs="宋体"/>
          <w:color w:val="auto"/>
          <w:spacing w:val="8"/>
          <w:szCs w:val="24"/>
          <w:highlight w:val="none"/>
          <w:lang w:val="en-US" w:eastAsia="zh-CN"/>
        </w:rPr>
        <w:t>x</w:t>
      </w:r>
      <w:r>
        <w:rPr>
          <w:rFonts w:hint="eastAsia" w:ascii="宋体" w:hAnsi="宋体" w:eastAsia="宋体" w:cs="宋体"/>
          <w:color w:val="auto"/>
          <w:szCs w:val="24"/>
          <w:highlight w:val="none"/>
        </w:rPr>
        <w:t>10</w:t>
      </w:r>
      <w:r>
        <w:rPr>
          <w:rFonts w:hint="eastAsia" w:ascii="宋体" w:hAnsi="宋体" w:eastAsia="宋体" w:cs="宋体"/>
          <w:color w:val="auto"/>
          <w:spacing w:val="2"/>
          <w:szCs w:val="24"/>
          <w:highlight w:val="none"/>
        </w:rPr>
        <w:t>0</w:t>
      </w:r>
      <w:r>
        <w:rPr>
          <w:rFonts w:hint="eastAsia" w:ascii="宋体" w:hAnsi="宋体" w:eastAsia="宋体" w:cs="宋体"/>
          <w:color w:val="auto"/>
          <w:spacing w:val="-20"/>
          <w:szCs w:val="24"/>
          <w:highlight w:val="none"/>
        </w:rPr>
        <w:t>%</w:t>
      </w:r>
      <w:r>
        <w:rPr>
          <w:rFonts w:hint="eastAsia" w:ascii="宋体" w:hAnsi="宋体" w:eastAsia="宋体" w:cs="宋体"/>
          <w:color w:val="auto"/>
          <w:spacing w:val="1"/>
          <w:szCs w:val="24"/>
          <w:highlight w:val="none"/>
        </w:rPr>
        <w:t>－</w:t>
      </w:r>
      <w:r>
        <w:rPr>
          <w:rFonts w:hint="eastAsia" w:ascii="宋体" w:hAnsi="宋体" w:eastAsia="宋体" w:cs="宋体"/>
          <w:color w:val="auto"/>
          <w:spacing w:val="-5"/>
          <w:szCs w:val="24"/>
          <w:highlight w:val="none"/>
        </w:rPr>
        <w:t>B</w:t>
      </w:r>
      <w:r>
        <w:rPr>
          <w:rFonts w:hint="eastAsia" w:ascii="宋体" w:hAnsi="宋体" w:eastAsia="宋体" w:cs="宋体"/>
          <w:color w:val="auto"/>
          <w:szCs w:val="24"/>
          <w:highlight w:val="none"/>
        </w:rPr>
        <w:t>）</w:t>
      </w:r>
    </w:p>
    <w:p w14:paraId="761074CB">
      <w:pPr>
        <w:pStyle w:val="11"/>
        <w:tabs>
          <w:tab w:val="left" w:pos="2815"/>
        </w:tabs>
        <w:spacing w:line="142" w:lineRule="exact"/>
        <w:ind w:firstLine="2520" w:firstLineChars="1800"/>
        <w:jc w:val="left"/>
        <w:rPr>
          <w:rFonts w:hint="eastAsia" w:ascii="宋体" w:hAnsi="宋体" w:eastAsia="宋体" w:cs="宋体"/>
          <w:color w:val="auto"/>
          <w:sz w:val="14"/>
          <w:szCs w:val="14"/>
          <w:highlight w:val="none"/>
        </w:rPr>
      </w:pPr>
      <w:r>
        <w:rPr>
          <w:rFonts w:hint="eastAsia" w:ascii="宋体" w:hAnsi="宋体" w:eastAsia="宋体" w:cs="宋体"/>
          <w:color w:val="auto"/>
          <w:sz w:val="14"/>
          <w:szCs w:val="14"/>
          <w:highlight w:val="none"/>
        </w:rPr>
        <mc:AlternateContent>
          <mc:Choice Requires="wps">
            <w:drawing>
              <wp:anchor distT="0" distB="0" distL="114300" distR="114300" simplePos="0" relativeHeight="251678720" behindDoc="0" locked="0" layoutInCell="1" allowOverlap="1">
                <wp:simplePos x="0" y="0"/>
                <wp:positionH relativeFrom="page">
                  <wp:posOffset>3239135</wp:posOffset>
                </wp:positionH>
                <wp:positionV relativeFrom="paragraph">
                  <wp:posOffset>29845</wp:posOffset>
                </wp:positionV>
                <wp:extent cx="288290" cy="25527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288290" cy="255270"/>
                        </a:xfrm>
                        <a:prstGeom prst="rect">
                          <a:avLst/>
                        </a:prstGeom>
                        <a:noFill/>
                        <a:ln>
                          <a:noFill/>
                        </a:ln>
                        <a:effectLst/>
                      </wps:spPr>
                      <wps:txbx>
                        <w:txbxContent>
                          <w:p w14:paraId="65A89792">
                            <w:r>
                              <w:rPr>
                                <w:rFonts w:ascii="Times New Roman" w:eastAsia="Times New Roman"/>
                                <w:spacing w:val="-39"/>
                                <w:position w:val="15"/>
                                <w:szCs w:val="24"/>
                              </w:rPr>
                              <w:t>F</w:t>
                            </w:r>
                            <w:r>
                              <w:rPr>
                                <w:rFonts w:ascii="Times New Roman" w:eastAsia="Times New Roman"/>
                                <w:position w:val="9"/>
                                <w:sz w:val="14"/>
                                <w:szCs w:val="14"/>
                              </w:rPr>
                              <w:t>1</w:t>
                            </w:r>
                          </w:p>
                          <w:p w14:paraId="1977BB49"/>
                        </w:txbxContent>
                      </wps:txbx>
                      <wps:bodyPr wrap="square" lIns="0" tIns="0" rIns="0" bIns="0" upright="1"/>
                    </wps:wsp>
                  </a:graphicData>
                </a:graphic>
              </wp:anchor>
            </w:drawing>
          </mc:Choice>
          <mc:Fallback>
            <w:pict>
              <v:shape id="_x0000_s1026" o:spid="_x0000_s1026" o:spt="202" type="#_x0000_t202" style="position:absolute;left:0pt;margin-left:255.05pt;margin-top:2.35pt;height:20.1pt;width:22.7pt;mso-position-horizontal-relative:page;z-index:251678720;mso-width-relative:page;mso-height-relative:page;" filled="f" stroked="f" coordsize="21600,21600" o:gfxdata="UEsDBAoAAAAAAIdO4kAAAAAAAAAAAAAAAAAEAAAAZHJzL1BLAwQUAAAACACHTuJAc2f4rNYAAAAI&#10;AQAADwAAAGRycy9kb3ducmV2LnhtbE2PzU7DMBCE70i8g7VI3Kgd1BaaxqkQghMSIg2HHp14m1iN&#10;1yF2f3h7lhPsbTSj2W+KzcUP4oRTdIE0ZDMFAqkN1lGn4bN+vXsEEZMha4ZAqOEbI2zK66vC5Dac&#10;qcLTNnWCSyjmRkOf0phLGdsevYmzMCKxtw+TN4nl1Ek7mTOX+0HeK7WU3jjiD70Z8bnH9rA9eg1P&#10;O6pe3Nd781HtK1fXK0Vvy4PWtzeZWoNIeEl/YfjFZ3QomakJR7JRDBoWmco4qmH+AIL9BR+IhvV8&#10;BbIs5P8B5Q9QSwMEFAAAAAgAh07iQAeSs0vJAQAAjwMAAA4AAABkcnMvZTJvRG9jLnhtbK1TzY7T&#10;MBC+I/EOlu803UjLlqjpSqhahIQAaeEBXGfSWPIfY7dJXwDegBMX7jxXn4Oxk5RlueyBizOeGX8z&#10;3zeT9e1gNDsCBuVsza8WS87AStcou6/55093L1achShsI7SzUPMTBH67ef5s3fsKStc53QAyArGh&#10;6n3Nuxh9VRRBdmBEWDgPloKtQyMiXXFfNCh6Qje6KJfLl0XvsPHoJIRA3u0Y5BMiPgXQta2SsHXy&#10;YMDGERVBi0iUQqd84JvcbduCjB/aNkBkuubENOaTipC9S2exWYtqj8J3Sk4tiKe08IiTEcpS0QvU&#10;VkTBDqj+gTJKoguujQvpTDESyYoQi6vlI23uO+EhcyGpg7+IHv4frHx//IhMNTUvbzizwtDEz9+/&#10;nX/8Ov/8yshHAvU+VJR37ykzDq/dQGsz+wM5E++hRZO+xIhRnOQ9XeSFITJJznK1Kl9RRFKovL4u&#10;b7L8xZ/HHkN8A86wZNQcaXpZVHF8FyI1QqlzSqpl3Z3SOk9Q278clDh6IK/A9DrxGPtNVhx2w0Ru&#10;55oTcetpDWoevhwEAmf6rSWd087MBs7GbjYOHtW+o1azHkWCpTnlRqedSovw8E72w/9o8x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zZ/is1gAAAAgBAAAPAAAAAAAAAAEAIAAAACIAAABkcnMvZG93&#10;bnJldi54bWxQSwECFAAUAAAACACHTuJAB5KzS8kBAACPAwAADgAAAAAAAAABACAAAAAlAQAAZHJz&#10;L2Uyb0RvYy54bWxQSwUGAAAAAAYABgBZAQAAYAUAAAAA&#10;">
                <v:fill on="f" focussize="0,0"/>
                <v:stroke on="f"/>
                <v:imagedata o:title=""/>
                <o:lock v:ext="edit" aspectratio="f"/>
                <v:textbox inset="0mm,0mm,0mm,0mm">
                  <w:txbxContent>
                    <w:p w14:paraId="65A89792">
                      <w:r>
                        <w:rPr>
                          <w:rFonts w:ascii="Times New Roman" w:eastAsia="Times New Roman"/>
                          <w:spacing w:val="-39"/>
                          <w:position w:val="15"/>
                          <w:szCs w:val="24"/>
                        </w:rPr>
                        <w:t>F</w:t>
                      </w:r>
                      <w:r>
                        <w:rPr>
                          <w:rFonts w:ascii="Times New Roman" w:eastAsia="Times New Roman"/>
                          <w:position w:val="9"/>
                          <w:sz w:val="14"/>
                          <w:szCs w:val="14"/>
                        </w:rPr>
                        <w:t>1</w:t>
                      </w:r>
                    </w:p>
                    <w:p w14:paraId="1977BB49"/>
                  </w:txbxContent>
                </v:textbox>
              </v:shape>
            </w:pict>
          </mc:Fallback>
        </mc:AlternateContent>
      </w:r>
      <w:r>
        <w:rPr>
          <w:rFonts w:hint="eastAsia" w:ascii="宋体" w:hAnsi="宋体" w:eastAsia="宋体" w:cs="宋体"/>
          <w:color w:val="auto"/>
          <w:sz w:val="14"/>
          <w:szCs w:val="14"/>
          <w:highlight w:val="none"/>
        </w:rPr>
        <w:t>1</w:t>
      </w:r>
      <w:r>
        <w:rPr>
          <w:rFonts w:hint="eastAsia" w:ascii="宋体" w:hAnsi="宋体" w:eastAsia="宋体" w:cs="宋体"/>
          <w:color w:val="auto"/>
          <w:sz w:val="14"/>
          <w:szCs w:val="14"/>
          <w:highlight w:val="none"/>
        </w:rPr>
        <w:tab/>
      </w:r>
      <w:r>
        <w:rPr>
          <w:rFonts w:hint="eastAsia" w:ascii="宋体" w:hAnsi="宋体" w:eastAsia="宋体" w:cs="宋体"/>
          <w:color w:val="auto"/>
          <w:sz w:val="14"/>
          <w:szCs w:val="14"/>
          <w:highlight w:val="none"/>
        </w:rPr>
        <w:t xml:space="preserve">  1</w:t>
      </w:r>
    </w:p>
    <w:p w14:paraId="74E4985A">
      <w:pPr>
        <w:pStyle w:val="11"/>
        <w:spacing w:before="26"/>
        <w:ind w:left="3441" w:right="4885"/>
        <w:jc w:val="center"/>
        <w:rPr>
          <w:rFonts w:hint="eastAsia" w:ascii="宋体" w:hAnsi="宋体" w:eastAsia="宋体" w:cs="宋体"/>
          <w:color w:val="auto"/>
          <w:sz w:val="20"/>
          <w:highlight w:val="none"/>
        </w:rPr>
      </w:pPr>
    </w:p>
    <w:p w14:paraId="69C30807">
      <w:pPr>
        <w:spacing w:before="3" w:line="170" w:lineRule="exact"/>
        <w:rPr>
          <w:rFonts w:hint="eastAsia" w:ascii="宋体" w:hAnsi="宋体" w:eastAsia="宋体" w:cs="宋体"/>
          <w:color w:val="auto"/>
          <w:sz w:val="17"/>
          <w:szCs w:val="17"/>
          <w:highlight w:val="none"/>
        </w:rPr>
      </w:pPr>
    </w:p>
    <w:p w14:paraId="269888D8">
      <w:pPr>
        <w:spacing w:line="404" w:lineRule="exact"/>
        <w:ind w:left="328"/>
        <w:jc w:val="left"/>
        <w:rPr>
          <w:rFonts w:hint="eastAsia" w:ascii="宋体" w:hAnsi="宋体" w:eastAsia="宋体" w:cs="宋体"/>
          <w:color w:val="auto"/>
          <w:szCs w:val="24"/>
          <w:highlight w:val="none"/>
        </w:rPr>
      </w:pPr>
      <w:r>
        <w:rPr>
          <w:rFonts w:hint="eastAsia" w:ascii="宋体" w:hAnsi="宋体" w:eastAsia="宋体" w:cs="宋体"/>
          <w:color w:val="auto"/>
          <w:highlight w:val="none"/>
        </w:rPr>
        <mc:AlternateContent>
          <mc:Choice Requires="wpg">
            <w:drawing>
              <wp:anchor distT="0" distB="0" distL="114300" distR="114300" simplePos="0" relativeHeight="251679744" behindDoc="0" locked="0" layoutInCell="1" allowOverlap="1">
                <wp:simplePos x="0" y="0"/>
                <wp:positionH relativeFrom="page">
                  <wp:posOffset>3150235</wp:posOffset>
                </wp:positionH>
                <wp:positionV relativeFrom="paragraph">
                  <wp:posOffset>250825</wp:posOffset>
                </wp:positionV>
                <wp:extent cx="403860" cy="1270"/>
                <wp:effectExtent l="0" t="0" r="0" b="0"/>
                <wp:wrapNone/>
                <wp:docPr id="45" name="组合 45"/>
                <wp:cNvGraphicFramePr/>
                <a:graphic xmlns:a="http://schemas.openxmlformats.org/drawingml/2006/main">
                  <a:graphicData uri="http://schemas.microsoft.com/office/word/2010/wordprocessingGroup">
                    <wpg:wgp>
                      <wpg:cNvGrpSpPr/>
                      <wpg:grpSpPr>
                        <a:xfrm>
                          <a:off x="0" y="0"/>
                          <a:ext cx="403860" cy="1270"/>
                          <a:chOff x="4961" y="396"/>
                          <a:chExt cx="636" cy="2"/>
                        </a:xfrm>
                        <a:effectLst/>
                      </wpg:grpSpPr>
                      <wps:wsp>
                        <wps:cNvPr id="28" name="任意多边形 49"/>
                        <wps:cNvSpPr/>
                        <wps:spPr>
                          <a:xfrm>
                            <a:off x="4961" y="396"/>
                            <a:ext cx="636" cy="2"/>
                          </a:xfrm>
                          <a:custGeom>
                            <a:avLst/>
                            <a:gdLst/>
                            <a:ahLst/>
                            <a:cxnLst/>
                            <a:pathLst>
                              <a:path w="636">
                                <a:moveTo>
                                  <a:pt x="0" y="0"/>
                                </a:moveTo>
                                <a:lnTo>
                                  <a:pt x="636" y="0"/>
                                </a:lnTo>
                              </a:path>
                            </a:pathLst>
                          </a:custGeom>
                          <a:noFill/>
                          <a:ln w="6350" cap="flat" cmpd="sng">
                            <a:solidFill>
                              <a:srgbClr val="000000"/>
                            </a:solidFill>
                            <a:prstDash val="solid"/>
                            <a:headEnd type="none" w="med" len="med"/>
                            <a:tailEnd type="none" w="med" len="med"/>
                          </a:ln>
                          <a:effectLst/>
                        </wps:spPr>
                        <wps:bodyPr wrap="square" upright="1"/>
                      </wps:wsp>
                    </wpg:wgp>
                  </a:graphicData>
                </a:graphic>
              </wp:anchor>
            </w:drawing>
          </mc:Choice>
          <mc:Fallback>
            <w:pict>
              <v:group id="_x0000_s1026" o:spid="_x0000_s1026" o:spt="203" style="position:absolute;left:0pt;margin-left:248.05pt;margin-top:19.75pt;height:0.1pt;width:31.8pt;mso-position-horizontal-relative:page;z-index:251679744;mso-width-relative:page;mso-height-relative:page;" coordorigin="4961,396" coordsize="636,2" o:gfxdata="UEsDBAoAAAAAAIdO4kAAAAAAAAAAAAAAAAAEAAAAZHJzL1BLAwQUAAAACACHTuJASMOuYdoAAAAJ&#10;AQAADwAAAGRycy9kb3ducmV2LnhtbE2PwU7CQBCG7ya+w2ZMvMl2xQKt3RJD1BMhEUwMt6Ed2obu&#10;bNNdWnh7l5MeZ+bLP9+fLS+mFQP1rrGsQU0iEMSFLRuuNHzvPp4WIJxHLrG1TBqu5GCZ399lmJZ2&#10;5C8atr4SIYRdihpq77tUSlfUZNBNbEccbkfbG/Rh7CtZ9jiGcNPK5yiaSYMNhw81drSqqThtz0bD&#10;54jj21S9D+vTcXXd7+LNz1qR1o8PKnoF4eni/2C46Qd1yIPTwZ65dKLV8JLMVEA1TJMYRADiOJmD&#10;ONwWc5B5Jv83yH8BUEsDBBQAAAAIAIdO4kD7jrm3ngIAANcFAAAOAAAAZHJzL2Uyb0RvYy54bWyl&#10;VM1uEzEQviPxDpbvdJM0De0qmx5I2wuCSi0P4Hq9u5b8h+1kk3sP3ODMEfUlUARPQ4HHYGxvfkhB&#10;qiCHzXj+/M034xmfLqRAc2Yd16rA/YMeRkxRXXJVF/jN9fmzY4ycJ6okQitW4CVz+HTy9Mm4NTkb&#10;6EaLklkESZTLW1PgxnuTZ5mjDZPEHWjDFBgrbSXxcLR1VlrSQnYpskGvN8pabUtjNWXOgXaajLjL&#10;aB+TUFcVp2yq6Uwy5VNWywTxUJJruHF4EtFWFaP+dVU55pEoMFTq4xcuAfkmfLPJmOS1JabhtINA&#10;HgNhryZJuIJLN6mmxBM0s/xBKsmp1U5X/oBqmaVCIiNQRb+3x82F1TMTa6nztjYb0qFRe6z/c1r6&#10;an5pES8LPDzCSBEJHf+xur3/8A6BAthpTZ2D04U1V+bSdoo6nULBi8rK8A+loEXkdbnhlS08oqAc&#10;9g6PR8A4BVN/8LxjnTbQmhAzPBn1MQLb4ckoNYQ2Z13o6HCU4gbBkm3vY7G5L50P6gByg6k1MJhu&#10;y5b7P7auGmJYbIILRHRsDeCVJLa+rVbfb9/f3338+fXz/ZdPaHiSaIveG85c7oC+PxD2sPg1a38t&#10;nc6cv2A60k7miQKYvHItkWYt0YVai4b4oA4IgojaAocLwlnqObvW0eL3egiEb61C7XpFeOteg1+y&#10;ghDSx1ZtrgTlLmalz7kQ0LcQlIAchekgsE0qeMUgSgMT6VQd8TkteBlCQoSz9c0LYdGchBcdf91k&#10;/OZmrPNT4prkF01ptBpGyjNVIr80MOoKVhwOECQrMRIMNmKQIjZPuHiMZ6w9QNsbyXXLwzze6HIJ&#10;k9PCooG63s6IhWtnxvK6gZXUjxV0c9uNM7z3SGK3m8JC2T1Hr+0+nvw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EQUAAFtDb250ZW50X1R5cGVz&#10;XS54bWxQSwECFAAKAAAAAACHTuJAAAAAAAAAAAAAAAAABgAAAAAAAAAAABAAAADzAwAAX3JlbHMv&#10;UEsBAhQAFAAAAAgAh07iQIoUZjzRAAAAlAEAAAsAAAAAAAAAAQAgAAAAFwQAAF9yZWxzLy5yZWxz&#10;UEsBAhQACgAAAAAAh07iQAAAAAAAAAAAAAAAAAQAAAAAAAAAAAAQAAAAAAAAAGRycy9QSwECFAAU&#10;AAAACACHTuJASMOuYdoAAAAJAQAADwAAAAAAAAABACAAAAAiAAAAZHJzL2Rvd25yZXYueG1sUEsB&#10;AhQAFAAAAAgAh07iQPuOubeeAgAA1wUAAA4AAAAAAAAAAQAgAAAAKQEAAGRycy9lMm9Eb2MueG1s&#10;UEsFBgAAAAAGAAYAWQEAADkGAAAAAA==&#10;">
                <o:lock v:ext="edit" aspectratio="f"/>
                <v:shape id="任意多边形 49" o:spid="_x0000_s1026" o:spt="100" style="position:absolute;left:4961;top:396;height:2;width:636;" filled="f" stroked="t" coordsize="636,1" o:gfxdata="UEsDBAoAAAAAAIdO4kAAAAAAAAAAAAAAAAAEAAAAZHJzL1BLAwQUAAAACACHTuJATtJHBrkAAADb&#10;AAAADwAAAGRycy9kb3ducmV2LnhtbEVPy4rCMBTdD/gP4QruxlQXItXYhaCO4mKsfsClubalzU1N&#10;MvXx9ZOF4PJw3svsYVrRk/O1ZQWTcQKCuLC65lLB5bz5noPwAVlja5kUPMlDthp8LTHV9s4n6vNQ&#10;ihjCPkUFVQhdKqUvKjLox7YjjtzVOoMhQldK7fAew00rp0kykwZrjg0VdrSuqGjyP6Ngi22z79e/&#10;Pb32x13o8pk7vG5KjYaTZAEi0CN8xG/3j1YwjWPjl/gD5Oo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7SRwa5AAAA2wAA&#10;AA8AAAAAAAAAAQAgAAAAIgAAAGRycy9kb3ducmV2LnhtbFBLAQIUABQAAAAIAIdO4kAzLwWeOwAA&#10;ADkAAAAQAAAAAAAAAAEAIAAAAAgBAABkcnMvc2hhcGV4bWwueG1sUEsFBgAAAAAGAAYAWwEAALID&#10;AAAAAA==&#10;" path="m0,0l636,0e">
                  <v:fill on="f" focussize="0,0"/>
                  <v:stroke weight="0.5pt" color="#000000" joinstyle="round"/>
                  <v:imagedata o:title=""/>
                  <o:lock v:ext="edit" aspectratio="f"/>
                </v:shape>
              </v:group>
            </w:pict>
          </mc:Fallback>
        </mc:AlternateContent>
      </w:r>
      <w:r>
        <w:rPr>
          <w:rFonts w:hint="eastAsia" w:ascii="宋体" w:hAnsi="宋体" w:eastAsia="宋体" w:cs="宋体"/>
          <w:color w:val="auto"/>
          <w:spacing w:val="-1"/>
          <w:sz w:val="21"/>
          <w:szCs w:val="21"/>
          <w:highlight w:val="none"/>
        </w:rPr>
        <w:t>跌</w:t>
      </w:r>
      <w:r>
        <w:rPr>
          <w:rFonts w:hint="eastAsia" w:ascii="宋体" w:hAnsi="宋体" w:eastAsia="宋体" w:cs="宋体"/>
          <w:color w:val="auto"/>
          <w:spacing w:val="2"/>
          <w:sz w:val="21"/>
          <w:szCs w:val="21"/>
          <w:highlight w:val="none"/>
        </w:rPr>
        <w:t>价</w:t>
      </w:r>
      <w:r>
        <w:rPr>
          <w:rFonts w:hint="eastAsia" w:ascii="宋体" w:hAnsi="宋体" w:eastAsia="宋体" w:cs="宋体"/>
          <w:color w:val="auto"/>
          <w:spacing w:val="-1"/>
          <w:sz w:val="21"/>
          <w:szCs w:val="21"/>
          <w:highlight w:val="none"/>
        </w:rPr>
        <w:t>时</w:t>
      </w:r>
      <w:r>
        <w:rPr>
          <w:rFonts w:hint="eastAsia" w:ascii="宋体" w:hAnsi="宋体" w:eastAsia="宋体" w:cs="宋体"/>
          <w:color w:val="auto"/>
          <w:sz w:val="21"/>
          <w:szCs w:val="21"/>
          <w:highlight w:val="none"/>
        </w:rPr>
        <w:t>，</w:t>
      </w:r>
      <w:r>
        <w:rPr>
          <w:rFonts w:hint="eastAsia" w:ascii="宋体" w:hAnsi="宋体" w:eastAsia="宋体" w:cs="宋体"/>
          <w:color w:val="auto"/>
          <w:spacing w:val="-82"/>
          <w:sz w:val="21"/>
          <w:szCs w:val="21"/>
          <w:highlight w:val="none"/>
        </w:rPr>
        <w:t xml:space="preserve"> </w:t>
      </w:r>
      <w:r>
        <w:rPr>
          <w:rFonts w:hint="eastAsia" w:ascii="宋体" w:hAnsi="宋体" w:eastAsia="宋体" w:cs="宋体"/>
          <w:color w:val="auto"/>
          <w:szCs w:val="24"/>
          <w:highlight w:val="none"/>
        </w:rPr>
        <w:t>结算单价</w:t>
      </w:r>
      <w:r>
        <w:rPr>
          <w:rFonts w:hint="eastAsia" w:ascii="宋体" w:hAnsi="宋体" w:eastAsia="宋体" w:cs="宋体"/>
          <w:color w:val="auto"/>
          <w:spacing w:val="9"/>
          <w:szCs w:val="24"/>
          <w:highlight w:val="none"/>
        </w:rPr>
        <w:t>＝</w:t>
      </w:r>
      <w:r>
        <w:rPr>
          <w:rFonts w:hint="eastAsia" w:ascii="宋体" w:hAnsi="宋体" w:eastAsia="宋体" w:cs="宋体"/>
          <w:color w:val="auto"/>
          <w:spacing w:val="7"/>
          <w:szCs w:val="24"/>
          <w:highlight w:val="none"/>
        </w:rPr>
        <w:t>F</w:t>
      </w:r>
      <w:r>
        <w:rPr>
          <w:rFonts w:hint="eastAsia" w:ascii="宋体" w:hAnsi="宋体" w:eastAsia="宋体" w:cs="宋体"/>
          <w:color w:val="auto"/>
          <w:spacing w:val="1"/>
          <w:szCs w:val="24"/>
          <w:highlight w:val="none"/>
        </w:rPr>
        <w:t>＋</w:t>
      </w:r>
      <w:r>
        <w:rPr>
          <w:rFonts w:hint="eastAsia" w:ascii="宋体" w:hAnsi="宋体" w:eastAsia="宋体" w:cs="宋体"/>
          <w:color w:val="auto"/>
          <w:szCs w:val="24"/>
          <w:highlight w:val="none"/>
        </w:rPr>
        <w:t>F</w:t>
      </w:r>
      <w:r>
        <w:rPr>
          <w:rFonts w:hint="eastAsia" w:ascii="宋体" w:hAnsi="宋体" w:eastAsia="宋体" w:cs="宋体"/>
          <w:color w:val="auto"/>
          <w:spacing w:val="16"/>
          <w:szCs w:val="24"/>
          <w:highlight w:val="none"/>
        </w:rPr>
        <w:t xml:space="preserve"> </w:t>
      </w:r>
      <w:r>
        <w:rPr>
          <w:rFonts w:hint="eastAsia" w:ascii="宋体" w:hAnsi="宋体" w:eastAsia="宋体" w:cs="宋体"/>
          <w:color w:val="auto"/>
          <w:spacing w:val="-102"/>
          <w:szCs w:val="24"/>
          <w:highlight w:val="none"/>
        </w:rPr>
        <w:t></w:t>
      </w:r>
      <w:r>
        <w:rPr>
          <w:rFonts w:hint="eastAsia" w:ascii="宋体" w:hAnsi="宋体" w:eastAsia="宋体" w:cs="宋体"/>
          <w:color w:val="auto"/>
          <w:szCs w:val="24"/>
          <w:highlight w:val="none"/>
        </w:rPr>
        <w:t xml:space="preserve">（  </w:t>
      </w:r>
      <w:r>
        <w:rPr>
          <w:rFonts w:hint="eastAsia" w:ascii="宋体" w:hAnsi="宋体" w:eastAsia="宋体" w:cs="宋体"/>
          <w:color w:val="auto"/>
          <w:spacing w:val="-100"/>
          <w:szCs w:val="24"/>
          <w:highlight w:val="none"/>
        </w:rPr>
        <w:t xml:space="preserve"> </w:t>
      </w:r>
      <w:r>
        <w:rPr>
          <w:rFonts w:hint="eastAsia" w:ascii="宋体" w:hAnsi="宋体" w:eastAsia="宋体" w:cs="宋体"/>
          <w:color w:val="auto"/>
          <w:spacing w:val="-23"/>
          <w:position w:val="15"/>
          <w:szCs w:val="24"/>
          <w:highlight w:val="none"/>
        </w:rPr>
        <w:t>F</w:t>
      </w:r>
      <w:r>
        <w:rPr>
          <w:rFonts w:hint="eastAsia" w:ascii="宋体" w:hAnsi="宋体" w:eastAsia="宋体" w:cs="宋体"/>
          <w:color w:val="auto"/>
          <w:spacing w:val="-15"/>
          <w:position w:val="9"/>
          <w:sz w:val="14"/>
          <w:szCs w:val="14"/>
          <w:highlight w:val="none"/>
        </w:rPr>
        <w:t>2</w:t>
      </w:r>
      <w:r>
        <w:rPr>
          <w:rFonts w:hint="eastAsia" w:ascii="宋体" w:hAnsi="宋体" w:eastAsia="宋体" w:cs="宋体"/>
          <w:color w:val="auto"/>
          <w:spacing w:val="1"/>
          <w:position w:val="15"/>
          <w:szCs w:val="24"/>
          <w:highlight w:val="none"/>
        </w:rPr>
        <w:t>－</w:t>
      </w:r>
      <w:r>
        <w:rPr>
          <w:rFonts w:hint="eastAsia" w:ascii="宋体" w:hAnsi="宋体" w:eastAsia="宋体" w:cs="宋体"/>
          <w:color w:val="auto"/>
          <w:spacing w:val="-26"/>
          <w:position w:val="15"/>
          <w:szCs w:val="24"/>
          <w:highlight w:val="none"/>
        </w:rPr>
        <w:t>F</w:t>
      </w:r>
      <w:r>
        <w:rPr>
          <w:rFonts w:hint="eastAsia" w:ascii="宋体" w:hAnsi="宋体" w:eastAsia="宋体" w:cs="宋体"/>
          <w:color w:val="auto"/>
          <w:position w:val="9"/>
          <w:sz w:val="14"/>
          <w:szCs w:val="14"/>
          <w:highlight w:val="none"/>
        </w:rPr>
        <w:t>0</w:t>
      </w:r>
      <w:r>
        <w:rPr>
          <w:rFonts w:hint="eastAsia" w:ascii="宋体" w:hAnsi="宋体" w:eastAsia="宋体" w:cs="宋体"/>
          <w:color w:val="auto"/>
          <w:spacing w:val="20"/>
          <w:position w:val="9"/>
          <w:sz w:val="14"/>
          <w:szCs w:val="14"/>
          <w:highlight w:val="none"/>
        </w:rPr>
        <w:t xml:space="preserve"> </w:t>
      </w:r>
      <w:r>
        <w:rPr>
          <w:rFonts w:hint="eastAsia" w:ascii="宋体" w:hAnsi="宋体" w:eastAsia="宋体" w:cs="宋体"/>
          <w:color w:val="auto"/>
          <w:spacing w:val="8"/>
          <w:szCs w:val="24"/>
          <w:highlight w:val="none"/>
        </w:rPr>
        <w:t></w:t>
      </w:r>
      <w:r>
        <w:rPr>
          <w:rFonts w:hint="eastAsia" w:ascii="宋体" w:hAnsi="宋体" w:eastAsia="宋体" w:cs="宋体"/>
          <w:color w:val="auto"/>
          <w:spacing w:val="8"/>
          <w:szCs w:val="24"/>
          <w:highlight w:val="none"/>
          <w:lang w:val="en-US" w:eastAsia="zh-CN"/>
        </w:rPr>
        <w:t>x</w:t>
      </w:r>
      <w:r>
        <w:rPr>
          <w:rFonts w:hint="eastAsia" w:ascii="宋体" w:hAnsi="宋体" w:eastAsia="宋体" w:cs="宋体"/>
          <w:color w:val="auto"/>
          <w:szCs w:val="24"/>
          <w:highlight w:val="none"/>
        </w:rPr>
        <w:t>10</w:t>
      </w:r>
      <w:r>
        <w:rPr>
          <w:rFonts w:hint="eastAsia" w:ascii="宋体" w:hAnsi="宋体" w:eastAsia="宋体" w:cs="宋体"/>
          <w:color w:val="auto"/>
          <w:spacing w:val="2"/>
          <w:szCs w:val="24"/>
          <w:highlight w:val="none"/>
        </w:rPr>
        <w:t>0</w:t>
      </w:r>
      <w:r>
        <w:rPr>
          <w:rFonts w:hint="eastAsia" w:ascii="宋体" w:hAnsi="宋体" w:eastAsia="宋体" w:cs="宋体"/>
          <w:color w:val="auto"/>
          <w:spacing w:val="-20"/>
          <w:szCs w:val="24"/>
          <w:highlight w:val="none"/>
        </w:rPr>
        <w:t>%</w:t>
      </w:r>
      <w:r>
        <w:rPr>
          <w:rFonts w:hint="eastAsia" w:ascii="宋体" w:hAnsi="宋体" w:eastAsia="宋体" w:cs="宋体"/>
          <w:color w:val="auto"/>
          <w:spacing w:val="1"/>
          <w:szCs w:val="24"/>
          <w:highlight w:val="none"/>
        </w:rPr>
        <w:t>＋</w:t>
      </w:r>
      <w:r>
        <w:rPr>
          <w:rFonts w:hint="eastAsia" w:ascii="宋体" w:hAnsi="宋体" w:eastAsia="宋体" w:cs="宋体"/>
          <w:color w:val="auto"/>
          <w:spacing w:val="-5"/>
          <w:szCs w:val="24"/>
          <w:highlight w:val="none"/>
        </w:rPr>
        <w:t>B</w:t>
      </w:r>
      <w:r>
        <w:rPr>
          <w:rFonts w:hint="eastAsia" w:ascii="宋体" w:hAnsi="宋体" w:eastAsia="宋体" w:cs="宋体"/>
          <w:color w:val="auto"/>
          <w:szCs w:val="24"/>
          <w:highlight w:val="none"/>
        </w:rPr>
        <w:t>）</w:t>
      </w:r>
    </w:p>
    <w:p w14:paraId="23C51162">
      <w:pPr>
        <w:pStyle w:val="11"/>
        <w:tabs>
          <w:tab w:val="left" w:pos="2884"/>
        </w:tabs>
        <w:spacing w:line="142" w:lineRule="exact"/>
        <w:ind w:firstLine="2520" w:firstLineChars="1800"/>
        <w:jc w:val="left"/>
        <w:rPr>
          <w:rFonts w:hint="eastAsia" w:ascii="宋体" w:hAnsi="宋体" w:eastAsia="宋体" w:cs="宋体"/>
          <w:color w:val="auto"/>
          <w:highlight w:val="none"/>
        </w:rPr>
      </w:pPr>
      <w:r>
        <w:rPr>
          <w:rFonts w:hint="eastAsia" w:ascii="宋体" w:hAnsi="宋体" w:eastAsia="宋体" w:cs="宋体"/>
          <w:color w:val="auto"/>
          <w:sz w:val="14"/>
          <w:szCs w:val="14"/>
          <w:highlight w:val="none"/>
        </w:rPr>
        <mc:AlternateContent>
          <mc:Choice Requires="wps">
            <w:drawing>
              <wp:anchor distT="0" distB="0" distL="114300" distR="114300" simplePos="0" relativeHeight="251680768" behindDoc="0" locked="0" layoutInCell="1" allowOverlap="1">
                <wp:simplePos x="0" y="0"/>
                <wp:positionH relativeFrom="page">
                  <wp:posOffset>3289300</wp:posOffset>
                </wp:positionH>
                <wp:positionV relativeFrom="paragraph">
                  <wp:posOffset>29845</wp:posOffset>
                </wp:positionV>
                <wp:extent cx="220980" cy="29337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220980" cy="293370"/>
                        </a:xfrm>
                        <a:prstGeom prst="rect">
                          <a:avLst/>
                        </a:prstGeom>
                        <a:noFill/>
                        <a:ln>
                          <a:noFill/>
                        </a:ln>
                        <a:effectLst/>
                      </wps:spPr>
                      <wps:txbx>
                        <w:txbxContent>
                          <w:p w14:paraId="013FCA09">
                            <w:r>
                              <w:rPr>
                                <w:rFonts w:ascii="Times New Roman" w:eastAsia="Times New Roman"/>
                                <w:spacing w:val="-26"/>
                                <w:position w:val="15"/>
                                <w:szCs w:val="24"/>
                              </w:rPr>
                              <w:t>F</w:t>
                            </w:r>
                            <w:r>
                              <w:rPr>
                                <w:rFonts w:ascii="Times New Roman" w:eastAsia="Times New Roman"/>
                                <w:position w:val="9"/>
                                <w:sz w:val="14"/>
                                <w:szCs w:val="14"/>
                              </w:rPr>
                              <w:t>0</w:t>
                            </w:r>
                            <w:r>
                              <w:rPr>
                                <w:rFonts w:ascii="Times New Roman" w:eastAsia="Times New Roman"/>
                                <w:spacing w:val="20"/>
                                <w:position w:val="9"/>
                                <w:sz w:val="14"/>
                                <w:szCs w:val="14"/>
                              </w:rPr>
                              <w:t xml:space="preserve"> </w:t>
                            </w:r>
                          </w:p>
                        </w:txbxContent>
                      </wps:txbx>
                      <wps:bodyPr wrap="square" lIns="0" tIns="0" rIns="0" bIns="0" upright="1"/>
                    </wps:wsp>
                  </a:graphicData>
                </a:graphic>
              </wp:anchor>
            </w:drawing>
          </mc:Choice>
          <mc:Fallback>
            <w:pict>
              <v:shape id="_x0000_s1026" o:spid="_x0000_s1026" o:spt="202" type="#_x0000_t202" style="position:absolute;left:0pt;margin-left:259pt;margin-top:2.35pt;height:23.1pt;width:17.4pt;mso-position-horizontal-relative:page;z-index:251680768;mso-width-relative:page;mso-height-relative:page;" filled="f" stroked="f" coordsize="21600,21600" o:gfxdata="UEsDBAoAAAAAAIdO4kAAAAAAAAAAAAAAAAAEAAAAZHJzL1BLAwQUAAAACACHTuJAw2mqedgAAAAI&#10;AQAADwAAAGRycy9kb3ducmV2LnhtbE2PTU/DMAyG70j7D5EncWNJJzq20nRCCE5IiK4cOKaN11Zr&#10;nNJkH/x7zIndbL3W6+fJtxc3iBNOofekIVkoEEiNtz21Gj6r17s1iBANWTN4Qg0/GGBbzG5yk1l/&#10;phJPu9gKLqGQGQ1djGMmZWg6dCYs/IjE2d5PzkRep1bayZy53A1yqdRKOtMTf+jMiM8dNofd0Wl4&#10;+qLypf9+rz/KfdlX1UbR2+qg9e08UY8gIl7i/zH84TM6FMxU+yPZIAYNabJml6jh/gEE52m6ZJWa&#10;B7UBWeTyWqD4BVBLAwQUAAAACACHTuJALOFwXskBAACPAwAADgAAAGRycy9lMm9Eb2MueG1srVNL&#10;btswEN0XyB0I7mspMtAmguUAhZGgQNEWSHsAmhpZBPgrh7bkC7Q36Kqb7nsun6MjSnLz2WTRDTWc&#10;GT6+9zha3fRGswMEVM5W/HKRcwZWulrZXcW/frl9fcUZRmFroZ2Fih8B+c364tWq8yUUrnW6hsAI&#10;xGLZ+Yq3Mfoyy1C2YAQunAdLxcYFIyJtwy6rg+gI3eisyPM3WedC7YOTgEjZzVjkE2J4CaBrGiVh&#10;4+TegI0jagAtIknCVnnk68S2aUDGT02DEJmuOCmNaaVLKN4Oa7ZeiXIXhG+VnCiIl1B4oskIZenS&#10;M9RGRMH2QT2DMkoGh66JC+lMNgpJjpCKy/yJN/et8JC0kNXoz6bj/4OVHw+fA1N1xZdkiRWGXvz0&#10;88fp15/T7++McmRQ57GkvntPnbF/53oamzmPlBx0900ww5cUMaoT1vFsL/SRSUoWRX59RRVJpeJ6&#10;uXyb0LN/h33AeAfOsCGoeKDXS6aKwweMRIRa55bhLutuldbpBbV9lKDGMQNpBKbTg46R7xDFfttP&#10;4rauPpK2jsag4vhtLwJwpt9b8pnoxjkIc7Cdg70PatcS1eRHNsDSOyWi00wNg/BwT/HD/2j9F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MNpqnnYAAAACAEAAA8AAAAAAAAAAQAgAAAAIgAAAGRycy9k&#10;b3ducmV2LnhtbFBLAQIUABQAAAAIAIdO4kAs4XBeyQEAAI8DAAAOAAAAAAAAAAEAIAAAACcBAABk&#10;cnMvZTJvRG9jLnhtbFBLBQYAAAAABgAGAFkBAABiBQAAAAA=&#10;">
                <v:fill on="f" focussize="0,0"/>
                <v:stroke on="f"/>
                <v:imagedata o:title=""/>
                <o:lock v:ext="edit" aspectratio="f"/>
                <v:textbox inset="0mm,0mm,0mm,0mm">
                  <w:txbxContent>
                    <w:p w14:paraId="013FCA09">
                      <w:r>
                        <w:rPr>
                          <w:rFonts w:ascii="Times New Roman" w:eastAsia="Times New Roman"/>
                          <w:spacing w:val="-26"/>
                          <w:position w:val="15"/>
                          <w:szCs w:val="24"/>
                        </w:rPr>
                        <w:t>F</w:t>
                      </w:r>
                      <w:r>
                        <w:rPr>
                          <w:rFonts w:ascii="Times New Roman" w:eastAsia="Times New Roman"/>
                          <w:position w:val="9"/>
                          <w:sz w:val="14"/>
                          <w:szCs w:val="14"/>
                        </w:rPr>
                        <w:t>0</w:t>
                      </w:r>
                      <w:r>
                        <w:rPr>
                          <w:rFonts w:ascii="Times New Roman" w:eastAsia="Times New Roman"/>
                          <w:spacing w:val="20"/>
                          <w:position w:val="9"/>
                          <w:sz w:val="14"/>
                          <w:szCs w:val="14"/>
                        </w:rPr>
                        <w:t xml:space="preserve"> </w:t>
                      </w:r>
                    </w:p>
                  </w:txbxContent>
                </v:textbox>
              </v:shape>
            </w:pict>
          </mc:Fallback>
        </mc:AlternateContent>
      </w:r>
      <w:r>
        <w:rPr>
          <w:rFonts w:hint="eastAsia" w:ascii="宋体" w:hAnsi="宋体" w:eastAsia="宋体" w:cs="宋体"/>
          <w:color w:val="auto"/>
          <w:sz w:val="14"/>
          <w:szCs w:val="14"/>
          <w:highlight w:val="none"/>
        </w:rPr>
        <w:t>1    0</w:t>
      </w:r>
    </w:p>
    <w:p w14:paraId="0C5B91B8">
      <w:pPr>
        <w:spacing w:line="200" w:lineRule="exact"/>
        <w:rPr>
          <w:rFonts w:hint="eastAsia" w:ascii="宋体" w:hAnsi="宋体" w:eastAsia="宋体" w:cs="宋体"/>
          <w:color w:val="auto"/>
          <w:sz w:val="20"/>
          <w:highlight w:val="none"/>
        </w:rPr>
      </w:pPr>
    </w:p>
    <w:p w14:paraId="5E5E77F3">
      <w:pPr>
        <w:wordWrap w:val="0"/>
        <w:adjustRightInd w:val="0"/>
        <w:snapToGrid w:val="0"/>
        <w:spacing w:line="440" w:lineRule="exact"/>
        <w:ind w:firstLine="482" w:firstLineChars="200"/>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c</w:t>
      </w:r>
      <w:r>
        <w:rPr>
          <w:rFonts w:hint="eastAsia" w:ascii="宋体" w:hAnsi="宋体" w:eastAsia="宋体" w:cs="宋体"/>
          <w:snapToGrid w:val="0"/>
          <w:color w:val="auto"/>
          <w:kern w:val="0"/>
          <w:szCs w:val="24"/>
          <w:highlight w:val="none"/>
        </w:rPr>
        <w:t>．如果中标单价等于基准单价，该施工机具台班的结算单价调整公式为：</w:t>
      </w:r>
    </w:p>
    <w:p w14:paraId="4D24D13B">
      <w:pPr>
        <w:spacing w:line="404" w:lineRule="exact"/>
        <w:ind w:left="120" w:firstLine="240" w:firstLineChars="100"/>
        <w:jc w:val="left"/>
        <w:rPr>
          <w:rFonts w:hint="eastAsia" w:ascii="宋体" w:hAnsi="宋体" w:eastAsia="宋体" w:cs="宋体"/>
          <w:color w:val="auto"/>
          <w:szCs w:val="24"/>
          <w:highlight w:val="none"/>
        </w:rPr>
      </w:pPr>
      <w:r>
        <w:rPr>
          <w:rFonts w:hint="eastAsia" w:ascii="宋体" w:hAnsi="宋体" w:eastAsia="宋体" w:cs="宋体"/>
          <w:color w:val="auto"/>
          <w:highlight w:val="none"/>
        </w:rPr>
        <mc:AlternateContent>
          <mc:Choice Requires="wpg">
            <w:drawing>
              <wp:anchor distT="0" distB="0" distL="114300" distR="114300" simplePos="0" relativeHeight="251685888" behindDoc="0" locked="0" layoutInCell="1" allowOverlap="1">
                <wp:simplePos x="0" y="0"/>
                <wp:positionH relativeFrom="page">
                  <wp:posOffset>2848610</wp:posOffset>
                </wp:positionH>
                <wp:positionV relativeFrom="paragraph">
                  <wp:posOffset>217805</wp:posOffset>
                </wp:positionV>
                <wp:extent cx="388620" cy="1270"/>
                <wp:effectExtent l="0" t="0" r="0" b="0"/>
                <wp:wrapNone/>
                <wp:docPr id="11" name="组合 11"/>
                <wp:cNvGraphicFramePr/>
                <a:graphic xmlns:a="http://schemas.openxmlformats.org/drawingml/2006/main">
                  <a:graphicData uri="http://schemas.microsoft.com/office/word/2010/wordprocessingGroup">
                    <wpg:wgp>
                      <wpg:cNvGrpSpPr/>
                      <wpg:grpSpPr>
                        <a:xfrm>
                          <a:off x="0" y="0"/>
                          <a:ext cx="388620" cy="1270"/>
                          <a:chOff x="4937" y="395"/>
                          <a:chExt cx="612" cy="2"/>
                        </a:xfrm>
                        <a:effectLst/>
                      </wpg:grpSpPr>
                      <wps:wsp>
                        <wps:cNvPr id="14" name="任意多边形 45"/>
                        <wps:cNvSpPr/>
                        <wps:spPr>
                          <a:xfrm>
                            <a:off x="4937" y="395"/>
                            <a:ext cx="612" cy="2"/>
                          </a:xfrm>
                          <a:custGeom>
                            <a:avLst/>
                            <a:gdLst/>
                            <a:ahLst/>
                            <a:cxnLst/>
                            <a:pathLst>
                              <a:path w="612">
                                <a:moveTo>
                                  <a:pt x="0" y="0"/>
                                </a:moveTo>
                                <a:lnTo>
                                  <a:pt x="612" y="0"/>
                                </a:lnTo>
                              </a:path>
                            </a:pathLst>
                          </a:custGeom>
                          <a:noFill/>
                          <a:ln w="6350" cap="flat" cmpd="sng">
                            <a:solidFill>
                              <a:srgbClr val="000000"/>
                            </a:solidFill>
                            <a:prstDash val="solid"/>
                            <a:headEnd type="none" w="med" len="med"/>
                            <a:tailEnd type="none" w="med" len="med"/>
                          </a:ln>
                          <a:effectLst/>
                        </wps:spPr>
                        <wps:bodyPr wrap="square" upright="1"/>
                      </wps:wsp>
                    </wpg:wgp>
                  </a:graphicData>
                </a:graphic>
              </wp:anchor>
            </w:drawing>
          </mc:Choice>
          <mc:Fallback>
            <w:pict>
              <v:group id="_x0000_s1026" o:spid="_x0000_s1026" o:spt="203" style="position:absolute;left:0pt;margin-left:224.3pt;margin-top:17.15pt;height:0.1pt;width:30.6pt;mso-position-horizontal-relative:page;z-index:251685888;mso-width-relative:page;mso-height-relative:page;" coordorigin="4937,395" coordsize="612,2" o:gfxdata="UEsDBAoAAAAAAIdO4kAAAAAAAAAAAAAAAAAEAAAAZHJzL1BLAwQUAAAACACHTuJA6NUo2tkAAAAJ&#10;AQAADwAAAGRycy9kb3ducmV2LnhtbE2PwUrDQBCG74LvsIzgze7GJKWN2RQp6qkItoL0tk2mSWh2&#10;NmS3Sfv2Tk96nJmPf74/X11sJ0YcfOtIQzRTIJBKV7VUa/jevT8tQPhgqDKdI9RwRQ+r4v4uN1nl&#10;JvrCcRtqwSHkM6OhCaHPpPRlg9b4meuR+HZ0gzWBx6GW1WAmDredfFZqLq1piT80psd1g+Vpe7Ya&#10;PiYzvcbR27g5HdfX/S79/NlEqPXjQ6ReQAS8hD8YbvqsDgU7HdyZKi86DUmymDOqIU5iEAykasld&#10;DrdFCrLI5f8GxS9QSwMEFAAAAAgAh07iQGiPK3mfAgAA1wUAAA4AAABkcnMvZTJvRG9jLnhtbKVU&#10;zW4TMRC+I/EOlu9089PfVZMeSNsLgkotD+B6vbuW/IftZJN7D9zgzBHxEqiCp6HAYzDj3U1KClIF&#10;OWzGnvH4m28+z/HJUiuyED5IayZ0uDOgRBhuC2mqCX19dfbskJIQmSmYskZM6EoEejJ9+uS4cbkY&#10;2dqqQngCSUzIGzehdYwuz7LAa6FZ2LFOGHCW1msWYemrrPCsgexaZaPBYD9rrC+ct1yEALuz1km7&#10;jP4xCW1ZSi5mls+1MLHN6oViEUoKtXSBThPashQ8virLICJREwqVxvSFS8C+xm82PWZ55ZmrJe8g&#10;sMdA2KpJM2ng0nWqGYuMzL18kEpL7m2wZdzhVmdtIYkRqGI42OLm3Nu5S7VUeVO5NenQqC3W/zkt&#10;f7m48EQWoIQhJYZp6PiP25u7928JbAA7jatyCDr37tJd+G6jaldY8LL0Gv+hFLJMvK7WvIplJBw2&#10;x4eH+yNgnINrODroWOc1tAbP7B6NDygB3/hor20Ir0+7o/vDUXtuhJ5sc59IzX0RIm4jyDWmxoEw&#10;w4at8H9sXdbMidSEgET0bO32bH27vf1+8+7u04efXz/ffflIdlMNCAKi15yFPAB9fyDsYfE9a38t&#10;nc9DPBc20c4WLQWgvKK3WN1bfGl607GI24gATdJMKF6Aa20X4somT9zqIRC+8SpzPyrB63sNca0X&#10;DEyfWrW+EjbvYzb2TCoFfcNDCch4D9XBYJqU8IrB1A4UGUyV8AWrZIFH8ETw1fVz5cmC4YtOv04Z&#10;v4U5H+KMhbqNS65WWrVgxakpSFw5kLqBEUcRghYFJUrAREQrYYtMqsdEptoR2pYk+5ajFK5tsQLl&#10;NDBooK43c+bh2rnzsqphJKWHBiJOuu3kDO89kdjNJhwo99cpajOPp7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EQUAAFtDb250ZW50X1R5cGVz&#10;XS54bWxQSwECFAAKAAAAAACHTuJAAAAAAAAAAAAAAAAABgAAAAAAAAAAABAAAADzAwAAX3JlbHMv&#10;UEsBAhQAFAAAAAgAh07iQIoUZjzRAAAAlAEAAAsAAAAAAAAAAQAgAAAAFwQAAF9yZWxzLy5yZWxz&#10;UEsBAhQACgAAAAAAh07iQAAAAAAAAAAAAAAAAAQAAAAAAAAAAAAQAAAAAAAAAGRycy9QSwECFAAU&#10;AAAACACHTuJA6NUo2tkAAAAJAQAADwAAAAAAAAABACAAAAAiAAAAZHJzL2Rvd25yZXYueG1sUEsB&#10;AhQAFAAAAAgAh07iQGiPK3mfAgAA1wUAAA4AAAAAAAAAAQAgAAAAKAEAAGRycy9lMm9Eb2MueG1s&#10;UEsFBgAAAAAGAAYAWQEAADkGAAAAAA==&#10;">
                <o:lock v:ext="edit" aspectratio="f"/>
                <v:shape id="任意多边形 45" o:spid="_x0000_s1026" o:spt="100" style="position:absolute;left:4937;top:395;height:2;width:612;" filled="f" stroked="t" coordsize="612,1" o:gfxdata="UEsDBAoAAAAAAIdO4kAAAAAAAAAAAAAAAAAEAAAAZHJzL1BLAwQUAAAACACHTuJAOCqG0r0AAADb&#10;AAAADwAAAGRycy9kb3ducmV2LnhtbEVPS0vDQBC+F/oflil4azepIiV2W9qCj0tFqwjehuyYDWZn&#10;QnZN2v76riB4m4/vOcv10Teqpy7UwgbyWQaKuBRbc2Xg/e1+ugAVIrLFRpgMnCjAejUeLbGwMvAr&#10;9YdYqRTCoUADLsa20DqUjjyGmbTEifuSzmNMsKu07XBI4b7R8yy71R5rTg0OW9o5Kr8PP97A/npx&#10;zp+3j8PGPdSfbf8i8pGLMVeTPLsDFekY/8V/7ieb5t/A7y/pAL26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4KobSvQAA&#10;ANsAAAAPAAAAAAAAAAEAIAAAACIAAABkcnMvZG93bnJldi54bWxQSwECFAAUAAAACACHTuJAMy8F&#10;njsAAAA5AAAAEAAAAAAAAAABACAAAAAMAQAAZHJzL3NoYXBleG1sLnhtbFBLBQYAAAAABgAGAFsB&#10;AAC2AwAAAAA=&#10;" path="m0,0l612,0e">
                  <v:fill on="f" focussize="0,0"/>
                  <v:stroke weight="0.5pt" color="#000000" joinstyle="round"/>
                  <v:imagedata o:title=""/>
                  <o:lock v:ext="edit" aspectratio="f"/>
                </v:shape>
              </v:group>
            </w:pict>
          </mc:Fallback>
        </mc:AlternateContent>
      </w:r>
      <w:r>
        <w:rPr>
          <w:rFonts w:hint="eastAsia" w:ascii="宋体" w:hAnsi="宋体" w:eastAsia="宋体" w:cs="宋体"/>
          <w:color w:val="auto"/>
          <w:spacing w:val="-1"/>
          <w:sz w:val="21"/>
          <w:szCs w:val="21"/>
          <w:highlight w:val="none"/>
        </w:rPr>
        <w:t>涨</w:t>
      </w:r>
      <w:r>
        <w:rPr>
          <w:rFonts w:hint="eastAsia" w:ascii="宋体" w:hAnsi="宋体" w:eastAsia="宋体" w:cs="宋体"/>
          <w:color w:val="auto"/>
          <w:spacing w:val="2"/>
          <w:sz w:val="21"/>
          <w:szCs w:val="21"/>
          <w:highlight w:val="none"/>
        </w:rPr>
        <w:t>价</w:t>
      </w:r>
      <w:r>
        <w:rPr>
          <w:rFonts w:hint="eastAsia" w:ascii="宋体" w:hAnsi="宋体" w:eastAsia="宋体" w:cs="宋体"/>
          <w:color w:val="auto"/>
          <w:spacing w:val="-1"/>
          <w:sz w:val="21"/>
          <w:szCs w:val="21"/>
          <w:highlight w:val="none"/>
        </w:rPr>
        <w:t>时</w:t>
      </w:r>
      <w:r>
        <w:rPr>
          <w:rFonts w:hint="eastAsia" w:ascii="宋体" w:hAnsi="宋体" w:eastAsia="宋体" w:cs="宋体"/>
          <w:color w:val="auto"/>
          <w:sz w:val="21"/>
          <w:szCs w:val="21"/>
          <w:highlight w:val="none"/>
        </w:rPr>
        <w:t>，</w:t>
      </w:r>
      <w:r>
        <w:rPr>
          <w:rFonts w:hint="eastAsia" w:ascii="宋体" w:hAnsi="宋体" w:eastAsia="宋体" w:cs="宋体"/>
          <w:color w:val="auto"/>
          <w:spacing w:val="-84"/>
          <w:sz w:val="21"/>
          <w:szCs w:val="21"/>
          <w:highlight w:val="none"/>
        </w:rPr>
        <w:t xml:space="preserve"> </w:t>
      </w:r>
      <w:r>
        <w:rPr>
          <w:rFonts w:hint="eastAsia" w:ascii="宋体" w:hAnsi="宋体" w:eastAsia="宋体" w:cs="宋体"/>
          <w:color w:val="auto"/>
          <w:szCs w:val="24"/>
          <w:highlight w:val="none"/>
        </w:rPr>
        <w:t>结算单价</w:t>
      </w:r>
      <w:r>
        <w:rPr>
          <w:rFonts w:hint="eastAsia" w:ascii="宋体" w:hAnsi="宋体" w:eastAsia="宋体" w:cs="宋体"/>
          <w:color w:val="auto"/>
          <w:spacing w:val="9"/>
          <w:szCs w:val="24"/>
          <w:highlight w:val="none"/>
        </w:rPr>
        <w:t>＝</w:t>
      </w:r>
      <w:r>
        <w:rPr>
          <w:rFonts w:hint="eastAsia" w:ascii="宋体" w:hAnsi="宋体" w:eastAsia="宋体" w:cs="宋体"/>
          <w:color w:val="auto"/>
          <w:spacing w:val="7"/>
          <w:szCs w:val="24"/>
          <w:highlight w:val="none"/>
        </w:rPr>
        <w:t>F</w:t>
      </w:r>
      <w:r>
        <w:rPr>
          <w:rFonts w:hint="eastAsia" w:ascii="宋体" w:hAnsi="宋体" w:eastAsia="宋体" w:cs="宋体"/>
          <w:color w:val="auto"/>
          <w:spacing w:val="1"/>
          <w:szCs w:val="24"/>
          <w:highlight w:val="none"/>
        </w:rPr>
        <w:t>＋</w:t>
      </w:r>
      <w:r>
        <w:rPr>
          <w:rFonts w:hint="eastAsia" w:ascii="宋体" w:hAnsi="宋体" w:eastAsia="宋体" w:cs="宋体"/>
          <w:color w:val="auto"/>
          <w:szCs w:val="24"/>
          <w:highlight w:val="none"/>
        </w:rPr>
        <w:t>F</w:t>
      </w:r>
      <w:r>
        <w:rPr>
          <w:rFonts w:hint="eastAsia" w:ascii="宋体" w:hAnsi="宋体" w:eastAsia="宋体" w:cs="宋体"/>
          <w:color w:val="auto"/>
          <w:spacing w:val="15"/>
          <w:szCs w:val="24"/>
          <w:highlight w:val="none"/>
        </w:rPr>
        <w:t xml:space="preserve"> </w:t>
      </w:r>
      <w:r>
        <w:rPr>
          <w:rFonts w:hint="eastAsia" w:ascii="宋体" w:hAnsi="宋体" w:eastAsia="宋体" w:cs="宋体"/>
          <w:color w:val="auto"/>
          <w:spacing w:val="-102"/>
          <w:szCs w:val="24"/>
          <w:highlight w:val="none"/>
        </w:rPr>
        <w:t></w:t>
      </w:r>
      <w:r>
        <w:rPr>
          <w:rFonts w:hint="eastAsia" w:ascii="宋体" w:hAnsi="宋体" w:eastAsia="宋体" w:cs="宋体"/>
          <w:color w:val="auto"/>
          <w:szCs w:val="24"/>
          <w:highlight w:val="none"/>
        </w:rPr>
        <w:t xml:space="preserve">（ </w:t>
      </w:r>
      <w:r>
        <w:rPr>
          <w:rFonts w:hint="eastAsia" w:ascii="宋体" w:hAnsi="宋体" w:eastAsia="宋体" w:cs="宋体"/>
          <w:color w:val="auto"/>
          <w:spacing w:val="-100"/>
          <w:szCs w:val="24"/>
          <w:highlight w:val="none"/>
        </w:rPr>
        <w:t xml:space="preserve"> </w:t>
      </w:r>
      <w:r>
        <w:rPr>
          <w:rFonts w:hint="eastAsia" w:ascii="宋体" w:hAnsi="宋体" w:eastAsia="宋体" w:cs="宋体"/>
          <w:color w:val="auto"/>
          <w:spacing w:val="-23"/>
          <w:position w:val="15"/>
          <w:szCs w:val="24"/>
          <w:highlight w:val="none"/>
        </w:rPr>
        <w:t>F</w:t>
      </w:r>
      <w:r>
        <w:rPr>
          <w:rFonts w:hint="eastAsia" w:ascii="宋体" w:hAnsi="宋体" w:eastAsia="宋体" w:cs="宋体"/>
          <w:color w:val="auto"/>
          <w:spacing w:val="-15"/>
          <w:position w:val="9"/>
          <w:sz w:val="14"/>
          <w:szCs w:val="14"/>
          <w:highlight w:val="none"/>
        </w:rPr>
        <w:t>2</w:t>
      </w:r>
      <w:r>
        <w:rPr>
          <w:rFonts w:hint="eastAsia" w:ascii="宋体" w:hAnsi="宋体" w:eastAsia="宋体" w:cs="宋体"/>
          <w:color w:val="auto"/>
          <w:spacing w:val="1"/>
          <w:position w:val="15"/>
          <w:szCs w:val="24"/>
          <w:highlight w:val="none"/>
        </w:rPr>
        <w:t>－</w:t>
      </w:r>
      <w:r>
        <w:rPr>
          <w:rFonts w:hint="eastAsia" w:ascii="宋体" w:hAnsi="宋体" w:eastAsia="宋体" w:cs="宋体"/>
          <w:color w:val="auto"/>
          <w:spacing w:val="-26"/>
          <w:position w:val="15"/>
          <w:szCs w:val="24"/>
          <w:highlight w:val="none"/>
        </w:rPr>
        <w:t>F</w:t>
      </w:r>
      <w:r>
        <w:rPr>
          <w:rFonts w:hint="eastAsia" w:ascii="宋体" w:hAnsi="宋体" w:eastAsia="宋体" w:cs="宋体"/>
          <w:color w:val="auto"/>
          <w:position w:val="9"/>
          <w:sz w:val="14"/>
          <w:szCs w:val="14"/>
          <w:highlight w:val="none"/>
        </w:rPr>
        <w:t>0</w:t>
      </w:r>
      <w:r>
        <w:rPr>
          <w:rFonts w:hint="eastAsia" w:ascii="宋体" w:hAnsi="宋体" w:eastAsia="宋体" w:cs="宋体"/>
          <w:color w:val="auto"/>
          <w:spacing w:val="20"/>
          <w:position w:val="9"/>
          <w:sz w:val="14"/>
          <w:szCs w:val="14"/>
          <w:highlight w:val="none"/>
        </w:rPr>
        <w:t xml:space="preserve"> </w:t>
      </w:r>
      <w:r>
        <w:rPr>
          <w:rFonts w:hint="eastAsia" w:ascii="宋体" w:hAnsi="宋体" w:eastAsia="宋体" w:cs="宋体"/>
          <w:color w:val="auto"/>
          <w:spacing w:val="8"/>
          <w:szCs w:val="24"/>
          <w:highlight w:val="none"/>
        </w:rPr>
        <w:t></w:t>
      </w:r>
      <w:r>
        <w:rPr>
          <w:rFonts w:hint="eastAsia" w:ascii="宋体" w:hAnsi="宋体" w:eastAsia="宋体" w:cs="宋体"/>
          <w:color w:val="auto"/>
          <w:spacing w:val="8"/>
          <w:szCs w:val="24"/>
          <w:highlight w:val="none"/>
          <w:lang w:val="en-US" w:eastAsia="zh-CN"/>
        </w:rPr>
        <w:t>x</w:t>
      </w:r>
      <w:r>
        <w:rPr>
          <w:rFonts w:hint="eastAsia" w:ascii="宋体" w:hAnsi="宋体" w:eastAsia="宋体" w:cs="宋体"/>
          <w:color w:val="auto"/>
          <w:szCs w:val="24"/>
          <w:highlight w:val="none"/>
        </w:rPr>
        <w:t>10</w:t>
      </w:r>
      <w:r>
        <w:rPr>
          <w:rFonts w:hint="eastAsia" w:ascii="宋体" w:hAnsi="宋体" w:eastAsia="宋体" w:cs="宋体"/>
          <w:color w:val="auto"/>
          <w:spacing w:val="2"/>
          <w:szCs w:val="24"/>
          <w:highlight w:val="none"/>
        </w:rPr>
        <w:t>0</w:t>
      </w:r>
      <w:r>
        <w:rPr>
          <w:rFonts w:hint="eastAsia" w:ascii="宋体" w:hAnsi="宋体" w:eastAsia="宋体" w:cs="宋体"/>
          <w:color w:val="auto"/>
          <w:spacing w:val="-20"/>
          <w:szCs w:val="24"/>
          <w:highlight w:val="none"/>
        </w:rPr>
        <w:t>%</w:t>
      </w:r>
      <w:r>
        <w:rPr>
          <w:rFonts w:hint="eastAsia" w:ascii="宋体" w:hAnsi="宋体" w:eastAsia="宋体" w:cs="宋体"/>
          <w:color w:val="auto"/>
          <w:spacing w:val="1"/>
          <w:szCs w:val="24"/>
          <w:highlight w:val="none"/>
        </w:rPr>
        <w:t>－</w:t>
      </w:r>
      <w:r>
        <w:rPr>
          <w:rFonts w:hint="eastAsia" w:ascii="宋体" w:hAnsi="宋体" w:eastAsia="宋体" w:cs="宋体"/>
          <w:color w:val="auto"/>
          <w:spacing w:val="-5"/>
          <w:szCs w:val="24"/>
          <w:highlight w:val="none"/>
        </w:rPr>
        <w:t>B</w:t>
      </w:r>
      <w:r>
        <w:rPr>
          <w:rFonts w:hint="eastAsia" w:ascii="宋体" w:hAnsi="宋体" w:eastAsia="宋体" w:cs="宋体"/>
          <w:color w:val="auto"/>
          <w:szCs w:val="24"/>
          <w:highlight w:val="none"/>
        </w:rPr>
        <w:t>）</w:t>
      </w:r>
    </w:p>
    <w:p w14:paraId="19DB5E1F">
      <w:pPr>
        <w:pStyle w:val="11"/>
        <w:tabs>
          <w:tab w:val="left" w:pos="2817"/>
        </w:tabs>
        <w:spacing w:line="142" w:lineRule="exact"/>
        <w:ind w:left="2424"/>
        <w:jc w:val="left"/>
        <w:rPr>
          <w:rFonts w:hint="eastAsia" w:ascii="宋体" w:hAnsi="宋体" w:eastAsia="宋体" w:cs="宋体"/>
          <w:color w:val="auto"/>
          <w:sz w:val="14"/>
          <w:szCs w:val="14"/>
          <w:highlight w:val="none"/>
        </w:rPr>
      </w:pPr>
      <w:r>
        <w:rPr>
          <w:rFonts w:hint="eastAsia" w:ascii="宋体" w:hAnsi="宋体" w:eastAsia="宋体" w:cs="宋体"/>
          <w:color w:val="auto"/>
          <w:sz w:val="14"/>
          <w:szCs w:val="14"/>
          <w:highlight w:val="none"/>
        </w:rPr>
        <mc:AlternateContent>
          <mc:Choice Requires="wps">
            <w:drawing>
              <wp:anchor distT="0" distB="0" distL="114300" distR="114300" simplePos="0" relativeHeight="251681792" behindDoc="0" locked="0" layoutInCell="1" allowOverlap="1">
                <wp:simplePos x="0" y="0"/>
                <wp:positionH relativeFrom="page">
                  <wp:posOffset>3246755</wp:posOffset>
                </wp:positionH>
                <wp:positionV relativeFrom="paragraph">
                  <wp:posOffset>29845</wp:posOffset>
                </wp:positionV>
                <wp:extent cx="163195" cy="20828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63195" cy="208280"/>
                        </a:xfrm>
                        <a:prstGeom prst="rect">
                          <a:avLst/>
                        </a:prstGeom>
                        <a:noFill/>
                        <a:ln>
                          <a:noFill/>
                        </a:ln>
                        <a:effectLst/>
                      </wps:spPr>
                      <wps:txbx>
                        <w:txbxContent>
                          <w:p w14:paraId="47599A6A">
                            <w:r>
                              <w:rPr>
                                <w:rFonts w:ascii="Times New Roman" w:eastAsia="Times New Roman"/>
                                <w:spacing w:val="-26"/>
                                <w:position w:val="15"/>
                                <w:szCs w:val="24"/>
                              </w:rPr>
                              <w:t>F</w:t>
                            </w:r>
                            <w:r>
                              <w:rPr>
                                <w:rFonts w:ascii="Times New Roman" w:eastAsia="Times New Roman"/>
                                <w:position w:val="9"/>
                                <w:sz w:val="14"/>
                                <w:szCs w:val="14"/>
                              </w:rPr>
                              <w:t>0</w:t>
                            </w:r>
                            <w:r>
                              <w:rPr>
                                <w:rFonts w:ascii="Times New Roman" w:eastAsia="Times New Roman"/>
                                <w:spacing w:val="20"/>
                                <w:position w:val="9"/>
                                <w:sz w:val="14"/>
                                <w:szCs w:val="14"/>
                              </w:rPr>
                              <w:t xml:space="preserve"> </w:t>
                            </w:r>
                          </w:p>
                        </w:txbxContent>
                      </wps:txbx>
                      <wps:bodyPr wrap="square" lIns="0" tIns="0" rIns="0" bIns="0" upright="1"/>
                    </wps:wsp>
                  </a:graphicData>
                </a:graphic>
              </wp:anchor>
            </w:drawing>
          </mc:Choice>
          <mc:Fallback>
            <w:pict>
              <v:shape id="_x0000_s1026" o:spid="_x0000_s1026" o:spt="202" type="#_x0000_t202" style="position:absolute;left:0pt;margin-left:255.65pt;margin-top:2.35pt;height:16.4pt;width:12.85pt;mso-position-horizontal-relative:page;z-index:251681792;mso-width-relative:page;mso-height-relative:page;" filled="f" stroked="f" coordsize="21600,21600" o:gfxdata="UEsDBAoAAAAAAIdO4kAAAAAAAAAAAAAAAAAEAAAAZHJzL1BLAwQUAAAACACHTuJAtTO3s9gAAAAI&#10;AQAADwAAAGRycy9kb3ducmV2LnhtbE2PzU7DMBCE70i8g7VI3KgdQpo2ZFMhBCckRBoOHJ3YTazG&#10;6xC7P7w95lSOoxnNfFNuznZkRz174wghWQhgmjqnDPUIn83r3QqYD5KUHB1phB/tYVNdX5WyUO5E&#10;tT5uQ89iCflCIgwhTAXnvhu0lX7hJk3R27nZyhDl3HM1y1MstyO/F2LJrTQUFwY56edBd/vtwSI8&#10;fVH9Yr7f2496V5umWQt6W+4Rb28S8Qgs6HO4hOEPP6JDFZladyDl2YiQJUkaowgPObDoZ2kev7UI&#10;aZ4Br0r+/0D1C1BLAwQUAAAACACHTuJAzkQvs8oBAACPAwAADgAAAGRycy9lMm9Eb2MueG1srVPN&#10;jtMwEL4j8Q6W7zRtV6xK1HSlVbUICQHSwgO4zqSx5D/GbpO+ALwBJy7cea4+B2MnKcty2cNenPH8&#10;fJ7vm8n6pjeaHQGDcrbii9mcM7DS1cruK/7l892rFWchClsL7SxU/ASB32xevlh3voSla52uARmB&#10;2FB2vuJtjL4siiBbMCLMnAdLwcahEZGuuC9qFB2hG10s5/PronNYe3QSQiDvdgjyERGfAuiaRknY&#10;OnkwYOOAiqBFJEqhVT7wTe62aUDGj00TIDJdcWIa80mPkL1LZ7FZi3KPwrdKji2Ip7TwiJMRytKj&#10;F6itiIIdUP0HZZREF1wTZ9KZYiCSFSEWi/kjbe5b4SFzIamDv4geng9Wfjh+Qqbqil8tOLPC0MTP&#10;P76ff/4+//rGyEcCdT6UlHfvKTP2t66ntZn8gZyJd9+gSV9ixChO8p4u8kIfmUxF11eLN685kxRa&#10;zlfLVZa/+FvsMcS34AxLRsWRppdFFcf3IVIjlDqlpLesu1Na5wlq+4+DEgcP5BUYqxOPod9kxX7X&#10;j+R2rj4Rt47WoOLh60EgcKbfWdI57cxk4GTsJuPgUe1bajXrUSRYmlNudNyptAgP72Q//I82f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1M7ez2AAAAAgBAAAPAAAAAAAAAAEAIAAAACIAAABkcnMv&#10;ZG93bnJldi54bWxQSwECFAAUAAAACACHTuJAzkQvs8oBAACPAwAADgAAAAAAAAABACAAAAAnAQAA&#10;ZHJzL2Uyb0RvYy54bWxQSwUGAAAAAAYABgBZAQAAYwUAAAAA&#10;">
                <v:fill on="f" focussize="0,0"/>
                <v:stroke on="f"/>
                <v:imagedata o:title=""/>
                <o:lock v:ext="edit" aspectratio="f"/>
                <v:textbox inset="0mm,0mm,0mm,0mm">
                  <w:txbxContent>
                    <w:p w14:paraId="47599A6A">
                      <w:r>
                        <w:rPr>
                          <w:rFonts w:ascii="Times New Roman" w:eastAsia="Times New Roman"/>
                          <w:spacing w:val="-26"/>
                          <w:position w:val="15"/>
                          <w:szCs w:val="24"/>
                        </w:rPr>
                        <w:t>F</w:t>
                      </w:r>
                      <w:r>
                        <w:rPr>
                          <w:rFonts w:ascii="Times New Roman" w:eastAsia="Times New Roman"/>
                          <w:position w:val="9"/>
                          <w:sz w:val="14"/>
                          <w:szCs w:val="14"/>
                        </w:rPr>
                        <w:t>0</w:t>
                      </w:r>
                      <w:r>
                        <w:rPr>
                          <w:rFonts w:ascii="Times New Roman" w:eastAsia="Times New Roman"/>
                          <w:spacing w:val="20"/>
                          <w:position w:val="9"/>
                          <w:sz w:val="14"/>
                          <w:szCs w:val="14"/>
                        </w:rPr>
                        <w:t xml:space="preserve"> </w:t>
                      </w:r>
                    </w:p>
                  </w:txbxContent>
                </v:textbox>
              </v:shape>
            </w:pict>
          </mc:Fallback>
        </mc:AlternateContent>
      </w:r>
      <w:r>
        <w:rPr>
          <w:rFonts w:hint="eastAsia" w:ascii="宋体" w:hAnsi="宋体" w:eastAsia="宋体" w:cs="宋体"/>
          <w:color w:val="auto"/>
          <w:sz w:val="14"/>
          <w:szCs w:val="14"/>
          <w:highlight w:val="none"/>
        </w:rPr>
        <w:t>1</w:t>
      </w:r>
      <w:r>
        <w:rPr>
          <w:rFonts w:hint="eastAsia" w:ascii="宋体" w:hAnsi="宋体" w:eastAsia="宋体" w:cs="宋体"/>
          <w:color w:val="auto"/>
          <w:sz w:val="14"/>
          <w:szCs w:val="14"/>
          <w:highlight w:val="none"/>
        </w:rPr>
        <w:tab/>
      </w:r>
      <w:r>
        <w:rPr>
          <w:rFonts w:hint="eastAsia" w:ascii="宋体" w:hAnsi="宋体" w:eastAsia="宋体" w:cs="宋体"/>
          <w:color w:val="auto"/>
          <w:sz w:val="14"/>
          <w:szCs w:val="14"/>
          <w:highlight w:val="none"/>
        </w:rPr>
        <w:t>0</w:t>
      </w:r>
    </w:p>
    <w:p w14:paraId="4A73E462">
      <w:pPr>
        <w:pStyle w:val="11"/>
        <w:spacing w:before="26"/>
        <w:ind w:left="3454" w:right="4848"/>
        <w:jc w:val="center"/>
        <w:rPr>
          <w:rFonts w:hint="eastAsia" w:ascii="宋体" w:hAnsi="宋体" w:eastAsia="宋体" w:cs="宋体"/>
          <w:color w:val="auto"/>
          <w:sz w:val="14"/>
          <w:szCs w:val="14"/>
          <w:highlight w:val="none"/>
          <w:lang w:val="en-US" w:eastAsia="zh-CN"/>
        </w:rPr>
      </w:pPr>
      <w:r>
        <w:rPr>
          <w:rFonts w:hint="eastAsia" w:ascii="宋体" w:hAnsi="宋体" w:eastAsia="宋体" w:cs="宋体"/>
          <w:color w:val="auto"/>
          <w:sz w:val="14"/>
          <w:szCs w:val="14"/>
          <w:highlight w:val="none"/>
          <w:lang w:val="en-US" w:eastAsia="zh-CN"/>
        </w:rPr>
        <w:t>x</w:t>
      </w:r>
    </w:p>
    <w:p w14:paraId="3DE7F123">
      <w:pPr>
        <w:spacing w:before="4" w:line="170" w:lineRule="exact"/>
        <w:rPr>
          <w:rFonts w:hint="eastAsia" w:ascii="宋体" w:hAnsi="宋体" w:eastAsia="宋体" w:cs="宋体"/>
          <w:color w:val="auto"/>
          <w:sz w:val="17"/>
          <w:szCs w:val="17"/>
          <w:highlight w:val="none"/>
        </w:rPr>
      </w:pPr>
    </w:p>
    <w:p w14:paraId="7A2F0507">
      <w:pPr>
        <w:spacing w:line="405" w:lineRule="exact"/>
        <w:ind w:left="328"/>
        <w:jc w:val="left"/>
        <w:rPr>
          <w:rFonts w:hint="eastAsia" w:ascii="宋体" w:hAnsi="宋体" w:eastAsia="宋体" w:cs="宋体"/>
          <w:color w:val="auto"/>
          <w:szCs w:val="24"/>
          <w:highlight w:val="none"/>
        </w:rPr>
      </w:pPr>
      <w:r>
        <w:rPr>
          <w:rFonts w:hint="eastAsia" w:ascii="宋体" w:hAnsi="宋体" w:eastAsia="宋体" w:cs="宋体"/>
          <w:color w:val="auto"/>
          <w:highlight w:val="none"/>
        </w:rPr>
        <mc:AlternateContent>
          <mc:Choice Requires="wpg">
            <w:drawing>
              <wp:anchor distT="0" distB="0" distL="114300" distR="114300" simplePos="0" relativeHeight="251682816" behindDoc="0" locked="0" layoutInCell="1" allowOverlap="1">
                <wp:simplePos x="0" y="0"/>
                <wp:positionH relativeFrom="page">
                  <wp:posOffset>3150235</wp:posOffset>
                </wp:positionH>
                <wp:positionV relativeFrom="paragraph">
                  <wp:posOffset>250825</wp:posOffset>
                </wp:positionV>
                <wp:extent cx="403860" cy="1270"/>
                <wp:effectExtent l="0" t="0" r="0" b="0"/>
                <wp:wrapNone/>
                <wp:docPr id="46" name="组合 46"/>
                <wp:cNvGraphicFramePr/>
                <a:graphic xmlns:a="http://schemas.openxmlformats.org/drawingml/2006/main">
                  <a:graphicData uri="http://schemas.microsoft.com/office/word/2010/wordprocessingGroup">
                    <wpg:wgp>
                      <wpg:cNvGrpSpPr/>
                      <wpg:grpSpPr>
                        <a:xfrm>
                          <a:off x="0" y="0"/>
                          <a:ext cx="403860" cy="1270"/>
                          <a:chOff x="4961" y="396"/>
                          <a:chExt cx="636" cy="2"/>
                        </a:xfrm>
                        <a:effectLst/>
                      </wpg:grpSpPr>
                      <wps:wsp>
                        <wps:cNvPr id="32" name="任意多边形 53"/>
                        <wps:cNvSpPr/>
                        <wps:spPr>
                          <a:xfrm>
                            <a:off x="4961" y="396"/>
                            <a:ext cx="636" cy="2"/>
                          </a:xfrm>
                          <a:custGeom>
                            <a:avLst/>
                            <a:gdLst/>
                            <a:ahLst/>
                            <a:cxnLst/>
                            <a:pathLst>
                              <a:path w="636">
                                <a:moveTo>
                                  <a:pt x="0" y="0"/>
                                </a:moveTo>
                                <a:lnTo>
                                  <a:pt x="636" y="0"/>
                                </a:lnTo>
                              </a:path>
                            </a:pathLst>
                          </a:custGeom>
                          <a:noFill/>
                          <a:ln w="6350" cap="flat" cmpd="sng">
                            <a:solidFill>
                              <a:srgbClr val="000000"/>
                            </a:solidFill>
                            <a:prstDash val="solid"/>
                            <a:headEnd type="none" w="med" len="med"/>
                            <a:tailEnd type="none" w="med" len="med"/>
                          </a:ln>
                          <a:effectLst/>
                        </wps:spPr>
                        <wps:bodyPr wrap="square" upright="1"/>
                      </wps:wsp>
                    </wpg:wgp>
                  </a:graphicData>
                </a:graphic>
              </wp:anchor>
            </w:drawing>
          </mc:Choice>
          <mc:Fallback>
            <w:pict>
              <v:group id="_x0000_s1026" o:spid="_x0000_s1026" o:spt="203" style="position:absolute;left:0pt;margin-left:248.05pt;margin-top:19.75pt;height:0.1pt;width:31.8pt;mso-position-horizontal-relative:page;z-index:251682816;mso-width-relative:page;mso-height-relative:page;" coordorigin="4961,396" coordsize="636,2" o:gfxdata="UEsDBAoAAAAAAIdO4kAAAAAAAAAAAAAAAAAEAAAAZHJzL1BLAwQUAAAACACHTuJASMOuYdoAAAAJ&#10;AQAADwAAAGRycy9kb3ducmV2LnhtbE2PwU7CQBCG7ya+w2ZMvMl2xQKt3RJD1BMhEUwMt6Ed2obu&#10;bNNdWnh7l5MeZ+bLP9+fLS+mFQP1rrGsQU0iEMSFLRuuNHzvPp4WIJxHLrG1TBqu5GCZ399lmJZ2&#10;5C8atr4SIYRdihpq77tUSlfUZNBNbEccbkfbG/Rh7CtZ9jiGcNPK5yiaSYMNhw81drSqqThtz0bD&#10;54jj21S9D+vTcXXd7+LNz1qR1o8PKnoF4eni/2C46Qd1yIPTwZ65dKLV8JLMVEA1TJMYRADiOJmD&#10;ONwWc5B5Jv83yH8BUEsDBBQAAAAIAIdO4kDa1paDoAIAANcFAAAOAAAAZHJzL2Uyb0RvYy54bWyl&#10;VM1uEzEQviPxDpbvdPPThnbVTQ+k7QVBpZYHcL3eXUte29hONrn3wA3OHFFfAkXwNBR4DGa8u0lJ&#10;Qaogh814ZjzzzTfjOT5Z1ooshPPS6IwO9waUCM1NLnWZ0TdXZ88OKfGB6Zwpo0VGV8LTk+nTJ8eN&#10;TcXIVEblwhEIon3a2IxWIdg0STyvRM38nrFCg7EwrmYBjq5McscaiF6rZDQYTJLGuNw6w4X3oJ21&#10;RtpFdI8JaIpCcjEzfF4LHdqoTigWoCRfSevpNKItCsHD66LwIhCVUag0xC8kAfkav8n0mKWlY7aS&#10;vIPAHgNhp6aaSQ1JN6FmLDAyd/JBqFpyZ7wpwh43ddIWEhmBKoaDHW7OnZnbWEuZNqXdkA6N2mH9&#10;n8PyV4sLR2Se0f0JJZrV0PEf65u7D+8IKICdxpYpOJ07e2kvXKco2xMWvCxcjf9QCllGXlcbXsUy&#10;EA7K/cH4cAKMczANR8871nkFrcE7+0eTISVgGx/FlCzl1Wl3dTIGWHhvhGCSbT4Rm/vSB1QjyA2m&#10;xsJg+i1b/v/YuqyYFbEJHono2BqPera+rdffb97f3X78+fXz3ZdP5GDc0ha9N5z51AN9fyDsYfE9&#10;a38tnc99OBcm0s4WLQUweXkvsaqX+FL3omUB1YgARdJkFBPguTYLcWWiJez0EAjfWpW+7xXh9b0G&#10;v9YKAoaPrdqkBOV9zNqcSaWgb3ipBXKA08FgmxTwikGsLUyk12XE542SOV7BG96V1y+UIwuGLzr+&#10;usn4zc06H2bMV61fNKEbSyvB8lOdk7CyMOoaVhxFCLXIKVECNiJK0TMwqR7jGWvH0Dsj2bcc5/Ha&#10;5CuYnAYWDdT1ds4cpJ1bJ8sKVtIwVtDNbTfO8N4jid1uwoVy/xy9tvt4+g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TBQAAW0NvbnRlbnRfVHlw&#10;ZXNdLnhtbFBLAQIUAAoAAAAAAIdO4kAAAAAAAAAAAAAAAAAGAAAAAAAAAAAAEAAAAPUDAABfcmVs&#10;cy9QSwECFAAUAAAACACHTuJAihRmPNEAAACUAQAACwAAAAAAAAABACAAAAAZBAAAX3JlbHMvLnJl&#10;bHNQSwECFAAKAAAAAACHTuJAAAAAAAAAAAAAAAAABAAAAAAAAAAAABAAAAAAAAAAZHJzL1BLAQIU&#10;ABQAAAAIAIdO4kBIw65h2gAAAAkBAAAPAAAAAAAAAAEAIAAAACIAAABkcnMvZG93bnJldi54bWxQ&#10;SwECFAAUAAAACACHTuJA2taWg6ACAADXBQAADgAAAAAAAAABACAAAAApAQAAZHJzL2Uyb0RvYy54&#10;bWxQSwUGAAAAAAYABgBZAQAAOwYAAAAA&#10;">
                <o:lock v:ext="edit" aspectratio="f"/>
                <v:shape id="任意多边形 53" o:spid="_x0000_s1026" o:spt="100" style="position:absolute;left:4961;top:396;height:2;width:636;" filled="f" stroked="t" coordsize="636,1" o:gfxdata="UEsDBAoAAAAAAIdO4kAAAAAAAAAAAAAAAAAEAAAAZHJzL1BLAwQUAAAACACHTuJAquPmMbwAAADb&#10;AAAADwAAAGRycy9kb3ducmV2LnhtbEWP3YrCMBSE7xd8h3AE79ZUBVmq0QvBX7xwu/sAh+bYFpuT&#10;msT68/RGELwcZuYbZjq/mVq05HxlWcGgn4Agzq2uuFDw/7f8/gHhA7LG2jIpuJOH+azzNcVU2yv/&#10;UpuFQkQI+xQVlCE0qZQ+L8mg79uGOHpH6wyGKF0htcNrhJtaDpNkLA1WHBdKbGhRUn7KLkbBCuvT&#10;tl0cWnps9+vQZGO3e5yV6nUHyQREoFv4hN/tjVYwGsLrS/wBcvY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rj5jG8AAAA&#10;2wAAAA8AAAAAAAAAAQAgAAAAIgAAAGRycy9kb3ducmV2LnhtbFBLAQIUABQAAAAIAIdO4kAzLwWe&#10;OwAAADkAAAAQAAAAAAAAAAEAIAAAAAsBAABkcnMvc2hhcGV4bWwueG1sUEsFBgAAAAAGAAYAWwEA&#10;ALUDAAAAAA==&#10;" path="m0,0l636,0e">
                  <v:fill on="f" focussize="0,0"/>
                  <v:stroke weight="0.5pt" color="#000000" joinstyle="round"/>
                  <v:imagedata o:title=""/>
                  <o:lock v:ext="edit" aspectratio="f"/>
                </v:shape>
              </v:group>
            </w:pict>
          </mc:Fallback>
        </mc:AlternateContent>
      </w:r>
      <w:r>
        <w:rPr>
          <w:rFonts w:hint="eastAsia" w:ascii="宋体" w:hAnsi="宋体" w:eastAsia="宋体" w:cs="宋体"/>
          <w:color w:val="auto"/>
          <w:spacing w:val="-1"/>
          <w:sz w:val="21"/>
          <w:szCs w:val="21"/>
          <w:highlight w:val="none"/>
        </w:rPr>
        <w:t>跌</w:t>
      </w:r>
      <w:r>
        <w:rPr>
          <w:rFonts w:hint="eastAsia" w:ascii="宋体" w:hAnsi="宋体" w:eastAsia="宋体" w:cs="宋体"/>
          <w:color w:val="auto"/>
          <w:spacing w:val="2"/>
          <w:sz w:val="21"/>
          <w:szCs w:val="21"/>
          <w:highlight w:val="none"/>
        </w:rPr>
        <w:t>价</w:t>
      </w:r>
      <w:r>
        <w:rPr>
          <w:rFonts w:hint="eastAsia" w:ascii="宋体" w:hAnsi="宋体" w:eastAsia="宋体" w:cs="宋体"/>
          <w:color w:val="auto"/>
          <w:spacing w:val="-1"/>
          <w:sz w:val="21"/>
          <w:szCs w:val="21"/>
          <w:highlight w:val="none"/>
        </w:rPr>
        <w:t>时</w:t>
      </w:r>
      <w:r>
        <w:rPr>
          <w:rFonts w:hint="eastAsia" w:ascii="宋体" w:hAnsi="宋体" w:eastAsia="宋体" w:cs="宋体"/>
          <w:color w:val="auto"/>
          <w:sz w:val="21"/>
          <w:szCs w:val="21"/>
          <w:highlight w:val="none"/>
        </w:rPr>
        <w:t>，</w:t>
      </w:r>
      <w:r>
        <w:rPr>
          <w:rFonts w:hint="eastAsia" w:ascii="宋体" w:hAnsi="宋体" w:eastAsia="宋体" w:cs="宋体"/>
          <w:color w:val="auto"/>
          <w:spacing w:val="-82"/>
          <w:sz w:val="21"/>
          <w:szCs w:val="21"/>
          <w:highlight w:val="none"/>
        </w:rPr>
        <w:t xml:space="preserve"> </w:t>
      </w:r>
      <w:r>
        <w:rPr>
          <w:rFonts w:hint="eastAsia" w:ascii="宋体" w:hAnsi="宋体" w:eastAsia="宋体" w:cs="宋体"/>
          <w:color w:val="auto"/>
          <w:szCs w:val="24"/>
          <w:highlight w:val="none"/>
        </w:rPr>
        <w:t>结算单价</w:t>
      </w:r>
      <w:r>
        <w:rPr>
          <w:rFonts w:hint="eastAsia" w:ascii="宋体" w:hAnsi="宋体" w:eastAsia="宋体" w:cs="宋体"/>
          <w:color w:val="auto"/>
          <w:spacing w:val="9"/>
          <w:szCs w:val="24"/>
          <w:highlight w:val="none"/>
        </w:rPr>
        <w:t>＝</w:t>
      </w:r>
      <w:r>
        <w:rPr>
          <w:rFonts w:hint="eastAsia" w:ascii="宋体" w:hAnsi="宋体" w:eastAsia="宋体" w:cs="宋体"/>
          <w:color w:val="auto"/>
          <w:spacing w:val="7"/>
          <w:szCs w:val="24"/>
          <w:highlight w:val="none"/>
        </w:rPr>
        <w:t>F</w:t>
      </w:r>
      <w:r>
        <w:rPr>
          <w:rFonts w:hint="eastAsia" w:ascii="宋体" w:hAnsi="宋体" w:eastAsia="宋体" w:cs="宋体"/>
          <w:color w:val="auto"/>
          <w:spacing w:val="1"/>
          <w:szCs w:val="24"/>
          <w:highlight w:val="none"/>
        </w:rPr>
        <w:t>＋</w:t>
      </w:r>
      <w:r>
        <w:rPr>
          <w:rFonts w:hint="eastAsia" w:ascii="宋体" w:hAnsi="宋体" w:eastAsia="宋体" w:cs="宋体"/>
          <w:color w:val="auto"/>
          <w:szCs w:val="24"/>
          <w:highlight w:val="none"/>
        </w:rPr>
        <w:t>F</w:t>
      </w:r>
      <w:r>
        <w:rPr>
          <w:rFonts w:hint="eastAsia" w:ascii="宋体" w:hAnsi="宋体" w:eastAsia="宋体" w:cs="宋体"/>
          <w:color w:val="auto"/>
          <w:spacing w:val="16"/>
          <w:szCs w:val="24"/>
          <w:highlight w:val="none"/>
        </w:rPr>
        <w:t xml:space="preserve"> </w:t>
      </w:r>
      <w:r>
        <w:rPr>
          <w:rFonts w:hint="eastAsia" w:ascii="宋体" w:hAnsi="宋体" w:eastAsia="宋体" w:cs="宋体"/>
          <w:color w:val="auto"/>
          <w:spacing w:val="-102"/>
          <w:szCs w:val="24"/>
          <w:highlight w:val="none"/>
        </w:rPr>
        <w:t></w:t>
      </w:r>
      <w:r>
        <w:rPr>
          <w:rFonts w:hint="eastAsia" w:ascii="宋体" w:hAnsi="宋体" w:eastAsia="宋体" w:cs="宋体"/>
          <w:color w:val="auto"/>
          <w:szCs w:val="24"/>
          <w:highlight w:val="none"/>
        </w:rPr>
        <w:t xml:space="preserve">（  </w:t>
      </w:r>
      <w:r>
        <w:rPr>
          <w:rFonts w:hint="eastAsia" w:ascii="宋体" w:hAnsi="宋体" w:eastAsia="宋体" w:cs="宋体"/>
          <w:color w:val="auto"/>
          <w:spacing w:val="-100"/>
          <w:szCs w:val="24"/>
          <w:highlight w:val="none"/>
        </w:rPr>
        <w:t xml:space="preserve"> </w:t>
      </w:r>
      <w:r>
        <w:rPr>
          <w:rFonts w:hint="eastAsia" w:ascii="宋体" w:hAnsi="宋体" w:eastAsia="宋体" w:cs="宋体"/>
          <w:color w:val="auto"/>
          <w:spacing w:val="-23"/>
          <w:position w:val="15"/>
          <w:szCs w:val="24"/>
          <w:highlight w:val="none"/>
        </w:rPr>
        <w:t>F</w:t>
      </w:r>
      <w:r>
        <w:rPr>
          <w:rFonts w:hint="eastAsia" w:ascii="宋体" w:hAnsi="宋体" w:eastAsia="宋体" w:cs="宋体"/>
          <w:color w:val="auto"/>
          <w:spacing w:val="-15"/>
          <w:position w:val="9"/>
          <w:sz w:val="14"/>
          <w:szCs w:val="14"/>
          <w:highlight w:val="none"/>
        </w:rPr>
        <w:t>2</w:t>
      </w:r>
      <w:r>
        <w:rPr>
          <w:rFonts w:hint="eastAsia" w:ascii="宋体" w:hAnsi="宋体" w:eastAsia="宋体" w:cs="宋体"/>
          <w:color w:val="auto"/>
          <w:spacing w:val="1"/>
          <w:position w:val="15"/>
          <w:szCs w:val="24"/>
          <w:highlight w:val="none"/>
        </w:rPr>
        <w:t>－</w:t>
      </w:r>
      <w:r>
        <w:rPr>
          <w:rFonts w:hint="eastAsia" w:ascii="宋体" w:hAnsi="宋体" w:eastAsia="宋体" w:cs="宋体"/>
          <w:color w:val="auto"/>
          <w:spacing w:val="-26"/>
          <w:position w:val="15"/>
          <w:szCs w:val="24"/>
          <w:highlight w:val="none"/>
        </w:rPr>
        <w:t>F</w:t>
      </w:r>
      <w:r>
        <w:rPr>
          <w:rFonts w:hint="eastAsia" w:ascii="宋体" w:hAnsi="宋体" w:eastAsia="宋体" w:cs="宋体"/>
          <w:color w:val="auto"/>
          <w:position w:val="9"/>
          <w:sz w:val="14"/>
          <w:szCs w:val="14"/>
          <w:highlight w:val="none"/>
        </w:rPr>
        <w:t>0</w:t>
      </w:r>
      <w:r>
        <w:rPr>
          <w:rFonts w:hint="eastAsia" w:ascii="宋体" w:hAnsi="宋体" w:eastAsia="宋体" w:cs="宋体"/>
          <w:color w:val="auto"/>
          <w:spacing w:val="20"/>
          <w:position w:val="9"/>
          <w:sz w:val="14"/>
          <w:szCs w:val="14"/>
          <w:highlight w:val="none"/>
        </w:rPr>
        <w:t xml:space="preserve"> </w:t>
      </w:r>
      <w:r>
        <w:rPr>
          <w:rFonts w:hint="eastAsia" w:ascii="宋体" w:hAnsi="宋体" w:eastAsia="宋体" w:cs="宋体"/>
          <w:color w:val="auto"/>
          <w:spacing w:val="8"/>
          <w:szCs w:val="24"/>
          <w:highlight w:val="none"/>
        </w:rPr>
        <w:t></w:t>
      </w:r>
      <w:r>
        <w:rPr>
          <w:rFonts w:hint="eastAsia" w:ascii="宋体" w:hAnsi="宋体" w:eastAsia="宋体" w:cs="宋体"/>
          <w:color w:val="auto"/>
          <w:spacing w:val="8"/>
          <w:szCs w:val="24"/>
          <w:highlight w:val="none"/>
          <w:lang w:val="en-US" w:eastAsia="zh-CN"/>
        </w:rPr>
        <w:t>x</w:t>
      </w:r>
      <w:r>
        <w:rPr>
          <w:rFonts w:hint="eastAsia" w:ascii="宋体" w:hAnsi="宋体" w:eastAsia="宋体" w:cs="宋体"/>
          <w:color w:val="auto"/>
          <w:szCs w:val="24"/>
          <w:highlight w:val="none"/>
        </w:rPr>
        <w:t>10</w:t>
      </w:r>
      <w:r>
        <w:rPr>
          <w:rFonts w:hint="eastAsia" w:ascii="宋体" w:hAnsi="宋体" w:eastAsia="宋体" w:cs="宋体"/>
          <w:color w:val="auto"/>
          <w:spacing w:val="2"/>
          <w:szCs w:val="24"/>
          <w:highlight w:val="none"/>
        </w:rPr>
        <w:t>0</w:t>
      </w:r>
      <w:r>
        <w:rPr>
          <w:rFonts w:hint="eastAsia" w:ascii="宋体" w:hAnsi="宋体" w:eastAsia="宋体" w:cs="宋体"/>
          <w:color w:val="auto"/>
          <w:spacing w:val="-20"/>
          <w:szCs w:val="24"/>
          <w:highlight w:val="none"/>
        </w:rPr>
        <w:t>%</w:t>
      </w:r>
      <w:r>
        <w:rPr>
          <w:rFonts w:hint="eastAsia" w:ascii="宋体" w:hAnsi="宋体" w:eastAsia="宋体" w:cs="宋体"/>
          <w:color w:val="auto"/>
          <w:spacing w:val="1"/>
          <w:szCs w:val="24"/>
          <w:highlight w:val="none"/>
        </w:rPr>
        <w:t>＋</w:t>
      </w:r>
      <w:r>
        <w:rPr>
          <w:rFonts w:hint="eastAsia" w:ascii="宋体" w:hAnsi="宋体" w:eastAsia="宋体" w:cs="宋体"/>
          <w:color w:val="auto"/>
          <w:spacing w:val="-5"/>
          <w:szCs w:val="24"/>
          <w:highlight w:val="none"/>
        </w:rPr>
        <w:t>B</w:t>
      </w:r>
      <w:r>
        <w:rPr>
          <w:rFonts w:hint="eastAsia" w:ascii="宋体" w:hAnsi="宋体" w:eastAsia="宋体" w:cs="宋体"/>
          <w:color w:val="auto"/>
          <w:szCs w:val="24"/>
          <w:highlight w:val="none"/>
        </w:rPr>
        <w:t>）</w:t>
      </w:r>
    </w:p>
    <w:p w14:paraId="1FF45CF6">
      <w:pPr>
        <w:pStyle w:val="11"/>
        <w:tabs>
          <w:tab w:val="left" w:pos="2884"/>
        </w:tabs>
        <w:spacing w:line="142" w:lineRule="exact"/>
        <w:ind w:firstLine="2520" w:firstLineChars="1800"/>
        <w:jc w:val="left"/>
        <w:rPr>
          <w:rFonts w:hint="eastAsia" w:ascii="宋体" w:hAnsi="宋体" w:eastAsia="宋体" w:cs="宋体"/>
          <w:color w:val="auto"/>
          <w:sz w:val="14"/>
          <w:szCs w:val="14"/>
          <w:highlight w:val="none"/>
        </w:rPr>
      </w:pPr>
      <w:r>
        <w:rPr>
          <w:rFonts w:hint="eastAsia" w:ascii="宋体" w:hAnsi="宋体" w:eastAsia="宋体" w:cs="宋体"/>
          <w:color w:val="auto"/>
          <w:sz w:val="14"/>
          <w:szCs w:val="14"/>
          <w:highlight w:val="none"/>
        </w:rPr>
        <mc:AlternateContent>
          <mc:Choice Requires="wps">
            <w:drawing>
              <wp:anchor distT="0" distB="0" distL="114300" distR="114300" simplePos="0" relativeHeight="251683840" behindDoc="0" locked="0" layoutInCell="1" allowOverlap="1">
                <wp:simplePos x="0" y="0"/>
                <wp:positionH relativeFrom="page">
                  <wp:posOffset>3289300</wp:posOffset>
                </wp:positionH>
                <wp:positionV relativeFrom="paragraph">
                  <wp:posOffset>29845</wp:posOffset>
                </wp:positionV>
                <wp:extent cx="296545" cy="24638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296545" cy="246380"/>
                        </a:xfrm>
                        <a:prstGeom prst="rect">
                          <a:avLst/>
                        </a:prstGeom>
                        <a:noFill/>
                        <a:ln>
                          <a:noFill/>
                        </a:ln>
                        <a:effectLst/>
                      </wps:spPr>
                      <wps:txbx>
                        <w:txbxContent>
                          <w:p w14:paraId="52AC9BE9">
                            <w:r>
                              <w:rPr>
                                <w:rFonts w:ascii="Times New Roman" w:eastAsia="Times New Roman"/>
                                <w:spacing w:val="-26"/>
                                <w:position w:val="15"/>
                                <w:szCs w:val="24"/>
                              </w:rPr>
                              <w:t>F</w:t>
                            </w:r>
                            <w:r>
                              <w:rPr>
                                <w:rFonts w:ascii="Times New Roman" w:eastAsia="Times New Roman"/>
                                <w:position w:val="9"/>
                                <w:sz w:val="14"/>
                                <w:szCs w:val="14"/>
                              </w:rPr>
                              <w:t>0</w:t>
                            </w:r>
                          </w:p>
                        </w:txbxContent>
                      </wps:txbx>
                      <wps:bodyPr wrap="square" lIns="0" tIns="0" rIns="0" bIns="0" upright="1"/>
                    </wps:wsp>
                  </a:graphicData>
                </a:graphic>
              </wp:anchor>
            </w:drawing>
          </mc:Choice>
          <mc:Fallback>
            <w:pict>
              <v:shape id="_x0000_s1026" o:spid="_x0000_s1026" o:spt="202" type="#_x0000_t202" style="position:absolute;left:0pt;margin-left:259pt;margin-top:2.35pt;height:19.4pt;width:23.35pt;mso-position-horizontal-relative:page;z-index:251683840;mso-width-relative:page;mso-height-relative:page;" filled="f" stroked="f" coordsize="21600,21600" o:gfxdata="UEsDBAoAAAAAAIdO4kAAAAAAAAAAAAAAAAAEAAAAZHJzL1BLAwQUAAAACACHTuJA3kLzGdcAAAAI&#10;AQAADwAAAGRycy9kb3ducmV2LnhtbE2PzU7DMBCE70i8g7VI3KgdIKGEOBVCcEJCTcOBoxNvk6jx&#10;OsTuD2/P9gS3Hc1o9ptidXKjOOAcBk8akoUCgdR6O1Cn4bN+u1mCCNGQNaMn1PCDAVbl5UVhcuuP&#10;VOFhEzvBJRRyo6GPccqlDG2PzoSFn5DY2/rZmchy7qSdzZHL3ShvlcqkMwPxh95M+NJju9vsnYbn&#10;L6peh++PZl1tq6GuHxW9Zzutr68S9QQi4in+heGMz+hQMlPj92SDGDWkyZK3RA33DyDYT7Pz0bC+&#10;S0GWhfw/oPwFUEsDBBQAAAAIAIdO4kAoYIE0ywEAAI8DAAAOAAAAZHJzL2Uyb0RvYy54bWytU0uO&#10;2zAM3RfoHQTtG2cymWAaxBmgCKYoULQFpj2AItOxAP0qKrFzgfYGXXXTfc+Vcwwl2+l8NrPoRqZI&#10;6pHvkV7ddEazAwRUzpb8YjLlDKx0lbK7kn/7evvmmjOMwlZCOwslPwLym/XrV6vWL2HmGqcrCIxA&#10;LC5bX/ImRr8sCpQNGIET58FSsHbBiEjXsCuqIFpCN7qYTaeLonWh8sFJQCTvpg/yATG8BNDVtZKw&#10;cXJvwMYeNYAWkShhozzyde62rkHGz3WNEJkuOTGN+aQiZG/TWaxXYrkLwjdKDi2Il7TwhJMRylLR&#10;M9RGRMH2QT2DMkoGh66OE+lM0RPJihCLi+kTbe4a4SFzIanRn0XH/wcrPx2+BKaqkl/OObPC0MRP&#10;v36efv89/fnByEcCtR6XlHfnKTN271xHazP6kZyJd1cHk77EiFGc5D2e5YUuMknO2dvF1fyKM0mh&#10;2XxxeZ3lL/499gHje3CGJaPkgaaXRRWHjxipEUodU1It626V1nmC2j5yUGLvgbwCw+vEo+83WbHb&#10;dgO5rauOxK2lNSg5ft+LAJzpD5Z0TjszGmE0tqOx90HtGmo161EkWJpTbnTYqbQID+9kP/yP1v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DeQvMZ1wAAAAgBAAAPAAAAAAAAAAEAIAAAACIAAABkcnMv&#10;ZG93bnJldi54bWxQSwECFAAUAAAACACHTuJAKGCBNMsBAACPAwAADgAAAAAAAAABACAAAAAmAQAA&#10;ZHJzL2Uyb0RvYy54bWxQSwUGAAAAAAYABgBZAQAAYwUAAAAA&#10;">
                <v:fill on="f" focussize="0,0"/>
                <v:stroke on="f"/>
                <v:imagedata o:title=""/>
                <o:lock v:ext="edit" aspectratio="f"/>
                <v:textbox inset="0mm,0mm,0mm,0mm">
                  <w:txbxContent>
                    <w:p w14:paraId="52AC9BE9">
                      <w:r>
                        <w:rPr>
                          <w:rFonts w:ascii="Times New Roman" w:eastAsia="Times New Roman"/>
                          <w:spacing w:val="-26"/>
                          <w:position w:val="15"/>
                          <w:szCs w:val="24"/>
                        </w:rPr>
                        <w:t>F</w:t>
                      </w:r>
                      <w:r>
                        <w:rPr>
                          <w:rFonts w:ascii="Times New Roman" w:eastAsia="Times New Roman"/>
                          <w:position w:val="9"/>
                          <w:sz w:val="14"/>
                          <w:szCs w:val="14"/>
                        </w:rPr>
                        <w:t>0</w:t>
                      </w:r>
                    </w:p>
                  </w:txbxContent>
                </v:textbox>
              </v:shape>
            </w:pict>
          </mc:Fallback>
        </mc:AlternateContent>
      </w:r>
      <w:r>
        <w:rPr>
          <w:rFonts w:hint="eastAsia" w:ascii="宋体" w:hAnsi="宋体" w:eastAsia="宋体" w:cs="宋体"/>
          <w:color w:val="auto"/>
          <w:sz w:val="14"/>
          <w:szCs w:val="14"/>
          <w:highlight w:val="none"/>
        </w:rPr>
        <w:t>1    0</w:t>
      </w:r>
    </w:p>
    <w:p w14:paraId="7D1EF219">
      <w:pPr>
        <w:pStyle w:val="11"/>
        <w:spacing w:before="26"/>
        <w:ind w:left="3521" w:right="4781"/>
        <w:jc w:val="center"/>
        <w:rPr>
          <w:rFonts w:hint="eastAsia" w:ascii="宋体" w:hAnsi="宋体" w:eastAsia="宋体" w:cs="宋体"/>
          <w:color w:val="auto"/>
          <w:sz w:val="14"/>
          <w:szCs w:val="14"/>
          <w:highlight w:val="none"/>
        </w:rPr>
      </w:pPr>
    </w:p>
    <w:p w14:paraId="38470333">
      <w:pPr>
        <w:wordWrap w:val="0"/>
        <w:adjustRightInd w:val="0"/>
        <w:snapToGrid w:val="0"/>
        <w:spacing w:line="440" w:lineRule="exact"/>
        <w:ind w:firstLine="480" w:firstLineChars="200"/>
        <w:rPr>
          <w:rFonts w:hint="eastAsia" w:ascii="宋体" w:hAnsi="宋体" w:eastAsia="宋体" w:cs="宋体"/>
          <w:bCs/>
          <w:snapToGrid w:val="0"/>
          <w:color w:val="auto"/>
          <w:kern w:val="0"/>
          <w:szCs w:val="28"/>
          <w:highlight w:val="none"/>
        </w:rPr>
      </w:pPr>
      <w:r>
        <w:rPr>
          <w:rFonts w:hint="eastAsia" w:ascii="宋体" w:hAnsi="宋体" w:eastAsia="宋体" w:cs="宋体"/>
          <w:snapToGrid w:val="0"/>
          <w:color w:val="auto"/>
          <w:kern w:val="0"/>
          <w:szCs w:val="24"/>
          <w:highlight w:val="none"/>
        </w:rPr>
        <w:t>以上公式中，</w:t>
      </w:r>
      <w:r>
        <w:rPr>
          <w:rFonts w:hint="eastAsia" w:ascii="宋体" w:hAnsi="宋体" w:eastAsia="宋体" w:cs="宋体"/>
          <w:bCs/>
          <w:snapToGrid w:val="0"/>
          <w:color w:val="auto"/>
          <w:kern w:val="0"/>
          <w:szCs w:val="28"/>
          <w:highlight w:val="none"/>
        </w:rPr>
        <w:t>F</w:t>
      </w:r>
      <w:r>
        <w:rPr>
          <w:rFonts w:hint="eastAsia" w:ascii="宋体" w:hAnsi="宋体" w:eastAsia="宋体" w:cs="宋体"/>
          <w:bCs/>
          <w:snapToGrid w:val="0"/>
          <w:color w:val="auto"/>
          <w:kern w:val="0"/>
          <w:szCs w:val="28"/>
          <w:highlight w:val="none"/>
          <w:vertAlign w:val="subscript"/>
        </w:rPr>
        <w:t>1</w:t>
      </w:r>
      <w:r>
        <w:rPr>
          <w:rFonts w:hint="eastAsia" w:ascii="宋体" w:hAnsi="宋体" w:eastAsia="宋体" w:cs="宋体"/>
          <w:bCs/>
          <w:snapToGrid w:val="0"/>
          <w:color w:val="auto"/>
          <w:kern w:val="0"/>
          <w:szCs w:val="28"/>
          <w:highlight w:val="none"/>
        </w:rPr>
        <w:t>为中标单价；F</w:t>
      </w:r>
      <w:r>
        <w:rPr>
          <w:rFonts w:hint="eastAsia" w:ascii="宋体" w:hAnsi="宋体" w:eastAsia="宋体" w:cs="宋体"/>
          <w:bCs/>
          <w:snapToGrid w:val="0"/>
          <w:color w:val="auto"/>
          <w:kern w:val="0"/>
          <w:szCs w:val="28"/>
          <w:highlight w:val="none"/>
          <w:vertAlign w:val="subscript"/>
        </w:rPr>
        <w:t>0</w:t>
      </w:r>
      <w:r>
        <w:rPr>
          <w:rFonts w:hint="eastAsia" w:ascii="宋体" w:hAnsi="宋体" w:eastAsia="宋体" w:cs="宋体"/>
          <w:bCs/>
          <w:snapToGrid w:val="0"/>
          <w:color w:val="auto"/>
          <w:kern w:val="0"/>
          <w:szCs w:val="28"/>
          <w:highlight w:val="none"/>
        </w:rPr>
        <w:t>为基准单价；F</w:t>
      </w:r>
      <w:r>
        <w:rPr>
          <w:rFonts w:hint="eastAsia" w:ascii="宋体" w:hAnsi="宋体" w:eastAsia="宋体" w:cs="宋体"/>
          <w:bCs/>
          <w:snapToGrid w:val="0"/>
          <w:color w:val="auto"/>
          <w:kern w:val="0"/>
          <w:szCs w:val="28"/>
          <w:highlight w:val="none"/>
          <w:vertAlign w:val="subscript"/>
        </w:rPr>
        <w:t>2</w:t>
      </w:r>
      <w:r>
        <w:rPr>
          <w:rFonts w:hint="eastAsia" w:ascii="宋体" w:hAnsi="宋体" w:eastAsia="宋体" w:cs="宋体"/>
          <w:bCs/>
          <w:snapToGrid w:val="0"/>
          <w:color w:val="auto"/>
          <w:kern w:val="0"/>
          <w:szCs w:val="28"/>
          <w:highlight w:val="none"/>
        </w:rPr>
        <w:t>为施工当月项目所在地工程造价管理机构发布的施工机具台班单价；B为合同约定的施工机具台班单价涨跌风险幅度值。</w:t>
      </w:r>
    </w:p>
    <w:p w14:paraId="3D37E4A1">
      <w:pPr>
        <w:wordWrap w:val="0"/>
        <w:adjustRightInd w:val="0"/>
        <w:snapToGrid w:val="0"/>
        <w:spacing w:line="440" w:lineRule="exact"/>
        <w:ind w:firstLine="482" w:firstLineChars="200"/>
        <w:rPr>
          <w:rFonts w:hint="eastAsia" w:ascii="宋体" w:hAnsi="宋体" w:eastAsia="宋体" w:cs="宋体"/>
          <w:bCs/>
          <w:snapToGrid w:val="0"/>
          <w:color w:val="auto"/>
          <w:kern w:val="0"/>
          <w:szCs w:val="28"/>
          <w:highlight w:val="none"/>
        </w:rPr>
      </w:pPr>
      <w:r>
        <w:rPr>
          <w:rFonts w:hint="eastAsia" w:ascii="宋体" w:hAnsi="宋体" w:eastAsia="宋体" w:cs="宋体"/>
          <w:b/>
          <w:snapToGrid w:val="0"/>
          <w:color w:val="auto"/>
          <w:kern w:val="0"/>
          <w:szCs w:val="28"/>
          <w:highlight w:val="none"/>
        </w:rPr>
        <w:t>2.3.7</w:t>
      </w:r>
      <w:r>
        <w:rPr>
          <w:rFonts w:hint="eastAsia" w:ascii="宋体" w:hAnsi="宋体" w:eastAsia="宋体" w:cs="宋体"/>
          <w:bCs/>
          <w:snapToGrid w:val="0"/>
          <w:color w:val="auto"/>
          <w:kern w:val="0"/>
          <w:szCs w:val="28"/>
          <w:highlight w:val="none"/>
        </w:rPr>
        <w:t xml:space="preserve"> 暂估价和暂列金额</w:t>
      </w:r>
    </w:p>
    <w:p w14:paraId="1E367EB2">
      <w:pPr>
        <w:wordWrap w:val="0"/>
        <w:adjustRightInd w:val="0"/>
        <w:snapToGrid w:val="0"/>
        <w:spacing w:line="440" w:lineRule="exact"/>
        <w:ind w:firstLine="482" w:firstLineChars="200"/>
        <w:rPr>
          <w:rFonts w:hint="eastAsia" w:ascii="宋体" w:hAnsi="宋体" w:eastAsia="宋体" w:cs="宋体"/>
          <w:bCs/>
          <w:snapToGrid w:val="0"/>
          <w:color w:val="auto"/>
          <w:kern w:val="0"/>
          <w:szCs w:val="28"/>
          <w:highlight w:val="none"/>
        </w:rPr>
      </w:pPr>
      <w:r>
        <w:rPr>
          <w:rFonts w:hint="eastAsia" w:ascii="宋体" w:hAnsi="宋体" w:eastAsia="宋体" w:cs="宋体"/>
          <w:b/>
          <w:snapToGrid w:val="0"/>
          <w:color w:val="auto"/>
          <w:kern w:val="0"/>
          <w:szCs w:val="28"/>
          <w:highlight w:val="none"/>
        </w:rPr>
        <w:t>2.3.7.1</w:t>
      </w:r>
      <w:r>
        <w:rPr>
          <w:rFonts w:hint="eastAsia" w:ascii="宋体" w:hAnsi="宋体" w:eastAsia="宋体" w:cs="宋体"/>
          <w:bCs/>
          <w:snapToGrid w:val="0"/>
          <w:color w:val="auto"/>
          <w:kern w:val="0"/>
          <w:szCs w:val="28"/>
          <w:highlight w:val="none"/>
        </w:rPr>
        <w:t xml:space="preserve"> 暂估价项目按第一章第三节“投标人须知正文”第</w:t>
      </w:r>
      <w:r>
        <w:rPr>
          <w:rFonts w:hint="eastAsia" w:ascii="宋体" w:hAnsi="宋体" w:eastAsia="宋体" w:cs="宋体"/>
          <w:b/>
          <w:bCs/>
          <w:snapToGrid w:val="0"/>
          <w:color w:val="auto"/>
          <w:kern w:val="0"/>
          <w:highlight w:val="none"/>
        </w:rPr>
        <w:t>8.5</w:t>
      </w:r>
      <w:r>
        <w:rPr>
          <w:rFonts w:hint="eastAsia" w:ascii="宋体" w:hAnsi="宋体" w:eastAsia="宋体" w:cs="宋体"/>
          <w:bCs/>
          <w:snapToGrid w:val="0"/>
          <w:color w:val="auto"/>
          <w:kern w:val="0"/>
          <w:szCs w:val="28"/>
          <w:highlight w:val="none"/>
        </w:rPr>
        <w:t>条的规定确定专业工程承包人（或材料供应商、工程设备供应商）后，将专业工程合同价款（或材料单价、工程设备单价）取代相应暂估价，并调整合同价款。</w:t>
      </w:r>
    </w:p>
    <w:p w14:paraId="48D92A89">
      <w:pPr>
        <w:wordWrap w:val="0"/>
        <w:adjustRightInd w:val="0"/>
        <w:snapToGrid w:val="0"/>
        <w:spacing w:line="440" w:lineRule="exact"/>
        <w:ind w:firstLine="482" w:firstLineChars="200"/>
        <w:rPr>
          <w:rFonts w:hint="eastAsia" w:ascii="宋体" w:hAnsi="宋体" w:eastAsia="宋体" w:cs="宋体"/>
          <w:bCs/>
          <w:snapToGrid w:val="0"/>
          <w:color w:val="auto"/>
          <w:kern w:val="0"/>
          <w:szCs w:val="28"/>
          <w:highlight w:val="none"/>
        </w:rPr>
      </w:pPr>
      <w:r>
        <w:rPr>
          <w:rFonts w:hint="eastAsia" w:ascii="宋体" w:hAnsi="宋体" w:eastAsia="宋体" w:cs="宋体"/>
          <w:b/>
          <w:snapToGrid w:val="0"/>
          <w:color w:val="auto"/>
          <w:kern w:val="0"/>
          <w:szCs w:val="28"/>
          <w:highlight w:val="none"/>
        </w:rPr>
        <w:t>2.3.7.2</w:t>
      </w:r>
      <w:r>
        <w:rPr>
          <w:rFonts w:hint="eastAsia" w:ascii="宋体" w:hAnsi="宋体" w:eastAsia="宋体" w:cs="宋体"/>
          <w:bCs/>
          <w:snapToGrid w:val="0"/>
          <w:color w:val="auto"/>
          <w:kern w:val="0"/>
          <w:szCs w:val="28"/>
          <w:highlight w:val="none"/>
        </w:rPr>
        <w:t xml:space="preserve"> 暂列金额由发包人掌握和使用。暂列金额项目若有发生，按第一章第三节“投标人须知正文”第</w:t>
      </w:r>
      <w:r>
        <w:rPr>
          <w:rFonts w:hint="eastAsia" w:ascii="宋体" w:hAnsi="宋体" w:eastAsia="宋体" w:cs="宋体"/>
          <w:b/>
          <w:snapToGrid w:val="0"/>
          <w:color w:val="auto"/>
          <w:kern w:val="0"/>
          <w:szCs w:val="28"/>
          <w:highlight w:val="none"/>
        </w:rPr>
        <w:t>8.6</w:t>
      </w:r>
      <w:r>
        <w:rPr>
          <w:rFonts w:hint="eastAsia" w:ascii="宋体" w:hAnsi="宋体" w:eastAsia="宋体" w:cs="宋体"/>
          <w:bCs/>
          <w:snapToGrid w:val="0"/>
          <w:color w:val="auto"/>
          <w:kern w:val="0"/>
          <w:szCs w:val="28"/>
          <w:highlight w:val="none"/>
        </w:rPr>
        <w:t>条的规定确定材料供应商（或工程设备供应商、服务供应商）后，材料（或工程设备、服务）的合同价款从暂列金额中支付。暂列金额扣除已发生的暂列金额项目合同价款、已发生的合同约定调整因素出现时的调整价款、已发生的索赔以及现场签证确认等的费用后，余额（若有）归发包人所有。</w:t>
      </w:r>
    </w:p>
    <w:p w14:paraId="16AA41AC">
      <w:pPr>
        <w:wordWrap w:val="0"/>
        <w:adjustRightInd w:val="0"/>
        <w:snapToGrid w:val="0"/>
        <w:spacing w:line="440" w:lineRule="exact"/>
        <w:ind w:firstLine="482" w:firstLineChars="200"/>
        <w:rPr>
          <w:rFonts w:hint="eastAsia" w:ascii="宋体" w:hAnsi="宋体" w:eastAsia="宋体" w:cs="宋体"/>
          <w:bCs/>
          <w:snapToGrid w:val="0"/>
          <w:color w:val="auto"/>
          <w:kern w:val="0"/>
          <w:szCs w:val="28"/>
          <w:highlight w:val="none"/>
        </w:rPr>
      </w:pPr>
      <w:r>
        <w:rPr>
          <w:rFonts w:hint="eastAsia" w:ascii="宋体" w:hAnsi="宋体" w:eastAsia="宋体" w:cs="宋体"/>
          <w:b/>
          <w:snapToGrid w:val="0"/>
          <w:color w:val="auto"/>
          <w:kern w:val="0"/>
          <w:szCs w:val="28"/>
          <w:highlight w:val="none"/>
        </w:rPr>
        <w:t>2.3.8</w:t>
      </w:r>
      <w:r>
        <w:rPr>
          <w:rFonts w:hint="eastAsia" w:ascii="宋体" w:hAnsi="宋体" w:eastAsia="宋体" w:cs="宋体"/>
          <w:bCs/>
          <w:snapToGrid w:val="0"/>
          <w:color w:val="auto"/>
          <w:kern w:val="0"/>
          <w:szCs w:val="28"/>
          <w:highlight w:val="none"/>
        </w:rPr>
        <w:t xml:space="preserve"> 预算包干费按照广东省建设工程计价依据（2018)有关规定执行。本招标项目的预算包干内容包括：</w:t>
      </w:r>
      <w:r>
        <w:rPr>
          <w:rFonts w:hint="eastAsia" w:ascii="宋体" w:hAnsi="宋体" w:eastAsia="宋体" w:cs="宋体"/>
          <w:bCs/>
          <w:snapToGrid w:val="0"/>
          <w:color w:val="auto"/>
          <w:kern w:val="0"/>
          <w:szCs w:val="28"/>
          <w:highlight w:val="none"/>
          <w:u w:val="single"/>
        </w:rPr>
        <w:t xml:space="preserve">施工雨水污水的排除；因地形（场地）影响造成的场内料具二次运输；工程用水加压措施；施工场地材料场地的整理；工程成品的保护；施工中的临时停水停电；基础埋深2米以内挖土方的塌方；日间照明施工增加费；完工后的场地清理等  </w:t>
      </w:r>
      <w:r>
        <w:rPr>
          <w:rFonts w:hint="eastAsia" w:ascii="宋体" w:hAnsi="宋体" w:eastAsia="宋体" w:cs="宋体"/>
          <w:bCs/>
          <w:snapToGrid w:val="0"/>
          <w:color w:val="auto"/>
          <w:kern w:val="0"/>
          <w:szCs w:val="28"/>
          <w:highlight w:val="none"/>
        </w:rPr>
        <w:t>。对于以上预算包干内容，承包人不得提出额外付款或延长工期等要求。</w:t>
      </w:r>
      <w:r>
        <w:rPr>
          <w:rFonts w:hint="eastAsia" w:ascii="宋体" w:hAnsi="宋体" w:eastAsia="宋体" w:cs="宋体"/>
          <w:snapToGrid w:val="0"/>
          <w:color w:val="auto"/>
          <w:kern w:val="0"/>
          <w:szCs w:val="24"/>
          <w:highlight w:val="none"/>
        </w:rPr>
        <w:t>对此类要求，发包人不作任何考虑及答复</w:t>
      </w:r>
      <w:r>
        <w:rPr>
          <w:rFonts w:hint="eastAsia" w:ascii="宋体" w:hAnsi="宋体" w:eastAsia="宋体" w:cs="宋体"/>
          <w:bCs/>
          <w:snapToGrid w:val="0"/>
          <w:color w:val="auto"/>
          <w:kern w:val="0"/>
          <w:szCs w:val="28"/>
          <w:highlight w:val="none"/>
        </w:rPr>
        <w:t>。</w:t>
      </w:r>
    </w:p>
    <w:p w14:paraId="1E79C503">
      <w:pPr>
        <w:wordWrap w:val="0"/>
        <w:adjustRightInd w:val="0"/>
        <w:snapToGrid w:val="0"/>
        <w:spacing w:line="440" w:lineRule="exact"/>
        <w:ind w:firstLine="482" w:firstLineChars="200"/>
        <w:rPr>
          <w:rFonts w:hint="eastAsia" w:ascii="宋体" w:hAnsi="宋体" w:eastAsia="宋体" w:cs="宋体"/>
          <w:snapToGrid w:val="0"/>
          <w:color w:val="auto"/>
          <w:kern w:val="0"/>
          <w:szCs w:val="24"/>
          <w:highlight w:val="none"/>
        </w:rPr>
      </w:pPr>
      <w:r>
        <w:rPr>
          <w:rFonts w:hint="eastAsia" w:ascii="宋体" w:hAnsi="宋体" w:eastAsia="宋体" w:cs="宋体"/>
          <w:b/>
          <w:snapToGrid w:val="0"/>
          <w:color w:val="auto"/>
          <w:kern w:val="0"/>
          <w:szCs w:val="28"/>
          <w:highlight w:val="none"/>
        </w:rPr>
        <w:t>2.3.9</w:t>
      </w:r>
      <w:r>
        <w:rPr>
          <w:rFonts w:hint="eastAsia" w:ascii="宋体" w:hAnsi="宋体" w:eastAsia="宋体" w:cs="宋体"/>
          <w:bCs/>
          <w:snapToGrid w:val="0"/>
          <w:color w:val="auto"/>
          <w:kern w:val="0"/>
          <w:szCs w:val="28"/>
          <w:highlight w:val="none"/>
        </w:rPr>
        <w:t xml:space="preserve"> 其余事项（如不可抗力、索赔、现场签证等）的调整原则按照</w:t>
      </w:r>
      <w:r>
        <w:rPr>
          <w:rFonts w:hint="eastAsia" w:ascii="宋体" w:hAnsi="宋体" w:eastAsia="宋体" w:cs="宋体"/>
          <w:snapToGrid w:val="0"/>
          <w:color w:val="auto"/>
          <w:kern w:val="0"/>
          <w:sz w:val="24"/>
          <w:szCs w:val="24"/>
          <w:highlight w:val="none"/>
          <w:lang w:val="en-US" w:eastAsia="zh-CN"/>
        </w:rPr>
        <w:t>《建设工程工程量清单计价标准》(GB/T50500-2024)</w:t>
      </w:r>
      <w:r>
        <w:rPr>
          <w:rFonts w:hint="eastAsia" w:ascii="宋体" w:hAnsi="宋体" w:eastAsia="宋体" w:cs="宋体"/>
          <w:bCs/>
          <w:snapToGrid w:val="0"/>
          <w:color w:val="auto"/>
          <w:kern w:val="0"/>
          <w:szCs w:val="28"/>
          <w:highlight w:val="none"/>
        </w:rPr>
        <w:t xml:space="preserve">有关规定执行。 </w:t>
      </w:r>
    </w:p>
    <w:p w14:paraId="7E0477F6">
      <w:pPr>
        <w:wordWrap w:val="0"/>
        <w:adjustRightInd w:val="0"/>
        <w:snapToGrid w:val="0"/>
        <w:spacing w:line="440" w:lineRule="exact"/>
        <w:ind w:firstLine="560"/>
        <w:rPr>
          <w:rFonts w:hint="eastAsia" w:ascii="宋体" w:hAnsi="宋体" w:eastAsia="宋体" w:cs="宋体"/>
          <w:b/>
          <w:snapToGrid w:val="0"/>
          <w:color w:val="auto"/>
          <w:kern w:val="0"/>
          <w:szCs w:val="28"/>
          <w:highlight w:val="none"/>
        </w:rPr>
      </w:pPr>
      <w:r>
        <w:rPr>
          <w:rFonts w:hint="eastAsia" w:ascii="宋体" w:hAnsi="宋体" w:eastAsia="宋体" w:cs="宋体"/>
          <w:b/>
          <w:bCs/>
          <w:snapToGrid w:val="0"/>
          <w:color w:val="auto"/>
          <w:kern w:val="0"/>
          <w:szCs w:val="24"/>
          <w:highlight w:val="none"/>
        </w:rPr>
        <w:t>2.4</w:t>
      </w:r>
      <w:r>
        <w:rPr>
          <w:rFonts w:hint="eastAsia" w:ascii="宋体" w:hAnsi="宋体" w:eastAsia="宋体" w:cs="宋体"/>
          <w:snapToGrid w:val="0"/>
          <w:color w:val="auto"/>
          <w:kern w:val="0"/>
          <w:szCs w:val="24"/>
          <w:highlight w:val="none"/>
        </w:rPr>
        <w:t xml:space="preserve"> 凡将引起合同价款调增的事项，承包人必须于拟实施14天前，将详细的报价书（含拟实施项目名称、变更部位、理由、预计造价等）报监理单位审核和发包人批准后方可实施。</w:t>
      </w:r>
      <w:bookmarkStart w:id="199" w:name="_Hlt112206782"/>
      <w:bookmarkEnd w:id="199"/>
    </w:p>
    <w:p w14:paraId="75A31870">
      <w:pPr>
        <w:wordWrap w:val="0"/>
        <w:adjustRightInd w:val="0"/>
        <w:snapToGrid w:val="0"/>
        <w:spacing w:line="440" w:lineRule="exact"/>
        <w:ind w:firstLine="482" w:firstLineChars="200"/>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2.5</w:t>
      </w:r>
      <w:r>
        <w:rPr>
          <w:rFonts w:hint="eastAsia" w:ascii="宋体" w:hAnsi="宋体" w:eastAsia="宋体" w:cs="宋体"/>
          <w:snapToGrid w:val="0"/>
          <w:color w:val="auto"/>
          <w:kern w:val="0"/>
          <w:szCs w:val="24"/>
          <w:highlight w:val="none"/>
        </w:rPr>
        <w:t xml:space="preserve"> </w:t>
      </w:r>
      <w:r>
        <w:rPr>
          <w:rFonts w:hint="eastAsia" w:ascii="宋体" w:hAnsi="宋体" w:eastAsia="宋体" w:cs="宋体"/>
          <w:snapToGrid w:val="0"/>
          <w:color w:val="auto"/>
          <w:kern w:val="0"/>
          <w:highlight w:val="none"/>
        </w:rPr>
        <w:t>承包</w:t>
      </w:r>
      <w:r>
        <w:rPr>
          <w:rFonts w:hint="eastAsia" w:ascii="宋体" w:hAnsi="宋体" w:eastAsia="宋体" w:cs="宋体"/>
          <w:snapToGrid w:val="0"/>
          <w:color w:val="auto"/>
          <w:kern w:val="0"/>
          <w:szCs w:val="24"/>
          <w:highlight w:val="none"/>
        </w:rPr>
        <w:t>人不得以不完全了解现场情况为理由，提出额外付款或延长工期等要求。对此类要求，发包人不作任何考虑及答复。</w:t>
      </w:r>
    </w:p>
    <w:p w14:paraId="58708FC4">
      <w:pPr>
        <w:wordWrap w:val="0"/>
        <w:adjustRightInd w:val="0"/>
        <w:snapToGrid w:val="0"/>
        <w:spacing w:line="440" w:lineRule="exact"/>
        <w:ind w:firstLine="482" w:firstLineChars="200"/>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2.6</w:t>
      </w:r>
      <w:r>
        <w:rPr>
          <w:rFonts w:hint="eastAsia" w:ascii="宋体" w:hAnsi="宋体" w:eastAsia="宋体" w:cs="宋体"/>
          <w:snapToGrid w:val="0"/>
          <w:color w:val="auto"/>
          <w:kern w:val="0"/>
          <w:szCs w:val="24"/>
          <w:highlight w:val="none"/>
        </w:rPr>
        <w:t xml:space="preserve"> </w:t>
      </w:r>
      <w:r>
        <w:rPr>
          <w:rFonts w:hint="eastAsia" w:ascii="宋体" w:hAnsi="宋体" w:eastAsia="宋体" w:cs="宋体"/>
          <w:snapToGrid w:val="0"/>
          <w:color w:val="auto"/>
          <w:kern w:val="0"/>
          <w:highlight w:val="none"/>
        </w:rPr>
        <w:t>承包</w:t>
      </w:r>
      <w:r>
        <w:rPr>
          <w:rFonts w:hint="eastAsia" w:ascii="宋体" w:hAnsi="宋体" w:eastAsia="宋体" w:cs="宋体"/>
          <w:snapToGrid w:val="0"/>
          <w:color w:val="auto"/>
          <w:kern w:val="0"/>
          <w:szCs w:val="24"/>
          <w:highlight w:val="none"/>
        </w:rPr>
        <w:t>人已标价工程量清单中漏报、错报或少报的清单项目，其价格均视为已经包含在其它清单项目中，竣工结算时不得重新组价和调整。</w:t>
      </w:r>
    </w:p>
    <w:p w14:paraId="01F2C212">
      <w:pPr>
        <w:wordWrap w:val="0"/>
        <w:adjustRightInd w:val="0"/>
        <w:snapToGrid w:val="0"/>
        <w:spacing w:line="440" w:lineRule="exact"/>
        <w:ind w:firstLine="480"/>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2.7</w:t>
      </w:r>
      <w:r>
        <w:rPr>
          <w:rFonts w:hint="eastAsia" w:ascii="宋体" w:hAnsi="宋体" w:eastAsia="宋体" w:cs="宋体"/>
          <w:snapToGrid w:val="0"/>
          <w:color w:val="auto"/>
          <w:kern w:val="0"/>
          <w:szCs w:val="24"/>
          <w:highlight w:val="none"/>
        </w:rPr>
        <w:t xml:space="preserve"> 项目完工后，发、承包双方和受其委托具备相应资质的工程造价咨询单位必须按照</w:t>
      </w:r>
      <w:r>
        <w:rPr>
          <w:rFonts w:hint="eastAsia" w:ascii="宋体" w:hAnsi="宋体" w:eastAsia="宋体" w:cs="宋体"/>
          <w:snapToGrid w:val="0"/>
          <w:color w:val="auto"/>
          <w:kern w:val="0"/>
          <w:sz w:val="24"/>
          <w:szCs w:val="24"/>
          <w:highlight w:val="none"/>
          <w:lang w:val="en-US" w:eastAsia="zh-CN"/>
        </w:rPr>
        <w:t>《建设工程工程量清单计价标准》(GB/T50500-2024)</w:t>
      </w:r>
      <w:r>
        <w:rPr>
          <w:rFonts w:hint="eastAsia" w:ascii="宋体" w:hAnsi="宋体" w:eastAsia="宋体" w:cs="宋体"/>
          <w:snapToGrid w:val="0"/>
          <w:color w:val="auto"/>
          <w:kern w:val="0"/>
          <w:szCs w:val="24"/>
          <w:highlight w:val="none"/>
        </w:rPr>
        <w:t>和国家、省、市的有关规定办理竣工结算。</w:t>
      </w:r>
    </w:p>
    <w:p w14:paraId="03089C1B">
      <w:pPr>
        <w:wordWrap w:val="0"/>
        <w:adjustRightInd w:val="0"/>
        <w:snapToGrid w:val="0"/>
        <w:spacing w:line="360" w:lineRule="auto"/>
        <w:ind w:firstLine="560"/>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2.8</w:t>
      </w:r>
      <w:r>
        <w:rPr>
          <w:rFonts w:hint="eastAsia" w:ascii="宋体" w:hAnsi="宋体" w:eastAsia="宋体" w:cs="宋体"/>
          <w:snapToGrid w:val="0"/>
          <w:color w:val="auto"/>
          <w:kern w:val="0"/>
          <w:szCs w:val="24"/>
          <w:highlight w:val="none"/>
        </w:rPr>
        <w:t xml:space="preserve"> 承包人已标价工程量清单中没有的材料（或工程设备），承包人在使用前必须将材料（或工程设备）样板、材料合格证明（或产品合格证书）、材料（或工程设备）检验报告提交给监理单位和发包人审核。发包人审定并确定价格后，承包人方可采购和使用。如果在交货验收和使用过程中发现货不对板，监理单位和发包人有权拒用，并要求承包人立即进行更换。更换后的材料（或工程设备）应再次进行检查和检验。由此增加的费用和（或）工期延误由承包人承担。</w:t>
      </w:r>
    </w:p>
    <w:p w14:paraId="7D68B70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rPr>
      </w:pPr>
      <w:r>
        <w:rPr>
          <w:rFonts w:hint="eastAsia" w:ascii="宋体" w:hAnsi="宋体" w:eastAsia="宋体" w:cs="宋体"/>
          <w:b/>
          <w:bCs/>
          <w:color w:val="auto"/>
          <w:lang w:val="en-US" w:eastAsia="zh-CN"/>
        </w:rPr>
        <w:t>2.9</w:t>
      </w:r>
      <w:r>
        <w:rPr>
          <w:rFonts w:hint="eastAsia" w:ascii="宋体" w:hAnsi="宋体" w:eastAsia="宋体" w:cs="宋体"/>
          <w:color w:val="auto"/>
          <w:lang w:val="en-US" w:eastAsia="zh-CN"/>
        </w:rPr>
        <w:t>承包人已标价工程量清单中没有的材料（或工程设备）结算价格确定原则：按施工当月项目所在地工程造价管理机构发布的信息价格；若当地信息价格缺项的，由承包人根据变更工程资料依次参考韶关、清远、佛山、东莞、肇庆、惠州、广州等广东省内地区信息价执行；若以上城市均没有信息价则按厂商信息价、电商平台价格（优先从京东、国美、苏宁等大型电商平台查询取其平均价）；若以上方式均无法确定材料价格的，则采用厂商报价或市场询价等方式取得有合法依据的市场价格，报发包人确认。</w:t>
      </w:r>
    </w:p>
    <w:p w14:paraId="5ED901E0">
      <w:pPr>
        <w:wordWrap w:val="0"/>
        <w:adjustRightInd w:val="0"/>
        <w:snapToGrid w:val="0"/>
        <w:spacing w:line="440" w:lineRule="exact"/>
        <w:ind w:firstLine="560"/>
        <w:rPr>
          <w:rFonts w:hint="eastAsia" w:ascii="宋体" w:hAnsi="宋体" w:eastAsia="宋体" w:cs="宋体"/>
          <w:snapToGrid w:val="0"/>
          <w:color w:val="auto"/>
          <w:kern w:val="0"/>
          <w:szCs w:val="24"/>
          <w:highlight w:val="none"/>
        </w:rPr>
      </w:pPr>
    </w:p>
    <w:bookmarkEnd w:id="195"/>
    <w:bookmarkEnd w:id="196"/>
    <w:bookmarkEnd w:id="197"/>
    <w:bookmarkEnd w:id="198"/>
    <w:p w14:paraId="66B4B0E0">
      <w:pPr>
        <w:pStyle w:val="4"/>
        <w:bidi w:val="0"/>
        <w:spacing w:line="360" w:lineRule="auto"/>
        <w:ind w:firstLine="964"/>
        <w:rPr>
          <w:rFonts w:hint="eastAsia" w:ascii="宋体" w:hAnsi="宋体" w:eastAsia="宋体" w:cs="宋体"/>
          <w:color w:val="auto"/>
        </w:rPr>
      </w:pPr>
      <w:bookmarkStart w:id="200" w:name="_Toc26653"/>
      <w:bookmarkStart w:id="201" w:name="_Toc108200417"/>
      <w:bookmarkStart w:id="202" w:name="_Toc14683"/>
      <w:r>
        <w:rPr>
          <w:rFonts w:hint="eastAsia" w:ascii="宋体" w:hAnsi="宋体" w:eastAsia="宋体" w:cs="宋体"/>
          <w:color w:val="auto"/>
        </w:rPr>
        <w:t>3. 工程付款办法</w:t>
      </w:r>
      <w:bookmarkEnd w:id="200"/>
      <w:bookmarkEnd w:id="201"/>
      <w:bookmarkEnd w:id="202"/>
    </w:p>
    <w:p w14:paraId="581C50CE">
      <w:pPr>
        <w:wordWrap w:val="0"/>
        <w:adjustRightInd w:val="0"/>
        <w:snapToGrid w:val="0"/>
        <w:spacing w:line="360" w:lineRule="auto"/>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szCs w:val="24"/>
          <w:highlight w:val="none"/>
        </w:rPr>
        <w:t>3.1</w:t>
      </w:r>
      <w:r>
        <w:rPr>
          <w:rFonts w:hint="eastAsia" w:ascii="宋体" w:hAnsi="宋体" w:eastAsia="宋体" w:cs="宋体"/>
          <w:snapToGrid w:val="0"/>
          <w:color w:val="auto"/>
          <w:kern w:val="0"/>
          <w:highlight w:val="none"/>
        </w:rPr>
        <w:t xml:space="preserve"> 本招标项目</w:t>
      </w:r>
      <w:r>
        <w:rPr>
          <w:rFonts w:hint="eastAsia" w:ascii="宋体" w:hAnsi="宋体" w:eastAsia="宋体" w:cs="宋体"/>
          <w:snapToGrid w:val="0"/>
          <w:color w:val="auto"/>
          <w:kern w:val="0"/>
          <w:highlight w:val="none"/>
          <w:u w:val="single"/>
        </w:rPr>
        <w:t xml:space="preserve"> 支付 </w:t>
      </w:r>
      <w:r>
        <w:rPr>
          <w:rFonts w:hint="eastAsia" w:ascii="宋体" w:hAnsi="宋体" w:eastAsia="宋体" w:cs="宋体"/>
          <w:snapToGrid w:val="0"/>
          <w:color w:val="auto"/>
          <w:kern w:val="0"/>
          <w:highlight w:val="none"/>
        </w:rPr>
        <w:t>施工预付款。</w:t>
      </w:r>
    </w:p>
    <w:p w14:paraId="292EAE33">
      <w:pPr>
        <w:wordWrap w:val="0"/>
        <w:adjustRightInd w:val="0"/>
        <w:snapToGrid w:val="0"/>
        <w:spacing w:line="360" w:lineRule="auto"/>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szCs w:val="24"/>
          <w:highlight w:val="none"/>
        </w:rPr>
        <w:t>3.2</w:t>
      </w:r>
      <w:r>
        <w:rPr>
          <w:rFonts w:hint="eastAsia" w:ascii="宋体" w:hAnsi="宋体" w:eastAsia="宋体" w:cs="宋体"/>
          <w:snapToGrid w:val="0"/>
          <w:color w:val="auto"/>
          <w:kern w:val="0"/>
          <w:highlight w:val="none"/>
        </w:rPr>
        <w:t xml:space="preserve"> 施工预付款必须专用于合同工程，并按以下原则支付和抵扣：</w:t>
      </w:r>
    </w:p>
    <w:p w14:paraId="2082EDA8">
      <w:pPr>
        <w:wordWrap w:val="0"/>
        <w:adjustRightInd w:val="0"/>
        <w:snapToGrid w:val="0"/>
        <w:spacing w:line="360" w:lineRule="auto"/>
        <w:ind w:firstLine="482" w:firstLineChars="200"/>
        <w:rPr>
          <w:rFonts w:hint="eastAsia" w:ascii="宋体" w:hAnsi="宋体" w:eastAsia="宋体" w:cs="宋体"/>
          <w:i/>
          <w:iCs/>
          <w:snapToGrid w:val="0"/>
          <w:color w:val="auto"/>
          <w:kern w:val="0"/>
          <w:highlight w:val="none"/>
        </w:rPr>
      </w:pPr>
      <w:r>
        <w:rPr>
          <w:rFonts w:hint="eastAsia" w:ascii="宋体" w:hAnsi="宋体" w:eastAsia="宋体" w:cs="宋体"/>
          <w:b/>
          <w:bCs/>
          <w:snapToGrid w:val="0"/>
          <w:color w:val="auto"/>
          <w:kern w:val="0"/>
          <w:szCs w:val="24"/>
          <w:highlight w:val="none"/>
        </w:rPr>
        <w:t>3.2.1</w:t>
      </w:r>
      <w:r>
        <w:rPr>
          <w:rFonts w:hint="eastAsia" w:ascii="宋体" w:hAnsi="宋体" w:eastAsia="宋体" w:cs="宋体"/>
          <w:snapToGrid w:val="0"/>
          <w:color w:val="auto"/>
          <w:kern w:val="0"/>
          <w:highlight w:val="none"/>
        </w:rPr>
        <w:t xml:space="preserve"> 施工预付款支付比例为：按施工合同价（暂列金额除外）的</w:t>
      </w:r>
      <w:r>
        <w:rPr>
          <w:rFonts w:hint="eastAsia" w:ascii="宋体" w:hAnsi="宋体" w:eastAsia="宋体" w:cs="宋体"/>
          <w:snapToGrid w:val="0"/>
          <w:color w:val="auto"/>
          <w:kern w:val="0"/>
          <w:highlight w:val="none"/>
          <w:u w:val="single"/>
        </w:rPr>
        <w:t xml:space="preserve"> 30% </w:t>
      </w:r>
      <w:r>
        <w:rPr>
          <w:rFonts w:hint="eastAsia" w:ascii="宋体" w:hAnsi="宋体" w:eastAsia="宋体" w:cs="宋体"/>
          <w:snapToGrid w:val="0"/>
          <w:color w:val="auto"/>
          <w:kern w:val="0"/>
          <w:highlight w:val="none"/>
        </w:rPr>
        <w:t>支付。</w:t>
      </w:r>
    </w:p>
    <w:p w14:paraId="72BFA9C4">
      <w:pPr>
        <w:wordWrap w:val="0"/>
        <w:adjustRightInd w:val="0"/>
        <w:snapToGrid w:val="0"/>
        <w:spacing w:line="360" w:lineRule="auto"/>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szCs w:val="24"/>
          <w:highlight w:val="none"/>
        </w:rPr>
        <w:t>3.2.2</w:t>
      </w:r>
      <w:r>
        <w:rPr>
          <w:rFonts w:hint="eastAsia" w:ascii="宋体" w:hAnsi="宋体" w:eastAsia="宋体" w:cs="宋体"/>
          <w:snapToGrid w:val="0"/>
          <w:color w:val="auto"/>
          <w:kern w:val="0"/>
          <w:highlight w:val="none"/>
        </w:rPr>
        <w:t xml:space="preserve"> 本招标项目</w:t>
      </w:r>
      <w:r>
        <w:rPr>
          <w:rFonts w:hint="eastAsia" w:ascii="宋体" w:hAnsi="宋体" w:eastAsia="宋体" w:cs="宋体"/>
          <w:snapToGrid w:val="0"/>
          <w:color w:val="auto"/>
          <w:kern w:val="0"/>
          <w:highlight w:val="none"/>
          <w:u w:val="single"/>
        </w:rPr>
        <w:t xml:space="preserve"> 要求 </w:t>
      </w:r>
      <w:r>
        <w:rPr>
          <w:rFonts w:hint="eastAsia" w:ascii="宋体" w:hAnsi="宋体" w:eastAsia="宋体" w:cs="宋体"/>
          <w:snapToGrid w:val="0"/>
          <w:color w:val="auto"/>
          <w:kern w:val="0"/>
          <w:highlight w:val="none"/>
        </w:rPr>
        <w:t>承包人提供与预付款等额的预付款保函。</w:t>
      </w:r>
    </w:p>
    <w:p w14:paraId="7072134D">
      <w:pPr>
        <w:wordWrap w:val="0"/>
        <w:adjustRightInd w:val="0"/>
        <w:snapToGrid w:val="0"/>
        <w:spacing w:line="360" w:lineRule="auto"/>
        <w:ind w:firstLine="482" w:firstLineChars="200"/>
        <w:rPr>
          <w:rFonts w:hint="eastAsia" w:ascii="宋体" w:hAnsi="宋体" w:eastAsia="宋体" w:cs="宋体"/>
          <w:snapToGrid w:val="0"/>
          <w:color w:val="auto"/>
          <w:kern w:val="0"/>
          <w:highlight w:val="none"/>
          <w:lang w:eastAsia="zh-CN"/>
        </w:rPr>
      </w:pPr>
      <w:r>
        <w:rPr>
          <w:rFonts w:hint="eastAsia" w:ascii="宋体" w:hAnsi="宋体" w:eastAsia="宋体" w:cs="宋体"/>
          <w:b/>
          <w:bCs/>
          <w:snapToGrid w:val="0"/>
          <w:color w:val="auto"/>
          <w:kern w:val="0"/>
          <w:szCs w:val="24"/>
          <w:highlight w:val="none"/>
        </w:rPr>
        <w:t>3.2.3</w:t>
      </w:r>
      <w:r>
        <w:rPr>
          <w:rFonts w:hint="eastAsia" w:ascii="宋体" w:hAnsi="宋体" w:eastAsia="宋体" w:cs="宋体"/>
          <w:snapToGrid w:val="0"/>
          <w:color w:val="auto"/>
          <w:kern w:val="0"/>
          <w:highlight w:val="none"/>
        </w:rPr>
        <w:t xml:space="preserve"> 承包人应在签订合同后，在提供符合要求的预付款保函或预付款保险及在具备施工条件的前提下，向发包人提交预付款支付申请。发包人应对在收到支付申请的7天内进行核实后向承包人发出预付款支付证书，并在签发支付证书后的7天内向承包人支付预付款。凡未签订合同或不具备施工条件的工程，发包人不得预付工程款。</w:t>
      </w:r>
      <w:r>
        <w:rPr>
          <w:rFonts w:hint="eastAsia" w:ascii="宋体" w:hAnsi="宋体" w:eastAsia="宋体" w:cs="宋体"/>
          <w:snapToGrid w:val="0"/>
          <w:color w:val="auto"/>
          <w:kern w:val="0"/>
          <w:highlight w:val="none"/>
          <w:lang w:val="en-US" w:eastAsia="zh-CN"/>
        </w:rPr>
        <w:t>具体</w:t>
      </w:r>
      <w:r>
        <w:rPr>
          <w:rFonts w:hint="eastAsia" w:ascii="宋体" w:hAnsi="宋体" w:eastAsia="宋体" w:cs="宋体"/>
          <w:snapToGrid w:val="0"/>
          <w:color w:val="auto"/>
          <w:kern w:val="0"/>
          <w:highlight w:val="none"/>
        </w:rPr>
        <w:t>到账</w:t>
      </w:r>
      <w:r>
        <w:rPr>
          <w:rFonts w:hint="eastAsia" w:ascii="宋体" w:hAnsi="宋体" w:eastAsia="宋体" w:cs="宋体"/>
          <w:snapToGrid w:val="0"/>
          <w:color w:val="auto"/>
          <w:kern w:val="0"/>
          <w:highlight w:val="none"/>
          <w:lang w:val="en-US" w:eastAsia="zh-CN"/>
        </w:rPr>
        <w:t>时间</w:t>
      </w:r>
      <w:r>
        <w:rPr>
          <w:rFonts w:hint="eastAsia" w:ascii="宋体" w:hAnsi="宋体" w:eastAsia="宋体" w:cs="宋体"/>
          <w:snapToGrid w:val="0"/>
          <w:color w:val="auto"/>
          <w:kern w:val="0"/>
          <w:highlight w:val="none"/>
        </w:rPr>
        <w:t>以财政局拨付为准</w:t>
      </w:r>
      <w:r>
        <w:rPr>
          <w:rFonts w:hint="eastAsia" w:ascii="宋体" w:hAnsi="宋体" w:eastAsia="宋体" w:cs="宋体"/>
          <w:snapToGrid w:val="0"/>
          <w:color w:val="auto"/>
          <w:kern w:val="0"/>
          <w:highlight w:val="none"/>
          <w:lang w:eastAsia="zh-CN"/>
        </w:rPr>
        <w:t>。</w:t>
      </w:r>
    </w:p>
    <w:p w14:paraId="7BB13C86">
      <w:pPr>
        <w:wordWrap w:val="0"/>
        <w:adjustRightInd w:val="0"/>
        <w:snapToGrid w:val="0"/>
        <w:spacing w:line="360" w:lineRule="auto"/>
        <w:ind w:firstLine="482" w:firstLineChars="200"/>
        <w:rPr>
          <w:rFonts w:hint="eastAsia" w:ascii="宋体" w:hAnsi="宋体" w:eastAsia="宋体" w:cs="宋体"/>
          <w:snapToGrid w:val="0"/>
          <w:color w:val="auto"/>
          <w:kern w:val="0"/>
          <w:highlight w:val="none"/>
          <w:lang w:val="en-US" w:eastAsia="zh-CN"/>
        </w:rPr>
      </w:pPr>
      <w:r>
        <w:rPr>
          <w:rFonts w:hint="eastAsia" w:ascii="宋体" w:hAnsi="宋体" w:eastAsia="宋体" w:cs="宋体"/>
          <w:b/>
          <w:bCs/>
          <w:snapToGrid w:val="0"/>
          <w:color w:val="auto"/>
          <w:kern w:val="0"/>
          <w:szCs w:val="24"/>
          <w:highlight w:val="none"/>
        </w:rPr>
        <w:t>3.2.4</w:t>
      </w:r>
      <w:r>
        <w:rPr>
          <w:rFonts w:hint="eastAsia" w:ascii="宋体" w:hAnsi="宋体" w:eastAsia="宋体" w:cs="宋体"/>
          <w:snapToGrid w:val="0"/>
          <w:color w:val="auto"/>
          <w:kern w:val="0"/>
          <w:highlight w:val="none"/>
        </w:rPr>
        <w:t xml:space="preserve"> 预付款应从每支付期应支付给承包人的工程进度款中扣回，扣回比例为每月的工程进度款的30%，直到扣回的金额达到合同约定的预付款金额为止。如因建设工期短导致工程已完工而预付款尚未扣清的，尚未扣清的预付款余额在竣工初步验收合格后当期应支付的工程款项中一次性扣清。</w:t>
      </w:r>
    </w:p>
    <w:p w14:paraId="283B608C">
      <w:pPr>
        <w:wordWrap w:val="0"/>
        <w:adjustRightInd w:val="0"/>
        <w:snapToGrid w:val="0"/>
        <w:spacing w:line="360" w:lineRule="auto"/>
        <w:ind w:firstLine="482" w:firstLineChars="200"/>
        <w:rPr>
          <w:rFonts w:hint="eastAsia" w:ascii="宋体" w:hAnsi="宋体" w:eastAsia="宋体" w:cs="宋体"/>
          <w:snapToGrid w:val="0"/>
          <w:color w:val="auto"/>
          <w:kern w:val="0"/>
          <w:highlight w:val="none"/>
          <w:lang w:eastAsia="zh-CN"/>
        </w:rPr>
      </w:pPr>
      <w:r>
        <w:rPr>
          <w:rFonts w:hint="eastAsia" w:ascii="宋体" w:hAnsi="宋体" w:eastAsia="宋体" w:cs="宋体"/>
          <w:b/>
          <w:bCs/>
          <w:snapToGrid w:val="0"/>
          <w:color w:val="auto"/>
          <w:kern w:val="0"/>
          <w:szCs w:val="24"/>
          <w:highlight w:val="none"/>
        </w:rPr>
        <w:t>3.3</w:t>
      </w:r>
      <w:r>
        <w:rPr>
          <w:rFonts w:hint="eastAsia" w:ascii="宋体" w:hAnsi="宋体" w:eastAsia="宋体" w:cs="宋体"/>
          <w:snapToGrid w:val="0"/>
          <w:color w:val="auto"/>
          <w:kern w:val="0"/>
          <w:highlight w:val="none"/>
        </w:rPr>
        <w:t xml:space="preserve"> 施工过程中按月支付工程进度款：承包人每月按工程实际完成工程量（含变更及增加工程）申报，承包人必须将《已完成工程量报表》和《工程付款申请书》于当月26日前报监理单位核实。经监理单位审核、发包人审定后的工程进度款（指已经按照合同约定，扣除该支付期内因承包人违约而应扣除的管理费），于申报次月支付</w:t>
      </w:r>
      <w:r>
        <w:rPr>
          <w:rFonts w:hint="eastAsia" w:ascii="宋体" w:hAnsi="宋体" w:eastAsia="宋体" w:cs="宋体"/>
          <w:snapToGrid w:val="0"/>
          <w:color w:val="auto"/>
          <w:kern w:val="0"/>
          <w:highlight w:val="none"/>
          <w:lang w:eastAsia="zh-CN"/>
        </w:rPr>
        <w:t>，</w:t>
      </w:r>
      <w:r>
        <w:rPr>
          <w:rFonts w:hint="eastAsia" w:ascii="宋体" w:hAnsi="宋体" w:eastAsia="宋体" w:cs="宋体"/>
          <w:snapToGrid w:val="0"/>
          <w:color w:val="auto"/>
          <w:kern w:val="0"/>
          <w:highlight w:val="none"/>
          <w:lang w:val="en-US" w:eastAsia="zh-CN"/>
        </w:rPr>
        <w:t>具体</w:t>
      </w:r>
      <w:r>
        <w:rPr>
          <w:rFonts w:hint="eastAsia" w:ascii="宋体" w:hAnsi="宋体" w:eastAsia="宋体" w:cs="宋体"/>
          <w:snapToGrid w:val="0"/>
          <w:color w:val="auto"/>
          <w:kern w:val="0"/>
          <w:highlight w:val="none"/>
        </w:rPr>
        <w:t>到账</w:t>
      </w:r>
      <w:r>
        <w:rPr>
          <w:rFonts w:hint="eastAsia" w:ascii="宋体" w:hAnsi="宋体" w:eastAsia="宋体" w:cs="宋体"/>
          <w:snapToGrid w:val="0"/>
          <w:color w:val="auto"/>
          <w:kern w:val="0"/>
          <w:highlight w:val="none"/>
          <w:lang w:val="en-US" w:eastAsia="zh-CN"/>
        </w:rPr>
        <w:t>时间</w:t>
      </w:r>
      <w:r>
        <w:rPr>
          <w:rFonts w:hint="eastAsia" w:ascii="宋体" w:hAnsi="宋体" w:eastAsia="宋体" w:cs="宋体"/>
          <w:snapToGrid w:val="0"/>
          <w:color w:val="auto"/>
          <w:kern w:val="0"/>
          <w:highlight w:val="none"/>
        </w:rPr>
        <w:t>以财政局拨付为准</w:t>
      </w:r>
      <w:r>
        <w:rPr>
          <w:rFonts w:hint="eastAsia" w:ascii="宋体" w:hAnsi="宋体" w:eastAsia="宋体" w:cs="宋体"/>
          <w:snapToGrid w:val="0"/>
          <w:color w:val="auto"/>
          <w:kern w:val="0"/>
          <w:highlight w:val="none"/>
          <w:lang w:eastAsia="zh-CN"/>
        </w:rPr>
        <w:t>。</w:t>
      </w:r>
    </w:p>
    <w:p w14:paraId="5A15ADBF">
      <w:pPr>
        <w:wordWrap w:val="0"/>
        <w:adjustRightInd w:val="0"/>
        <w:snapToGrid w:val="0"/>
        <w:spacing w:line="360" w:lineRule="auto"/>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szCs w:val="24"/>
          <w:highlight w:val="none"/>
        </w:rPr>
        <w:t>3.4</w:t>
      </w:r>
      <w:r>
        <w:rPr>
          <w:rFonts w:hint="eastAsia" w:ascii="宋体" w:hAnsi="宋体" w:eastAsia="宋体" w:cs="宋体"/>
          <w:snapToGrid w:val="0"/>
          <w:color w:val="auto"/>
          <w:kern w:val="0"/>
          <w:highlight w:val="none"/>
        </w:rPr>
        <w:t xml:space="preserve"> 每月的工程进度款按工程实际完成工程量的80%支付，工程进度款中的作业工人工资款项由发包人单独足额拨付到承包人的工资专户。</w:t>
      </w:r>
    </w:p>
    <w:p w14:paraId="1F6CD569">
      <w:pPr>
        <w:wordWrap w:val="0"/>
        <w:adjustRightInd w:val="0"/>
        <w:snapToGrid w:val="0"/>
        <w:spacing w:line="360" w:lineRule="auto"/>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szCs w:val="24"/>
          <w:highlight w:val="none"/>
        </w:rPr>
        <w:t>3.5</w:t>
      </w:r>
      <w:r>
        <w:rPr>
          <w:rFonts w:hint="eastAsia" w:ascii="宋体" w:hAnsi="宋体" w:eastAsia="宋体" w:cs="宋体"/>
          <w:snapToGrid w:val="0"/>
          <w:color w:val="auto"/>
          <w:kern w:val="0"/>
          <w:highlight w:val="none"/>
        </w:rPr>
        <w:t xml:space="preserve"> 措施项目费中的“</w:t>
      </w:r>
      <w:r>
        <w:rPr>
          <w:rFonts w:hint="eastAsia" w:ascii="宋体" w:hAnsi="宋体" w:eastAsia="宋体" w:cs="宋体"/>
          <w:snapToGrid w:val="0"/>
          <w:color w:val="auto"/>
          <w:kern w:val="0"/>
          <w:highlight w:val="none"/>
          <w:lang w:eastAsia="zh-CN"/>
        </w:rPr>
        <w:t>安全生产措施费</w:t>
      </w:r>
      <w:r>
        <w:rPr>
          <w:rFonts w:hint="eastAsia" w:ascii="宋体" w:hAnsi="宋体" w:eastAsia="宋体" w:cs="宋体"/>
          <w:snapToGrid w:val="0"/>
          <w:color w:val="auto"/>
          <w:kern w:val="0"/>
          <w:highlight w:val="none"/>
        </w:rPr>
        <w:t>”拨付按照《广东省建设工程计价依据（2018）》执行，按照项目所在地的建设行政主管部门有关规定支付。发生一般事故及以上等级重大安全事故的，发包人可扣除承包人金额相当于所有“</w:t>
      </w:r>
      <w:r>
        <w:rPr>
          <w:rFonts w:hint="eastAsia" w:ascii="宋体" w:hAnsi="宋体" w:eastAsia="宋体" w:cs="宋体"/>
          <w:snapToGrid w:val="0"/>
          <w:color w:val="auto"/>
          <w:kern w:val="0"/>
          <w:highlight w:val="none"/>
          <w:lang w:eastAsia="zh-CN"/>
        </w:rPr>
        <w:t>安全生产措施费</w:t>
      </w:r>
      <w:r>
        <w:rPr>
          <w:rFonts w:hint="eastAsia" w:ascii="宋体" w:hAnsi="宋体" w:eastAsia="宋体" w:cs="宋体"/>
          <w:snapToGrid w:val="0"/>
          <w:color w:val="auto"/>
          <w:kern w:val="0"/>
          <w:highlight w:val="none"/>
        </w:rPr>
        <w:t>”的工程管理费。</w:t>
      </w:r>
    </w:p>
    <w:p w14:paraId="4E5BC830">
      <w:pPr>
        <w:wordWrap w:val="0"/>
        <w:adjustRightInd w:val="0"/>
        <w:snapToGrid w:val="0"/>
        <w:spacing w:line="360" w:lineRule="auto"/>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szCs w:val="24"/>
          <w:highlight w:val="none"/>
        </w:rPr>
        <w:t>3.6</w:t>
      </w:r>
      <w:r>
        <w:rPr>
          <w:rFonts w:hint="eastAsia" w:ascii="宋体" w:hAnsi="宋体" w:eastAsia="宋体" w:cs="宋体"/>
          <w:snapToGrid w:val="0"/>
          <w:color w:val="auto"/>
          <w:kern w:val="0"/>
          <w:highlight w:val="none"/>
        </w:rPr>
        <w:t xml:space="preserve"> 变更工程造价必须经监理单位核实，并经发包人核定后方可支付。</w:t>
      </w:r>
    </w:p>
    <w:p w14:paraId="603B5F51">
      <w:pPr>
        <w:wordWrap w:val="0"/>
        <w:adjustRightInd w:val="0"/>
        <w:snapToGrid w:val="0"/>
        <w:spacing w:line="360" w:lineRule="auto"/>
        <w:ind w:firstLine="482" w:firstLineChars="200"/>
        <w:rPr>
          <w:rFonts w:hint="eastAsia" w:ascii="宋体" w:hAnsi="宋体" w:eastAsia="宋体" w:cs="宋体"/>
          <w:bCs/>
          <w:snapToGrid w:val="0"/>
          <w:color w:val="auto"/>
          <w:kern w:val="0"/>
          <w:highlight w:val="none"/>
        </w:rPr>
      </w:pPr>
      <w:r>
        <w:rPr>
          <w:rFonts w:hint="eastAsia" w:ascii="宋体" w:hAnsi="宋体" w:eastAsia="宋体" w:cs="宋体"/>
          <w:b/>
          <w:bCs/>
          <w:snapToGrid w:val="0"/>
          <w:color w:val="auto"/>
          <w:kern w:val="0"/>
          <w:szCs w:val="24"/>
          <w:highlight w:val="none"/>
        </w:rPr>
        <w:t>3.7</w:t>
      </w:r>
      <w:r>
        <w:rPr>
          <w:rFonts w:hint="eastAsia" w:ascii="宋体" w:hAnsi="宋体" w:eastAsia="宋体" w:cs="宋体"/>
          <w:snapToGrid w:val="0"/>
          <w:color w:val="auto"/>
          <w:kern w:val="0"/>
          <w:highlight w:val="none"/>
        </w:rPr>
        <w:t xml:space="preserve"> 结算审核完成后，于次月支付至</w:t>
      </w:r>
      <w:r>
        <w:rPr>
          <w:rFonts w:hint="eastAsia" w:ascii="宋体" w:hAnsi="宋体" w:eastAsia="宋体" w:cs="宋体"/>
          <w:snapToGrid w:val="0"/>
          <w:color w:val="auto"/>
          <w:kern w:val="0"/>
          <w:highlight w:val="none"/>
          <w:lang w:val="en-US" w:eastAsia="zh-CN"/>
        </w:rPr>
        <w:t>结算</w:t>
      </w:r>
      <w:r>
        <w:rPr>
          <w:rFonts w:hint="eastAsia" w:ascii="宋体" w:hAnsi="宋体" w:eastAsia="宋体" w:cs="宋体"/>
          <w:snapToGrid w:val="0"/>
          <w:color w:val="auto"/>
          <w:kern w:val="0"/>
          <w:highlight w:val="none"/>
        </w:rPr>
        <w:t>价的97%，剩余3%转为质量保证金；承包人提交了等额</w:t>
      </w:r>
      <w:r>
        <w:rPr>
          <w:rFonts w:hint="eastAsia" w:ascii="宋体" w:hAnsi="宋体" w:eastAsia="宋体" w:cs="宋体"/>
          <w:bCs/>
          <w:snapToGrid w:val="0"/>
          <w:color w:val="auto"/>
          <w:kern w:val="0"/>
          <w:highlight w:val="none"/>
        </w:rPr>
        <w:t>质量保证担保或质量保证保险的，于次月一次性结清</w:t>
      </w:r>
      <w:r>
        <w:rPr>
          <w:rFonts w:hint="eastAsia" w:ascii="宋体" w:hAnsi="宋体" w:eastAsia="宋体" w:cs="宋体"/>
          <w:bCs/>
          <w:snapToGrid w:val="0"/>
          <w:color w:val="auto"/>
          <w:kern w:val="0"/>
          <w:highlight w:val="none"/>
          <w:lang w:val="en-US" w:eastAsia="zh-CN"/>
        </w:rPr>
        <w:t>结算</w:t>
      </w:r>
      <w:r>
        <w:rPr>
          <w:rFonts w:hint="eastAsia" w:ascii="宋体" w:hAnsi="宋体" w:eastAsia="宋体" w:cs="宋体"/>
          <w:bCs/>
          <w:snapToGrid w:val="0"/>
          <w:color w:val="auto"/>
          <w:kern w:val="0"/>
          <w:highlight w:val="none"/>
        </w:rPr>
        <w:t>价</w:t>
      </w:r>
      <w:r>
        <w:rPr>
          <w:rFonts w:hint="eastAsia" w:ascii="宋体" w:hAnsi="宋体" w:eastAsia="宋体" w:cs="宋体"/>
          <w:bCs/>
          <w:snapToGrid w:val="0"/>
          <w:color w:val="auto"/>
          <w:kern w:val="0"/>
          <w:highlight w:val="none"/>
          <w:lang w:eastAsia="zh-CN"/>
        </w:rPr>
        <w:t>，</w:t>
      </w:r>
      <w:r>
        <w:rPr>
          <w:rFonts w:hint="eastAsia" w:ascii="宋体" w:hAnsi="宋体" w:eastAsia="宋体" w:cs="宋体"/>
          <w:snapToGrid w:val="0"/>
          <w:color w:val="auto"/>
          <w:kern w:val="0"/>
          <w:highlight w:val="none"/>
          <w:lang w:val="en-US" w:eastAsia="zh-CN"/>
        </w:rPr>
        <w:t>具体</w:t>
      </w:r>
      <w:r>
        <w:rPr>
          <w:rFonts w:hint="eastAsia" w:ascii="宋体" w:hAnsi="宋体" w:eastAsia="宋体" w:cs="宋体"/>
          <w:snapToGrid w:val="0"/>
          <w:color w:val="auto"/>
          <w:kern w:val="0"/>
          <w:highlight w:val="none"/>
        </w:rPr>
        <w:t>到账</w:t>
      </w:r>
      <w:r>
        <w:rPr>
          <w:rFonts w:hint="eastAsia" w:ascii="宋体" w:hAnsi="宋体" w:eastAsia="宋体" w:cs="宋体"/>
          <w:snapToGrid w:val="0"/>
          <w:color w:val="auto"/>
          <w:kern w:val="0"/>
          <w:highlight w:val="none"/>
          <w:lang w:val="en-US" w:eastAsia="zh-CN"/>
        </w:rPr>
        <w:t>时间</w:t>
      </w:r>
      <w:r>
        <w:rPr>
          <w:rFonts w:hint="eastAsia" w:ascii="宋体" w:hAnsi="宋体" w:eastAsia="宋体" w:cs="宋体"/>
          <w:snapToGrid w:val="0"/>
          <w:color w:val="auto"/>
          <w:kern w:val="0"/>
          <w:highlight w:val="none"/>
        </w:rPr>
        <w:t>以财政局拨付为准</w:t>
      </w:r>
      <w:r>
        <w:rPr>
          <w:rFonts w:hint="eastAsia" w:ascii="宋体" w:hAnsi="宋体" w:eastAsia="宋体" w:cs="宋体"/>
          <w:snapToGrid w:val="0"/>
          <w:color w:val="auto"/>
          <w:kern w:val="0"/>
          <w:highlight w:val="none"/>
          <w:lang w:eastAsia="zh-CN"/>
        </w:rPr>
        <w:t>。</w:t>
      </w:r>
    </w:p>
    <w:p w14:paraId="6DFD30D0">
      <w:pPr>
        <w:wordWrap w:val="0"/>
        <w:adjustRightInd w:val="0"/>
        <w:snapToGrid w:val="0"/>
        <w:spacing w:line="360" w:lineRule="auto"/>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snapToGrid w:val="0"/>
          <w:color w:val="auto"/>
          <w:kern w:val="0"/>
          <w:highlight w:val="none"/>
        </w:rPr>
        <w:t>3.8</w:t>
      </w:r>
      <w:r>
        <w:rPr>
          <w:rFonts w:hint="eastAsia" w:ascii="宋体" w:hAnsi="宋体" w:eastAsia="宋体" w:cs="宋体"/>
          <w:bCs/>
          <w:snapToGrid w:val="0"/>
          <w:color w:val="auto"/>
          <w:kern w:val="0"/>
          <w:highlight w:val="none"/>
        </w:rPr>
        <w:t xml:space="preserve"> 本招标项目缺陷责任期为</w:t>
      </w:r>
      <w:r>
        <w:rPr>
          <w:rFonts w:hint="eastAsia" w:ascii="宋体" w:hAnsi="宋体" w:eastAsia="宋体" w:cs="宋体"/>
          <w:bCs/>
          <w:snapToGrid w:val="0"/>
          <w:color w:val="auto"/>
          <w:kern w:val="0"/>
          <w:highlight w:val="none"/>
          <w:u w:val="single"/>
        </w:rPr>
        <w:t xml:space="preserve"> </w:t>
      </w:r>
      <w:r>
        <w:rPr>
          <w:rFonts w:hint="eastAsia" w:ascii="宋体" w:hAnsi="宋体" w:eastAsia="宋体" w:cs="宋体"/>
          <w:bCs/>
          <w:snapToGrid w:val="0"/>
          <w:color w:val="auto"/>
          <w:kern w:val="0"/>
          <w:highlight w:val="none"/>
          <w:u w:val="single"/>
          <w:lang w:val="en-US" w:eastAsia="zh-CN"/>
        </w:rPr>
        <w:t>2</w:t>
      </w:r>
      <w:r>
        <w:rPr>
          <w:rFonts w:hint="eastAsia" w:ascii="宋体" w:hAnsi="宋体" w:eastAsia="宋体" w:cs="宋体"/>
          <w:bCs/>
          <w:snapToGrid w:val="0"/>
          <w:color w:val="auto"/>
          <w:kern w:val="0"/>
          <w:highlight w:val="none"/>
          <w:u w:val="single"/>
        </w:rPr>
        <w:t xml:space="preserve"> </w:t>
      </w:r>
      <w:r>
        <w:rPr>
          <w:rFonts w:hint="eastAsia" w:ascii="宋体" w:hAnsi="宋体" w:eastAsia="宋体" w:cs="宋体"/>
          <w:bCs/>
          <w:snapToGrid w:val="0"/>
          <w:color w:val="auto"/>
          <w:kern w:val="0"/>
          <w:highlight w:val="none"/>
        </w:rPr>
        <w:t>年（自通过竣工验收之日起计）。</w:t>
      </w:r>
      <w:r>
        <w:rPr>
          <w:rFonts w:hint="eastAsia" w:ascii="宋体" w:hAnsi="宋体" w:eastAsia="宋体" w:cs="宋体"/>
          <w:snapToGrid w:val="0"/>
          <w:color w:val="auto"/>
          <w:kern w:val="0"/>
          <w:highlight w:val="none"/>
        </w:rPr>
        <w:t>缺陷责任期到期后，承包人向发包人申请退还质量保证。发包人收到退还申请后，于14天内会同承包人进行核实。经双方核实且均无异议后，发包人在核实之日起</w:t>
      </w:r>
      <w:r>
        <w:rPr>
          <w:rFonts w:hint="eastAsia" w:ascii="宋体" w:hAnsi="宋体" w:eastAsia="宋体" w:cs="宋体"/>
          <w:snapToGrid w:val="0"/>
          <w:color w:val="auto"/>
          <w:kern w:val="0"/>
          <w:highlight w:val="none"/>
          <w:u w:val="single"/>
        </w:rPr>
        <w:t xml:space="preserve"> 14 </w:t>
      </w:r>
      <w:r>
        <w:rPr>
          <w:rFonts w:hint="eastAsia" w:ascii="宋体" w:hAnsi="宋体" w:eastAsia="宋体" w:cs="宋体"/>
          <w:snapToGrid w:val="0"/>
          <w:color w:val="auto"/>
          <w:kern w:val="0"/>
          <w:highlight w:val="none"/>
        </w:rPr>
        <w:t>天内将应返保证金（或银行保函）退还承包人。</w:t>
      </w:r>
    </w:p>
    <w:p w14:paraId="02B4D296">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szCs w:val="24"/>
          <w:highlight w:val="none"/>
        </w:rPr>
        <w:t>3.9</w:t>
      </w:r>
      <w:r>
        <w:rPr>
          <w:rFonts w:hint="eastAsia" w:ascii="宋体" w:hAnsi="宋体" w:eastAsia="宋体" w:cs="宋体"/>
          <w:snapToGrid w:val="0"/>
          <w:color w:val="auto"/>
          <w:kern w:val="0"/>
          <w:highlight w:val="none"/>
        </w:rPr>
        <w:t xml:space="preserve"> </w:t>
      </w:r>
      <w:r>
        <w:rPr>
          <w:rFonts w:hint="eastAsia" w:ascii="宋体" w:hAnsi="宋体" w:eastAsia="宋体" w:cs="宋体"/>
          <w:snapToGrid w:val="0"/>
          <w:color w:val="auto"/>
          <w:kern w:val="0"/>
          <w:highlight w:val="none"/>
          <w:lang w:val="en-US" w:eastAsia="zh-CN"/>
        </w:rPr>
        <w:t>发包人每次支付工程款前，承包人均应提供有效的增值税专用发票。如果承包人无法提供符合要求的发票，由此造成的相应损失由承包人承担。</w:t>
      </w:r>
      <w:r>
        <w:rPr>
          <w:rFonts w:hint="eastAsia" w:ascii="宋体" w:hAnsi="宋体" w:eastAsia="宋体" w:cs="宋体"/>
          <w:snapToGrid w:val="0"/>
          <w:color w:val="auto"/>
          <w:kern w:val="0"/>
          <w:highlight w:val="none"/>
        </w:rPr>
        <w:t>所有工程款均以市财政局审核价款支付为准。</w:t>
      </w:r>
    </w:p>
    <w:p w14:paraId="2D082E56">
      <w:pPr>
        <w:wordWrap w:val="0"/>
        <w:adjustRightInd w:val="0"/>
        <w:snapToGrid w:val="0"/>
        <w:spacing w:line="360" w:lineRule="auto"/>
        <w:ind w:firstLine="482" w:firstLineChars="200"/>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3.10</w:t>
      </w:r>
      <w:r>
        <w:rPr>
          <w:rFonts w:hint="eastAsia" w:ascii="宋体" w:hAnsi="宋体" w:eastAsia="宋体" w:cs="宋体"/>
          <w:snapToGrid w:val="0"/>
          <w:color w:val="auto"/>
          <w:kern w:val="0"/>
          <w:szCs w:val="24"/>
          <w:highlight w:val="none"/>
        </w:rPr>
        <w:t xml:space="preserve"> 暂列金额支付方式：</w:t>
      </w:r>
      <w:r>
        <w:rPr>
          <w:rFonts w:hint="eastAsia" w:ascii="宋体" w:hAnsi="宋体" w:eastAsia="宋体" w:cs="宋体"/>
          <w:color w:val="auto"/>
          <w:sz w:val="24"/>
          <w:szCs w:val="24"/>
          <w:highlight w:val="none"/>
          <w:u w:val="single"/>
        </w:rPr>
        <w:t>承包人需根据发包人发布的《工程变更管理办法》和《工程签证管理办法》完善工程变更签证相关程序后，与每个月的工程进度款一并报送；若承包人原因未按上述办法在规定时间内完善工程变更签证相关程序的，当月工程进度款暂停拨付。在暂列金额的范围内，最终经发包人确认后支付至该部分实际完成工程量的90％，其余部分待结算完成审核后支付至97%，剩余3%为工程质量保修金</w:t>
      </w:r>
      <w:r>
        <w:rPr>
          <w:rFonts w:hint="eastAsia" w:ascii="宋体" w:hAnsi="宋体" w:eastAsia="宋体" w:cs="宋体"/>
          <w:snapToGrid w:val="0"/>
          <w:color w:val="auto"/>
          <w:kern w:val="0"/>
          <w:szCs w:val="24"/>
          <w:highlight w:val="none"/>
          <w:u w:val="single"/>
        </w:rPr>
        <w:t>。</w:t>
      </w:r>
    </w:p>
    <w:p w14:paraId="2FBA866B">
      <w:pPr>
        <w:snapToGrid w:val="0"/>
        <w:spacing w:line="360" w:lineRule="auto"/>
        <w:ind w:firstLine="482" w:firstLineChars="200"/>
        <w:rPr>
          <w:rFonts w:hint="eastAsia" w:ascii="宋体" w:hAnsi="宋体" w:eastAsia="宋体" w:cs="宋体"/>
          <w:b/>
          <w:bCs/>
          <w:snapToGrid w:val="0"/>
          <w:color w:val="auto"/>
          <w:kern w:val="0"/>
          <w:highlight w:val="none"/>
        </w:rPr>
      </w:pPr>
      <w:r>
        <w:rPr>
          <w:rFonts w:hint="eastAsia" w:ascii="宋体" w:hAnsi="宋体" w:eastAsia="宋体" w:cs="宋体"/>
          <w:b/>
          <w:snapToGrid w:val="0"/>
          <w:color w:val="auto"/>
          <w:kern w:val="0"/>
          <w:szCs w:val="24"/>
          <w:highlight w:val="none"/>
        </w:rPr>
        <w:t>3.11</w:t>
      </w:r>
      <w:r>
        <w:rPr>
          <w:rFonts w:hint="eastAsia" w:ascii="宋体" w:hAnsi="宋体" w:eastAsia="宋体" w:cs="宋体"/>
          <w:color w:val="auto"/>
          <w:sz w:val="24"/>
          <w:szCs w:val="24"/>
          <w:highlight w:val="none"/>
        </w:rPr>
        <w:t>材料暂估价、专业工程暂估价支付方式：</w:t>
      </w:r>
      <w:r>
        <w:rPr>
          <w:rFonts w:hint="eastAsia" w:ascii="宋体" w:hAnsi="宋体" w:eastAsia="宋体" w:cs="宋体"/>
          <w:color w:val="auto"/>
          <w:sz w:val="24"/>
          <w:szCs w:val="24"/>
          <w:highlight w:val="none"/>
          <w:u w:val="single"/>
        </w:rPr>
        <w:t xml:space="preserve"> 材料暂估价、专业工程暂估价与每个月的工程进度款一并报送，但需要列明详细项目内容，该部分材料暂估价、专业工程暂估价按该部分实际完成工程量的50%支付，剩余部分结算完成后支付至97%，剩余3%为工程质量保修金</w:t>
      </w:r>
      <w:r>
        <w:rPr>
          <w:rFonts w:hint="eastAsia" w:ascii="宋体" w:hAnsi="宋体" w:eastAsia="宋体" w:cs="宋体"/>
          <w:color w:val="auto"/>
          <w:sz w:val="24"/>
          <w:szCs w:val="24"/>
          <w:highlight w:val="none"/>
        </w:rPr>
        <w:t>。</w:t>
      </w:r>
    </w:p>
    <w:p w14:paraId="4A99466E">
      <w:pPr>
        <w:wordWrap w:val="0"/>
        <w:adjustRightInd w:val="0"/>
        <w:snapToGrid w:val="0"/>
        <w:spacing w:line="360" w:lineRule="auto"/>
        <w:ind w:firstLine="482" w:firstLineChars="200"/>
        <w:rPr>
          <w:rFonts w:hint="eastAsia" w:ascii="宋体" w:hAnsi="宋体" w:eastAsia="宋体" w:cs="宋体"/>
          <w:b/>
          <w:bCs/>
          <w:snapToGrid w:val="0"/>
          <w:color w:val="auto"/>
          <w:kern w:val="0"/>
          <w:szCs w:val="24"/>
          <w:highlight w:val="none"/>
        </w:rPr>
      </w:pPr>
    </w:p>
    <w:p w14:paraId="7ECAAEC7">
      <w:pPr>
        <w:wordWrap w:val="0"/>
        <w:adjustRightInd w:val="0"/>
        <w:snapToGrid w:val="0"/>
        <w:spacing w:line="360" w:lineRule="auto"/>
        <w:ind w:firstLine="482" w:firstLineChars="200"/>
        <w:rPr>
          <w:rFonts w:hint="eastAsia" w:ascii="宋体" w:hAnsi="宋体" w:eastAsia="宋体" w:cs="宋体"/>
          <w:snapToGrid w:val="0"/>
          <w:color w:val="auto"/>
          <w:kern w:val="0"/>
          <w:szCs w:val="24"/>
          <w:highlight w:val="none"/>
        </w:rPr>
      </w:pPr>
      <w:r>
        <w:rPr>
          <w:rFonts w:hint="eastAsia" w:ascii="宋体" w:hAnsi="宋体" w:eastAsia="宋体" w:cs="宋体"/>
          <w:b/>
          <w:color w:val="auto"/>
          <w:kern w:val="0"/>
          <w:sz w:val="24"/>
          <w:lang w:val="en-US" w:eastAsia="zh-CN" w:bidi="ar-SA"/>
        </w:rPr>
        <w:t>4．其他专用合同条款</w:t>
      </w:r>
      <w:r>
        <w:rPr>
          <w:rFonts w:hint="eastAsia" w:ascii="宋体" w:hAnsi="宋体" w:eastAsia="宋体" w:cs="宋体"/>
          <w:snapToGrid w:val="0"/>
          <w:color w:val="auto"/>
          <w:kern w:val="0"/>
          <w:szCs w:val="24"/>
          <w:highlight w:val="none"/>
        </w:rPr>
        <w:t>（由招标人根据本工程实际情况和地方政策与中标人自行协商签定相关专用合同条款。）</w:t>
      </w:r>
    </w:p>
    <w:bookmarkEnd w:id="170"/>
    <w:bookmarkEnd w:id="171"/>
    <w:p w14:paraId="73A29480">
      <w:pPr>
        <w:pStyle w:val="4"/>
        <w:bidi w:val="0"/>
        <w:spacing w:line="360" w:lineRule="auto"/>
        <w:ind w:firstLine="964"/>
        <w:rPr>
          <w:rFonts w:hint="eastAsia" w:ascii="宋体" w:hAnsi="宋体" w:eastAsia="宋体" w:cs="宋体"/>
          <w:color w:val="auto"/>
          <w:highlight w:val="none"/>
        </w:rPr>
      </w:pPr>
      <w:bookmarkStart w:id="203" w:name="_Toc9642"/>
      <w:bookmarkStart w:id="204" w:name="_Toc21669"/>
      <w:bookmarkStart w:id="205" w:name="_Hlt69698796"/>
      <w:r>
        <w:rPr>
          <w:rFonts w:hint="eastAsia" w:ascii="宋体" w:hAnsi="宋体" w:eastAsia="宋体" w:cs="宋体"/>
          <w:color w:val="auto"/>
          <w:highlight w:val="none"/>
          <w:lang w:val="en-US" w:eastAsia="zh-CN"/>
        </w:rPr>
        <w:t>4.1.</w:t>
      </w:r>
      <w:r>
        <w:rPr>
          <w:rFonts w:hint="eastAsia" w:ascii="宋体" w:hAnsi="宋体" w:eastAsia="宋体" w:cs="宋体"/>
          <w:color w:val="auto"/>
          <w:highlight w:val="none"/>
        </w:rPr>
        <w:t>专业工程分包</w:t>
      </w:r>
      <w:bookmarkEnd w:id="203"/>
    </w:p>
    <w:p w14:paraId="3CE8147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napToGrid w:val="0"/>
          <w:color w:val="auto"/>
          <w:kern w:val="0"/>
          <w:sz w:val="24"/>
          <w:szCs w:val="24"/>
          <w:highlight w:val="none"/>
        </w:rPr>
      </w:pPr>
      <w:r>
        <w:rPr>
          <w:rFonts w:hint="eastAsia" w:ascii="宋体" w:hAnsi="宋体" w:eastAsia="宋体" w:cs="宋体"/>
          <w:snapToGrid w:val="0"/>
          <w:color w:val="auto"/>
          <w:kern w:val="0"/>
          <w:highlight w:val="none"/>
        </w:rPr>
        <w:t>合同范围内的工程未经发包人同意一律不得分包，一经发现，取消承包人的承包资格，由此引起的一切经济损失和法律责任由承包人自行承担。若有专业工程必须分包的，</w:t>
      </w:r>
      <w:r>
        <w:rPr>
          <w:rFonts w:hint="eastAsia" w:ascii="宋体" w:hAnsi="宋体" w:eastAsia="宋体" w:cs="宋体"/>
          <w:snapToGrid w:val="0"/>
          <w:color w:val="auto"/>
          <w:kern w:val="0"/>
          <w:highlight w:val="none"/>
          <w:lang w:val="en-US" w:eastAsia="zh-CN"/>
        </w:rPr>
        <w:t>中标人必须发包给具备相应资质的专业分包人，</w:t>
      </w:r>
      <w:r>
        <w:rPr>
          <w:rFonts w:hint="eastAsia" w:ascii="宋体" w:hAnsi="宋体" w:eastAsia="宋体" w:cs="宋体"/>
          <w:snapToGrid w:val="0"/>
          <w:color w:val="auto"/>
          <w:kern w:val="0"/>
          <w:highlight w:val="none"/>
        </w:rPr>
        <w:t>发包人不另行支付总包服务费；其分包合同由总包人与分包人双方签订，发包人不参与总包人与分包人之间的结算，该部分工程的造价仍按总包人与发包人签订的合同的有关条款进行结算。</w:t>
      </w:r>
    </w:p>
    <w:p w14:paraId="4D15650B">
      <w:pPr>
        <w:pStyle w:val="60"/>
        <w:spacing w:line="360" w:lineRule="auto"/>
        <w:ind w:firstLine="482" w:firstLineChars="200"/>
        <w:jc w:val="left"/>
        <w:rPr>
          <w:rFonts w:hint="eastAsia" w:ascii="宋体" w:hAnsi="宋体" w:eastAsia="宋体" w:cs="宋体"/>
          <w:b/>
          <w:bCs w:val="0"/>
          <w:snapToGrid w:val="0"/>
          <w:color w:val="auto"/>
          <w:kern w:val="0"/>
          <w:sz w:val="24"/>
          <w:szCs w:val="24"/>
          <w:highlight w:val="none"/>
        </w:rPr>
      </w:pPr>
      <w:bookmarkStart w:id="206" w:name="_Toc23958"/>
      <w:bookmarkStart w:id="207" w:name="_Toc4288"/>
      <w:r>
        <w:rPr>
          <w:rFonts w:hint="eastAsia" w:ascii="宋体" w:hAnsi="宋体" w:eastAsia="宋体" w:cs="宋体"/>
          <w:b/>
          <w:bCs w:val="0"/>
          <w:snapToGrid w:val="0"/>
          <w:color w:val="auto"/>
          <w:kern w:val="0"/>
          <w:sz w:val="24"/>
          <w:szCs w:val="24"/>
          <w:highlight w:val="none"/>
        </w:rPr>
        <w:t>4.2．工人工资支付专用账户</w:t>
      </w:r>
      <w:bookmarkEnd w:id="206"/>
      <w:bookmarkEnd w:id="207"/>
    </w:p>
    <w:p w14:paraId="3EA720D2">
      <w:pPr>
        <w:pStyle w:val="60"/>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4.2.1 发、承包双方订立合同时，应就承包人设立工人工资支付专用账户（以下简称“工资专户”）、工程进度款中工人工资款的比例、工资款拨付的期限等事项作出明确约定。发包人按照合同约定，按月将工程款中的工资款项单独足额拨付到承包人的工资专户，并对承包人工人工资支付情况进行监督，及时协调解决工人工资发放中存在的问题。</w:t>
      </w:r>
    </w:p>
    <w:p w14:paraId="49301C50">
      <w:pPr>
        <w:pStyle w:val="60"/>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4.2.2依据人力资源社会保障部等十部门印发的《工程建设领域农民工工资专用账户管理暂行办法》（人社部发〔2021〕53 号）文件规定，承包人中标后，须到银行设立工人工资支付专用账户，用于支付工人工资。发包人支付工程款时，将按工程款（不含工人工资）和工人工资两部分分开支付，工人工资支付至专用账户。承包人应建立劳动用工管理台账，并按月将工人工资支付明细表等资料报发包人备案。备案内容包括但不限于以下内容（以相关部门的要求为准）：（1）工资发放表、付款凭证（有总包单位项目负责人签名或盖章确认）；（2）施工许可证（或开工报告）、工程项目总承包、专业分包、劳务分包合同；（3）建设单位支付工程款凭证；（4）花名册及身份证复印件；（5）劳动合同：（6）委托书（写明委托代发工资情况）；（7）缴纳保证金的凭证；（8）总包企业或承包企业设立工资专用账户的凭证；（9）维权信息告示牌情况。</w:t>
      </w:r>
    </w:p>
    <w:p w14:paraId="25EBE086">
      <w:pPr>
        <w:pStyle w:val="60"/>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按韶关市人力资源和社会保障局 韶关市住房和城乡建设管理局 韶关市交通运输局韶关市水务局 韶关市金融工作局 国家金融监督管理总局韶关监管分局关于印发《韶关市工程建设领域农民工工资保证金管理实施细则》的通知(韶人社规〔2023〕2 号)及《韶关市工程建设领域农民工工资保证金管理实施细则》（韶法审〔2023〕19 号）规定执行。承包人在签订工程施工承包合同后一个月内必须办妥该事项，并将办妥回执交发包人。</w:t>
      </w:r>
    </w:p>
    <w:p w14:paraId="52A65D04">
      <w:pPr>
        <w:pStyle w:val="60"/>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如发生承包人拖欠民工工资并且向政府或发包人索要承包人拖欠工资的，发包人有权使用工人工资保证金或在剩余进度款范围内代承包人向民工支付工资，承包人对发包人垫付工资的人员范围和工资数额均不得提异议。发包人代支的工资除了从当期工程款内直接扣除外,承包人须按照发包人所垫付的民工工资 2 倍向发包人支付违约金。</w:t>
      </w:r>
    </w:p>
    <w:p w14:paraId="37CA8F42">
      <w:pPr>
        <w:pStyle w:val="60"/>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 xml:space="preserve">4.2.3承包人应在工资专户开立后 2 个工作日内，将开户银行及其账号、开户协议等资料提交给发包人。 </w:t>
      </w:r>
    </w:p>
    <w:p w14:paraId="643C7426">
      <w:pPr>
        <w:pStyle w:val="60"/>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 xml:space="preserve">（1）用人单位应当在建设项目动工前，在建设项目所在地银行设立工人工资支付专用账户。 </w:t>
      </w:r>
    </w:p>
    <w:p w14:paraId="4695E85C">
      <w:pPr>
        <w:pStyle w:val="60"/>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 xml:space="preserve">（2）用人单位应当在用工之日起 15 日内为每一位工人办理个人银行账户。 </w:t>
      </w:r>
    </w:p>
    <w:p w14:paraId="04FEC7F4">
      <w:pPr>
        <w:pStyle w:val="60"/>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 xml:space="preserve">（3）用人单位应当指定专人负责建设项目施工现场台账管理，真实、准确记录工人名册、劳务合同、劳动合同、工程进度、工时台账、劳务承包款和工人工资支付等信息，并保存两年以上备查。 </w:t>
      </w:r>
    </w:p>
    <w:p w14:paraId="67C27170">
      <w:pPr>
        <w:pStyle w:val="60"/>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4）用人单位应当按照“及时支付，按实结算”的原则，在规定日期前通过银行工人工资支付专用账户将工人工资直接支付到工人的个人银行账户，并按月将工人工资支付明细表报施工总承包单位和建设单位备案。用人单位未建立、保存用工管理台账，或者伪造相关台账的，按照《广东省劳动保障监察条例》第五十条的规定，由人力资源社会保障部门责令改正，并可处以二千元以上二万元以下的人民币罚款。</w:t>
      </w:r>
    </w:p>
    <w:p w14:paraId="7488AAAA">
      <w:pPr>
        <w:pStyle w:val="60"/>
        <w:spacing w:line="360" w:lineRule="auto"/>
        <w:ind w:firstLine="480" w:firstLineChars="200"/>
        <w:jc w:val="left"/>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rPr>
        <w:t>4.2.</w:t>
      </w:r>
      <w:r>
        <w:rPr>
          <w:rFonts w:hint="eastAsia" w:ascii="宋体" w:hAnsi="宋体" w:eastAsia="宋体" w:cs="宋体"/>
          <w:b w:val="0"/>
          <w:bCs/>
          <w:snapToGrid w:val="0"/>
          <w:color w:val="auto"/>
          <w:kern w:val="0"/>
          <w:sz w:val="24"/>
          <w:szCs w:val="24"/>
          <w:highlight w:val="none"/>
          <w:lang w:val="en-US" w:eastAsia="zh-CN"/>
        </w:rPr>
        <w:t>4</w:t>
      </w:r>
      <w:r>
        <w:rPr>
          <w:rFonts w:hint="eastAsia" w:ascii="宋体" w:hAnsi="宋体" w:eastAsia="宋体" w:cs="宋体"/>
          <w:b w:val="0"/>
          <w:bCs/>
          <w:snapToGrid w:val="0"/>
          <w:color w:val="auto"/>
          <w:kern w:val="0"/>
          <w:sz w:val="24"/>
          <w:szCs w:val="24"/>
          <w:highlight w:val="none"/>
        </w:rPr>
        <w:t xml:space="preserve"> 施工总承包企业依法将专业工程分包的，应在分包合同中就分包人设立工资专户、工程进度款中工人工资款的比例、工资款拨付的期限等事项作出明确约定。总包人按照分包合同约定，按月将工程款中的工资款项单独足额拨付到分包人的工资专户，并对分包人工人工资支付情况进行监督，及时协调解决工人工资发放中存在的问题。</w:t>
      </w:r>
    </w:p>
    <w:p w14:paraId="0D9E5498">
      <w:pPr>
        <w:pStyle w:val="60"/>
        <w:spacing w:line="360" w:lineRule="auto"/>
        <w:ind w:firstLine="480" w:firstLineChars="200"/>
        <w:jc w:val="left"/>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4.2.5承包人必须依照各相关规定做好工人工资支付保证金、工人工资支付专用账户、用工实名制管理工作。</w:t>
      </w:r>
    </w:p>
    <w:p w14:paraId="30C1DAED">
      <w:pPr>
        <w:pStyle w:val="60"/>
        <w:spacing w:line="360" w:lineRule="auto"/>
        <w:ind w:firstLine="480" w:firstLineChars="200"/>
        <w:jc w:val="left"/>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（1）施工预付款中已包括施工合同价的5%专用于承包人办理工人工资支付保证金，承包人必须于合同签订后5个工作日内办理完成保证金缴交或免缴手续。</w:t>
      </w:r>
    </w:p>
    <w:p w14:paraId="16C79322">
      <w:pPr>
        <w:pStyle w:val="60"/>
        <w:spacing w:line="360" w:lineRule="auto"/>
        <w:ind w:firstLine="480" w:firstLineChars="200"/>
        <w:jc w:val="left"/>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2）承包人已依照相关规定开立工人工资支付专用账户，发包人支付工程进度款时，其中75%支付进入本合同协议书载明的承包人账户、其中25%支付进入本款载明的工人工资支付专用账户。承包人必须与所有聘用人员签订劳动合同，并按劳动合同约定每月足额通过专用账户发放工资，并按月将工资发放资料提交一份给发包人。</w:t>
      </w:r>
    </w:p>
    <w:p w14:paraId="67282E75">
      <w:pPr>
        <w:pStyle w:val="60"/>
        <w:spacing w:line="360" w:lineRule="auto"/>
        <w:ind w:firstLine="480" w:firstLineChars="200"/>
        <w:jc w:val="left"/>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（3）承包人应在开工前编制用工实名管理专项方案以及费用使用计划，经监理单位审批后，作为施工合同的组成部分，并依照相关规定做好用工实名信息化管理。</w:t>
      </w:r>
    </w:p>
    <w:p w14:paraId="7FB799B2">
      <w:pPr>
        <w:pStyle w:val="60"/>
        <w:spacing w:line="360" w:lineRule="auto"/>
        <w:ind w:firstLine="482" w:firstLineChars="200"/>
        <w:jc w:val="left"/>
        <w:rPr>
          <w:rFonts w:hint="eastAsia" w:ascii="宋体" w:hAnsi="宋体" w:eastAsia="宋体" w:cs="宋体"/>
          <w:b/>
          <w:bCs w:val="0"/>
          <w:snapToGrid w:val="0"/>
          <w:color w:val="auto"/>
          <w:kern w:val="0"/>
          <w:sz w:val="24"/>
          <w:szCs w:val="24"/>
          <w:highlight w:val="none"/>
        </w:rPr>
      </w:pPr>
      <w:bookmarkStart w:id="208" w:name="_Toc21233"/>
      <w:bookmarkStart w:id="209" w:name="_Toc15476"/>
      <w:r>
        <w:rPr>
          <w:rFonts w:hint="eastAsia" w:ascii="宋体" w:hAnsi="宋体" w:eastAsia="宋体" w:cs="宋体"/>
          <w:b/>
          <w:bCs w:val="0"/>
          <w:snapToGrid w:val="0"/>
          <w:color w:val="auto"/>
          <w:kern w:val="0"/>
          <w:sz w:val="24"/>
          <w:szCs w:val="24"/>
          <w:highlight w:val="none"/>
        </w:rPr>
        <w:t>4.3．诚信登记</w:t>
      </w:r>
      <w:bookmarkEnd w:id="208"/>
      <w:bookmarkEnd w:id="209"/>
    </w:p>
    <w:p w14:paraId="58A308A9">
      <w:pPr>
        <w:pStyle w:val="60"/>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根据资质管理规定，许可机关应当建立、健全建筑业企业信用档案管理制度，包括企业基本信息、资质、业绩、工程质量和安全、合同履约、社会投诉和违法行为等情况。</w:t>
      </w:r>
    </w:p>
    <w:p w14:paraId="2FFED412">
      <w:pPr>
        <w:pStyle w:val="60"/>
        <w:spacing w:line="360" w:lineRule="auto"/>
        <w:ind w:firstLine="482" w:firstLineChars="200"/>
        <w:jc w:val="left"/>
        <w:rPr>
          <w:rFonts w:hint="eastAsia" w:ascii="宋体" w:hAnsi="宋体" w:eastAsia="宋体" w:cs="宋体"/>
          <w:b/>
          <w:bCs w:val="0"/>
          <w:snapToGrid w:val="0"/>
          <w:color w:val="auto"/>
          <w:kern w:val="0"/>
          <w:sz w:val="24"/>
          <w:szCs w:val="24"/>
          <w:highlight w:val="none"/>
        </w:rPr>
      </w:pPr>
      <w:bookmarkStart w:id="210" w:name="_Toc30115"/>
      <w:bookmarkStart w:id="211" w:name="_Toc24195"/>
      <w:r>
        <w:rPr>
          <w:rFonts w:hint="eastAsia" w:ascii="宋体" w:hAnsi="宋体" w:eastAsia="宋体" w:cs="宋体"/>
          <w:b/>
          <w:bCs w:val="0"/>
          <w:snapToGrid w:val="0"/>
          <w:color w:val="auto"/>
          <w:kern w:val="0"/>
          <w:sz w:val="24"/>
          <w:szCs w:val="24"/>
          <w:highlight w:val="none"/>
        </w:rPr>
        <w:t>4.4．工期进度</w:t>
      </w:r>
      <w:bookmarkEnd w:id="210"/>
      <w:bookmarkEnd w:id="211"/>
    </w:p>
    <w:p w14:paraId="1F897EDB">
      <w:pPr>
        <w:pStyle w:val="60"/>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4.4.1本招标项目施工工期为</w:t>
      </w:r>
      <w:r>
        <w:rPr>
          <w:rFonts w:hint="eastAsia" w:ascii="宋体" w:hAnsi="宋体" w:eastAsia="宋体" w:cs="宋体"/>
          <w:b w:val="0"/>
          <w:bCs/>
          <w:snapToGrid w:val="0"/>
          <w:color w:val="auto"/>
          <w:kern w:val="0"/>
          <w:sz w:val="24"/>
          <w:szCs w:val="24"/>
          <w:highlight w:val="none"/>
          <w:u w:val="single"/>
          <w:lang w:val="en-US" w:eastAsia="zh-CN"/>
        </w:rPr>
        <w:t>120</w:t>
      </w:r>
      <w:r>
        <w:rPr>
          <w:rFonts w:hint="eastAsia" w:ascii="宋体" w:hAnsi="宋体" w:eastAsia="宋体" w:cs="宋体"/>
          <w:b w:val="0"/>
          <w:bCs/>
          <w:snapToGrid w:val="0"/>
          <w:color w:val="auto"/>
          <w:kern w:val="0"/>
          <w:sz w:val="24"/>
          <w:szCs w:val="24"/>
          <w:highlight w:val="none"/>
        </w:rPr>
        <w:t>个日历天，承包人必须在招标工期内完成招标范围内的全部内容。</w:t>
      </w:r>
    </w:p>
    <w:p w14:paraId="5F82ECAA">
      <w:pPr>
        <w:pStyle w:val="60"/>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4.4.2 施工工期从承包人收到监理单位签发的开工令之日起计，至竣工验收合格之日止。</w:t>
      </w:r>
    </w:p>
    <w:p w14:paraId="34C25D64">
      <w:pPr>
        <w:pStyle w:val="60"/>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4.2.3工期奖罚</w:t>
      </w:r>
    </w:p>
    <w:p w14:paraId="4017E8FB">
      <w:pPr>
        <w:pStyle w:val="60"/>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 xml:space="preserve">□竣工验收合格交付使用每提前/天竣工；奖/元，奖励金额不超过合同价款的%（一般为 2%～5%）且不超过/万元。 </w:t>
      </w:r>
    </w:p>
    <w:p w14:paraId="25FEAB2F">
      <w:pPr>
        <w:pStyle w:val="60"/>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☑按施工合同期约定，因承包人原因每延误1天竣工，罚</w:t>
      </w:r>
      <w:r>
        <w:rPr>
          <w:rFonts w:hint="eastAsia" w:ascii="宋体" w:hAnsi="宋体" w:eastAsia="宋体" w:cs="宋体"/>
          <w:b w:val="0"/>
          <w:bCs/>
          <w:snapToGrid w:val="0"/>
          <w:color w:val="auto"/>
          <w:kern w:val="0"/>
          <w:sz w:val="24"/>
          <w:szCs w:val="24"/>
          <w:highlight w:val="none"/>
          <w:lang w:val="en-US" w:eastAsia="zh-CN"/>
        </w:rPr>
        <w:t>5000.00</w:t>
      </w:r>
      <w:r>
        <w:rPr>
          <w:rFonts w:hint="eastAsia" w:ascii="宋体" w:hAnsi="宋体" w:eastAsia="宋体" w:cs="宋体"/>
          <w:b w:val="0"/>
          <w:bCs/>
          <w:snapToGrid w:val="0"/>
          <w:color w:val="auto"/>
          <w:kern w:val="0"/>
          <w:sz w:val="24"/>
          <w:szCs w:val="24"/>
          <w:highlight w:val="none"/>
        </w:rPr>
        <w:t xml:space="preserve">元。 </w:t>
      </w:r>
    </w:p>
    <w:p w14:paraId="0FB92D9A">
      <w:pPr>
        <w:pStyle w:val="60"/>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□按施工合同期约定，因承包人原因延误工期</w:t>
      </w:r>
      <w:r>
        <w:rPr>
          <w:rFonts w:hint="eastAsia" w:ascii="宋体" w:hAnsi="宋体" w:eastAsia="宋体" w:cs="宋体"/>
          <w:b w:val="0"/>
          <w:bCs/>
          <w:snapToGrid w:val="0"/>
          <w:color w:val="auto"/>
          <w:kern w:val="0"/>
          <w:sz w:val="24"/>
          <w:szCs w:val="24"/>
          <w:highlight w:val="none"/>
          <w:lang w:val="en-US" w:eastAsia="zh-CN"/>
        </w:rPr>
        <w:t xml:space="preserve"> </w:t>
      </w:r>
      <w:r>
        <w:rPr>
          <w:rFonts w:hint="eastAsia" w:ascii="宋体" w:hAnsi="宋体" w:eastAsia="宋体" w:cs="宋体"/>
          <w:b w:val="0"/>
          <w:bCs/>
          <w:snapToGrid w:val="0"/>
          <w:color w:val="auto"/>
          <w:kern w:val="0"/>
          <w:sz w:val="24"/>
          <w:szCs w:val="24"/>
          <w:highlight w:val="none"/>
        </w:rPr>
        <w:t>天内不处罚，自第</w:t>
      </w:r>
      <w:r>
        <w:rPr>
          <w:rFonts w:hint="eastAsia" w:ascii="宋体" w:hAnsi="宋体" w:eastAsia="宋体" w:cs="宋体"/>
          <w:b w:val="0"/>
          <w:bCs/>
          <w:snapToGrid w:val="0"/>
          <w:color w:val="auto"/>
          <w:kern w:val="0"/>
          <w:sz w:val="24"/>
          <w:szCs w:val="24"/>
          <w:highlight w:val="none"/>
          <w:lang w:val="en-US" w:eastAsia="zh-CN"/>
        </w:rPr>
        <w:t xml:space="preserve"> </w:t>
      </w:r>
      <w:r>
        <w:rPr>
          <w:rFonts w:hint="eastAsia" w:ascii="宋体" w:hAnsi="宋体" w:eastAsia="宋体" w:cs="宋体"/>
          <w:b w:val="0"/>
          <w:bCs/>
          <w:snapToGrid w:val="0"/>
          <w:color w:val="auto"/>
          <w:kern w:val="0"/>
          <w:sz w:val="24"/>
          <w:szCs w:val="24"/>
          <w:highlight w:val="none"/>
        </w:rPr>
        <w:t>天起每延误</w:t>
      </w:r>
      <w:r>
        <w:rPr>
          <w:rFonts w:hint="eastAsia" w:ascii="宋体" w:hAnsi="宋体" w:eastAsia="宋体" w:cs="宋体"/>
          <w:b w:val="0"/>
          <w:bCs/>
          <w:snapToGrid w:val="0"/>
          <w:color w:val="auto"/>
          <w:kern w:val="0"/>
          <w:sz w:val="24"/>
          <w:szCs w:val="24"/>
          <w:highlight w:val="none"/>
          <w:lang w:val="en-US" w:eastAsia="zh-CN"/>
        </w:rPr>
        <w:t xml:space="preserve"> </w:t>
      </w:r>
      <w:r>
        <w:rPr>
          <w:rFonts w:hint="eastAsia" w:ascii="宋体" w:hAnsi="宋体" w:eastAsia="宋体" w:cs="宋体"/>
          <w:b w:val="0"/>
          <w:bCs/>
          <w:snapToGrid w:val="0"/>
          <w:color w:val="auto"/>
          <w:kern w:val="0"/>
          <w:sz w:val="24"/>
          <w:szCs w:val="24"/>
          <w:highlight w:val="none"/>
        </w:rPr>
        <w:t>天竣工, 罚</w:t>
      </w:r>
      <w:r>
        <w:rPr>
          <w:rFonts w:hint="eastAsia" w:ascii="宋体" w:hAnsi="宋体" w:eastAsia="宋体" w:cs="宋体"/>
          <w:b w:val="0"/>
          <w:bCs/>
          <w:snapToGrid w:val="0"/>
          <w:color w:val="auto"/>
          <w:kern w:val="0"/>
          <w:sz w:val="24"/>
          <w:szCs w:val="24"/>
          <w:highlight w:val="none"/>
          <w:lang w:val="en-US" w:eastAsia="zh-CN"/>
        </w:rPr>
        <w:t xml:space="preserve"> </w:t>
      </w:r>
      <w:r>
        <w:rPr>
          <w:rFonts w:hint="eastAsia" w:ascii="宋体" w:hAnsi="宋体" w:eastAsia="宋体" w:cs="宋体"/>
          <w:b w:val="0"/>
          <w:bCs/>
          <w:snapToGrid w:val="0"/>
          <w:color w:val="auto"/>
          <w:kern w:val="0"/>
          <w:sz w:val="24"/>
          <w:szCs w:val="24"/>
          <w:highlight w:val="none"/>
        </w:rPr>
        <w:t>元。处罚金额不超过合同价款的 %（一般为 2%～5%）且不超过</w:t>
      </w:r>
      <w:r>
        <w:rPr>
          <w:rFonts w:hint="eastAsia" w:ascii="宋体" w:hAnsi="宋体" w:eastAsia="宋体" w:cs="宋体"/>
          <w:b w:val="0"/>
          <w:bCs/>
          <w:snapToGrid w:val="0"/>
          <w:color w:val="auto"/>
          <w:kern w:val="0"/>
          <w:sz w:val="24"/>
          <w:szCs w:val="24"/>
          <w:highlight w:val="none"/>
          <w:lang w:val="en-US" w:eastAsia="zh-CN"/>
        </w:rPr>
        <w:t xml:space="preserve"> </w:t>
      </w:r>
      <w:r>
        <w:rPr>
          <w:rFonts w:hint="eastAsia" w:ascii="宋体" w:hAnsi="宋体" w:eastAsia="宋体" w:cs="宋体"/>
          <w:b w:val="0"/>
          <w:bCs/>
          <w:snapToGrid w:val="0"/>
          <w:color w:val="auto"/>
          <w:kern w:val="0"/>
          <w:sz w:val="24"/>
          <w:szCs w:val="24"/>
          <w:highlight w:val="none"/>
        </w:rPr>
        <w:t>万元，累计延误工期达到</w:t>
      </w:r>
      <w:r>
        <w:rPr>
          <w:rFonts w:hint="eastAsia" w:ascii="宋体" w:hAnsi="宋体" w:eastAsia="宋体" w:cs="宋体"/>
          <w:b w:val="0"/>
          <w:bCs/>
          <w:snapToGrid w:val="0"/>
          <w:color w:val="auto"/>
          <w:kern w:val="0"/>
          <w:sz w:val="24"/>
          <w:szCs w:val="24"/>
          <w:highlight w:val="none"/>
          <w:lang w:val="en-US" w:eastAsia="zh-CN"/>
        </w:rPr>
        <w:t xml:space="preserve"> </w:t>
      </w:r>
      <w:r>
        <w:rPr>
          <w:rFonts w:hint="eastAsia" w:ascii="宋体" w:hAnsi="宋体" w:eastAsia="宋体" w:cs="宋体"/>
          <w:b w:val="0"/>
          <w:bCs/>
          <w:snapToGrid w:val="0"/>
          <w:color w:val="auto"/>
          <w:kern w:val="0"/>
          <w:sz w:val="24"/>
          <w:szCs w:val="24"/>
          <w:highlight w:val="none"/>
        </w:rPr>
        <w:t xml:space="preserve">天，报请建设行政主管部门作不良行为记录，非承包方原因或不可抗力造成延误的除外。 </w:t>
      </w:r>
    </w:p>
    <w:p w14:paraId="5A1DE31E">
      <w:pPr>
        <w:pStyle w:val="60"/>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□其它说明：/</w:t>
      </w:r>
    </w:p>
    <w:p w14:paraId="5A5D4889">
      <w:pPr>
        <w:pStyle w:val="60"/>
        <w:spacing w:line="360" w:lineRule="auto"/>
        <w:ind w:firstLine="482" w:firstLineChars="200"/>
        <w:jc w:val="left"/>
        <w:rPr>
          <w:rFonts w:hint="eastAsia" w:ascii="宋体" w:hAnsi="宋体" w:eastAsia="宋体" w:cs="宋体"/>
          <w:b/>
          <w:bCs w:val="0"/>
          <w:snapToGrid w:val="0"/>
          <w:color w:val="auto"/>
          <w:kern w:val="0"/>
          <w:sz w:val="24"/>
          <w:szCs w:val="24"/>
          <w:highlight w:val="none"/>
        </w:rPr>
      </w:pPr>
      <w:bookmarkStart w:id="212" w:name="_Toc21648"/>
      <w:bookmarkStart w:id="213" w:name="_Toc16363"/>
      <w:r>
        <w:rPr>
          <w:rFonts w:hint="eastAsia" w:ascii="宋体" w:hAnsi="宋体" w:eastAsia="宋体" w:cs="宋体"/>
          <w:b/>
          <w:bCs w:val="0"/>
          <w:snapToGrid w:val="0"/>
          <w:color w:val="auto"/>
          <w:kern w:val="0"/>
          <w:sz w:val="24"/>
          <w:szCs w:val="24"/>
          <w:highlight w:val="none"/>
        </w:rPr>
        <w:t>4.5．项目管理机构</w:t>
      </w:r>
      <w:bookmarkEnd w:id="212"/>
      <w:bookmarkEnd w:id="213"/>
    </w:p>
    <w:p w14:paraId="5C012F1C">
      <w:pPr>
        <w:pStyle w:val="60"/>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4.5.1 承包人派驻的项目管理班子成员必须为其投标文件确定的人员，否则发包人有权终止合同。</w:t>
      </w:r>
    </w:p>
    <w:p w14:paraId="001A7AC6">
      <w:pPr>
        <w:pStyle w:val="60"/>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4.5.2 项目管理班子成员不得擅自变更。其中，项目经理若有《广东省住房和城乡建设厅关于建设工程项目招标中标后监督检查的办法》（粤建市〔2009〕8号，以下简称“《办法》”）第九条所述除外情形之一确需变更的，承包人应填写《建设工程项目管理班子变更情况报告表》（《办法》附件4）并附上相关证明资料，经发包人和建设行政主管部门审核同意方可变更，且更换后的项目经理应与承包人的投标文件所确定的原项目经理的主要条件一致；项目管理班子其他成员若有《办法》第九条所述除外情形之一确需变更的，承包人应填写《建设工程项目管理班子变更情况报告表》并附上相关证明资料，经发包人审核同意方可变更。</w:t>
      </w:r>
    </w:p>
    <w:p w14:paraId="466AE90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lang w:val="en-US" w:eastAsia="zh-CN"/>
        </w:rPr>
      </w:pPr>
      <w:r>
        <w:rPr>
          <w:rFonts w:hint="eastAsia" w:ascii="宋体" w:hAnsi="宋体" w:eastAsia="宋体" w:cs="宋体"/>
          <w:b w:val="0"/>
          <w:bCs/>
          <w:snapToGrid w:val="0"/>
          <w:color w:val="auto"/>
          <w:kern w:val="0"/>
          <w:sz w:val="24"/>
          <w:szCs w:val="24"/>
          <w:highlight w:val="none"/>
          <w:lang w:val="en-US" w:eastAsia="zh-CN"/>
        </w:rPr>
        <w:t>4.5.3根据项目实施进度情况，发包人有权要求承包人增派项目管理人员，以满足项目的现场管理工作要求。</w:t>
      </w:r>
    </w:p>
    <w:p w14:paraId="35E7ED36">
      <w:pPr>
        <w:pStyle w:val="60"/>
        <w:spacing w:line="360" w:lineRule="auto"/>
        <w:ind w:firstLine="482" w:firstLineChars="200"/>
        <w:jc w:val="left"/>
        <w:rPr>
          <w:rFonts w:hint="eastAsia" w:ascii="宋体" w:hAnsi="宋体" w:eastAsia="宋体" w:cs="宋体"/>
          <w:b/>
          <w:bCs w:val="0"/>
          <w:snapToGrid w:val="0"/>
          <w:color w:val="auto"/>
          <w:kern w:val="0"/>
          <w:sz w:val="24"/>
          <w:szCs w:val="24"/>
          <w:highlight w:val="none"/>
        </w:rPr>
      </w:pPr>
      <w:bookmarkStart w:id="214" w:name="_Toc16233"/>
      <w:bookmarkStart w:id="215" w:name="_Toc21811"/>
      <w:r>
        <w:rPr>
          <w:rFonts w:hint="eastAsia" w:ascii="宋体" w:hAnsi="宋体" w:eastAsia="宋体" w:cs="宋体"/>
          <w:b/>
          <w:bCs w:val="0"/>
          <w:snapToGrid w:val="0"/>
          <w:color w:val="auto"/>
          <w:kern w:val="0"/>
          <w:sz w:val="24"/>
          <w:szCs w:val="24"/>
          <w:highlight w:val="none"/>
        </w:rPr>
        <w:t>4.6．现场管理</w:t>
      </w:r>
      <w:bookmarkEnd w:id="214"/>
      <w:bookmarkEnd w:id="215"/>
    </w:p>
    <w:p w14:paraId="171D14F0">
      <w:pPr>
        <w:pStyle w:val="60"/>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4.61 承包人在施工期间应严格遵守国家、广东省、韶关市有关绿色施工、文明施工、噪音扬尘、消防爆破、环境卫生、渣土清运、治安保卫等方面的规定，并建立相应规章制度和保障措施。否则由此造成的经济损失和法律责任，均由承包人承担。</w:t>
      </w:r>
    </w:p>
    <w:p w14:paraId="75D9EB01">
      <w:pPr>
        <w:pStyle w:val="60"/>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4.6.2 承包人应按安全施工有关规定，采取严格、科学的安全防护措施，确保施工和人员（包括第三者）的安全，承担由于自身安全防护措施不力所造成的安全事故责任和发生的费用。</w:t>
      </w:r>
    </w:p>
    <w:p w14:paraId="53D2B619">
      <w:pPr>
        <w:pStyle w:val="60"/>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4.6.3 为保证施工现场的环境卫生，承包人在本招标项目施工过程中，所有的车辆必须按发包人规定的行车路线行驶。</w:t>
      </w:r>
    </w:p>
    <w:p w14:paraId="5373956E">
      <w:pPr>
        <w:pStyle w:val="60"/>
        <w:spacing w:line="360" w:lineRule="auto"/>
        <w:ind w:firstLine="482" w:firstLineChars="200"/>
        <w:jc w:val="left"/>
        <w:rPr>
          <w:rFonts w:hint="eastAsia" w:ascii="宋体" w:hAnsi="宋体" w:eastAsia="宋体" w:cs="宋体"/>
          <w:b/>
          <w:bCs w:val="0"/>
          <w:snapToGrid w:val="0"/>
          <w:color w:val="auto"/>
          <w:kern w:val="0"/>
          <w:sz w:val="24"/>
          <w:szCs w:val="24"/>
          <w:highlight w:val="none"/>
        </w:rPr>
      </w:pPr>
      <w:bookmarkStart w:id="216" w:name="_Toc1176"/>
      <w:bookmarkStart w:id="217" w:name="_Toc1442"/>
      <w:r>
        <w:rPr>
          <w:rFonts w:hint="eastAsia" w:ascii="宋体" w:hAnsi="宋体" w:eastAsia="宋体" w:cs="宋体"/>
          <w:b/>
          <w:bCs w:val="0"/>
          <w:snapToGrid w:val="0"/>
          <w:color w:val="auto"/>
          <w:kern w:val="0"/>
          <w:sz w:val="24"/>
          <w:szCs w:val="24"/>
          <w:highlight w:val="none"/>
        </w:rPr>
        <w:t>4.7．监督实施</w:t>
      </w:r>
      <w:bookmarkEnd w:id="216"/>
      <w:bookmarkEnd w:id="217"/>
    </w:p>
    <w:p w14:paraId="61B36255">
      <w:pPr>
        <w:pStyle w:val="60"/>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承包人须服从发包人对工程质量、进度、成本的全方位监督，施工中的年度计划、季度计划、月度计划、施工方案等应报送监理单位审批和发包人备案。施工中的质量保证措施等资料均应及时报送监理单位和发包人备案。</w:t>
      </w:r>
    </w:p>
    <w:p w14:paraId="5CA00D6A">
      <w:pPr>
        <w:pStyle w:val="60"/>
        <w:spacing w:line="360" w:lineRule="auto"/>
        <w:ind w:firstLine="482" w:firstLineChars="200"/>
        <w:jc w:val="left"/>
        <w:rPr>
          <w:rFonts w:hint="eastAsia" w:ascii="宋体" w:hAnsi="宋体" w:eastAsia="宋体" w:cs="宋体"/>
          <w:b/>
          <w:bCs w:val="0"/>
          <w:snapToGrid w:val="0"/>
          <w:color w:val="auto"/>
          <w:kern w:val="0"/>
          <w:sz w:val="24"/>
          <w:szCs w:val="24"/>
          <w:highlight w:val="none"/>
        </w:rPr>
      </w:pPr>
      <w:bookmarkStart w:id="218" w:name="_Toc1485"/>
      <w:bookmarkStart w:id="219" w:name="_Toc5482"/>
      <w:r>
        <w:rPr>
          <w:rFonts w:hint="eastAsia" w:ascii="宋体" w:hAnsi="宋体" w:eastAsia="宋体" w:cs="宋体"/>
          <w:b/>
          <w:bCs w:val="0"/>
          <w:snapToGrid w:val="0"/>
          <w:color w:val="auto"/>
          <w:kern w:val="0"/>
          <w:sz w:val="24"/>
          <w:szCs w:val="24"/>
          <w:highlight w:val="none"/>
        </w:rPr>
        <w:t>4.8．主材的采购和使用</w:t>
      </w:r>
      <w:bookmarkEnd w:id="218"/>
      <w:bookmarkEnd w:id="219"/>
    </w:p>
    <w:p w14:paraId="5CFBA4FD">
      <w:pPr>
        <w:pStyle w:val="60"/>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招标人有权拒绝承包人提供的不合格或不符合绿色施工要求的材料，并要求承包人立即进行更换。承包人应按发包人确认后的主要材料的规格、颜色要求采购。如果变更规格或颜色，必须经发包人同意后，报有关审核部门重新核定单价后方可采购，并相应调整合同价款。主要材料必须先提供样板给发包人确定其规格、颜色、等级等，发包人同意后方可使用。</w:t>
      </w:r>
    </w:p>
    <w:p w14:paraId="0D4C92C1">
      <w:pPr>
        <w:pStyle w:val="60"/>
        <w:spacing w:line="360" w:lineRule="auto"/>
        <w:ind w:firstLine="482" w:firstLineChars="200"/>
        <w:jc w:val="left"/>
        <w:rPr>
          <w:rFonts w:hint="eastAsia" w:ascii="宋体" w:hAnsi="宋体" w:eastAsia="宋体" w:cs="宋体"/>
          <w:b/>
          <w:bCs w:val="0"/>
          <w:snapToGrid w:val="0"/>
          <w:color w:val="auto"/>
          <w:kern w:val="0"/>
          <w:sz w:val="24"/>
          <w:szCs w:val="24"/>
          <w:highlight w:val="none"/>
        </w:rPr>
      </w:pPr>
      <w:bookmarkStart w:id="220" w:name="_Toc27130"/>
      <w:bookmarkStart w:id="221" w:name="_Toc11557"/>
      <w:r>
        <w:rPr>
          <w:rFonts w:hint="eastAsia" w:ascii="宋体" w:hAnsi="宋体" w:eastAsia="宋体" w:cs="宋体"/>
          <w:b/>
          <w:bCs w:val="0"/>
          <w:snapToGrid w:val="0"/>
          <w:color w:val="auto"/>
          <w:kern w:val="0"/>
          <w:sz w:val="24"/>
          <w:szCs w:val="24"/>
          <w:highlight w:val="none"/>
        </w:rPr>
        <w:t>4.9</w:t>
      </w:r>
      <w:r>
        <w:rPr>
          <w:rFonts w:hint="eastAsia" w:ascii="宋体" w:hAnsi="宋体" w:eastAsia="宋体" w:cs="宋体"/>
          <w:b/>
          <w:bCs w:val="0"/>
          <w:snapToGrid w:val="0"/>
          <w:color w:val="auto"/>
          <w:kern w:val="0"/>
          <w:sz w:val="24"/>
          <w:szCs w:val="24"/>
          <w:highlight w:val="none"/>
          <w:lang w:val="en-US" w:eastAsia="zh-CN"/>
        </w:rPr>
        <w:t>.</w:t>
      </w:r>
      <w:r>
        <w:rPr>
          <w:rFonts w:hint="eastAsia" w:ascii="宋体" w:hAnsi="宋体" w:eastAsia="宋体" w:cs="宋体"/>
          <w:b/>
          <w:bCs w:val="0"/>
          <w:snapToGrid w:val="0"/>
          <w:color w:val="auto"/>
          <w:kern w:val="0"/>
          <w:sz w:val="24"/>
          <w:szCs w:val="24"/>
          <w:highlight w:val="none"/>
        </w:rPr>
        <w:t>竣工资料移交</w:t>
      </w:r>
      <w:bookmarkEnd w:id="220"/>
      <w:bookmarkEnd w:id="221"/>
    </w:p>
    <w:p w14:paraId="2D74B9D8">
      <w:pPr>
        <w:pStyle w:val="60"/>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项目竣工验收时，承包人应向监理单位和发包人提供符合国家档案部门备案要求的，编制成册的竣工图及有关的技术档案资料（含声像档案）一式</w:t>
      </w:r>
      <w:r>
        <w:rPr>
          <w:rFonts w:hint="eastAsia" w:ascii="宋体" w:hAnsi="宋体" w:eastAsia="宋体" w:cs="宋体"/>
          <w:b w:val="0"/>
          <w:bCs/>
          <w:snapToGrid w:val="0"/>
          <w:color w:val="auto"/>
          <w:kern w:val="0"/>
          <w:sz w:val="24"/>
          <w:szCs w:val="24"/>
          <w:highlight w:val="none"/>
          <w:u w:val="single"/>
        </w:rPr>
        <w:t>八</w:t>
      </w:r>
      <w:r>
        <w:rPr>
          <w:rFonts w:hint="eastAsia" w:ascii="宋体" w:hAnsi="宋体" w:eastAsia="宋体" w:cs="宋体"/>
          <w:b w:val="0"/>
          <w:bCs/>
          <w:snapToGrid w:val="0"/>
          <w:color w:val="auto"/>
          <w:kern w:val="0"/>
          <w:sz w:val="24"/>
          <w:szCs w:val="24"/>
          <w:highlight w:val="none"/>
        </w:rPr>
        <w:t>份。</w:t>
      </w:r>
    </w:p>
    <w:p w14:paraId="153E1139">
      <w:pPr>
        <w:pStyle w:val="60"/>
        <w:spacing w:line="360" w:lineRule="auto"/>
        <w:ind w:firstLine="482" w:firstLineChars="200"/>
        <w:jc w:val="left"/>
        <w:rPr>
          <w:rFonts w:hint="eastAsia" w:ascii="宋体" w:hAnsi="宋体" w:eastAsia="宋体" w:cs="宋体"/>
          <w:b/>
          <w:bCs w:val="0"/>
          <w:snapToGrid w:val="0"/>
          <w:color w:val="auto"/>
          <w:kern w:val="0"/>
          <w:sz w:val="24"/>
          <w:szCs w:val="24"/>
          <w:highlight w:val="none"/>
        </w:rPr>
      </w:pPr>
      <w:bookmarkStart w:id="222" w:name="_Toc14292"/>
      <w:bookmarkStart w:id="223" w:name="_Toc20949"/>
      <w:r>
        <w:rPr>
          <w:rFonts w:hint="eastAsia" w:ascii="宋体" w:hAnsi="宋体" w:eastAsia="宋体" w:cs="宋体"/>
          <w:b/>
          <w:bCs w:val="0"/>
          <w:snapToGrid w:val="0"/>
          <w:color w:val="auto"/>
          <w:kern w:val="0"/>
          <w:sz w:val="24"/>
          <w:szCs w:val="24"/>
          <w:highlight w:val="none"/>
        </w:rPr>
        <w:t>4.10</w:t>
      </w:r>
      <w:r>
        <w:rPr>
          <w:rFonts w:hint="eastAsia" w:ascii="宋体" w:hAnsi="宋体" w:eastAsia="宋体" w:cs="宋体"/>
          <w:b/>
          <w:bCs w:val="0"/>
          <w:snapToGrid w:val="0"/>
          <w:color w:val="auto"/>
          <w:kern w:val="0"/>
          <w:sz w:val="24"/>
          <w:szCs w:val="24"/>
          <w:highlight w:val="none"/>
          <w:lang w:val="en-US" w:eastAsia="zh-CN"/>
        </w:rPr>
        <w:t>.</w:t>
      </w:r>
      <w:r>
        <w:rPr>
          <w:rFonts w:hint="eastAsia" w:ascii="宋体" w:hAnsi="宋体" w:eastAsia="宋体" w:cs="宋体"/>
          <w:b/>
          <w:bCs w:val="0"/>
          <w:snapToGrid w:val="0"/>
          <w:color w:val="auto"/>
          <w:kern w:val="0"/>
          <w:sz w:val="24"/>
          <w:szCs w:val="24"/>
          <w:highlight w:val="none"/>
        </w:rPr>
        <w:t>质量保证</w:t>
      </w:r>
      <w:bookmarkEnd w:id="222"/>
      <w:bookmarkEnd w:id="223"/>
    </w:p>
    <w:p w14:paraId="7F4CAF78">
      <w:pPr>
        <w:pStyle w:val="60"/>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4.10.1 本招标项目缺陷责任期为</w:t>
      </w:r>
      <w:r>
        <w:rPr>
          <w:rFonts w:hint="eastAsia" w:ascii="宋体" w:hAnsi="宋体" w:eastAsia="宋体" w:cs="宋体"/>
          <w:b/>
          <w:bCs w:val="0"/>
          <w:snapToGrid w:val="0"/>
          <w:color w:val="auto"/>
          <w:kern w:val="0"/>
          <w:sz w:val="24"/>
          <w:szCs w:val="24"/>
          <w:highlight w:val="none"/>
          <w:u w:val="single"/>
        </w:rPr>
        <w:t>2</w:t>
      </w:r>
      <w:r>
        <w:rPr>
          <w:rFonts w:hint="eastAsia" w:ascii="宋体" w:hAnsi="宋体" w:eastAsia="宋体" w:cs="宋体"/>
          <w:b/>
          <w:bCs w:val="0"/>
          <w:snapToGrid w:val="0"/>
          <w:color w:val="auto"/>
          <w:kern w:val="0"/>
          <w:sz w:val="24"/>
          <w:szCs w:val="24"/>
          <w:highlight w:val="none"/>
        </w:rPr>
        <w:t>年</w:t>
      </w:r>
      <w:r>
        <w:rPr>
          <w:rFonts w:hint="eastAsia" w:ascii="宋体" w:hAnsi="宋体" w:eastAsia="宋体" w:cs="宋体"/>
          <w:b w:val="0"/>
          <w:bCs/>
          <w:snapToGrid w:val="0"/>
          <w:color w:val="auto"/>
          <w:kern w:val="0"/>
          <w:sz w:val="24"/>
          <w:szCs w:val="24"/>
          <w:highlight w:val="none"/>
        </w:rPr>
        <w:t>（自通过竣工验收之日起计），在此期间预留金额为结算价</w:t>
      </w:r>
      <w:r>
        <w:rPr>
          <w:rFonts w:hint="eastAsia" w:ascii="宋体" w:hAnsi="宋体" w:eastAsia="宋体" w:cs="宋体"/>
          <w:b/>
          <w:bCs w:val="0"/>
          <w:snapToGrid w:val="0"/>
          <w:color w:val="auto"/>
          <w:kern w:val="0"/>
          <w:sz w:val="24"/>
          <w:szCs w:val="24"/>
          <w:highlight w:val="none"/>
          <w:u w:val="single"/>
        </w:rPr>
        <w:t>3%</w:t>
      </w:r>
      <w:r>
        <w:rPr>
          <w:rFonts w:hint="eastAsia" w:ascii="宋体" w:hAnsi="宋体" w:eastAsia="宋体" w:cs="宋体"/>
          <w:b w:val="0"/>
          <w:bCs/>
          <w:snapToGrid w:val="0"/>
          <w:color w:val="auto"/>
          <w:kern w:val="0"/>
          <w:sz w:val="24"/>
          <w:szCs w:val="24"/>
          <w:highlight w:val="none"/>
        </w:rPr>
        <w:t>的质量保证。</w:t>
      </w:r>
    </w:p>
    <w:p w14:paraId="2FC3D744">
      <w:pPr>
        <w:pStyle w:val="60"/>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4.10.2 质量保证的形式：质量保证的形式包括质量保证金、质量保证担保、质量保证保险三种，由承包人自主选择。</w:t>
      </w:r>
    </w:p>
    <w:p w14:paraId="678237C6">
      <w:pPr>
        <w:pStyle w:val="60"/>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（1）采用质量保证金形式的，在结清审定总造价时一次性扣留相应金额作为质量保证金。</w:t>
      </w:r>
    </w:p>
    <w:p w14:paraId="43198DD8">
      <w:pPr>
        <w:pStyle w:val="60"/>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lang w:val="en-US" w:eastAsia="zh-CN"/>
        </w:rPr>
        <w:t>（2）采用质量保证担保或质量保证保险的，承包人应在竣工验收时向发包人提交有效的商业保函、银行保函或保险合同（或保险单）原件，商业保函、银行保函或保险合同（或保险单）的有效期不得短于缺陷责任期</w:t>
      </w:r>
      <w:r>
        <w:rPr>
          <w:rFonts w:hint="eastAsia" w:ascii="宋体" w:hAnsi="宋体" w:eastAsia="宋体" w:cs="宋体"/>
          <w:b w:val="0"/>
          <w:bCs/>
          <w:snapToGrid w:val="0"/>
          <w:color w:val="auto"/>
          <w:kern w:val="0"/>
          <w:sz w:val="24"/>
          <w:szCs w:val="24"/>
          <w:highlight w:val="none"/>
        </w:rPr>
        <w:t>。</w:t>
      </w:r>
    </w:p>
    <w:p w14:paraId="7D260679">
      <w:pPr>
        <w:pStyle w:val="60"/>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4.10.3 缺陷责任期内，由承包人原因造成的缺陷，承包人应负责维修，并承担鉴定及维修费用。如果承包人不维修也不承担费用，发包人可按合同约定从质量保证中扣除，维修费用超出保证金额的，发包人可按合同约定向承包人进行索赔。承包人维修并承担相应费用后，不免除对工程的损失赔偿责任。</w:t>
      </w:r>
    </w:p>
    <w:p w14:paraId="2FA502D8">
      <w:pPr>
        <w:pStyle w:val="60"/>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由他人原因造成的缺陷，发包人负责组织维修，承包人不承担费用，且发包人不得从质量保证中扣除费用。</w:t>
      </w:r>
    </w:p>
    <w:p w14:paraId="763C841D">
      <w:pPr>
        <w:pStyle w:val="60"/>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4.10.4 缺陷责任期内，承包人应认真履行合同约定的责任。缺陷责任期到期后，承包人向发包人申请退还质量保证，发包人应按照《建设工程质量保证金管理办法》有关规定将质量保证退还给承包人。</w:t>
      </w:r>
    </w:p>
    <w:p w14:paraId="7A891F03">
      <w:pPr>
        <w:pStyle w:val="60"/>
        <w:spacing w:line="360" w:lineRule="auto"/>
        <w:ind w:firstLine="482" w:firstLineChars="200"/>
        <w:jc w:val="left"/>
        <w:rPr>
          <w:rFonts w:hint="eastAsia" w:ascii="宋体" w:hAnsi="宋体" w:eastAsia="宋体" w:cs="宋体"/>
          <w:b w:val="0"/>
          <w:bCs/>
          <w:snapToGrid w:val="0"/>
          <w:color w:val="auto"/>
          <w:kern w:val="0"/>
          <w:sz w:val="24"/>
          <w:szCs w:val="24"/>
          <w:highlight w:val="none"/>
        </w:rPr>
      </w:pPr>
      <w:bookmarkStart w:id="224" w:name="_Toc9682"/>
      <w:bookmarkStart w:id="225" w:name="_Toc211"/>
      <w:r>
        <w:rPr>
          <w:rFonts w:hint="eastAsia" w:ascii="宋体" w:hAnsi="宋体" w:eastAsia="宋体" w:cs="宋体"/>
          <w:b/>
          <w:bCs w:val="0"/>
          <w:snapToGrid w:val="0"/>
          <w:color w:val="auto"/>
          <w:kern w:val="0"/>
          <w:sz w:val="24"/>
          <w:szCs w:val="24"/>
          <w:highlight w:val="none"/>
        </w:rPr>
        <w:t>4.11</w:t>
      </w:r>
      <w:r>
        <w:rPr>
          <w:rFonts w:hint="eastAsia" w:ascii="宋体" w:hAnsi="宋体" w:eastAsia="宋体" w:cs="宋体"/>
          <w:b/>
          <w:bCs w:val="0"/>
          <w:snapToGrid w:val="0"/>
          <w:color w:val="auto"/>
          <w:kern w:val="0"/>
          <w:sz w:val="24"/>
          <w:szCs w:val="24"/>
          <w:highlight w:val="none"/>
          <w:lang w:val="en-US" w:eastAsia="zh-CN"/>
        </w:rPr>
        <w:t>.</w:t>
      </w:r>
      <w:r>
        <w:rPr>
          <w:rFonts w:hint="eastAsia" w:ascii="宋体" w:hAnsi="宋体" w:eastAsia="宋体" w:cs="宋体"/>
          <w:b/>
          <w:bCs w:val="0"/>
          <w:snapToGrid w:val="0"/>
          <w:color w:val="auto"/>
          <w:kern w:val="0"/>
          <w:sz w:val="24"/>
          <w:szCs w:val="24"/>
          <w:highlight w:val="none"/>
        </w:rPr>
        <w:t>不良行为处理</w:t>
      </w:r>
      <w:bookmarkEnd w:id="224"/>
      <w:bookmarkEnd w:id="225"/>
    </w:p>
    <w:p w14:paraId="00651002">
      <w:pPr>
        <w:pStyle w:val="60"/>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承包人及其有关人员有下列行为之一的，发包人应及时向建设行政主管部门报告。除按照有关法律、法规进行处罚外，不良行为将计入企业及有关个人诚信档案，并在韶关市住房和城乡建设管理局网站（http://zgj.sg.gov.cn）公示。</w:t>
      </w:r>
    </w:p>
    <w:p w14:paraId="5DE33D43">
      <w:pPr>
        <w:pStyle w:val="60"/>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（1）转包、违法分包或违反投标承诺分包工程的；</w:t>
      </w:r>
    </w:p>
    <w:p w14:paraId="253CB99F">
      <w:pPr>
        <w:pStyle w:val="60"/>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（2）非原参加投标中标的项目经理负责组织施工或在实施过程中擅自更换项目经理的、项目的其他主要管理人员与中标文件确定的人员不相符的；</w:t>
      </w:r>
    </w:p>
    <w:p w14:paraId="08756DD9">
      <w:pPr>
        <w:pStyle w:val="60"/>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（3）投标文件确定的大型机械设备没有进入施工现场的；</w:t>
      </w:r>
    </w:p>
    <w:p w14:paraId="3BA2B30A">
      <w:pPr>
        <w:pStyle w:val="60"/>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（4）与建设单位、监理单位串通，签认虚假工程量或工程造价的；</w:t>
      </w:r>
    </w:p>
    <w:p w14:paraId="110B95AF">
      <w:pPr>
        <w:pStyle w:val="60"/>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（5）项目经理施工现场管理不到位的；</w:t>
      </w:r>
    </w:p>
    <w:p w14:paraId="7DF6C304">
      <w:pPr>
        <w:pStyle w:val="60"/>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（6）项目经理在非本人资格证书注册单位从事工程项目施工管理的；</w:t>
      </w:r>
    </w:p>
    <w:p w14:paraId="039FAE7D">
      <w:pPr>
        <w:pStyle w:val="60"/>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（7）项目经理同时承担超过一项工程项目的；</w:t>
      </w:r>
    </w:p>
    <w:p w14:paraId="5A1E2D1E">
      <w:pPr>
        <w:pStyle w:val="60"/>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（8）违反有关法律、法规、规章规定的其它行为。</w:t>
      </w:r>
    </w:p>
    <w:p w14:paraId="75557C70">
      <w:pPr>
        <w:pStyle w:val="60"/>
        <w:spacing w:line="360" w:lineRule="auto"/>
        <w:ind w:firstLine="482" w:firstLineChars="200"/>
        <w:jc w:val="left"/>
        <w:rPr>
          <w:rFonts w:hint="eastAsia" w:ascii="宋体" w:hAnsi="宋体" w:eastAsia="宋体" w:cs="宋体"/>
          <w:b/>
          <w:bCs w:val="0"/>
          <w:snapToGrid w:val="0"/>
          <w:color w:val="auto"/>
          <w:kern w:val="0"/>
          <w:sz w:val="24"/>
          <w:szCs w:val="24"/>
          <w:highlight w:val="none"/>
        </w:rPr>
      </w:pPr>
      <w:bookmarkStart w:id="226" w:name="_Toc15004"/>
      <w:bookmarkStart w:id="227" w:name="_Toc16682"/>
      <w:r>
        <w:rPr>
          <w:rFonts w:hint="eastAsia" w:ascii="宋体" w:hAnsi="宋体" w:eastAsia="宋体" w:cs="宋体"/>
          <w:b/>
          <w:bCs w:val="0"/>
          <w:snapToGrid w:val="0"/>
          <w:color w:val="auto"/>
          <w:kern w:val="0"/>
          <w:sz w:val="24"/>
          <w:szCs w:val="24"/>
          <w:highlight w:val="none"/>
        </w:rPr>
        <w:t>4.12</w:t>
      </w:r>
      <w:r>
        <w:rPr>
          <w:rFonts w:hint="eastAsia" w:ascii="宋体" w:hAnsi="宋体" w:eastAsia="宋体" w:cs="宋体"/>
          <w:b/>
          <w:bCs w:val="0"/>
          <w:snapToGrid w:val="0"/>
          <w:color w:val="auto"/>
          <w:kern w:val="0"/>
          <w:sz w:val="24"/>
          <w:szCs w:val="24"/>
          <w:highlight w:val="none"/>
          <w:lang w:val="en-US" w:eastAsia="zh-CN"/>
        </w:rPr>
        <w:t>.</w:t>
      </w:r>
      <w:r>
        <w:rPr>
          <w:rFonts w:hint="eastAsia" w:ascii="宋体" w:hAnsi="宋体" w:eastAsia="宋体" w:cs="宋体"/>
          <w:b/>
          <w:bCs w:val="0"/>
          <w:snapToGrid w:val="0"/>
          <w:color w:val="auto"/>
          <w:kern w:val="0"/>
          <w:sz w:val="24"/>
          <w:szCs w:val="24"/>
          <w:highlight w:val="none"/>
        </w:rPr>
        <w:t>信用评价条款内容</w:t>
      </w:r>
      <w:bookmarkEnd w:id="226"/>
      <w:bookmarkEnd w:id="227"/>
    </w:p>
    <w:p w14:paraId="260E09D2">
      <w:pPr>
        <w:pStyle w:val="60"/>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由招标人决定是否对施工单位的履约情况进行信用评价。若进行信用评价，评价条款由招标人自拟，条款内容可参考人员到位情况、服务配合程度、服务成果质量、项目后期服务及信用评价结果的运用等。 </w:t>
      </w:r>
    </w:p>
    <w:p w14:paraId="2A724234">
      <w:pPr>
        <w:pStyle w:val="60"/>
        <w:spacing w:line="360" w:lineRule="auto"/>
        <w:ind w:firstLine="482"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4.13.</w:t>
      </w:r>
      <w:r>
        <w:rPr>
          <w:rFonts w:hint="eastAsia" w:ascii="宋体" w:hAnsi="宋体" w:eastAsia="宋体" w:cs="宋体"/>
          <w:b w:val="0"/>
          <w:bCs/>
          <w:snapToGrid w:val="0"/>
          <w:color w:val="auto"/>
          <w:kern w:val="0"/>
          <w:sz w:val="24"/>
          <w:szCs w:val="24"/>
          <w:highlight w:val="none"/>
        </w:rPr>
        <w:t>危险性较大的分部分项工程安全管理约定。对危险性较大的工程必须按《危险性较大的分部分项工程安全管理规定》（中华人民共和国住房和城乡建设部令第37号）的规定编制专项施工方案。同时，从承包人必须按照《危险性较大的分部分项工程安全管理规定》的规定和经审批的专项施工方案履行安全职责，严格执行国家、地方政府有关施工安全管理方面的法律、法规及规章制度，同时严格执行发包人制订的本项目安全生产管理方面的规章制度、安全检查程序及施工安全管理要求，以及监理人有关安全工作的指令。</w:t>
      </w:r>
    </w:p>
    <w:p w14:paraId="034CC18B">
      <w:pPr>
        <w:pStyle w:val="60"/>
        <w:spacing w:line="360" w:lineRule="auto"/>
        <w:ind w:firstLine="480" w:firstLineChars="200"/>
        <w:jc w:val="left"/>
        <w:rPr>
          <w:rFonts w:hint="eastAsia" w:ascii="宋体" w:hAnsi="宋体" w:eastAsia="宋体" w:cs="宋体"/>
          <w:b/>
          <w:bCs w:val="0"/>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承包人应根据《危险性较大的分部分项工程安全管理规定》（住房城乡建设部令第37号）、《住房城乡建设部办公厅关于实施&lt;危险性较大的分部分项工程安全管理规定&gt;有关问题的通知》（建办质〔2018〕31号）、《广东省住房和城乡建设厅关于房屋市政工程危险性较大的分部分项工程安全管理的实施细则的通知》(粤建规范〔2019〕2号) 和《广东省安全生产委员会办公室 广东省住房和城乡建设厅关于&lt;严格落实危险性较大的分部分项工程“六不施工”要求的通知&gt;》（粤安办〔2020〕151 号）等有关危险性较大的分部分项工程的法规规定通知，履行建设工程安全生产管理职责。</w:t>
      </w:r>
    </w:p>
    <w:p w14:paraId="5714F8E5">
      <w:pPr>
        <w:pStyle w:val="60"/>
        <w:spacing w:line="360" w:lineRule="auto"/>
        <w:ind w:firstLine="482"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4.</w:t>
      </w:r>
      <w:r>
        <w:rPr>
          <w:rFonts w:hint="eastAsia" w:ascii="宋体" w:hAnsi="宋体" w:eastAsia="宋体" w:cs="宋体"/>
          <w:b/>
          <w:bCs w:val="0"/>
          <w:snapToGrid w:val="0"/>
          <w:color w:val="auto"/>
          <w:kern w:val="0"/>
          <w:sz w:val="24"/>
          <w:szCs w:val="24"/>
          <w:highlight w:val="none"/>
          <w:lang w:val="en-US" w:eastAsia="zh-CN"/>
        </w:rPr>
        <w:t>14.</w:t>
      </w:r>
      <w:r>
        <w:rPr>
          <w:rFonts w:hint="eastAsia" w:ascii="宋体" w:hAnsi="宋体" w:eastAsia="宋体" w:cs="宋体"/>
          <w:b w:val="0"/>
          <w:bCs/>
          <w:snapToGrid w:val="0"/>
          <w:color w:val="auto"/>
          <w:kern w:val="0"/>
          <w:sz w:val="24"/>
          <w:szCs w:val="24"/>
          <w:highlight w:val="none"/>
        </w:rPr>
        <w:t>承包人在工程实施过程中，按照国家、省、市的相关规定制定相关的专项安全施工方案（如高支模、基坑支护、沉井等），编制专项施工方案报监理人、招标人审批后方可开展专项工程的施工。</w:t>
      </w:r>
    </w:p>
    <w:p w14:paraId="6D850A8F">
      <w:pPr>
        <w:pStyle w:val="60"/>
        <w:spacing w:line="360" w:lineRule="auto"/>
        <w:ind w:firstLine="482"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4.1</w:t>
      </w:r>
      <w:r>
        <w:rPr>
          <w:rFonts w:hint="eastAsia" w:ascii="宋体" w:hAnsi="宋体" w:eastAsia="宋体" w:cs="宋体"/>
          <w:b/>
          <w:bCs w:val="0"/>
          <w:snapToGrid w:val="0"/>
          <w:color w:val="auto"/>
          <w:kern w:val="0"/>
          <w:sz w:val="24"/>
          <w:szCs w:val="24"/>
          <w:highlight w:val="none"/>
          <w:lang w:val="en-US" w:eastAsia="zh-CN"/>
        </w:rPr>
        <w:t>5.</w:t>
      </w:r>
      <w:r>
        <w:rPr>
          <w:rFonts w:hint="eastAsia" w:ascii="宋体" w:hAnsi="宋体" w:eastAsia="宋体" w:cs="宋体"/>
          <w:b w:val="0"/>
          <w:bCs/>
          <w:snapToGrid w:val="0"/>
          <w:color w:val="auto"/>
          <w:kern w:val="0"/>
          <w:sz w:val="24"/>
          <w:szCs w:val="24"/>
          <w:highlight w:val="none"/>
        </w:rPr>
        <w:t>中标人须按照《韶关市建筑垃圾管理条例》（2021年5月1日起施行），将弃土运至招标人指定的场所，否则招标人有权要求中标人无条件将弃土从违约弃土点运至招标人指定的场所并扣除违约金</w:t>
      </w:r>
      <w:r>
        <w:rPr>
          <w:rFonts w:hint="eastAsia" w:ascii="宋体" w:hAnsi="宋体" w:eastAsia="宋体" w:cs="宋体"/>
          <w:b w:val="0"/>
          <w:bCs/>
          <w:snapToGrid w:val="0"/>
          <w:color w:val="auto"/>
          <w:kern w:val="0"/>
          <w:sz w:val="24"/>
          <w:szCs w:val="24"/>
          <w:highlight w:val="none"/>
          <w:lang w:val="en-US" w:eastAsia="zh-CN"/>
        </w:rPr>
        <w:t>1</w:t>
      </w:r>
      <w:r>
        <w:rPr>
          <w:rFonts w:hint="eastAsia" w:ascii="宋体" w:hAnsi="宋体" w:eastAsia="宋体" w:cs="宋体"/>
          <w:b w:val="0"/>
          <w:bCs/>
          <w:snapToGrid w:val="0"/>
          <w:color w:val="auto"/>
          <w:kern w:val="0"/>
          <w:sz w:val="24"/>
          <w:szCs w:val="24"/>
          <w:highlight w:val="none"/>
        </w:rPr>
        <w:t>万元人民币/次。中标人对建筑垃圾须按《韶关市建筑垃圾管理条例》（2021年5月1日起施行）的相关规定进行排放和运输，投标人在投标报价时综合考虑在报价内。中标人应在施工现场建立洗车槽和临时排水系统等确保外运车辆（土方运输车辆应符合韶关市相关规定）不带泥上路，投标人在投标报价时综合考虑在报价内，招标人不另行支付该部分费用）。建设单位、施工单位应当在施工工地出入口显著位置公示建筑垃圾处理方案主要信息，包括建设工程垃圾种类、产生量、外运处置去向等信息及各相关单位名称、联系人及联系电话等。</w:t>
      </w:r>
    </w:p>
    <w:p w14:paraId="0F741952">
      <w:pPr>
        <w:pStyle w:val="60"/>
        <w:spacing w:line="360" w:lineRule="auto"/>
        <w:ind w:firstLine="482"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4.1</w:t>
      </w:r>
      <w:r>
        <w:rPr>
          <w:rFonts w:hint="eastAsia" w:ascii="宋体" w:hAnsi="宋体" w:eastAsia="宋体" w:cs="宋体"/>
          <w:b/>
          <w:bCs w:val="0"/>
          <w:snapToGrid w:val="0"/>
          <w:color w:val="auto"/>
          <w:kern w:val="0"/>
          <w:sz w:val="24"/>
          <w:szCs w:val="24"/>
          <w:highlight w:val="none"/>
          <w:lang w:val="en-US" w:eastAsia="zh-CN"/>
        </w:rPr>
        <w:t>6.</w:t>
      </w:r>
      <w:r>
        <w:rPr>
          <w:rFonts w:hint="eastAsia" w:ascii="宋体" w:hAnsi="宋体" w:eastAsia="宋体" w:cs="宋体"/>
          <w:b w:val="0"/>
          <w:bCs/>
          <w:snapToGrid w:val="0"/>
          <w:color w:val="auto"/>
          <w:kern w:val="0"/>
          <w:sz w:val="24"/>
          <w:szCs w:val="24"/>
          <w:highlight w:val="none"/>
        </w:rPr>
        <w:t>工程竣工验收后15日内，中标人应按市城建档案馆的要求（质量、数量），将编制成册的施工档案资料（含声像档案和电子档案）提供给招标人、市城建档案馆、市住建管理局、管养单位及监理单位，并承担档案涉及的所有费用（制作标准和相关要求按市城建档案馆的有关规定执行）。中标人提交符合城建档案馆要求的竣工资料经招标人确认签收后，即可办理工程结算手续。</w:t>
      </w:r>
    </w:p>
    <w:p w14:paraId="119A4AF6">
      <w:pPr>
        <w:pStyle w:val="60"/>
        <w:spacing w:line="360" w:lineRule="auto"/>
        <w:ind w:firstLine="482"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4.</w:t>
      </w:r>
      <w:r>
        <w:rPr>
          <w:rFonts w:hint="eastAsia" w:ascii="宋体" w:hAnsi="宋体" w:eastAsia="宋体" w:cs="宋体"/>
          <w:b/>
          <w:bCs w:val="0"/>
          <w:snapToGrid w:val="0"/>
          <w:color w:val="auto"/>
          <w:kern w:val="0"/>
          <w:sz w:val="24"/>
          <w:szCs w:val="24"/>
          <w:highlight w:val="none"/>
          <w:lang w:val="en-US" w:eastAsia="zh-CN"/>
        </w:rPr>
        <w:t>17.</w:t>
      </w:r>
      <w:r>
        <w:rPr>
          <w:rFonts w:hint="eastAsia" w:ascii="宋体" w:hAnsi="宋体" w:eastAsia="宋体" w:cs="宋体"/>
          <w:b w:val="0"/>
          <w:bCs/>
          <w:snapToGrid w:val="0"/>
          <w:color w:val="auto"/>
          <w:kern w:val="0"/>
          <w:sz w:val="24"/>
          <w:szCs w:val="24"/>
          <w:highlight w:val="none"/>
        </w:rPr>
        <w:t xml:space="preserve">承包人应做好周边设施（含军用光缆、燃气、供电、供水、排水、排污、人行道、路灯、治安监控、交通电警等）的成品保护并及时与周边设施的权属单位协调解决，如因承包人原因导致上述设施发生损坏，承包人无条件按发包人规定的期限内修复，涉及成品保护费、索赔等一切费用全部由承包人自行解决。 </w:t>
      </w:r>
    </w:p>
    <w:p w14:paraId="582C81D6">
      <w:pPr>
        <w:pStyle w:val="60"/>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4.1</w:t>
      </w:r>
      <w:r>
        <w:rPr>
          <w:rFonts w:hint="eastAsia" w:ascii="宋体" w:hAnsi="宋体" w:eastAsia="宋体" w:cs="宋体"/>
          <w:b/>
          <w:bCs w:val="0"/>
          <w:snapToGrid w:val="0"/>
          <w:color w:val="auto"/>
          <w:kern w:val="0"/>
          <w:sz w:val="24"/>
          <w:szCs w:val="24"/>
          <w:highlight w:val="none"/>
          <w:lang w:val="en-US" w:eastAsia="zh-CN"/>
        </w:rPr>
        <w:t>8.</w:t>
      </w:r>
      <w:r>
        <w:rPr>
          <w:rFonts w:hint="eastAsia" w:ascii="宋体" w:hAnsi="宋体" w:eastAsia="宋体" w:cs="宋体"/>
          <w:b/>
          <w:bCs w:val="0"/>
          <w:snapToGrid w:val="0"/>
          <w:color w:val="auto"/>
          <w:kern w:val="0"/>
          <w:sz w:val="24"/>
          <w:szCs w:val="24"/>
          <w:highlight w:val="none"/>
        </w:rPr>
        <w:t xml:space="preserve"> </w:t>
      </w:r>
      <w:r>
        <w:rPr>
          <w:rFonts w:hint="eastAsia" w:ascii="宋体" w:hAnsi="宋体" w:eastAsia="宋体" w:cs="宋体"/>
          <w:b w:val="0"/>
          <w:bCs/>
          <w:snapToGrid w:val="0"/>
          <w:color w:val="auto"/>
          <w:kern w:val="0"/>
          <w:sz w:val="24"/>
          <w:szCs w:val="24"/>
          <w:highlight w:val="none"/>
        </w:rPr>
        <w:t xml:space="preserve">承包人中标后必须按规定及时缴交工人工资保证金、环保噪声排污费等。 </w:t>
      </w:r>
    </w:p>
    <w:p w14:paraId="129AC4D2">
      <w:pPr>
        <w:pStyle w:val="60"/>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4.1</w:t>
      </w:r>
      <w:r>
        <w:rPr>
          <w:rFonts w:hint="eastAsia" w:ascii="宋体" w:hAnsi="宋体" w:eastAsia="宋体" w:cs="宋体"/>
          <w:b/>
          <w:bCs w:val="0"/>
          <w:snapToGrid w:val="0"/>
          <w:color w:val="auto"/>
          <w:kern w:val="0"/>
          <w:sz w:val="24"/>
          <w:szCs w:val="24"/>
          <w:highlight w:val="none"/>
          <w:lang w:val="en-US" w:eastAsia="zh-CN"/>
        </w:rPr>
        <w:t>9.</w:t>
      </w:r>
      <w:r>
        <w:rPr>
          <w:rFonts w:hint="eastAsia" w:ascii="宋体" w:hAnsi="宋体" w:eastAsia="宋体" w:cs="宋体"/>
          <w:b w:val="0"/>
          <w:bCs/>
          <w:snapToGrid w:val="0"/>
          <w:color w:val="auto"/>
          <w:kern w:val="0"/>
          <w:sz w:val="24"/>
          <w:szCs w:val="24"/>
          <w:highlight w:val="none"/>
        </w:rPr>
        <w:t xml:space="preserve"> 工程质量保修期按《中华人民共和国建筑法》、《建设工程质量管理条例》等相关规定实施。 </w:t>
      </w:r>
    </w:p>
    <w:p w14:paraId="327AFBE1">
      <w:pPr>
        <w:pStyle w:val="60"/>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4.</w:t>
      </w:r>
      <w:r>
        <w:rPr>
          <w:rFonts w:hint="eastAsia" w:ascii="宋体" w:hAnsi="宋体" w:eastAsia="宋体" w:cs="宋体"/>
          <w:b/>
          <w:bCs w:val="0"/>
          <w:snapToGrid w:val="0"/>
          <w:color w:val="auto"/>
          <w:kern w:val="0"/>
          <w:sz w:val="24"/>
          <w:szCs w:val="24"/>
          <w:highlight w:val="none"/>
          <w:lang w:val="en-US" w:eastAsia="zh-CN"/>
        </w:rPr>
        <w:t>20.</w:t>
      </w:r>
      <w:r>
        <w:rPr>
          <w:rFonts w:hint="eastAsia" w:ascii="宋体" w:hAnsi="宋体" w:eastAsia="宋体" w:cs="宋体"/>
          <w:b w:val="0"/>
          <w:bCs/>
          <w:snapToGrid w:val="0"/>
          <w:color w:val="auto"/>
          <w:kern w:val="0"/>
          <w:sz w:val="24"/>
          <w:szCs w:val="24"/>
          <w:highlight w:val="none"/>
        </w:rPr>
        <w:t xml:space="preserve"> 如项目实施过程中发生了工程变更及工程签证，承包人需根据发包人发布的 《工程变更管理办法》和《工程签证管理办法》完善工程变更签证相关程序。 </w:t>
      </w:r>
    </w:p>
    <w:p w14:paraId="0367AB3D">
      <w:pPr>
        <w:pStyle w:val="60"/>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4.</w:t>
      </w:r>
      <w:r>
        <w:rPr>
          <w:rFonts w:hint="eastAsia" w:ascii="宋体" w:hAnsi="宋体" w:eastAsia="宋体" w:cs="宋体"/>
          <w:b/>
          <w:bCs w:val="0"/>
          <w:snapToGrid w:val="0"/>
          <w:color w:val="auto"/>
          <w:kern w:val="0"/>
          <w:sz w:val="24"/>
          <w:szCs w:val="24"/>
          <w:highlight w:val="none"/>
          <w:lang w:val="en-US" w:eastAsia="zh-CN"/>
        </w:rPr>
        <w:t>21.</w:t>
      </w:r>
      <w:r>
        <w:rPr>
          <w:rFonts w:hint="eastAsia" w:ascii="宋体" w:hAnsi="宋体" w:eastAsia="宋体" w:cs="宋体"/>
          <w:b w:val="0"/>
          <w:bCs/>
          <w:snapToGrid w:val="0"/>
          <w:color w:val="auto"/>
          <w:kern w:val="0"/>
          <w:sz w:val="24"/>
          <w:szCs w:val="24"/>
          <w:highlight w:val="none"/>
        </w:rPr>
        <w:t xml:space="preserve"> 承包人需按相关规定要求，设置本工程符合相关要求的永久性标牌及规划公示牌，投标人在投标报价时综合考虑在报价内，发包人不另行支付该部分费用。 </w:t>
      </w:r>
    </w:p>
    <w:p w14:paraId="287663DB">
      <w:pPr>
        <w:pStyle w:val="60"/>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4.2</w:t>
      </w:r>
      <w:r>
        <w:rPr>
          <w:rFonts w:hint="eastAsia" w:ascii="宋体" w:hAnsi="宋体" w:eastAsia="宋体" w:cs="宋体"/>
          <w:b/>
          <w:bCs w:val="0"/>
          <w:snapToGrid w:val="0"/>
          <w:color w:val="auto"/>
          <w:kern w:val="0"/>
          <w:sz w:val="24"/>
          <w:szCs w:val="24"/>
          <w:highlight w:val="none"/>
          <w:lang w:val="en-US" w:eastAsia="zh-CN"/>
        </w:rPr>
        <w:t>2.</w:t>
      </w:r>
      <w:r>
        <w:rPr>
          <w:rFonts w:hint="eastAsia" w:ascii="宋体" w:hAnsi="宋体" w:eastAsia="宋体" w:cs="宋体"/>
          <w:b/>
          <w:bCs w:val="0"/>
          <w:snapToGrid w:val="0"/>
          <w:color w:val="auto"/>
          <w:kern w:val="0"/>
          <w:sz w:val="24"/>
          <w:szCs w:val="24"/>
          <w:highlight w:val="none"/>
        </w:rPr>
        <w:t xml:space="preserve"> </w:t>
      </w:r>
      <w:r>
        <w:rPr>
          <w:rFonts w:hint="eastAsia" w:ascii="宋体" w:hAnsi="宋体" w:eastAsia="宋体" w:cs="宋体"/>
          <w:b w:val="0"/>
          <w:bCs/>
          <w:snapToGrid w:val="0"/>
          <w:color w:val="auto"/>
          <w:kern w:val="0"/>
          <w:sz w:val="24"/>
          <w:szCs w:val="24"/>
          <w:highlight w:val="none"/>
        </w:rPr>
        <w:t xml:space="preserve">承包人应在项目所在地住建管理部门办理诚信登记，发包人将严格按住建管理部门诚信登记管理办法对承包人履约情况进行考核。 </w:t>
      </w:r>
    </w:p>
    <w:p w14:paraId="2C740F39">
      <w:pPr>
        <w:pStyle w:val="60"/>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4.2</w:t>
      </w:r>
      <w:r>
        <w:rPr>
          <w:rFonts w:hint="eastAsia" w:ascii="宋体" w:hAnsi="宋体" w:eastAsia="宋体" w:cs="宋体"/>
          <w:b/>
          <w:bCs w:val="0"/>
          <w:snapToGrid w:val="0"/>
          <w:color w:val="auto"/>
          <w:kern w:val="0"/>
          <w:sz w:val="24"/>
          <w:szCs w:val="24"/>
          <w:highlight w:val="none"/>
          <w:lang w:val="en-US" w:eastAsia="zh-CN"/>
        </w:rPr>
        <w:t>3.</w:t>
      </w:r>
      <w:r>
        <w:rPr>
          <w:rFonts w:hint="eastAsia" w:ascii="宋体" w:hAnsi="宋体" w:eastAsia="宋体" w:cs="宋体"/>
          <w:b w:val="0"/>
          <w:bCs/>
          <w:snapToGrid w:val="0"/>
          <w:color w:val="auto"/>
          <w:kern w:val="0"/>
          <w:sz w:val="24"/>
          <w:szCs w:val="24"/>
          <w:highlight w:val="none"/>
        </w:rPr>
        <w:t xml:space="preserve"> 承包人应按韶关市住房和城乡建设管理局、韶关市人力资源和社会保障局等职能部门对用工实名制的相关规定,落实工人及相关软硬件设施要求。</w:t>
      </w:r>
    </w:p>
    <w:p w14:paraId="5BDBF553">
      <w:pPr>
        <w:pStyle w:val="60"/>
        <w:spacing w:line="360" w:lineRule="auto"/>
        <w:ind w:firstLine="482" w:firstLineChars="20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 xml:space="preserve">4.24. </w:t>
      </w:r>
      <w:r>
        <w:rPr>
          <w:rFonts w:hint="eastAsia" w:ascii="宋体" w:hAnsi="宋体" w:eastAsia="宋体" w:cs="宋体"/>
          <w:b w:val="0"/>
          <w:bCs w:val="0"/>
          <w:color w:val="auto"/>
          <w:sz w:val="24"/>
          <w:szCs w:val="24"/>
          <w:highlight w:val="none"/>
        </w:rPr>
        <w:t>根据乐昌市应急管理局《关于做好安全生产责任保险推广工作的通知》（乐安委办〔2020〕21号），安责险实施全覆盖的文件精神，投标单位须按照文件要求将项目安责险费用计入投标报价中。</w:t>
      </w:r>
    </w:p>
    <w:p w14:paraId="52280D74">
      <w:pPr>
        <w:widowControl w:val="0"/>
        <w:numPr>
          <w:ilvl w:val="0"/>
          <w:numId w:val="0"/>
        </w:numPr>
        <w:spacing w:line="360" w:lineRule="auto"/>
        <w:jc w:val="both"/>
        <w:rPr>
          <w:rFonts w:hint="eastAsia" w:ascii="宋体" w:hAnsi="宋体" w:eastAsia="宋体" w:cs="宋体"/>
          <w:color w:val="auto"/>
          <w:highlight w:val="none"/>
          <w:lang w:eastAsia="zh-CN"/>
        </w:rPr>
      </w:pPr>
    </w:p>
    <w:p w14:paraId="21D42C2F">
      <w:pPr>
        <w:pStyle w:val="10"/>
        <w:rPr>
          <w:rFonts w:hint="eastAsia" w:ascii="宋体" w:hAnsi="宋体" w:eastAsia="宋体" w:cs="宋体"/>
          <w:color w:val="auto"/>
          <w:highlight w:val="none"/>
          <w:lang w:eastAsia="zh-CN"/>
        </w:rPr>
      </w:pPr>
    </w:p>
    <w:p w14:paraId="7F9DE86D">
      <w:pPr>
        <w:rPr>
          <w:rFonts w:hint="eastAsia" w:ascii="宋体" w:hAnsi="宋体" w:eastAsia="宋体" w:cs="宋体"/>
          <w:color w:val="auto"/>
          <w:highlight w:val="none"/>
          <w:lang w:eastAsia="zh-CN"/>
        </w:rPr>
      </w:pPr>
    </w:p>
    <w:p w14:paraId="486FEDC9">
      <w:pPr>
        <w:pStyle w:val="10"/>
        <w:rPr>
          <w:rFonts w:hint="eastAsia" w:ascii="宋体" w:hAnsi="宋体" w:eastAsia="宋体" w:cs="宋体"/>
          <w:color w:val="auto"/>
          <w:highlight w:val="none"/>
          <w:lang w:eastAsia="zh-CN"/>
        </w:rPr>
      </w:pPr>
    </w:p>
    <w:p w14:paraId="6C62F16D">
      <w:pPr>
        <w:pStyle w:val="2"/>
        <w:wordWrap w:val="0"/>
        <w:autoSpaceDE/>
        <w:autoSpaceDN/>
        <w:snapToGrid w:val="0"/>
        <w:spacing w:line="440" w:lineRule="exact"/>
        <w:jc w:val="center"/>
        <w:rPr>
          <w:rFonts w:hint="eastAsia" w:ascii="宋体" w:hAnsi="宋体" w:eastAsia="宋体" w:cs="宋体"/>
          <w:b/>
          <w:snapToGrid w:val="0"/>
          <w:color w:val="auto"/>
          <w:sz w:val="24"/>
          <w:highlight w:val="none"/>
          <w:lang w:val="en-US" w:eastAsia="zh-CN"/>
        </w:rPr>
        <w:sectPr>
          <w:endnotePr>
            <w:numFmt w:val="decimal"/>
          </w:endnotePr>
          <w:pgSz w:w="11906" w:h="16838"/>
          <w:pgMar w:top="1134" w:right="1134" w:bottom="1134" w:left="1134" w:header="567" w:footer="567" w:gutter="0"/>
          <w:pgBorders>
            <w:top w:val="none" w:sz="0" w:space="0"/>
            <w:left w:val="none" w:sz="0" w:space="0"/>
            <w:bottom w:val="none" w:sz="0" w:space="0"/>
            <w:right w:val="none" w:sz="0" w:space="0"/>
          </w:pgBorders>
          <w:cols w:space="720" w:num="1"/>
          <w:docGrid w:linePitch="327" w:charSpace="0"/>
        </w:sectPr>
      </w:pPr>
      <w:bookmarkStart w:id="228" w:name="_Toc3051"/>
      <w:bookmarkStart w:id="229" w:name="_Toc9687"/>
    </w:p>
    <w:p w14:paraId="480A1774">
      <w:pPr>
        <w:pStyle w:val="2"/>
        <w:wordWrap w:val="0"/>
        <w:autoSpaceDE/>
        <w:autoSpaceDN/>
        <w:snapToGrid w:val="0"/>
        <w:spacing w:line="440" w:lineRule="exact"/>
        <w:jc w:val="center"/>
        <w:rPr>
          <w:rFonts w:hint="eastAsia" w:ascii="宋体" w:hAnsi="宋体" w:eastAsia="宋体" w:cs="宋体"/>
          <w:b/>
          <w:snapToGrid w:val="0"/>
          <w:color w:val="auto"/>
          <w:sz w:val="24"/>
          <w:highlight w:val="none"/>
          <w:lang w:val="en-US" w:eastAsia="zh-CN"/>
        </w:rPr>
      </w:pPr>
      <w:r>
        <w:rPr>
          <w:rFonts w:hint="eastAsia" w:ascii="宋体" w:hAnsi="宋体" w:eastAsia="宋体" w:cs="宋体"/>
          <w:b/>
          <w:snapToGrid w:val="0"/>
          <w:color w:val="auto"/>
          <w:sz w:val="24"/>
          <w:highlight w:val="none"/>
          <w:lang w:val="en-US" w:eastAsia="zh-CN"/>
        </w:rPr>
        <w:t>第四章</w:t>
      </w:r>
      <w:bookmarkStart w:id="230" w:name="_Hlt87793853"/>
      <w:bookmarkEnd w:id="230"/>
      <w:r>
        <w:rPr>
          <w:rFonts w:hint="eastAsia" w:ascii="宋体" w:hAnsi="宋体" w:eastAsia="宋体" w:cs="宋体"/>
          <w:b/>
          <w:snapToGrid w:val="0"/>
          <w:color w:val="auto"/>
          <w:sz w:val="24"/>
          <w:highlight w:val="none"/>
          <w:lang w:val="en-US" w:eastAsia="zh-CN"/>
        </w:rPr>
        <w:t xml:space="preserve"> 技术要求</w:t>
      </w:r>
      <w:bookmarkEnd w:id="204"/>
      <w:bookmarkEnd w:id="228"/>
      <w:bookmarkEnd w:id="229"/>
    </w:p>
    <w:bookmarkEnd w:id="205"/>
    <w:p w14:paraId="57C20EFC">
      <w:pPr>
        <w:pStyle w:val="4"/>
        <w:keepNext w:val="0"/>
        <w:keepLines w:val="0"/>
        <w:wordWrap w:val="0"/>
        <w:adjustRightInd w:val="0"/>
        <w:snapToGrid w:val="0"/>
        <w:spacing w:before="0" w:after="0" w:line="440" w:lineRule="exact"/>
        <w:ind w:left="643"/>
        <w:jc w:val="both"/>
        <w:rPr>
          <w:rFonts w:hint="eastAsia" w:ascii="宋体" w:hAnsi="宋体" w:eastAsia="宋体" w:cs="宋体"/>
          <w:b/>
          <w:snapToGrid w:val="0"/>
          <w:color w:val="auto"/>
          <w:kern w:val="0"/>
          <w:highlight w:val="none"/>
        </w:rPr>
      </w:pPr>
      <w:bookmarkStart w:id="231" w:name="_Hlt87793346"/>
      <w:bookmarkEnd w:id="231"/>
      <w:bookmarkStart w:id="232" w:name="_Hlt69359335"/>
      <w:bookmarkEnd w:id="232"/>
      <w:bookmarkStart w:id="233" w:name="_Hlt69265216"/>
      <w:bookmarkEnd w:id="233"/>
      <w:bookmarkStart w:id="234" w:name="_Hlt75685840"/>
      <w:bookmarkEnd w:id="234"/>
      <w:bookmarkStart w:id="235" w:name="_Hlt69116854"/>
      <w:bookmarkEnd w:id="235"/>
      <w:bookmarkStart w:id="236" w:name="_Hlt69358207"/>
      <w:bookmarkEnd w:id="236"/>
      <w:bookmarkStart w:id="237" w:name="_Hlt68774758"/>
      <w:bookmarkEnd w:id="237"/>
      <w:bookmarkStart w:id="238" w:name="_Hlt69357851"/>
      <w:bookmarkEnd w:id="238"/>
      <w:bookmarkStart w:id="239" w:name="_Hlt87793370"/>
      <w:bookmarkEnd w:id="239"/>
      <w:bookmarkStart w:id="240" w:name="_Hlt66104926"/>
      <w:bookmarkEnd w:id="240"/>
      <w:bookmarkStart w:id="241" w:name="_Hlt80411122"/>
      <w:bookmarkEnd w:id="241"/>
    </w:p>
    <w:p w14:paraId="4D342B74">
      <w:pPr>
        <w:wordWrap w:val="0"/>
        <w:adjustRightInd w:val="0"/>
        <w:snapToGrid w:val="0"/>
        <w:spacing w:line="440" w:lineRule="exact"/>
        <w:ind w:firstLine="482" w:firstLineChars="200"/>
        <w:rPr>
          <w:rFonts w:hint="eastAsia" w:ascii="宋体" w:hAnsi="宋体" w:eastAsia="宋体" w:cs="宋体"/>
          <w:b/>
          <w:snapToGrid w:val="0"/>
          <w:color w:val="auto"/>
          <w:kern w:val="0"/>
          <w:highlight w:val="none"/>
        </w:rPr>
      </w:pPr>
      <w:r>
        <w:rPr>
          <w:rFonts w:hint="eastAsia" w:ascii="宋体" w:hAnsi="宋体" w:eastAsia="宋体" w:cs="宋体"/>
          <w:b/>
          <w:snapToGrid w:val="0"/>
          <w:color w:val="auto"/>
          <w:kern w:val="0"/>
          <w:highlight w:val="none"/>
        </w:rPr>
        <w:t>1．房屋建筑工程建设项目</w:t>
      </w:r>
    </w:p>
    <w:p w14:paraId="63DB2A08">
      <w:pPr>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bookmarkStart w:id="242" w:name="_Hlt69359243"/>
      <w:bookmarkEnd w:id="242"/>
      <w:bookmarkStart w:id="243" w:name="_Hlt69359086"/>
      <w:bookmarkEnd w:id="243"/>
      <w:bookmarkStart w:id="244" w:name="_Hlt78709799"/>
      <w:bookmarkEnd w:id="244"/>
      <w:bookmarkStart w:id="245" w:name="_Hlt69116858"/>
      <w:bookmarkEnd w:id="245"/>
      <w:bookmarkStart w:id="246" w:name="_Hlt69358458"/>
      <w:bookmarkEnd w:id="246"/>
      <w:bookmarkStart w:id="247" w:name="_Hlt69635252"/>
      <w:bookmarkEnd w:id="247"/>
      <w:bookmarkStart w:id="248" w:name="_Hlt69359245"/>
      <w:bookmarkEnd w:id="248"/>
      <w:r>
        <w:rPr>
          <w:rFonts w:hint="eastAsia" w:ascii="宋体" w:hAnsi="宋体" w:eastAsia="宋体" w:cs="宋体"/>
          <w:bCs/>
          <w:snapToGrid w:val="0"/>
          <w:color w:val="auto"/>
          <w:kern w:val="0"/>
          <w:highlight w:val="none"/>
        </w:rPr>
        <w:t>房屋建筑工程建设项目必须执行的现行技术规范，包括且不限于：</w:t>
      </w:r>
    </w:p>
    <w:p w14:paraId="020AD338">
      <w:pPr>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（1）《建筑工程施工质量验收统一标准》；</w:t>
      </w:r>
    </w:p>
    <w:p w14:paraId="0C8317DD">
      <w:pPr>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（2）《建筑地基基础工程施工质量验收规范》；</w:t>
      </w:r>
    </w:p>
    <w:p w14:paraId="0B56E2CC">
      <w:pPr>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（3）《砌体工程施工质量验收规范》；</w:t>
      </w:r>
    </w:p>
    <w:p w14:paraId="7FFAD12A">
      <w:pPr>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（4）《混凝土结构工程施工质量验收规范》；</w:t>
      </w:r>
    </w:p>
    <w:p w14:paraId="73C0A9D8">
      <w:pPr>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（5）《屋面工程质量验收规范》；</w:t>
      </w:r>
    </w:p>
    <w:p w14:paraId="5334B004">
      <w:pPr>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（6）《地下防水工程质量验收规范》；</w:t>
      </w:r>
    </w:p>
    <w:p w14:paraId="15BDD369">
      <w:pPr>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（7）</w:t>
      </w:r>
      <w:bookmarkStart w:id="249" w:name="_Hlt78795211"/>
      <w:bookmarkEnd w:id="249"/>
      <w:r>
        <w:rPr>
          <w:rFonts w:hint="eastAsia" w:ascii="宋体" w:hAnsi="宋体" w:eastAsia="宋体" w:cs="宋体"/>
          <w:bCs/>
          <w:snapToGrid w:val="0"/>
          <w:color w:val="auto"/>
          <w:kern w:val="0"/>
          <w:highlight w:val="none"/>
        </w:rPr>
        <w:t>《建筑地面工程施工质量验收规范》；</w:t>
      </w:r>
    </w:p>
    <w:p w14:paraId="7ED67241">
      <w:pPr>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（8）《建筑装饰装修工程施工质量验收规范》；</w:t>
      </w:r>
    </w:p>
    <w:p w14:paraId="16A285E9">
      <w:pPr>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（9）《建筑给排水及采暖工程施工质量验收规范》；</w:t>
      </w:r>
    </w:p>
    <w:p w14:paraId="46CF6021">
      <w:pPr>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（10）《建筑电气工程施工质量验收规范》；</w:t>
      </w:r>
    </w:p>
    <w:p w14:paraId="6D75F9B2">
      <w:pPr>
        <w:wordWrap w:val="0"/>
        <w:adjustRightInd w:val="0"/>
        <w:snapToGrid w:val="0"/>
        <w:spacing w:line="440" w:lineRule="exact"/>
        <w:ind w:firstLine="480" w:firstLineChars="200"/>
        <w:rPr>
          <w:rFonts w:hint="eastAsia" w:ascii="宋体" w:hAnsi="宋体" w:eastAsia="宋体" w:cs="宋体"/>
          <w:b w:val="0"/>
          <w:bCs/>
          <w:snapToGrid w:val="0"/>
          <w:color w:val="auto"/>
          <w:kern w:val="0"/>
          <w:highlight w:val="none"/>
        </w:rPr>
      </w:pPr>
      <w:r>
        <w:rPr>
          <w:rFonts w:hint="eastAsia" w:ascii="宋体" w:hAnsi="宋体" w:eastAsia="宋体" w:cs="宋体"/>
          <w:b w:val="0"/>
          <w:bCs/>
          <w:snapToGrid w:val="0"/>
          <w:color w:val="auto"/>
          <w:kern w:val="0"/>
          <w:highlight w:val="none"/>
        </w:rPr>
        <w:t>（11）《住建部绿色建筑评价标准》；</w:t>
      </w:r>
    </w:p>
    <w:p w14:paraId="7744793E">
      <w:pPr>
        <w:wordWrap w:val="0"/>
        <w:adjustRightInd w:val="0"/>
        <w:snapToGrid w:val="0"/>
        <w:spacing w:line="440" w:lineRule="exact"/>
        <w:ind w:firstLine="480" w:firstLineChars="200"/>
        <w:rPr>
          <w:rFonts w:hint="eastAsia" w:ascii="宋体" w:hAnsi="宋体" w:eastAsia="宋体" w:cs="宋体"/>
          <w:b w:val="0"/>
          <w:bCs/>
          <w:snapToGrid w:val="0"/>
          <w:color w:val="auto"/>
          <w:kern w:val="0"/>
          <w:highlight w:val="none"/>
        </w:rPr>
      </w:pPr>
      <w:r>
        <w:rPr>
          <w:rFonts w:hint="eastAsia" w:ascii="宋体" w:hAnsi="宋体" w:eastAsia="宋体" w:cs="宋体"/>
          <w:b w:val="0"/>
          <w:bCs/>
          <w:snapToGrid w:val="0"/>
          <w:color w:val="auto"/>
          <w:kern w:val="0"/>
          <w:highlight w:val="none"/>
        </w:rPr>
        <w:t>（12）《建筑节能与可再生能源利用通用规范》（GB55015-2021）；</w:t>
      </w:r>
    </w:p>
    <w:p w14:paraId="28722396">
      <w:pPr>
        <w:wordWrap w:val="0"/>
        <w:adjustRightInd w:val="0"/>
        <w:snapToGrid w:val="0"/>
        <w:spacing w:line="440" w:lineRule="exact"/>
        <w:ind w:firstLine="480" w:firstLineChars="200"/>
        <w:rPr>
          <w:rFonts w:hint="eastAsia" w:ascii="宋体" w:hAnsi="宋体" w:eastAsia="宋体" w:cs="宋体"/>
          <w:b w:val="0"/>
          <w:bCs/>
          <w:snapToGrid w:val="0"/>
          <w:color w:val="auto"/>
          <w:kern w:val="0"/>
          <w:highlight w:val="none"/>
        </w:rPr>
      </w:pPr>
      <w:r>
        <w:rPr>
          <w:rFonts w:hint="eastAsia" w:ascii="宋体" w:hAnsi="宋体" w:eastAsia="宋体" w:cs="宋体"/>
          <w:b w:val="0"/>
          <w:bCs/>
          <w:snapToGrid w:val="0"/>
          <w:color w:val="auto"/>
          <w:kern w:val="0"/>
          <w:highlight w:val="none"/>
        </w:rPr>
        <w:t>（13）《建筑环境通用规范》；</w:t>
      </w:r>
    </w:p>
    <w:p w14:paraId="3A68178D">
      <w:pPr>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（14）《广东省住房和城乡建设厅绿色施工导则》；</w:t>
      </w:r>
    </w:p>
    <w:p w14:paraId="68E4066C">
      <w:pPr>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（15）《广东省建筑工程绿色施工评价标准》；</w:t>
      </w:r>
    </w:p>
    <w:p w14:paraId="713DD82A">
      <w:pPr>
        <w:wordWrap w:val="0"/>
        <w:adjustRightInd w:val="0"/>
        <w:snapToGrid w:val="0"/>
        <w:spacing w:line="440" w:lineRule="exact"/>
        <w:ind w:firstLine="480" w:firstLineChars="200"/>
        <w:rPr>
          <w:rFonts w:hint="eastAsia" w:ascii="宋体" w:hAnsi="宋体" w:eastAsia="宋体" w:cs="宋体"/>
          <w:b w:val="0"/>
          <w:bCs/>
          <w:snapToGrid w:val="0"/>
          <w:color w:val="auto"/>
          <w:kern w:val="0"/>
          <w:highlight w:val="none"/>
          <w:lang w:eastAsia="zh-CN"/>
        </w:rPr>
      </w:pPr>
      <w:r>
        <w:rPr>
          <w:rFonts w:hint="eastAsia" w:ascii="宋体" w:hAnsi="宋体" w:eastAsia="宋体" w:cs="宋体"/>
          <w:b w:val="0"/>
          <w:bCs/>
          <w:snapToGrid w:val="0"/>
          <w:color w:val="auto"/>
          <w:kern w:val="0"/>
          <w:highlight w:val="none"/>
        </w:rPr>
        <w:t>（16）《广东省建筑节能与绿色建筑工程施工质量验收规范》</w:t>
      </w:r>
      <w:r>
        <w:rPr>
          <w:rFonts w:hint="eastAsia" w:ascii="宋体" w:hAnsi="宋体" w:eastAsia="宋体" w:cs="宋体"/>
          <w:b w:val="0"/>
          <w:bCs/>
          <w:snapToGrid w:val="0"/>
          <w:color w:val="auto"/>
          <w:kern w:val="0"/>
          <w:highlight w:val="none"/>
          <w:lang w:eastAsia="zh-CN"/>
        </w:rPr>
        <w:t>；</w:t>
      </w:r>
    </w:p>
    <w:p w14:paraId="51D8D867">
      <w:pPr>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（17）其他现行国家、广东省关于房建工程的施工及验收规范、定额、规程、标准。</w:t>
      </w:r>
    </w:p>
    <w:p w14:paraId="2A634BC9">
      <w:pPr>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p>
    <w:p w14:paraId="3D24D8BC">
      <w:pPr>
        <w:wordWrap w:val="0"/>
        <w:adjustRightInd w:val="0"/>
        <w:snapToGrid w:val="0"/>
        <w:spacing w:line="440" w:lineRule="exact"/>
        <w:ind w:firstLine="482" w:firstLineChars="200"/>
        <w:rPr>
          <w:rFonts w:hint="eastAsia" w:ascii="宋体" w:hAnsi="宋体" w:eastAsia="宋体" w:cs="宋体"/>
          <w:bCs/>
          <w:snapToGrid w:val="0"/>
          <w:color w:val="auto"/>
          <w:kern w:val="0"/>
          <w:highlight w:val="none"/>
        </w:rPr>
      </w:pPr>
      <w:r>
        <w:rPr>
          <w:rFonts w:hint="eastAsia" w:ascii="宋体" w:hAnsi="宋体" w:eastAsia="宋体" w:cs="宋体"/>
          <w:b/>
          <w:snapToGrid w:val="0"/>
          <w:color w:val="auto"/>
          <w:kern w:val="0"/>
          <w:highlight w:val="none"/>
        </w:rPr>
        <w:t>2．市政基础设施工程建设项目</w:t>
      </w:r>
    </w:p>
    <w:p w14:paraId="31016C18">
      <w:pPr>
        <w:wordWrap w:val="0"/>
        <w:adjustRightInd w:val="0"/>
        <w:snapToGrid w:val="0"/>
        <w:spacing w:line="440" w:lineRule="exact"/>
        <w:ind w:firstLine="480" w:firstLineChars="200"/>
        <w:rPr>
          <w:rFonts w:hint="eastAsia" w:ascii="宋体" w:hAnsi="宋体" w:eastAsia="宋体" w:cs="宋体"/>
          <w:bCs/>
          <w:snapToGrid w:val="0"/>
          <w:color w:val="auto"/>
          <w:kern w:val="0"/>
          <w:szCs w:val="28"/>
          <w:highlight w:val="none"/>
        </w:rPr>
      </w:pPr>
      <w:r>
        <w:rPr>
          <w:rFonts w:hint="eastAsia" w:ascii="宋体" w:hAnsi="宋体" w:eastAsia="宋体" w:cs="宋体"/>
          <w:bCs/>
          <w:snapToGrid w:val="0"/>
          <w:color w:val="auto"/>
          <w:kern w:val="0"/>
          <w:highlight w:val="none"/>
        </w:rPr>
        <w:t>市政基础设施工程建设项目必须执行的现行技术规范，包括且不限于：</w:t>
      </w:r>
    </w:p>
    <w:p w14:paraId="78D67258">
      <w:pPr>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szCs w:val="28"/>
          <w:highlight w:val="none"/>
        </w:rPr>
        <w:t>（1）《公路路基施工技术规范》</w:t>
      </w:r>
      <w:r>
        <w:rPr>
          <w:rFonts w:hint="eastAsia" w:ascii="宋体" w:hAnsi="宋体" w:eastAsia="宋体" w:cs="宋体"/>
          <w:bCs/>
          <w:snapToGrid w:val="0"/>
          <w:color w:val="auto"/>
          <w:kern w:val="0"/>
          <w:highlight w:val="none"/>
        </w:rPr>
        <w:t>；</w:t>
      </w:r>
    </w:p>
    <w:p w14:paraId="2EFA3FFB">
      <w:pPr>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（2）《市政道路工程质量检验评定标准》；</w:t>
      </w:r>
    </w:p>
    <w:p w14:paraId="2DAB4AE8">
      <w:pPr>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（3）《市政排水管渠工程质量检验评定标准》；</w:t>
      </w:r>
    </w:p>
    <w:p w14:paraId="0BCE0539">
      <w:pPr>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（4）《给水排水管道工程施工及验收规范》；</w:t>
      </w:r>
    </w:p>
    <w:p w14:paraId="71295581">
      <w:pPr>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（5）《城市道路路基工程施工及验收规范》；</w:t>
      </w:r>
    </w:p>
    <w:p w14:paraId="14C52D95">
      <w:pPr>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（6）《水泥砼路面施工及验收规范》；</w:t>
      </w:r>
    </w:p>
    <w:p w14:paraId="5D7B2BAC">
      <w:pPr>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（7）《公路水泥砼路面施工技术规范》；</w:t>
      </w:r>
    </w:p>
    <w:p w14:paraId="260F4382">
      <w:pPr>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（8）《埋地硬聚氯乙烯排水管道工程技术规程》；</w:t>
      </w:r>
    </w:p>
    <w:p w14:paraId="0B203EC6">
      <w:pPr>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（9）《沥青路面施工及验收规范》；</w:t>
      </w:r>
    </w:p>
    <w:p w14:paraId="777A6260">
      <w:pPr>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（10）《广东省市政工程施工质量技术资料统一用表》。</w:t>
      </w:r>
    </w:p>
    <w:p w14:paraId="6D0BDF2A">
      <w:pPr>
        <w:widowControl/>
        <w:tabs>
          <w:tab w:val="left" w:pos="567"/>
        </w:tabs>
        <w:autoSpaceDE w:val="0"/>
        <w:autoSpaceDN w:val="0"/>
        <w:spacing w:line="500" w:lineRule="exact"/>
        <w:ind w:firstLine="480" w:firstLineChars="200"/>
        <w:jc w:val="left"/>
        <w:textAlignment w:val="bottom"/>
        <w:outlineLvl w:val="0"/>
        <w:rPr>
          <w:rFonts w:hint="eastAsia" w:ascii="宋体" w:hAnsi="宋体" w:eastAsia="宋体" w:cs="宋体"/>
          <w:b w:val="0"/>
          <w:bCs/>
          <w:color w:val="auto"/>
          <w:kern w:val="0"/>
          <w:szCs w:val="21"/>
          <w:highlight w:val="none"/>
        </w:rPr>
      </w:pPr>
      <w:bookmarkStart w:id="250" w:name="_Toc30443"/>
      <w:bookmarkStart w:id="251" w:name="_Toc17128"/>
      <w:r>
        <w:rPr>
          <w:rFonts w:hint="eastAsia" w:ascii="宋体" w:hAnsi="宋体" w:eastAsia="宋体" w:cs="宋体"/>
          <w:b w:val="0"/>
          <w:bCs/>
          <w:snapToGrid w:val="0"/>
          <w:color w:val="auto"/>
          <w:kern w:val="0"/>
          <w:highlight w:val="none"/>
        </w:rPr>
        <w:t>（11）</w:t>
      </w:r>
      <w:r>
        <w:rPr>
          <w:rFonts w:hint="eastAsia" w:ascii="宋体" w:hAnsi="宋体" w:eastAsia="宋体" w:cs="宋体"/>
          <w:b w:val="0"/>
          <w:bCs/>
          <w:color w:val="auto"/>
          <w:kern w:val="0"/>
          <w:szCs w:val="21"/>
          <w:highlight w:val="none"/>
        </w:rPr>
        <w:t>《城市道路照明设计标准》（CJJ45-2015）；</w:t>
      </w:r>
      <w:bookmarkEnd w:id="250"/>
      <w:bookmarkEnd w:id="251"/>
    </w:p>
    <w:p w14:paraId="7D5CD9D6">
      <w:pPr>
        <w:widowControl/>
        <w:tabs>
          <w:tab w:val="left" w:pos="567"/>
        </w:tabs>
        <w:autoSpaceDE w:val="0"/>
        <w:autoSpaceDN w:val="0"/>
        <w:spacing w:line="500" w:lineRule="exact"/>
        <w:ind w:firstLine="480" w:firstLineChars="200"/>
        <w:jc w:val="left"/>
        <w:textAlignment w:val="bottom"/>
        <w:outlineLvl w:val="0"/>
        <w:rPr>
          <w:rFonts w:hint="eastAsia" w:ascii="宋体" w:hAnsi="宋体" w:eastAsia="宋体" w:cs="宋体"/>
          <w:b w:val="0"/>
          <w:bCs/>
          <w:color w:val="auto"/>
          <w:szCs w:val="21"/>
          <w:highlight w:val="none"/>
        </w:rPr>
      </w:pPr>
      <w:bookmarkStart w:id="252" w:name="_Toc31453"/>
      <w:bookmarkStart w:id="253" w:name="_Toc32596"/>
      <w:r>
        <w:rPr>
          <w:rFonts w:hint="eastAsia" w:ascii="宋体" w:hAnsi="宋体" w:eastAsia="宋体" w:cs="宋体"/>
          <w:b w:val="0"/>
          <w:bCs/>
          <w:color w:val="auto"/>
          <w:kern w:val="0"/>
          <w:szCs w:val="21"/>
          <w:highlight w:val="none"/>
        </w:rPr>
        <w:t>（12）《低压配电设计规范》（GB50054-2011）；</w:t>
      </w:r>
      <w:bookmarkEnd w:id="252"/>
      <w:bookmarkEnd w:id="253"/>
    </w:p>
    <w:p w14:paraId="11D46717">
      <w:pPr>
        <w:widowControl/>
        <w:tabs>
          <w:tab w:val="left" w:pos="567"/>
        </w:tabs>
        <w:autoSpaceDE w:val="0"/>
        <w:autoSpaceDN w:val="0"/>
        <w:spacing w:line="500" w:lineRule="exact"/>
        <w:ind w:firstLine="480" w:firstLineChars="200"/>
        <w:jc w:val="left"/>
        <w:textAlignment w:val="bottom"/>
        <w:outlineLvl w:val="0"/>
        <w:rPr>
          <w:rFonts w:hint="eastAsia" w:ascii="宋体" w:hAnsi="宋体" w:eastAsia="宋体" w:cs="宋体"/>
          <w:b w:val="0"/>
          <w:bCs/>
          <w:color w:val="auto"/>
          <w:szCs w:val="21"/>
          <w:highlight w:val="none"/>
        </w:rPr>
      </w:pPr>
      <w:bookmarkStart w:id="254" w:name="_Toc25564"/>
      <w:bookmarkStart w:id="255" w:name="_Toc31862"/>
      <w:r>
        <w:rPr>
          <w:rFonts w:hint="eastAsia" w:ascii="宋体" w:hAnsi="宋体" w:eastAsia="宋体" w:cs="宋体"/>
          <w:b w:val="0"/>
          <w:bCs/>
          <w:color w:val="auto"/>
          <w:kern w:val="0"/>
          <w:szCs w:val="21"/>
          <w:highlight w:val="none"/>
        </w:rPr>
        <w:t>（13）《城市道路照明工程施工及验收规程》（CJJ89-2012）；</w:t>
      </w:r>
      <w:bookmarkEnd w:id="254"/>
      <w:bookmarkEnd w:id="255"/>
    </w:p>
    <w:p w14:paraId="05CFA2FC">
      <w:pPr>
        <w:pStyle w:val="89"/>
        <w:spacing w:line="500" w:lineRule="exact"/>
        <w:ind w:left="0" w:leftChars="0" w:firstLine="480" w:firstLineChars="200"/>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（14）《LED道路照明工程技术规范》（DB44/T 1898-2016）；</w:t>
      </w:r>
    </w:p>
    <w:p w14:paraId="11F9B3D2">
      <w:pPr>
        <w:pStyle w:val="89"/>
        <w:spacing w:line="500" w:lineRule="exact"/>
        <w:ind w:left="0" w:leftChars="0" w:firstLine="480" w:firstLineChars="200"/>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（15）《灯具第1部分：一般要求与试验》（GB7000.1-2015）；</w:t>
      </w:r>
    </w:p>
    <w:p w14:paraId="30140BEB">
      <w:pPr>
        <w:wordWrap w:val="0"/>
        <w:adjustRightInd w:val="0"/>
        <w:snapToGrid w:val="0"/>
        <w:spacing w:line="500" w:lineRule="exact"/>
        <w:ind w:firstLine="480" w:firstLineChars="200"/>
        <w:rPr>
          <w:rFonts w:hint="eastAsia" w:ascii="宋体" w:hAnsi="宋体" w:eastAsia="宋体" w:cs="宋体"/>
          <w:b w:val="0"/>
          <w:bCs/>
          <w:color w:val="auto"/>
          <w:kern w:val="0"/>
          <w:szCs w:val="21"/>
          <w:highlight w:val="none"/>
        </w:rPr>
      </w:pPr>
      <w:r>
        <w:rPr>
          <w:rFonts w:hint="eastAsia" w:ascii="宋体" w:hAnsi="宋体" w:eastAsia="宋体" w:cs="宋体"/>
          <w:b w:val="0"/>
          <w:bCs/>
          <w:color w:val="auto"/>
          <w:kern w:val="0"/>
          <w:szCs w:val="21"/>
          <w:highlight w:val="none"/>
        </w:rPr>
        <w:t>（16）《电缆工程电缆设计标准》（GB50217-2018）；</w:t>
      </w:r>
    </w:p>
    <w:p w14:paraId="0F058208">
      <w:pPr>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（17）其他现行国家、广东省关于市政工程的技术及验收规范、定额、规程、标准。</w:t>
      </w:r>
    </w:p>
    <w:p w14:paraId="2F624FCE">
      <w:pPr>
        <w:wordWrap w:val="0"/>
        <w:adjustRightInd w:val="0"/>
        <w:snapToGrid w:val="0"/>
        <w:spacing w:line="440" w:lineRule="exact"/>
        <w:ind w:firstLine="560"/>
        <w:rPr>
          <w:rFonts w:hint="eastAsia" w:ascii="宋体" w:hAnsi="宋体" w:eastAsia="宋体" w:cs="宋体"/>
          <w:strike/>
          <w:snapToGrid w:val="0"/>
          <w:color w:val="auto"/>
          <w:kern w:val="0"/>
          <w:highlight w:val="none"/>
        </w:rPr>
      </w:pPr>
      <w:r>
        <w:rPr>
          <w:rFonts w:hint="eastAsia" w:ascii="宋体" w:hAnsi="宋体" w:eastAsia="宋体" w:cs="宋体"/>
          <w:b/>
          <w:snapToGrid w:val="0"/>
          <w:color w:val="auto"/>
          <w:kern w:val="0"/>
          <w:highlight w:val="none"/>
        </w:rPr>
        <w:t>3．备查要求</w:t>
      </w:r>
    </w:p>
    <w:p w14:paraId="67F44935">
      <w:pPr>
        <w:wordWrap w:val="0"/>
        <w:adjustRightInd w:val="0"/>
        <w:snapToGrid w:val="0"/>
        <w:spacing w:line="440" w:lineRule="exact"/>
        <w:ind w:firstLine="560"/>
        <w:rPr>
          <w:rFonts w:hint="eastAsia" w:ascii="宋体" w:hAnsi="宋体" w:eastAsia="宋体" w:cs="宋体"/>
          <w:strike/>
          <w:snapToGrid w:val="0"/>
          <w:color w:val="auto"/>
          <w:kern w:val="0"/>
          <w:highlight w:val="none"/>
        </w:rPr>
        <w:sectPr>
          <w:endnotePr>
            <w:numFmt w:val="decimal"/>
          </w:endnotePr>
          <w:pgSz w:w="11906" w:h="16838"/>
          <w:pgMar w:top="1134" w:right="1134" w:bottom="1134" w:left="1134" w:header="567" w:footer="567" w:gutter="0"/>
          <w:pgBorders>
            <w:top w:val="none" w:sz="0" w:space="0"/>
            <w:left w:val="none" w:sz="0" w:space="0"/>
            <w:bottom w:val="none" w:sz="0" w:space="0"/>
            <w:right w:val="none" w:sz="0" w:space="0"/>
          </w:pgBorders>
          <w:cols w:space="720" w:num="1"/>
          <w:docGrid w:linePitch="327" w:charSpace="0"/>
        </w:sectPr>
      </w:pPr>
      <w:r>
        <w:rPr>
          <w:rFonts w:hint="eastAsia" w:ascii="宋体" w:hAnsi="宋体" w:eastAsia="宋体" w:cs="宋体"/>
          <w:snapToGrid w:val="0"/>
          <w:color w:val="auto"/>
          <w:kern w:val="0"/>
          <w:highlight w:val="none"/>
        </w:rPr>
        <w:t>承包</w:t>
      </w:r>
      <w:r>
        <w:rPr>
          <w:rFonts w:hint="eastAsia" w:ascii="宋体" w:hAnsi="宋体" w:eastAsia="宋体" w:cs="宋体"/>
          <w:bCs/>
          <w:snapToGrid w:val="0"/>
          <w:color w:val="auto"/>
          <w:kern w:val="0"/>
          <w:highlight w:val="none"/>
        </w:rPr>
        <w:t>人必须在施工现场准备至少一套上述规范，</w:t>
      </w:r>
      <w:r>
        <w:rPr>
          <w:rFonts w:hint="eastAsia" w:ascii="宋体" w:hAnsi="宋体" w:eastAsia="宋体" w:cs="宋体"/>
          <w:snapToGrid w:val="0"/>
          <w:color w:val="auto"/>
          <w:kern w:val="0"/>
          <w:highlight w:val="none"/>
        </w:rPr>
        <w:t>发包</w:t>
      </w:r>
      <w:r>
        <w:rPr>
          <w:rFonts w:hint="eastAsia" w:ascii="宋体" w:hAnsi="宋体" w:eastAsia="宋体" w:cs="宋体"/>
          <w:bCs/>
          <w:snapToGrid w:val="0"/>
          <w:color w:val="auto"/>
          <w:kern w:val="0"/>
          <w:highlight w:val="none"/>
        </w:rPr>
        <w:t>人和监理单位可随时检查</w:t>
      </w:r>
      <w:r>
        <w:rPr>
          <w:rFonts w:hint="eastAsia" w:ascii="宋体" w:hAnsi="宋体" w:eastAsia="宋体" w:cs="宋体"/>
          <w:snapToGrid w:val="0"/>
          <w:color w:val="auto"/>
          <w:kern w:val="0"/>
          <w:highlight w:val="none"/>
        </w:rPr>
        <w:t>承包</w:t>
      </w:r>
      <w:r>
        <w:rPr>
          <w:rFonts w:hint="eastAsia" w:ascii="宋体" w:hAnsi="宋体" w:eastAsia="宋体" w:cs="宋体"/>
          <w:bCs/>
          <w:snapToGrid w:val="0"/>
          <w:color w:val="auto"/>
          <w:kern w:val="0"/>
          <w:highlight w:val="none"/>
        </w:rPr>
        <w:t>人的上述规范，并监督</w:t>
      </w:r>
      <w:r>
        <w:rPr>
          <w:rFonts w:hint="eastAsia" w:ascii="宋体" w:hAnsi="宋体" w:eastAsia="宋体" w:cs="宋体"/>
          <w:snapToGrid w:val="0"/>
          <w:color w:val="auto"/>
          <w:kern w:val="0"/>
          <w:highlight w:val="none"/>
        </w:rPr>
        <w:t>承包</w:t>
      </w:r>
      <w:r>
        <w:rPr>
          <w:rFonts w:hint="eastAsia" w:ascii="宋体" w:hAnsi="宋体" w:eastAsia="宋体" w:cs="宋体"/>
          <w:bCs/>
          <w:snapToGrid w:val="0"/>
          <w:color w:val="auto"/>
          <w:kern w:val="0"/>
          <w:highlight w:val="none"/>
        </w:rPr>
        <w:t>人按规范要求执行。</w:t>
      </w:r>
      <w:bookmarkStart w:id="256" w:name="_Hlt69670335"/>
      <w:bookmarkEnd w:id="256"/>
    </w:p>
    <w:p w14:paraId="65C74E2D">
      <w:pPr>
        <w:pStyle w:val="2"/>
        <w:wordWrap w:val="0"/>
        <w:autoSpaceDE/>
        <w:autoSpaceDN/>
        <w:snapToGrid w:val="0"/>
        <w:spacing w:line="440" w:lineRule="exact"/>
        <w:jc w:val="center"/>
        <w:rPr>
          <w:rFonts w:hint="eastAsia" w:ascii="宋体" w:hAnsi="宋体" w:eastAsia="宋体" w:cs="宋体"/>
          <w:b/>
          <w:snapToGrid w:val="0"/>
          <w:color w:val="auto"/>
          <w:sz w:val="24"/>
          <w:highlight w:val="none"/>
          <w:lang w:val="en-US" w:eastAsia="zh-CN"/>
        </w:rPr>
      </w:pPr>
      <w:bookmarkStart w:id="257" w:name="_Hlt69635247"/>
      <w:bookmarkEnd w:id="257"/>
      <w:bookmarkStart w:id="258" w:name="_Hlt69265207"/>
      <w:bookmarkEnd w:id="258"/>
      <w:bookmarkStart w:id="259" w:name="_Hlt69338190"/>
      <w:bookmarkEnd w:id="259"/>
      <w:bookmarkStart w:id="260" w:name="_Hlt69116863"/>
      <w:bookmarkEnd w:id="260"/>
      <w:bookmarkStart w:id="261" w:name="_Hlt69358336"/>
      <w:bookmarkEnd w:id="261"/>
      <w:bookmarkStart w:id="262" w:name="_Hlt66848640"/>
      <w:bookmarkEnd w:id="262"/>
      <w:bookmarkStart w:id="263" w:name="_Toc29329"/>
      <w:bookmarkStart w:id="264" w:name="_Toc10987"/>
      <w:bookmarkStart w:id="265" w:name="_Toc10057"/>
      <w:r>
        <w:rPr>
          <w:rFonts w:hint="eastAsia" w:ascii="宋体" w:hAnsi="宋体" w:eastAsia="宋体" w:cs="宋体"/>
          <w:b/>
          <w:snapToGrid w:val="0"/>
          <w:color w:val="auto"/>
          <w:sz w:val="24"/>
          <w:highlight w:val="none"/>
          <w:lang w:val="en-US" w:eastAsia="zh-CN"/>
        </w:rPr>
        <w:t>第五章</w:t>
      </w:r>
      <w:bookmarkStart w:id="266" w:name="_Hlt87793860"/>
      <w:bookmarkEnd w:id="266"/>
      <w:r>
        <w:rPr>
          <w:rFonts w:hint="eastAsia" w:ascii="宋体" w:hAnsi="宋体" w:eastAsia="宋体" w:cs="宋体"/>
          <w:b/>
          <w:snapToGrid w:val="0"/>
          <w:color w:val="auto"/>
          <w:sz w:val="24"/>
          <w:highlight w:val="none"/>
          <w:lang w:val="en-US" w:eastAsia="zh-CN"/>
        </w:rPr>
        <w:t xml:space="preserve"> 图纸和招标工程</w:t>
      </w:r>
      <w:bookmarkStart w:id="267" w:name="_Hlt69669215"/>
      <w:bookmarkEnd w:id="267"/>
      <w:r>
        <w:rPr>
          <w:rFonts w:hint="eastAsia" w:ascii="宋体" w:hAnsi="宋体" w:eastAsia="宋体" w:cs="宋体"/>
          <w:b/>
          <w:snapToGrid w:val="0"/>
          <w:color w:val="auto"/>
          <w:sz w:val="24"/>
          <w:highlight w:val="none"/>
          <w:lang w:val="en-US" w:eastAsia="zh-CN"/>
        </w:rPr>
        <w:t>量清单</w:t>
      </w:r>
      <w:bookmarkEnd w:id="263"/>
      <w:bookmarkEnd w:id="264"/>
      <w:bookmarkEnd w:id="265"/>
    </w:p>
    <w:p w14:paraId="3E291842">
      <w:pPr>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bookmarkStart w:id="268" w:name="_Hlt69669182"/>
      <w:bookmarkEnd w:id="268"/>
      <w:bookmarkStart w:id="269" w:name="_Hlt75747203"/>
      <w:bookmarkEnd w:id="269"/>
      <w:bookmarkStart w:id="270" w:name="_Hlt87793868"/>
      <w:bookmarkEnd w:id="270"/>
      <w:bookmarkStart w:id="271" w:name="_Hlt66104919"/>
      <w:bookmarkEnd w:id="271"/>
      <w:bookmarkStart w:id="272" w:name="_Toc25252"/>
      <w:bookmarkStart w:id="273" w:name="_Hlt69698785"/>
    </w:p>
    <w:p w14:paraId="31CAC6F2">
      <w:pPr>
        <w:pStyle w:val="4"/>
        <w:bidi w:val="0"/>
        <w:spacing w:line="360" w:lineRule="auto"/>
        <w:ind w:firstLine="964"/>
        <w:rPr>
          <w:rFonts w:hint="eastAsia" w:ascii="宋体" w:hAnsi="宋体" w:eastAsia="宋体" w:cs="宋体"/>
          <w:color w:val="auto"/>
        </w:rPr>
      </w:pPr>
      <w:bookmarkStart w:id="274" w:name="_Toc28153"/>
      <w:r>
        <w:rPr>
          <w:rFonts w:hint="eastAsia" w:ascii="宋体" w:hAnsi="宋体" w:eastAsia="宋体" w:cs="宋体"/>
          <w:color w:val="auto"/>
        </w:rPr>
        <w:t>1．图纸</w:t>
      </w:r>
      <w:bookmarkEnd w:id="274"/>
    </w:p>
    <w:p w14:paraId="1C045677">
      <w:pPr>
        <w:wordWrap w:val="0"/>
        <w:adjustRightInd w:val="0"/>
        <w:snapToGrid w:val="0"/>
        <w:spacing w:line="360" w:lineRule="auto"/>
        <w:ind w:firstLine="480" w:firstLineChars="200"/>
        <w:rPr>
          <w:rFonts w:hint="eastAsia" w:ascii="宋体" w:hAnsi="宋体" w:eastAsia="宋体" w:cs="宋体"/>
          <w:b w:val="0"/>
          <w:bCs/>
          <w:color w:val="auto"/>
          <w:highlight w:val="none"/>
          <w:lang w:eastAsia="zh-CN"/>
        </w:rPr>
      </w:pPr>
      <w:bookmarkStart w:id="275" w:name="_Toc14740"/>
      <w:r>
        <w:rPr>
          <w:rFonts w:hint="eastAsia" w:ascii="宋体" w:hAnsi="宋体" w:eastAsia="宋体" w:cs="宋体"/>
          <w:snapToGrid w:val="0"/>
          <w:color w:val="auto"/>
          <w:kern w:val="0"/>
          <w:highlight w:val="none"/>
        </w:rPr>
        <w:t>本招标文件随文另附施工图（电子文件）各一套。</w:t>
      </w:r>
    </w:p>
    <w:bookmarkEnd w:id="275"/>
    <w:p w14:paraId="1782A57F">
      <w:pPr>
        <w:pStyle w:val="4"/>
        <w:bidi w:val="0"/>
        <w:spacing w:line="360" w:lineRule="auto"/>
        <w:ind w:firstLine="964"/>
        <w:rPr>
          <w:rFonts w:hint="eastAsia" w:ascii="宋体" w:hAnsi="宋体" w:eastAsia="宋体" w:cs="宋体"/>
          <w:color w:val="auto"/>
        </w:rPr>
      </w:pPr>
      <w:r>
        <w:rPr>
          <w:rFonts w:hint="eastAsia" w:ascii="宋体" w:hAnsi="宋体" w:eastAsia="宋体" w:cs="宋体"/>
          <w:color w:val="auto"/>
        </w:rPr>
        <w:t>2．招标工程量清单</w:t>
      </w:r>
    </w:p>
    <w:p w14:paraId="31DDF78C">
      <w:pPr>
        <w:wordWrap w:val="0"/>
        <w:adjustRightInd w:val="0"/>
        <w:snapToGrid w:val="0"/>
        <w:spacing w:line="360" w:lineRule="auto"/>
        <w:ind w:firstLine="48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2.1</w:t>
      </w:r>
      <w:r>
        <w:rPr>
          <w:rFonts w:hint="eastAsia" w:ascii="宋体" w:hAnsi="宋体" w:eastAsia="宋体" w:cs="宋体"/>
          <w:snapToGrid w:val="0"/>
          <w:color w:val="auto"/>
          <w:kern w:val="0"/>
          <w:highlight w:val="none"/>
        </w:rPr>
        <w:t xml:space="preserve"> 本招标文件随文另附招标工程量清单一套。</w:t>
      </w:r>
    </w:p>
    <w:p w14:paraId="71F15594">
      <w:pPr>
        <w:wordWrap w:val="0"/>
        <w:adjustRightInd w:val="0"/>
        <w:snapToGrid w:val="0"/>
        <w:spacing w:line="360" w:lineRule="auto"/>
        <w:ind w:firstLine="48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2.2</w:t>
      </w:r>
      <w:r>
        <w:rPr>
          <w:rFonts w:hint="eastAsia" w:ascii="宋体" w:hAnsi="宋体" w:eastAsia="宋体" w:cs="宋体"/>
          <w:snapToGrid w:val="0"/>
          <w:color w:val="auto"/>
          <w:kern w:val="0"/>
          <w:highlight w:val="none"/>
        </w:rPr>
        <w:t xml:space="preserve"> 本工程按照以下依据编制招标工程量清单：</w:t>
      </w:r>
    </w:p>
    <w:p w14:paraId="28D49375">
      <w:pPr>
        <w:wordWrap w:val="0"/>
        <w:adjustRightInd w:val="0"/>
        <w:snapToGrid w:val="0"/>
        <w:spacing w:line="360" w:lineRule="auto"/>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w:t>
      </w:r>
      <w:r>
        <w:rPr>
          <w:rFonts w:hint="eastAsia" w:ascii="宋体" w:hAnsi="宋体" w:eastAsia="宋体" w:cs="宋体"/>
          <w:snapToGrid w:val="0"/>
          <w:color w:val="auto"/>
          <w:kern w:val="0"/>
          <w:sz w:val="24"/>
          <w:szCs w:val="24"/>
          <w:highlight w:val="none"/>
          <w:lang w:val="en-US" w:eastAsia="zh-CN"/>
        </w:rPr>
        <w:t>《建设工程工程量清单计价标准》(GB/T50500-2024)</w:t>
      </w:r>
      <w:r>
        <w:rPr>
          <w:rFonts w:hint="eastAsia" w:ascii="宋体" w:hAnsi="宋体" w:eastAsia="宋体" w:cs="宋体"/>
          <w:snapToGrid w:val="0"/>
          <w:color w:val="auto"/>
          <w:kern w:val="0"/>
          <w:highlight w:val="none"/>
        </w:rPr>
        <w:t>；</w:t>
      </w:r>
    </w:p>
    <w:p w14:paraId="7D6D1D2B">
      <w:pPr>
        <w:wordWrap w:val="0"/>
        <w:adjustRightInd w:val="0"/>
        <w:snapToGrid w:val="0"/>
        <w:spacing w:line="360" w:lineRule="auto"/>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w:t>
      </w:r>
      <w:r>
        <w:rPr>
          <w:rFonts w:hint="eastAsia" w:ascii="宋体" w:hAnsi="宋体" w:eastAsia="宋体" w:cs="宋体"/>
          <w:snapToGrid w:val="0"/>
          <w:color w:val="auto"/>
          <w:kern w:val="0"/>
          <w:highlight w:val="none"/>
          <w:lang w:val="en-US" w:eastAsia="zh-CN"/>
        </w:rPr>
        <w:t>2</w:t>
      </w:r>
      <w:r>
        <w:rPr>
          <w:rFonts w:hint="eastAsia" w:ascii="宋体" w:hAnsi="宋体" w:eastAsia="宋体" w:cs="宋体"/>
          <w:snapToGrid w:val="0"/>
          <w:color w:val="auto"/>
          <w:kern w:val="0"/>
          <w:highlight w:val="none"/>
        </w:rPr>
        <w:t>）《广东省建设工程计价依据（2018）》。具体包括：《广东省房屋建筑与装饰工程综合定额（2018）》《广东省市政工程综合定额（2018）》《广东省通用安装工程综合定额（2018）》《广东省园林绿化工程综合定额（2018）》《广东省建设工程施工机具台班费用编制规则（2018）》等；</w:t>
      </w:r>
    </w:p>
    <w:p w14:paraId="27F4BE5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napToGrid w:val="0"/>
          <w:color w:val="auto"/>
          <w:kern w:val="0"/>
          <w:highlight w:val="none"/>
          <w:lang w:eastAsia="zh-CN"/>
        </w:rPr>
      </w:pPr>
      <w:r>
        <w:rPr>
          <w:rFonts w:hint="eastAsia" w:ascii="宋体" w:hAnsi="宋体" w:eastAsia="宋体" w:cs="宋体"/>
          <w:snapToGrid w:val="0"/>
          <w:color w:val="auto"/>
          <w:kern w:val="0"/>
          <w:highlight w:val="none"/>
          <w:lang w:eastAsia="zh-CN"/>
        </w:rPr>
        <w:t>（</w:t>
      </w:r>
      <w:r>
        <w:rPr>
          <w:rFonts w:hint="eastAsia" w:ascii="宋体" w:hAnsi="宋体" w:eastAsia="宋体" w:cs="宋体"/>
          <w:snapToGrid w:val="0"/>
          <w:color w:val="auto"/>
          <w:kern w:val="0"/>
          <w:highlight w:val="none"/>
          <w:lang w:val="en-US" w:eastAsia="zh-CN"/>
        </w:rPr>
        <w:t>3</w:t>
      </w:r>
      <w:r>
        <w:rPr>
          <w:rFonts w:hint="eastAsia" w:ascii="宋体" w:hAnsi="宋体" w:eastAsia="宋体" w:cs="宋体"/>
          <w:snapToGrid w:val="0"/>
          <w:color w:val="auto"/>
          <w:kern w:val="0"/>
          <w:highlight w:val="none"/>
          <w:lang w:eastAsia="zh-CN"/>
        </w:rPr>
        <w:t>）</w:t>
      </w:r>
      <w:r>
        <w:rPr>
          <w:rFonts w:hint="eastAsia" w:ascii="宋体" w:hAnsi="宋体" w:eastAsia="宋体" w:cs="宋体"/>
          <w:snapToGrid w:val="0"/>
          <w:color w:val="auto"/>
          <w:kern w:val="0"/>
          <w:sz w:val="24"/>
          <w:szCs w:val="24"/>
          <w:highlight w:val="none"/>
          <w:lang w:val="en-US" w:eastAsia="zh-CN"/>
        </w:rPr>
        <w:t>《房屋建筑与装饰工程工程量计算标准》(GB/T50854-2024)；</w:t>
      </w:r>
    </w:p>
    <w:p w14:paraId="7B348B6B">
      <w:pPr>
        <w:wordWrap w:val="0"/>
        <w:adjustRightInd w:val="0"/>
        <w:snapToGrid w:val="0"/>
        <w:spacing w:line="360" w:lineRule="auto"/>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w:t>
      </w:r>
      <w:r>
        <w:rPr>
          <w:rFonts w:hint="eastAsia" w:ascii="宋体" w:hAnsi="宋体" w:eastAsia="宋体" w:cs="宋体"/>
          <w:snapToGrid w:val="0"/>
          <w:color w:val="auto"/>
          <w:kern w:val="0"/>
          <w:highlight w:val="none"/>
          <w:lang w:val="en-US" w:eastAsia="zh-CN"/>
        </w:rPr>
        <w:t>4</w:t>
      </w:r>
      <w:r>
        <w:rPr>
          <w:rFonts w:hint="eastAsia" w:ascii="宋体" w:hAnsi="宋体" w:eastAsia="宋体" w:cs="宋体"/>
          <w:snapToGrid w:val="0"/>
          <w:color w:val="auto"/>
          <w:kern w:val="0"/>
          <w:highlight w:val="none"/>
        </w:rPr>
        <w:t>）施工图及相关资料；</w:t>
      </w:r>
    </w:p>
    <w:p w14:paraId="554436C4">
      <w:pPr>
        <w:wordWrap w:val="0"/>
        <w:adjustRightInd w:val="0"/>
        <w:snapToGrid w:val="0"/>
        <w:spacing w:line="360" w:lineRule="auto"/>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w:t>
      </w:r>
      <w:r>
        <w:rPr>
          <w:rFonts w:hint="eastAsia" w:ascii="宋体" w:hAnsi="宋体" w:eastAsia="宋体" w:cs="宋体"/>
          <w:snapToGrid w:val="0"/>
          <w:color w:val="auto"/>
          <w:kern w:val="0"/>
          <w:highlight w:val="none"/>
          <w:lang w:val="en-US" w:eastAsia="zh-CN"/>
        </w:rPr>
        <w:t>5</w:t>
      </w:r>
      <w:r>
        <w:rPr>
          <w:rFonts w:hint="eastAsia" w:ascii="宋体" w:hAnsi="宋体" w:eastAsia="宋体" w:cs="宋体"/>
          <w:snapToGrid w:val="0"/>
          <w:color w:val="auto"/>
          <w:kern w:val="0"/>
          <w:highlight w:val="none"/>
        </w:rPr>
        <w:t>）招标文件；</w:t>
      </w:r>
    </w:p>
    <w:p w14:paraId="4D95A811">
      <w:pPr>
        <w:wordWrap w:val="0"/>
        <w:adjustRightInd w:val="0"/>
        <w:snapToGrid w:val="0"/>
        <w:spacing w:line="360" w:lineRule="auto"/>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w:t>
      </w:r>
      <w:r>
        <w:rPr>
          <w:rFonts w:hint="eastAsia" w:ascii="宋体" w:hAnsi="宋体" w:eastAsia="宋体" w:cs="宋体"/>
          <w:snapToGrid w:val="0"/>
          <w:color w:val="auto"/>
          <w:kern w:val="0"/>
          <w:highlight w:val="none"/>
          <w:lang w:val="en-US" w:eastAsia="zh-CN"/>
        </w:rPr>
        <w:t>6）</w:t>
      </w:r>
      <w:r>
        <w:rPr>
          <w:rFonts w:hint="eastAsia" w:ascii="宋体" w:hAnsi="宋体" w:eastAsia="宋体" w:cs="宋体"/>
          <w:snapToGrid w:val="0"/>
          <w:color w:val="auto"/>
          <w:kern w:val="0"/>
          <w:highlight w:val="none"/>
        </w:rPr>
        <w:t>施工现场情况、地勘水文资料、工程特点及常规施工方案；</w:t>
      </w:r>
    </w:p>
    <w:p w14:paraId="4417B18E">
      <w:pPr>
        <w:wordWrap w:val="0"/>
        <w:adjustRightInd w:val="0"/>
        <w:snapToGrid w:val="0"/>
        <w:spacing w:line="360" w:lineRule="auto"/>
        <w:ind w:firstLine="48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w:t>
      </w:r>
      <w:r>
        <w:rPr>
          <w:rFonts w:hint="eastAsia" w:ascii="宋体" w:hAnsi="宋体" w:eastAsia="宋体" w:cs="宋体"/>
          <w:snapToGrid w:val="0"/>
          <w:color w:val="auto"/>
          <w:kern w:val="0"/>
          <w:highlight w:val="none"/>
          <w:lang w:val="en-US" w:eastAsia="zh-CN"/>
        </w:rPr>
        <w:t>7</w:t>
      </w:r>
      <w:r>
        <w:rPr>
          <w:rFonts w:hint="eastAsia" w:ascii="宋体" w:hAnsi="宋体" w:eastAsia="宋体" w:cs="宋体"/>
          <w:snapToGrid w:val="0"/>
          <w:color w:val="auto"/>
          <w:kern w:val="0"/>
          <w:highlight w:val="none"/>
        </w:rPr>
        <w:t>）与建设工程有关的标准、规范、技术资料。</w:t>
      </w:r>
    </w:p>
    <w:p w14:paraId="0C72BD26">
      <w:pPr>
        <w:wordWrap w:val="0"/>
        <w:adjustRightInd w:val="0"/>
        <w:snapToGrid w:val="0"/>
        <w:spacing w:line="440" w:lineRule="exact"/>
        <w:ind w:firstLine="480"/>
        <w:rPr>
          <w:rFonts w:hint="eastAsia" w:ascii="宋体" w:hAnsi="宋体" w:eastAsia="宋体" w:cs="宋体"/>
          <w:snapToGrid w:val="0"/>
          <w:color w:val="auto"/>
          <w:kern w:val="0"/>
          <w:highlight w:val="none"/>
        </w:rPr>
        <w:sectPr>
          <w:endnotePr>
            <w:numFmt w:val="decimal"/>
          </w:endnotePr>
          <w:pgSz w:w="11906" w:h="16838"/>
          <w:pgMar w:top="1134" w:right="1134" w:bottom="1134" w:left="1134" w:header="567" w:footer="567" w:gutter="0"/>
          <w:pgBorders>
            <w:top w:val="none" w:sz="0" w:space="0"/>
            <w:left w:val="none" w:sz="0" w:space="0"/>
            <w:bottom w:val="none" w:sz="0" w:space="0"/>
            <w:right w:val="none" w:sz="0" w:space="0"/>
          </w:pgBorders>
          <w:cols w:space="720" w:num="1"/>
          <w:docGrid w:linePitch="327" w:charSpace="0"/>
        </w:sectPr>
      </w:pPr>
    </w:p>
    <w:p w14:paraId="2A5E58E8">
      <w:pPr>
        <w:pStyle w:val="2"/>
        <w:wordWrap w:val="0"/>
        <w:autoSpaceDE/>
        <w:autoSpaceDN/>
        <w:snapToGrid w:val="0"/>
        <w:spacing w:line="440" w:lineRule="exact"/>
        <w:jc w:val="center"/>
        <w:rPr>
          <w:rFonts w:hint="eastAsia" w:ascii="宋体" w:hAnsi="宋体" w:eastAsia="宋体" w:cs="宋体"/>
          <w:b/>
          <w:snapToGrid w:val="0"/>
          <w:color w:val="auto"/>
          <w:sz w:val="24"/>
          <w:highlight w:val="none"/>
          <w:lang w:val="en-US" w:eastAsia="zh-CN"/>
        </w:rPr>
      </w:pPr>
      <w:bookmarkStart w:id="276" w:name="_Toc16415"/>
      <w:bookmarkStart w:id="277" w:name="_Toc22127"/>
      <w:r>
        <w:rPr>
          <w:rFonts w:hint="eastAsia" w:ascii="宋体" w:hAnsi="宋体" w:eastAsia="宋体" w:cs="宋体"/>
          <w:b/>
          <w:snapToGrid w:val="0"/>
          <w:color w:val="auto"/>
          <w:sz w:val="24"/>
          <w:highlight w:val="none"/>
          <w:lang w:val="en-US" w:eastAsia="zh-CN"/>
        </w:rPr>
        <w:t xml:space="preserve">第六章 </w:t>
      </w:r>
      <w:bookmarkEnd w:id="272"/>
      <w:bookmarkStart w:id="278" w:name="_Hlt75747044"/>
      <w:bookmarkEnd w:id="278"/>
      <w:r>
        <w:rPr>
          <w:rFonts w:hint="eastAsia" w:ascii="宋体" w:hAnsi="宋体" w:eastAsia="宋体" w:cs="宋体"/>
          <w:b/>
          <w:snapToGrid w:val="0"/>
          <w:color w:val="auto"/>
          <w:sz w:val="24"/>
          <w:highlight w:val="none"/>
          <w:lang w:val="en-US" w:eastAsia="zh-CN"/>
        </w:rPr>
        <w:t>投标文件格式</w:t>
      </w:r>
      <w:bookmarkEnd w:id="276"/>
      <w:bookmarkEnd w:id="277"/>
    </w:p>
    <w:bookmarkEnd w:id="273"/>
    <w:p w14:paraId="3E5CA248">
      <w:pPr>
        <w:pStyle w:val="78"/>
        <w:keepNext w:val="0"/>
        <w:keepLines w:val="0"/>
        <w:widowControl w:val="0"/>
        <w:wordWrap w:val="0"/>
        <w:adjustRightInd w:val="0"/>
        <w:snapToGrid w:val="0"/>
        <w:spacing w:before="0" w:after="0" w:line="240" w:lineRule="auto"/>
        <w:ind w:left="3640" w:leftChars="15" w:hanging="3604" w:hangingChars="1496"/>
        <w:jc w:val="both"/>
        <w:rPr>
          <w:rFonts w:hint="eastAsia" w:ascii="宋体" w:hAnsi="宋体" w:eastAsia="宋体" w:cs="宋体"/>
          <w:b/>
          <w:snapToGrid w:val="0"/>
          <w:color w:val="auto"/>
          <w:highlight w:val="none"/>
        </w:rPr>
      </w:pPr>
      <w:bookmarkStart w:id="279" w:name="_附件二：工期承诺书"/>
      <w:bookmarkEnd w:id="279"/>
      <w:bookmarkStart w:id="280" w:name="_附件一：对招标文件条款自愿接受承诺书"/>
      <w:bookmarkEnd w:id="280"/>
      <w:bookmarkStart w:id="281" w:name="_附件一：投标函"/>
      <w:bookmarkEnd w:id="281"/>
      <w:bookmarkStart w:id="282" w:name="_附件二：近三年度主要施工项目（竣工及在建）一览表"/>
      <w:bookmarkEnd w:id="282"/>
      <w:bookmarkStart w:id="283" w:name="_附件四：工期承诺书"/>
      <w:bookmarkEnd w:id="283"/>
      <w:bookmarkStart w:id="284" w:name="_附件五：综合评审合理低价法"/>
      <w:bookmarkEnd w:id="284"/>
      <w:bookmarkStart w:id="285" w:name="_Toc200338097"/>
      <w:bookmarkStart w:id="286" w:name="_Toc137621693"/>
      <w:bookmarkStart w:id="287" w:name="_Hlt66847557"/>
      <w:bookmarkStart w:id="288" w:name="_Toc66849200"/>
    </w:p>
    <w:p w14:paraId="5470CEAB">
      <w:pPr>
        <w:pStyle w:val="4"/>
        <w:bidi w:val="0"/>
        <w:ind w:firstLine="964"/>
        <w:rPr>
          <w:rFonts w:hint="eastAsia" w:ascii="宋体" w:hAnsi="宋体" w:eastAsia="宋体" w:cs="宋体"/>
          <w:color w:val="auto"/>
        </w:rPr>
      </w:pPr>
      <w:bookmarkStart w:id="289" w:name="_Toc14677"/>
      <w:bookmarkStart w:id="290" w:name="_Toc17749"/>
      <w:bookmarkStart w:id="291" w:name="_Toc13462"/>
      <w:r>
        <w:rPr>
          <w:rFonts w:hint="eastAsia" w:ascii="宋体" w:hAnsi="宋体" w:eastAsia="宋体" w:cs="宋体"/>
          <w:color w:val="auto"/>
        </w:rPr>
        <w:t>格式一 封面</w:t>
      </w:r>
      <w:bookmarkEnd w:id="289"/>
      <w:bookmarkEnd w:id="290"/>
      <w:bookmarkEnd w:id="291"/>
    </w:p>
    <w:p w14:paraId="62285726">
      <w:pPr>
        <w:pStyle w:val="74"/>
        <w:widowControl w:val="0"/>
        <w:wordWrap w:val="0"/>
        <w:adjustRightInd w:val="0"/>
        <w:snapToGrid w:val="0"/>
        <w:spacing w:line="240" w:lineRule="auto"/>
        <w:rPr>
          <w:rFonts w:hint="eastAsia" w:ascii="宋体" w:hAnsi="宋体" w:eastAsia="宋体" w:cs="宋体"/>
          <w:b/>
          <w:snapToGrid w:val="0"/>
          <w:color w:val="auto"/>
          <w:sz w:val="24"/>
          <w:highlight w:val="none"/>
        </w:rPr>
      </w:pPr>
    </w:p>
    <w:p w14:paraId="4553C2D9">
      <w:pPr>
        <w:pStyle w:val="74"/>
        <w:widowControl w:val="0"/>
        <w:wordWrap w:val="0"/>
        <w:adjustRightInd w:val="0"/>
        <w:snapToGrid w:val="0"/>
        <w:spacing w:line="240" w:lineRule="auto"/>
        <w:rPr>
          <w:rFonts w:hint="eastAsia" w:ascii="宋体" w:hAnsi="宋体" w:eastAsia="宋体" w:cs="宋体"/>
          <w:b/>
          <w:snapToGrid w:val="0"/>
          <w:color w:val="auto"/>
          <w:sz w:val="24"/>
          <w:highlight w:val="none"/>
        </w:rPr>
      </w:pPr>
    </w:p>
    <w:p w14:paraId="404006EB">
      <w:pPr>
        <w:pStyle w:val="74"/>
        <w:widowControl w:val="0"/>
        <w:wordWrap w:val="0"/>
        <w:adjustRightInd w:val="0"/>
        <w:snapToGrid w:val="0"/>
        <w:spacing w:line="240" w:lineRule="auto"/>
        <w:rPr>
          <w:rFonts w:hint="eastAsia" w:ascii="宋体" w:hAnsi="宋体" w:eastAsia="宋体" w:cs="宋体"/>
          <w:b/>
          <w:snapToGrid w:val="0"/>
          <w:color w:val="auto"/>
          <w:sz w:val="24"/>
          <w:highlight w:val="none"/>
        </w:rPr>
      </w:pPr>
    </w:p>
    <w:p w14:paraId="68E9812F">
      <w:pPr>
        <w:pStyle w:val="74"/>
        <w:widowControl w:val="0"/>
        <w:wordWrap w:val="0"/>
        <w:adjustRightInd w:val="0"/>
        <w:snapToGrid w:val="0"/>
        <w:spacing w:line="240" w:lineRule="auto"/>
        <w:rPr>
          <w:rFonts w:hint="eastAsia" w:ascii="宋体" w:hAnsi="宋体" w:eastAsia="宋体" w:cs="宋体"/>
          <w:b/>
          <w:snapToGrid w:val="0"/>
          <w:color w:val="auto"/>
          <w:sz w:val="24"/>
          <w:highlight w:val="none"/>
        </w:rPr>
      </w:pPr>
    </w:p>
    <w:p w14:paraId="331A9C0C">
      <w:pPr>
        <w:pStyle w:val="74"/>
        <w:widowControl w:val="0"/>
        <w:wordWrap w:val="0"/>
        <w:adjustRightInd w:val="0"/>
        <w:snapToGrid w:val="0"/>
        <w:spacing w:line="240" w:lineRule="auto"/>
        <w:rPr>
          <w:rFonts w:hint="eastAsia" w:ascii="宋体" w:hAnsi="宋体" w:eastAsia="宋体" w:cs="宋体"/>
          <w:b/>
          <w:snapToGrid w:val="0"/>
          <w:color w:val="auto"/>
          <w:sz w:val="24"/>
          <w:highlight w:val="none"/>
        </w:rPr>
      </w:pPr>
    </w:p>
    <w:p w14:paraId="6ED3773B">
      <w:pPr>
        <w:pStyle w:val="74"/>
        <w:widowControl w:val="0"/>
        <w:wordWrap w:val="0"/>
        <w:adjustRightInd w:val="0"/>
        <w:snapToGrid w:val="0"/>
        <w:spacing w:line="240" w:lineRule="auto"/>
        <w:rPr>
          <w:rFonts w:hint="eastAsia" w:ascii="宋体" w:hAnsi="宋体" w:eastAsia="宋体" w:cs="宋体"/>
          <w:b/>
          <w:snapToGrid w:val="0"/>
          <w:color w:val="auto"/>
          <w:sz w:val="24"/>
          <w:highlight w:val="none"/>
        </w:rPr>
      </w:pPr>
    </w:p>
    <w:p w14:paraId="22C8C392">
      <w:pPr>
        <w:pStyle w:val="74"/>
        <w:widowControl w:val="0"/>
        <w:wordWrap w:val="0"/>
        <w:adjustRightInd w:val="0"/>
        <w:snapToGrid w:val="0"/>
        <w:spacing w:line="240" w:lineRule="auto"/>
        <w:rPr>
          <w:rFonts w:hint="eastAsia" w:ascii="宋体" w:hAnsi="宋体" w:eastAsia="宋体" w:cs="宋体"/>
          <w:b/>
          <w:snapToGrid w:val="0"/>
          <w:color w:val="auto"/>
          <w:sz w:val="24"/>
          <w:highlight w:val="none"/>
        </w:rPr>
      </w:pPr>
    </w:p>
    <w:p w14:paraId="64CADC78">
      <w:pPr>
        <w:pStyle w:val="74"/>
        <w:widowControl w:val="0"/>
        <w:wordWrap w:val="0"/>
        <w:adjustRightInd w:val="0"/>
        <w:snapToGrid w:val="0"/>
        <w:spacing w:line="240" w:lineRule="auto"/>
        <w:ind w:firstLine="0"/>
        <w:jc w:val="center"/>
        <w:rPr>
          <w:rFonts w:hint="eastAsia" w:ascii="宋体" w:hAnsi="宋体" w:eastAsia="宋体" w:cs="宋体"/>
          <w:b/>
          <w:snapToGrid w:val="0"/>
          <w:color w:val="auto"/>
          <w:sz w:val="48"/>
          <w:szCs w:val="48"/>
          <w:highlight w:val="none"/>
        </w:rPr>
      </w:pPr>
      <w:r>
        <w:rPr>
          <w:rFonts w:hint="eastAsia" w:ascii="宋体" w:hAnsi="宋体" w:eastAsia="宋体" w:cs="宋体"/>
          <w:bCs/>
          <w:snapToGrid w:val="0"/>
          <w:color w:val="auto"/>
          <w:sz w:val="48"/>
          <w:szCs w:val="48"/>
          <w:highlight w:val="none"/>
          <w:u w:val="single"/>
        </w:rPr>
        <w:t xml:space="preserve">             </w:t>
      </w:r>
      <w:r>
        <w:rPr>
          <w:rFonts w:hint="eastAsia" w:ascii="宋体" w:hAnsi="宋体" w:eastAsia="宋体" w:cs="宋体"/>
          <w:b/>
          <w:snapToGrid w:val="0"/>
          <w:color w:val="auto"/>
          <w:sz w:val="48"/>
          <w:szCs w:val="48"/>
          <w:highlight w:val="none"/>
        </w:rPr>
        <w:t>（项目名称）招标</w:t>
      </w:r>
    </w:p>
    <w:p w14:paraId="74280D79">
      <w:pPr>
        <w:pStyle w:val="74"/>
        <w:widowControl w:val="0"/>
        <w:wordWrap w:val="0"/>
        <w:adjustRightInd w:val="0"/>
        <w:snapToGrid w:val="0"/>
        <w:spacing w:line="240" w:lineRule="auto"/>
        <w:ind w:firstLine="0"/>
        <w:jc w:val="center"/>
        <w:rPr>
          <w:rFonts w:hint="eastAsia" w:ascii="宋体" w:hAnsi="宋体" w:eastAsia="宋体" w:cs="宋体"/>
          <w:b/>
          <w:snapToGrid w:val="0"/>
          <w:color w:val="auto"/>
          <w:sz w:val="32"/>
          <w:highlight w:val="none"/>
        </w:rPr>
      </w:pPr>
    </w:p>
    <w:p w14:paraId="1AF8E20E">
      <w:pPr>
        <w:pStyle w:val="74"/>
        <w:widowControl w:val="0"/>
        <w:wordWrap w:val="0"/>
        <w:adjustRightInd w:val="0"/>
        <w:snapToGrid w:val="0"/>
        <w:spacing w:line="240" w:lineRule="auto"/>
        <w:ind w:firstLine="0"/>
        <w:jc w:val="center"/>
        <w:rPr>
          <w:rFonts w:hint="eastAsia" w:ascii="宋体" w:hAnsi="宋体" w:eastAsia="宋体" w:cs="宋体"/>
          <w:b/>
          <w:snapToGrid w:val="0"/>
          <w:color w:val="auto"/>
          <w:sz w:val="72"/>
          <w:highlight w:val="none"/>
        </w:rPr>
      </w:pPr>
      <w:r>
        <w:rPr>
          <w:rFonts w:hint="eastAsia" w:ascii="宋体" w:hAnsi="宋体" w:eastAsia="宋体" w:cs="宋体"/>
          <w:b/>
          <w:snapToGrid w:val="0"/>
          <w:color w:val="auto"/>
          <w:sz w:val="72"/>
          <w:highlight w:val="none"/>
        </w:rPr>
        <w:t>投  标  文  件</w:t>
      </w:r>
    </w:p>
    <w:p w14:paraId="09EBFE22">
      <w:pPr>
        <w:pStyle w:val="74"/>
        <w:widowControl w:val="0"/>
        <w:wordWrap w:val="0"/>
        <w:adjustRightInd w:val="0"/>
        <w:snapToGrid w:val="0"/>
        <w:spacing w:line="240" w:lineRule="auto"/>
        <w:ind w:firstLine="0"/>
        <w:jc w:val="center"/>
        <w:rPr>
          <w:rFonts w:hint="eastAsia" w:ascii="宋体" w:hAnsi="宋体" w:eastAsia="宋体" w:cs="宋体"/>
          <w:b/>
          <w:snapToGrid w:val="0"/>
          <w:color w:val="auto"/>
          <w:sz w:val="32"/>
          <w:highlight w:val="none"/>
        </w:rPr>
      </w:pPr>
    </w:p>
    <w:p w14:paraId="19384084">
      <w:pPr>
        <w:pStyle w:val="74"/>
        <w:widowControl w:val="0"/>
        <w:wordWrap w:val="0"/>
        <w:adjustRightInd w:val="0"/>
        <w:snapToGrid w:val="0"/>
        <w:spacing w:line="240" w:lineRule="auto"/>
        <w:ind w:firstLine="0"/>
        <w:jc w:val="center"/>
        <w:rPr>
          <w:rFonts w:hint="eastAsia" w:ascii="宋体" w:hAnsi="宋体" w:eastAsia="宋体" w:cs="宋体"/>
          <w:b/>
          <w:snapToGrid w:val="0"/>
          <w:color w:val="auto"/>
          <w:sz w:val="48"/>
          <w:szCs w:val="48"/>
          <w:highlight w:val="none"/>
        </w:rPr>
      </w:pPr>
      <w:r>
        <w:rPr>
          <w:rFonts w:hint="eastAsia" w:ascii="宋体" w:hAnsi="宋体" w:eastAsia="宋体" w:cs="宋体"/>
          <w:b/>
          <w:snapToGrid w:val="0"/>
          <w:color w:val="auto"/>
          <w:sz w:val="48"/>
          <w:szCs w:val="48"/>
          <w:highlight w:val="none"/>
        </w:rPr>
        <w:t>（商务标书／经济标书／施工组织设计）</w:t>
      </w:r>
    </w:p>
    <w:p w14:paraId="64B90567">
      <w:pPr>
        <w:pStyle w:val="74"/>
        <w:widowControl w:val="0"/>
        <w:wordWrap w:val="0"/>
        <w:adjustRightInd w:val="0"/>
        <w:snapToGrid w:val="0"/>
        <w:spacing w:line="240" w:lineRule="auto"/>
        <w:rPr>
          <w:rFonts w:hint="eastAsia" w:ascii="宋体" w:hAnsi="宋体" w:eastAsia="宋体" w:cs="宋体"/>
          <w:b/>
          <w:snapToGrid w:val="0"/>
          <w:color w:val="auto"/>
          <w:highlight w:val="none"/>
        </w:rPr>
      </w:pPr>
    </w:p>
    <w:p w14:paraId="189EEA00">
      <w:pPr>
        <w:pStyle w:val="74"/>
        <w:widowControl w:val="0"/>
        <w:wordWrap w:val="0"/>
        <w:adjustRightInd w:val="0"/>
        <w:snapToGrid w:val="0"/>
        <w:spacing w:line="240" w:lineRule="auto"/>
        <w:rPr>
          <w:rFonts w:hint="eastAsia" w:ascii="宋体" w:hAnsi="宋体" w:eastAsia="宋体" w:cs="宋体"/>
          <w:b/>
          <w:snapToGrid w:val="0"/>
          <w:color w:val="auto"/>
          <w:sz w:val="32"/>
          <w:highlight w:val="none"/>
        </w:rPr>
      </w:pPr>
    </w:p>
    <w:p w14:paraId="44DCF70B">
      <w:pPr>
        <w:pStyle w:val="74"/>
        <w:widowControl w:val="0"/>
        <w:wordWrap w:val="0"/>
        <w:adjustRightInd w:val="0"/>
        <w:snapToGrid w:val="0"/>
        <w:spacing w:line="240" w:lineRule="auto"/>
        <w:rPr>
          <w:rFonts w:hint="eastAsia" w:ascii="宋体" w:hAnsi="宋体" w:eastAsia="宋体" w:cs="宋体"/>
          <w:b/>
          <w:snapToGrid w:val="0"/>
          <w:color w:val="auto"/>
          <w:sz w:val="32"/>
          <w:highlight w:val="none"/>
        </w:rPr>
      </w:pPr>
    </w:p>
    <w:p w14:paraId="51B6B47E">
      <w:pPr>
        <w:pStyle w:val="74"/>
        <w:widowControl w:val="0"/>
        <w:wordWrap w:val="0"/>
        <w:adjustRightInd w:val="0"/>
        <w:snapToGrid w:val="0"/>
        <w:spacing w:line="240" w:lineRule="auto"/>
        <w:rPr>
          <w:rFonts w:hint="eastAsia" w:ascii="宋体" w:hAnsi="宋体" w:eastAsia="宋体" w:cs="宋体"/>
          <w:b/>
          <w:snapToGrid w:val="0"/>
          <w:color w:val="auto"/>
          <w:sz w:val="32"/>
          <w:highlight w:val="none"/>
        </w:rPr>
      </w:pPr>
    </w:p>
    <w:p w14:paraId="0C5BDB24">
      <w:pPr>
        <w:pStyle w:val="74"/>
        <w:widowControl w:val="0"/>
        <w:wordWrap w:val="0"/>
        <w:adjustRightInd w:val="0"/>
        <w:snapToGrid w:val="0"/>
        <w:spacing w:line="240" w:lineRule="auto"/>
        <w:rPr>
          <w:rFonts w:hint="eastAsia" w:ascii="宋体" w:hAnsi="宋体" w:eastAsia="宋体" w:cs="宋体"/>
          <w:b/>
          <w:snapToGrid w:val="0"/>
          <w:color w:val="auto"/>
          <w:sz w:val="32"/>
          <w:highlight w:val="none"/>
        </w:rPr>
      </w:pPr>
    </w:p>
    <w:p w14:paraId="6B60CED4">
      <w:pPr>
        <w:pStyle w:val="74"/>
        <w:widowControl w:val="0"/>
        <w:wordWrap w:val="0"/>
        <w:adjustRightInd w:val="0"/>
        <w:snapToGrid w:val="0"/>
        <w:spacing w:line="240" w:lineRule="auto"/>
        <w:rPr>
          <w:rFonts w:hint="eastAsia" w:ascii="宋体" w:hAnsi="宋体" w:eastAsia="宋体" w:cs="宋体"/>
          <w:b/>
          <w:snapToGrid w:val="0"/>
          <w:color w:val="auto"/>
          <w:sz w:val="32"/>
          <w:highlight w:val="none"/>
        </w:rPr>
      </w:pPr>
    </w:p>
    <w:p w14:paraId="2F3092EB">
      <w:pPr>
        <w:pStyle w:val="74"/>
        <w:widowControl w:val="0"/>
        <w:wordWrap w:val="0"/>
        <w:adjustRightInd w:val="0"/>
        <w:snapToGrid w:val="0"/>
        <w:spacing w:line="240" w:lineRule="auto"/>
        <w:rPr>
          <w:rFonts w:hint="eastAsia" w:ascii="宋体" w:hAnsi="宋体" w:eastAsia="宋体" w:cs="宋体"/>
          <w:b/>
          <w:snapToGrid w:val="0"/>
          <w:color w:val="auto"/>
          <w:sz w:val="32"/>
          <w:highlight w:val="none"/>
        </w:rPr>
      </w:pPr>
    </w:p>
    <w:p w14:paraId="420C7425">
      <w:pPr>
        <w:pStyle w:val="74"/>
        <w:widowControl w:val="0"/>
        <w:wordWrap w:val="0"/>
        <w:adjustRightInd w:val="0"/>
        <w:snapToGrid w:val="0"/>
        <w:spacing w:line="240" w:lineRule="auto"/>
        <w:rPr>
          <w:rFonts w:hint="eastAsia" w:ascii="宋体" w:hAnsi="宋体" w:eastAsia="宋体" w:cs="宋体"/>
          <w:b/>
          <w:snapToGrid w:val="0"/>
          <w:color w:val="auto"/>
          <w:sz w:val="32"/>
          <w:highlight w:val="none"/>
        </w:rPr>
      </w:pPr>
    </w:p>
    <w:p w14:paraId="66DFF8C2">
      <w:pPr>
        <w:pStyle w:val="74"/>
        <w:widowControl w:val="0"/>
        <w:wordWrap w:val="0"/>
        <w:adjustRightInd w:val="0"/>
        <w:snapToGrid w:val="0"/>
        <w:spacing w:line="240" w:lineRule="auto"/>
        <w:rPr>
          <w:rFonts w:hint="eastAsia" w:ascii="宋体" w:hAnsi="宋体" w:eastAsia="宋体" w:cs="宋体"/>
          <w:b/>
          <w:snapToGrid w:val="0"/>
          <w:color w:val="auto"/>
          <w:sz w:val="32"/>
          <w:highlight w:val="none"/>
        </w:rPr>
      </w:pPr>
    </w:p>
    <w:p w14:paraId="45DAD187">
      <w:pPr>
        <w:pStyle w:val="74"/>
        <w:widowControl w:val="0"/>
        <w:wordWrap w:val="0"/>
        <w:adjustRightInd w:val="0"/>
        <w:snapToGrid w:val="0"/>
        <w:spacing w:line="240" w:lineRule="auto"/>
        <w:ind w:firstLine="0"/>
        <w:jc w:val="center"/>
        <w:rPr>
          <w:rFonts w:hint="eastAsia" w:ascii="宋体" w:hAnsi="宋体" w:eastAsia="宋体" w:cs="宋体"/>
          <w:bCs/>
          <w:snapToGrid w:val="0"/>
          <w:color w:val="auto"/>
          <w:sz w:val="32"/>
          <w:highlight w:val="none"/>
        </w:rPr>
      </w:pPr>
      <w:r>
        <w:rPr>
          <w:rFonts w:hint="eastAsia" w:ascii="宋体" w:hAnsi="宋体" w:eastAsia="宋体" w:cs="宋体"/>
          <w:bCs/>
          <w:snapToGrid w:val="0"/>
          <w:color w:val="auto"/>
          <w:sz w:val="32"/>
          <w:highlight w:val="none"/>
        </w:rPr>
        <w:t>投标人：</w:t>
      </w:r>
      <w:r>
        <w:rPr>
          <w:rFonts w:hint="eastAsia" w:ascii="宋体" w:hAnsi="宋体" w:eastAsia="宋体" w:cs="宋体"/>
          <w:bCs/>
          <w:snapToGrid w:val="0"/>
          <w:color w:val="auto"/>
          <w:sz w:val="32"/>
          <w:highlight w:val="none"/>
          <w:u w:val="single"/>
        </w:rPr>
        <w:t xml:space="preserve">                                    </w:t>
      </w:r>
      <w:r>
        <w:rPr>
          <w:rFonts w:hint="eastAsia" w:ascii="宋体" w:hAnsi="宋体" w:eastAsia="宋体" w:cs="宋体"/>
          <w:bCs/>
          <w:snapToGrid w:val="0"/>
          <w:color w:val="auto"/>
          <w:sz w:val="32"/>
          <w:highlight w:val="none"/>
        </w:rPr>
        <w:t>（盖单位章）</w:t>
      </w:r>
    </w:p>
    <w:p w14:paraId="08001D46">
      <w:pPr>
        <w:pStyle w:val="74"/>
        <w:widowControl w:val="0"/>
        <w:wordWrap w:val="0"/>
        <w:adjustRightInd w:val="0"/>
        <w:snapToGrid w:val="0"/>
        <w:spacing w:line="240" w:lineRule="auto"/>
        <w:ind w:firstLine="0"/>
        <w:jc w:val="center"/>
        <w:rPr>
          <w:rFonts w:hint="eastAsia" w:ascii="宋体" w:hAnsi="宋体" w:eastAsia="宋体" w:cs="宋体"/>
          <w:bCs/>
          <w:snapToGrid w:val="0"/>
          <w:color w:val="auto"/>
          <w:sz w:val="32"/>
          <w:highlight w:val="none"/>
        </w:rPr>
      </w:pPr>
    </w:p>
    <w:p w14:paraId="41EDE1DA">
      <w:pPr>
        <w:pStyle w:val="74"/>
        <w:widowControl w:val="0"/>
        <w:wordWrap w:val="0"/>
        <w:adjustRightInd w:val="0"/>
        <w:snapToGrid w:val="0"/>
        <w:spacing w:line="240" w:lineRule="auto"/>
        <w:ind w:firstLine="0"/>
        <w:jc w:val="center"/>
        <w:rPr>
          <w:rFonts w:hint="eastAsia" w:ascii="宋体" w:hAnsi="宋体" w:eastAsia="宋体" w:cs="宋体"/>
          <w:bCs/>
          <w:snapToGrid w:val="0"/>
          <w:color w:val="auto"/>
          <w:sz w:val="32"/>
          <w:highlight w:val="none"/>
        </w:rPr>
      </w:pPr>
    </w:p>
    <w:p w14:paraId="6F7C862D">
      <w:pPr>
        <w:pStyle w:val="74"/>
        <w:widowControl w:val="0"/>
        <w:wordWrap w:val="0"/>
        <w:adjustRightInd w:val="0"/>
        <w:snapToGrid w:val="0"/>
        <w:spacing w:line="240" w:lineRule="auto"/>
        <w:ind w:firstLine="0"/>
        <w:jc w:val="center"/>
        <w:rPr>
          <w:rFonts w:hint="eastAsia" w:ascii="宋体" w:hAnsi="宋体" w:eastAsia="宋体" w:cs="宋体"/>
          <w:bCs/>
          <w:snapToGrid w:val="0"/>
          <w:color w:val="auto"/>
          <w:sz w:val="32"/>
          <w:highlight w:val="none"/>
        </w:rPr>
      </w:pPr>
    </w:p>
    <w:p w14:paraId="3E637BE5">
      <w:pPr>
        <w:pStyle w:val="74"/>
        <w:widowControl w:val="0"/>
        <w:wordWrap w:val="0"/>
        <w:adjustRightInd w:val="0"/>
        <w:snapToGrid w:val="0"/>
        <w:spacing w:line="240" w:lineRule="auto"/>
        <w:ind w:firstLine="0"/>
        <w:jc w:val="center"/>
        <w:rPr>
          <w:rFonts w:hint="eastAsia" w:ascii="宋体" w:hAnsi="宋体" w:eastAsia="宋体" w:cs="宋体"/>
          <w:bCs/>
          <w:snapToGrid w:val="0"/>
          <w:color w:val="auto"/>
          <w:sz w:val="32"/>
          <w:highlight w:val="none"/>
        </w:rPr>
      </w:pPr>
      <w:r>
        <w:rPr>
          <w:rFonts w:hint="eastAsia" w:ascii="宋体" w:hAnsi="宋体" w:eastAsia="宋体" w:cs="宋体"/>
          <w:bCs/>
          <w:snapToGrid w:val="0"/>
          <w:color w:val="auto"/>
          <w:sz w:val="32"/>
          <w:highlight w:val="none"/>
        </w:rPr>
        <w:t>法定代表人或其委托代理人：</w:t>
      </w:r>
      <w:r>
        <w:rPr>
          <w:rFonts w:hint="eastAsia" w:ascii="宋体" w:hAnsi="宋体" w:eastAsia="宋体" w:cs="宋体"/>
          <w:bCs/>
          <w:snapToGrid w:val="0"/>
          <w:color w:val="auto"/>
          <w:sz w:val="32"/>
          <w:highlight w:val="none"/>
          <w:u w:val="single"/>
        </w:rPr>
        <w:t xml:space="preserve">                 </w:t>
      </w:r>
      <w:r>
        <w:rPr>
          <w:rFonts w:hint="eastAsia" w:ascii="宋体" w:hAnsi="宋体" w:eastAsia="宋体" w:cs="宋体"/>
          <w:bCs/>
          <w:snapToGrid w:val="0"/>
          <w:color w:val="auto"/>
          <w:sz w:val="32"/>
          <w:highlight w:val="none"/>
        </w:rPr>
        <w:t>（签字或盖章）</w:t>
      </w:r>
    </w:p>
    <w:p w14:paraId="72EA2AF6">
      <w:pPr>
        <w:pStyle w:val="74"/>
        <w:widowControl w:val="0"/>
        <w:wordWrap w:val="0"/>
        <w:adjustRightInd w:val="0"/>
        <w:snapToGrid w:val="0"/>
        <w:spacing w:line="240" w:lineRule="auto"/>
        <w:ind w:firstLine="0"/>
        <w:jc w:val="center"/>
        <w:rPr>
          <w:rFonts w:hint="eastAsia" w:ascii="宋体" w:hAnsi="宋体" w:eastAsia="宋体" w:cs="宋体"/>
          <w:bCs/>
          <w:snapToGrid w:val="0"/>
          <w:color w:val="auto"/>
          <w:sz w:val="32"/>
          <w:highlight w:val="none"/>
        </w:rPr>
      </w:pPr>
    </w:p>
    <w:p w14:paraId="1A975475">
      <w:pPr>
        <w:pStyle w:val="74"/>
        <w:widowControl w:val="0"/>
        <w:wordWrap w:val="0"/>
        <w:adjustRightInd w:val="0"/>
        <w:snapToGrid w:val="0"/>
        <w:spacing w:line="240" w:lineRule="auto"/>
        <w:ind w:firstLine="0"/>
        <w:jc w:val="center"/>
        <w:rPr>
          <w:rFonts w:hint="eastAsia" w:ascii="宋体" w:hAnsi="宋体" w:eastAsia="宋体" w:cs="宋体"/>
          <w:bCs/>
          <w:snapToGrid w:val="0"/>
          <w:color w:val="auto"/>
          <w:sz w:val="32"/>
          <w:highlight w:val="none"/>
          <w:u w:val="single"/>
        </w:rPr>
      </w:pPr>
    </w:p>
    <w:p w14:paraId="4A9347C3">
      <w:pPr>
        <w:pStyle w:val="74"/>
        <w:widowControl w:val="0"/>
        <w:wordWrap w:val="0"/>
        <w:adjustRightInd w:val="0"/>
        <w:snapToGrid w:val="0"/>
        <w:spacing w:line="240" w:lineRule="auto"/>
        <w:ind w:firstLine="0"/>
        <w:jc w:val="center"/>
        <w:rPr>
          <w:rFonts w:hint="eastAsia" w:ascii="宋体" w:hAnsi="宋体" w:eastAsia="宋体" w:cs="宋体"/>
          <w:b/>
          <w:snapToGrid w:val="0"/>
          <w:color w:val="auto"/>
          <w:highlight w:val="none"/>
        </w:rPr>
      </w:pPr>
      <w:r>
        <w:rPr>
          <w:rFonts w:hint="eastAsia" w:ascii="宋体" w:hAnsi="宋体" w:eastAsia="宋体" w:cs="宋体"/>
          <w:bCs/>
          <w:snapToGrid w:val="0"/>
          <w:color w:val="auto"/>
          <w:sz w:val="32"/>
          <w:highlight w:val="none"/>
          <w:u w:val="single"/>
        </w:rPr>
        <w:t xml:space="preserve">         </w:t>
      </w:r>
      <w:r>
        <w:rPr>
          <w:rFonts w:hint="eastAsia" w:ascii="宋体" w:hAnsi="宋体" w:eastAsia="宋体" w:cs="宋体"/>
          <w:bCs/>
          <w:snapToGrid w:val="0"/>
          <w:color w:val="auto"/>
          <w:sz w:val="32"/>
          <w:highlight w:val="none"/>
        </w:rPr>
        <w:t>年</w:t>
      </w:r>
      <w:r>
        <w:rPr>
          <w:rFonts w:hint="eastAsia" w:ascii="宋体" w:hAnsi="宋体" w:eastAsia="宋体" w:cs="宋体"/>
          <w:bCs/>
          <w:snapToGrid w:val="0"/>
          <w:color w:val="auto"/>
          <w:sz w:val="32"/>
          <w:highlight w:val="none"/>
          <w:u w:val="single"/>
        </w:rPr>
        <w:t xml:space="preserve">      </w:t>
      </w:r>
      <w:r>
        <w:rPr>
          <w:rFonts w:hint="eastAsia" w:ascii="宋体" w:hAnsi="宋体" w:eastAsia="宋体" w:cs="宋体"/>
          <w:bCs/>
          <w:snapToGrid w:val="0"/>
          <w:color w:val="auto"/>
          <w:sz w:val="32"/>
          <w:highlight w:val="none"/>
        </w:rPr>
        <w:t>月</w:t>
      </w:r>
      <w:r>
        <w:rPr>
          <w:rFonts w:hint="eastAsia" w:ascii="宋体" w:hAnsi="宋体" w:eastAsia="宋体" w:cs="宋体"/>
          <w:bCs/>
          <w:snapToGrid w:val="0"/>
          <w:color w:val="auto"/>
          <w:sz w:val="32"/>
          <w:highlight w:val="none"/>
          <w:u w:val="single"/>
        </w:rPr>
        <w:t xml:space="preserve">      </w:t>
      </w:r>
      <w:r>
        <w:rPr>
          <w:rFonts w:hint="eastAsia" w:ascii="宋体" w:hAnsi="宋体" w:eastAsia="宋体" w:cs="宋体"/>
          <w:bCs/>
          <w:snapToGrid w:val="0"/>
          <w:color w:val="auto"/>
          <w:sz w:val="32"/>
          <w:highlight w:val="none"/>
        </w:rPr>
        <w:t>日</w:t>
      </w:r>
    </w:p>
    <w:p w14:paraId="52F104A7">
      <w:pPr>
        <w:pStyle w:val="74"/>
        <w:widowControl w:val="0"/>
        <w:wordWrap w:val="0"/>
        <w:adjustRightInd w:val="0"/>
        <w:snapToGrid w:val="0"/>
        <w:rPr>
          <w:rFonts w:hint="eastAsia" w:ascii="宋体" w:hAnsi="宋体" w:eastAsia="宋体" w:cs="宋体"/>
          <w:b/>
          <w:snapToGrid w:val="0"/>
          <w:color w:val="auto"/>
          <w:highlight w:val="none"/>
        </w:rPr>
      </w:pPr>
    </w:p>
    <w:p w14:paraId="53CB3B82">
      <w:pPr>
        <w:pStyle w:val="74"/>
        <w:widowControl w:val="0"/>
        <w:wordWrap w:val="0"/>
        <w:adjustRightInd w:val="0"/>
        <w:snapToGrid w:val="0"/>
        <w:rPr>
          <w:rFonts w:hint="eastAsia" w:ascii="宋体" w:hAnsi="宋体" w:eastAsia="宋体" w:cs="宋体"/>
          <w:b/>
          <w:snapToGrid w:val="0"/>
          <w:color w:val="auto"/>
          <w:highlight w:val="none"/>
        </w:rPr>
      </w:pPr>
    </w:p>
    <w:p w14:paraId="20584595">
      <w:pPr>
        <w:pStyle w:val="74"/>
        <w:widowControl w:val="0"/>
        <w:wordWrap w:val="0"/>
        <w:adjustRightInd w:val="0"/>
        <w:snapToGrid w:val="0"/>
        <w:rPr>
          <w:rFonts w:hint="eastAsia" w:ascii="宋体" w:hAnsi="宋体" w:eastAsia="宋体" w:cs="宋体"/>
          <w:b/>
          <w:snapToGrid w:val="0"/>
          <w:color w:val="auto"/>
          <w:highlight w:val="none"/>
        </w:rPr>
        <w:sectPr>
          <w:endnotePr>
            <w:numFmt w:val="decimal"/>
          </w:endnotePr>
          <w:pgSz w:w="11906" w:h="16838"/>
          <w:pgMar w:top="1134" w:right="1134" w:bottom="1134" w:left="1134" w:header="567" w:footer="567" w:gutter="0"/>
          <w:pgBorders>
            <w:top w:val="none" w:sz="0" w:space="0"/>
            <w:left w:val="none" w:sz="0" w:space="0"/>
            <w:bottom w:val="none" w:sz="0" w:space="0"/>
            <w:right w:val="none" w:sz="0" w:space="0"/>
          </w:pgBorders>
          <w:cols w:space="720" w:num="1"/>
          <w:docGrid w:linePitch="327" w:charSpace="0"/>
        </w:sectPr>
      </w:pPr>
    </w:p>
    <w:p w14:paraId="5B097F81">
      <w:pPr>
        <w:pStyle w:val="4"/>
        <w:bidi w:val="0"/>
        <w:ind w:firstLine="964"/>
        <w:rPr>
          <w:rFonts w:hint="eastAsia" w:ascii="宋体" w:hAnsi="宋体" w:eastAsia="宋体" w:cs="宋体"/>
          <w:color w:val="auto"/>
        </w:rPr>
      </w:pPr>
      <w:bookmarkStart w:id="292" w:name="_Toc17232"/>
      <w:bookmarkStart w:id="293" w:name="_Toc3166"/>
      <w:bookmarkStart w:id="294" w:name="_Toc7500"/>
      <w:bookmarkStart w:id="295" w:name="_Toc28280"/>
      <w:bookmarkStart w:id="296" w:name="_Toc106418843"/>
      <w:bookmarkStart w:id="297" w:name="_Toc104711098"/>
      <w:r>
        <w:rPr>
          <w:rFonts w:hint="eastAsia" w:ascii="宋体" w:hAnsi="宋体" w:eastAsia="宋体" w:cs="宋体"/>
          <w:color w:val="auto"/>
        </w:rPr>
        <w:t>格式</w:t>
      </w:r>
      <w:bookmarkStart w:id="298" w:name="_Hlt97526007"/>
      <w:bookmarkEnd w:id="298"/>
      <w:r>
        <w:rPr>
          <w:rFonts w:hint="eastAsia" w:ascii="宋体" w:hAnsi="宋体" w:eastAsia="宋体" w:cs="宋体"/>
          <w:color w:val="auto"/>
        </w:rPr>
        <w:t>二 投标函</w:t>
      </w:r>
      <w:bookmarkEnd w:id="292"/>
      <w:bookmarkEnd w:id="293"/>
      <w:bookmarkEnd w:id="294"/>
    </w:p>
    <w:p w14:paraId="3D160AA4">
      <w:pPr>
        <w:pStyle w:val="4"/>
        <w:keepNext w:val="0"/>
        <w:keepLines w:val="0"/>
        <w:wordWrap w:val="0"/>
        <w:adjustRightInd w:val="0"/>
        <w:snapToGrid w:val="0"/>
        <w:spacing w:before="260" w:after="260" w:line="440" w:lineRule="exact"/>
        <w:jc w:val="center"/>
        <w:rPr>
          <w:rFonts w:hint="eastAsia" w:ascii="宋体" w:hAnsi="宋体" w:eastAsia="宋体" w:cs="宋体"/>
          <w:b/>
          <w:snapToGrid w:val="0"/>
          <w:color w:val="auto"/>
          <w:kern w:val="0"/>
          <w:highlight w:val="none"/>
        </w:rPr>
      </w:pPr>
      <w:bookmarkStart w:id="299" w:name="_Toc25895"/>
      <w:bookmarkStart w:id="300" w:name="_Toc23239"/>
      <w:bookmarkStart w:id="301" w:name="_Toc26551"/>
      <w:r>
        <w:rPr>
          <w:rFonts w:hint="eastAsia" w:ascii="宋体" w:hAnsi="宋体" w:eastAsia="宋体" w:cs="宋体"/>
          <w:b/>
          <w:snapToGrid w:val="0"/>
          <w:color w:val="auto"/>
          <w:kern w:val="0"/>
          <w:sz w:val="30"/>
          <w:highlight w:val="none"/>
        </w:rPr>
        <w:t>投  标  函</w:t>
      </w:r>
      <w:bookmarkEnd w:id="295"/>
      <w:bookmarkEnd w:id="296"/>
      <w:bookmarkEnd w:id="297"/>
      <w:bookmarkEnd w:id="299"/>
      <w:bookmarkEnd w:id="300"/>
      <w:bookmarkEnd w:id="301"/>
    </w:p>
    <w:p w14:paraId="5BD61156">
      <w:pPr>
        <w:wordWrap w:val="0"/>
        <w:adjustRightInd w:val="0"/>
        <w:snapToGrid w:val="0"/>
        <w:spacing w:line="440" w:lineRule="exact"/>
        <w:jc w:val="center"/>
        <w:rPr>
          <w:rFonts w:hint="eastAsia" w:ascii="宋体" w:hAnsi="宋体" w:eastAsia="宋体" w:cs="宋体"/>
          <w:b/>
          <w:snapToGrid w:val="0"/>
          <w:color w:val="auto"/>
          <w:kern w:val="0"/>
          <w:highlight w:val="none"/>
        </w:rPr>
      </w:pPr>
    </w:p>
    <w:p w14:paraId="65BB6F90">
      <w:pPr>
        <w:wordWrap w:val="0"/>
        <w:adjustRightInd w:val="0"/>
        <w:snapToGrid w:val="0"/>
        <w:spacing w:line="440" w:lineRule="exact"/>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致：</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（招标人名称）</w:t>
      </w:r>
    </w:p>
    <w:p w14:paraId="7DF7758A">
      <w:pPr>
        <w:wordWrap w:val="0"/>
        <w:adjustRightInd w:val="0"/>
        <w:snapToGrid w:val="0"/>
        <w:spacing w:line="440" w:lineRule="exact"/>
        <w:ind w:firstLine="57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 xml:space="preserve">1. </w:t>
      </w:r>
      <w:r>
        <w:rPr>
          <w:rFonts w:hint="eastAsia" w:ascii="宋体" w:hAnsi="宋体" w:eastAsia="宋体" w:cs="宋体"/>
          <w:snapToGrid w:val="0"/>
          <w:color w:val="auto"/>
          <w:kern w:val="0"/>
          <w:szCs w:val="22"/>
          <w:highlight w:val="none"/>
        </w:rPr>
        <w:t>我方</w:t>
      </w:r>
      <w:r>
        <w:rPr>
          <w:rFonts w:hint="eastAsia" w:ascii="宋体" w:hAnsi="宋体" w:eastAsia="宋体" w:cs="宋体"/>
          <w:snapToGrid w:val="0"/>
          <w:color w:val="auto"/>
          <w:kern w:val="0"/>
          <w:highlight w:val="none"/>
        </w:rPr>
        <w:t>考察现场并充分研究</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（项目名称）（以下简称“本项目”）施工招标文件</w:t>
      </w:r>
      <w:r>
        <w:rPr>
          <w:rFonts w:hint="eastAsia" w:ascii="宋体" w:hAnsi="宋体" w:eastAsia="宋体" w:cs="宋体"/>
          <w:snapToGrid w:val="0"/>
          <w:color w:val="auto"/>
          <w:kern w:val="0"/>
          <w:szCs w:val="22"/>
          <w:highlight w:val="none"/>
        </w:rPr>
        <w:t>所有内容后</w:t>
      </w:r>
      <w:r>
        <w:rPr>
          <w:rFonts w:hint="eastAsia" w:ascii="宋体" w:hAnsi="宋体" w:eastAsia="宋体" w:cs="宋体"/>
          <w:snapToGrid w:val="0"/>
          <w:color w:val="auto"/>
          <w:kern w:val="0"/>
          <w:highlight w:val="none"/>
        </w:rPr>
        <w:t>，结合自身资质、能力和特点，愿意接受招标文件的全部内容和条件，兹以人民币（大写）：</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w:t>
      </w:r>
      <w:r>
        <w:rPr>
          <w:rFonts w:hint="eastAsia" w:ascii="宋体" w:hAnsi="宋体" w:eastAsia="宋体" w:cs="宋体"/>
          <w:snapToGrid w:val="0"/>
          <w:color w:val="auto"/>
          <w:kern w:val="0"/>
          <w:szCs w:val="22"/>
          <w:highlight w:val="none"/>
        </w:rPr>
        <w:t>的投标总价</w:t>
      </w:r>
      <w:r>
        <w:rPr>
          <w:rFonts w:hint="eastAsia" w:ascii="宋体" w:hAnsi="宋体" w:eastAsia="宋体" w:cs="宋体"/>
          <w:snapToGrid w:val="0"/>
          <w:color w:val="auto"/>
          <w:kern w:val="0"/>
          <w:highlight w:val="none"/>
        </w:rPr>
        <w:t>竞投本项目施工。</w:t>
      </w:r>
    </w:p>
    <w:p w14:paraId="7CCD072B">
      <w:pPr>
        <w:wordWrap w:val="0"/>
        <w:adjustRightInd w:val="0"/>
        <w:snapToGrid w:val="0"/>
        <w:spacing w:line="440" w:lineRule="exact"/>
        <w:ind w:firstLine="57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在我方的上述投标总价中，包括：</w:t>
      </w:r>
      <w:r>
        <w:rPr>
          <w:rFonts w:hint="eastAsia" w:ascii="宋体" w:hAnsi="宋体" w:eastAsia="宋体" w:cs="宋体"/>
          <w:snapToGrid w:val="0"/>
          <w:color w:val="auto"/>
          <w:kern w:val="0"/>
          <w:highlight w:val="none"/>
          <w:lang w:eastAsia="zh-CN"/>
        </w:rPr>
        <w:t>安全生产措施费</w:t>
      </w:r>
      <w:r>
        <w:rPr>
          <w:rFonts w:hint="eastAsia" w:ascii="宋体" w:hAnsi="宋体" w:eastAsia="宋体" w:cs="宋体"/>
          <w:snapToGrid w:val="0"/>
          <w:color w:val="auto"/>
          <w:kern w:val="0"/>
          <w:highlight w:val="none"/>
        </w:rPr>
        <w:t>¥</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，暂列金额¥</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，暂估价¥</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w:t>
      </w:r>
    </w:p>
    <w:p w14:paraId="09C76540">
      <w:pPr>
        <w:wordWrap w:val="0"/>
        <w:adjustRightInd w:val="0"/>
        <w:snapToGrid w:val="0"/>
        <w:spacing w:line="440" w:lineRule="exact"/>
        <w:ind w:firstLine="57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2. 如果我方中标，我方保证按照合同约定的开工日期开始本项目的施工，</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个日历天内竣工，并确保工程质量达到</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标准和维修其中的任何缺陷。</w:t>
      </w:r>
    </w:p>
    <w:p w14:paraId="7E9D8559">
      <w:pPr>
        <w:wordWrap w:val="0"/>
        <w:adjustRightInd w:val="0"/>
        <w:snapToGrid w:val="0"/>
        <w:spacing w:line="440" w:lineRule="exact"/>
        <w:ind w:firstLine="57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3. 本投标函在你方接收我方递交的投标文件之日起、到招标文件规定的投标有效期期满前对我方具有约束力。我方随时准备接受你方发出的中标通知书。</w:t>
      </w:r>
    </w:p>
    <w:p w14:paraId="5C20BCCC">
      <w:pPr>
        <w:wordWrap w:val="0"/>
        <w:adjustRightInd w:val="0"/>
        <w:snapToGrid w:val="0"/>
        <w:spacing w:line="440" w:lineRule="exact"/>
        <w:ind w:firstLine="57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4．我方在此声明，我方不存在本项目招标文件第一章第三节第</w:t>
      </w:r>
      <w:r>
        <w:rPr>
          <w:rFonts w:hint="eastAsia" w:ascii="宋体" w:hAnsi="宋体" w:eastAsia="宋体" w:cs="宋体"/>
          <w:b/>
          <w:bCs/>
          <w:snapToGrid w:val="0"/>
          <w:color w:val="auto"/>
          <w:kern w:val="0"/>
          <w:highlight w:val="none"/>
        </w:rPr>
        <w:t>2.4</w:t>
      </w:r>
      <w:r>
        <w:rPr>
          <w:rFonts w:hint="eastAsia" w:ascii="宋体" w:hAnsi="宋体" w:eastAsia="宋体" w:cs="宋体"/>
          <w:snapToGrid w:val="0"/>
          <w:color w:val="auto"/>
          <w:kern w:val="0"/>
          <w:highlight w:val="none"/>
        </w:rPr>
        <w:t>条“禁止投标条款”所列出的任何一种情形，并愿意承担因我方就此弄虚作假所引起的一切法律后果。</w:t>
      </w:r>
    </w:p>
    <w:p w14:paraId="48B983E4">
      <w:pPr>
        <w:wordWrap w:val="0"/>
        <w:adjustRightInd w:val="0"/>
        <w:snapToGrid w:val="0"/>
        <w:spacing w:line="440" w:lineRule="exact"/>
        <w:ind w:firstLine="57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5．我方在此承诺，所递交投标文件的全部内容均为真实、有效、准确的，并愿意承担因我方就此弄虚作假所引起的一切法律后果，同时理解和同意有可能被要求提供更多的资料。</w:t>
      </w:r>
    </w:p>
    <w:p w14:paraId="43AF98F8">
      <w:pPr>
        <w:wordWrap w:val="0"/>
        <w:adjustRightInd w:val="0"/>
        <w:snapToGrid w:val="0"/>
        <w:spacing w:line="440" w:lineRule="exact"/>
        <w:ind w:firstLine="570"/>
        <w:rPr>
          <w:rFonts w:hint="eastAsia" w:ascii="宋体" w:hAnsi="宋体" w:eastAsia="宋体" w:cs="宋体"/>
          <w:snapToGrid w:val="0"/>
          <w:color w:val="auto"/>
          <w:kern w:val="0"/>
          <w:highlight w:val="none"/>
        </w:rPr>
      </w:pPr>
      <w:bookmarkStart w:id="302" w:name="_Hlt68771070"/>
      <w:bookmarkEnd w:id="302"/>
      <w:r>
        <w:rPr>
          <w:rFonts w:hint="eastAsia" w:ascii="宋体" w:hAnsi="宋体" w:eastAsia="宋体" w:cs="宋体"/>
          <w:snapToGrid w:val="0"/>
          <w:color w:val="auto"/>
          <w:kern w:val="0"/>
          <w:highlight w:val="none"/>
        </w:rPr>
        <w:t>6. 我方理解你方不一定要接纳收到的最低投标总价或任何投标总价的投标人中标，也不要求你方解释我方是否中标的原因。</w:t>
      </w:r>
    </w:p>
    <w:p w14:paraId="15E89DC9">
      <w:pPr>
        <w:wordWrap w:val="0"/>
        <w:adjustRightInd w:val="0"/>
        <w:snapToGrid w:val="0"/>
        <w:spacing w:line="440" w:lineRule="exact"/>
        <w:ind w:firstLine="57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 xml:space="preserve">  </w:t>
      </w:r>
    </w:p>
    <w:p w14:paraId="7F4043DD">
      <w:pPr>
        <w:wordWrap w:val="0"/>
        <w:adjustRightInd w:val="0"/>
        <w:snapToGrid w:val="0"/>
        <w:spacing w:line="440" w:lineRule="exact"/>
        <w:rPr>
          <w:rFonts w:hint="eastAsia" w:ascii="宋体" w:hAnsi="宋体" w:eastAsia="宋体" w:cs="宋体"/>
          <w:snapToGrid w:val="0"/>
          <w:color w:val="auto"/>
          <w:kern w:val="0"/>
          <w:highlight w:val="none"/>
        </w:rPr>
      </w:pPr>
    </w:p>
    <w:p w14:paraId="55215338">
      <w:pPr>
        <w:wordWrap w:val="0"/>
        <w:adjustRightInd w:val="0"/>
        <w:snapToGrid w:val="0"/>
        <w:spacing w:line="440" w:lineRule="exact"/>
        <w:jc w:val="right"/>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 xml:space="preserve">    投标人：</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（盖单位章）</w:t>
      </w:r>
    </w:p>
    <w:p w14:paraId="5A1B5F53">
      <w:pPr>
        <w:wordWrap w:val="0"/>
        <w:adjustRightInd w:val="0"/>
        <w:snapToGrid w:val="0"/>
        <w:spacing w:line="440" w:lineRule="exact"/>
        <w:jc w:val="right"/>
        <w:rPr>
          <w:rFonts w:hint="eastAsia" w:ascii="宋体" w:hAnsi="宋体" w:eastAsia="宋体" w:cs="宋体"/>
          <w:snapToGrid w:val="0"/>
          <w:color w:val="auto"/>
          <w:kern w:val="0"/>
          <w:highlight w:val="none"/>
        </w:rPr>
      </w:pPr>
    </w:p>
    <w:p w14:paraId="26508364">
      <w:pPr>
        <w:wordWrap w:val="0"/>
        <w:adjustRightInd w:val="0"/>
        <w:snapToGrid w:val="0"/>
        <w:spacing w:line="440" w:lineRule="exact"/>
        <w:jc w:val="right"/>
        <w:rPr>
          <w:rFonts w:hint="eastAsia" w:ascii="宋体" w:hAnsi="宋体" w:eastAsia="宋体" w:cs="宋体"/>
          <w:snapToGrid w:val="0"/>
          <w:color w:val="auto"/>
          <w:kern w:val="0"/>
          <w:highlight w:val="none"/>
        </w:rPr>
      </w:pPr>
    </w:p>
    <w:p w14:paraId="558F4CA0">
      <w:pPr>
        <w:wordWrap w:val="0"/>
        <w:adjustRightInd w:val="0"/>
        <w:snapToGrid w:val="0"/>
        <w:spacing w:line="440" w:lineRule="exact"/>
        <w:ind w:firstLine="480" w:firstLineChars="200"/>
        <w:jc w:val="right"/>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法定代表人或其委托代理人：</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（签字或盖章）</w:t>
      </w:r>
    </w:p>
    <w:p w14:paraId="655DCCE3">
      <w:pPr>
        <w:wordWrap w:val="0"/>
        <w:adjustRightInd w:val="0"/>
        <w:snapToGrid w:val="0"/>
        <w:spacing w:line="440" w:lineRule="exact"/>
        <w:ind w:firstLine="480" w:firstLineChars="200"/>
        <w:jc w:val="right"/>
        <w:rPr>
          <w:rFonts w:hint="eastAsia" w:ascii="宋体" w:hAnsi="宋体" w:eastAsia="宋体" w:cs="宋体"/>
          <w:snapToGrid w:val="0"/>
          <w:color w:val="auto"/>
          <w:kern w:val="0"/>
          <w:highlight w:val="none"/>
        </w:rPr>
      </w:pPr>
    </w:p>
    <w:p w14:paraId="6B3C6271">
      <w:pPr>
        <w:wordWrap w:val="0"/>
        <w:adjustRightInd w:val="0"/>
        <w:snapToGrid w:val="0"/>
        <w:spacing w:line="440" w:lineRule="exact"/>
        <w:jc w:val="left"/>
        <w:rPr>
          <w:rFonts w:hint="eastAsia" w:ascii="宋体" w:hAnsi="宋体" w:eastAsia="宋体" w:cs="宋体"/>
          <w:snapToGrid w:val="0"/>
          <w:color w:val="auto"/>
          <w:kern w:val="0"/>
          <w:highlight w:val="none"/>
        </w:rPr>
        <w:sectPr>
          <w:endnotePr>
            <w:numFmt w:val="decimal"/>
          </w:endnotePr>
          <w:pgSz w:w="11906" w:h="16838"/>
          <w:pgMar w:top="1134" w:right="1134" w:bottom="1134" w:left="1134" w:header="567" w:footer="567" w:gutter="0"/>
          <w:pgBorders>
            <w:top w:val="none" w:sz="0" w:space="0"/>
            <w:left w:val="none" w:sz="0" w:space="0"/>
            <w:bottom w:val="none" w:sz="0" w:space="0"/>
            <w:right w:val="none" w:sz="0" w:space="0"/>
          </w:pgBorders>
          <w:cols w:space="720" w:num="1"/>
          <w:docGrid w:linePitch="327" w:charSpace="0"/>
        </w:sectPr>
      </w:pPr>
      <w:r>
        <w:rPr>
          <w:rFonts w:hint="eastAsia" w:ascii="宋体" w:hAnsi="宋体" w:eastAsia="宋体" w:cs="宋体"/>
          <w:snapToGrid w:val="0"/>
          <w:color w:val="auto"/>
          <w:kern w:val="0"/>
          <w:highlight w:val="none"/>
        </w:rPr>
        <w:t xml:space="preserve">                                       </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年</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月</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日</w:t>
      </w:r>
    </w:p>
    <w:p w14:paraId="5B22A1B2">
      <w:pPr>
        <w:pStyle w:val="4"/>
        <w:bidi w:val="0"/>
        <w:ind w:firstLine="964"/>
        <w:rPr>
          <w:rFonts w:hint="eastAsia" w:ascii="宋体" w:hAnsi="宋体" w:eastAsia="宋体" w:cs="宋体"/>
          <w:color w:val="auto"/>
        </w:rPr>
      </w:pPr>
      <w:bookmarkStart w:id="303" w:name="_Toc26367"/>
      <w:r>
        <w:rPr>
          <w:rFonts w:hint="eastAsia" w:ascii="宋体" w:hAnsi="宋体" w:eastAsia="宋体" w:cs="宋体"/>
          <w:color w:val="auto"/>
        </w:rPr>
        <w:t>格式三 各项承诺一览表</w:t>
      </w:r>
      <w:bookmarkEnd w:id="303"/>
    </w:p>
    <w:p w14:paraId="7ED1E1C4">
      <w:pPr>
        <w:pStyle w:val="78"/>
        <w:keepNext w:val="0"/>
        <w:keepLines w:val="0"/>
        <w:widowControl w:val="0"/>
        <w:wordWrap w:val="0"/>
        <w:adjustRightInd w:val="0"/>
        <w:snapToGrid w:val="0"/>
        <w:spacing w:before="260" w:after="260" w:line="440" w:lineRule="exact"/>
        <w:ind w:firstLine="0"/>
        <w:rPr>
          <w:rFonts w:hint="eastAsia" w:ascii="宋体" w:hAnsi="宋体" w:eastAsia="宋体" w:cs="宋体"/>
          <w:b/>
          <w:snapToGrid w:val="0"/>
          <w:color w:val="auto"/>
          <w:highlight w:val="none"/>
        </w:rPr>
      </w:pPr>
      <w:bookmarkStart w:id="304" w:name="_Toc19422"/>
      <w:bookmarkStart w:id="305" w:name="_Toc29967"/>
      <w:bookmarkStart w:id="306" w:name="_Toc18715"/>
      <w:r>
        <w:rPr>
          <w:rFonts w:hint="eastAsia" w:ascii="宋体" w:hAnsi="宋体" w:eastAsia="宋体" w:cs="宋体"/>
          <w:b/>
          <w:snapToGrid w:val="0"/>
          <w:color w:val="auto"/>
          <w:sz w:val="30"/>
          <w:highlight w:val="none"/>
        </w:rPr>
        <w:t>各项承诺一览表</w:t>
      </w:r>
      <w:bookmarkEnd w:id="304"/>
      <w:bookmarkEnd w:id="305"/>
      <w:bookmarkEnd w:id="306"/>
    </w:p>
    <w:tbl>
      <w:tblPr>
        <w:tblStyle w:val="30"/>
        <w:tblW w:w="102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16"/>
        <w:gridCol w:w="1573"/>
        <w:gridCol w:w="2923"/>
        <w:gridCol w:w="5051"/>
      </w:tblGrid>
      <w:tr w14:paraId="6A4B6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0" w:hRule="atLeast"/>
          <w:jc w:val="center"/>
        </w:trPr>
        <w:tc>
          <w:tcPr>
            <w:tcW w:w="716" w:type="dxa"/>
            <w:noWrap w:val="0"/>
            <w:vAlign w:val="center"/>
          </w:tcPr>
          <w:p w14:paraId="0523F676">
            <w:pPr>
              <w:pStyle w:val="62"/>
              <w:wordWrap w:val="0"/>
              <w:adjustRightInd w:val="0"/>
              <w:snapToGrid w:val="0"/>
              <w:spacing w:line="360" w:lineRule="auto"/>
              <w:jc w:val="center"/>
              <w:rPr>
                <w:rFonts w:hint="eastAsia" w:ascii="宋体" w:hAnsi="宋体" w:eastAsia="宋体" w:cs="宋体"/>
                <w:bCs/>
                <w:snapToGrid w:val="0"/>
                <w:color w:val="auto"/>
                <w:kern w:val="0"/>
                <w:szCs w:val="21"/>
                <w:highlight w:val="none"/>
              </w:rPr>
            </w:pPr>
            <w:r>
              <w:rPr>
                <w:rFonts w:hint="eastAsia" w:ascii="宋体" w:hAnsi="宋体" w:eastAsia="宋体" w:cs="宋体"/>
                <w:bCs/>
                <w:snapToGrid w:val="0"/>
                <w:color w:val="auto"/>
                <w:kern w:val="0"/>
                <w:szCs w:val="21"/>
                <w:highlight w:val="none"/>
              </w:rPr>
              <w:t>序号</w:t>
            </w:r>
          </w:p>
        </w:tc>
        <w:tc>
          <w:tcPr>
            <w:tcW w:w="1573" w:type="dxa"/>
            <w:noWrap w:val="0"/>
            <w:vAlign w:val="center"/>
          </w:tcPr>
          <w:p w14:paraId="05516782">
            <w:pPr>
              <w:pStyle w:val="62"/>
              <w:wordWrap w:val="0"/>
              <w:adjustRightInd w:val="0"/>
              <w:snapToGrid w:val="0"/>
              <w:spacing w:line="360" w:lineRule="auto"/>
              <w:jc w:val="center"/>
              <w:rPr>
                <w:rFonts w:hint="eastAsia" w:ascii="宋体" w:hAnsi="宋体" w:eastAsia="宋体" w:cs="宋体"/>
                <w:bCs/>
                <w:snapToGrid w:val="0"/>
                <w:color w:val="auto"/>
                <w:kern w:val="0"/>
                <w:szCs w:val="21"/>
                <w:highlight w:val="none"/>
              </w:rPr>
            </w:pPr>
            <w:r>
              <w:rPr>
                <w:rFonts w:hint="eastAsia" w:ascii="宋体" w:hAnsi="宋体" w:eastAsia="宋体" w:cs="宋体"/>
                <w:bCs/>
                <w:snapToGrid w:val="0"/>
                <w:color w:val="auto"/>
                <w:kern w:val="0"/>
                <w:szCs w:val="21"/>
                <w:highlight w:val="none"/>
              </w:rPr>
              <w:t>承诺事项</w:t>
            </w:r>
          </w:p>
        </w:tc>
        <w:tc>
          <w:tcPr>
            <w:tcW w:w="2923" w:type="dxa"/>
            <w:noWrap w:val="0"/>
            <w:vAlign w:val="center"/>
          </w:tcPr>
          <w:p w14:paraId="748193F3">
            <w:pPr>
              <w:pStyle w:val="62"/>
              <w:wordWrap w:val="0"/>
              <w:adjustRightInd w:val="0"/>
              <w:snapToGrid w:val="0"/>
              <w:spacing w:line="360" w:lineRule="auto"/>
              <w:jc w:val="center"/>
              <w:rPr>
                <w:rFonts w:hint="eastAsia" w:ascii="宋体" w:hAnsi="宋体" w:eastAsia="宋体" w:cs="宋体"/>
                <w:bCs/>
                <w:snapToGrid w:val="0"/>
                <w:color w:val="auto"/>
                <w:kern w:val="0"/>
                <w:szCs w:val="21"/>
                <w:highlight w:val="none"/>
              </w:rPr>
            </w:pPr>
            <w:r>
              <w:rPr>
                <w:rFonts w:hint="eastAsia" w:ascii="宋体" w:hAnsi="宋体" w:eastAsia="宋体" w:cs="宋体"/>
                <w:bCs/>
                <w:snapToGrid w:val="0"/>
                <w:color w:val="auto"/>
                <w:kern w:val="0"/>
                <w:szCs w:val="21"/>
                <w:highlight w:val="none"/>
              </w:rPr>
              <w:t>承诺内容</w:t>
            </w:r>
          </w:p>
        </w:tc>
        <w:tc>
          <w:tcPr>
            <w:tcW w:w="5051" w:type="dxa"/>
            <w:noWrap w:val="0"/>
            <w:vAlign w:val="center"/>
          </w:tcPr>
          <w:p w14:paraId="789C2810">
            <w:pPr>
              <w:pStyle w:val="62"/>
              <w:wordWrap w:val="0"/>
              <w:adjustRightInd w:val="0"/>
              <w:snapToGrid w:val="0"/>
              <w:spacing w:line="360" w:lineRule="auto"/>
              <w:jc w:val="center"/>
              <w:rPr>
                <w:rFonts w:hint="eastAsia" w:ascii="宋体" w:hAnsi="宋体" w:eastAsia="宋体" w:cs="宋体"/>
                <w:bCs/>
                <w:snapToGrid w:val="0"/>
                <w:color w:val="auto"/>
                <w:kern w:val="0"/>
                <w:szCs w:val="21"/>
                <w:highlight w:val="none"/>
              </w:rPr>
            </w:pPr>
            <w:r>
              <w:rPr>
                <w:rFonts w:hint="eastAsia" w:ascii="宋体" w:hAnsi="宋体" w:eastAsia="宋体" w:cs="宋体"/>
                <w:bCs/>
                <w:snapToGrid w:val="0"/>
                <w:color w:val="auto"/>
                <w:kern w:val="0"/>
                <w:szCs w:val="21"/>
                <w:highlight w:val="none"/>
              </w:rPr>
              <w:t>违约承诺</w:t>
            </w:r>
          </w:p>
        </w:tc>
      </w:tr>
      <w:tr w14:paraId="11B81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73" w:hRule="atLeast"/>
          <w:jc w:val="center"/>
        </w:trPr>
        <w:tc>
          <w:tcPr>
            <w:tcW w:w="716" w:type="dxa"/>
            <w:noWrap w:val="0"/>
            <w:vAlign w:val="center"/>
          </w:tcPr>
          <w:p w14:paraId="1DAC863C">
            <w:pPr>
              <w:pStyle w:val="62"/>
              <w:wordWrap w:val="0"/>
              <w:adjustRightInd w:val="0"/>
              <w:snapToGrid w:val="0"/>
              <w:spacing w:line="36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w:t>
            </w:r>
          </w:p>
        </w:tc>
        <w:tc>
          <w:tcPr>
            <w:tcW w:w="1573" w:type="dxa"/>
            <w:noWrap w:val="0"/>
            <w:vAlign w:val="center"/>
          </w:tcPr>
          <w:p w14:paraId="19F39EE6">
            <w:pPr>
              <w:pStyle w:val="105"/>
              <w:wordWrap w:val="0"/>
              <w:adjustRightInd w:val="0"/>
              <w:snapToGrid w:val="0"/>
              <w:spacing w:line="360" w:lineRule="auto"/>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自愿接受招标</w:t>
            </w:r>
          </w:p>
          <w:p w14:paraId="77DBC478">
            <w:pPr>
              <w:pStyle w:val="105"/>
              <w:wordWrap w:val="0"/>
              <w:adjustRightInd w:val="0"/>
              <w:snapToGrid w:val="0"/>
              <w:spacing w:line="360" w:lineRule="auto"/>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文件条款的承诺</w:t>
            </w:r>
          </w:p>
        </w:tc>
        <w:tc>
          <w:tcPr>
            <w:tcW w:w="2923" w:type="dxa"/>
            <w:noWrap w:val="0"/>
            <w:vAlign w:val="center"/>
          </w:tcPr>
          <w:p w14:paraId="5DBBC6A2">
            <w:pPr>
              <w:pStyle w:val="105"/>
              <w:wordWrap w:val="0"/>
              <w:adjustRightInd w:val="0"/>
              <w:snapToGrid w:val="0"/>
              <w:spacing w:line="360" w:lineRule="auto"/>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我方自愿接受招标文件的所有条款，所递交的投标文件已经充分响应招标文件的实质性要求。</w:t>
            </w:r>
          </w:p>
        </w:tc>
        <w:tc>
          <w:tcPr>
            <w:tcW w:w="5051" w:type="dxa"/>
            <w:noWrap w:val="0"/>
            <w:vAlign w:val="center"/>
          </w:tcPr>
          <w:p w14:paraId="47E4CB27">
            <w:pPr>
              <w:pStyle w:val="105"/>
              <w:wordWrap w:val="0"/>
              <w:adjustRightInd w:val="0"/>
              <w:snapToGrid w:val="0"/>
              <w:spacing w:line="360" w:lineRule="auto"/>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如果我方的投标文件未响应、违反、偏离招标文件的实质性要求，我方接受招标人或其授权的招标代理机构或其组建的评标委员会依据招标文件作出的相应处理，包括否决投标。</w:t>
            </w:r>
          </w:p>
        </w:tc>
      </w:tr>
      <w:tr w14:paraId="26DF6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82" w:hRule="atLeast"/>
          <w:jc w:val="center"/>
        </w:trPr>
        <w:tc>
          <w:tcPr>
            <w:tcW w:w="716" w:type="dxa"/>
            <w:noWrap w:val="0"/>
            <w:vAlign w:val="center"/>
          </w:tcPr>
          <w:p w14:paraId="37117678">
            <w:pPr>
              <w:pStyle w:val="62"/>
              <w:wordWrap w:val="0"/>
              <w:adjustRightInd w:val="0"/>
              <w:snapToGrid w:val="0"/>
              <w:spacing w:line="36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2</w:t>
            </w:r>
          </w:p>
        </w:tc>
        <w:tc>
          <w:tcPr>
            <w:tcW w:w="1573" w:type="dxa"/>
            <w:noWrap w:val="0"/>
            <w:vAlign w:val="center"/>
          </w:tcPr>
          <w:p w14:paraId="78BACBE4">
            <w:pPr>
              <w:pStyle w:val="105"/>
              <w:wordWrap w:val="0"/>
              <w:adjustRightInd w:val="0"/>
              <w:snapToGrid w:val="0"/>
              <w:spacing w:line="360" w:lineRule="auto"/>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无禁止投标</w:t>
            </w:r>
          </w:p>
          <w:p w14:paraId="0ADD0EBE">
            <w:pPr>
              <w:pStyle w:val="105"/>
              <w:wordWrap w:val="0"/>
              <w:adjustRightInd w:val="0"/>
              <w:snapToGrid w:val="0"/>
              <w:spacing w:line="360" w:lineRule="auto"/>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情形的承诺</w:t>
            </w:r>
          </w:p>
        </w:tc>
        <w:tc>
          <w:tcPr>
            <w:tcW w:w="2923" w:type="dxa"/>
            <w:noWrap w:val="0"/>
            <w:vAlign w:val="center"/>
          </w:tcPr>
          <w:p w14:paraId="0D17CBC0">
            <w:pPr>
              <w:pStyle w:val="105"/>
              <w:wordWrap w:val="0"/>
              <w:adjustRightInd w:val="0"/>
              <w:snapToGrid w:val="0"/>
              <w:spacing w:line="360" w:lineRule="auto"/>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我方不存在招标文件第一章第三节第</w:t>
            </w:r>
            <w:r>
              <w:rPr>
                <w:rFonts w:hint="eastAsia" w:ascii="宋体" w:hAnsi="宋体" w:eastAsia="宋体" w:cs="宋体"/>
                <w:b/>
                <w:bCs/>
                <w:snapToGrid w:val="0"/>
                <w:color w:val="auto"/>
                <w:kern w:val="0"/>
                <w:sz w:val="21"/>
                <w:szCs w:val="21"/>
                <w:highlight w:val="none"/>
              </w:rPr>
              <w:t>2.4</w:t>
            </w:r>
            <w:r>
              <w:rPr>
                <w:rFonts w:hint="eastAsia" w:ascii="宋体" w:hAnsi="宋体" w:eastAsia="宋体" w:cs="宋体"/>
                <w:snapToGrid w:val="0"/>
                <w:color w:val="auto"/>
                <w:kern w:val="0"/>
                <w:sz w:val="21"/>
                <w:szCs w:val="21"/>
                <w:highlight w:val="none"/>
              </w:rPr>
              <w:t>条“禁止投标条款”规定的任何一种情形。</w:t>
            </w:r>
          </w:p>
        </w:tc>
        <w:tc>
          <w:tcPr>
            <w:tcW w:w="5051" w:type="dxa"/>
            <w:noWrap w:val="0"/>
            <w:vAlign w:val="center"/>
          </w:tcPr>
          <w:p w14:paraId="713FE0BB">
            <w:pPr>
              <w:pStyle w:val="105"/>
              <w:wordWrap w:val="0"/>
              <w:adjustRightInd w:val="0"/>
              <w:snapToGrid w:val="0"/>
              <w:spacing w:line="360" w:lineRule="auto"/>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如果我方有招标文件第一章第三节第</w:t>
            </w:r>
            <w:r>
              <w:rPr>
                <w:rFonts w:hint="eastAsia" w:ascii="宋体" w:hAnsi="宋体" w:eastAsia="宋体" w:cs="宋体"/>
                <w:b/>
                <w:bCs/>
                <w:snapToGrid w:val="0"/>
                <w:color w:val="auto"/>
                <w:kern w:val="0"/>
                <w:sz w:val="21"/>
                <w:szCs w:val="21"/>
                <w:highlight w:val="none"/>
              </w:rPr>
              <w:t>2.4</w:t>
            </w:r>
            <w:r>
              <w:rPr>
                <w:rFonts w:hint="eastAsia" w:ascii="宋体" w:hAnsi="宋体" w:eastAsia="宋体" w:cs="宋体"/>
                <w:snapToGrid w:val="0"/>
                <w:color w:val="auto"/>
                <w:kern w:val="0"/>
                <w:sz w:val="21"/>
                <w:szCs w:val="21"/>
                <w:highlight w:val="none"/>
              </w:rPr>
              <w:t>条“禁止投标条款”规定的任何一种情形，我方接受招标人或其授权的招标代理机构或其组建的评标委员会依据招标文件作出的相应处理以及有关监督部门作出的行政处罚，并承担由此引起的一切法律后果。</w:t>
            </w:r>
          </w:p>
        </w:tc>
      </w:tr>
      <w:tr w14:paraId="66DDF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29" w:hRule="atLeast"/>
          <w:jc w:val="center"/>
        </w:trPr>
        <w:tc>
          <w:tcPr>
            <w:tcW w:w="716" w:type="dxa"/>
            <w:noWrap w:val="0"/>
            <w:vAlign w:val="center"/>
          </w:tcPr>
          <w:p w14:paraId="1EAECE13">
            <w:pPr>
              <w:pStyle w:val="62"/>
              <w:wordWrap w:val="0"/>
              <w:adjustRightInd w:val="0"/>
              <w:snapToGrid w:val="0"/>
              <w:spacing w:line="36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3</w:t>
            </w:r>
          </w:p>
        </w:tc>
        <w:tc>
          <w:tcPr>
            <w:tcW w:w="1573" w:type="dxa"/>
            <w:noWrap w:val="0"/>
            <w:vAlign w:val="center"/>
          </w:tcPr>
          <w:p w14:paraId="75495091">
            <w:pPr>
              <w:pStyle w:val="105"/>
              <w:wordWrap w:val="0"/>
              <w:adjustRightInd w:val="0"/>
              <w:snapToGrid w:val="0"/>
              <w:spacing w:line="360" w:lineRule="auto"/>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自觉抵制围标</w:t>
            </w:r>
          </w:p>
          <w:p w14:paraId="0915F300">
            <w:pPr>
              <w:pStyle w:val="105"/>
              <w:wordWrap w:val="0"/>
              <w:adjustRightInd w:val="0"/>
              <w:snapToGrid w:val="0"/>
              <w:spacing w:line="360" w:lineRule="auto"/>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串标和弄虚</w:t>
            </w:r>
          </w:p>
          <w:p w14:paraId="38DD2D73">
            <w:pPr>
              <w:pStyle w:val="105"/>
              <w:wordWrap w:val="0"/>
              <w:adjustRightInd w:val="0"/>
              <w:snapToGrid w:val="0"/>
              <w:spacing w:line="360" w:lineRule="auto"/>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作假行为的承诺</w:t>
            </w:r>
          </w:p>
        </w:tc>
        <w:tc>
          <w:tcPr>
            <w:tcW w:w="2923" w:type="dxa"/>
            <w:noWrap w:val="0"/>
            <w:vAlign w:val="center"/>
          </w:tcPr>
          <w:p w14:paraId="6078EC86">
            <w:pPr>
              <w:pStyle w:val="105"/>
              <w:wordWrap w:val="0"/>
              <w:adjustRightInd w:val="0"/>
              <w:snapToGrid w:val="0"/>
              <w:spacing w:line="360" w:lineRule="auto"/>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我方合法正当、诚实守信地参与投标，不组织、不参加围标串标违法行为，不通过弄虚作假行为骗取中标。</w:t>
            </w:r>
          </w:p>
        </w:tc>
        <w:tc>
          <w:tcPr>
            <w:tcW w:w="5051" w:type="dxa"/>
            <w:noWrap w:val="0"/>
            <w:vAlign w:val="center"/>
          </w:tcPr>
          <w:p w14:paraId="69666C85">
            <w:pPr>
              <w:pStyle w:val="105"/>
              <w:wordWrap w:val="0"/>
              <w:adjustRightInd w:val="0"/>
              <w:snapToGrid w:val="0"/>
              <w:spacing w:line="360" w:lineRule="auto"/>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如果我方组织或参加围标串标违法行为或通过弄虚作假行为骗取中标，我方接受招标人或其授权的招标代理机构或其组建的评标委员会依据招标文件作出的相应处理以及有关监督部门作出的行政处罚，并承担由此引起的一切法律后果。</w:t>
            </w:r>
          </w:p>
        </w:tc>
      </w:tr>
      <w:tr w14:paraId="345B2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56" w:hRule="atLeast"/>
          <w:jc w:val="center"/>
        </w:trPr>
        <w:tc>
          <w:tcPr>
            <w:tcW w:w="716" w:type="dxa"/>
            <w:noWrap w:val="0"/>
            <w:vAlign w:val="center"/>
          </w:tcPr>
          <w:p w14:paraId="6D1A01CA">
            <w:pPr>
              <w:pStyle w:val="62"/>
              <w:wordWrap w:val="0"/>
              <w:adjustRightInd w:val="0"/>
              <w:snapToGrid w:val="0"/>
              <w:spacing w:line="36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4</w:t>
            </w:r>
          </w:p>
        </w:tc>
        <w:tc>
          <w:tcPr>
            <w:tcW w:w="1573" w:type="dxa"/>
            <w:noWrap w:val="0"/>
            <w:vAlign w:val="center"/>
          </w:tcPr>
          <w:p w14:paraId="6E653F04">
            <w:pPr>
              <w:pStyle w:val="105"/>
              <w:wordWrap w:val="0"/>
              <w:adjustRightInd w:val="0"/>
              <w:snapToGrid w:val="0"/>
              <w:spacing w:line="360" w:lineRule="auto"/>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项目经理</w:t>
            </w:r>
          </w:p>
          <w:p w14:paraId="39D8D8B0">
            <w:pPr>
              <w:pStyle w:val="105"/>
              <w:wordWrap w:val="0"/>
              <w:adjustRightInd w:val="0"/>
              <w:snapToGrid w:val="0"/>
              <w:spacing w:line="360" w:lineRule="auto"/>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任职承诺</w:t>
            </w:r>
          </w:p>
        </w:tc>
        <w:tc>
          <w:tcPr>
            <w:tcW w:w="2923" w:type="dxa"/>
            <w:noWrap w:val="0"/>
            <w:vAlign w:val="center"/>
          </w:tcPr>
          <w:p w14:paraId="247CCC5F">
            <w:pPr>
              <w:pStyle w:val="105"/>
              <w:wordWrap w:val="0"/>
              <w:adjustRightInd w:val="0"/>
              <w:snapToGrid w:val="0"/>
              <w:spacing w:line="360" w:lineRule="auto"/>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我方拟派项目经理现阶段没有担任任何在施（包括已中标未开工、已开工未竣工）建设工程项目的项目经理。</w:t>
            </w:r>
          </w:p>
        </w:tc>
        <w:tc>
          <w:tcPr>
            <w:tcW w:w="5051" w:type="dxa"/>
            <w:noWrap w:val="0"/>
            <w:vAlign w:val="center"/>
          </w:tcPr>
          <w:p w14:paraId="10D09C7E">
            <w:pPr>
              <w:pStyle w:val="105"/>
              <w:wordWrap w:val="0"/>
              <w:adjustRightInd w:val="0"/>
              <w:snapToGrid w:val="0"/>
              <w:spacing w:line="360" w:lineRule="auto"/>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如果我方拟派项目经理在本项目招标投标活动期间有担任其他任何在施（包括已中标未开工、已开工未竣工）建设工程项目的项目经理，我方接受招标人或其授权的招标代理机构或其组建的评标委员会依据招标文件作出的相应处理以及有关监督部门作出的行政处罚，并承担由此引起的一切法律后果。</w:t>
            </w:r>
          </w:p>
        </w:tc>
      </w:tr>
      <w:tr w14:paraId="501BE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74" w:hRule="atLeast"/>
          <w:jc w:val="center"/>
        </w:trPr>
        <w:tc>
          <w:tcPr>
            <w:tcW w:w="716" w:type="dxa"/>
            <w:noWrap w:val="0"/>
            <w:vAlign w:val="center"/>
          </w:tcPr>
          <w:p w14:paraId="67910BF8">
            <w:pPr>
              <w:pStyle w:val="62"/>
              <w:wordWrap w:val="0"/>
              <w:adjustRightInd w:val="0"/>
              <w:snapToGrid w:val="0"/>
              <w:spacing w:line="36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5</w:t>
            </w:r>
          </w:p>
        </w:tc>
        <w:tc>
          <w:tcPr>
            <w:tcW w:w="1573" w:type="dxa"/>
            <w:noWrap w:val="0"/>
            <w:vAlign w:val="center"/>
          </w:tcPr>
          <w:p w14:paraId="2DD2F65B">
            <w:pPr>
              <w:pStyle w:val="105"/>
              <w:wordWrap w:val="0"/>
              <w:adjustRightInd w:val="0"/>
              <w:snapToGrid w:val="0"/>
              <w:spacing w:line="360" w:lineRule="auto"/>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投标文件</w:t>
            </w:r>
          </w:p>
          <w:p w14:paraId="738087CB">
            <w:pPr>
              <w:pStyle w:val="105"/>
              <w:wordWrap w:val="0"/>
              <w:adjustRightInd w:val="0"/>
              <w:snapToGrid w:val="0"/>
              <w:spacing w:line="360" w:lineRule="auto"/>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真实性承诺</w:t>
            </w:r>
          </w:p>
        </w:tc>
        <w:tc>
          <w:tcPr>
            <w:tcW w:w="2923" w:type="dxa"/>
            <w:noWrap w:val="0"/>
            <w:vAlign w:val="center"/>
          </w:tcPr>
          <w:p w14:paraId="2C049438">
            <w:pPr>
              <w:pStyle w:val="105"/>
              <w:wordWrap w:val="0"/>
              <w:adjustRightInd w:val="0"/>
              <w:snapToGrid w:val="0"/>
              <w:spacing w:line="360" w:lineRule="auto"/>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我方所递交投标文件的全部内容均为真实、有效、准确的。</w:t>
            </w:r>
          </w:p>
        </w:tc>
        <w:tc>
          <w:tcPr>
            <w:tcW w:w="5051" w:type="dxa"/>
            <w:noWrap w:val="0"/>
            <w:vAlign w:val="center"/>
          </w:tcPr>
          <w:p w14:paraId="62C904A4">
            <w:pPr>
              <w:pStyle w:val="105"/>
              <w:wordWrap w:val="0"/>
              <w:adjustRightInd w:val="0"/>
              <w:snapToGrid w:val="0"/>
              <w:spacing w:line="360" w:lineRule="auto"/>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如果我方递交的投标文件任何内容不真实或无效或不准确，我方接受招标人或其授权的招标代理机构或其组建的评标委员会依据招标文件作出的相应处理，包括否决投标。</w:t>
            </w:r>
          </w:p>
        </w:tc>
      </w:tr>
      <w:tr w14:paraId="787F6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4" w:hRule="atLeast"/>
          <w:jc w:val="center"/>
        </w:trPr>
        <w:tc>
          <w:tcPr>
            <w:tcW w:w="716" w:type="dxa"/>
            <w:noWrap w:val="0"/>
            <w:vAlign w:val="center"/>
          </w:tcPr>
          <w:p w14:paraId="68B0DDA3">
            <w:pPr>
              <w:pStyle w:val="62"/>
              <w:wordWrap w:val="0"/>
              <w:adjustRightInd w:val="0"/>
              <w:snapToGrid w:val="0"/>
              <w:spacing w:line="36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6</w:t>
            </w:r>
          </w:p>
        </w:tc>
        <w:tc>
          <w:tcPr>
            <w:tcW w:w="1573" w:type="dxa"/>
            <w:noWrap w:val="0"/>
            <w:vAlign w:val="center"/>
          </w:tcPr>
          <w:p w14:paraId="2F332959">
            <w:pPr>
              <w:pStyle w:val="105"/>
              <w:wordWrap w:val="0"/>
              <w:adjustRightInd w:val="0"/>
              <w:snapToGrid w:val="0"/>
              <w:spacing w:line="360" w:lineRule="auto"/>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投标文件</w:t>
            </w:r>
          </w:p>
          <w:p w14:paraId="04E8FAE0">
            <w:pPr>
              <w:pStyle w:val="105"/>
              <w:wordWrap w:val="0"/>
              <w:adjustRightInd w:val="0"/>
              <w:snapToGrid w:val="0"/>
              <w:spacing w:line="360" w:lineRule="auto"/>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信息公开承诺</w:t>
            </w:r>
          </w:p>
        </w:tc>
        <w:tc>
          <w:tcPr>
            <w:tcW w:w="2923" w:type="dxa"/>
            <w:noWrap w:val="0"/>
            <w:vAlign w:val="center"/>
          </w:tcPr>
          <w:p w14:paraId="56C5303D">
            <w:pPr>
              <w:pStyle w:val="105"/>
              <w:wordWrap w:val="0"/>
              <w:adjustRightInd w:val="0"/>
              <w:snapToGrid w:val="0"/>
              <w:spacing w:line="360" w:lineRule="auto"/>
              <w:ind w:firstLine="420"/>
              <w:rPr>
                <w:rFonts w:hint="eastAsia" w:ascii="宋体" w:hAnsi="宋体" w:eastAsia="宋体" w:cs="宋体"/>
                <w:snapToGrid w:val="0"/>
                <w:color w:val="auto"/>
                <w:kern w:val="0"/>
                <w:sz w:val="21"/>
                <w:szCs w:val="21"/>
                <w:highlight w:val="none"/>
              </w:rPr>
            </w:pPr>
            <w:r>
              <w:rPr>
                <w:rStyle w:val="149"/>
                <w:rFonts w:hint="eastAsia" w:ascii="宋体" w:hAnsi="宋体" w:eastAsia="宋体" w:cs="宋体"/>
                <w:color w:val="auto"/>
                <w:kern w:val="0"/>
                <w:sz w:val="21"/>
                <w:szCs w:val="21"/>
                <w:highlight w:val="none"/>
                <w:lang w:val="en-US" w:eastAsia="zh-CN" w:bidi="ar-SA"/>
              </w:rPr>
              <w:t>我方提供完整的电子文件。如果我方成为本项目中标候选人，我方同意并授权招标人在评标结果公示期内公开我方商务标书的全部内容。</w:t>
            </w:r>
          </w:p>
        </w:tc>
        <w:tc>
          <w:tcPr>
            <w:tcW w:w="5051" w:type="dxa"/>
            <w:noWrap w:val="0"/>
            <w:vAlign w:val="center"/>
            <mc:AlternateContent>
              <mc:Choice Requires="wpsCustomData">
                <wpsCustomData:diagonals>
                  <wpsCustomData:diagonal from="0" to="20000">
                    <wpsCustomData:border w:val="single" w:color="auto" w:sz="4" w:space="0"/>
                  </wpsCustomData:diagonal>
                </wpsCustomData:diagonals>
              </mc:Choice>
            </mc:AlternateContent>
          </w:tcPr>
          <w:p w14:paraId="14CEA547">
            <w:pPr>
              <w:pStyle w:val="105"/>
              <w:wordWrap w:val="0"/>
              <w:adjustRightInd w:val="0"/>
              <w:snapToGrid w:val="0"/>
              <w:spacing w:line="240" w:lineRule="auto"/>
              <w:ind w:firstLine="0" w:firstLineChars="0"/>
              <w:jc w:val="left"/>
              <mc:AlternateContent>
                <mc:Choice Requires="wpsCustomData">
                  <wpsCustomData:diagonalParaType/>
                </mc:Choice>
              </mc:AlternateConten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 xml:space="preserve">    </w:t>
            </w:r>
          </w:p>
          <w:p w14:paraId="2F2D6720">
            <w:pPr>
              <w:pStyle w:val="105"/>
              <w:wordWrap w:val="0"/>
              <w:adjustRightInd w:val="0"/>
              <w:snapToGrid w:val="0"/>
              <w:spacing w:line="360" w:lineRule="auto"/>
              <w:ind w:firstLine="0" w:firstLineChars="0"/>
              <w:jc w:val="left"/>
              <w:rPr>
                <w:rFonts w:hint="eastAsia" w:ascii="宋体" w:hAnsi="宋体" w:eastAsia="宋体" w:cs="宋体"/>
                <w:snapToGrid w:val="0"/>
                <w:color w:val="auto"/>
                <w:kern w:val="0"/>
                <w:sz w:val="21"/>
                <w:szCs w:val="21"/>
                <w:highlight w:val="none"/>
              </w:rPr>
            </w:pPr>
          </w:p>
        </w:tc>
      </w:tr>
      <w:tr w14:paraId="70FBB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11" w:hRule="atLeast"/>
          <w:jc w:val="center"/>
        </w:trPr>
        <w:tc>
          <w:tcPr>
            <w:tcW w:w="716" w:type="dxa"/>
            <w:noWrap w:val="0"/>
            <w:vAlign w:val="center"/>
          </w:tcPr>
          <w:p w14:paraId="1AA2AFEC">
            <w:pPr>
              <w:pStyle w:val="62"/>
              <w:wordWrap w:val="0"/>
              <w:adjustRightInd w:val="0"/>
              <w:snapToGrid w:val="0"/>
              <w:spacing w:line="36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7</w:t>
            </w:r>
          </w:p>
        </w:tc>
        <w:tc>
          <w:tcPr>
            <w:tcW w:w="1573" w:type="dxa"/>
            <w:noWrap w:val="0"/>
            <w:vAlign w:val="center"/>
          </w:tcPr>
          <w:p w14:paraId="26CFDCE0">
            <w:pPr>
              <w:pStyle w:val="105"/>
              <w:wordWrap w:val="0"/>
              <w:adjustRightInd w:val="0"/>
              <w:snapToGrid w:val="0"/>
              <w:spacing w:line="360" w:lineRule="auto"/>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对不正常报价</w:t>
            </w:r>
          </w:p>
          <w:p w14:paraId="0ED97ECC">
            <w:pPr>
              <w:pStyle w:val="105"/>
              <w:wordWrap w:val="0"/>
              <w:adjustRightInd w:val="0"/>
              <w:snapToGrid w:val="0"/>
              <w:spacing w:line="360" w:lineRule="auto"/>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的确认承诺</w:t>
            </w:r>
          </w:p>
        </w:tc>
        <w:tc>
          <w:tcPr>
            <w:tcW w:w="2923" w:type="dxa"/>
            <w:noWrap w:val="0"/>
            <w:vAlign w:val="center"/>
          </w:tcPr>
          <w:p w14:paraId="75717B94">
            <w:pPr>
              <w:pStyle w:val="105"/>
              <w:wordWrap w:val="0"/>
              <w:adjustRightInd w:val="0"/>
              <w:snapToGrid w:val="0"/>
              <w:spacing w:line="360" w:lineRule="auto"/>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如果我方中标，我方接受招标人在合同订立期间依据招标文件有关条款约定对我方已标价工程量清单中不正常报价的修正或认定，并按要求签署《不正常报价清单》加以确认。</w:t>
            </w:r>
          </w:p>
        </w:tc>
        <w:tc>
          <w:tcPr>
            <w:tcW w:w="5051" w:type="dxa"/>
            <w:tcBorders>
              <w:tr2bl w:val="single" w:color="auto" w:sz="4" w:space="0"/>
            </w:tcBorders>
            <w:noWrap w:val="0"/>
            <w:vAlign w:val="center"/>
          </w:tcPr>
          <w:p w14:paraId="1EC5CF1B">
            <w:pPr>
              <w:pStyle w:val="105"/>
              <w:wordWrap w:val="0"/>
              <w:adjustRightInd w:val="0"/>
              <w:snapToGrid w:val="0"/>
              <w:spacing w:line="360" w:lineRule="auto"/>
              <w:ind w:firstLine="0" w:firstLineChars="0"/>
              <w:jc w:val="left"/>
              <w:rPr>
                <w:rFonts w:hint="eastAsia" w:ascii="宋体" w:hAnsi="宋体" w:eastAsia="宋体" w:cs="宋体"/>
                <w:snapToGrid w:val="0"/>
                <w:color w:val="auto"/>
                <w:kern w:val="0"/>
                <w:sz w:val="21"/>
                <w:szCs w:val="21"/>
                <w:highlight w:val="none"/>
              </w:rPr>
            </w:pPr>
          </w:p>
          <w:p w14:paraId="7C3A418B">
            <w:pPr>
              <w:pStyle w:val="105"/>
              <w:wordWrap w:val="0"/>
              <w:adjustRightInd w:val="0"/>
              <w:snapToGrid w:val="0"/>
              <w:spacing w:line="360" w:lineRule="auto"/>
              <w:ind w:firstLine="0" w:firstLineChars="0"/>
              <w:jc w:val="left"/>
              <w:rPr>
                <w:rFonts w:hint="eastAsia" w:ascii="宋体" w:hAnsi="宋体" w:eastAsia="宋体" w:cs="宋体"/>
                <w:snapToGrid w:val="0"/>
                <w:color w:val="auto"/>
                <w:kern w:val="0"/>
                <w:sz w:val="21"/>
                <w:szCs w:val="21"/>
                <w:highlight w:val="none"/>
              </w:rPr>
            </w:pPr>
          </w:p>
        </w:tc>
      </w:tr>
      <w:tr w14:paraId="6F66D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96" w:hRule="atLeast"/>
          <w:jc w:val="center"/>
        </w:trPr>
        <w:tc>
          <w:tcPr>
            <w:tcW w:w="716" w:type="dxa"/>
            <w:noWrap w:val="0"/>
            <w:vAlign w:val="center"/>
          </w:tcPr>
          <w:p w14:paraId="6EE990D8">
            <w:pPr>
              <w:pStyle w:val="62"/>
              <w:wordWrap w:val="0"/>
              <w:adjustRightInd w:val="0"/>
              <w:snapToGrid w:val="0"/>
              <w:spacing w:line="36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8</w:t>
            </w:r>
          </w:p>
        </w:tc>
        <w:tc>
          <w:tcPr>
            <w:tcW w:w="1573" w:type="dxa"/>
            <w:noWrap w:val="0"/>
            <w:vAlign w:val="center"/>
          </w:tcPr>
          <w:p w14:paraId="720FD32C">
            <w:pPr>
              <w:pStyle w:val="105"/>
              <w:wordWrap w:val="0"/>
              <w:adjustRightInd w:val="0"/>
              <w:snapToGrid w:val="0"/>
              <w:spacing w:line="360" w:lineRule="auto"/>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按时提交履约</w:t>
            </w:r>
          </w:p>
          <w:p w14:paraId="5DADC463">
            <w:pPr>
              <w:pStyle w:val="105"/>
              <w:wordWrap w:val="0"/>
              <w:adjustRightInd w:val="0"/>
              <w:snapToGrid w:val="0"/>
              <w:spacing w:line="360" w:lineRule="auto"/>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保证的承诺</w:t>
            </w:r>
          </w:p>
        </w:tc>
        <w:tc>
          <w:tcPr>
            <w:tcW w:w="2923" w:type="dxa"/>
            <w:noWrap w:val="0"/>
            <w:vAlign w:val="center"/>
          </w:tcPr>
          <w:p w14:paraId="35D27895">
            <w:pPr>
              <w:pStyle w:val="105"/>
              <w:wordWrap w:val="0"/>
              <w:adjustRightInd w:val="0"/>
              <w:snapToGrid w:val="0"/>
              <w:spacing w:line="360" w:lineRule="auto"/>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如果我方中标，我方保证在招标文件规定的时限内全额提交履约保证。</w:t>
            </w:r>
          </w:p>
        </w:tc>
        <w:tc>
          <w:tcPr>
            <w:tcW w:w="5051" w:type="dxa"/>
            <w:noWrap w:val="0"/>
            <w:vAlign w:val="center"/>
          </w:tcPr>
          <w:p w14:paraId="3AE88E3E">
            <w:pPr>
              <w:pStyle w:val="105"/>
              <w:wordWrap w:val="0"/>
              <w:adjustRightInd w:val="0"/>
              <w:snapToGrid w:val="0"/>
              <w:spacing w:line="360" w:lineRule="auto"/>
              <w:ind w:firstLine="0" w:firstLineChars="0"/>
              <w:jc w:val="lef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 xml:space="preserve">    如果我方未在招标文件规定的时限内全额提交履约保证，我方接受招标人依据招标文件作出的相应处理以及有关监督部门作出的行政处罚，并承担由此引起的一切法律后果。</w:t>
            </w:r>
          </w:p>
        </w:tc>
      </w:tr>
      <w:tr w14:paraId="4EFC9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98" w:hRule="atLeast"/>
          <w:jc w:val="center"/>
        </w:trPr>
        <w:tc>
          <w:tcPr>
            <w:tcW w:w="716" w:type="dxa"/>
            <w:noWrap w:val="0"/>
            <w:vAlign w:val="center"/>
          </w:tcPr>
          <w:p w14:paraId="63365C53">
            <w:pPr>
              <w:pStyle w:val="62"/>
              <w:wordWrap w:val="0"/>
              <w:adjustRightInd w:val="0"/>
              <w:snapToGrid w:val="0"/>
              <w:spacing w:line="36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9</w:t>
            </w:r>
          </w:p>
        </w:tc>
        <w:tc>
          <w:tcPr>
            <w:tcW w:w="1573" w:type="dxa"/>
            <w:noWrap w:val="0"/>
            <w:vAlign w:val="center"/>
          </w:tcPr>
          <w:p w14:paraId="6FA8C30A">
            <w:pPr>
              <w:pStyle w:val="105"/>
              <w:wordWrap w:val="0"/>
              <w:adjustRightInd w:val="0"/>
              <w:snapToGrid w:val="0"/>
              <w:spacing w:line="360" w:lineRule="auto"/>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按时签订合同</w:t>
            </w:r>
          </w:p>
          <w:p w14:paraId="1BCA131A">
            <w:pPr>
              <w:pStyle w:val="105"/>
              <w:wordWrap w:val="0"/>
              <w:adjustRightInd w:val="0"/>
              <w:snapToGrid w:val="0"/>
              <w:spacing w:line="360" w:lineRule="auto"/>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的承诺</w:t>
            </w:r>
          </w:p>
        </w:tc>
        <w:tc>
          <w:tcPr>
            <w:tcW w:w="2923" w:type="dxa"/>
            <w:noWrap w:val="0"/>
            <w:vAlign w:val="center"/>
          </w:tcPr>
          <w:p w14:paraId="1EFF4E75">
            <w:pPr>
              <w:pStyle w:val="105"/>
              <w:wordWrap w:val="0"/>
              <w:adjustRightInd w:val="0"/>
              <w:snapToGrid w:val="0"/>
              <w:spacing w:line="360" w:lineRule="auto"/>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如果我方中标，我方保证在招标文件规定的时限内与招标人签订合同，不提出违背或超出招标文件、中标文件的要求。</w:t>
            </w:r>
          </w:p>
        </w:tc>
        <w:tc>
          <w:tcPr>
            <w:tcW w:w="5051" w:type="dxa"/>
            <w:noWrap w:val="0"/>
            <w:vAlign w:val="center"/>
          </w:tcPr>
          <w:p w14:paraId="1D829707">
            <w:pPr>
              <w:pStyle w:val="105"/>
              <w:wordWrap w:val="0"/>
              <w:adjustRightInd w:val="0"/>
              <w:snapToGrid w:val="0"/>
              <w:spacing w:line="360" w:lineRule="auto"/>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如果我方未在招标文件规定的时限内与招标人签订合同，或我方在签订合同过程中提出违背或超出招标文件、中标文件的要求。我方接受招标人依据招标文件作出的相应处理以及有关监督部门作出的行政处罚，并承担由此引起的一切法律后果。</w:t>
            </w:r>
          </w:p>
        </w:tc>
      </w:tr>
    </w:tbl>
    <w:p w14:paraId="24C13A44">
      <w:pPr>
        <w:pStyle w:val="62"/>
        <w:wordWrap w:val="0"/>
        <w:adjustRightInd w:val="0"/>
        <w:snapToGrid w:val="0"/>
        <w:spacing w:line="420" w:lineRule="exact"/>
        <w:jc w:val="left"/>
        <w:rPr>
          <w:rFonts w:hint="eastAsia" w:ascii="宋体" w:hAnsi="宋体" w:eastAsia="宋体" w:cs="宋体"/>
          <w:snapToGrid w:val="0"/>
          <w:color w:val="auto"/>
          <w:kern w:val="0"/>
          <w:highlight w:val="none"/>
        </w:rPr>
      </w:pPr>
    </w:p>
    <w:p w14:paraId="1E71F53A">
      <w:pPr>
        <w:pStyle w:val="17"/>
        <w:wordWrap w:val="0"/>
        <w:adjustRightInd w:val="0"/>
        <w:snapToGrid w:val="0"/>
        <w:spacing w:line="420" w:lineRule="exact"/>
        <w:ind w:firstLine="480" w:firstLineChars="200"/>
        <w:jc w:val="right"/>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投标人：</w:t>
      </w:r>
      <w:r>
        <w:rPr>
          <w:rFonts w:hint="eastAsia" w:ascii="宋体" w:hAnsi="宋体" w:eastAsia="宋体" w:cs="宋体"/>
          <w:snapToGrid w:val="0"/>
          <w:color w:val="auto"/>
          <w:kern w:val="0"/>
          <w:szCs w:val="24"/>
          <w:highlight w:val="none"/>
          <w:u w:val="single"/>
        </w:rPr>
        <w:t xml:space="preserve">                                   </w:t>
      </w:r>
      <w:r>
        <w:rPr>
          <w:rFonts w:hint="eastAsia" w:ascii="宋体" w:hAnsi="宋体" w:eastAsia="宋体" w:cs="宋体"/>
          <w:snapToGrid w:val="0"/>
          <w:color w:val="auto"/>
          <w:kern w:val="0"/>
          <w:szCs w:val="24"/>
          <w:highlight w:val="none"/>
        </w:rPr>
        <w:t>（盖单位章）</w:t>
      </w:r>
    </w:p>
    <w:p w14:paraId="273CB0B0">
      <w:pPr>
        <w:pStyle w:val="17"/>
        <w:wordWrap w:val="0"/>
        <w:adjustRightInd w:val="0"/>
        <w:snapToGrid w:val="0"/>
        <w:spacing w:line="420" w:lineRule="exact"/>
        <w:ind w:firstLine="480" w:firstLineChars="200"/>
        <w:jc w:val="right"/>
        <w:rPr>
          <w:rFonts w:hint="eastAsia" w:ascii="宋体" w:hAnsi="宋体" w:eastAsia="宋体" w:cs="宋体"/>
          <w:snapToGrid w:val="0"/>
          <w:color w:val="auto"/>
          <w:kern w:val="0"/>
          <w:szCs w:val="24"/>
          <w:highlight w:val="none"/>
        </w:rPr>
      </w:pPr>
    </w:p>
    <w:p w14:paraId="0E7A76ED">
      <w:pPr>
        <w:pStyle w:val="17"/>
        <w:wordWrap w:val="0"/>
        <w:adjustRightInd w:val="0"/>
        <w:snapToGrid w:val="0"/>
        <w:spacing w:line="420" w:lineRule="exact"/>
        <w:ind w:firstLine="480" w:firstLineChars="200"/>
        <w:jc w:val="right"/>
        <w:rPr>
          <w:rFonts w:hint="eastAsia" w:ascii="宋体" w:hAnsi="宋体" w:eastAsia="宋体" w:cs="宋体"/>
          <w:snapToGrid w:val="0"/>
          <w:color w:val="auto"/>
          <w:kern w:val="0"/>
          <w:szCs w:val="24"/>
          <w:highlight w:val="none"/>
        </w:rPr>
      </w:pPr>
    </w:p>
    <w:p w14:paraId="179E45B4">
      <w:pPr>
        <w:pStyle w:val="17"/>
        <w:wordWrap w:val="0"/>
        <w:adjustRightInd w:val="0"/>
        <w:snapToGrid w:val="0"/>
        <w:spacing w:line="420" w:lineRule="exact"/>
        <w:ind w:firstLine="480" w:firstLineChars="200"/>
        <w:jc w:val="right"/>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法定代表人或其委托代理人：</w:t>
      </w:r>
      <w:r>
        <w:rPr>
          <w:rFonts w:hint="eastAsia" w:ascii="宋体" w:hAnsi="宋体" w:eastAsia="宋体" w:cs="宋体"/>
          <w:snapToGrid w:val="0"/>
          <w:color w:val="auto"/>
          <w:kern w:val="0"/>
          <w:szCs w:val="24"/>
          <w:highlight w:val="none"/>
          <w:u w:val="single"/>
        </w:rPr>
        <w:t xml:space="preserve">               </w:t>
      </w:r>
      <w:r>
        <w:rPr>
          <w:rFonts w:hint="eastAsia" w:ascii="宋体" w:hAnsi="宋体" w:eastAsia="宋体" w:cs="宋体"/>
          <w:snapToGrid w:val="0"/>
          <w:color w:val="auto"/>
          <w:kern w:val="0"/>
          <w:szCs w:val="24"/>
          <w:highlight w:val="none"/>
        </w:rPr>
        <w:t>（签字或盖章）</w:t>
      </w:r>
    </w:p>
    <w:p w14:paraId="02BB82C7">
      <w:pPr>
        <w:pStyle w:val="17"/>
        <w:wordWrap w:val="0"/>
        <w:adjustRightInd w:val="0"/>
        <w:snapToGrid w:val="0"/>
        <w:spacing w:line="420" w:lineRule="exact"/>
        <w:ind w:firstLine="480" w:firstLineChars="200"/>
        <w:rPr>
          <w:rFonts w:hint="eastAsia" w:ascii="宋体" w:hAnsi="宋体" w:eastAsia="宋体" w:cs="宋体"/>
          <w:snapToGrid w:val="0"/>
          <w:color w:val="auto"/>
          <w:kern w:val="0"/>
          <w:szCs w:val="24"/>
          <w:highlight w:val="none"/>
        </w:rPr>
      </w:pPr>
    </w:p>
    <w:p w14:paraId="6AF098DC">
      <w:pPr>
        <w:pStyle w:val="17"/>
        <w:wordWrap w:val="0"/>
        <w:adjustRightInd w:val="0"/>
        <w:snapToGrid w:val="0"/>
        <w:spacing w:line="420" w:lineRule="exact"/>
        <w:ind w:firstLine="480" w:firstLineChars="200"/>
        <w:jc w:val="center"/>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 xml:space="preserve">                      </w:t>
      </w:r>
      <w:r>
        <w:rPr>
          <w:rFonts w:hint="eastAsia" w:ascii="宋体" w:hAnsi="宋体" w:eastAsia="宋体" w:cs="宋体"/>
          <w:snapToGrid w:val="0"/>
          <w:color w:val="auto"/>
          <w:kern w:val="0"/>
          <w:szCs w:val="24"/>
          <w:highlight w:val="none"/>
          <w:u w:val="single"/>
        </w:rPr>
        <w:t xml:space="preserve">        </w:t>
      </w:r>
      <w:r>
        <w:rPr>
          <w:rFonts w:hint="eastAsia" w:ascii="宋体" w:hAnsi="宋体" w:eastAsia="宋体" w:cs="宋体"/>
          <w:snapToGrid w:val="0"/>
          <w:color w:val="auto"/>
          <w:kern w:val="0"/>
          <w:szCs w:val="24"/>
          <w:highlight w:val="none"/>
        </w:rPr>
        <w:t>年</w:t>
      </w:r>
      <w:r>
        <w:rPr>
          <w:rFonts w:hint="eastAsia" w:ascii="宋体" w:hAnsi="宋体" w:eastAsia="宋体" w:cs="宋体"/>
          <w:snapToGrid w:val="0"/>
          <w:color w:val="auto"/>
          <w:kern w:val="0"/>
          <w:szCs w:val="24"/>
          <w:highlight w:val="none"/>
          <w:u w:val="single"/>
        </w:rPr>
        <w:t xml:space="preserve">    </w:t>
      </w:r>
      <w:r>
        <w:rPr>
          <w:rFonts w:hint="eastAsia" w:ascii="宋体" w:hAnsi="宋体" w:eastAsia="宋体" w:cs="宋体"/>
          <w:snapToGrid w:val="0"/>
          <w:color w:val="auto"/>
          <w:kern w:val="0"/>
          <w:szCs w:val="24"/>
          <w:highlight w:val="none"/>
        </w:rPr>
        <w:t>月</w:t>
      </w:r>
      <w:r>
        <w:rPr>
          <w:rFonts w:hint="eastAsia" w:ascii="宋体" w:hAnsi="宋体" w:eastAsia="宋体" w:cs="宋体"/>
          <w:snapToGrid w:val="0"/>
          <w:color w:val="auto"/>
          <w:kern w:val="0"/>
          <w:szCs w:val="24"/>
          <w:highlight w:val="none"/>
          <w:u w:val="single"/>
        </w:rPr>
        <w:t xml:space="preserve">    </w:t>
      </w:r>
      <w:r>
        <w:rPr>
          <w:rFonts w:hint="eastAsia" w:ascii="宋体" w:hAnsi="宋体" w:eastAsia="宋体" w:cs="宋体"/>
          <w:snapToGrid w:val="0"/>
          <w:color w:val="auto"/>
          <w:kern w:val="0"/>
          <w:szCs w:val="24"/>
          <w:highlight w:val="none"/>
        </w:rPr>
        <w:t>日</w:t>
      </w:r>
    </w:p>
    <w:p w14:paraId="39F77F4D">
      <w:pPr>
        <w:wordWrap w:val="0"/>
        <w:adjustRightInd w:val="0"/>
        <w:snapToGrid w:val="0"/>
        <w:spacing w:line="420" w:lineRule="exact"/>
        <w:jc w:val="left"/>
        <w:outlineLvl w:val="2"/>
        <w:rPr>
          <w:rFonts w:hint="eastAsia" w:ascii="宋体" w:hAnsi="宋体" w:eastAsia="宋体" w:cs="宋体"/>
          <w:b/>
          <w:snapToGrid w:val="0"/>
          <w:color w:val="auto"/>
          <w:kern w:val="0"/>
          <w:highlight w:val="none"/>
        </w:rPr>
        <w:sectPr>
          <w:endnotePr>
            <w:numFmt w:val="decimal"/>
          </w:endnotePr>
          <w:pgSz w:w="11906" w:h="16838"/>
          <w:pgMar w:top="1134" w:right="1134" w:bottom="1134" w:left="1134" w:header="567" w:footer="567" w:gutter="0"/>
          <w:pgBorders>
            <w:top w:val="none" w:sz="0" w:space="0"/>
            <w:left w:val="none" w:sz="0" w:space="0"/>
            <w:bottom w:val="none" w:sz="0" w:space="0"/>
            <w:right w:val="none" w:sz="0" w:space="0"/>
          </w:pgBorders>
          <w:cols w:space="720" w:num="1"/>
          <w:docGrid w:linePitch="327" w:charSpace="0"/>
        </w:sectPr>
      </w:pPr>
    </w:p>
    <w:p w14:paraId="0D7DEAC4">
      <w:pPr>
        <w:pStyle w:val="4"/>
        <w:bidi w:val="0"/>
        <w:ind w:firstLine="964"/>
        <w:rPr>
          <w:rFonts w:hint="eastAsia" w:ascii="宋体" w:hAnsi="宋体" w:eastAsia="宋体" w:cs="宋体"/>
          <w:color w:val="auto"/>
        </w:rPr>
      </w:pPr>
      <w:bookmarkStart w:id="307" w:name="_Toc1822"/>
      <w:bookmarkStart w:id="308" w:name="_Toc1689"/>
      <w:r>
        <w:rPr>
          <w:rFonts w:hint="eastAsia" w:ascii="宋体" w:hAnsi="宋体" w:eastAsia="宋体" w:cs="宋体"/>
          <w:color w:val="auto"/>
        </w:rPr>
        <w:t>格式四 授权委托书</w:t>
      </w:r>
      <w:bookmarkEnd w:id="307"/>
      <w:bookmarkEnd w:id="308"/>
    </w:p>
    <w:p w14:paraId="1A4B32DD">
      <w:pPr>
        <w:wordWrap w:val="0"/>
        <w:adjustRightInd w:val="0"/>
        <w:snapToGrid w:val="0"/>
        <w:spacing w:line="440" w:lineRule="exact"/>
        <w:outlineLvl w:val="2"/>
        <w:rPr>
          <w:rFonts w:hint="eastAsia" w:ascii="宋体" w:hAnsi="宋体" w:eastAsia="宋体" w:cs="宋体"/>
          <w:b/>
          <w:bCs/>
          <w:snapToGrid w:val="0"/>
          <w:color w:val="auto"/>
          <w:kern w:val="0"/>
          <w:szCs w:val="24"/>
          <w:highlight w:val="none"/>
        </w:rPr>
      </w:pPr>
    </w:p>
    <w:p w14:paraId="47660150">
      <w:pPr>
        <w:wordWrap w:val="0"/>
        <w:adjustRightInd w:val="0"/>
        <w:snapToGrid w:val="0"/>
        <w:spacing w:before="260" w:after="260" w:line="440" w:lineRule="exact"/>
        <w:jc w:val="center"/>
        <w:rPr>
          <w:rFonts w:hint="eastAsia" w:ascii="宋体" w:hAnsi="宋体" w:eastAsia="宋体" w:cs="宋体"/>
          <w:b/>
          <w:snapToGrid w:val="0"/>
          <w:color w:val="auto"/>
          <w:kern w:val="0"/>
          <w:highlight w:val="none"/>
        </w:rPr>
      </w:pPr>
      <w:r>
        <w:rPr>
          <w:rFonts w:hint="eastAsia" w:ascii="宋体" w:hAnsi="宋体" w:eastAsia="宋体" w:cs="宋体"/>
          <w:b/>
          <w:snapToGrid w:val="0"/>
          <w:color w:val="auto"/>
          <w:kern w:val="0"/>
          <w:sz w:val="30"/>
          <w:highlight w:val="none"/>
        </w:rPr>
        <w:t>授权委托书</w:t>
      </w:r>
    </w:p>
    <w:p w14:paraId="793F2DE8">
      <w:pPr>
        <w:wordWrap w:val="0"/>
        <w:adjustRightInd w:val="0"/>
        <w:snapToGrid w:val="0"/>
        <w:spacing w:line="440" w:lineRule="exact"/>
        <w:rPr>
          <w:rFonts w:hint="eastAsia" w:ascii="宋体" w:hAnsi="宋体" w:eastAsia="宋体" w:cs="宋体"/>
          <w:snapToGrid w:val="0"/>
          <w:color w:val="auto"/>
          <w:kern w:val="0"/>
          <w:szCs w:val="28"/>
          <w:highlight w:val="none"/>
        </w:rPr>
      </w:pPr>
    </w:p>
    <w:p w14:paraId="07E22506">
      <w:pPr>
        <w:wordWrap w:val="0"/>
        <w:adjustRightInd w:val="0"/>
        <w:snapToGrid w:val="0"/>
        <w:spacing w:line="440" w:lineRule="exact"/>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xml:space="preserve">    本人</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（姓名）系</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（投标人名称）的法定代表人，现委托</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（姓名）为我方代理人。代理人根据授权，以我方名义签署、澄清、说明、补正、递交、撤回、修改</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（项目名称）投标文件、签订合同和处理有关事宜，其法律后果由我方承担。</w:t>
      </w:r>
    </w:p>
    <w:p w14:paraId="172BCBCB">
      <w:pPr>
        <w:wordWrap w:val="0"/>
        <w:adjustRightInd w:val="0"/>
        <w:snapToGrid w:val="0"/>
        <w:spacing w:line="440" w:lineRule="exact"/>
        <w:ind w:firstLine="480" w:firstLineChars="20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委托期限：至</w:t>
      </w:r>
      <w:r>
        <w:rPr>
          <w:rFonts w:hint="eastAsia" w:ascii="宋体" w:hAnsi="宋体" w:eastAsia="宋体" w:cs="宋体"/>
          <w:snapToGrid w:val="0"/>
          <w:color w:val="auto"/>
          <w:kern w:val="0"/>
          <w:szCs w:val="21"/>
          <w:highlight w:val="none"/>
          <w:u w:val="single"/>
        </w:rPr>
        <w:t xml:space="preserve">     年   月   日</w:t>
      </w:r>
      <w:r>
        <w:rPr>
          <w:rFonts w:hint="eastAsia" w:ascii="宋体" w:hAnsi="宋体" w:eastAsia="宋体" w:cs="宋体"/>
          <w:i/>
          <w:iCs/>
          <w:snapToGrid w:val="0"/>
          <w:color w:val="auto"/>
          <w:kern w:val="0"/>
          <w:szCs w:val="21"/>
          <w:highlight w:val="none"/>
          <w:u w:val="single"/>
        </w:rPr>
        <w:t>（不得短于招标文件规定的投标有效期）</w:t>
      </w:r>
      <w:r>
        <w:rPr>
          <w:rFonts w:hint="eastAsia" w:ascii="宋体" w:hAnsi="宋体" w:eastAsia="宋体" w:cs="宋体"/>
          <w:snapToGrid w:val="0"/>
          <w:color w:val="auto"/>
          <w:kern w:val="0"/>
          <w:szCs w:val="21"/>
          <w:highlight w:val="none"/>
        </w:rPr>
        <w:t xml:space="preserve"> 。</w:t>
      </w:r>
    </w:p>
    <w:p w14:paraId="2DC64069">
      <w:pPr>
        <w:wordWrap w:val="0"/>
        <w:adjustRightInd w:val="0"/>
        <w:snapToGrid w:val="0"/>
        <w:spacing w:line="440" w:lineRule="exact"/>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xml:space="preserve">    代理人无转委托权。</w:t>
      </w:r>
    </w:p>
    <w:p w14:paraId="36B11894">
      <w:pPr>
        <w:wordWrap w:val="0"/>
        <w:adjustRightInd w:val="0"/>
        <w:snapToGrid w:val="0"/>
        <w:spacing w:line="440" w:lineRule="exact"/>
        <w:ind w:firstLine="480" w:firstLineChars="200"/>
        <w:rPr>
          <w:rFonts w:hint="eastAsia" w:ascii="宋体" w:hAnsi="宋体" w:eastAsia="宋体" w:cs="宋体"/>
          <w:snapToGrid w:val="0"/>
          <w:color w:val="auto"/>
          <w:kern w:val="0"/>
          <w:szCs w:val="21"/>
          <w:highlight w:val="none"/>
        </w:rPr>
      </w:pPr>
    </w:p>
    <w:p w14:paraId="6BB4D931">
      <w:pPr>
        <w:wordWrap w:val="0"/>
        <w:adjustRightInd w:val="0"/>
        <w:snapToGrid w:val="0"/>
        <w:spacing w:line="440" w:lineRule="exact"/>
        <w:ind w:firstLine="480" w:firstLineChars="200"/>
        <w:rPr>
          <w:rFonts w:hint="eastAsia" w:ascii="宋体" w:hAnsi="宋体" w:eastAsia="宋体" w:cs="宋体"/>
          <w:snapToGrid w:val="0"/>
          <w:color w:val="auto"/>
          <w:kern w:val="0"/>
          <w:szCs w:val="21"/>
          <w:highlight w:val="none"/>
        </w:rPr>
      </w:pPr>
    </w:p>
    <w:p w14:paraId="56114A8D">
      <w:pPr>
        <w:wordWrap w:val="0"/>
        <w:adjustRightInd w:val="0"/>
        <w:snapToGrid w:val="0"/>
        <w:spacing w:line="440" w:lineRule="exact"/>
        <w:ind w:firstLine="480" w:firstLineChars="20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投  标  人：</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（盖单位章）</w:t>
      </w:r>
    </w:p>
    <w:p w14:paraId="255E44F3">
      <w:pPr>
        <w:wordWrap w:val="0"/>
        <w:adjustRightInd w:val="0"/>
        <w:snapToGrid w:val="0"/>
        <w:spacing w:line="440" w:lineRule="exact"/>
        <w:ind w:firstLine="480" w:firstLineChars="20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w:t>
      </w:r>
    </w:p>
    <w:p w14:paraId="1C5A3FD3">
      <w:pPr>
        <w:wordWrap w:val="0"/>
        <w:adjustRightInd w:val="0"/>
        <w:snapToGrid w:val="0"/>
        <w:spacing w:line="440" w:lineRule="exact"/>
        <w:ind w:firstLine="480" w:firstLineChars="200"/>
        <w:rPr>
          <w:rFonts w:hint="eastAsia" w:ascii="宋体" w:hAnsi="宋体" w:eastAsia="宋体" w:cs="宋体"/>
          <w:snapToGrid w:val="0"/>
          <w:color w:val="auto"/>
          <w:kern w:val="0"/>
          <w:szCs w:val="21"/>
          <w:highlight w:val="none"/>
        </w:rPr>
      </w:pPr>
    </w:p>
    <w:p w14:paraId="49B8A0F4">
      <w:pPr>
        <w:wordWrap w:val="0"/>
        <w:adjustRightInd w:val="0"/>
        <w:snapToGrid w:val="0"/>
        <w:spacing w:line="440" w:lineRule="exact"/>
        <w:ind w:firstLine="480" w:firstLineChars="20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法定代表人：</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（签字或盖章）</w:t>
      </w:r>
    </w:p>
    <w:p w14:paraId="69A73393">
      <w:pPr>
        <w:wordWrap w:val="0"/>
        <w:adjustRightInd w:val="0"/>
        <w:snapToGrid w:val="0"/>
        <w:spacing w:line="440" w:lineRule="exact"/>
        <w:ind w:firstLine="480" w:firstLineChars="200"/>
        <w:rPr>
          <w:rFonts w:hint="eastAsia" w:ascii="宋体" w:hAnsi="宋体" w:eastAsia="宋体" w:cs="宋体"/>
          <w:snapToGrid w:val="0"/>
          <w:color w:val="auto"/>
          <w:kern w:val="0"/>
          <w:szCs w:val="21"/>
          <w:highlight w:val="none"/>
        </w:rPr>
      </w:pPr>
    </w:p>
    <w:p w14:paraId="36316A00">
      <w:pPr>
        <w:wordWrap w:val="0"/>
        <w:adjustRightInd w:val="0"/>
        <w:snapToGrid w:val="0"/>
        <w:spacing w:line="440" w:lineRule="exact"/>
        <w:ind w:firstLine="480" w:firstLineChars="20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xml:space="preserve">　　　　　　　　　　　　　　　　　　　　　　　　　　　　　　　　　　　　 　　　　　　　　　　 </w:t>
      </w:r>
      <w:r>
        <w:rPr>
          <w:rFonts w:hint="eastAsia" w:ascii="宋体" w:hAnsi="宋体" w:eastAsia="宋体" w:cs="宋体"/>
          <w:snapToGrid w:val="0"/>
          <w:color w:val="auto"/>
          <w:kern w:val="0"/>
          <w:szCs w:val="21"/>
          <w:highlight w:val="none"/>
          <w:lang w:val="en-US" w:eastAsia="zh-CN"/>
        </w:rPr>
        <w:t xml:space="preserve">       </w:t>
      </w:r>
      <w:r>
        <w:rPr>
          <w:rFonts w:hint="eastAsia" w:ascii="宋体" w:hAnsi="宋体" w:eastAsia="宋体" w:cs="宋体"/>
          <w:snapToGrid w:val="0"/>
          <w:color w:val="auto"/>
          <w:kern w:val="0"/>
          <w:szCs w:val="21"/>
          <w:highlight w:val="none"/>
        </w:rPr>
        <w:t>委托代理人：</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（签字或盖章）</w:t>
      </w:r>
    </w:p>
    <w:p w14:paraId="16DC21C6">
      <w:pPr>
        <w:wordWrap w:val="0"/>
        <w:adjustRightInd w:val="0"/>
        <w:snapToGrid w:val="0"/>
        <w:spacing w:line="440" w:lineRule="exact"/>
        <w:ind w:firstLine="480" w:firstLineChars="20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w:t>
      </w:r>
    </w:p>
    <w:p w14:paraId="1FBEA013">
      <w:pPr>
        <w:wordWrap w:val="0"/>
        <w:adjustRightInd w:val="0"/>
        <w:snapToGrid w:val="0"/>
        <w:spacing w:line="440" w:lineRule="exact"/>
        <w:ind w:firstLine="480" w:firstLineChars="20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年</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月</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日</w:t>
      </w:r>
    </w:p>
    <w:p w14:paraId="40EAFD4F">
      <w:pPr>
        <w:wordWrap w:val="0"/>
        <w:adjustRightInd w:val="0"/>
        <w:snapToGrid w:val="0"/>
        <w:spacing w:line="440" w:lineRule="exact"/>
        <w:ind w:firstLine="480" w:firstLineChars="200"/>
        <w:rPr>
          <w:rFonts w:hint="eastAsia" w:ascii="宋体" w:hAnsi="宋体" w:eastAsia="宋体" w:cs="宋体"/>
          <w:snapToGrid w:val="0"/>
          <w:color w:val="auto"/>
          <w:kern w:val="0"/>
          <w:szCs w:val="21"/>
          <w:highlight w:val="none"/>
        </w:rPr>
      </w:pPr>
    </w:p>
    <w:p w14:paraId="54457C0A">
      <w:pPr>
        <w:wordWrap w:val="0"/>
        <w:adjustRightInd w:val="0"/>
        <w:snapToGrid w:val="0"/>
        <w:spacing w:line="440" w:lineRule="exact"/>
        <w:ind w:firstLine="480" w:firstLineChars="200"/>
        <w:rPr>
          <w:rFonts w:hint="eastAsia" w:ascii="宋体" w:hAnsi="宋体" w:eastAsia="宋体" w:cs="宋体"/>
          <w:snapToGrid w:val="0"/>
          <w:color w:val="auto"/>
          <w:kern w:val="0"/>
          <w:szCs w:val="21"/>
          <w:highlight w:val="none"/>
        </w:rPr>
      </w:pPr>
    </w:p>
    <w:p w14:paraId="5045367D">
      <w:pPr>
        <w:wordWrap w:val="0"/>
        <w:adjustRightInd w:val="0"/>
        <w:snapToGrid w:val="0"/>
        <w:ind w:firstLine="6440" w:firstLineChars="2300"/>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 w:val="28"/>
          <w:szCs w:val="28"/>
          <w:highlight w:val="none"/>
          <w:u w:val="single"/>
        </w:rPr>
        <mc:AlternateContent>
          <mc:Choice Requires="wps">
            <w:drawing>
              <wp:anchor distT="0" distB="0" distL="114300" distR="114300" simplePos="0" relativeHeight="251661312" behindDoc="0" locked="0" layoutInCell="1" allowOverlap="1">
                <wp:simplePos x="0" y="0"/>
                <wp:positionH relativeFrom="column">
                  <wp:posOffset>1466850</wp:posOffset>
                </wp:positionH>
                <wp:positionV relativeFrom="paragraph">
                  <wp:posOffset>33020</wp:posOffset>
                </wp:positionV>
                <wp:extent cx="3190875" cy="2202815"/>
                <wp:effectExtent l="4445" t="4445" r="5080" b="21590"/>
                <wp:wrapNone/>
                <wp:docPr id="20" name="自选图形 19"/>
                <wp:cNvGraphicFramePr/>
                <a:graphic xmlns:a="http://schemas.openxmlformats.org/drawingml/2006/main">
                  <a:graphicData uri="http://schemas.microsoft.com/office/word/2010/wordprocessingShape">
                    <wps:wsp>
                      <wps:cNvSpPr/>
                      <wps:spPr>
                        <a:xfrm>
                          <a:off x="0" y="0"/>
                          <a:ext cx="3190875" cy="220281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7B94B07E">
                            <w:pPr>
                              <w:jc w:val="both"/>
                              <w:rPr>
                                <w:rFonts w:hint="eastAsia"/>
                                <w:szCs w:val="21"/>
                              </w:rPr>
                            </w:pPr>
                          </w:p>
                          <w:p w14:paraId="734E4B05">
                            <w:pPr>
                              <w:jc w:val="center"/>
                              <w:rPr>
                                <w:szCs w:val="21"/>
                              </w:rPr>
                            </w:pPr>
                            <w:r>
                              <w:rPr>
                                <w:rFonts w:hint="eastAsia"/>
                                <w:szCs w:val="21"/>
                              </w:rPr>
                              <w:t>委托代理人身份证</w:t>
                            </w:r>
                            <w:r>
                              <w:rPr>
                                <w:rFonts w:hint="eastAsia"/>
                                <w:szCs w:val="21"/>
                                <w:lang w:val="en-US" w:eastAsia="zh-CN"/>
                              </w:rPr>
                              <w:t>彩色扫描件</w:t>
                            </w:r>
                            <w:r>
                              <w:rPr>
                                <w:rFonts w:hint="eastAsia"/>
                                <w:szCs w:val="21"/>
                              </w:rPr>
                              <w:t>正、反面</w:t>
                            </w:r>
                          </w:p>
                        </w:txbxContent>
                      </wps:txbx>
                      <wps:bodyPr wrap="square" upright="1"/>
                    </wps:wsp>
                  </a:graphicData>
                </a:graphic>
              </wp:anchor>
            </w:drawing>
          </mc:Choice>
          <mc:Fallback>
            <w:pict>
              <v:shape id="自选图形 19" o:spid="_x0000_s1026" o:spt="176" type="#_x0000_t176" style="position:absolute;left:0pt;margin-left:115.5pt;margin-top:2.6pt;height:173.45pt;width:251.25pt;z-index:251661312;mso-width-relative:page;mso-height-relative:page;" fillcolor="#FFFFFF" filled="t" stroked="t" coordsize="21600,21600" o:gfxdata="UEsDBAoAAAAAAIdO4kAAAAAAAAAAAAAAAAAEAAAAZHJzL1BLAwQUAAAACACHTuJAbdUEotgAAAAJ&#10;AQAADwAAAGRycy9kb3ducmV2LnhtbE2PQU+EMBSE7yb+h+aZeHNLadhdWR4bo9GTF3ETr4W+BSJt&#10;CS0s+uutJz1OZjLzTXFczcAWmnzvLILYJMDINk73tkU4vT/f7YH5oKxWg7OE8EUejuX1VaFy7S72&#10;jZYqtCyWWJ8rhC6EMefcNx0Z5TduJBu9s5uMClFOLdeTusRyM/A0SbbcqN7GhU6N9NhR81nNBmF9&#10;/a7v5xfRVKHbb3cfcnl6OHHE2xuRHIAFWsNfGH7xIzqUkal2s9WeDQipFPFLQMhSYNHfSZkBqxFk&#10;lgrgZcH/Pyh/AFBLAwQUAAAACACHTuJAI44BzCUCAABVBAAADgAAAGRycy9lMm9Eb2MueG1srVRL&#10;jhMxEN0jcQfLe9IfFEha6YzQhLBBMNLAASpud9qSf9hOurNjhzgDO5bcAW4zEtyCsjtkPrDIAi/c&#10;Zbv8qt6rci8uBiXJnjsvjK5pMckp4ZqZRuhtTd+/Wz+ZUeID6Aak0bymB+7pxfLxo0VvK16azsiG&#10;O4Ig2le9rWkXgq2yzLOOK/ATY7nGw9Y4BQGXbps1DnpEVzIr8/xZ1hvXWGcY9x53V+MhPSK6cwBN&#10;2wrGV4btFNdhRHVcQkBKvhPW02XKtm05C2/b1vNAZE2RaUgzBkF7E+dsuYBq68B2gh1TgHNSeMBJ&#10;gdAY9AS1ggBk58RfUEowZ7xpw4QZlY1EkiLIosgfaHPdgeWJC0rt7Ul0//9g2Zv9lSOiqWmJkmhQ&#10;WPGfn779+vj55suPm+9fSTGPGvXWV+h6ba/cceXRjISH1qn4RSpkSLoeTrryIRCGm0+LeT57PqWE&#10;4VlZ5uWsmEbU7Pa6dT684kaRaNS0laa/7MCFFzJwpyHwq7Fjksiwf+3DeP/PvZiCN1I0ayFlWrjt&#10;5lI6sges/DqNY8h7blKTvqbzaRmzA2znFtsITWVREq+3Kd69G/4ucJ7Gv4BjYivw3ZhAQohuUCmB&#10;jJLVcWhe6oaEg0XVNb42GpNRvKFEcnyc0UqeAYQ8xxMFlRp1jeUaCxStMGwGhInmxjQHrHePDY/0&#10;PuzAYcyddWLboepFIhL9sNtSeY4vI7bz3XUKcfs3WP4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bdUEotgAAAAJAQAADwAAAAAAAAABACAAAAAiAAAAZHJzL2Rvd25yZXYueG1sUEsBAhQAFAAAAAgA&#10;h07iQCOOAcwlAgAAVQQAAA4AAAAAAAAAAQAgAAAAJwEAAGRycy9lMm9Eb2MueG1sUEsFBgAAAAAG&#10;AAYAWQEAAL4FAAAAAA==&#10;">
                <v:fill on="t" focussize="0,0"/>
                <v:stroke color="#000000" joinstyle="miter"/>
                <v:imagedata o:title=""/>
                <o:lock v:ext="edit" aspectratio="f"/>
                <v:textbox>
                  <w:txbxContent>
                    <w:p w14:paraId="7B94B07E">
                      <w:pPr>
                        <w:jc w:val="both"/>
                        <w:rPr>
                          <w:rFonts w:hint="eastAsia"/>
                          <w:szCs w:val="21"/>
                        </w:rPr>
                      </w:pPr>
                    </w:p>
                    <w:p w14:paraId="734E4B05">
                      <w:pPr>
                        <w:jc w:val="center"/>
                        <w:rPr>
                          <w:szCs w:val="21"/>
                        </w:rPr>
                      </w:pPr>
                      <w:r>
                        <w:rPr>
                          <w:rFonts w:hint="eastAsia"/>
                          <w:szCs w:val="21"/>
                        </w:rPr>
                        <w:t>委托代理人身份证</w:t>
                      </w:r>
                      <w:r>
                        <w:rPr>
                          <w:rFonts w:hint="eastAsia"/>
                          <w:szCs w:val="21"/>
                          <w:lang w:val="en-US" w:eastAsia="zh-CN"/>
                        </w:rPr>
                        <w:t>彩色扫描件</w:t>
                      </w:r>
                      <w:r>
                        <w:rPr>
                          <w:rFonts w:hint="eastAsia"/>
                          <w:szCs w:val="21"/>
                        </w:rPr>
                        <w:t>正、反面</w:t>
                      </w:r>
                    </w:p>
                  </w:txbxContent>
                </v:textbox>
              </v:shape>
            </w:pict>
          </mc:Fallback>
        </mc:AlternateContent>
      </w:r>
    </w:p>
    <w:p w14:paraId="146ED89D">
      <w:pPr>
        <w:pStyle w:val="11"/>
        <w:wordWrap w:val="0"/>
        <w:adjustRightInd w:val="0"/>
        <w:snapToGrid w:val="0"/>
        <w:rPr>
          <w:rFonts w:hint="eastAsia" w:ascii="宋体" w:hAnsi="宋体" w:eastAsia="宋体" w:cs="宋体"/>
          <w:snapToGrid w:val="0"/>
          <w:color w:val="auto"/>
          <w:kern w:val="0"/>
          <w:szCs w:val="24"/>
          <w:highlight w:val="none"/>
        </w:rPr>
      </w:pPr>
    </w:p>
    <w:p w14:paraId="13997643">
      <w:pPr>
        <w:pStyle w:val="4"/>
        <w:keepNext w:val="0"/>
        <w:keepLines w:val="0"/>
        <w:wordWrap w:val="0"/>
        <w:adjustRightInd w:val="0"/>
        <w:snapToGrid w:val="0"/>
        <w:rPr>
          <w:rFonts w:hint="eastAsia" w:ascii="宋体" w:hAnsi="宋体" w:eastAsia="宋体" w:cs="宋体"/>
          <w:snapToGrid w:val="0"/>
          <w:color w:val="auto"/>
          <w:kern w:val="0"/>
          <w:highlight w:val="none"/>
        </w:rPr>
      </w:pPr>
    </w:p>
    <w:p w14:paraId="05D406CA">
      <w:pPr>
        <w:pStyle w:val="5"/>
        <w:widowControl w:val="0"/>
        <w:wordWrap w:val="0"/>
        <w:adjustRightInd w:val="0"/>
        <w:snapToGrid w:val="0"/>
        <w:rPr>
          <w:rFonts w:hint="eastAsia" w:ascii="宋体" w:hAnsi="宋体" w:eastAsia="宋体" w:cs="宋体"/>
          <w:snapToGrid w:val="0"/>
          <w:color w:val="auto"/>
          <w:highlight w:val="none"/>
        </w:rPr>
        <w:sectPr>
          <w:endnotePr>
            <w:numFmt w:val="decimal"/>
          </w:endnotePr>
          <w:pgSz w:w="11906" w:h="16838"/>
          <w:pgMar w:top="1134" w:right="1134" w:bottom="1134" w:left="1134" w:header="567" w:footer="567" w:gutter="0"/>
          <w:pgBorders>
            <w:top w:val="none" w:sz="0" w:space="0"/>
            <w:left w:val="none" w:sz="0" w:space="0"/>
            <w:bottom w:val="none" w:sz="0" w:space="0"/>
            <w:right w:val="none" w:sz="0" w:space="0"/>
          </w:pgBorders>
          <w:cols w:space="720" w:num="1"/>
          <w:docGrid w:linePitch="327" w:charSpace="0"/>
        </w:sectPr>
      </w:pPr>
    </w:p>
    <w:p w14:paraId="4CA478D1">
      <w:pPr>
        <w:pStyle w:val="4"/>
        <w:bidi w:val="0"/>
        <w:ind w:firstLine="964"/>
        <w:rPr>
          <w:rFonts w:hint="eastAsia" w:ascii="宋体" w:hAnsi="宋体" w:eastAsia="宋体" w:cs="宋体"/>
          <w:color w:val="auto"/>
        </w:rPr>
      </w:pPr>
      <w:bookmarkStart w:id="309" w:name="_Toc21377"/>
      <w:bookmarkStart w:id="310" w:name="_Toc26408"/>
      <w:r>
        <w:rPr>
          <w:rFonts w:hint="eastAsia" w:ascii="宋体" w:hAnsi="宋体" w:eastAsia="宋体" w:cs="宋体"/>
          <w:color w:val="auto"/>
        </w:rPr>
        <w:t>格式五 法定代表人身份证明</w:t>
      </w:r>
      <w:bookmarkEnd w:id="309"/>
      <w:bookmarkEnd w:id="310"/>
    </w:p>
    <w:p w14:paraId="128111AD">
      <w:pPr>
        <w:wordWrap w:val="0"/>
        <w:adjustRightInd w:val="0"/>
        <w:snapToGrid w:val="0"/>
        <w:spacing w:line="440" w:lineRule="exact"/>
        <w:outlineLvl w:val="2"/>
        <w:rPr>
          <w:rFonts w:hint="eastAsia" w:ascii="宋体" w:hAnsi="宋体" w:eastAsia="宋体" w:cs="宋体"/>
          <w:b/>
          <w:snapToGrid w:val="0"/>
          <w:color w:val="auto"/>
          <w:kern w:val="0"/>
          <w:highlight w:val="none"/>
        </w:rPr>
      </w:pPr>
    </w:p>
    <w:p w14:paraId="31B9C975">
      <w:pPr>
        <w:wordWrap w:val="0"/>
        <w:adjustRightInd w:val="0"/>
        <w:snapToGrid w:val="0"/>
        <w:spacing w:before="260" w:after="260" w:line="440" w:lineRule="exact"/>
        <w:jc w:val="center"/>
        <w:rPr>
          <w:rFonts w:hint="eastAsia" w:ascii="宋体" w:hAnsi="宋体" w:eastAsia="宋体" w:cs="宋体"/>
          <w:b/>
          <w:snapToGrid w:val="0"/>
          <w:color w:val="auto"/>
          <w:kern w:val="0"/>
          <w:highlight w:val="none"/>
        </w:rPr>
      </w:pPr>
      <w:r>
        <w:rPr>
          <w:rFonts w:hint="eastAsia" w:ascii="宋体" w:hAnsi="宋体" w:eastAsia="宋体" w:cs="宋体"/>
          <w:b/>
          <w:snapToGrid w:val="0"/>
          <w:color w:val="auto"/>
          <w:kern w:val="0"/>
          <w:sz w:val="30"/>
          <w:highlight w:val="none"/>
        </w:rPr>
        <w:t>法定代表人身份证明</w:t>
      </w:r>
    </w:p>
    <w:p w14:paraId="6BB54858">
      <w:pPr>
        <w:wordWrap w:val="0"/>
        <w:adjustRightInd w:val="0"/>
        <w:snapToGrid w:val="0"/>
        <w:spacing w:line="440" w:lineRule="exact"/>
        <w:rPr>
          <w:rFonts w:hint="eastAsia" w:ascii="宋体" w:hAnsi="宋体" w:eastAsia="宋体" w:cs="宋体"/>
          <w:snapToGrid w:val="0"/>
          <w:color w:val="auto"/>
          <w:kern w:val="0"/>
          <w:szCs w:val="21"/>
          <w:highlight w:val="none"/>
        </w:rPr>
      </w:pPr>
    </w:p>
    <w:p w14:paraId="59DE099D">
      <w:pPr>
        <w:wordWrap w:val="0"/>
        <w:adjustRightInd w:val="0"/>
        <w:snapToGrid w:val="0"/>
        <w:spacing w:line="440" w:lineRule="exact"/>
        <w:rPr>
          <w:rFonts w:hint="eastAsia" w:ascii="宋体" w:hAnsi="宋体" w:eastAsia="宋体" w:cs="宋体"/>
          <w:snapToGrid w:val="0"/>
          <w:color w:val="auto"/>
          <w:kern w:val="0"/>
          <w:szCs w:val="21"/>
          <w:highlight w:val="none"/>
          <w:u w:val="single"/>
        </w:rPr>
      </w:pPr>
      <w:r>
        <w:rPr>
          <w:rFonts w:hint="eastAsia" w:ascii="宋体" w:hAnsi="宋体" w:eastAsia="宋体" w:cs="宋体"/>
          <w:snapToGrid w:val="0"/>
          <w:color w:val="auto"/>
          <w:kern w:val="0"/>
          <w:szCs w:val="21"/>
          <w:highlight w:val="none"/>
        </w:rPr>
        <w:t>投标人名称：</w:t>
      </w:r>
      <w:r>
        <w:rPr>
          <w:rFonts w:hint="eastAsia" w:ascii="宋体" w:hAnsi="宋体" w:eastAsia="宋体" w:cs="宋体"/>
          <w:snapToGrid w:val="0"/>
          <w:color w:val="auto"/>
          <w:kern w:val="0"/>
          <w:szCs w:val="21"/>
          <w:highlight w:val="none"/>
          <w:u w:val="single"/>
        </w:rPr>
        <w:t xml:space="preserve">                  </w:t>
      </w:r>
    </w:p>
    <w:p w14:paraId="18EC02A4">
      <w:pPr>
        <w:wordWrap w:val="0"/>
        <w:adjustRightInd w:val="0"/>
        <w:snapToGrid w:val="0"/>
        <w:spacing w:line="440" w:lineRule="exact"/>
        <w:rPr>
          <w:rFonts w:hint="eastAsia" w:ascii="宋体" w:hAnsi="宋体" w:eastAsia="宋体" w:cs="宋体"/>
          <w:snapToGrid w:val="0"/>
          <w:color w:val="auto"/>
          <w:kern w:val="0"/>
          <w:szCs w:val="21"/>
          <w:highlight w:val="none"/>
          <w:u w:val="single"/>
        </w:rPr>
      </w:pPr>
      <w:r>
        <w:rPr>
          <w:rFonts w:hint="eastAsia" w:ascii="宋体" w:hAnsi="宋体" w:eastAsia="宋体" w:cs="宋体"/>
          <w:snapToGrid w:val="0"/>
          <w:color w:val="auto"/>
          <w:kern w:val="0"/>
          <w:szCs w:val="21"/>
          <w:highlight w:val="none"/>
        </w:rPr>
        <w:t>姓名：</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性别：</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年龄：</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职务：</w:t>
      </w:r>
      <w:r>
        <w:rPr>
          <w:rFonts w:hint="eastAsia" w:ascii="宋体" w:hAnsi="宋体" w:eastAsia="宋体" w:cs="宋体"/>
          <w:snapToGrid w:val="0"/>
          <w:color w:val="auto"/>
          <w:kern w:val="0"/>
          <w:szCs w:val="21"/>
          <w:highlight w:val="none"/>
          <w:u w:val="single"/>
        </w:rPr>
        <w:t xml:space="preserve">           </w:t>
      </w:r>
    </w:p>
    <w:p w14:paraId="2AE3013E">
      <w:pPr>
        <w:wordWrap w:val="0"/>
        <w:adjustRightInd w:val="0"/>
        <w:snapToGrid w:val="0"/>
        <w:spacing w:line="440" w:lineRule="exact"/>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系</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（投标人名称）的法定代表人。</w:t>
      </w:r>
    </w:p>
    <w:p w14:paraId="1905C333">
      <w:pPr>
        <w:wordWrap w:val="0"/>
        <w:adjustRightInd w:val="0"/>
        <w:snapToGrid w:val="0"/>
        <w:spacing w:line="440" w:lineRule="exact"/>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xml:space="preserve">    特此证明。</w:t>
      </w:r>
    </w:p>
    <w:p w14:paraId="33D73E87">
      <w:pPr>
        <w:wordWrap w:val="0"/>
        <w:adjustRightInd w:val="0"/>
        <w:snapToGrid w:val="0"/>
        <w:spacing w:line="440" w:lineRule="exact"/>
        <w:rPr>
          <w:rFonts w:hint="eastAsia" w:ascii="宋体" w:hAnsi="宋体" w:eastAsia="宋体" w:cs="宋体"/>
          <w:snapToGrid w:val="0"/>
          <w:color w:val="auto"/>
          <w:kern w:val="0"/>
          <w:szCs w:val="21"/>
          <w:highlight w:val="none"/>
        </w:rPr>
      </w:pPr>
    </w:p>
    <w:p w14:paraId="78B8D652">
      <w:pPr>
        <w:wordWrap w:val="0"/>
        <w:adjustRightInd w:val="0"/>
        <w:snapToGrid w:val="0"/>
        <w:spacing w:line="440" w:lineRule="exact"/>
        <w:rPr>
          <w:rFonts w:hint="eastAsia" w:ascii="宋体" w:hAnsi="宋体" w:eastAsia="宋体" w:cs="宋体"/>
          <w:snapToGrid w:val="0"/>
          <w:color w:val="auto"/>
          <w:kern w:val="0"/>
          <w:szCs w:val="21"/>
          <w:highlight w:val="none"/>
        </w:rPr>
      </w:pPr>
    </w:p>
    <w:p w14:paraId="3EB40026">
      <w:pPr>
        <w:wordWrap w:val="0"/>
        <w:adjustRightInd w:val="0"/>
        <w:snapToGrid w:val="0"/>
        <w:spacing w:line="440" w:lineRule="exact"/>
        <w:jc w:val="right"/>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投标人：</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（盖单位章）</w:t>
      </w:r>
    </w:p>
    <w:p w14:paraId="3A983D9B">
      <w:pPr>
        <w:wordWrap w:val="0"/>
        <w:adjustRightInd w:val="0"/>
        <w:snapToGrid w:val="0"/>
        <w:spacing w:line="440" w:lineRule="exact"/>
        <w:jc w:val="right"/>
        <w:rPr>
          <w:rFonts w:hint="eastAsia" w:ascii="宋体" w:hAnsi="宋体" w:eastAsia="宋体" w:cs="宋体"/>
          <w:snapToGrid w:val="0"/>
          <w:color w:val="auto"/>
          <w:kern w:val="0"/>
          <w:szCs w:val="21"/>
          <w:highlight w:val="none"/>
        </w:rPr>
      </w:pPr>
    </w:p>
    <w:p w14:paraId="56B50CF0">
      <w:pPr>
        <w:wordWrap w:val="0"/>
        <w:adjustRightInd w:val="0"/>
        <w:snapToGrid w:val="0"/>
        <w:spacing w:line="440" w:lineRule="exact"/>
        <w:jc w:val="right"/>
        <w:rPr>
          <w:rFonts w:hint="eastAsia" w:ascii="宋体" w:hAnsi="宋体" w:eastAsia="宋体" w:cs="宋体"/>
          <w:snapToGrid w:val="0"/>
          <w:color w:val="auto"/>
          <w:kern w:val="0"/>
          <w:szCs w:val="21"/>
          <w:highlight w:val="none"/>
        </w:rPr>
      </w:pPr>
    </w:p>
    <w:p w14:paraId="346061ED">
      <w:pPr>
        <w:wordWrap w:val="0"/>
        <w:adjustRightInd w:val="0"/>
        <w:snapToGrid w:val="0"/>
        <w:spacing w:line="440" w:lineRule="exact"/>
        <w:jc w:val="right"/>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xml:space="preserve">                           法定代表人：</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（签字或盖章）</w:t>
      </w:r>
    </w:p>
    <w:p w14:paraId="085EDE61">
      <w:pPr>
        <w:wordWrap w:val="0"/>
        <w:adjustRightInd w:val="0"/>
        <w:snapToGrid w:val="0"/>
        <w:spacing w:line="440" w:lineRule="exact"/>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xml:space="preserve">                        </w:t>
      </w:r>
    </w:p>
    <w:p w14:paraId="0FE4AB79">
      <w:pPr>
        <w:wordWrap w:val="0"/>
        <w:adjustRightInd w:val="0"/>
        <w:snapToGrid w:val="0"/>
        <w:spacing w:line="440" w:lineRule="exact"/>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xml:space="preserve">                            </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年</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月</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 xml:space="preserve">日       </w:t>
      </w:r>
    </w:p>
    <w:p w14:paraId="32092DA9">
      <w:pPr>
        <w:wordWrap w:val="0"/>
        <w:adjustRightInd w:val="0"/>
        <w:snapToGrid w:val="0"/>
        <w:spacing w:line="440" w:lineRule="exact"/>
        <w:ind w:firstLine="240" w:firstLineChars="10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xml:space="preserve">     </w:t>
      </w:r>
    </w:p>
    <w:p w14:paraId="3F52A745">
      <w:pPr>
        <w:wordWrap w:val="0"/>
        <w:adjustRightInd w:val="0"/>
        <w:snapToGrid w:val="0"/>
        <w:spacing w:line="440" w:lineRule="exact"/>
        <w:ind w:firstLine="720" w:firstLineChars="300"/>
        <w:rPr>
          <w:rFonts w:hint="eastAsia" w:ascii="宋体" w:hAnsi="宋体" w:eastAsia="宋体" w:cs="宋体"/>
          <w:i/>
          <w:iCs/>
          <w:snapToGrid w:val="0"/>
          <w:color w:val="auto"/>
          <w:kern w:val="0"/>
          <w:szCs w:val="21"/>
          <w:highlight w:val="none"/>
        </w:rPr>
      </w:pPr>
      <w:r>
        <w:rPr>
          <w:rFonts w:hint="eastAsia" w:ascii="宋体" w:hAnsi="宋体" w:eastAsia="宋体" w:cs="宋体"/>
          <w:snapToGrid w:val="0"/>
          <w:color w:val="auto"/>
          <w:kern w:val="0"/>
          <w:szCs w:val="21"/>
          <w:highlight w:val="none"/>
        </w:rPr>
        <w:t xml:space="preserve">  </w:t>
      </w:r>
      <w:r>
        <w:rPr>
          <w:rFonts w:hint="eastAsia" w:ascii="宋体" w:hAnsi="宋体" w:eastAsia="宋体" w:cs="宋体"/>
          <w:i/>
          <w:iCs/>
          <w:snapToGrid w:val="0"/>
          <w:color w:val="auto"/>
          <w:kern w:val="0"/>
          <w:szCs w:val="21"/>
          <w:highlight w:val="none"/>
        </w:rPr>
        <w:t xml:space="preserve"> </w:t>
      </w:r>
    </w:p>
    <w:p w14:paraId="615D270D">
      <w:pPr>
        <w:wordWrap w:val="0"/>
        <w:adjustRightInd w:val="0"/>
        <w:snapToGrid w:val="0"/>
        <w:spacing w:line="440" w:lineRule="exact"/>
        <w:ind w:firstLine="720" w:firstLineChars="300"/>
        <w:rPr>
          <w:rFonts w:hint="eastAsia" w:ascii="宋体" w:hAnsi="宋体" w:eastAsia="宋体" w:cs="宋体"/>
          <w:i/>
          <w:iCs/>
          <w:snapToGrid w:val="0"/>
          <w:color w:val="auto"/>
          <w:kern w:val="0"/>
          <w:szCs w:val="21"/>
          <w:highlight w:val="none"/>
        </w:rPr>
      </w:pPr>
    </w:p>
    <w:p w14:paraId="5B16402B">
      <w:pPr>
        <w:wordWrap w:val="0"/>
        <w:adjustRightInd w:val="0"/>
        <w:snapToGrid w:val="0"/>
        <w:spacing w:line="440" w:lineRule="exact"/>
        <w:ind w:firstLine="720" w:firstLineChars="300"/>
        <w:rPr>
          <w:rFonts w:hint="eastAsia" w:ascii="宋体" w:hAnsi="宋体" w:eastAsia="宋体" w:cs="宋体"/>
          <w:i/>
          <w:iCs/>
          <w:snapToGrid w:val="0"/>
          <w:color w:val="auto"/>
          <w:kern w:val="0"/>
          <w:szCs w:val="21"/>
          <w:highlight w:val="none"/>
        </w:rPr>
      </w:pPr>
    </w:p>
    <w:p w14:paraId="1597B753">
      <w:pPr>
        <w:wordWrap w:val="0"/>
        <w:adjustRightInd w:val="0"/>
        <w:snapToGrid w:val="0"/>
        <w:rPr>
          <w:rFonts w:hint="eastAsia" w:ascii="宋体" w:hAnsi="宋体" w:eastAsia="宋体" w:cs="宋体"/>
          <w:b/>
          <w:snapToGrid w:val="0"/>
          <w:color w:val="auto"/>
          <w:kern w:val="0"/>
          <w:szCs w:val="21"/>
          <w:highlight w:val="none"/>
        </w:rPr>
      </w:pPr>
      <w:r>
        <w:rPr>
          <w:rFonts w:hint="eastAsia" w:ascii="宋体" w:hAnsi="宋体" w:eastAsia="宋体" w:cs="宋体"/>
          <w:b/>
          <w:snapToGrid w:val="0"/>
          <w:color w:val="auto"/>
          <w:kern w:val="0"/>
          <w:szCs w:val="21"/>
          <w:highlight w:val="none"/>
        </w:rPr>
        <mc:AlternateContent>
          <mc:Choice Requires="wps">
            <w:drawing>
              <wp:anchor distT="0" distB="0" distL="114300" distR="114300" simplePos="0" relativeHeight="251660288" behindDoc="0" locked="0" layoutInCell="1" allowOverlap="1">
                <wp:simplePos x="0" y="0"/>
                <wp:positionH relativeFrom="column">
                  <wp:posOffset>1619250</wp:posOffset>
                </wp:positionH>
                <wp:positionV relativeFrom="paragraph">
                  <wp:posOffset>20320</wp:posOffset>
                </wp:positionV>
                <wp:extent cx="3120390" cy="2336165"/>
                <wp:effectExtent l="4445" t="4445" r="18415" b="21590"/>
                <wp:wrapNone/>
                <wp:docPr id="19" name="自选图形 18"/>
                <wp:cNvGraphicFramePr/>
                <a:graphic xmlns:a="http://schemas.openxmlformats.org/drawingml/2006/main">
                  <a:graphicData uri="http://schemas.microsoft.com/office/word/2010/wordprocessingShape">
                    <wps:wsp>
                      <wps:cNvSpPr/>
                      <wps:spPr>
                        <a:xfrm>
                          <a:off x="0" y="0"/>
                          <a:ext cx="3120390" cy="233616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3B33CAFD">
                            <w:pPr>
                              <w:jc w:val="center"/>
                              <w:rPr>
                                <w:rFonts w:hint="eastAsia"/>
                                <w:szCs w:val="21"/>
                              </w:rPr>
                            </w:pPr>
                          </w:p>
                          <w:p w14:paraId="41B32FAC">
                            <w:pPr>
                              <w:jc w:val="center"/>
                              <w:rPr>
                                <w:szCs w:val="21"/>
                              </w:rPr>
                            </w:pPr>
                            <w:r>
                              <w:rPr>
                                <w:rFonts w:hint="eastAsia"/>
                                <w:szCs w:val="21"/>
                              </w:rPr>
                              <w:t>法定代表人身份证</w:t>
                            </w:r>
                            <w:r>
                              <w:rPr>
                                <w:rFonts w:hint="eastAsia"/>
                                <w:szCs w:val="21"/>
                                <w:lang w:val="en-US" w:eastAsia="zh-CN"/>
                              </w:rPr>
                              <w:t>彩色扫描件</w:t>
                            </w:r>
                            <w:r>
                              <w:rPr>
                                <w:rFonts w:hint="eastAsia"/>
                                <w:szCs w:val="21"/>
                              </w:rPr>
                              <w:t>正、反面</w:t>
                            </w:r>
                          </w:p>
                        </w:txbxContent>
                      </wps:txbx>
                      <wps:bodyPr wrap="square" upright="1"/>
                    </wps:wsp>
                  </a:graphicData>
                </a:graphic>
              </wp:anchor>
            </w:drawing>
          </mc:Choice>
          <mc:Fallback>
            <w:pict>
              <v:shape id="自选图形 18" o:spid="_x0000_s1026" o:spt="176" type="#_x0000_t176" style="position:absolute;left:0pt;margin-left:127.5pt;margin-top:1.6pt;height:183.95pt;width:245.7pt;z-index:251660288;mso-width-relative:page;mso-height-relative:page;" fillcolor="#FFFFFF" filled="t" stroked="t" coordsize="21600,21600" o:gfxdata="UEsDBAoAAAAAAIdO4kAAAAAAAAAAAAAAAAAEAAAAZHJzL1BLAwQUAAAACACHTuJAHIJIytcAAAAJ&#10;AQAADwAAAGRycy9kb3ducmV2LnhtbE2PQU+EMBSE7yb+h+aZeHNL2V1YkbIxGj15ETfxWuiTEukr&#10;oYVFf731pMfJTGa+KY+rHdiCk+8dSRCbBBhS63RPnYTT29PNAZgPirQaHKGEL/RwrC4vSlVod6ZX&#10;XOrQsVhCvlASTAhjwblvDVrlN25Eit6Hm6wKUU4d15M6x3I78DRJMm5VT3HBqBEfDLaf9WwlrC/f&#10;ze38LNo6mEOWv2+Xx/sTl/L6SiR3wAKu4S8Mv/gRHarI1LiZtGeDhHS/j1+ChG0KLPr5LtsBa6LO&#10;hQBelfz/g+oHUEsDBBQAAAAIAIdO4kCFFy0zJwIAAFUEAAAOAAAAZHJzL2Uyb0RvYy54bWytVM2O&#10;0zAQviPxDpbvNEmrVrtR0xXaUi4IKi08wNRxEkv+w3ab9sYN8QzcOPIO7NusBG/B2CndHzj0gA/O&#10;2B5/M98348yv9kqSHXdeGF3RYpRTwjUztdBtRT+8X724oMQH0DVIo3lFD9zTq8XzZ/PelnxsOiNr&#10;7giCaF/2tqJdCLbMMs86rsCPjOUaDxvjFARcujarHfSIrmQ2zvNZ1htXW2cY9x53l8MhPSK6cwBN&#10;0wjGl4ZtFddhQHVcQkBKvhPW00XKtmk4C++axvNAZEWRaUgzBkF7E+dsMYeydWA7wY4pwDkpPOGk&#10;QGgMeoJaQgCydeIvKCWYM940YcSMygYiSRFkUeRPtLnpwPLEBaX29iS6/3+w7O1u7YiosRMuKdGg&#10;sOI/P3//9enL3dfbux/fSHERNeqtL9H1xq7dceXRjIT3jVPxi1TIPul6OOnK94Ew3JwU43xyiZIz&#10;PBtPJrNiNo2o2f1163x4zY0i0ahoI01/3YELL2XgTkPg66Fjksiwe+PDcP/PvZiCN1LUKyFlWrh2&#10;cy0d2QFWfpXGMeQjN6lJX9HL6XiK2QG2c4NthKayKInXbYr36IZ/CJyn8S/gmNgSfDckkBCiG5RK&#10;IKNkdRzqV7om4WBRdY2vjcZkFK8pkRwfZ7SSZwAhz/FEQaVGXWO5hgJFK+w3e4SJ5sbUB6x3jw2P&#10;9D5uwWHMrXWi7VD1IhGJfthtqTzHlxHb+eE6hbj/Gyx+A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ByCSMrXAAAACQEAAA8AAAAAAAAAAQAgAAAAIgAAAGRycy9kb3ducmV2LnhtbFBLAQIUABQAAAAI&#10;AIdO4kCFFy0zJwIAAFUEAAAOAAAAAAAAAAEAIAAAACYBAABkcnMvZTJvRG9jLnhtbFBLBQYAAAAA&#10;BgAGAFkBAAC/BQAAAAA=&#10;">
                <v:fill on="t" focussize="0,0"/>
                <v:stroke color="#000000" joinstyle="miter"/>
                <v:imagedata o:title=""/>
                <o:lock v:ext="edit" aspectratio="f"/>
                <v:textbox>
                  <w:txbxContent>
                    <w:p w14:paraId="3B33CAFD">
                      <w:pPr>
                        <w:jc w:val="center"/>
                        <w:rPr>
                          <w:rFonts w:hint="eastAsia"/>
                          <w:szCs w:val="21"/>
                        </w:rPr>
                      </w:pPr>
                    </w:p>
                    <w:p w14:paraId="41B32FAC">
                      <w:pPr>
                        <w:jc w:val="center"/>
                        <w:rPr>
                          <w:szCs w:val="21"/>
                        </w:rPr>
                      </w:pPr>
                      <w:r>
                        <w:rPr>
                          <w:rFonts w:hint="eastAsia"/>
                          <w:szCs w:val="21"/>
                        </w:rPr>
                        <w:t>法定代表人身份证</w:t>
                      </w:r>
                      <w:r>
                        <w:rPr>
                          <w:rFonts w:hint="eastAsia"/>
                          <w:szCs w:val="21"/>
                          <w:lang w:val="en-US" w:eastAsia="zh-CN"/>
                        </w:rPr>
                        <w:t>彩色扫描件</w:t>
                      </w:r>
                      <w:r>
                        <w:rPr>
                          <w:rFonts w:hint="eastAsia"/>
                          <w:szCs w:val="21"/>
                        </w:rPr>
                        <w:t>正、反面</w:t>
                      </w:r>
                    </w:p>
                  </w:txbxContent>
                </v:textbox>
              </v:shape>
            </w:pict>
          </mc:Fallback>
        </mc:AlternateContent>
      </w:r>
    </w:p>
    <w:p w14:paraId="22494FB9">
      <w:pPr>
        <w:tabs>
          <w:tab w:val="left" w:pos="654"/>
          <w:tab w:val="left" w:pos="1734"/>
          <w:tab w:val="left" w:pos="2814"/>
          <w:tab w:val="left" w:pos="3894"/>
          <w:tab w:val="left" w:pos="5334"/>
          <w:tab w:val="left" w:pos="6414"/>
          <w:tab w:val="left" w:pos="7254"/>
          <w:tab w:val="left" w:pos="8574"/>
          <w:tab w:val="left" w:pos="9654"/>
        </w:tabs>
        <w:wordWrap w:val="0"/>
        <w:adjustRightInd w:val="0"/>
        <w:snapToGrid w:val="0"/>
        <w:rPr>
          <w:rFonts w:hint="eastAsia" w:ascii="宋体" w:hAnsi="宋体" w:eastAsia="宋体" w:cs="宋体"/>
          <w:snapToGrid w:val="0"/>
          <w:color w:val="auto"/>
          <w:kern w:val="0"/>
          <w:sz w:val="28"/>
          <w:szCs w:val="28"/>
          <w:highlight w:val="none"/>
        </w:rPr>
      </w:pPr>
    </w:p>
    <w:p w14:paraId="62C6C69A">
      <w:pPr>
        <w:wordWrap w:val="0"/>
        <w:adjustRightInd w:val="0"/>
        <w:snapToGrid w:val="0"/>
        <w:spacing w:line="480" w:lineRule="exact"/>
        <w:jc w:val="center"/>
        <w:rPr>
          <w:rFonts w:hint="eastAsia" w:ascii="宋体" w:hAnsi="宋体" w:eastAsia="宋体" w:cs="宋体"/>
          <w:b/>
          <w:snapToGrid w:val="0"/>
          <w:color w:val="auto"/>
          <w:kern w:val="0"/>
          <w:sz w:val="28"/>
          <w:szCs w:val="28"/>
          <w:highlight w:val="none"/>
        </w:rPr>
      </w:pPr>
    </w:p>
    <w:p w14:paraId="68360507">
      <w:pPr>
        <w:wordWrap w:val="0"/>
        <w:adjustRightInd w:val="0"/>
        <w:snapToGrid w:val="0"/>
        <w:spacing w:line="480" w:lineRule="exact"/>
        <w:jc w:val="center"/>
        <w:rPr>
          <w:rFonts w:hint="eastAsia" w:ascii="宋体" w:hAnsi="宋体" w:eastAsia="宋体" w:cs="宋体"/>
          <w:b/>
          <w:snapToGrid w:val="0"/>
          <w:color w:val="auto"/>
          <w:kern w:val="0"/>
          <w:sz w:val="28"/>
          <w:szCs w:val="28"/>
          <w:highlight w:val="none"/>
        </w:rPr>
      </w:pPr>
    </w:p>
    <w:p w14:paraId="76CD6A02">
      <w:pPr>
        <w:wordWrap w:val="0"/>
        <w:adjustRightInd w:val="0"/>
        <w:snapToGrid w:val="0"/>
        <w:spacing w:line="480" w:lineRule="exact"/>
        <w:jc w:val="center"/>
        <w:rPr>
          <w:rFonts w:hint="eastAsia" w:ascii="宋体" w:hAnsi="宋体" w:eastAsia="宋体" w:cs="宋体"/>
          <w:b/>
          <w:snapToGrid w:val="0"/>
          <w:color w:val="auto"/>
          <w:kern w:val="0"/>
          <w:sz w:val="28"/>
          <w:szCs w:val="28"/>
          <w:highlight w:val="none"/>
        </w:rPr>
        <w:sectPr>
          <w:endnotePr>
            <w:numFmt w:val="decimal"/>
          </w:endnotePr>
          <w:pgSz w:w="11906" w:h="16838"/>
          <w:pgMar w:top="1134" w:right="1134" w:bottom="1134" w:left="1134" w:header="567" w:footer="567" w:gutter="0"/>
          <w:pgBorders>
            <w:top w:val="none" w:sz="0" w:space="0"/>
            <w:left w:val="none" w:sz="0" w:space="0"/>
            <w:bottom w:val="none" w:sz="0" w:space="0"/>
            <w:right w:val="none" w:sz="0" w:space="0"/>
          </w:pgBorders>
          <w:cols w:space="720" w:num="1"/>
          <w:docGrid w:linePitch="327" w:charSpace="0"/>
        </w:sectPr>
      </w:pPr>
    </w:p>
    <w:p w14:paraId="2829A00C">
      <w:pPr>
        <w:pStyle w:val="4"/>
        <w:bidi w:val="0"/>
        <w:ind w:firstLine="964"/>
        <w:rPr>
          <w:rFonts w:hint="eastAsia" w:ascii="宋体" w:hAnsi="宋体" w:eastAsia="宋体" w:cs="宋体"/>
          <w:color w:val="auto"/>
        </w:rPr>
      </w:pPr>
      <w:bookmarkStart w:id="311" w:name="_Toc191"/>
      <w:r>
        <w:rPr>
          <w:rFonts w:hint="eastAsia" w:ascii="宋体" w:hAnsi="宋体" w:eastAsia="宋体" w:cs="宋体"/>
          <w:color w:val="auto"/>
        </w:rPr>
        <w:t>格式六 联合体协议书</w:t>
      </w:r>
      <w:bookmarkEnd w:id="311"/>
    </w:p>
    <w:p w14:paraId="5D306B4F">
      <w:pPr>
        <w:pStyle w:val="74"/>
        <w:widowControl w:val="0"/>
        <w:wordWrap w:val="0"/>
        <w:adjustRightInd w:val="0"/>
        <w:snapToGrid w:val="0"/>
        <w:spacing w:line="440" w:lineRule="exact"/>
        <w:ind w:firstLine="0"/>
        <w:rPr>
          <w:rFonts w:hint="eastAsia" w:ascii="宋体" w:hAnsi="宋体" w:eastAsia="宋体" w:cs="宋体"/>
          <w:b/>
          <w:bCs/>
          <w:snapToGrid w:val="0"/>
          <w:color w:val="auto"/>
          <w:sz w:val="24"/>
          <w:szCs w:val="24"/>
          <w:highlight w:val="none"/>
        </w:rPr>
      </w:pPr>
    </w:p>
    <w:p w14:paraId="5E87777E">
      <w:pPr>
        <w:pStyle w:val="74"/>
        <w:widowControl w:val="0"/>
        <w:wordWrap w:val="0"/>
        <w:adjustRightInd w:val="0"/>
        <w:snapToGrid w:val="0"/>
        <w:spacing w:before="240" w:after="240" w:line="440" w:lineRule="exact"/>
        <w:ind w:firstLine="0"/>
        <w:jc w:val="center"/>
        <w:rPr>
          <w:rFonts w:hint="eastAsia" w:ascii="宋体" w:hAnsi="宋体" w:eastAsia="宋体" w:cs="宋体"/>
          <w:snapToGrid w:val="0"/>
          <w:color w:val="auto"/>
          <w:sz w:val="24"/>
          <w:szCs w:val="21"/>
          <w:highlight w:val="none"/>
        </w:rPr>
      </w:pPr>
      <w:r>
        <w:rPr>
          <w:rFonts w:hint="eastAsia" w:ascii="宋体" w:hAnsi="宋体" w:eastAsia="宋体" w:cs="宋体"/>
          <w:b/>
          <w:snapToGrid w:val="0"/>
          <w:color w:val="auto"/>
          <w:sz w:val="30"/>
          <w:highlight w:val="none"/>
        </w:rPr>
        <w:t>联合体协议书</w:t>
      </w:r>
    </w:p>
    <w:p w14:paraId="69F636C0">
      <w:pPr>
        <w:pStyle w:val="74"/>
        <w:widowControl w:val="0"/>
        <w:wordWrap w:val="0"/>
        <w:adjustRightInd w:val="0"/>
        <w:snapToGrid w:val="0"/>
        <w:spacing w:line="440" w:lineRule="exact"/>
        <w:rPr>
          <w:rFonts w:hint="eastAsia" w:ascii="宋体" w:hAnsi="宋体" w:eastAsia="宋体" w:cs="宋体"/>
          <w:snapToGrid w:val="0"/>
          <w:color w:val="auto"/>
          <w:sz w:val="24"/>
          <w:szCs w:val="24"/>
          <w:highlight w:val="none"/>
        </w:rPr>
      </w:pPr>
    </w:p>
    <w:p w14:paraId="0BCACDBF">
      <w:pPr>
        <w:pStyle w:val="74"/>
        <w:widowControl w:val="0"/>
        <w:wordWrap w:val="0"/>
        <w:adjustRightInd w:val="0"/>
        <w:snapToGrid w:val="0"/>
        <w:spacing w:line="440" w:lineRule="exact"/>
        <w:rPr>
          <w:rFonts w:hint="eastAsia" w:ascii="宋体" w:hAnsi="宋体" w:eastAsia="宋体" w:cs="宋体"/>
          <w:snapToGrid w:val="0"/>
          <w:color w:val="auto"/>
          <w:sz w:val="24"/>
          <w:szCs w:val="24"/>
          <w:highlight w:val="none"/>
          <w:u w:val="single"/>
        </w:rPr>
      </w:pPr>
      <w:r>
        <w:rPr>
          <w:rFonts w:hint="eastAsia" w:ascii="宋体" w:hAnsi="宋体" w:eastAsia="宋体" w:cs="宋体"/>
          <w:snapToGrid w:val="0"/>
          <w:color w:val="auto"/>
          <w:sz w:val="24"/>
          <w:szCs w:val="24"/>
          <w:highlight w:val="none"/>
        </w:rPr>
        <w:t>牵头人名称：</w:t>
      </w:r>
      <w:r>
        <w:rPr>
          <w:rFonts w:hint="eastAsia" w:ascii="宋体" w:hAnsi="宋体" w:eastAsia="宋体" w:cs="宋体"/>
          <w:snapToGrid w:val="0"/>
          <w:color w:val="auto"/>
          <w:sz w:val="24"/>
          <w:szCs w:val="24"/>
          <w:highlight w:val="none"/>
          <w:u w:val="single"/>
        </w:rPr>
        <w:t xml:space="preserve">                                                  </w:t>
      </w:r>
    </w:p>
    <w:p w14:paraId="1D3E9AB9">
      <w:pPr>
        <w:pStyle w:val="74"/>
        <w:widowControl w:val="0"/>
        <w:wordWrap w:val="0"/>
        <w:adjustRightInd w:val="0"/>
        <w:snapToGrid w:val="0"/>
        <w:spacing w:line="440" w:lineRule="exact"/>
        <w:rPr>
          <w:rFonts w:hint="eastAsia" w:ascii="宋体" w:hAnsi="宋体" w:eastAsia="宋体" w:cs="宋体"/>
          <w:snapToGrid w:val="0"/>
          <w:color w:val="auto"/>
          <w:sz w:val="24"/>
          <w:szCs w:val="24"/>
          <w:highlight w:val="none"/>
          <w:u w:val="single"/>
        </w:rPr>
      </w:pPr>
      <w:r>
        <w:rPr>
          <w:rFonts w:hint="eastAsia" w:ascii="宋体" w:hAnsi="宋体" w:eastAsia="宋体" w:cs="宋体"/>
          <w:snapToGrid w:val="0"/>
          <w:color w:val="auto"/>
          <w:sz w:val="24"/>
          <w:szCs w:val="24"/>
          <w:highlight w:val="none"/>
        </w:rPr>
        <w:t>法定代表人：</w:t>
      </w:r>
      <w:r>
        <w:rPr>
          <w:rFonts w:hint="eastAsia" w:ascii="宋体" w:hAnsi="宋体" w:eastAsia="宋体" w:cs="宋体"/>
          <w:snapToGrid w:val="0"/>
          <w:color w:val="auto"/>
          <w:sz w:val="24"/>
          <w:szCs w:val="24"/>
          <w:highlight w:val="none"/>
          <w:u w:val="single"/>
        </w:rPr>
        <w:t xml:space="preserve">                                                  </w:t>
      </w:r>
    </w:p>
    <w:p w14:paraId="319DF58B">
      <w:pPr>
        <w:pStyle w:val="74"/>
        <w:widowControl w:val="0"/>
        <w:wordWrap w:val="0"/>
        <w:adjustRightInd w:val="0"/>
        <w:snapToGrid w:val="0"/>
        <w:spacing w:line="440" w:lineRule="exact"/>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法定住所：</w:t>
      </w:r>
      <w:r>
        <w:rPr>
          <w:rFonts w:hint="eastAsia" w:ascii="宋体" w:hAnsi="宋体" w:eastAsia="宋体" w:cs="宋体"/>
          <w:snapToGrid w:val="0"/>
          <w:color w:val="auto"/>
          <w:sz w:val="24"/>
          <w:szCs w:val="24"/>
          <w:highlight w:val="none"/>
          <w:u w:val="single"/>
        </w:rPr>
        <w:t xml:space="preserve">                                                    </w:t>
      </w:r>
    </w:p>
    <w:p w14:paraId="064EC425">
      <w:pPr>
        <w:pStyle w:val="74"/>
        <w:widowControl w:val="0"/>
        <w:wordWrap w:val="0"/>
        <w:adjustRightInd w:val="0"/>
        <w:snapToGrid w:val="0"/>
        <w:spacing w:line="440" w:lineRule="exact"/>
        <w:rPr>
          <w:rFonts w:hint="eastAsia" w:ascii="宋体" w:hAnsi="宋体" w:eastAsia="宋体" w:cs="宋体"/>
          <w:snapToGrid w:val="0"/>
          <w:color w:val="auto"/>
          <w:sz w:val="24"/>
          <w:szCs w:val="24"/>
          <w:highlight w:val="none"/>
        </w:rPr>
      </w:pPr>
    </w:p>
    <w:p w14:paraId="5E1A040C">
      <w:pPr>
        <w:pStyle w:val="74"/>
        <w:widowControl w:val="0"/>
        <w:wordWrap w:val="0"/>
        <w:adjustRightInd w:val="0"/>
        <w:snapToGrid w:val="0"/>
        <w:spacing w:line="440" w:lineRule="exact"/>
        <w:rPr>
          <w:rFonts w:hint="eastAsia" w:ascii="宋体" w:hAnsi="宋体" w:eastAsia="宋体" w:cs="宋体"/>
          <w:snapToGrid w:val="0"/>
          <w:color w:val="auto"/>
          <w:sz w:val="24"/>
          <w:szCs w:val="24"/>
          <w:highlight w:val="none"/>
          <w:u w:val="single"/>
        </w:rPr>
      </w:pPr>
      <w:r>
        <w:rPr>
          <w:rFonts w:hint="eastAsia" w:ascii="宋体" w:hAnsi="宋体" w:eastAsia="宋体" w:cs="宋体"/>
          <w:snapToGrid w:val="0"/>
          <w:color w:val="auto"/>
          <w:sz w:val="24"/>
          <w:szCs w:val="24"/>
          <w:highlight w:val="none"/>
        </w:rPr>
        <w:t>成员</w:t>
      </w:r>
      <w:r>
        <w:rPr>
          <w:rFonts w:hint="eastAsia" w:ascii="宋体" w:hAnsi="宋体" w:eastAsia="宋体" w:cs="宋体"/>
          <w:snapToGrid w:val="0"/>
          <w:color w:val="auto"/>
          <w:sz w:val="24"/>
          <w:szCs w:val="24"/>
          <w:highlight w:val="none"/>
          <w:lang w:val="en-US" w:eastAsia="zh-CN"/>
        </w:rPr>
        <w:t>二</w:t>
      </w:r>
      <w:r>
        <w:rPr>
          <w:rFonts w:hint="eastAsia" w:ascii="宋体" w:hAnsi="宋体" w:eastAsia="宋体" w:cs="宋体"/>
          <w:snapToGrid w:val="0"/>
          <w:color w:val="auto"/>
          <w:sz w:val="24"/>
          <w:szCs w:val="24"/>
          <w:highlight w:val="none"/>
        </w:rPr>
        <w:t>名称：</w:t>
      </w:r>
      <w:r>
        <w:rPr>
          <w:rFonts w:hint="eastAsia" w:ascii="宋体" w:hAnsi="宋体" w:eastAsia="宋体" w:cs="宋体"/>
          <w:snapToGrid w:val="0"/>
          <w:color w:val="auto"/>
          <w:sz w:val="24"/>
          <w:szCs w:val="24"/>
          <w:highlight w:val="none"/>
          <w:u w:val="single"/>
        </w:rPr>
        <w:t xml:space="preserve">                                                  </w:t>
      </w:r>
    </w:p>
    <w:p w14:paraId="4DCF143E">
      <w:pPr>
        <w:pStyle w:val="74"/>
        <w:widowControl w:val="0"/>
        <w:wordWrap w:val="0"/>
        <w:adjustRightInd w:val="0"/>
        <w:snapToGrid w:val="0"/>
        <w:spacing w:line="440" w:lineRule="exact"/>
        <w:rPr>
          <w:rFonts w:hint="eastAsia" w:ascii="宋体" w:hAnsi="宋体" w:eastAsia="宋体" w:cs="宋体"/>
          <w:snapToGrid w:val="0"/>
          <w:color w:val="auto"/>
          <w:sz w:val="24"/>
          <w:szCs w:val="24"/>
          <w:highlight w:val="none"/>
          <w:u w:val="single"/>
        </w:rPr>
      </w:pPr>
      <w:r>
        <w:rPr>
          <w:rFonts w:hint="eastAsia" w:ascii="宋体" w:hAnsi="宋体" w:eastAsia="宋体" w:cs="宋体"/>
          <w:snapToGrid w:val="0"/>
          <w:color w:val="auto"/>
          <w:sz w:val="24"/>
          <w:szCs w:val="24"/>
          <w:highlight w:val="none"/>
        </w:rPr>
        <w:t>法定代表人：</w:t>
      </w:r>
      <w:r>
        <w:rPr>
          <w:rFonts w:hint="eastAsia" w:ascii="宋体" w:hAnsi="宋体" w:eastAsia="宋体" w:cs="宋体"/>
          <w:snapToGrid w:val="0"/>
          <w:color w:val="auto"/>
          <w:sz w:val="24"/>
          <w:szCs w:val="24"/>
          <w:highlight w:val="none"/>
          <w:u w:val="single"/>
        </w:rPr>
        <w:t xml:space="preserve">                                                  </w:t>
      </w:r>
    </w:p>
    <w:p w14:paraId="4ACB16D7">
      <w:pPr>
        <w:pStyle w:val="74"/>
        <w:widowControl w:val="0"/>
        <w:wordWrap w:val="0"/>
        <w:adjustRightInd w:val="0"/>
        <w:snapToGrid w:val="0"/>
        <w:spacing w:line="440" w:lineRule="exact"/>
        <w:rPr>
          <w:rFonts w:hint="eastAsia" w:ascii="宋体" w:hAnsi="宋体" w:eastAsia="宋体" w:cs="宋体"/>
          <w:snapToGrid w:val="0"/>
          <w:color w:val="auto"/>
          <w:sz w:val="24"/>
          <w:szCs w:val="24"/>
          <w:highlight w:val="none"/>
          <w:u w:val="single"/>
        </w:rPr>
      </w:pPr>
      <w:r>
        <w:rPr>
          <w:rFonts w:hint="eastAsia" w:ascii="宋体" w:hAnsi="宋体" w:eastAsia="宋体" w:cs="宋体"/>
          <w:snapToGrid w:val="0"/>
          <w:color w:val="auto"/>
          <w:sz w:val="24"/>
          <w:szCs w:val="24"/>
          <w:highlight w:val="none"/>
        </w:rPr>
        <w:t>法定住所：</w:t>
      </w:r>
      <w:r>
        <w:rPr>
          <w:rFonts w:hint="eastAsia" w:ascii="宋体" w:hAnsi="宋体" w:eastAsia="宋体" w:cs="宋体"/>
          <w:snapToGrid w:val="0"/>
          <w:color w:val="auto"/>
          <w:sz w:val="24"/>
          <w:szCs w:val="24"/>
          <w:highlight w:val="none"/>
          <w:u w:val="single"/>
        </w:rPr>
        <w:t xml:space="preserve">                                                    </w:t>
      </w:r>
    </w:p>
    <w:p w14:paraId="31305BBC">
      <w:pPr>
        <w:pStyle w:val="74"/>
        <w:widowControl w:val="0"/>
        <w:wordWrap w:val="0"/>
        <w:adjustRightInd w:val="0"/>
        <w:snapToGrid w:val="0"/>
        <w:spacing w:line="440" w:lineRule="exact"/>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w:t>
      </w:r>
    </w:p>
    <w:p w14:paraId="1760019B">
      <w:pPr>
        <w:pStyle w:val="74"/>
        <w:widowControl w:val="0"/>
        <w:wordWrap w:val="0"/>
        <w:adjustRightInd w:val="0"/>
        <w:snapToGrid w:val="0"/>
        <w:spacing w:line="440" w:lineRule="exact"/>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上述各成员单位经过友好协商，自愿组成联合体，共同参加</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（项目名称）（以下简称“本项目”）的施工投标并争取赢得本项目施工承包合同（以下简称合同）。现就联合体投标事宜订立如下协议：</w:t>
      </w:r>
    </w:p>
    <w:p w14:paraId="189A3C00">
      <w:pPr>
        <w:pStyle w:val="74"/>
        <w:widowControl w:val="0"/>
        <w:wordWrap w:val="0"/>
        <w:adjustRightInd w:val="0"/>
        <w:snapToGrid w:val="0"/>
        <w:spacing w:line="440" w:lineRule="exact"/>
        <w:ind w:firstLine="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    1．</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（某成员单位名称）为联合体牵头人。</w:t>
      </w:r>
    </w:p>
    <w:p w14:paraId="34B528C9">
      <w:pPr>
        <w:pStyle w:val="74"/>
        <w:widowControl w:val="0"/>
        <w:wordWrap w:val="0"/>
        <w:adjustRightInd w:val="0"/>
        <w:snapToGrid w:val="0"/>
        <w:spacing w:line="440" w:lineRule="exact"/>
        <w:ind w:firstLine="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    2．在本项目投标阶段，联合体牵头人合法代表联合体各成员负责本项目投标文件编制活动，代表联合体提交和接收相关的资料、信息及指示，并处理与投标和中标有关的一切事务；联合体中标后，联合体牵头人负责合同订立和合同实施阶段的主办、组织和协调工作。</w:t>
      </w:r>
    </w:p>
    <w:p w14:paraId="1D5D3570">
      <w:pPr>
        <w:pStyle w:val="74"/>
        <w:widowControl w:val="0"/>
        <w:wordWrap w:val="0"/>
        <w:adjustRightInd w:val="0"/>
        <w:snapToGrid w:val="0"/>
        <w:spacing w:line="440" w:lineRule="exact"/>
        <w:ind w:firstLine="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    3．联合体将严格按照招标文件的各项要求，递交投标文件，履行投标义务和中标后的合同，共同承担合同规定的一切义务和责任，联合体各成员单位按照内部职责的部分，承担各自所负的责任和风险，并向招标人承担连带责任。</w:t>
      </w:r>
    </w:p>
    <w:p w14:paraId="20A9AE58">
      <w:pPr>
        <w:pStyle w:val="74"/>
        <w:widowControl w:val="0"/>
        <w:wordWrap w:val="0"/>
        <w:adjustRightInd w:val="0"/>
        <w:snapToGrid w:val="0"/>
        <w:spacing w:line="440" w:lineRule="exact"/>
        <w:ind w:firstLine="48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4．联合体各成员单位内部的职责分工如下：</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w:t>
      </w:r>
    </w:p>
    <w:p w14:paraId="604386BC">
      <w:pPr>
        <w:pStyle w:val="74"/>
        <w:widowControl w:val="0"/>
        <w:wordWrap w:val="0"/>
        <w:adjustRightInd w:val="0"/>
        <w:snapToGrid w:val="0"/>
        <w:spacing w:line="440" w:lineRule="exact"/>
        <w:ind w:firstLine="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    5．投标工作和联合体在中标后工程实施过程中的有关费用按各自承担的工作量分摊。</w:t>
      </w:r>
    </w:p>
    <w:p w14:paraId="3DCA25F8">
      <w:pPr>
        <w:pStyle w:val="74"/>
        <w:widowControl w:val="0"/>
        <w:wordWrap w:val="0"/>
        <w:adjustRightInd w:val="0"/>
        <w:snapToGrid w:val="0"/>
        <w:spacing w:line="440" w:lineRule="exact"/>
        <w:ind w:firstLine="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    6．联合体中标后，本联合体协议是合同的附件，对联合体各成员单位有合同约束力。</w:t>
      </w:r>
    </w:p>
    <w:p w14:paraId="126F1908">
      <w:pPr>
        <w:pStyle w:val="74"/>
        <w:widowControl w:val="0"/>
        <w:wordWrap w:val="0"/>
        <w:adjustRightInd w:val="0"/>
        <w:snapToGrid w:val="0"/>
        <w:spacing w:line="440" w:lineRule="exact"/>
        <w:ind w:firstLine="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    7．本协议书自签署之日起生效，联合体未中标或者中标时合同履行完毕后自动失效。</w:t>
      </w:r>
    </w:p>
    <w:p w14:paraId="434EFC00">
      <w:pPr>
        <w:pStyle w:val="74"/>
        <w:widowControl w:val="0"/>
        <w:wordWrap w:val="0"/>
        <w:adjustRightInd w:val="0"/>
        <w:snapToGrid w:val="0"/>
        <w:spacing w:line="440" w:lineRule="exact"/>
        <w:ind w:firstLine="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    8．本协议书一式</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份，联合体成员和招标人各执一份。</w:t>
      </w:r>
    </w:p>
    <w:p w14:paraId="50AF13E6">
      <w:pPr>
        <w:pStyle w:val="74"/>
        <w:widowControl w:val="0"/>
        <w:wordWrap w:val="0"/>
        <w:adjustRightInd w:val="0"/>
        <w:snapToGrid w:val="0"/>
        <w:spacing w:line="440" w:lineRule="exact"/>
        <w:rPr>
          <w:rFonts w:hint="eastAsia" w:ascii="宋体" w:hAnsi="宋体" w:eastAsia="宋体" w:cs="宋体"/>
          <w:snapToGrid w:val="0"/>
          <w:color w:val="auto"/>
          <w:sz w:val="24"/>
          <w:szCs w:val="24"/>
          <w:highlight w:val="none"/>
        </w:rPr>
      </w:pPr>
    </w:p>
    <w:p w14:paraId="5DAF77B3">
      <w:pPr>
        <w:pStyle w:val="74"/>
        <w:widowControl w:val="0"/>
        <w:wordWrap w:val="0"/>
        <w:adjustRightInd w:val="0"/>
        <w:snapToGrid w:val="0"/>
        <w:spacing w:line="440" w:lineRule="exact"/>
        <w:rPr>
          <w:rFonts w:hint="eastAsia" w:ascii="宋体" w:hAnsi="宋体" w:eastAsia="宋体" w:cs="宋体"/>
          <w:snapToGrid w:val="0"/>
          <w:color w:val="auto"/>
          <w:sz w:val="24"/>
          <w:szCs w:val="24"/>
          <w:highlight w:val="none"/>
        </w:rPr>
      </w:pPr>
    </w:p>
    <w:p w14:paraId="038C141A">
      <w:pPr>
        <w:pStyle w:val="74"/>
        <w:widowControl w:val="0"/>
        <w:wordWrap w:val="0"/>
        <w:adjustRightInd w:val="0"/>
        <w:snapToGrid w:val="0"/>
        <w:spacing w:line="440" w:lineRule="exact"/>
        <w:jc w:val="right"/>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牵头人名称：</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（盖单位章）</w:t>
      </w:r>
    </w:p>
    <w:p w14:paraId="1B309A60">
      <w:pPr>
        <w:pStyle w:val="74"/>
        <w:widowControl w:val="0"/>
        <w:wordWrap w:val="0"/>
        <w:adjustRightInd w:val="0"/>
        <w:snapToGrid w:val="0"/>
        <w:spacing w:line="440" w:lineRule="exact"/>
        <w:jc w:val="right"/>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w:t>
      </w:r>
    </w:p>
    <w:p w14:paraId="71CFD60E">
      <w:pPr>
        <w:pStyle w:val="74"/>
        <w:widowControl w:val="0"/>
        <w:wordWrap w:val="0"/>
        <w:adjustRightInd w:val="0"/>
        <w:snapToGrid w:val="0"/>
        <w:spacing w:line="440" w:lineRule="exact"/>
        <w:jc w:val="right"/>
        <w:rPr>
          <w:rFonts w:hint="eastAsia" w:ascii="宋体" w:hAnsi="宋体" w:eastAsia="宋体" w:cs="宋体"/>
          <w:snapToGrid w:val="0"/>
          <w:color w:val="auto"/>
          <w:sz w:val="24"/>
          <w:szCs w:val="24"/>
          <w:highlight w:val="none"/>
        </w:rPr>
      </w:pPr>
    </w:p>
    <w:p w14:paraId="371FB67E">
      <w:pPr>
        <w:pStyle w:val="74"/>
        <w:widowControl w:val="0"/>
        <w:wordWrap w:val="0"/>
        <w:adjustRightInd w:val="0"/>
        <w:snapToGrid w:val="0"/>
        <w:spacing w:line="440" w:lineRule="exact"/>
        <w:jc w:val="right"/>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        法定代表人或其委托代理人：</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（签字或盖章）</w:t>
      </w:r>
    </w:p>
    <w:p w14:paraId="0C71F078">
      <w:pPr>
        <w:pStyle w:val="74"/>
        <w:widowControl w:val="0"/>
        <w:wordWrap w:val="0"/>
        <w:adjustRightInd w:val="0"/>
        <w:snapToGrid w:val="0"/>
        <w:spacing w:line="440" w:lineRule="exact"/>
        <w:jc w:val="right"/>
        <w:rPr>
          <w:rFonts w:hint="eastAsia" w:ascii="宋体" w:hAnsi="宋体" w:eastAsia="宋体" w:cs="宋体"/>
          <w:snapToGrid w:val="0"/>
          <w:color w:val="auto"/>
          <w:sz w:val="24"/>
          <w:szCs w:val="24"/>
          <w:highlight w:val="none"/>
        </w:rPr>
      </w:pPr>
    </w:p>
    <w:p w14:paraId="2AD1012C">
      <w:pPr>
        <w:pStyle w:val="74"/>
        <w:widowControl w:val="0"/>
        <w:wordWrap w:val="0"/>
        <w:adjustRightInd w:val="0"/>
        <w:snapToGrid w:val="0"/>
        <w:spacing w:line="440" w:lineRule="exact"/>
        <w:jc w:val="right"/>
        <w:rPr>
          <w:rFonts w:hint="eastAsia" w:ascii="宋体" w:hAnsi="宋体" w:eastAsia="宋体" w:cs="宋体"/>
          <w:snapToGrid w:val="0"/>
          <w:color w:val="auto"/>
          <w:sz w:val="24"/>
          <w:szCs w:val="24"/>
          <w:highlight w:val="none"/>
        </w:rPr>
      </w:pPr>
    </w:p>
    <w:p w14:paraId="4F3A070A">
      <w:pPr>
        <w:pStyle w:val="74"/>
        <w:widowControl w:val="0"/>
        <w:wordWrap w:val="0"/>
        <w:adjustRightInd w:val="0"/>
        <w:snapToGrid w:val="0"/>
        <w:spacing w:line="440" w:lineRule="exact"/>
        <w:jc w:val="right"/>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w:t>
      </w:r>
    </w:p>
    <w:p w14:paraId="3C42CEDC">
      <w:pPr>
        <w:pStyle w:val="74"/>
        <w:widowControl w:val="0"/>
        <w:wordWrap w:val="0"/>
        <w:adjustRightInd w:val="0"/>
        <w:snapToGrid w:val="0"/>
        <w:spacing w:line="440" w:lineRule="exact"/>
        <w:jc w:val="right"/>
        <w:rPr>
          <w:rFonts w:hint="eastAsia" w:ascii="宋体" w:hAnsi="宋体" w:eastAsia="宋体" w:cs="宋体"/>
          <w:snapToGrid w:val="0"/>
          <w:color w:val="auto"/>
          <w:sz w:val="24"/>
          <w:szCs w:val="24"/>
          <w:highlight w:val="none"/>
        </w:rPr>
      </w:pPr>
    </w:p>
    <w:p w14:paraId="594D54B9">
      <w:pPr>
        <w:pStyle w:val="74"/>
        <w:widowControl w:val="0"/>
        <w:wordWrap w:val="0"/>
        <w:adjustRightInd w:val="0"/>
        <w:snapToGrid w:val="0"/>
        <w:spacing w:line="440" w:lineRule="exact"/>
        <w:jc w:val="right"/>
        <w:rPr>
          <w:rFonts w:hint="eastAsia" w:ascii="宋体" w:hAnsi="宋体" w:eastAsia="宋体" w:cs="宋体"/>
          <w:snapToGrid w:val="0"/>
          <w:color w:val="auto"/>
          <w:sz w:val="24"/>
          <w:szCs w:val="24"/>
          <w:highlight w:val="none"/>
        </w:rPr>
      </w:pPr>
    </w:p>
    <w:p w14:paraId="5E8DBD40">
      <w:pPr>
        <w:pStyle w:val="74"/>
        <w:widowControl w:val="0"/>
        <w:wordWrap w:val="0"/>
        <w:adjustRightInd w:val="0"/>
        <w:snapToGrid w:val="0"/>
        <w:spacing w:line="440" w:lineRule="exact"/>
        <w:jc w:val="right"/>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成员</w:t>
      </w:r>
      <w:r>
        <w:rPr>
          <w:rFonts w:hint="eastAsia" w:ascii="宋体" w:hAnsi="宋体" w:eastAsia="宋体" w:cs="宋体"/>
          <w:snapToGrid w:val="0"/>
          <w:color w:val="auto"/>
          <w:sz w:val="24"/>
          <w:szCs w:val="24"/>
          <w:highlight w:val="none"/>
          <w:lang w:val="en-US" w:eastAsia="zh-CN"/>
        </w:rPr>
        <w:t>二</w:t>
      </w:r>
      <w:r>
        <w:rPr>
          <w:rFonts w:hint="eastAsia" w:ascii="宋体" w:hAnsi="宋体" w:eastAsia="宋体" w:cs="宋体"/>
          <w:snapToGrid w:val="0"/>
          <w:color w:val="auto"/>
          <w:sz w:val="24"/>
          <w:szCs w:val="24"/>
          <w:highlight w:val="none"/>
        </w:rPr>
        <w:t>名称：</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（盖单位章）</w:t>
      </w:r>
    </w:p>
    <w:p w14:paraId="07549BB1">
      <w:pPr>
        <w:pStyle w:val="74"/>
        <w:widowControl w:val="0"/>
        <w:wordWrap w:val="0"/>
        <w:adjustRightInd w:val="0"/>
        <w:snapToGrid w:val="0"/>
        <w:spacing w:line="440" w:lineRule="exact"/>
        <w:jc w:val="right"/>
        <w:rPr>
          <w:rFonts w:hint="eastAsia" w:ascii="宋体" w:hAnsi="宋体" w:eastAsia="宋体" w:cs="宋体"/>
          <w:snapToGrid w:val="0"/>
          <w:color w:val="auto"/>
          <w:sz w:val="24"/>
          <w:szCs w:val="24"/>
          <w:highlight w:val="none"/>
        </w:rPr>
      </w:pPr>
    </w:p>
    <w:p w14:paraId="790189EB">
      <w:pPr>
        <w:pStyle w:val="74"/>
        <w:widowControl w:val="0"/>
        <w:wordWrap w:val="0"/>
        <w:adjustRightInd w:val="0"/>
        <w:snapToGrid w:val="0"/>
        <w:spacing w:line="440" w:lineRule="exact"/>
        <w:jc w:val="right"/>
        <w:rPr>
          <w:rFonts w:hint="eastAsia" w:ascii="宋体" w:hAnsi="宋体" w:eastAsia="宋体" w:cs="宋体"/>
          <w:snapToGrid w:val="0"/>
          <w:color w:val="auto"/>
          <w:sz w:val="24"/>
          <w:szCs w:val="24"/>
          <w:highlight w:val="none"/>
        </w:rPr>
      </w:pPr>
    </w:p>
    <w:p w14:paraId="1987C139">
      <w:pPr>
        <w:pStyle w:val="74"/>
        <w:widowControl w:val="0"/>
        <w:wordWrap w:val="0"/>
        <w:adjustRightInd w:val="0"/>
        <w:snapToGrid w:val="0"/>
        <w:spacing w:line="440" w:lineRule="exact"/>
        <w:jc w:val="right"/>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法定代表人或其委托代理人：</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（签字或盖章）</w:t>
      </w:r>
    </w:p>
    <w:p w14:paraId="18AC942D">
      <w:pPr>
        <w:pStyle w:val="74"/>
        <w:widowControl w:val="0"/>
        <w:wordWrap w:val="0"/>
        <w:adjustRightInd w:val="0"/>
        <w:snapToGrid w:val="0"/>
        <w:spacing w:line="440" w:lineRule="exact"/>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w:t>
      </w:r>
    </w:p>
    <w:p w14:paraId="6D26417F">
      <w:pPr>
        <w:pStyle w:val="74"/>
        <w:widowControl w:val="0"/>
        <w:wordWrap w:val="0"/>
        <w:adjustRightInd w:val="0"/>
        <w:snapToGrid w:val="0"/>
        <w:spacing w:line="440" w:lineRule="exact"/>
        <w:rPr>
          <w:rFonts w:hint="eastAsia" w:ascii="宋体" w:hAnsi="宋体" w:eastAsia="宋体" w:cs="宋体"/>
          <w:snapToGrid w:val="0"/>
          <w:color w:val="auto"/>
          <w:sz w:val="24"/>
          <w:szCs w:val="24"/>
          <w:highlight w:val="none"/>
        </w:rPr>
      </w:pPr>
    </w:p>
    <w:p w14:paraId="061D6DDA">
      <w:pPr>
        <w:pStyle w:val="74"/>
        <w:widowControl w:val="0"/>
        <w:wordWrap w:val="0"/>
        <w:adjustRightInd w:val="0"/>
        <w:snapToGrid w:val="0"/>
        <w:spacing w:line="440" w:lineRule="exact"/>
        <w:jc w:val="center"/>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                                 </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年</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月</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日</w:t>
      </w:r>
    </w:p>
    <w:p w14:paraId="77E09E97">
      <w:pPr>
        <w:pStyle w:val="74"/>
        <w:widowControl w:val="0"/>
        <w:wordWrap w:val="0"/>
        <w:adjustRightInd w:val="0"/>
        <w:snapToGrid w:val="0"/>
        <w:spacing w:line="440" w:lineRule="exact"/>
        <w:jc w:val="center"/>
        <w:rPr>
          <w:rFonts w:hint="eastAsia" w:ascii="宋体" w:hAnsi="宋体" w:eastAsia="宋体" w:cs="宋体"/>
          <w:snapToGrid w:val="0"/>
          <w:color w:val="auto"/>
          <w:sz w:val="24"/>
          <w:szCs w:val="24"/>
          <w:highlight w:val="none"/>
        </w:rPr>
      </w:pPr>
    </w:p>
    <w:p w14:paraId="1D8D5FB5">
      <w:pPr>
        <w:pStyle w:val="74"/>
        <w:widowControl w:val="0"/>
        <w:wordWrap w:val="0"/>
        <w:adjustRightInd w:val="0"/>
        <w:snapToGrid w:val="0"/>
        <w:spacing w:line="440" w:lineRule="exact"/>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1"/>
          <w:szCs w:val="21"/>
          <w:highlight w:val="none"/>
        </w:rPr>
        <w:t>说明：《联合体协议书》由委托代理人签字或盖章的，应附法定代表人签字或盖章的授权委托书。</w:t>
      </w:r>
    </w:p>
    <w:p w14:paraId="0C53638E">
      <w:pPr>
        <w:pStyle w:val="74"/>
        <w:widowControl w:val="0"/>
        <w:wordWrap w:val="0"/>
        <w:adjustRightInd w:val="0"/>
        <w:snapToGrid w:val="0"/>
        <w:spacing w:line="440" w:lineRule="exact"/>
        <w:rPr>
          <w:rFonts w:hint="eastAsia" w:ascii="宋体" w:hAnsi="宋体" w:eastAsia="宋体" w:cs="宋体"/>
          <w:snapToGrid w:val="0"/>
          <w:color w:val="auto"/>
          <w:sz w:val="24"/>
          <w:szCs w:val="24"/>
          <w:highlight w:val="none"/>
        </w:rPr>
        <w:sectPr>
          <w:endnotePr>
            <w:numFmt w:val="decimal"/>
          </w:endnotePr>
          <w:pgSz w:w="11906" w:h="16838"/>
          <w:pgMar w:top="1134" w:right="1134" w:bottom="1134" w:left="1134" w:header="567" w:footer="567" w:gutter="0"/>
          <w:pgBorders>
            <w:top w:val="none" w:sz="0" w:space="0"/>
            <w:left w:val="none" w:sz="0" w:space="0"/>
            <w:bottom w:val="none" w:sz="0" w:space="0"/>
            <w:right w:val="none" w:sz="0" w:space="0"/>
          </w:pgBorders>
          <w:cols w:space="720" w:num="1"/>
          <w:docGrid w:linePitch="327" w:charSpace="0"/>
        </w:sectPr>
      </w:pPr>
    </w:p>
    <w:p w14:paraId="5B676C02">
      <w:pPr>
        <w:pStyle w:val="4"/>
        <w:bidi w:val="0"/>
        <w:ind w:firstLine="964"/>
        <w:rPr>
          <w:rFonts w:hint="eastAsia" w:ascii="宋体" w:hAnsi="宋体" w:eastAsia="宋体" w:cs="宋体"/>
          <w:color w:val="auto"/>
        </w:rPr>
      </w:pPr>
      <w:bookmarkStart w:id="312" w:name="_Toc4289"/>
      <w:bookmarkStart w:id="313" w:name="_Toc15143"/>
      <w:r>
        <w:rPr>
          <w:rFonts w:hint="eastAsia" w:ascii="宋体" w:hAnsi="宋体" w:eastAsia="宋体" w:cs="宋体"/>
          <w:color w:val="auto"/>
        </w:rPr>
        <w:t>格式七 投标人基本情况表</w:t>
      </w:r>
      <w:bookmarkEnd w:id="312"/>
      <w:bookmarkEnd w:id="313"/>
    </w:p>
    <w:p w14:paraId="02920C33">
      <w:pPr>
        <w:pStyle w:val="74"/>
        <w:widowControl w:val="0"/>
        <w:wordWrap w:val="0"/>
        <w:adjustRightInd w:val="0"/>
        <w:snapToGrid w:val="0"/>
        <w:spacing w:before="260" w:after="260" w:line="400" w:lineRule="exact"/>
        <w:ind w:firstLine="0"/>
        <w:jc w:val="center"/>
        <w:rPr>
          <w:rFonts w:hint="eastAsia" w:ascii="宋体" w:hAnsi="宋体" w:eastAsia="宋体" w:cs="宋体"/>
          <w:snapToGrid w:val="0"/>
          <w:color w:val="auto"/>
          <w:sz w:val="24"/>
          <w:highlight w:val="none"/>
        </w:rPr>
      </w:pPr>
      <w:r>
        <w:rPr>
          <w:rFonts w:hint="eastAsia" w:ascii="宋体" w:hAnsi="宋体" w:eastAsia="宋体" w:cs="宋体"/>
          <w:b/>
          <w:snapToGrid w:val="0"/>
          <w:color w:val="auto"/>
          <w:sz w:val="30"/>
          <w:highlight w:val="none"/>
        </w:rPr>
        <w:t>投标人基本情况表</w:t>
      </w:r>
    </w:p>
    <w:tbl>
      <w:tblPr>
        <w:tblStyle w:val="30"/>
        <w:tblW w:w="98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39"/>
        <w:gridCol w:w="1236"/>
        <w:gridCol w:w="1350"/>
        <w:gridCol w:w="803"/>
        <w:gridCol w:w="457"/>
        <w:gridCol w:w="789"/>
        <w:gridCol w:w="260"/>
        <w:gridCol w:w="709"/>
        <w:gridCol w:w="1890"/>
      </w:tblGrid>
      <w:tr w14:paraId="7BAD6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339" w:type="dxa"/>
            <w:noWrap w:val="0"/>
            <w:vAlign w:val="center"/>
          </w:tcPr>
          <w:p w14:paraId="5FCBF126">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投标人名称</w:t>
            </w:r>
          </w:p>
        </w:tc>
        <w:tc>
          <w:tcPr>
            <w:tcW w:w="7494" w:type="dxa"/>
            <w:gridSpan w:val="8"/>
            <w:noWrap w:val="0"/>
            <w:vAlign w:val="center"/>
          </w:tcPr>
          <w:p w14:paraId="1141AE83">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p>
        </w:tc>
      </w:tr>
      <w:tr w14:paraId="6AD86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339" w:type="dxa"/>
            <w:noWrap w:val="0"/>
            <w:vAlign w:val="center"/>
          </w:tcPr>
          <w:p w14:paraId="2BD74181">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注册地址</w:t>
            </w:r>
          </w:p>
        </w:tc>
        <w:tc>
          <w:tcPr>
            <w:tcW w:w="3389" w:type="dxa"/>
            <w:gridSpan w:val="3"/>
            <w:noWrap w:val="0"/>
            <w:vAlign w:val="center"/>
          </w:tcPr>
          <w:p w14:paraId="7A466E18">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p>
        </w:tc>
        <w:tc>
          <w:tcPr>
            <w:tcW w:w="1246" w:type="dxa"/>
            <w:gridSpan w:val="2"/>
            <w:noWrap w:val="0"/>
            <w:vAlign w:val="center"/>
          </w:tcPr>
          <w:p w14:paraId="60A6D937">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邮政编码</w:t>
            </w:r>
          </w:p>
        </w:tc>
        <w:tc>
          <w:tcPr>
            <w:tcW w:w="2859" w:type="dxa"/>
            <w:gridSpan w:val="3"/>
            <w:noWrap w:val="0"/>
            <w:vAlign w:val="center"/>
          </w:tcPr>
          <w:p w14:paraId="14BCFEED">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p>
        </w:tc>
      </w:tr>
      <w:tr w14:paraId="05A99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339" w:type="dxa"/>
            <w:vMerge w:val="restart"/>
            <w:noWrap w:val="0"/>
            <w:vAlign w:val="center"/>
          </w:tcPr>
          <w:p w14:paraId="4493069D">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联系方式</w:t>
            </w:r>
          </w:p>
        </w:tc>
        <w:tc>
          <w:tcPr>
            <w:tcW w:w="1236" w:type="dxa"/>
            <w:noWrap w:val="0"/>
            <w:vAlign w:val="center"/>
          </w:tcPr>
          <w:p w14:paraId="1FFDA03A">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联系人</w:t>
            </w:r>
          </w:p>
        </w:tc>
        <w:tc>
          <w:tcPr>
            <w:tcW w:w="2153" w:type="dxa"/>
            <w:gridSpan w:val="2"/>
            <w:noWrap w:val="0"/>
            <w:vAlign w:val="center"/>
          </w:tcPr>
          <w:p w14:paraId="21D5388A">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p>
        </w:tc>
        <w:tc>
          <w:tcPr>
            <w:tcW w:w="1246" w:type="dxa"/>
            <w:gridSpan w:val="2"/>
            <w:noWrap w:val="0"/>
            <w:vAlign w:val="center"/>
          </w:tcPr>
          <w:p w14:paraId="0477B6CA">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电  话</w:t>
            </w:r>
          </w:p>
        </w:tc>
        <w:tc>
          <w:tcPr>
            <w:tcW w:w="2859" w:type="dxa"/>
            <w:gridSpan w:val="3"/>
            <w:noWrap w:val="0"/>
            <w:vAlign w:val="center"/>
          </w:tcPr>
          <w:p w14:paraId="66E713B9">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p>
        </w:tc>
      </w:tr>
      <w:tr w14:paraId="412EF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339" w:type="dxa"/>
            <w:vMerge w:val="continue"/>
            <w:noWrap w:val="0"/>
            <w:vAlign w:val="center"/>
          </w:tcPr>
          <w:p w14:paraId="1F2CA452">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p>
        </w:tc>
        <w:tc>
          <w:tcPr>
            <w:tcW w:w="1236" w:type="dxa"/>
            <w:noWrap w:val="0"/>
            <w:vAlign w:val="center"/>
          </w:tcPr>
          <w:p w14:paraId="19BD0998">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传  真</w:t>
            </w:r>
          </w:p>
        </w:tc>
        <w:tc>
          <w:tcPr>
            <w:tcW w:w="2153" w:type="dxa"/>
            <w:gridSpan w:val="2"/>
            <w:noWrap w:val="0"/>
            <w:vAlign w:val="center"/>
          </w:tcPr>
          <w:p w14:paraId="4F089F0C">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p>
        </w:tc>
        <w:tc>
          <w:tcPr>
            <w:tcW w:w="1246" w:type="dxa"/>
            <w:gridSpan w:val="2"/>
            <w:noWrap w:val="0"/>
            <w:vAlign w:val="center"/>
          </w:tcPr>
          <w:p w14:paraId="3D535E67">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电子邮箱</w:t>
            </w:r>
          </w:p>
        </w:tc>
        <w:tc>
          <w:tcPr>
            <w:tcW w:w="2859" w:type="dxa"/>
            <w:gridSpan w:val="3"/>
            <w:noWrap w:val="0"/>
            <w:vAlign w:val="center"/>
          </w:tcPr>
          <w:p w14:paraId="7050CDAC">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p>
        </w:tc>
      </w:tr>
      <w:tr w14:paraId="60905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339" w:type="dxa"/>
            <w:noWrap w:val="0"/>
            <w:vAlign w:val="center"/>
          </w:tcPr>
          <w:p w14:paraId="094BD079">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单位性质</w:t>
            </w:r>
          </w:p>
        </w:tc>
        <w:tc>
          <w:tcPr>
            <w:tcW w:w="7494" w:type="dxa"/>
            <w:gridSpan w:val="8"/>
            <w:noWrap w:val="0"/>
            <w:vAlign w:val="center"/>
          </w:tcPr>
          <w:p w14:paraId="766919B3">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p>
        </w:tc>
      </w:tr>
      <w:tr w14:paraId="70782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339" w:type="dxa"/>
            <w:noWrap w:val="0"/>
            <w:vAlign w:val="center"/>
          </w:tcPr>
          <w:p w14:paraId="325AA326">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法定代表人</w:t>
            </w:r>
          </w:p>
        </w:tc>
        <w:tc>
          <w:tcPr>
            <w:tcW w:w="1236" w:type="dxa"/>
            <w:noWrap w:val="0"/>
            <w:vAlign w:val="center"/>
          </w:tcPr>
          <w:p w14:paraId="69E198DD">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姓名</w:t>
            </w:r>
          </w:p>
        </w:tc>
        <w:tc>
          <w:tcPr>
            <w:tcW w:w="1350" w:type="dxa"/>
            <w:noWrap w:val="0"/>
            <w:vAlign w:val="center"/>
          </w:tcPr>
          <w:p w14:paraId="4EB20802">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p>
        </w:tc>
        <w:tc>
          <w:tcPr>
            <w:tcW w:w="1260" w:type="dxa"/>
            <w:gridSpan w:val="2"/>
            <w:noWrap w:val="0"/>
            <w:vAlign w:val="center"/>
          </w:tcPr>
          <w:p w14:paraId="0D707791">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技术职称</w:t>
            </w:r>
          </w:p>
        </w:tc>
        <w:tc>
          <w:tcPr>
            <w:tcW w:w="1049" w:type="dxa"/>
            <w:gridSpan w:val="2"/>
            <w:noWrap w:val="0"/>
            <w:vAlign w:val="center"/>
          </w:tcPr>
          <w:p w14:paraId="140ECDC1">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p>
        </w:tc>
        <w:tc>
          <w:tcPr>
            <w:tcW w:w="709" w:type="dxa"/>
            <w:noWrap w:val="0"/>
            <w:vAlign w:val="center"/>
          </w:tcPr>
          <w:p w14:paraId="1551EDE7">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电话</w:t>
            </w:r>
          </w:p>
        </w:tc>
        <w:tc>
          <w:tcPr>
            <w:tcW w:w="1890" w:type="dxa"/>
            <w:noWrap w:val="0"/>
            <w:vAlign w:val="center"/>
          </w:tcPr>
          <w:p w14:paraId="0D667B51">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p>
        </w:tc>
      </w:tr>
      <w:tr w14:paraId="0FF13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339" w:type="dxa"/>
            <w:noWrap w:val="0"/>
            <w:vAlign w:val="center"/>
          </w:tcPr>
          <w:p w14:paraId="3F85FB91">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成立时间</w:t>
            </w:r>
          </w:p>
        </w:tc>
        <w:tc>
          <w:tcPr>
            <w:tcW w:w="2586" w:type="dxa"/>
            <w:gridSpan w:val="2"/>
            <w:noWrap w:val="0"/>
            <w:vAlign w:val="center"/>
          </w:tcPr>
          <w:p w14:paraId="30C36794">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p>
        </w:tc>
        <w:tc>
          <w:tcPr>
            <w:tcW w:w="4908" w:type="dxa"/>
            <w:gridSpan w:val="6"/>
            <w:noWrap w:val="0"/>
            <w:vAlign w:val="center"/>
          </w:tcPr>
          <w:p w14:paraId="26E3444A">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员工总人数（个）：</w:t>
            </w:r>
          </w:p>
        </w:tc>
      </w:tr>
      <w:tr w14:paraId="239B1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339" w:type="dxa"/>
            <w:noWrap w:val="0"/>
            <w:vAlign w:val="center"/>
          </w:tcPr>
          <w:p w14:paraId="09221102">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企业资质</w:t>
            </w:r>
          </w:p>
          <w:p w14:paraId="074E5BA2">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类型和等级</w:t>
            </w:r>
          </w:p>
        </w:tc>
        <w:tc>
          <w:tcPr>
            <w:tcW w:w="2586" w:type="dxa"/>
            <w:gridSpan w:val="2"/>
            <w:noWrap w:val="0"/>
            <w:vAlign w:val="center"/>
          </w:tcPr>
          <w:p w14:paraId="15D4B1AF">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p>
        </w:tc>
        <w:tc>
          <w:tcPr>
            <w:tcW w:w="1260" w:type="dxa"/>
            <w:gridSpan w:val="2"/>
            <w:vMerge w:val="restart"/>
            <w:noWrap w:val="0"/>
            <w:vAlign w:val="center"/>
          </w:tcPr>
          <w:p w14:paraId="53AEAEE4">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其中</w:t>
            </w:r>
          </w:p>
        </w:tc>
        <w:tc>
          <w:tcPr>
            <w:tcW w:w="1758" w:type="dxa"/>
            <w:gridSpan w:val="3"/>
            <w:noWrap w:val="0"/>
            <w:vAlign w:val="center"/>
          </w:tcPr>
          <w:p w14:paraId="6657B11A">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项目经理</w:t>
            </w:r>
          </w:p>
        </w:tc>
        <w:tc>
          <w:tcPr>
            <w:tcW w:w="1890" w:type="dxa"/>
            <w:noWrap w:val="0"/>
            <w:vAlign w:val="center"/>
          </w:tcPr>
          <w:p w14:paraId="2157CF26">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p>
        </w:tc>
      </w:tr>
      <w:tr w14:paraId="57499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339" w:type="dxa"/>
            <w:noWrap w:val="0"/>
            <w:vAlign w:val="center"/>
          </w:tcPr>
          <w:p w14:paraId="2A882B96">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营业执照号</w:t>
            </w:r>
          </w:p>
        </w:tc>
        <w:tc>
          <w:tcPr>
            <w:tcW w:w="2586" w:type="dxa"/>
            <w:gridSpan w:val="2"/>
            <w:noWrap w:val="0"/>
            <w:vAlign w:val="center"/>
          </w:tcPr>
          <w:p w14:paraId="65D93120">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p>
        </w:tc>
        <w:tc>
          <w:tcPr>
            <w:tcW w:w="1260" w:type="dxa"/>
            <w:gridSpan w:val="2"/>
            <w:vMerge w:val="continue"/>
            <w:noWrap w:val="0"/>
            <w:vAlign w:val="center"/>
          </w:tcPr>
          <w:p w14:paraId="203CC3E6">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p>
        </w:tc>
        <w:tc>
          <w:tcPr>
            <w:tcW w:w="1758" w:type="dxa"/>
            <w:gridSpan w:val="3"/>
            <w:noWrap w:val="0"/>
            <w:vAlign w:val="center"/>
          </w:tcPr>
          <w:p w14:paraId="54ED8B2E">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高级职称人员</w:t>
            </w:r>
          </w:p>
        </w:tc>
        <w:tc>
          <w:tcPr>
            <w:tcW w:w="1890" w:type="dxa"/>
            <w:noWrap w:val="0"/>
            <w:vAlign w:val="center"/>
          </w:tcPr>
          <w:p w14:paraId="271B76F5">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p>
        </w:tc>
      </w:tr>
      <w:tr w14:paraId="68018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339" w:type="dxa"/>
            <w:noWrap w:val="0"/>
            <w:vAlign w:val="center"/>
          </w:tcPr>
          <w:p w14:paraId="14042E10">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注册资金</w:t>
            </w:r>
          </w:p>
        </w:tc>
        <w:tc>
          <w:tcPr>
            <w:tcW w:w="2586" w:type="dxa"/>
            <w:gridSpan w:val="2"/>
            <w:noWrap w:val="0"/>
            <w:vAlign w:val="center"/>
          </w:tcPr>
          <w:p w14:paraId="53B9073C">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p>
        </w:tc>
        <w:tc>
          <w:tcPr>
            <w:tcW w:w="1260" w:type="dxa"/>
            <w:gridSpan w:val="2"/>
            <w:vMerge w:val="continue"/>
            <w:noWrap w:val="0"/>
            <w:vAlign w:val="center"/>
          </w:tcPr>
          <w:p w14:paraId="44EF65A1">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p>
        </w:tc>
        <w:tc>
          <w:tcPr>
            <w:tcW w:w="1758" w:type="dxa"/>
            <w:gridSpan w:val="3"/>
            <w:noWrap w:val="0"/>
            <w:vAlign w:val="center"/>
          </w:tcPr>
          <w:p w14:paraId="7DDEF8E0">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中级职称人员</w:t>
            </w:r>
          </w:p>
        </w:tc>
        <w:tc>
          <w:tcPr>
            <w:tcW w:w="1890" w:type="dxa"/>
            <w:noWrap w:val="0"/>
            <w:vAlign w:val="center"/>
          </w:tcPr>
          <w:p w14:paraId="10FC2EF1">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p>
        </w:tc>
      </w:tr>
      <w:tr w14:paraId="3D15C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339" w:type="dxa"/>
            <w:noWrap w:val="0"/>
            <w:vAlign w:val="center"/>
          </w:tcPr>
          <w:p w14:paraId="21EB1A41">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基本账户</w:t>
            </w:r>
          </w:p>
          <w:p w14:paraId="701DEF42">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开户银行</w:t>
            </w:r>
          </w:p>
        </w:tc>
        <w:tc>
          <w:tcPr>
            <w:tcW w:w="2586" w:type="dxa"/>
            <w:gridSpan w:val="2"/>
            <w:noWrap w:val="0"/>
            <w:vAlign w:val="center"/>
          </w:tcPr>
          <w:p w14:paraId="066A1826">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p>
        </w:tc>
        <w:tc>
          <w:tcPr>
            <w:tcW w:w="1260" w:type="dxa"/>
            <w:gridSpan w:val="2"/>
            <w:vMerge w:val="continue"/>
            <w:noWrap w:val="0"/>
            <w:vAlign w:val="center"/>
          </w:tcPr>
          <w:p w14:paraId="082FAF1D">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p>
        </w:tc>
        <w:tc>
          <w:tcPr>
            <w:tcW w:w="1758" w:type="dxa"/>
            <w:gridSpan w:val="3"/>
            <w:noWrap w:val="0"/>
            <w:vAlign w:val="center"/>
          </w:tcPr>
          <w:p w14:paraId="6E0AB430">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初级职称人员</w:t>
            </w:r>
          </w:p>
        </w:tc>
        <w:tc>
          <w:tcPr>
            <w:tcW w:w="1890" w:type="dxa"/>
            <w:noWrap w:val="0"/>
            <w:vAlign w:val="center"/>
          </w:tcPr>
          <w:p w14:paraId="22232309">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p>
        </w:tc>
      </w:tr>
      <w:tr w14:paraId="1AEB5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339" w:type="dxa"/>
            <w:noWrap w:val="0"/>
            <w:vAlign w:val="center"/>
          </w:tcPr>
          <w:p w14:paraId="4140EC42">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基本账户</w:t>
            </w:r>
          </w:p>
          <w:p w14:paraId="46413F0D">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银行账号</w:t>
            </w:r>
          </w:p>
        </w:tc>
        <w:tc>
          <w:tcPr>
            <w:tcW w:w="2586" w:type="dxa"/>
            <w:gridSpan w:val="2"/>
            <w:noWrap w:val="0"/>
            <w:vAlign w:val="center"/>
          </w:tcPr>
          <w:p w14:paraId="138DE8BA">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p>
        </w:tc>
        <w:tc>
          <w:tcPr>
            <w:tcW w:w="1260" w:type="dxa"/>
            <w:gridSpan w:val="2"/>
            <w:vMerge w:val="continue"/>
            <w:noWrap w:val="0"/>
            <w:vAlign w:val="center"/>
          </w:tcPr>
          <w:p w14:paraId="415BC6A8">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p>
        </w:tc>
        <w:tc>
          <w:tcPr>
            <w:tcW w:w="1758" w:type="dxa"/>
            <w:gridSpan w:val="3"/>
            <w:noWrap w:val="0"/>
            <w:vAlign w:val="center"/>
          </w:tcPr>
          <w:p w14:paraId="18B84979">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技术员</w:t>
            </w:r>
          </w:p>
        </w:tc>
        <w:tc>
          <w:tcPr>
            <w:tcW w:w="1890" w:type="dxa"/>
            <w:noWrap w:val="0"/>
            <w:vAlign w:val="center"/>
          </w:tcPr>
          <w:p w14:paraId="08658855">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p>
        </w:tc>
      </w:tr>
      <w:tr w14:paraId="2E38E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339" w:type="dxa"/>
            <w:noWrap w:val="0"/>
            <w:vAlign w:val="center"/>
          </w:tcPr>
          <w:p w14:paraId="548077D9">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经营范围</w:t>
            </w:r>
          </w:p>
        </w:tc>
        <w:tc>
          <w:tcPr>
            <w:tcW w:w="7494" w:type="dxa"/>
            <w:gridSpan w:val="8"/>
            <w:noWrap w:val="0"/>
            <w:vAlign w:val="center"/>
          </w:tcPr>
          <w:p w14:paraId="1DEAE451">
            <w:pPr>
              <w:pStyle w:val="123"/>
              <w:wordWrap w:val="0"/>
              <w:adjustRightInd w:val="0"/>
              <w:snapToGrid w:val="0"/>
              <w:spacing w:line="360" w:lineRule="auto"/>
              <w:jc w:val="left"/>
              <w:rPr>
                <w:rFonts w:hint="eastAsia" w:ascii="宋体" w:hAnsi="宋体" w:eastAsia="宋体" w:cs="宋体"/>
                <w:snapToGrid w:val="0"/>
                <w:color w:val="auto"/>
                <w:kern w:val="0"/>
                <w:sz w:val="22"/>
                <w:szCs w:val="22"/>
                <w:highlight w:val="none"/>
              </w:rPr>
            </w:pPr>
          </w:p>
        </w:tc>
      </w:tr>
      <w:tr w14:paraId="4480C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339" w:type="dxa"/>
            <w:noWrap w:val="0"/>
            <w:vAlign w:val="center"/>
          </w:tcPr>
          <w:p w14:paraId="0BF9E39F">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关联企业情况</w:t>
            </w:r>
          </w:p>
        </w:tc>
        <w:tc>
          <w:tcPr>
            <w:tcW w:w="7494" w:type="dxa"/>
            <w:gridSpan w:val="8"/>
            <w:noWrap w:val="0"/>
            <w:vAlign w:val="center"/>
          </w:tcPr>
          <w:p w14:paraId="76970875">
            <w:pPr>
              <w:pStyle w:val="123"/>
              <w:wordWrap w:val="0"/>
              <w:adjustRightInd w:val="0"/>
              <w:snapToGrid w:val="0"/>
              <w:spacing w:line="360" w:lineRule="auto"/>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包括但不限于与投标人存在以下关系的不同单位：</w:t>
            </w:r>
          </w:p>
          <w:p w14:paraId="4DFD7CE2">
            <w:pPr>
              <w:pStyle w:val="123"/>
              <w:wordWrap w:val="0"/>
              <w:adjustRightInd w:val="0"/>
              <w:snapToGrid w:val="0"/>
              <w:spacing w:line="360" w:lineRule="auto"/>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1．法定代表人为同一人的。</w:t>
            </w:r>
          </w:p>
          <w:p w14:paraId="69B918B2">
            <w:pPr>
              <w:pStyle w:val="123"/>
              <w:wordWrap w:val="0"/>
              <w:adjustRightInd w:val="0"/>
              <w:snapToGrid w:val="0"/>
              <w:spacing w:line="360" w:lineRule="auto"/>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2．存在控股、管理关系的。</w:t>
            </w:r>
          </w:p>
          <w:p w14:paraId="1CADA060">
            <w:pPr>
              <w:pStyle w:val="123"/>
              <w:wordWrap w:val="0"/>
              <w:adjustRightInd w:val="0"/>
              <w:snapToGrid w:val="0"/>
              <w:spacing w:line="360" w:lineRule="auto"/>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3．主要人员相互任职的。</w:t>
            </w:r>
          </w:p>
        </w:tc>
      </w:tr>
      <w:tr w14:paraId="559A5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339" w:type="dxa"/>
            <w:noWrap w:val="0"/>
            <w:vAlign w:val="center"/>
          </w:tcPr>
          <w:p w14:paraId="7B1CA370">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备注</w:t>
            </w:r>
          </w:p>
        </w:tc>
        <w:tc>
          <w:tcPr>
            <w:tcW w:w="7494" w:type="dxa"/>
            <w:gridSpan w:val="8"/>
            <w:noWrap w:val="0"/>
            <w:vAlign w:val="center"/>
          </w:tcPr>
          <w:p w14:paraId="24CC1CC0">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p>
        </w:tc>
      </w:tr>
    </w:tbl>
    <w:p w14:paraId="4D454CB0">
      <w:pPr>
        <w:pStyle w:val="123"/>
        <w:wordWrap w:val="0"/>
        <w:adjustRightInd w:val="0"/>
        <w:snapToGrid w:val="0"/>
        <w:spacing w:line="400" w:lineRule="exact"/>
        <w:ind w:firstLine="440" w:firstLineChars="200"/>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说明：</w:t>
      </w:r>
    </w:p>
    <w:p w14:paraId="18F6A04D">
      <w:pPr>
        <w:pStyle w:val="123"/>
        <w:wordWrap w:val="0"/>
        <w:adjustRightInd w:val="0"/>
        <w:snapToGrid w:val="0"/>
        <w:spacing w:line="400" w:lineRule="exact"/>
        <w:ind w:firstLine="440" w:firstLineChars="200"/>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1．《投标人基本情况表》后应附以下资料：</w:t>
      </w:r>
    </w:p>
    <w:p w14:paraId="4AA9340D">
      <w:pPr>
        <w:pStyle w:val="123"/>
        <w:wordWrap w:val="0"/>
        <w:adjustRightInd w:val="0"/>
        <w:snapToGrid w:val="0"/>
        <w:spacing w:line="400" w:lineRule="exact"/>
        <w:ind w:firstLine="440" w:firstLineChars="200"/>
        <w:rPr>
          <w:rFonts w:hint="eastAsia" w:ascii="宋体" w:hAnsi="宋体" w:eastAsia="宋体" w:cs="宋体"/>
          <w:b/>
          <w:bCs/>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（1）企业营业执照、资质证书、安全生产许可证的（</w:t>
      </w:r>
      <w:r>
        <w:rPr>
          <w:rFonts w:hint="eastAsia" w:ascii="宋体" w:hAnsi="宋体" w:eastAsia="宋体" w:cs="宋体"/>
          <w:b/>
          <w:bCs/>
          <w:snapToGrid w:val="0"/>
          <w:color w:val="auto"/>
          <w:kern w:val="0"/>
          <w:sz w:val="22"/>
          <w:szCs w:val="22"/>
          <w:highlight w:val="none"/>
        </w:rPr>
        <w:t>因推行电子证照，企业的营业执照、资质证书等可以提供电子证照。为实时掌握项目投标单位的是否具备企业安全生产条件，企业的安全生产许可证需提供企业实时网页查询页，实时查询页的打印时间应在项目招标公告发布之日起至开标前。如中标后，投标单位安全生产许可证发生被暂扣情形，需双方另行协商）；</w:t>
      </w:r>
    </w:p>
    <w:p w14:paraId="75BA6363">
      <w:pPr>
        <w:pStyle w:val="123"/>
        <w:wordWrap w:val="0"/>
        <w:adjustRightInd w:val="0"/>
        <w:snapToGrid w:val="0"/>
        <w:spacing w:line="400" w:lineRule="exact"/>
        <w:ind w:firstLine="440" w:firstLineChars="200"/>
        <w:rPr>
          <w:rFonts w:hint="eastAsia" w:ascii="宋体" w:hAnsi="宋体" w:eastAsia="宋体" w:cs="宋体"/>
          <w:snapToGrid w:val="0"/>
          <w:color w:val="auto"/>
          <w:kern w:val="0"/>
          <w:sz w:val="22"/>
          <w:szCs w:val="28"/>
          <w:highlight w:val="none"/>
        </w:rPr>
      </w:pPr>
      <w:r>
        <w:rPr>
          <w:rFonts w:hint="eastAsia" w:ascii="宋体" w:hAnsi="宋体" w:eastAsia="宋体" w:cs="宋体"/>
          <w:snapToGrid w:val="0"/>
          <w:color w:val="auto"/>
          <w:kern w:val="0"/>
          <w:sz w:val="22"/>
          <w:szCs w:val="22"/>
          <w:highlight w:val="none"/>
        </w:rPr>
        <w:t>（2）</w:t>
      </w:r>
      <w:r>
        <w:rPr>
          <w:rFonts w:hint="eastAsia" w:ascii="宋体" w:hAnsi="宋体" w:eastAsia="宋体" w:cs="宋体"/>
          <w:snapToGrid w:val="0"/>
          <w:color w:val="auto"/>
          <w:kern w:val="0"/>
          <w:sz w:val="22"/>
          <w:szCs w:val="28"/>
          <w:highlight w:val="none"/>
        </w:rPr>
        <w:t>“进粤企业和人员诚信信息登记平台”企业信息情况打印页。（适用于省外建筑企业）</w:t>
      </w:r>
    </w:p>
    <w:p w14:paraId="7565FFDA">
      <w:pPr>
        <w:pStyle w:val="123"/>
        <w:wordWrap w:val="0"/>
        <w:adjustRightInd w:val="0"/>
        <w:snapToGrid w:val="0"/>
        <w:spacing w:line="400" w:lineRule="exact"/>
        <w:ind w:firstLine="440" w:firstLineChars="200"/>
        <w:rPr>
          <w:rFonts w:hint="eastAsia" w:ascii="宋体" w:hAnsi="宋体" w:eastAsia="宋体" w:cs="宋体"/>
          <w:snapToGrid w:val="0"/>
          <w:color w:val="auto"/>
          <w:kern w:val="0"/>
          <w:sz w:val="22"/>
          <w:szCs w:val="28"/>
          <w:highlight w:val="none"/>
        </w:rPr>
      </w:pPr>
      <w:r>
        <w:rPr>
          <w:rFonts w:hint="eastAsia" w:ascii="宋体" w:hAnsi="宋体" w:eastAsia="宋体" w:cs="宋体"/>
          <w:snapToGrid w:val="0"/>
          <w:color w:val="auto"/>
          <w:kern w:val="0"/>
          <w:sz w:val="22"/>
          <w:szCs w:val="22"/>
          <w:highlight w:val="none"/>
        </w:rPr>
        <w:t>（3）</w:t>
      </w:r>
      <w:r>
        <w:rPr>
          <w:rFonts w:hint="eastAsia" w:ascii="宋体" w:hAnsi="宋体" w:eastAsia="宋体" w:cs="宋体"/>
          <w:snapToGrid w:val="0"/>
          <w:color w:val="auto"/>
          <w:kern w:val="0"/>
          <w:sz w:val="22"/>
          <w:szCs w:val="28"/>
          <w:highlight w:val="none"/>
        </w:rPr>
        <w:t>《法人和非法人组织公共信用信息报告》（在“信用中国”网站企业查询界面中下载）。</w:t>
      </w:r>
    </w:p>
    <w:p w14:paraId="179E3ACF">
      <w:pPr>
        <w:pStyle w:val="123"/>
        <w:wordWrap w:val="0"/>
        <w:adjustRightInd w:val="0"/>
        <w:snapToGrid w:val="0"/>
        <w:spacing w:line="400" w:lineRule="exact"/>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8"/>
          <w:highlight w:val="none"/>
        </w:rPr>
        <w:t xml:space="preserve">    </w:t>
      </w:r>
    </w:p>
    <w:p w14:paraId="603E6E0C">
      <w:pPr>
        <w:pStyle w:val="74"/>
        <w:widowControl w:val="0"/>
        <w:wordWrap w:val="0"/>
        <w:adjustRightInd w:val="0"/>
        <w:snapToGrid w:val="0"/>
        <w:spacing w:line="400" w:lineRule="exact"/>
        <w:jc w:val="center"/>
        <w:rPr>
          <w:rFonts w:hint="eastAsia" w:ascii="宋体" w:hAnsi="宋体" w:eastAsia="宋体" w:cs="宋体"/>
          <w:snapToGrid w:val="0"/>
          <w:color w:val="auto"/>
          <w:sz w:val="21"/>
          <w:szCs w:val="21"/>
          <w:highlight w:val="none"/>
        </w:rPr>
        <w:sectPr>
          <w:endnotePr>
            <w:numFmt w:val="decimal"/>
          </w:endnotePr>
          <w:pgSz w:w="11906" w:h="16838"/>
          <w:pgMar w:top="1134" w:right="1134" w:bottom="1134" w:left="1134" w:header="567" w:footer="567" w:gutter="0"/>
          <w:pgBorders>
            <w:top w:val="none" w:sz="0" w:space="0"/>
            <w:left w:val="none" w:sz="0" w:space="0"/>
            <w:bottom w:val="none" w:sz="0" w:space="0"/>
            <w:right w:val="none" w:sz="0" w:space="0"/>
          </w:pgBorders>
          <w:cols w:space="720" w:num="1"/>
          <w:docGrid w:linePitch="327" w:charSpace="0"/>
        </w:sectPr>
      </w:pPr>
    </w:p>
    <w:bookmarkEnd w:id="285"/>
    <w:bookmarkEnd w:id="286"/>
    <w:p w14:paraId="257E92EE">
      <w:pPr>
        <w:pStyle w:val="4"/>
        <w:bidi w:val="0"/>
        <w:ind w:firstLine="964"/>
        <w:rPr>
          <w:rFonts w:hint="eastAsia" w:ascii="宋体" w:hAnsi="宋体" w:eastAsia="宋体" w:cs="宋体"/>
          <w:color w:val="auto"/>
        </w:rPr>
      </w:pPr>
      <w:bookmarkStart w:id="314" w:name="_Toc32402"/>
      <w:bookmarkStart w:id="315" w:name="_Toc20248"/>
      <w:bookmarkStart w:id="316" w:name="_Toc10778"/>
      <w:bookmarkStart w:id="317" w:name="_Toc27834"/>
      <w:r>
        <w:rPr>
          <w:rFonts w:hint="eastAsia" w:ascii="宋体" w:hAnsi="宋体" w:eastAsia="宋体" w:cs="宋体"/>
          <w:color w:val="auto"/>
        </w:rPr>
        <w:t>格式八 项目经理简历表</w:t>
      </w:r>
      <w:bookmarkEnd w:id="314"/>
      <w:bookmarkEnd w:id="315"/>
      <w:bookmarkEnd w:id="316"/>
      <w:bookmarkEnd w:id="317"/>
    </w:p>
    <w:p w14:paraId="3F50AE56">
      <w:pPr>
        <w:rPr>
          <w:rFonts w:hint="eastAsia" w:ascii="宋体" w:hAnsi="宋体" w:eastAsia="宋体" w:cs="宋体"/>
          <w:color w:val="auto"/>
          <w:highlight w:val="none"/>
        </w:rPr>
      </w:pPr>
    </w:p>
    <w:tbl>
      <w:tblPr>
        <w:tblStyle w:val="30"/>
        <w:tblpPr w:leftFromText="180" w:rightFromText="180" w:vertAnchor="text" w:horzAnchor="page" w:tblpX="1490" w:tblpY="692"/>
        <w:tblOverlap w:val="never"/>
        <w:tblW w:w="9270"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75"/>
        <w:gridCol w:w="963"/>
        <w:gridCol w:w="584"/>
        <w:gridCol w:w="648"/>
        <w:gridCol w:w="1294"/>
        <w:gridCol w:w="1946"/>
        <w:gridCol w:w="27"/>
        <w:gridCol w:w="1706"/>
        <w:gridCol w:w="1327"/>
      </w:tblGrid>
      <w:tr w14:paraId="5D7FB3A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0"/>
            <w:vAlign w:val="center"/>
          </w:tcPr>
          <w:p w14:paraId="0ADC183A">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姓   名</w:t>
            </w:r>
          </w:p>
        </w:tc>
        <w:tc>
          <w:tcPr>
            <w:tcW w:w="1232" w:type="dxa"/>
            <w:gridSpan w:val="2"/>
            <w:tcBorders>
              <w:top w:val="single" w:color="auto" w:sz="6" w:space="0"/>
              <w:left w:val="single" w:color="auto" w:sz="6" w:space="0"/>
              <w:bottom w:val="single" w:color="auto" w:sz="6" w:space="0"/>
              <w:right w:val="single" w:color="auto" w:sz="6" w:space="0"/>
            </w:tcBorders>
            <w:noWrap w:val="0"/>
            <w:vAlign w:val="center"/>
          </w:tcPr>
          <w:p w14:paraId="51355C11">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294" w:type="dxa"/>
            <w:tcBorders>
              <w:top w:val="single" w:color="auto" w:sz="6" w:space="0"/>
              <w:left w:val="single" w:color="auto" w:sz="6" w:space="0"/>
              <w:bottom w:val="single" w:color="auto" w:sz="6" w:space="0"/>
              <w:right w:val="single" w:color="auto" w:sz="6" w:space="0"/>
            </w:tcBorders>
            <w:noWrap w:val="0"/>
            <w:vAlign w:val="center"/>
          </w:tcPr>
          <w:p w14:paraId="135D30CD">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性  别</w:t>
            </w:r>
          </w:p>
        </w:tc>
        <w:tc>
          <w:tcPr>
            <w:tcW w:w="1946" w:type="dxa"/>
            <w:tcBorders>
              <w:top w:val="single" w:color="auto" w:sz="6" w:space="0"/>
              <w:left w:val="single" w:color="auto" w:sz="6" w:space="0"/>
              <w:bottom w:val="single" w:color="auto" w:sz="6" w:space="0"/>
              <w:right w:val="single" w:color="auto" w:sz="6" w:space="0"/>
            </w:tcBorders>
            <w:noWrap w:val="0"/>
            <w:vAlign w:val="center"/>
          </w:tcPr>
          <w:p w14:paraId="2994520B">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733" w:type="dxa"/>
            <w:gridSpan w:val="2"/>
            <w:tcBorders>
              <w:top w:val="single" w:color="auto" w:sz="6" w:space="0"/>
              <w:left w:val="single" w:color="auto" w:sz="6" w:space="0"/>
              <w:bottom w:val="single" w:color="auto" w:sz="6" w:space="0"/>
              <w:right w:val="single" w:color="auto" w:sz="6" w:space="0"/>
            </w:tcBorders>
            <w:noWrap w:val="0"/>
            <w:vAlign w:val="center"/>
          </w:tcPr>
          <w:p w14:paraId="6D4C2679">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年   龄</w:t>
            </w:r>
          </w:p>
        </w:tc>
        <w:tc>
          <w:tcPr>
            <w:tcW w:w="1327" w:type="dxa"/>
            <w:tcBorders>
              <w:top w:val="single" w:color="auto" w:sz="6" w:space="0"/>
              <w:left w:val="single" w:color="auto" w:sz="6" w:space="0"/>
              <w:bottom w:val="single" w:color="auto" w:sz="6" w:space="0"/>
              <w:right w:val="single" w:color="auto" w:sz="6" w:space="0"/>
            </w:tcBorders>
            <w:noWrap w:val="0"/>
            <w:vAlign w:val="center"/>
          </w:tcPr>
          <w:p w14:paraId="27250646">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44D11D4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0"/>
            <w:vAlign w:val="center"/>
          </w:tcPr>
          <w:p w14:paraId="6BB0F11E">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职   务</w:t>
            </w:r>
          </w:p>
        </w:tc>
        <w:tc>
          <w:tcPr>
            <w:tcW w:w="1232" w:type="dxa"/>
            <w:gridSpan w:val="2"/>
            <w:tcBorders>
              <w:top w:val="single" w:color="auto" w:sz="6" w:space="0"/>
              <w:left w:val="single" w:color="auto" w:sz="6" w:space="0"/>
              <w:bottom w:val="single" w:color="auto" w:sz="6" w:space="0"/>
              <w:right w:val="single" w:color="auto" w:sz="6" w:space="0"/>
            </w:tcBorders>
            <w:noWrap w:val="0"/>
            <w:vAlign w:val="center"/>
          </w:tcPr>
          <w:p w14:paraId="22E44397">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294" w:type="dxa"/>
            <w:tcBorders>
              <w:top w:val="single" w:color="auto" w:sz="6" w:space="0"/>
              <w:left w:val="single" w:color="auto" w:sz="6" w:space="0"/>
              <w:bottom w:val="single" w:color="auto" w:sz="6" w:space="0"/>
              <w:right w:val="single" w:color="auto" w:sz="6" w:space="0"/>
            </w:tcBorders>
            <w:noWrap w:val="0"/>
            <w:vAlign w:val="center"/>
          </w:tcPr>
          <w:p w14:paraId="1452FF30">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职  称</w:t>
            </w:r>
          </w:p>
        </w:tc>
        <w:tc>
          <w:tcPr>
            <w:tcW w:w="1946" w:type="dxa"/>
            <w:tcBorders>
              <w:top w:val="single" w:color="auto" w:sz="6" w:space="0"/>
              <w:left w:val="single" w:color="auto" w:sz="6" w:space="0"/>
              <w:bottom w:val="single" w:color="auto" w:sz="6" w:space="0"/>
              <w:right w:val="single" w:color="auto" w:sz="6" w:space="0"/>
            </w:tcBorders>
            <w:noWrap w:val="0"/>
            <w:vAlign w:val="center"/>
          </w:tcPr>
          <w:p w14:paraId="06E43C5B">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733" w:type="dxa"/>
            <w:gridSpan w:val="2"/>
            <w:tcBorders>
              <w:top w:val="single" w:color="auto" w:sz="6" w:space="0"/>
              <w:left w:val="single" w:color="auto" w:sz="6" w:space="0"/>
              <w:bottom w:val="single" w:color="auto" w:sz="6" w:space="0"/>
              <w:right w:val="single" w:color="auto" w:sz="6" w:space="0"/>
            </w:tcBorders>
            <w:noWrap w:val="0"/>
            <w:vAlign w:val="center"/>
          </w:tcPr>
          <w:p w14:paraId="4FD7D1F8">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学   历</w:t>
            </w:r>
          </w:p>
        </w:tc>
        <w:tc>
          <w:tcPr>
            <w:tcW w:w="1327" w:type="dxa"/>
            <w:tcBorders>
              <w:top w:val="single" w:color="auto" w:sz="6" w:space="0"/>
              <w:left w:val="single" w:color="auto" w:sz="6" w:space="0"/>
              <w:bottom w:val="single" w:color="auto" w:sz="6" w:space="0"/>
              <w:right w:val="single" w:color="auto" w:sz="6" w:space="0"/>
            </w:tcBorders>
            <w:noWrap w:val="0"/>
            <w:vAlign w:val="center"/>
          </w:tcPr>
          <w:p w14:paraId="06647D75">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04CCC5B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0"/>
            <w:vAlign w:val="center"/>
          </w:tcPr>
          <w:p w14:paraId="31D750A4">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参加工作时间</w:t>
            </w:r>
          </w:p>
        </w:tc>
        <w:tc>
          <w:tcPr>
            <w:tcW w:w="2526" w:type="dxa"/>
            <w:gridSpan w:val="3"/>
            <w:tcBorders>
              <w:top w:val="single" w:color="auto" w:sz="6" w:space="0"/>
              <w:left w:val="single" w:color="auto" w:sz="6" w:space="0"/>
              <w:bottom w:val="single" w:color="auto" w:sz="6" w:space="0"/>
              <w:right w:val="single" w:color="auto" w:sz="6" w:space="0"/>
            </w:tcBorders>
            <w:noWrap w:val="0"/>
            <w:vAlign w:val="center"/>
          </w:tcPr>
          <w:p w14:paraId="02BD2927">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3679" w:type="dxa"/>
            <w:gridSpan w:val="3"/>
            <w:tcBorders>
              <w:top w:val="single" w:color="auto" w:sz="6" w:space="0"/>
              <w:left w:val="single" w:color="auto" w:sz="6" w:space="0"/>
              <w:bottom w:val="single" w:color="auto" w:sz="6" w:space="0"/>
              <w:right w:val="single" w:color="auto" w:sz="6" w:space="0"/>
            </w:tcBorders>
            <w:noWrap w:val="0"/>
            <w:vAlign w:val="center"/>
          </w:tcPr>
          <w:p w14:paraId="2725EFEF">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从事工程建设项目管理工作年限</w:t>
            </w:r>
          </w:p>
        </w:tc>
        <w:tc>
          <w:tcPr>
            <w:tcW w:w="1327" w:type="dxa"/>
            <w:tcBorders>
              <w:top w:val="single" w:color="auto" w:sz="6" w:space="0"/>
              <w:left w:val="single" w:color="auto" w:sz="6" w:space="0"/>
              <w:bottom w:val="single" w:color="auto" w:sz="6" w:space="0"/>
              <w:right w:val="single" w:color="auto" w:sz="6" w:space="0"/>
            </w:tcBorders>
            <w:noWrap w:val="0"/>
            <w:vAlign w:val="center"/>
          </w:tcPr>
          <w:p w14:paraId="7AF0399F">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73928DD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270" w:type="dxa"/>
            <w:gridSpan w:val="9"/>
            <w:tcBorders>
              <w:top w:val="single" w:color="auto" w:sz="6" w:space="0"/>
              <w:left w:val="single" w:color="auto" w:sz="6" w:space="0"/>
              <w:bottom w:val="single" w:color="auto" w:sz="6" w:space="0"/>
              <w:right w:val="single" w:color="auto" w:sz="6" w:space="0"/>
            </w:tcBorders>
            <w:noWrap w:val="0"/>
            <w:vAlign w:val="center"/>
          </w:tcPr>
          <w:p w14:paraId="3CD0CD40">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以项目经理身份参与过的主要业绩（已完工项目）</w:t>
            </w:r>
          </w:p>
        </w:tc>
      </w:tr>
      <w:tr w14:paraId="0F6651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0"/>
            <w:vAlign w:val="center"/>
          </w:tcPr>
          <w:p w14:paraId="5901B822">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序号</w:t>
            </w:r>
          </w:p>
        </w:tc>
        <w:tc>
          <w:tcPr>
            <w:tcW w:w="1547" w:type="dxa"/>
            <w:gridSpan w:val="2"/>
            <w:tcBorders>
              <w:top w:val="single" w:color="auto" w:sz="6" w:space="0"/>
              <w:left w:val="single" w:color="auto" w:sz="4" w:space="0"/>
              <w:bottom w:val="single" w:color="auto" w:sz="6" w:space="0"/>
              <w:right w:val="single" w:color="auto" w:sz="6" w:space="0"/>
            </w:tcBorders>
            <w:noWrap w:val="0"/>
            <w:vAlign w:val="center"/>
          </w:tcPr>
          <w:p w14:paraId="7C662EE9">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项目名称</w:t>
            </w:r>
          </w:p>
        </w:tc>
        <w:tc>
          <w:tcPr>
            <w:tcW w:w="1942" w:type="dxa"/>
            <w:gridSpan w:val="2"/>
            <w:tcBorders>
              <w:top w:val="single" w:color="auto" w:sz="6" w:space="0"/>
              <w:left w:val="single" w:color="auto" w:sz="6" w:space="0"/>
              <w:bottom w:val="single" w:color="auto" w:sz="6" w:space="0"/>
              <w:right w:val="single" w:color="auto" w:sz="6" w:space="0"/>
            </w:tcBorders>
            <w:noWrap w:val="0"/>
            <w:vAlign w:val="center"/>
          </w:tcPr>
          <w:p w14:paraId="037EC845">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建设单位</w:t>
            </w:r>
          </w:p>
        </w:tc>
        <w:tc>
          <w:tcPr>
            <w:tcW w:w="1973" w:type="dxa"/>
            <w:gridSpan w:val="2"/>
            <w:tcBorders>
              <w:top w:val="single" w:color="auto" w:sz="6" w:space="0"/>
              <w:left w:val="single" w:color="auto" w:sz="6" w:space="0"/>
              <w:bottom w:val="single" w:color="auto" w:sz="6" w:space="0"/>
              <w:right w:val="single" w:color="auto" w:sz="6" w:space="0"/>
            </w:tcBorders>
            <w:noWrap w:val="0"/>
            <w:vAlign w:val="center"/>
          </w:tcPr>
          <w:p w14:paraId="4C939014">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建设内容和规模</w:t>
            </w:r>
          </w:p>
        </w:tc>
        <w:tc>
          <w:tcPr>
            <w:tcW w:w="1706" w:type="dxa"/>
            <w:tcBorders>
              <w:top w:val="single" w:color="auto" w:sz="6" w:space="0"/>
              <w:left w:val="single" w:color="auto" w:sz="6" w:space="0"/>
              <w:bottom w:val="single" w:color="auto" w:sz="6" w:space="0"/>
              <w:right w:val="single" w:color="auto" w:sz="6" w:space="0"/>
            </w:tcBorders>
            <w:noWrap w:val="0"/>
            <w:vAlign w:val="center"/>
          </w:tcPr>
          <w:p w14:paraId="7C36633F">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开、竣工日期</w:t>
            </w:r>
          </w:p>
        </w:tc>
        <w:tc>
          <w:tcPr>
            <w:tcW w:w="1327" w:type="dxa"/>
            <w:tcBorders>
              <w:top w:val="single" w:color="auto" w:sz="6" w:space="0"/>
              <w:left w:val="single" w:color="auto" w:sz="6" w:space="0"/>
              <w:bottom w:val="single" w:color="auto" w:sz="6" w:space="0"/>
              <w:right w:val="single" w:color="auto" w:sz="6" w:space="0"/>
            </w:tcBorders>
            <w:noWrap w:val="0"/>
            <w:vAlign w:val="center"/>
          </w:tcPr>
          <w:p w14:paraId="6A15EF25">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质量等级</w:t>
            </w:r>
          </w:p>
        </w:tc>
      </w:tr>
      <w:tr w14:paraId="2E3811E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0"/>
            <w:vAlign w:val="center"/>
          </w:tcPr>
          <w:p w14:paraId="6FD6510E">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w:t>
            </w:r>
          </w:p>
        </w:tc>
        <w:tc>
          <w:tcPr>
            <w:tcW w:w="1547" w:type="dxa"/>
            <w:gridSpan w:val="2"/>
            <w:tcBorders>
              <w:top w:val="single" w:color="auto" w:sz="6" w:space="0"/>
              <w:left w:val="single" w:color="auto" w:sz="4" w:space="0"/>
              <w:bottom w:val="single" w:color="auto" w:sz="6" w:space="0"/>
              <w:right w:val="single" w:color="auto" w:sz="6" w:space="0"/>
            </w:tcBorders>
            <w:noWrap w:val="0"/>
            <w:vAlign w:val="center"/>
          </w:tcPr>
          <w:p w14:paraId="4CA1E167">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0"/>
            <w:vAlign w:val="center"/>
          </w:tcPr>
          <w:p w14:paraId="0DFF5DAF">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0"/>
            <w:vAlign w:val="center"/>
          </w:tcPr>
          <w:p w14:paraId="7D73B71F">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706" w:type="dxa"/>
            <w:tcBorders>
              <w:top w:val="single" w:color="auto" w:sz="6" w:space="0"/>
              <w:left w:val="single" w:color="auto" w:sz="6" w:space="0"/>
              <w:bottom w:val="single" w:color="auto" w:sz="6" w:space="0"/>
              <w:right w:val="single" w:color="auto" w:sz="6" w:space="0"/>
            </w:tcBorders>
            <w:noWrap w:val="0"/>
            <w:vAlign w:val="center"/>
          </w:tcPr>
          <w:p w14:paraId="1440F33C">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327" w:type="dxa"/>
            <w:tcBorders>
              <w:top w:val="single" w:color="auto" w:sz="6" w:space="0"/>
              <w:left w:val="single" w:color="auto" w:sz="6" w:space="0"/>
              <w:bottom w:val="single" w:color="auto" w:sz="6" w:space="0"/>
              <w:right w:val="single" w:color="auto" w:sz="6" w:space="0"/>
            </w:tcBorders>
            <w:noWrap w:val="0"/>
            <w:vAlign w:val="center"/>
          </w:tcPr>
          <w:p w14:paraId="3D754442">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32C3CF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0"/>
            <w:vAlign w:val="center"/>
          </w:tcPr>
          <w:p w14:paraId="5C94BBAB">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2</w:t>
            </w:r>
          </w:p>
        </w:tc>
        <w:tc>
          <w:tcPr>
            <w:tcW w:w="1547" w:type="dxa"/>
            <w:gridSpan w:val="2"/>
            <w:tcBorders>
              <w:top w:val="single" w:color="auto" w:sz="6" w:space="0"/>
              <w:left w:val="single" w:color="auto" w:sz="4" w:space="0"/>
              <w:bottom w:val="single" w:color="auto" w:sz="6" w:space="0"/>
              <w:right w:val="single" w:color="auto" w:sz="6" w:space="0"/>
            </w:tcBorders>
            <w:noWrap w:val="0"/>
            <w:vAlign w:val="center"/>
          </w:tcPr>
          <w:p w14:paraId="78DC6C05">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0"/>
            <w:vAlign w:val="center"/>
          </w:tcPr>
          <w:p w14:paraId="012949D8">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0"/>
            <w:vAlign w:val="center"/>
          </w:tcPr>
          <w:p w14:paraId="75C06604">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706" w:type="dxa"/>
            <w:tcBorders>
              <w:top w:val="single" w:color="auto" w:sz="6" w:space="0"/>
              <w:left w:val="single" w:color="auto" w:sz="6" w:space="0"/>
              <w:bottom w:val="single" w:color="auto" w:sz="6" w:space="0"/>
              <w:right w:val="single" w:color="auto" w:sz="6" w:space="0"/>
            </w:tcBorders>
            <w:noWrap w:val="0"/>
            <w:vAlign w:val="center"/>
          </w:tcPr>
          <w:p w14:paraId="3C27E08E">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327" w:type="dxa"/>
            <w:tcBorders>
              <w:top w:val="single" w:color="auto" w:sz="6" w:space="0"/>
              <w:left w:val="single" w:color="auto" w:sz="6" w:space="0"/>
              <w:bottom w:val="single" w:color="auto" w:sz="6" w:space="0"/>
              <w:right w:val="single" w:color="auto" w:sz="6" w:space="0"/>
            </w:tcBorders>
            <w:noWrap w:val="0"/>
            <w:vAlign w:val="center"/>
          </w:tcPr>
          <w:p w14:paraId="10E59BC1">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255DD1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0"/>
            <w:vAlign w:val="center"/>
          </w:tcPr>
          <w:p w14:paraId="131F5CF6">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3</w:t>
            </w:r>
          </w:p>
        </w:tc>
        <w:tc>
          <w:tcPr>
            <w:tcW w:w="1547" w:type="dxa"/>
            <w:gridSpan w:val="2"/>
            <w:tcBorders>
              <w:top w:val="single" w:color="auto" w:sz="6" w:space="0"/>
              <w:left w:val="single" w:color="auto" w:sz="4" w:space="0"/>
              <w:bottom w:val="single" w:color="auto" w:sz="6" w:space="0"/>
              <w:right w:val="single" w:color="auto" w:sz="6" w:space="0"/>
            </w:tcBorders>
            <w:noWrap w:val="0"/>
            <w:vAlign w:val="center"/>
          </w:tcPr>
          <w:p w14:paraId="1E39C550">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0"/>
            <w:vAlign w:val="center"/>
          </w:tcPr>
          <w:p w14:paraId="23E828E6">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0"/>
            <w:vAlign w:val="center"/>
          </w:tcPr>
          <w:p w14:paraId="661093A1">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706" w:type="dxa"/>
            <w:tcBorders>
              <w:top w:val="single" w:color="auto" w:sz="6" w:space="0"/>
              <w:left w:val="single" w:color="auto" w:sz="6" w:space="0"/>
              <w:bottom w:val="single" w:color="auto" w:sz="6" w:space="0"/>
              <w:right w:val="single" w:color="auto" w:sz="6" w:space="0"/>
            </w:tcBorders>
            <w:noWrap w:val="0"/>
            <w:vAlign w:val="center"/>
          </w:tcPr>
          <w:p w14:paraId="2EC9810B">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327" w:type="dxa"/>
            <w:tcBorders>
              <w:top w:val="single" w:color="auto" w:sz="6" w:space="0"/>
              <w:left w:val="single" w:color="auto" w:sz="6" w:space="0"/>
              <w:bottom w:val="single" w:color="auto" w:sz="6" w:space="0"/>
              <w:right w:val="single" w:color="auto" w:sz="6" w:space="0"/>
            </w:tcBorders>
            <w:noWrap w:val="0"/>
            <w:vAlign w:val="center"/>
          </w:tcPr>
          <w:p w14:paraId="127B30EE">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15258E2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0"/>
            <w:vAlign w:val="center"/>
          </w:tcPr>
          <w:p w14:paraId="3F54C1E5">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w:t>
            </w:r>
          </w:p>
        </w:tc>
        <w:tc>
          <w:tcPr>
            <w:tcW w:w="1547" w:type="dxa"/>
            <w:gridSpan w:val="2"/>
            <w:tcBorders>
              <w:top w:val="single" w:color="auto" w:sz="6" w:space="0"/>
              <w:left w:val="single" w:color="auto" w:sz="4" w:space="0"/>
              <w:bottom w:val="single" w:color="auto" w:sz="6" w:space="0"/>
              <w:right w:val="single" w:color="auto" w:sz="6" w:space="0"/>
            </w:tcBorders>
            <w:noWrap w:val="0"/>
            <w:vAlign w:val="center"/>
          </w:tcPr>
          <w:p w14:paraId="2315F881">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0"/>
            <w:vAlign w:val="center"/>
          </w:tcPr>
          <w:p w14:paraId="497CDA40">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0"/>
            <w:vAlign w:val="center"/>
          </w:tcPr>
          <w:p w14:paraId="2018A40B">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706" w:type="dxa"/>
            <w:tcBorders>
              <w:top w:val="single" w:color="auto" w:sz="6" w:space="0"/>
              <w:left w:val="single" w:color="auto" w:sz="6" w:space="0"/>
              <w:bottom w:val="single" w:color="auto" w:sz="6" w:space="0"/>
              <w:right w:val="single" w:color="auto" w:sz="6" w:space="0"/>
            </w:tcBorders>
            <w:noWrap w:val="0"/>
            <w:vAlign w:val="center"/>
          </w:tcPr>
          <w:p w14:paraId="042E555D">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327" w:type="dxa"/>
            <w:tcBorders>
              <w:top w:val="single" w:color="auto" w:sz="6" w:space="0"/>
              <w:left w:val="single" w:color="auto" w:sz="6" w:space="0"/>
              <w:bottom w:val="single" w:color="auto" w:sz="6" w:space="0"/>
              <w:right w:val="single" w:color="auto" w:sz="6" w:space="0"/>
            </w:tcBorders>
            <w:noWrap w:val="0"/>
            <w:vAlign w:val="center"/>
          </w:tcPr>
          <w:p w14:paraId="3E383282">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bl>
    <w:p w14:paraId="333CD819">
      <w:pPr>
        <w:wordWrap w:val="0"/>
        <w:adjustRightInd w:val="0"/>
        <w:snapToGrid w:val="0"/>
        <w:spacing w:line="440" w:lineRule="exact"/>
        <w:jc w:val="center"/>
        <w:outlineLvl w:val="2"/>
        <w:rPr>
          <w:rFonts w:hint="eastAsia" w:ascii="宋体" w:hAnsi="宋体" w:eastAsia="宋体" w:cs="宋体"/>
          <w:b/>
          <w:bCs/>
          <w:snapToGrid w:val="0"/>
          <w:color w:val="auto"/>
          <w:kern w:val="0"/>
          <w:szCs w:val="24"/>
          <w:highlight w:val="none"/>
        </w:rPr>
      </w:pPr>
      <w:bookmarkStart w:id="318" w:name="_Toc21706"/>
      <w:bookmarkStart w:id="319" w:name="_Toc31554"/>
      <w:r>
        <w:rPr>
          <w:rFonts w:hint="eastAsia" w:ascii="宋体" w:hAnsi="宋体" w:eastAsia="宋体" w:cs="宋体"/>
          <w:b/>
          <w:snapToGrid w:val="0"/>
          <w:color w:val="auto"/>
          <w:kern w:val="0"/>
          <w:sz w:val="30"/>
          <w:highlight w:val="none"/>
        </w:rPr>
        <w:t>项目经理简历表</w:t>
      </w:r>
      <w:bookmarkEnd w:id="318"/>
      <w:bookmarkEnd w:id="319"/>
    </w:p>
    <w:p w14:paraId="70952DB3">
      <w:pPr>
        <w:wordWrap w:val="0"/>
        <w:adjustRightInd w:val="0"/>
        <w:snapToGrid w:val="0"/>
        <w:spacing w:line="440" w:lineRule="exact"/>
        <w:ind w:firstLine="570"/>
        <w:rPr>
          <w:rFonts w:hint="eastAsia" w:ascii="宋体" w:hAnsi="宋体" w:eastAsia="宋体" w:cs="宋体"/>
          <w:snapToGrid w:val="0"/>
          <w:color w:val="auto"/>
          <w:kern w:val="0"/>
          <w:szCs w:val="28"/>
          <w:highlight w:val="none"/>
        </w:rPr>
      </w:pPr>
    </w:p>
    <w:p w14:paraId="1A9BDCD5">
      <w:pPr>
        <w:pStyle w:val="62"/>
        <w:wordWrap w:val="0"/>
        <w:adjustRightInd w:val="0"/>
        <w:snapToGrid w:val="0"/>
        <w:spacing w:line="440" w:lineRule="exact"/>
        <w:jc w:val="right"/>
        <w:rPr>
          <w:rFonts w:hint="eastAsia" w:ascii="宋体" w:hAnsi="宋体" w:eastAsia="宋体" w:cs="宋体"/>
          <w:snapToGrid w:val="0"/>
          <w:color w:val="auto"/>
          <w:kern w:val="0"/>
          <w:highlight w:val="none"/>
        </w:rPr>
      </w:pPr>
    </w:p>
    <w:p w14:paraId="27299335">
      <w:pPr>
        <w:pStyle w:val="62"/>
        <w:wordWrap w:val="0"/>
        <w:adjustRightInd w:val="0"/>
        <w:snapToGrid w:val="0"/>
        <w:spacing w:line="440" w:lineRule="exact"/>
        <w:jc w:val="right"/>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项目经理：</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（签字）</w:t>
      </w:r>
    </w:p>
    <w:p w14:paraId="5E6483BB">
      <w:pPr>
        <w:pStyle w:val="62"/>
        <w:wordWrap w:val="0"/>
        <w:adjustRightInd w:val="0"/>
        <w:snapToGrid w:val="0"/>
        <w:spacing w:line="440" w:lineRule="exact"/>
        <w:jc w:val="right"/>
        <w:rPr>
          <w:rFonts w:hint="eastAsia" w:ascii="宋体" w:hAnsi="宋体" w:eastAsia="宋体" w:cs="宋体"/>
          <w:snapToGrid w:val="0"/>
          <w:color w:val="auto"/>
          <w:kern w:val="0"/>
          <w:highlight w:val="none"/>
        </w:rPr>
      </w:pPr>
    </w:p>
    <w:p w14:paraId="6A8A7244">
      <w:pPr>
        <w:pStyle w:val="62"/>
        <w:wordWrap w:val="0"/>
        <w:adjustRightInd w:val="0"/>
        <w:snapToGrid w:val="0"/>
        <w:spacing w:line="440" w:lineRule="exact"/>
        <w:jc w:val="center"/>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 xml:space="preserve">                                     </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年</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月</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日</w:t>
      </w:r>
    </w:p>
    <w:p w14:paraId="71B8F092">
      <w:pPr>
        <w:wordWrap w:val="0"/>
        <w:adjustRightInd w:val="0"/>
        <w:snapToGrid w:val="0"/>
        <w:spacing w:line="400" w:lineRule="exact"/>
        <w:ind w:firstLine="570"/>
        <w:rPr>
          <w:rFonts w:hint="eastAsia" w:ascii="宋体" w:hAnsi="宋体" w:eastAsia="宋体" w:cs="宋体"/>
          <w:snapToGrid w:val="0"/>
          <w:color w:val="auto"/>
          <w:kern w:val="0"/>
          <w:szCs w:val="28"/>
          <w:highlight w:val="none"/>
        </w:rPr>
      </w:pPr>
    </w:p>
    <w:p w14:paraId="44FCFD3F">
      <w:pPr>
        <w:wordWrap w:val="0"/>
        <w:adjustRightInd w:val="0"/>
        <w:snapToGrid w:val="0"/>
        <w:spacing w:line="360" w:lineRule="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8"/>
          <w:highlight w:val="none"/>
        </w:rPr>
        <w:t xml:space="preserve"> </w:t>
      </w:r>
      <w:r>
        <w:rPr>
          <w:rFonts w:hint="eastAsia" w:ascii="宋体" w:hAnsi="宋体" w:eastAsia="宋体" w:cs="宋体"/>
          <w:snapToGrid w:val="0"/>
          <w:color w:val="auto"/>
          <w:kern w:val="0"/>
          <w:sz w:val="21"/>
          <w:szCs w:val="21"/>
          <w:highlight w:val="none"/>
        </w:rPr>
        <w:t>说明：《项目经理简历表》后应附拟派项目经理以下资料：</w:t>
      </w:r>
    </w:p>
    <w:p w14:paraId="1AAE81FB">
      <w:pPr>
        <w:wordWrap w:val="0"/>
        <w:adjustRightInd w:val="0"/>
        <w:snapToGrid w:val="0"/>
        <w:spacing w:line="360" w:lineRule="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 xml:space="preserve">    1．身份证</w:t>
      </w:r>
      <w:r>
        <w:rPr>
          <w:rFonts w:hint="eastAsia" w:ascii="宋体" w:hAnsi="宋体" w:eastAsia="宋体" w:cs="宋体"/>
          <w:snapToGrid w:val="0"/>
          <w:color w:val="auto"/>
          <w:kern w:val="0"/>
          <w:sz w:val="21"/>
          <w:szCs w:val="21"/>
          <w:highlight w:val="none"/>
          <w:lang w:eastAsia="zh-CN"/>
        </w:rPr>
        <w:t>彩色扫描件</w:t>
      </w:r>
      <w:r>
        <w:rPr>
          <w:rFonts w:hint="eastAsia" w:ascii="宋体" w:hAnsi="宋体" w:eastAsia="宋体" w:cs="宋体"/>
          <w:snapToGrid w:val="0"/>
          <w:color w:val="auto"/>
          <w:kern w:val="0"/>
          <w:sz w:val="21"/>
          <w:szCs w:val="21"/>
          <w:highlight w:val="none"/>
        </w:rPr>
        <w:t>；</w:t>
      </w:r>
    </w:p>
    <w:p w14:paraId="373EEC9B">
      <w:pPr>
        <w:wordWrap w:val="0"/>
        <w:adjustRightInd w:val="0"/>
        <w:snapToGrid w:val="0"/>
        <w:spacing w:line="360" w:lineRule="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rPr>
        <w:t xml:space="preserve">    2．</w:t>
      </w:r>
      <w:r>
        <w:rPr>
          <w:rFonts w:hint="eastAsia" w:ascii="宋体" w:hAnsi="宋体" w:eastAsia="宋体" w:cs="宋体"/>
          <w:snapToGrid w:val="0"/>
          <w:color w:val="auto"/>
          <w:kern w:val="0"/>
          <w:sz w:val="21"/>
          <w:szCs w:val="21"/>
          <w:highlight w:val="none"/>
          <w:lang w:eastAsia="zh-CN"/>
        </w:rPr>
        <w:t>建造师电子注册证书（在使用有效期内的有效电子证书）彩色扫描件；</w:t>
      </w:r>
    </w:p>
    <w:p w14:paraId="6D389050">
      <w:pPr>
        <w:wordWrap w:val="0"/>
        <w:adjustRightInd w:val="0"/>
        <w:snapToGrid w:val="0"/>
        <w:spacing w:line="360" w:lineRule="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 xml:space="preserve">    3．B类安全生产考核合格证书</w:t>
      </w:r>
      <w:r>
        <w:rPr>
          <w:rFonts w:hint="eastAsia" w:ascii="宋体" w:hAnsi="宋体" w:eastAsia="宋体" w:cs="宋体"/>
          <w:snapToGrid w:val="0"/>
          <w:color w:val="auto"/>
          <w:kern w:val="0"/>
          <w:sz w:val="21"/>
          <w:szCs w:val="21"/>
          <w:highlight w:val="none"/>
          <w:lang w:eastAsia="zh-CN"/>
        </w:rPr>
        <w:t>彩色扫描件</w:t>
      </w:r>
      <w:r>
        <w:rPr>
          <w:rFonts w:hint="eastAsia" w:ascii="宋体" w:hAnsi="宋体" w:eastAsia="宋体" w:cs="宋体"/>
          <w:snapToGrid w:val="0"/>
          <w:color w:val="auto"/>
          <w:kern w:val="0"/>
          <w:sz w:val="21"/>
          <w:szCs w:val="21"/>
          <w:highlight w:val="none"/>
        </w:rPr>
        <w:t>或广东省建筑施工企业管理人员安全生产考核系统考核合格信息打印页；</w:t>
      </w:r>
    </w:p>
    <w:p w14:paraId="24A1F9BC">
      <w:pPr>
        <w:snapToGrid w:val="0"/>
        <w:spacing w:line="360" w:lineRule="auto"/>
        <w:ind w:firstLine="420" w:firstLineChars="200"/>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rPr>
        <w:t>4．</w:t>
      </w:r>
      <w:r>
        <w:rPr>
          <w:rFonts w:hint="eastAsia" w:ascii="宋体" w:hAnsi="宋体" w:eastAsia="宋体" w:cs="宋体"/>
          <w:snapToGrid w:val="0"/>
          <w:color w:val="auto"/>
          <w:kern w:val="0"/>
          <w:sz w:val="21"/>
          <w:szCs w:val="21"/>
          <w:highlight w:val="none"/>
          <w:lang w:eastAsia="zh-CN"/>
        </w:rPr>
        <w:t>在本单位缴纳社保的证明（至少连续</w:t>
      </w:r>
      <w:r>
        <w:rPr>
          <w:rFonts w:hint="eastAsia" w:ascii="宋体" w:hAnsi="宋体" w:eastAsia="宋体" w:cs="宋体"/>
          <w:snapToGrid w:val="0"/>
          <w:color w:val="auto"/>
          <w:kern w:val="0"/>
          <w:sz w:val="21"/>
          <w:szCs w:val="21"/>
          <w:highlight w:val="none"/>
          <w:lang w:val="en-US" w:eastAsia="zh-CN"/>
        </w:rPr>
        <w:t>一</w:t>
      </w:r>
      <w:r>
        <w:rPr>
          <w:rFonts w:hint="eastAsia" w:ascii="宋体" w:hAnsi="宋体" w:eastAsia="宋体" w:cs="宋体"/>
          <w:snapToGrid w:val="0"/>
          <w:color w:val="auto"/>
          <w:kern w:val="0"/>
          <w:sz w:val="21"/>
          <w:szCs w:val="21"/>
          <w:highlight w:val="none"/>
          <w:lang w:eastAsia="zh-CN"/>
        </w:rPr>
        <w:t>个月，其中必须有202</w:t>
      </w:r>
      <w:r>
        <w:rPr>
          <w:rFonts w:hint="eastAsia" w:ascii="宋体" w:hAnsi="宋体" w:eastAsia="宋体" w:cs="宋体"/>
          <w:snapToGrid w:val="0"/>
          <w:color w:val="auto"/>
          <w:kern w:val="0"/>
          <w:sz w:val="21"/>
          <w:szCs w:val="21"/>
          <w:highlight w:val="none"/>
          <w:lang w:val="en-US" w:eastAsia="zh-CN"/>
        </w:rPr>
        <w:t>5</w:t>
      </w:r>
      <w:r>
        <w:rPr>
          <w:rFonts w:hint="eastAsia" w:ascii="宋体" w:hAnsi="宋体" w:eastAsia="宋体" w:cs="宋体"/>
          <w:snapToGrid w:val="0"/>
          <w:color w:val="auto"/>
          <w:kern w:val="0"/>
          <w:sz w:val="21"/>
          <w:szCs w:val="21"/>
          <w:highlight w:val="none"/>
          <w:lang w:eastAsia="zh-CN"/>
        </w:rPr>
        <w:t>年</w:t>
      </w:r>
      <w:r>
        <w:rPr>
          <w:rFonts w:hint="eastAsia" w:ascii="宋体" w:hAnsi="宋体" w:eastAsia="宋体" w:cs="宋体"/>
          <w:snapToGrid w:val="0"/>
          <w:color w:val="auto"/>
          <w:kern w:val="0"/>
          <w:sz w:val="21"/>
          <w:szCs w:val="21"/>
          <w:highlight w:val="none"/>
          <w:lang w:val="en-US" w:eastAsia="zh-CN"/>
        </w:rPr>
        <w:t>09</w:t>
      </w:r>
      <w:r>
        <w:rPr>
          <w:rFonts w:hint="eastAsia" w:ascii="宋体" w:hAnsi="宋体" w:eastAsia="宋体" w:cs="宋体"/>
          <w:snapToGrid w:val="0"/>
          <w:color w:val="auto"/>
          <w:kern w:val="0"/>
          <w:sz w:val="21"/>
          <w:szCs w:val="21"/>
          <w:highlight w:val="none"/>
          <w:lang w:eastAsia="zh-CN"/>
        </w:rPr>
        <w:t>月）彩色扫描件。拟派项目经理为退休返聘人员无法提供社保证明的，提供退休证和劳动彩色扫描件；</w:t>
      </w:r>
    </w:p>
    <w:p w14:paraId="2D1A5D9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lang w:eastAsia="zh-CN"/>
        </w:rPr>
        <w:sectPr>
          <w:endnotePr>
            <w:numFmt w:val="decimal"/>
          </w:endnotePr>
          <w:pgSz w:w="11906" w:h="16838"/>
          <w:pgMar w:top="1134" w:right="1134" w:bottom="1134" w:left="1134" w:header="567" w:footer="567" w:gutter="0"/>
          <w:cols w:space="720" w:num="1"/>
          <w:docGrid w:linePitch="327" w:charSpace="0"/>
        </w:sectPr>
      </w:pPr>
      <w:r>
        <w:rPr>
          <w:rFonts w:hint="eastAsia" w:ascii="宋体" w:hAnsi="宋体" w:eastAsia="宋体" w:cs="宋体"/>
          <w:color w:val="auto"/>
          <w:sz w:val="21"/>
          <w:szCs w:val="21"/>
          <w:lang w:val="en-US" w:eastAsia="zh-CN"/>
        </w:rPr>
        <w:t>5.</w:t>
      </w:r>
      <w:r>
        <w:rPr>
          <w:rFonts w:hint="eastAsia" w:ascii="宋体" w:hAnsi="宋体" w:eastAsia="宋体" w:cs="宋体"/>
          <w:color w:val="auto"/>
          <w:sz w:val="21"/>
          <w:szCs w:val="21"/>
          <w:lang w:eastAsia="zh-CN"/>
        </w:rPr>
        <w:t>“进粤企业和人员诚信信息登记平台”个人信息情况截图。（适用于省外建筑企业）。</w:t>
      </w:r>
    </w:p>
    <w:p w14:paraId="5DEAF4E8">
      <w:pPr>
        <w:pStyle w:val="4"/>
        <w:bidi w:val="0"/>
        <w:ind w:firstLine="964"/>
        <w:rPr>
          <w:rFonts w:hint="eastAsia" w:ascii="宋体" w:hAnsi="宋体" w:eastAsia="宋体" w:cs="宋体"/>
          <w:color w:val="auto"/>
        </w:rPr>
      </w:pPr>
      <w:bookmarkStart w:id="320" w:name="_Toc2842"/>
      <w:bookmarkStart w:id="321" w:name="_Toc5290"/>
      <w:bookmarkStart w:id="322" w:name="_Toc8211"/>
      <w:bookmarkStart w:id="323" w:name="_Toc21761"/>
      <w:r>
        <w:rPr>
          <w:rFonts w:hint="eastAsia" w:ascii="宋体" w:hAnsi="宋体" w:eastAsia="宋体" w:cs="宋体"/>
          <w:color w:val="auto"/>
        </w:rPr>
        <w:t>格式九 项目经理任职声明</w:t>
      </w:r>
      <w:bookmarkEnd w:id="320"/>
      <w:bookmarkEnd w:id="321"/>
      <w:bookmarkEnd w:id="322"/>
      <w:bookmarkEnd w:id="323"/>
    </w:p>
    <w:p w14:paraId="14F0CE43">
      <w:pPr>
        <w:rPr>
          <w:rFonts w:hint="eastAsia" w:ascii="宋体" w:hAnsi="宋体" w:eastAsia="宋体" w:cs="宋体"/>
          <w:color w:val="auto"/>
          <w:highlight w:val="none"/>
        </w:rPr>
      </w:pPr>
    </w:p>
    <w:p w14:paraId="218D3A3A">
      <w:pPr>
        <w:wordWrap w:val="0"/>
        <w:adjustRightInd w:val="0"/>
        <w:snapToGrid w:val="0"/>
        <w:spacing w:before="260" w:after="260" w:line="440" w:lineRule="exact"/>
        <w:jc w:val="center"/>
        <w:rPr>
          <w:rFonts w:hint="eastAsia" w:ascii="宋体" w:hAnsi="宋体" w:eastAsia="宋体" w:cs="宋体"/>
          <w:snapToGrid w:val="0"/>
          <w:color w:val="auto"/>
          <w:kern w:val="0"/>
          <w:szCs w:val="28"/>
          <w:highlight w:val="none"/>
        </w:rPr>
      </w:pPr>
      <w:r>
        <w:rPr>
          <w:rFonts w:hint="eastAsia" w:ascii="宋体" w:hAnsi="宋体" w:eastAsia="宋体" w:cs="宋体"/>
          <w:b/>
          <w:snapToGrid w:val="0"/>
          <w:color w:val="auto"/>
          <w:kern w:val="0"/>
          <w:sz w:val="30"/>
          <w:highlight w:val="none"/>
        </w:rPr>
        <w:t>项目经理任职声明</w:t>
      </w:r>
    </w:p>
    <w:p w14:paraId="45DC195A">
      <w:pPr>
        <w:wordWrap w:val="0"/>
        <w:adjustRightInd w:val="0"/>
        <w:snapToGrid w:val="0"/>
        <w:spacing w:line="440" w:lineRule="exact"/>
        <w:jc w:val="center"/>
        <w:rPr>
          <w:rFonts w:hint="eastAsia" w:ascii="宋体" w:hAnsi="宋体" w:eastAsia="宋体" w:cs="宋体"/>
          <w:snapToGrid w:val="0"/>
          <w:color w:val="auto"/>
          <w:kern w:val="0"/>
          <w:szCs w:val="28"/>
          <w:highlight w:val="none"/>
        </w:rPr>
      </w:pPr>
    </w:p>
    <w:p w14:paraId="62664D40">
      <w:pPr>
        <w:wordWrap w:val="0"/>
        <w:adjustRightInd w:val="0"/>
        <w:snapToGrid w:val="0"/>
        <w:spacing w:line="440" w:lineRule="exact"/>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致：</w:t>
      </w:r>
      <w:r>
        <w:rPr>
          <w:rFonts w:hint="eastAsia" w:ascii="宋体" w:hAnsi="宋体" w:eastAsia="宋体" w:cs="宋体"/>
          <w:snapToGrid w:val="0"/>
          <w:color w:val="auto"/>
          <w:kern w:val="0"/>
          <w:szCs w:val="28"/>
          <w:highlight w:val="none"/>
          <w:u w:val="single"/>
        </w:rPr>
        <w:t xml:space="preserve">                   </w:t>
      </w:r>
      <w:r>
        <w:rPr>
          <w:rFonts w:hint="eastAsia" w:ascii="宋体" w:hAnsi="宋体" w:eastAsia="宋体" w:cs="宋体"/>
          <w:snapToGrid w:val="0"/>
          <w:color w:val="auto"/>
          <w:kern w:val="0"/>
          <w:szCs w:val="28"/>
          <w:highlight w:val="none"/>
        </w:rPr>
        <w:t>（招标人名称）：</w:t>
      </w:r>
    </w:p>
    <w:p w14:paraId="647CE416">
      <w:pPr>
        <w:wordWrap w:val="0"/>
        <w:adjustRightInd w:val="0"/>
        <w:snapToGrid w:val="0"/>
        <w:spacing w:line="440" w:lineRule="exact"/>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　　我方在此声明，我方拟派往</w:t>
      </w:r>
      <w:r>
        <w:rPr>
          <w:rFonts w:hint="eastAsia" w:ascii="宋体" w:hAnsi="宋体" w:eastAsia="宋体" w:cs="宋体"/>
          <w:snapToGrid w:val="0"/>
          <w:color w:val="auto"/>
          <w:kern w:val="0"/>
          <w:szCs w:val="28"/>
          <w:highlight w:val="none"/>
          <w:u w:val="single"/>
        </w:rPr>
        <w:t xml:space="preserve">        </w:t>
      </w:r>
      <w:r>
        <w:rPr>
          <w:rFonts w:hint="eastAsia" w:ascii="宋体" w:hAnsi="宋体" w:eastAsia="宋体" w:cs="宋体"/>
          <w:snapToGrid w:val="0"/>
          <w:color w:val="auto"/>
          <w:kern w:val="0"/>
          <w:szCs w:val="28"/>
          <w:highlight w:val="none"/>
        </w:rPr>
        <w:t>（项目名称）的项目经理</w:t>
      </w:r>
      <w:r>
        <w:rPr>
          <w:rFonts w:hint="eastAsia" w:ascii="宋体" w:hAnsi="宋体" w:eastAsia="宋体" w:cs="宋体"/>
          <w:snapToGrid w:val="0"/>
          <w:color w:val="auto"/>
          <w:kern w:val="0"/>
          <w:szCs w:val="28"/>
          <w:highlight w:val="none"/>
          <w:u w:val="single"/>
        </w:rPr>
        <w:t xml:space="preserve">           </w:t>
      </w:r>
      <w:r>
        <w:rPr>
          <w:rFonts w:hint="eastAsia" w:ascii="宋体" w:hAnsi="宋体" w:eastAsia="宋体" w:cs="宋体"/>
          <w:snapToGrid w:val="0"/>
          <w:color w:val="auto"/>
          <w:kern w:val="0"/>
          <w:szCs w:val="28"/>
          <w:highlight w:val="none"/>
        </w:rPr>
        <w:t>（项目经理姓名）现阶段没有担任任何在施（包括已中标未开工、已开工未竣工）建设工程项目的项目经理。</w:t>
      </w:r>
    </w:p>
    <w:p w14:paraId="7FB173E1">
      <w:pPr>
        <w:wordWrap w:val="0"/>
        <w:adjustRightInd w:val="0"/>
        <w:snapToGrid w:val="0"/>
        <w:spacing w:line="440" w:lineRule="exact"/>
        <w:ind w:firstLine="480"/>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我方保证上述信息的真实和准确，并愿意承担因我方就此弄虚作假所引起的一切法律后果。</w:t>
      </w:r>
    </w:p>
    <w:p w14:paraId="237EEE33">
      <w:pPr>
        <w:wordWrap w:val="0"/>
        <w:adjustRightInd w:val="0"/>
        <w:snapToGrid w:val="0"/>
        <w:spacing w:line="440" w:lineRule="exact"/>
        <w:ind w:firstLine="480"/>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　　</w:t>
      </w:r>
    </w:p>
    <w:p w14:paraId="283E22E3">
      <w:pPr>
        <w:wordWrap w:val="0"/>
        <w:adjustRightInd w:val="0"/>
        <w:snapToGrid w:val="0"/>
        <w:spacing w:line="440" w:lineRule="exact"/>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　　特此承诺　　</w:t>
      </w:r>
    </w:p>
    <w:p w14:paraId="02BC082B">
      <w:pPr>
        <w:wordWrap w:val="0"/>
        <w:adjustRightInd w:val="0"/>
        <w:snapToGrid w:val="0"/>
        <w:spacing w:line="440" w:lineRule="exact"/>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　　</w:t>
      </w:r>
    </w:p>
    <w:p w14:paraId="4235C005">
      <w:pPr>
        <w:wordWrap w:val="0"/>
        <w:adjustRightInd w:val="0"/>
        <w:snapToGrid w:val="0"/>
        <w:spacing w:line="440" w:lineRule="exact"/>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　　</w:t>
      </w:r>
    </w:p>
    <w:p w14:paraId="4DC8890A">
      <w:pPr>
        <w:wordWrap w:val="0"/>
        <w:adjustRightInd w:val="0"/>
        <w:snapToGrid w:val="0"/>
        <w:spacing w:line="440" w:lineRule="exact"/>
        <w:jc w:val="right"/>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投标人：</w:t>
      </w:r>
      <w:r>
        <w:rPr>
          <w:rFonts w:hint="eastAsia" w:ascii="宋体" w:hAnsi="宋体" w:eastAsia="宋体" w:cs="宋体"/>
          <w:snapToGrid w:val="0"/>
          <w:color w:val="auto"/>
          <w:kern w:val="0"/>
          <w:szCs w:val="28"/>
          <w:highlight w:val="none"/>
          <w:u w:val="single"/>
        </w:rPr>
        <w:t xml:space="preserve">                                </w:t>
      </w:r>
      <w:r>
        <w:rPr>
          <w:rFonts w:hint="eastAsia" w:ascii="宋体" w:hAnsi="宋体" w:eastAsia="宋体" w:cs="宋体"/>
          <w:snapToGrid w:val="0"/>
          <w:color w:val="auto"/>
          <w:kern w:val="0"/>
          <w:szCs w:val="28"/>
          <w:highlight w:val="none"/>
        </w:rPr>
        <w:t>（盖单位章）</w:t>
      </w:r>
    </w:p>
    <w:p w14:paraId="6427A282">
      <w:pPr>
        <w:wordWrap w:val="0"/>
        <w:adjustRightInd w:val="0"/>
        <w:snapToGrid w:val="0"/>
        <w:spacing w:line="440" w:lineRule="exact"/>
        <w:jc w:val="right"/>
        <w:rPr>
          <w:rFonts w:hint="eastAsia" w:ascii="宋体" w:hAnsi="宋体" w:eastAsia="宋体" w:cs="宋体"/>
          <w:snapToGrid w:val="0"/>
          <w:color w:val="auto"/>
          <w:kern w:val="0"/>
          <w:szCs w:val="28"/>
          <w:highlight w:val="none"/>
        </w:rPr>
      </w:pPr>
    </w:p>
    <w:p w14:paraId="1A24926C">
      <w:pPr>
        <w:wordWrap w:val="0"/>
        <w:adjustRightInd w:val="0"/>
        <w:snapToGrid w:val="0"/>
        <w:spacing w:line="440" w:lineRule="exact"/>
        <w:jc w:val="right"/>
        <w:rPr>
          <w:rFonts w:hint="eastAsia" w:ascii="宋体" w:hAnsi="宋体" w:eastAsia="宋体" w:cs="宋体"/>
          <w:snapToGrid w:val="0"/>
          <w:color w:val="auto"/>
          <w:kern w:val="0"/>
          <w:szCs w:val="28"/>
          <w:highlight w:val="none"/>
        </w:rPr>
      </w:pPr>
    </w:p>
    <w:p w14:paraId="7729CED2">
      <w:pPr>
        <w:wordWrap w:val="0"/>
        <w:adjustRightInd w:val="0"/>
        <w:snapToGrid w:val="0"/>
        <w:spacing w:line="440" w:lineRule="exact"/>
        <w:jc w:val="right"/>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法定代表人或其委托代理人：</w:t>
      </w:r>
      <w:r>
        <w:rPr>
          <w:rFonts w:hint="eastAsia" w:ascii="宋体" w:hAnsi="宋体" w:eastAsia="宋体" w:cs="宋体"/>
          <w:snapToGrid w:val="0"/>
          <w:color w:val="auto"/>
          <w:kern w:val="0"/>
          <w:szCs w:val="28"/>
          <w:highlight w:val="none"/>
          <w:u w:val="single"/>
        </w:rPr>
        <w:t xml:space="preserve">             </w:t>
      </w:r>
      <w:r>
        <w:rPr>
          <w:rFonts w:hint="eastAsia" w:ascii="宋体" w:hAnsi="宋体" w:eastAsia="宋体" w:cs="宋体"/>
          <w:snapToGrid w:val="0"/>
          <w:color w:val="auto"/>
          <w:kern w:val="0"/>
          <w:szCs w:val="28"/>
          <w:highlight w:val="none"/>
        </w:rPr>
        <w:t>（签字或盖章）</w:t>
      </w:r>
    </w:p>
    <w:p w14:paraId="0E109AC8">
      <w:pPr>
        <w:wordWrap w:val="0"/>
        <w:adjustRightInd w:val="0"/>
        <w:snapToGrid w:val="0"/>
        <w:spacing w:line="440" w:lineRule="exact"/>
        <w:jc w:val="right"/>
        <w:rPr>
          <w:rFonts w:hint="eastAsia" w:ascii="宋体" w:hAnsi="宋体" w:eastAsia="宋体" w:cs="宋体"/>
          <w:snapToGrid w:val="0"/>
          <w:color w:val="auto"/>
          <w:kern w:val="0"/>
          <w:szCs w:val="28"/>
          <w:highlight w:val="none"/>
        </w:rPr>
      </w:pPr>
    </w:p>
    <w:p w14:paraId="08D12FAA">
      <w:pPr>
        <w:wordWrap w:val="0"/>
        <w:adjustRightInd w:val="0"/>
        <w:snapToGrid w:val="0"/>
        <w:spacing w:line="440" w:lineRule="exact"/>
        <w:jc w:val="center"/>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 xml:space="preserve">                            </w:t>
      </w:r>
      <w:r>
        <w:rPr>
          <w:rFonts w:hint="eastAsia" w:ascii="宋体" w:hAnsi="宋体" w:eastAsia="宋体" w:cs="宋体"/>
          <w:snapToGrid w:val="0"/>
          <w:color w:val="auto"/>
          <w:kern w:val="0"/>
          <w:szCs w:val="28"/>
          <w:highlight w:val="none"/>
          <w:u w:val="single"/>
        </w:rPr>
        <w:t xml:space="preserve">         </w:t>
      </w:r>
      <w:r>
        <w:rPr>
          <w:rFonts w:hint="eastAsia" w:ascii="宋体" w:hAnsi="宋体" w:eastAsia="宋体" w:cs="宋体"/>
          <w:snapToGrid w:val="0"/>
          <w:color w:val="auto"/>
          <w:kern w:val="0"/>
          <w:szCs w:val="28"/>
          <w:highlight w:val="none"/>
        </w:rPr>
        <w:t>年</w:t>
      </w:r>
      <w:r>
        <w:rPr>
          <w:rFonts w:hint="eastAsia" w:ascii="宋体" w:hAnsi="宋体" w:eastAsia="宋体" w:cs="宋体"/>
          <w:snapToGrid w:val="0"/>
          <w:color w:val="auto"/>
          <w:kern w:val="0"/>
          <w:szCs w:val="28"/>
          <w:highlight w:val="none"/>
          <w:u w:val="single"/>
        </w:rPr>
        <w:t xml:space="preserve">        </w:t>
      </w:r>
      <w:r>
        <w:rPr>
          <w:rFonts w:hint="eastAsia" w:ascii="宋体" w:hAnsi="宋体" w:eastAsia="宋体" w:cs="宋体"/>
          <w:snapToGrid w:val="0"/>
          <w:color w:val="auto"/>
          <w:kern w:val="0"/>
          <w:szCs w:val="28"/>
          <w:highlight w:val="none"/>
        </w:rPr>
        <w:t>月</w:t>
      </w:r>
      <w:r>
        <w:rPr>
          <w:rFonts w:hint="eastAsia" w:ascii="宋体" w:hAnsi="宋体" w:eastAsia="宋体" w:cs="宋体"/>
          <w:snapToGrid w:val="0"/>
          <w:color w:val="auto"/>
          <w:kern w:val="0"/>
          <w:szCs w:val="28"/>
          <w:highlight w:val="none"/>
          <w:u w:val="single"/>
        </w:rPr>
        <w:t xml:space="preserve">        </w:t>
      </w:r>
      <w:r>
        <w:rPr>
          <w:rFonts w:hint="eastAsia" w:ascii="宋体" w:hAnsi="宋体" w:eastAsia="宋体" w:cs="宋体"/>
          <w:snapToGrid w:val="0"/>
          <w:color w:val="auto"/>
          <w:kern w:val="0"/>
          <w:szCs w:val="28"/>
          <w:highlight w:val="none"/>
        </w:rPr>
        <w:t>日</w:t>
      </w:r>
    </w:p>
    <w:p w14:paraId="6957D60E">
      <w:pPr>
        <w:wordWrap w:val="0"/>
        <w:adjustRightInd w:val="0"/>
        <w:snapToGrid w:val="0"/>
        <w:spacing w:line="440" w:lineRule="exact"/>
        <w:rPr>
          <w:rFonts w:hint="eastAsia" w:ascii="宋体" w:hAnsi="宋体" w:eastAsia="宋体" w:cs="宋体"/>
          <w:snapToGrid w:val="0"/>
          <w:color w:val="auto"/>
          <w:kern w:val="0"/>
          <w:szCs w:val="28"/>
          <w:highlight w:val="none"/>
        </w:rPr>
        <w:sectPr>
          <w:endnotePr>
            <w:numFmt w:val="decimal"/>
          </w:endnotePr>
          <w:pgSz w:w="11906" w:h="16838"/>
          <w:pgMar w:top="1134" w:right="1134" w:bottom="1134" w:left="1134" w:header="567" w:footer="567" w:gutter="0"/>
          <w:cols w:space="720" w:num="1"/>
          <w:docGrid w:linePitch="327" w:charSpace="0"/>
        </w:sectPr>
      </w:pPr>
    </w:p>
    <w:p w14:paraId="02E975E8">
      <w:pPr>
        <w:pStyle w:val="4"/>
        <w:bidi w:val="0"/>
        <w:ind w:firstLine="964"/>
        <w:rPr>
          <w:rFonts w:hint="eastAsia" w:ascii="宋体" w:hAnsi="宋体" w:eastAsia="宋体" w:cs="宋体"/>
          <w:color w:val="auto"/>
        </w:rPr>
      </w:pPr>
      <w:bookmarkStart w:id="324" w:name="_Toc27257"/>
      <w:bookmarkStart w:id="325" w:name="_Toc12722"/>
      <w:bookmarkStart w:id="326" w:name="_Toc21420"/>
      <w:bookmarkStart w:id="327" w:name="_Toc24994"/>
      <w:r>
        <w:rPr>
          <w:rFonts w:hint="eastAsia" w:ascii="宋体" w:hAnsi="宋体" w:eastAsia="宋体" w:cs="宋体"/>
          <w:color w:val="auto"/>
        </w:rPr>
        <w:t>格式十 项目技术负责人简历表</w:t>
      </w:r>
      <w:bookmarkEnd w:id="324"/>
      <w:bookmarkEnd w:id="325"/>
      <w:bookmarkEnd w:id="326"/>
      <w:bookmarkEnd w:id="327"/>
    </w:p>
    <w:p w14:paraId="259A65F5">
      <w:pPr>
        <w:rPr>
          <w:rFonts w:hint="eastAsia" w:ascii="宋体" w:hAnsi="宋体" w:eastAsia="宋体" w:cs="宋体"/>
          <w:color w:val="auto"/>
          <w:highlight w:val="none"/>
        </w:rPr>
      </w:pPr>
    </w:p>
    <w:tbl>
      <w:tblPr>
        <w:tblStyle w:val="30"/>
        <w:tblpPr w:leftFromText="180" w:rightFromText="180" w:vertAnchor="text" w:horzAnchor="page" w:tblpX="1490" w:tblpY="692"/>
        <w:tblOverlap w:val="never"/>
        <w:tblW w:w="9270"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75"/>
        <w:gridCol w:w="963"/>
        <w:gridCol w:w="584"/>
        <w:gridCol w:w="648"/>
        <w:gridCol w:w="1294"/>
        <w:gridCol w:w="1946"/>
        <w:gridCol w:w="27"/>
        <w:gridCol w:w="1706"/>
        <w:gridCol w:w="1327"/>
      </w:tblGrid>
      <w:tr w14:paraId="0E9564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0"/>
            <w:vAlign w:val="center"/>
          </w:tcPr>
          <w:p w14:paraId="0CC8480A">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姓   名</w:t>
            </w:r>
          </w:p>
        </w:tc>
        <w:tc>
          <w:tcPr>
            <w:tcW w:w="1232" w:type="dxa"/>
            <w:gridSpan w:val="2"/>
            <w:tcBorders>
              <w:top w:val="single" w:color="auto" w:sz="6" w:space="0"/>
              <w:left w:val="single" w:color="auto" w:sz="6" w:space="0"/>
              <w:bottom w:val="single" w:color="auto" w:sz="6" w:space="0"/>
              <w:right w:val="single" w:color="auto" w:sz="6" w:space="0"/>
            </w:tcBorders>
            <w:noWrap w:val="0"/>
            <w:vAlign w:val="center"/>
          </w:tcPr>
          <w:p w14:paraId="529C5A1E">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294" w:type="dxa"/>
            <w:tcBorders>
              <w:top w:val="single" w:color="auto" w:sz="6" w:space="0"/>
              <w:left w:val="single" w:color="auto" w:sz="6" w:space="0"/>
              <w:bottom w:val="single" w:color="auto" w:sz="6" w:space="0"/>
              <w:right w:val="single" w:color="auto" w:sz="6" w:space="0"/>
            </w:tcBorders>
            <w:noWrap w:val="0"/>
            <w:vAlign w:val="center"/>
          </w:tcPr>
          <w:p w14:paraId="555794C3">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性  别</w:t>
            </w:r>
          </w:p>
        </w:tc>
        <w:tc>
          <w:tcPr>
            <w:tcW w:w="1946" w:type="dxa"/>
            <w:tcBorders>
              <w:top w:val="single" w:color="auto" w:sz="6" w:space="0"/>
              <w:left w:val="single" w:color="auto" w:sz="6" w:space="0"/>
              <w:bottom w:val="single" w:color="auto" w:sz="6" w:space="0"/>
              <w:right w:val="single" w:color="auto" w:sz="6" w:space="0"/>
            </w:tcBorders>
            <w:noWrap w:val="0"/>
            <w:vAlign w:val="center"/>
          </w:tcPr>
          <w:p w14:paraId="691CA219">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733" w:type="dxa"/>
            <w:gridSpan w:val="2"/>
            <w:tcBorders>
              <w:top w:val="single" w:color="auto" w:sz="6" w:space="0"/>
              <w:left w:val="single" w:color="auto" w:sz="6" w:space="0"/>
              <w:bottom w:val="single" w:color="auto" w:sz="6" w:space="0"/>
              <w:right w:val="single" w:color="auto" w:sz="6" w:space="0"/>
            </w:tcBorders>
            <w:noWrap w:val="0"/>
            <w:vAlign w:val="center"/>
          </w:tcPr>
          <w:p w14:paraId="49DA6CBB">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年   龄</w:t>
            </w:r>
          </w:p>
        </w:tc>
        <w:tc>
          <w:tcPr>
            <w:tcW w:w="1327" w:type="dxa"/>
            <w:tcBorders>
              <w:top w:val="single" w:color="auto" w:sz="6" w:space="0"/>
              <w:left w:val="single" w:color="auto" w:sz="6" w:space="0"/>
              <w:bottom w:val="single" w:color="auto" w:sz="6" w:space="0"/>
              <w:right w:val="single" w:color="auto" w:sz="6" w:space="0"/>
            </w:tcBorders>
            <w:noWrap w:val="0"/>
            <w:vAlign w:val="center"/>
          </w:tcPr>
          <w:p w14:paraId="1E4991D7">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553B73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0"/>
            <w:vAlign w:val="center"/>
          </w:tcPr>
          <w:p w14:paraId="62F714BA">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职   务</w:t>
            </w:r>
          </w:p>
        </w:tc>
        <w:tc>
          <w:tcPr>
            <w:tcW w:w="1232" w:type="dxa"/>
            <w:gridSpan w:val="2"/>
            <w:tcBorders>
              <w:top w:val="single" w:color="auto" w:sz="6" w:space="0"/>
              <w:left w:val="single" w:color="auto" w:sz="6" w:space="0"/>
              <w:bottom w:val="single" w:color="auto" w:sz="6" w:space="0"/>
              <w:right w:val="single" w:color="auto" w:sz="6" w:space="0"/>
            </w:tcBorders>
            <w:noWrap w:val="0"/>
            <w:vAlign w:val="center"/>
          </w:tcPr>
          <w:p w14:paraId="5C6B06EC">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294" w:type="dxa"/>
            <w:tcBorders>
              <w:top w:val="single" w:color="auto" w:sz="6" w:space="0"/>
              <w:left w:val="single" w:color="auto" w:sz="6" w:space="0"/>
              <w:bottom w:val="single" w:color="auto" w:sz="6" w:space="0"/>
              <w:right w:val="single" w:color="auto" w:sz="6" w:space="0"/>
            </w:tcBorders>
            <w:noWrap w:val="0"/>
            <w:vAlign w:val="center"/>
          </w:tcPr>
          <w:p w14:paraId="0F3F1F37">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职  称</w:t>
            </w:r>
          </w:p>
        </w:tc>
        <w:tc>
          <w:tcPr>
            <w:tcW w:w="1946" w:type="dxa"/>
            <w:tcBorders>
              <w:top w:val="single" w:color="auto" w:sz="6" w:space="0"/>
              <w:left w:val="single" w:color="auto" w:sz="6" w:space="0"/>
              <w:bottom w:val="single" w:color="auto" w:sz="6" w:space="0"/>
              <w:right w:val="single" w:color="auto" w:sz="6" w:space="0"/>
            </w:tcBorders>
            <w:noWrap w:val="0"/>
            <w:vAlign w:val="center"/>
          </w:tcPr>
          <w:p w14:paraId="46A4DCD9">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733" w:type="dxa"/>
            <w:gridSpan w:val="2"/>
            <w:tcBorders>
              <w:top w:val="single" w:color="auto" w:sz="6" w:space="0"/>
              <w:left w:val="single" w:color="auto" w:sz="6" w:space="0"/>
              <w:bottom w:val="single" w:color="auto" w:sz="6" w:space="0"/>
              <w:right w:val="single" w:color="auto" w:sz="6" w:space="0"/>
            </w:tcBorders>
            <w:noWrap w:val="0"/>
            <w:vAlign w:val="center"/>
          </w:tcPr>
          <w:p w14:paraId="1B7AB78D">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学   历</w:t>
            </w:r>
          </w:p>
        </w:tc>
        <w:tc>
          <w:tcPr>
            <w:tcW w:w="1327" w:type="dxa"/>
            <w:tcBorders>
              <w:top w:val="single" w:color="auto" w:sz="6" w:space="0"/>
              <w:left w:val="single" w:color="auto" w:sz="6" w:space="0"/>
              <w:bottom w:val="single" w:color="auto" w:sz="6" w:space="0"/>
              <w:right w:val="single" w:color="auto" w:sz="6" w:space="0"/>
            </w:tcBorders>
            <w:noWrap w:val="0"/>
            <w:vAlign w:val="center"/>
          </w:tcPr>
          <w:p w14:paraId="5C8CED65">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78FFC6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0"/>
            <w:vAlign w:val="center"/>
          </w:tcPr>
          <w:p w14:paraId="49452DE7">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参加工作时间</w:t>
            </w:r>
          </w:p>
        </w:tc>
        <w:tc>
          <w:tcPr>
            <w:tcW w:w="2526" w:type="dxa"/>
            <w:gridSpan w:val="3"/>
            <w:tcBorders>
              <w:top w:val="single" w:color="auto" w:sz="6" w:space="0"/>
              <w:left w:val="single" w:color="auto" w:sz="6" w:space="0"/>
              <w:bottom w:val="single" w:color="auto" w:sz="6" w:space="0"/>
              <w:right w:val="single" w:color="auto" w:sz="6" w:space="0"/>
            </w:tcBorders>
            <w:noWrap w:val="0"/>
            <w:vAlign w:val="center"/>
          </w:tcPr>
          <w:p w14:paraId="3404E89F">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3679" w:type="dxa"/>
            <w:gridSpan w:val="3"/>
            <w:tcBorders>
              <w:top w:val="single" w:color="auto" w:sz="6" w:space="0"/>
              <w:left w:val="single" w:color="auto" w:sz="6" w:space="0"/>
              <w:bottom w:val="single" w:color="auto" w:sz="6" w:space="0"/>
              <w:right w:val="single" w:color="auto" w:sz="6" w:space="0"/>
            </w:tcBorders>
            <w:noWrap w:val="0"/>
            <w:vAlign w:val="center"/>
          </w:tcPr>
          <w:p w14:paraId="522114AC">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从事工程建设项目管理工作年限</w:t>
            </w:r>
          </w:p>
        </w:tc>
        <w:tc>
          <w:tcPr>
            <w:tcW w:w="1327" w:type="dxa"/>
            <w:tcBorders>
              <w:top w:val="single" w:color="auto" w:sz="6" w:space="0"/>
              <w:left w:val="single" w:color="auto" w:sz="6" w:space="0"/>
              <w:bottom w:val="single" w:color="auto" w:sz="6" w:space="0"/>
              <w:right w:val="single" w:color="auto" w:sz="6" w:space="0"/>
            </w:tcBorders>
            <w:noWrap w:val="0"/>
            <w:vAlign w:val="center"/>
          </w:tcPr>
          <w:p w14:paraId="1E1FD377">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34558EA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270" w:type="dxa"/>
            <w:gridSpan w:val="9"/>
            <w:tcBorders>
              <w:top w:val="single" w:color="auto" w:sz="6" w:space="0"/>
              <w:left w:val="single" w:color="auto" w:sz="6" w:space="0"/>
              <w:bottom w:val="single" w:color="auto" w:sz="6" w:space="0"/>
              <w:right w:val="single" w:color="auto" w:sz="6" w:space="0"/>
            </w:tcBorders>
            <w:noWrap w:val="0"/>
            <w:vAlign w:val="center"/>
          </w:tcPr>
          <w:p w14:paraId="2DF790ED">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以项目技术负责人身份参与过的主要业绩（已完工项目）</w:t>
            </w:r>
          </w:p>
        </w:tc>
      </w:tr>
      <w:tr w14:paraId="093B5E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0"/>
            <w:vAlign w:val="center"/>
          </w:tcPr>
          <w:p w14:paraId="1D324551">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序号</w:t>
            </w:r>
          </w:p>
        </w:tc>
        <w:tc>
          <w:tcPr>
            <w:tcW w:w="1547" w:type="dxa"/>
            <w:gridSpan w:val="2"/>
            <w:tcBorders>
              <w:top w:val="single" w:color="auto" w:sz="6" w:space="0"/>
              <w:left w:val="single" w:color="auto" w:sz="4" w:space="0"/>
              <w:bottom w:val="single" w:color="auto" w:sz="6" w:space="0"/>
              <w:right w:val="single" w:color="auto" w:sz="6" w:space="0"/>
            </w:tcBorders>
            <w:noWrap w:val="0"/>
            <w:vAlign w:val="center"/>
          </w:tcPr>
          <w:p w14:paraId="38317C96">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项目名称</w:t>
            </w:r>
          </w:p>
        </w:tc>
        <w:tc>
          <w:tcPr>
            <w:tcW w:w="1942" w:type="dxa"/>
            <w:gridSpan w:val="2"/>
            <w:tcBorders>
              <w:top w:val="single" w:color="auto" w:sz="6" w:space="0"/>
              <w:left w:val="single" w:color="auto" w:sz="6" w:space="0"/>
              <w:bottom w:val="single" w:color="auto" w:sz="6" w:space="0"/>
              <w:right w:val="single" w:color="auto" w:sz="6" w:space="0"/>
            </w:tcBorders>
            <w:noWrap w:val="0"/>
            <w:vAlign w:val="center"/>
          </w:tcPr>
          <w:p w14:paraId="15F423D0">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建设单位</w:t>
            </w:r>
          </w:p>
        </w:tc>
        <w:tc>
          <w:tcPr>
            <w:tcW w:w="1973" w:type="dxa"/>
            <w:gridSpan w:val="2"/>
            <w:tcBorders>
              <w:top w:val="single" w:color="auto" w:sz="6" w:space="0"/>
              <w:left w:val="single" w:color="auto" w:sz="6" w:space="0"/>
              <w:bottom w:val="single" w:color="auto" w:sz="6" w:space="0"/>
              <w:right w:val="single" w:color="auto" w:sz="6" w:space="0"/>
            </w:tcBorders>
            <w:noWrap w:val="0"/>
            <w:vAlign w:val="center"/>
          </w:tcPr>
          <w:p w14:paraId="7FF149C2">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建设内容和规模</w:t>
            </w:r>
          </w:p>
        </w:tc>
        <w:tc>
          <w:tcPr>
            <w:tcW w:w="1706" w:type="dxa"/>
            <w:tcBorders>
              <w:top w:val="single" w:color="auto" w:sz="6" w:space="0"/>
              <w:left w:val="single" w:color="auto" w:sz="6" w:space="0"/>
              <w:bottom w:val="single" w:color="auto" w:sz="6" w:space="0"/>
              <w:right w:val="single" w:color="auto" w:sz="6" w:space="0"/>
            </w:tcBorders>
            <w:noWrap w:val="0"/>
            <w:vAlign w:val="center"/>
          </w:tcPr>
          <w:p w14:paraId="6C5244D5">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开、竣工日期</w:t>
            </w:r>
          </w:p>
        </w:tc>
        <w:tc>
          <w:tcPr>
            <w:tcW w:w="1327" w:type="dxa"/>
            <w:tcBorders>
              <w:top w:val="single" w:color="auto" w:sz="6" w:space="0"/>
              <w:left w:val="single" w:color="auto" w:sz="6" w:space="0"/>
              <w:bottom w:val="single" w:color="auto" w:sz="6" w:space="0"/>
              <w:right w:val="single" w:color="auto" w:sz="6" w:space="0"/>
            </w:tcBorders>
            <w:noWrap w:val="0"/>
            <w:vAlign w:val="center"/>
          </w:tcPr>
          <w:p w14:paraId="6C9F438A">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质量等级</w:t>
            </w:r>
          </w:p>
        </w:tc>
      </w:tr>
      <w:tr w14:paraId="11C0C16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0"/>
            <w:vAlign w:val="center"/>
          </w:tcPr>
          <w:p w14:paraId="3799ABC3">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w:t>
            </w:r>
          </w:p>
        </w:tc>
        <w:tc>
          <w:tcPr>
            <w:tcW w:w="1547" w:type="dxa"/>
            <w:gridSpan w:val="2"/>
            <w:tcBorders>
              <w:top w:val="single" w:color="auto" w:sz="6" w:space="0"/>
              <w:left w:val="single" w:color="auto" w:sz="4" w:space="0"/>
              <w:bottom w:val="single" w:color="auto" w:sz="6" w:space="0"/>
              <w:right w:val="single" w:color="auto" w:sz="6" w:space="0"/>
            </w:tcBorders>
            <w:noWrap w:val="0"/>
            <w:vAlign w:val="center"/>
          </w:tcPr>
          <w:p w14:paraId="5167B272">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0"/>
            <w:vAlign w:val="center"/>
          </w:tcPr>
          <w:p w14:paraId="2833AAFA">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0"/>
            <w:vAlign w:val="center"/>
          </w:tcPr>
          <w:p w14:paraId="7DA5526C">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706" w:type="dxa"/>
            <w:tcBorders>
              <w:top w:val="single" w:color="auto" w:sz="6" w:space="0"/>
              <w:left w:val="single" w:color="auto" w:sz="6" w:space="0"/>
              <w:bottom w:val="single" w:color="auto" w:sz="6" w:space="0"/>
              <w:right w:val="single" w:color="auto" w:sz="6" w:space="0"/>
            </w:tcBorders>
            <w:noWrap w:val="0"/>
            <w:vAlign w:val="center"/>
          </w:tcPr>
          <w:p w14:paraId="401B7DCE">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327" w:type="dxa"/>
            <w:tcBorders>
              <w:top w:val="single" w:color="auto" w:sz="6" w:space="0"/>
              <w:left w:val="single" w:color="auto" w:sz="6" w:space="0"/>
              <w:bottom w:val="single" w:color="auto" w:sz="6" w:space="0"/>
              <w:right w:val="single" w:color="auto" w:sz="6" w:space="0"/>
            </w:tcBorders>
            <w:noWrap w:val="0"/>
            <w:vAlign w:val="center"/>
          </w:tcPr>
          <w:p w14:paraId="0C89E829">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6DD4C6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0"/>
            <w:vAlign w:val="center"/>
          </w:tcPr>
          <w:p w14:paraId="4B346A59">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2</w:t>
            </w:r>
          </w:p>
        </w:tc>
        <w:tc>
          <w:tcPr>
            <w:tcW w:w="1547" w:type="dxa"/>
            <w:gridSpan w:val="2"/>
            <w:tcBorders>
              <w:top w:val="single" w:color="auto" w:sz="6" w:space="0"/>
              <w:left w:val="single" w:color="auto" w:sz="4" w:space="0"/>
              <w:bottom w:val="single" w:color="auto" w:sz="6" w:space="0"/>
              <w:right w:val="single" w:color="auto" w:sz="6" w:space="0"/>
            </w:tcBorders>
            <w:noWrap w:val="0"/>
            <w:vAlign w:val="center"/>
          </w:tcPr>
          <w:p w14:paraId="59B7DE3E">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0"/>
            <w:vAlign w:val="center"/>
          </w:tcPr>
          <w:p w14:paraId="2A90E60B">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0"/>
            <w:vAlign w:val="center"/>
          </w:tcPr>
          <w:p w14:paraId="5259A8D2">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706" w:type="dxa"/>
            <w:tcBorders>
              <w:top w:val="single" w:color="auto" w:sz="6" w:space="0"/>
              <w:left w:val="single" w:color="auto" w:sz="6" w:space="0"/>
              <w:bottom w:val="single" w:color="auto" w:sz="6" w:space="0"/>
              <w:right w:val="single" w:color="auto" w:sz="6" w:space="0"/>
            </w:tcBorders>
            <w:noWrap w:val="0"/>
            <w:vAlign w:val="center"/>
          </w:tcPr>
          <w:p w14:paraId="60417FCA">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327" w:type="dxa"/>
            <w:tcBorders>
              <w:top w:val="single" w:color="auto" w:sz="6" w:space="0"/>
              <w:left w:val="single" w:color="auto" w:sz="6" w:space="0"/>
              <w:bottom w:val="single" w:color="auto" w:sz="6" w:space="0"/>
              <w:right w:val="single" w:color="auto" w:sz="6" w:space="0"/>
            </w:tcBorders>
            <w:noWrap w:val="0"/>
            <w:vAlign w:val="center"/>
          </w:tcPr>
          <w:p w14:paraId="32E7E22E">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0D60E59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0"/>
            <w:vAlign w:val="center"/>
          </w:tcPr>
          <w:p w14:paraId="24FB5BA1">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w:t>
            </w:r>
          </w:p>
        </w:tc>
        <w:tc>
          <w:tcPr>
            <w:tcW w:w="1547" w:type="dxa"/>
            <w:gridSpan w:val="2"/>
            <w:tcBorders>
              <w:top w:val="single" w:color="auto" w:sz="6" w:space="0"/>
              <w:left w:val="single" w:color="auto" w:sz="4" w:space="0"/>
              <w:bottom w:val="single" w:color="auto" w:sz="6" w:space="0"/>
              <w:right w:val="single" w:color="auto" w:sz="6" w:space="0"/>
            </w:tcBorders>
            <w:noWrap w:val="0"/>
            <w:vAlign w:val="center"/>
          </w:tcPr>
          <w:p w14:paraId="09506DD2">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0"/>
            <w:vAlign w:val="center"/>
          </w:tcPr>
          <w:p w14:paraId="113265C5">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0"/>
            <w:vAlign w:val="center"/>
          </w:tcPr>
          <w:p w14:paraId="093B426C">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706" w:type="dxa"/>
            <w:tcBorders>
              <w:top w:val="single" w:color="auto" w:sz="6" w:space="0"/>
              <w:left w:val="single" w:color="auto" w:sz="6" w:space="0"/>
              <w:bottom w:val="single" w:color="auto" w:sz="6" w:space="0"/>
              <w:right w:val="single" w:color="auto" w:sz="6" w:space="0"/>
            </w:tcBorders>
            <w:noWrap w:val="0"/>
            <w:vAlign w:val="center"/>
          </w:tcPr>
          <w:p w14:paraId="217B81AC">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327" w:type="dxa"/>
            <w:tcBorders>
              <w:top w:val="single" w:color="auto" w:sz="6" w:space="0"/>
              <w:left w:val="single" w:color="auto" w:sz="6" w:space="0"/>
              <w:bottom w:val="single" w:color="auto" w:sz="6" w:space="0"/>
              <w:right w:val="single" w:color="auto" w:sz="6" w:space="0"/>
            </w:tcBorders>
            <w:noWrap w:val="0"/>
            <w:vAlign w:val="center"/>
          </w:tcPr>
          <w:p w14:paraId="78ED2682">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5BA3CD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0"/>
            <w:vAlign w:val="center"/>
          </w:tcPr>
          <w:p w14:paraId="452AB46C">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547" w:type="dxa"/>
            <w:gridSpan w:val="2"/>
            <w:tcBorders>
              <w:top w:val="single" w:color="auto" w:sz="6" w:space="0"/>
              <w:left w:val="single" w:color="auto" w:sz="4" w:space="0"/>
              <w:bottom w:val="single" w:color="auto" w:sz="6" w:space="0"/>
              <w:right w:val="single" w:color="auto" w:sz="6" w:space="0"/>
            </w:tcBorders>
            <w:noWrap w:val="0"/>
            <w:vAlign w:val="center"/>
          </w:tcPr>
          <w:p w14:paraId="730B9B63">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0"/>
            <w:vAlign w:val="center"/>
          </w:tcPr>
          <w:p w14:paraId="4E6D0D8F">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0"/>
            <w:vAlign w:val="center"/>
          </w:tcPr>
          <w:p w14:paraId="4EDFD915">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706" w:type="dxa"/>
            <w:tcBorders>
              <w:top w:val="single" w:color="auto" w:sz="6" w:space="0"/>
              <w:left w:val="single" w:color="auto" w:sz="6" w:space="0"/>
              <w:bottom w:val="single" w:color="auto" w:sz="6" w:space="0"/>
              <w:right w:val="single" w:color="auto" w:sz="6" w:space="0"/>
            </w:tcBorders>
            <w:noWrap w:val="0"/>
            <w:vAlign w:val="center"/>
          </w:tcPr>
          <w:p w14:paraId="20DFC306">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327" w:type="dxa"/>
            <w:tcBorders>
              <w:top w:val="single" w:color="auto" w:sz="6" w:space="0"/>
              <w:left w:val="single" w:color="auto" w:sz="6" w:space="0"/>
              <w:bottom w:val="single" w:color="auto" w:sz="6" w:space="0"/>
              <w:right w:val="single" w:color="auto" w:sz="6" w:space="0"/>
            </w:tcBorders>
            <w:noWrap w:val="0"/>
            <w:vAlign w:val="center"/>
          </w:tcPr>
          <w:p w14:paraId="6DC47E50">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2E9EF9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0"/>
            <w:vAlign w:val="center"/>
          </w:tcPr>
          <w:p w14:paraId="48D48484">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547" w:type="dxa"/>
            <w:gridSpan w:val="2"/>
            <w:tcBorders>
              <w:top w:val="single" w:color="auto" w:sz="6" w:space="0"/>
              <w:left w:val="single" w:color="auto" w:sz="4" w:space="0"/>
              <w:bottom w:val="single" w:color="auto" w:sz="6" w:space="0"/>
              <w:right w:val="single" w:color="auto" w:sz="6" w:space="0"/>
            </w:tcBorders>
            <w:noWrap w:val="0"/>
            <w:vAlign w:val="center"/>
          </w:tcPr>
          <w:p w14:paraId="6F10B4FD">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0"/>
            <w:vAlign w:val="center"/>
          </w:tcPr>
          <w:p w14:paraId="3272A823">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0"/>
            <w:vAlign w:val="center"/>
          </w:tcPr>
          <w:p w14:paraId="1DD79C0D">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706" w:type="dxa"/>
            <w:tcBorders>
              <w:top w:val="single" w:color="auto" w:sz="6" w:space="0"/>
              <w:left w:val="single" w:color="auto" w:sz="6" w:space="0"/>
              <w:bottom w:val="single" w:color="auto" w:sz="6" w:space="0"/>
              <w:right w:val="single" w:color="auto" w:sz="6" w:space="0"/>
            </w:tcBorders>
            <w:noWrap w:val="0"/>
            <w:vAlign w:val="center"/>
          </w:tcPr>
          <w:p w14:paraId="0E1C8986">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327" w:type="dxa"/>
            <w:tcBorders>
              <w:top w:val="single" w:color="auto" w:sz="6" w:space="0"/>
              <w:left w:val="single" w:color="auto" w:sz="6" w:space="0"/>
              <w:bottom w:val="single" w:color="auto" w:sz="6" w:space="0"/>
              <w:right w:val="single" w:color="auto" w:sz="6" w:space="0"/>
            </w:tcBorders>
            <w:noWrap w:val="0"/>
            <w:vAlign w:val="center"/>
          </w:tcPr>
          <w:p w14:paraId="2A4B99F4">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bl>
    <w:p w14:paraId="0AD99FDB">
      <w:pPr>
        <w:wordWrap w:val="0"/>
        <w:adjustRightInd w:val="0"/>
        <w:snapToGrid w:val="0"/>
        <w:spacing w:line="440" w:lineRule="exact"/>
        <w:jc w:val="center"/>
        <w:outlineLvl w:val="2"/>
        <w:rPr>
          <w:rFonts w:hint="eastAsia" w:ascii="宋体" w:hAnsi="宋体" w:eastAsia="宋体" w:cs="宋体"/>
          <w:b/>
          <w:bCs/>
          <w:snapToGrid w:val="0"/>
          <w:color w:val="auto"/>
          <w:kern w:val="0"/>
          <w:szCs w:val="24"/>
          <w:highlight w:val="none"/>
        </w:rPr>
      </w:pPr>
      <w:bookmarkStart w:id="328" w:name="_Toc12290"/>
      <w:bookmarkStart w:id="329" w:name="_Toc6237"/>
      <w:r>
        <w:rPr>
          <w:rFonts w:hint="eastAsia" w:ascii="宋体" w:hAnsi="宋体" w:eastAsia="宋体" w:cs="宋体"/>
          <w:b/>
          <w:snapToGrid w:val="0"/>
          <w:color w:val="auto"/>
          <w:kern w:val="0"/>
          <w:sz w:val="30"/>
          <w:highlight w:val="none"/>
        </w:rPr>
        <w:t>项目技术负责人简历表</w:t>
      </w:r>
      <w:bookmarkEnd w:id="328"/>
      <w:bookmarkEnd w:id="329"/>
    </w:p>
    <w:p w14:paraId="25012E6D">
      <w:pPr>
        <w:wordWrap w:val="0"/>
        <w:adjustRightInd w:val="0"/>
        <w:snapToGrid w:val="0"/>
        <w:spacing w:line="440" w:lineRule="exact"/>
        <w:ind w:firstLine="570"/>
        <w:rPr>
          <w:rFonts w:hint="eastAsia" w:ascii="宋体" w:hAnsi="宋体" w:eastAsia="宋体" w:cs="宋体"/>
          <w:snapToGrid w:val="0"/>
          <w:color w:val="auto"/>
          <w:kern w:val="0"/>
          <w:szCs w:val="28"/>
          <w:highlight w:val="none"/>
        </w:rPr>
      </w:pPr>
    </w:p>
    <w:p w14:paraId="12310E71">
      <w:pPr>
        <w:pStyle w:val="62"/>
        <w:wordWrap w:val="0"/>
        <w:adjustRightInd w:val="0"/>
        <w:snapToGrid w:val="0"/>
        <w:spacing w:line="440" w:lineRule="exact"/>
        <w:jc w:val="right"/>
        <w:rPr>
          <w:rFonts w:hint="eastAsia" w:ascii="宋体" w:hAnsi="宋体" w:eastAsia="宋体" w:cs="宋体"/>
          <w:snapToGrid w:val="0"/>
          <w:color w:val="auto"/>
          <w:kern w:val="0"/>
          <w:highlight w:val="none"/>
        </w:rPr>
      </w:pPr>
    </w:p>
    <w:p w14:paraId="55628FD1">
      <w:pPr>
        <w:pStyle w:val="62"/>
        <w:wordWrap w:val="0"/>
        <w:adjustRightInd w:val="0"/>
        <w:snapToGrid w:val="0"/>
        <w:spacing w:line="440" w:lineRule="exact"/>
        <w:jc w:val="right"/>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项目技术负责人：</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（签字）</w:t>
      </w:r>
    </w:p>
    <w:p w14:paraId="545BDB91">
      <w:pPr>
        <w:pStyle w:val="62"/>
        <w:wordWrap w:val="0"/>
        <w:adjustRightInd w:val="0"/>
        <w:snapToGrid w:val="0"/>
        <w:spacing w:line="440" w:lineRule="exact"/>
        <w:jc w:val="right"/>
        <w:rPr>
          <w:rFonts w:hint="eastAsia" w:ascii="宋体" w:hAnsi="宋体" w:eastAsia="宋体" w:cs="宋体"/>
          <w:snapToGrid w:val="0"/>
          <w:color w:val="auto"/>
          <w:kern w:val="0"/>
          <w:highlight w:val="none"/>
        </w:rPr>
      </w:pPr>
    </w:p>
    <w:p w14:paraId="7C9DCDF0">
      <w:pPr>
        <w:pStyle w:val="62"/>
        <w:wordWrap w:val="0"/>
        <w:adjustRightInd w:val="0"/>
        <w:snapToGrid w:val="0"/>
        <w:spacing w:line="440" w:lineRule="exact"/>
        <w:jc w:val="center"/>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 xml:space="preserve">                                     </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年</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月</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日</w:t>
      </w:r>
    </w:p>
    <w:p w14:paraId="786517CA">
      <w:pPr>
        <w:wordWrap w:val="0"/>
        <w:adjustRightInd w:val="0"/>
        <w:snapToGrid w:val="0"/>
        <w:spacing w:line="400" w:lineRule="exact"/>
        <w:ind w:firstLine="570"/>
        <w:rPr>
          <w:rFonts w:hint="eastAsia" w:ascii="宋体" w:hAnsi="宋体" w:eastAsia="宋体" w:cs="宋体"/>
          <w:snapToGrid w:val="0"/>
          <w:color w:val="auto"/>
          <w:kern w:val="0"/>
          <w:szCs w:val="28"/>
          <w:highlight w:val="none"/>
        </w:rPr>
      </w:pPr>
    </w:p>
    <w:p w14:paraId="334B7C81">
      <w:pPr>
        <w:pStyle w:val="10"/>
        <w:rPr>
          <w:rFonts w:hint="eastAsia" w:ascii="宋体" w:hAnsi="宋体" w:eastAsia="宋体" w:cs="宋体"/>
          <w:snapToGrid w:val="0"/>
          <w:color w:val="auto"/>
          <w:kern w:val="0"/>
          <w:szCs w:val="28"/>
          <w:highlight w:val="none"/>
        </w:rPr>
      </w:pPr>
    </w:p>
    <w:p w14:paraId="15B12F41">
      <w:pPr>
        <w:rPr>
          <w:rFonts w:hint="eastAsia" w:ascii="宋体" w:hAnsi="宋体" w:eastAsia="宋体" w:cs="宋体"/>
          <w:color w:val="auto"/>
          <w:highlight w:val="none"/>
        </w:rPr>
      </w:pPr>
    </w:p>
    <w:p w14:paraId="6AD2B7D7">
      <w:pPr>
        <w:wordWrap w:val="0"/>
        <w:adjustRightInd w:val="0"/>
        <w:snapToGrid w:val="0"/>
        <w:spacing w:line="400" w:lineRule="exact"/>
        <w:rPr>
          <w:rFonts w:hint="eastAsia" w:ascii="宋体" w:hAnsi="宋体" w:eastAsia="宋体" w:cs="宋体"/>
          <w:snapToGrid w:val="0"/>
          <w:color w:val="auto"/>
          <w:kern w:val="0"/>
          <w:sz w:val="21"/>
          <w:szCs w:val="28"/>
          <w:highlight w:val="none"/>
        </w:rPr>
      </w:pPr>
      <w:r>
        <w:rPr>
          <w:rFonts w:hint="eastAsia" w:ascii="宋体" w:hAnsi="宋体" w:eastAsia="宋体" w:cs="宋体"/>
          <w:snapToGrid w:val="0"/>
          <w:color w:val="auto"/>
          <w:kern w:val="0"/>
          <w:sz w:val="21"/>
          <w:szCs w:val="28"/>
          <w:highlight w:val="none"/>
        </w:rPr>
        <w:t xml:space="preserve">    </w:t>
      </w:r>
      <w:bookmarkStart w:id="330" w:name="_Toc200338098"/>
      <w:bookmarkStart w:id="331" w:name="_Toc8264"/>
      <w:r>
        <w:rPr>
          <w:rFonts w:hint="eastAsia" w:ascii="宋体" w:hAnsi="宋体" w:eastAsia="宋体" w:cs="宋体"/>
          <w:snapToGrid w:val="0"/>
          <w:color w:val="auto"/>
          <w:kern w:val="0"/>
          <w:sz w:val="21"/>
          <w:szCs w:val="28"/>
          <w:highlight w:val="none"/>
        </w:rPr>
        <w:t>说明：《项目技术负责人简历表》后应附拟派项目技术负责人以下资料：</w:t>
      </w:r>
    </w:p>
    <w:p w14:paraId="01FCF52B">
      <w:pPr>
        <w:wordWrap w:val="0"/>
        <w:adjustRightInd w:val="0"/>
        <w:snapToGrid w:val="0"/>
        <w:spacing w:line="400" w:lineRule="exact"/>
        <w:rPr>
          <w:rFonts w:hint="eastAsia" w:ascii="宋体" w:hAnsi="宋体" w:eastAsia="宋体" w:cs="宋体"/>
          <w:snapToGrid w:val="0"/>
          <w:color w:val="auto"/>
          <w:kern w:val="0"/>
          <w:sz w:val="21"/>
          <w:szCs w:val="28"/>
          <w:highlight w:val="none"/>
        </w:rPr>
      </w:pPr>
      <w:r>
        <w:rPr>
          <w:rFonts w:hint="eastAsia" w:ascii="宋体" w:hAnsi="宋体" w:eastAsia="宋体" w:cs="宋体"/>
          <w:snapToGrid w:val="0"/>
          <w:color w:val="auto"/>
          <w:kern w:val="0"/>
          <w:sz w:val="21"/>
          <w:szCs w:val="28"/>
          <w:highlight w:val="none"/>
        </w:rPr>
        <w:t xml:space="preserve">    1．身份证</w:t>
      </w:r>
      <w:r>
        <w:rPr>
          <w:rFonts w:hint="eastAsia" w:ascii="宋体" w:hAnsi="宋体" w:eastAsia="宋体" w:cs="宋体"/>
          <w:snapToGrid w:val="0"/>
          <w:color w:val="auto"/>
          <w:kern w:val="0"/>
          <w:sz w:val="21"/>
          <w:szCs w:val="28"/>
          <w:highlight w:val="none"/>
          <w:lang w:eastAsia="zh-CN"/>
        </w:rPr>
        <w:t>彩色扫描件</w:t>
      </w:r>
      <w:r>
        <w:rPr>
          <w:rFonts w:hint="eastAsia" w:ascii="宋体" w:hAnsi="宋体" w:eastAsia="宋体" w:cs="宋体"/>
          <w:snapToGrid w:val="0"/>
          <w:color w:val="auto"/>
          <w:kern w:val="0"/>
          <w:sz w:val="21"/>
          <w:szCs w:val="28"/>
          <w:highlight w:val="none"/>
        </w:rPr>
        <w:t>；</w:t>
      </w:r>
    </w:p>
    <w:p w14:paraId="6ADCBA34">
      <w:pPr>
        <w:wordWrap w:val="0"/>
        <w:adjustRightInd w:val="0"/>
        <w:snapToGrid w:val="0"/>
        <w:spacing w:line="400" w:lineRule="exact"/>
        <w:rPr>
          <w:rFonts w:hint="eastAsia" w:ascii="宋体" w:hAnsi="宋体" w:eastAsia="宋体" w:cs="宋体"/>
          <w:snapToGrid w:val="0"/>
          <w:color w:val="auto"/>
          <w:kern w:val="0"/>
          <w:sz w:val="21"/>
          <w:szCs w:val="28"/>
          <w:highlight w:val="none"/>
        </w:rPr>
      </w:pPr>
      <w:r>
        <w:rPr>
          <w:rFonts w:hint="eastAsia" w:ascii="宋体" w:hAnsi="宋体" w:eastAsia="宋体" w:cs="宋体"/>
          <w:snapToGrid w:val="0"/>
          <w:color w:val="auto"/>
          <w:kern w:val="0"/>
          <w:sz w:val="21"/>
          <w:szCs w:val="28"/>
          <w:highlight w:val="none"/>
        </w:rPr>
        <w:t xml:space="preserve">    2．职称证</w:t>
      </w:r>
      <w:r>
        <w:rPr>
          <w:rFonts w:hint="eastAsia" w:ascii="宋体" w:hAnsi="宋体" w:eastAsia="宋体" w:cs="宋体"/>
          <w:snapToGrid w:val="0"/>
          <w:color w:val="auto"/>
          <w:kern w:val="0"/>
          <w:sz w:val="21"/>
          <w:szCs w:val="28"/>
          <w:highlight w:val="none"/>
          <w:lang w:eastAsia="zh-CN"/>
        </w:rPr>
        <w:t>彩色扫描件</w:t>
      </w:r>
      <w:r>
        <w:rPr>
          <w:rFonts w:hint="eastAsia" w:ascii="宋体" w:hAnsi="宋体" w:eastAsia="宋体" w:cs="宋体"/>
          <w:snapToGrid w:val="0"/>
          <w:color w:val="auto"/>
          <w:kern w:val="0"/>
          <w:sz w:val="21"/>
          <w:szCs w:val="28"/>
          <w:highlight w:val="none"/>
        </w:rPr>
        <w:t>；</w:t>
      </w:r>
    </w:p>
    <w:p w14:paraId="76CC3A0F">
      <w:pPr>
        <w:wordWrap w:val="0"/>
        <w:adjustRightInd w:val="0"/>
        <w:snapToGrid w:val="0"/>
        <w:spacing w:line="400" w:lineRule="exact"/>
        <w:ind w:firstLine="420" w:firstLineChars="200"/>
        <w:rPr>
          <w:rFonts w:hint="eastAsia" w:ascii="宋体" w:hAnsi="宋体" w:eastAsia="宋体" w:cs="宋体"/>
          <w:snapToGrid w:val="0"/>
          <w:color w:val="auto"/>
          <w:kern w:val="0"/>
          <w:sz w:val="21"/>
          <w:szCs w:val="28"/>
          <w:highlight w:val="none"/>
        </w:rPr>
      </w:pPr>
      <w:r>
        <w:rPr>
          <w:rFonts w:hint="eastAsia" w:ascii="宋体" w:hAnsi="宋体" w:eastAsia="宋体" w:cs="宋体"/>
          <w:snapToGrid w:val="0"/>
          <w:color w:val="auto"/>
          <w:kern w:val="0"/>
          <w:sz w:val="21"/>
          <w:szCs w:val="28"/>
          <w:highlight w:val="none"/>
        </w:rPr>
        <w:t>3．在本单位缴纳社保的证明（</w:t>
      </w:r>
      <w:r>
        <w:rPr>
          <w:rFonts w:hint="eastAsia" w:ascii="宋体" w:hAnsi="宋体" w:eastAsia="宋体" w:cs="宋体"/>
          <w:snapToGrid w:val="0"/>
          <w:color w:val="auto"/>
          <w:kern w:val="0"/>
          <w:sz w:val="21"/>
          <w:szCs w:val="28"/>
          <w:highlight w:val="none"/>
          <w:lang w:eastAsia="zh-CN"/>
        </w:rPr>
        <w:t>至少连续</w:t>
      </w:r>
      <w:r>
        <w:rPr>
          <w:rFonts w:hint="eastAsia" w:ascii="宋体" w:hAnsi="宋体" w:eastAsia="宋体" w:cs="宋体"/>
          <w:snapToGrid w:val="0"/>
          <w:color w:val="auto"/>
          <w:kern w:val="0"/>
          <w:sz w:val="21"/>
          <w:szCs w:val="28"/>
          <w:highlight w:val="none"/>
          <w:lang w:val="en-US" w:eastAsia="zh-CN"/>
        </w:rPr>
        <w:t>一</w:t>
      </w:r>
      <w:r>
        <w:rPr>
          <w:rFonts w:hint="eastAsia" w:ascii="宋体" w:hAnsi="宋体" w:eastAsia="宋体" w:cs="宋体"/>
          <w:snapToGrid w:val="0"/>
          <w:color w:val="auto"/>
          <w:kern w:val="0"/>
          <w:sz w:val="21"/>
          <w:szCs w:val="28"/>
          <w:highlight w:val="none"/>
          <w:lang w:eastAsia="zh-CN"/>
        </w:rPr>
        <w:t>个月，其中必须有</w:t>
      </w:r>
      <w:r>
        <w:rPr>
          <w:rFonts w:hint="eastAsia" w:ascii="宋体" w:hAnsi="宋体" w:eastAsia="宋体" w:cs="宋体"/>
          <w:snapToGrid w:val="0"/>
          <w:color w:val="auto"/>
          <w:kern w:val="0"/>
          <w:sz w:val="21"/>
          <w:szCs w:val="21"/>
          <w:highlight w:val="none"/>
          <w:lang w:eastAsia="zh-CN"/>
        </w:rPr>
        <w:t>202</w:t>
      </w:r>
      <w:r>
        <w:rPr>
          <w:rFonts w:hint="eastAsia" w:ascii="宋体" w:hAnsi="宋体" w:eastAsia="宋体" w:cs="宋体"/>
          <w:snapToGrid w:val="0"/>
          <w:color w:val="auto"/>
          <w:kern w:val="0"/>
          <w:sz w:val="21"/>
          <w:szCs w:val="21"/>
          <w:highlight w:val="none"/>
          <w:lang w:val="en-US" w:eastAsia="zh-CN"/>
        </w:rPr>
        <w:t>5</w:t>
      </w:r>
      <w:r>
        <w:rPr>
          <w:rFonts w:hint="eastAsia" w:ascii="宋体" w:hAnsi="宋体" w:eastAsia="宋体" w:cs="宋体"/>
          <w:snapToGrid w:val="0"/>
          <w:color w:val="auto"/>
          <w:kern w:val="0"/>
          <w:sz w:val="21"/>
          <w:szCs w:val="21"/>
          <w:highlight w:val="none"/>
          <w:lang w:eastAsia="zh-CN"/>
        </w:rPr>
        <w:t>年</w:t>
      </w:r>
      <w:r>
        <w:rPr>
          <w:rFonts w:hint="eastAsia" w:ascii="宋体" w:hAnsi="宋体" w:eastAsia="宋体" w:cs="宋体"/>
          <w:snapToGrid w:val="0"/>
          <w:color w:val="auto"/>
          <w:kern w:val="0"/>
          <w:sz w:val="21"/>
          <w:szCs w:val="21"/>
          <w:highlight w:val="none"/>
          <w:lang w:val="en-US" w:eastAsia="zh-CN"/>
        </w:rPr>
        <w:t>09</w:t>
      </w:r>
      <w:r>
        <w:rPr>
          <w:rFonts w:hint="eastAsia" w:ascii="宋体" w:hAnsi="宋体" w:eastAsia="宋体" w:cs="宋体"/>
          <w:snapToGrid w:val="0"/>
          <w:color w:val="auto"/>
          <w:kern w:val="0"/>
          <w:sz w:val="21"/>
          <w:szCs w:val="21"/>
          <w:highlight w:val="none"/>
          <w:lang w:eastAsia="zh-CN"/>
        </w:rPr>
        <w:t>月）</w:t>
      </w:r>
      <w:r>
        <w:rPr>
          <w:rFonts w:hint="eastAsia" w:ascii="宋体" w:hAnsi="宋体" w:eastAsia="宋体" w:cs="宋体"/>
          <w:snapToGrid w:val="0"/>
          <w:color w:val="auto"/>
          <w:kern w:val="0"/>
          <w:sz w:val="21"/>
          <w:szCs w:val="21"/>
          <w:highlight w:val="none"/>
        </w:rPr>
        <w:t>彩色扫描件</w:t>
      </w:r>
      <w:r>
        <w:rPr>
          <w:rFonts w:hint="eastAsia" w:ascii="宋体" w:hAnsi="宋体" w:eastAsia="宋体" w:cs="宋体"/>
          <w:snapToGrid w:val="0"/>
          <w:color w:val="auto"/>
          <w:kern w:val="0"/>
          <w:sz w:val="21"/>
          <w:szCs w:val="28"/>
          <w:highlight w:val="none"/>
        </w:rPr>
        <w:t>。拟派项目技术负责人为退休返聘人员无法提供社保证明的，提供退休证和劳动合同</w:t>
      </w:r>
      <w:r>
        <w:rPr>
          <w:rFonts w:hint="eastAsia" w:ascii="宋体" w:hAnsi="宋体" w:eastAsia="宋体" w:cs="宋体"/>
          <w:snapToGrid w:val="0"/>
          <w:color w:val="auto"/>
          <w:kern w:val="0"/>
          <w:sz w:val="21"/>
          <w:szCs w:val="21"/>
          <w:highlight w:val="none"/>
        </w:rPr>
        <w:t>彩色扫描件</w:t>
      </w:r>
      <w:r>
        <w:rPr>
          <w:rFonts w:hint="eastAsia" w:ascii="宋体" w:hAnsi="宋体" w:eastAsia="宋体" w:cs="宋体"/>
          <w:snapToGrid w:val="0"/>
          <w:color w:val="auto"/>
          <w:kern w:val="0"/>
          <w:sz w:val="21"/>
          <w:szCs w:val="28"/>
          <w:highlight w:val="none"/>
        </w:rPr>
        <w:t>；</w:t>
      </w:r>
    </w:p>
    <w:p w14:paraId="67186CFC">
      <w:pPr>
        <w:ind w:firstLine="420" w:firstLineChars="200"/>
        <w:rPr>
          <w:rFonts w:hint="eastAsia" w:ascii="宋体" w:hAnsi="宋体" w:eastAsia="宋体" w:cs="宋体"/>
          <w:color w:val="auto"/>
        </w:rPr>
      </w:pPr>
      <w:r>
        <w:rPr>
          <w:rFonts w:hint="eastAsia" w:ascii="宋体" w:hAnsi="宋体" w:eastAsia="宋体" w:cs="宋体"/>
          <w:color w:val="auto"/>
          <w:sz w:val="21"/>
          <w:szCs w:val="21"/>
          <w:lang w:val="en-US" w:eastAsia="zh-CN"/>
        </w:rPr>
        <w:t>4.</w:t>
      </w:r>
      <w:r>
        <w:rPr>
          <w:rFonts w:hint="eastAsia" w:ascii="宋体" w:hAnsi="宋体" w:eastAsia="宋体" w:cs="宋体"/>
          <w:color w:val="auto"/>
          <w:sz w:val="21"/>
          <w:szCs w:val="21"/>
          <w:lang w:eastAsia="zh-CN"/>
        </w:rPr>
        <w:t>“进粤企业和人员诚信信息登记平台”个人信息情况截图。（适用于省外建筑企业）。</w:t>
      </w:r>
    </w:p>
    <w:p w14:paraId="6B83A33B">
      <w:pPr>
        <w:pStyle w:val="4"/>
        <w:keepNext w:val="0"/>
        <w:keepLines w:val="0"/>
        <w:widowControl w:val="0"/>
        <w:wordWrap w:val="0"/>
        <w:adjustRightInd w:val="0"/>
        <w:snapToGrid w:val="0"/>
        <w:spacing w:before="0" w:after="0" w:line="440" w:lineRule="exact"/>
        <w:ind w:firstLine="0"/>
        <w:jc w:val="left"/>
        <w:rPr>
          <w:rFonts w:hint="eastAsia" w:ascii="宋体" w:hAnsi="宋体" w:eastAsia="宋体" w:cs="宋体"/>
          <w:b/>
          <w:snapToGrid w:val="0"/>
          <w:color w:val="auto"/>
          <w:szCs w:val="22"/>
          <w:highlight w:val="none"/>
        </w:rPr>
      </w:pPr>
    </w:p>
    <w:p w14:paraId="43F37F8A">
      <w:pPr>
        <w:pStyle w:val="5"/>
        <w:rPr>
          <w:rFonts w:hint="eastAsia" w:ascii="宋体" w:hAnsi="宋体" w:eastAsia="宋体" w:cs="宋体"/>
          <w:color w:val="auto"/>
          <w:highlight w:val="none"/>
        </w:rPr>
      </w:pPr>
    </w:p>
    <w:p w14:paraId="48F7CA03">
      <w:pPr>
        <w:pStyle w:val="4"/>
        <w:keepNext w:val="0"/>
        <w:keepLines w:val="0"/>
        <w:widowControl w:val="0"/>
        <w:wordWrap w:val="0"/>
        <w:adjustRightInd w:val="0"/>
        <w:snapToGrid w:val="0"/>
        <w:spacing w:before="0" w:after="0" w:line="440" w:lineRule="exact"/>
        <w:ind w:firstLine="0"/>
        <w:jc w:val="left"/>
        <w:rPr>
          <w:rFonts w:hint="eastAsia" w:ascii="宋体" w:hAnsi="宋体" w:eastAsia="宋体" w:cs="宋体"/>
          <w:b/>
          <w:snapToGrid w:val="0"/>
          <w:color w:val="auto"/>
          <w:szCs w:val="22"/>
          <w:highlight w:val="none"/>
        </w:rPr>
      </w:pPr>
      <w:bookmarkStart w:id="332" w:name="_Toc8834"/>
      <w:bookmarkStart w:id="333" w:name="_Toc4344"/>
      <w:bookmarkStart w:id="334" w:name="_Toc9436"/>
    </w:p>
    <w:p w14:paraId="59E9416E">
      <w:pPr>
        <w:pStyle w:val="4"/>
        <w:keepNext w:val="0"/>
        <w:keepLines w:val="0"/>
        <w:widowControl w:val="0"/>
        <w:wordWrap w:val="0"/>
        <w:adjustRightInd w:val="0"/>
        <w:snapToGrid w:val="0"/>
        <w:spacing w:before="0" w:after="0" w:line="440" w:lineRule="exact"/>
        <w:ind w:firstLine="0"/>
        <w:jc w:val="left"/>
        <w:rPr>
          <w:rFonts w:hint="eastAsia" w:ascii="宋体" w:hAnsi="宋体" w:eastAsia="宋体" w:cs="宋体"/>
          <w:b/>
          <w:snapToGrid w:val="0"/>
          <w:color w:val="auto"/>
          <w:szCs w:val="22"/>
          <w:highlight w:val="none"/>
        </w:rPr>
        <w:sectPr>
          <w:endnotePr>
            <w:numFmt w:val="decimal"/>
          </w:endnotePr>
          <w:pgSz w:w="11906" w:h="16838"/>
          <w:pgMar w:top="1134" w:right="1134" w:bottom="1134" w:left="1134" w:header="567" w:footer="567" w:gutter="0"/>
          <w:cols w:space="720" w:num="1"/>
          <w:docGrid w:linePitch="327" w:charSpace="0"/>
        </w:sectPr>
      </w:pPr>
    </w:p>
    <w:p w14:paraId="78C99C8B">
      <w:pPr>
        <w:pStyle w:val="4"/>
        <w:bidi w:val="0"/>
        <w:ind w:firstLine="964"/>
        <w:rPr>
          <w:rFonts w:hint="eastAsia" w:ascii="宋体" w:hAnsi="宋体" w:eastAsia="宋体" w:cs="宋体"/>
          <w:color w:val="auto"/>
        </w:rPr>
      </w:pPr>
      <w:bookmarkStart w:id="335" w:name="_Toc16727"/>
      <w:r>
        <w:rPr>
          <w:rFonts w:hint="eastAsia" w:ascii="宋体" w:hAnsi="宋体" w:eastAsia="宋体" w:cs="宋体"/>
          <w:color w:val="auto"/>
        </w:rPr>
        <w:t>格式十一 专职安全员简历表</w:t>
      </w:r>
      <w:bookmarkEnd w:id="332"/>
      <w:bookmarkEnd w:id="333"/>
      <w:bookmarkEnd w:id="334"/>
      <w:bookmarkEnd w:id="335"/>
    </w:p>
    <w:p w14:paraId="295CE35B">
      <w:pPr>
        <w:rPr>
          <w:rFonts w:hint="eastAsia" w:ascii="宋体" w:hAnsi="宋体" w:eastAsia="宋体" w:cs="宋体"/>
          <w:color w:val="auto"/>
          <w:highlight w:val="none"/>
        </w:rPr>
      </w:pPr>
    </w:p>
    <w:tbl>
      <w:tblPr>
        <w:tblStyle w:val="30"/>
        <w:tblpPr w:leftFromText="180" w:rightFromText="180" w:vertAnchor="text" w:horzAnchor="page" w:tblpX="1490" w:tblpY="692"/>
        <w:tblOverlap w:val="never"/>
        <w:tblW w:w="9270"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75"/>
        <w:gridCol w:w="963"/>
        <w:gridCol w:w="584"/>
        <w:gridCol w:w="648"/>
        <w:gridCol w:w="1294"/>
        <w:gridCol w:w="1946"/>
        <w:gridCol w:w="27"/>
        <w:gridCol w:w="1706"/>
        <w:gridCol w:w="1327"/>
      </w:tblGrid>
      <w:tr w14:paraId="2250E6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0"/>
            <w:vAlign w:val="center"/>
          </w:tcPr>
          <w:p w14:paraId="34E889DF">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姓   名</w:t>
            </w:r>
          </w:p>
        </w:tc>
        <w:tc>
          <w:tcPr>
            <w:tcW w:w="1232" w:type="dxa"/>
            <w:gridSpan w:val="2"/>
            <w:tcBorders>
              <w:top w:val="single" w:color="auto" w:sz="6" w:space="0"/>
              <w:left w:val="single" w:color="auto" w:sz="6" w:space="0"/>
              <w:bottom w:val="single" w:color="auto" w:sz="6" w:space="0"/>
              <w:right w:val="single" w:color="auto" w:sz="6" w:space="0"/>
            </w:tcBorders>
            <w:noWrap w:val="0"/>
            <w:vAlign w:val="center"/>
          </w:tcPr>
          <w:p w14:paraId="2FEA0760">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294" w:type="dxa"/>
            <w:tcBorders>
              <w:top w:val="single" w:color="auto" w:sz="6" w:space="0"/>
              <w:left w:val="single" w:color="auto" w:sz="6" w:space="0"/>
              <w:bottom w:val="single" w:color="auto" w:sz="6" w:space="0"/>
              <w:right w:val="single" w:color="auto" w:sz="6" w:space="0"/>
            </w:tcBorders>
            <w:noWrap w:val="0"/>
            <w:vAlign w:val="center"/>
          </w:tcPr>
          <w:p w14:paraId="79B6EA58">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性  别</w:t>
            </w:r>
          </w:p>
        </w:tc>
        <w:tc>
          <w:tcPr>
            <w:tcW w:w="1946" w:type="dxa"/>
            <w:tcBorders>
              <w:top w:val="single" w:color="auto" w:sz="6" w:space="0"/>
              <w:left w:val="single" w:color="auto" w:sz="6" w:space="0"/>
              <w:bottom w:val="single" w:color="auto" w:sz="6" w:space="0"/>
              <w:right w:val="single" w:color="auto" w:sz="6" w:space="0"/>
            </w:tcBorders>
            <w:noWrap w:val="0"/>
            <w:vAlign w:val="center"/>
          </w:tcPr>
          <w:p w14:paraId="7D28928D">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733" w:type="dxa"/>
            <w:gridSpan w:val="2"/>
            <w:tcBorders>
              <w:top w:val="single" w:color="auto" w:sz="6" w:space="0"/>
              <w:left w:val="single" w:color="auto" w:sz="6" w:space="0"/>
              <w:bottom w:val="single" w:color="auto" w:sz="6" w:space="0"/>
              <w:right w:val="single" w:color="auto" w:sz="6" w:space="0"/>
            </w:tcBorders>
            <w:noWrap w:val="0"/>
            <w:vAlign w:val="center"/>
          </w:tcPr>
          <w:p w14:paraId="35B1923B">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年   龄</w:t>
            </w:r>
          </w:p>
        </w:tc>
        <w:tc>
          <w:tcPr>
            <w:tcW w:w="1327" w:type="dxa"/>
            <w:tcBorders>
              <w:top w:val="single" w:color="auto" w:sz="6" w:space="0"/>
              <w:left w:val="single" w:color="auto" w:sz="6" w:space="0"/>
              <w:bottom w:val="single" w:color="auto" w:sz="6" w:space="0"/>
              <w:right w:val="single" w:color="auto" w:sz="6" w:space="0"/>
            </w:tcBorders>
            <w:noWrap w:val="0"/>
            <w:vAlign w:val="center"/>
          </w:tcPr>
          <w:p w14:paraId="40180B64">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019C9C0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0"/>
            <w:vAlign w:val="center"/>
          </w:tcPr>
          <w:p w14:paraId="41DAB6B4">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职   务</w:t>
            </w:r>
          </w:p>
        </w:tc>
        <w:tc>
          <w:tcPr>
            <w:tcW w:w="1232" w:type="dxa"/>
            <w:gridSpan w:val="2"/>
            <w:tcBorders>
              <w:top w:val="single" w:color="auto" w:sz="6" w:space="0"/>
              <w:left w:val="single" w:color="auto" w:sz="6" w:space="0"/>
              <w:bottom w:val="single" w:color="auto" w:sz="6" w:space="0"/>
              <w:right w:val="single" w:color="auto" w:sz="6" w:space="0"/>
            </w:tcBorders>
            <w:noWrap w:val="0"/>
            <w:vAlign w:val="center"/>
          </w:tcPr>
          <w:p w14:paraId="50CDE6F9">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294" w:type="dxa"/>
            <w:tcBorders>
              <w:top w:val="single" w:color="auto" w:sz="6" w:space="0"/>
              <w:left w:val="single" w:color="auto" w:sz="6" w:space="0"/>
              <w:bottom w:val="single" w:color="auto" w:sz="6" w:space="0"/>
              <w:right w:val="single" w:color="auto" w:sz="6" w:space="0"/>
            </w:tcBorders>
            <w:noWrap w:val="0"/>
            <w:vAlign w:val="center"/>
          </w:tcPr>
          <w:p w14:paraId="1998B56B">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职  称</w:t>
            </w:r>
          </w:p>
        </w:tc>
        <w:tc>
          <w:tcPr>
            <w:tcW w:w="1946" w:type="dxa"/>
            <w:tcBorders>
              <w:top w:val="single" w:color="auto" w:sz="6" w:space="0"/>
              <w:left w:val="single" w:color="auto" w:sz="6" w:space="0"/>
              <w:bottom w:val="single" w:color="auto" w:sz="6" w:space="0"/>
              <w:right w:val="single" w:color="auto" w:sz="6" w:space="0"/>
            </w:tcBorders>
            <w:noWrap w:val="0"/>
            <w:vAlign w:val="center"/>
          </w:tcPr>
          <w:p w14:paraId="1C195C48">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733" w:type="dxa"/>
            <w:gridSpan w:val="2"/>
            <w:tcBorders>
              <w:top w:val="single" w:color="auto" w:sz="6" w:space="0"/>
              <w:left w:val="single" w:color="auto" w:sz="6" w:space="0"/>
              <w:bottom w:val="single" w:color="auto" w:sz="6" w:space="0"/>
              <w:right w:val="single" w:color="auto" w:sz="6" w:space="0"/>
            </w:tcBorders>
            <w:noWrap w:val="0"/>
            <w:vAlign w:val="center"/>
          </w:tcPr>
          <w:p w14:paraId="0905B8A0">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学   历</w:t>
            </w:r>
          </w:p>
        </w:tc>
        <w:tc>
          <w:tcPr>
            <w:tcW w:w="1327" w:type="dxa"/>
            <w:tcBorders>
              <w:top w:val="single" w:color="auto" w:sz="6" w:space="0"/>
              <w:left w:val="single" w:color="auto" w:sz="6" w:space="0"/>
              <w:bottom w:val="single" w:color="auto" w:sz="6" w:space="0"/>
              <w:right w:val="single" w:color="auto" w:sz="6" w:space="0"/>
            </w:tcBorders>
            <w:noWrap w:val="0"/>
            <w:vAlign w:val="center"/>
          </w:tcPr>
          <w:p w14:paraId="1D338AE0">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220BEF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0"/>
            <w:vAlign w:val="center"/>
          </w:tcPr>
          <w:p w14:paraId="7B7A46C1">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参加工作时间</w:t>
            </w:r>
          </w:p>
        </w:tc>
        <w:tc>
          <w:tcPr>
            <w:tcW w:w="2526" w:type="dxa"/>
            <w:gridSpan w:val="3"/>
            <w:tcBorders>
              <w:top w:val="single" w:color="auto" w:sz="6" w:space="0"/>
              <w:left w:val="single" w:color="auto" w:sz="6" w:space="0"/>
              <w:bottom w:val="single" w:color="auto" w:sz="6" w:space="0"/>
              <w:right w:val="single" w:color="auto" w:sz="6" w:space="0"/>
            </w:tcBorders>
            <w:noWrap w:val="0"/>
            <w:vAlign w:val="center"/>
          </w:tcPr>
          <w:p w14:paraId="75F8F72D">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3679" w:type="dxa"/>
            <w:gridSpan w:val="3"/>
            <w:tcBorders>
              <w:top w:val="single" w:color="auto" w:sz="6" w:space="0"/>
              <w:left w:val="single" w:color="auto" w:sz="6" w:space="0"/>
              <w:bottom w:val="single" w:color="auto" w:sz="6" w:space="0"/>
              <w:right w:val="single" w:color="auto" w:sz="6" w:space="0"/>
            </w:tcBorders>
            <w:noWrap w:val="0"/>
            <w:vAlign w:val="center"/>
          </w:tcPr>
          <w:p w14:paraId="492E72F4">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从事工程建设项目管理工作年限</w:t>
            </w:r>
          </w:p>
        </w:tc>
        <w:tc>
          <w:tcPr>
            <w:tcW w:w="1327" w:type="dxa"/>
            <w:tcBorders>
              <w:top w:val="single" w:color="auto" w:sz="6" w:space="0"/>
              <w:left w:val="single" w:color="auto" w:sz="6" w:space="0"/>
              <w:bottom w:val="single" w:color="auto" w:sz="6" w:space="0"/>
              <w:right w:val="single" w:color="auto" w:sz="6" w:space="0"/>
            </w:tcBorders>
            <w:noWrap w:val="0"/>
            <w:vAlign w:val="center"/>
          </w:tcPr>
          <w:p w14:paraId="662CE35D">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1693C5B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270" w:type="dxa"/>
            <w:gridSpan w:val="9"/>
            <w:tcBorders>
              <w:top w:val="single" w:color="auto" w:sz="6" w:space="0"/>
              <w:left w:val="single" w:color="auto" w:sz="6" w:space="0"/>
              <w:bottom w:val="single" w:color="auto" w:sz="6" w:space="0"/>
              <w:right w:val="single" w:color="auto" w:sz="6" w:space="0"/>
            </w:tcBorders>
            <w:noWrap w:val="0"/>
            <w:vAlign w:val="center"/>
          </w:tcPr>
          <w:p w14:paraId="759CE411">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以专职安全员身份参与过的主要业绩（已完工项目）</w:t>
            </w:r>
          </w:p>
        </w:tc>
      </w:tr>
      <w:tr w14:paraId="3054439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0"/>
            <w:vAlign w:val="center"/>
          </w:tcPr>
          <w:p w14:paraId="16C673DF">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序号</w:t>
            </w:r>
          </w:p>
        </w:tc>
        <w:tc>
          <w:tcPr>
            <w:tcW w:w="1547" w:type="dxa"/>
            <w:gridSpan w:val="2"/>
            <w:tcBorders>
              <w:top w:val="single" w:color="auto" w:sz="6" w:space="0"/>
              <w:left w:val="single" w:color="auto" w:sz="4" w:space="0"/>
              <w:bottom w:val="single" w:color="auto" w:sz="6" w:space="0"/>
              <w:right w:val="single" w:color="auto" w:sz="6" w:space="0"/>
            </w:tcBorders>
            <w:noWrap w:val="0"/>
            <w:vAlign w:val="center"/>
          </w:tcPr>
          <w:p w14:paraId="639EEA34">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项目名称</w:t>
            </w:r>
          </w:p>
        </w:tc>
        <w:tc>
          <w:tcPr>
            <w:tcW w:w="1942" w:type="dxa"/>
            <w:gridSpan w:val="2"/>
            <w:tcBorders>
              <w:top w:val="single" w:color="auto" w:sz="6" w:space="0"/>
              <w:left w:val="single" w:color="auto" w:sz="6" w:space="0"/>
              <w:bottom w:val="single" w:color="auto" w:sz="6" w:space="0"/>
              <w:right w:val="single" w:color="auto" w:sz="6" w:space="0"/>
            </w:tcBorders>
            <w:noWrap w:val="0"/>
            <w:vAlign w:val="center"/>
          </w:tcPr>
          <w:p w14:paraId="4878FCEC">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建设单位</w:t>
            </w:r>
          </w:p>
        </w:tc>
        <w:tc>
          <w:tcPr>
            <w:tcW w:w="1973" w:type="dxa"/>
            <w:gridSpan w:val="2"/>
            <w:tcBorders>
              <w:top w:val="single" w:color="auto" w:sz="6" w:space="0"/>
              <w:left w:val="single" w:color="auto" w:sz="6" w:space="0"/>
              <w:bottom w:val="single" w:color="auto" w:sz="6" w:space="0"/>
              <w:right w:val="single" w:color="auto" w:sz="6" w:space="0"/>
            </w:tcBorders>
            <w:noWrap w:val="0"/>
            <w:vAlign w:val="center"/>
          </w:tcPr>
          <w:p w14:paraId="4E002E73">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建设内容和规模</w:t>
            </w:r>
          </w:p>
        </w:tc>
        <w:tc>
          <w:tcPr>
            <w:tcW w:w="1706" w:type="dxa"/>
            <w:tcBorders>
              <w:top w:val="single" w:color="auto" w:sz="6" w:space="0"/>
              <w:left w:val="single" w:color="auto" w:sz="6" w:space="0"/>
              <w:bottom w:val="single" w:color="auto" w:sz="6" w:space="0"/>
              <w:right w:val="single" w:color="auto" w:sz="6" w:space="0"/>
            </w:tcBorders>
            <w:noWrap w:val="0"/>
            <w:vAlign w:val="center"/>
          </w:tcPr>
          <w:p w14:paraId="0C7F8E68">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开、竣工日期</w:t>
            </w:r>
          </w:p>
        </w:tc>
        <w:tc>
          <w:tcPr>
            <w:tcW w:w="1327" w:type="dxa"/>
            <w:tcBorders>
              <w:top w:val="single" w:color="auto" w:sz="6" w:space="0"/>
              <w:left w:val="single" w:color="auto" w:sz="6" w:space="0"/>
              <w:bottom w:val="single" w:color="auto" w:sz="6" w:space="0"/>
              <w:right w:val="single" w:color="auto" w:sz="6" w:space="0"/>
            </w:tcBorders>
            <w:noWrap w:val="0"/>
            <w:vAlign w:val="center"/>
          </w:tcPr>
          <w:p w14:paraId="3D2AD743">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质量等级</w:t>
            </w:r>
          </w:p>
        </w:tc>
      </w:tr>
      <w:tr w14:paraId="4A47633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0"/>
            <w:vAlign w:val="center"/>
          </w:tcPr>
          <w:p w14:paraId="11EE8CE4">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w:t>
            </w:r>
          </w:p>
        </w:tc>
        <w:tc>
          <w:tcPr>
            <w:tcW w:w="1547" w:type="dxa"/>
            <w:gridSpan w:val="2"/>
            <w:tcBorders>
              <w:top w:val="single" w:color="auto" w:sz="6" w:space="0"/>
              <w:left w:val="single" w:color="auto" w:sz="4" w:space="0"/>
              <w:bottom w:val="single" w:color="auto" w:sz="6" w:space="0"/>
              <w:right w:val="single" w:color="auto" w:sz="6" w:space="0"/>
            </w:tcBorders>
            <w:noWrap w:val="0"/>
            <w:vAlign w:val="center"/>
          </w:tcPr>
          <w:p w14:paraId="1F5EF5B0">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0"/>
            <w:vAlign w:val="center"/>
          </w:tcPr>
          <w:p w14:paraId="2E8E7629">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0"/>
            <w:vAlign w:val="center"/>
          </w:tcPr>
          <w:p w14:paraId="4F6E2A0F">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706" w:type="dxa"/>
            <w:tcBorders>
              <w:top w:val="single" w:color="auto" w:sz="6" w:space="0"/>
              <w:left w:val="single" w:color="auto" w:sz="6" w:space="0"/>
              <w:bottom w:val="single" w:color="auto" w:sz="6" w:space="0"/>
              <w:right w:val="single" w:color="auto" w:sz="6" w:space="0"/>
            </w:tcBorders>
            <w:noWrap w:val="0"/>
            <w:vAlign w:val="center"/>
          </w:tcPr>
          <w:p w14:paraId="351271F6">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327" w:type="dxa"/>
            <w:tcBorders>
              <w:top w:val="single" w:color="auto" w:sz="6" w:space="0"/>
              <w:left w:val="single" w:color="auto" w:sz="6" w:space="0"/>
              <w:bottom w:val="single" w:color="auto" w:sz="6" w:space="0"/>
              <w:right w:val="single" w:color="auto" w:sz="6" w:space="0"/>
            </w:tcBorders>
            <w:noWrap w:val="0"/>
            <w:vAlign w:val="center"/>
          </w:tcPr>
          <w:p w14:paraId="6C24CB6F">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5BF7997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0"/>
            <w:vAlign w:val="center"/>
          </w:tcPr>
          <w:p w14:paraId="06A428AF">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2</w:t>
            </w:r>
          </w:p>
        </w:tc>
        <w:tc>
          <w:tcPr>
            <w:tcW w:w="1547" w:type="dxa"/>
            <w:gridSpan w:val="2"/>
            <w:tcBorders>
              <w:top w:val="single" w:color="auto" w:sz="6" w:space="0"/>
              <w:left w:val="single" w:color="auto" w:sz="4" w:space="0"/>
              <w:bottom w:val="single" w:color="auto" w:sz="6" w:space="0"/>
              <w:right w:val="single" w:color="auto" w:sz="6" w:space="0"/>
            </w:tcBorders>
            <w:noWrap w:val="0"/>
            <w:vAlign w:val="center"/>
          </w:tcPr>
          <w:p w14:paraId="037A24A0">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0"/>
            <w:vAlign w:val="center"/>
          </w:tcPr>
          <w:p w14:paraId="3D33DA00">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0"/>
            <w:vAlign w:val="center"/>
          </w:tcPr>
          <w:p w14:paraId="75C2B9B5">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706" w:type="dxa"/>
            <w:tcBorders>
              <w:top w:val="single" w:color="auto" w:sz="6" w:space="0"/>
              <w:left w:val="single" w:color="auto" w:sz="6" w:space="0"/>
              <w:bottom w:val="single" w:color="auto" w:sz="6" w:space="0"/>
              <w:right w:val="single" w:color="auto" w:sz="6" w:space="0"/>
            </w:tcBorders>
            <w:noWrap w:val="0"/>
            <w:vAlign w:val="center"/>
          </w:tcPr>
          <w:p w14:paraId="52BEBD8F">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327" w:type="dxa"/>
            <w:tcBorders>
              <w:top w:val="single" w:color="auto" w:sz="6" w:space="0"/>
              <w:left w:val="single" w:color="auto" w:sz="6" w:space="0"/>
              <w:bottom w:val="single" w:color="auto" w:sz="6" w:space="0"/>
              <w:right w:val="single" w:color="auto" w:sz="6" w:space="0"/>
            </w:tcBorders>
            <w:noWrap w:val="0"/>
            <w:vAlign w:val="center"/>
          </w:tcPr>
          <w:p w14:paraId="3F1AE716">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2D9900B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0"/>
            <w:vAlign w:val="center"/>
          </w:tcPr>
          <w:p w14:paraId="33F9D8B3">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w:t>
            </w:r>
          </w:p>
        </w:tc>
        <w:tc>
          <w:tcPr>
            <w:tcW w:w="1547" w:type="dxa"/>
            <w:gridSpan w:val="2"/>
            <w:tcBorders>
              <w:top w:val="single" w:color="auto" w:sz="6" w:space="0"/>
              <w:left w:val="single" w:color="auto" w:sz="4" w:space="0"/>
              <w:bottom w:val="single" w:color="auto" w:sz="6" w:space="0"/>
              <w:right w:val="single" w:color="auto" w:sz="6" w:space="0"/>
            </w:tcBorders>
            <w:noWrap w:val="0"/>
            <w:vAlign w:val="center"/>
          </w:tcPr>
          <w:p w14:paraId="47AAE7E2">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0"/>
            <w:vAlign w:val="center"/>
          </w:tcPr>
          <w:p w14:paraId="63ABCDFB">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0"/>
            <w:vAlign w:val="center"/>
          </w:tcPr>
          <w:p w14:paraId="01563FF9">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706" w:type="dxa"/>
            <w:tcBorders>
              <w:top w:val="single" w:color="auto" w:sz="6" w:space="0"/>
              <w:left w:val="single" w:color="auto" w:sz="6" w:space="0"/>
              <w:bottom w:val="single" w:color="auto" w:sz="6" w:space="0"/>
              <w:right w:val="single" w:color="auto" w:sz="6" w:space="0"/>
            </w:tcBorders>
            <w:noWrap w:val="0"/>
            <w:vAlign w:val="center"/>
          </w:tcPr>
          <w:p w14:paraId="6EE6E575">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327" w:type="dxa"/>
            <w:tcBorders>
              <w:top w:val="single" w:color="auto" w:sz="6" w:space="0"/>
              <w:left w:val="single" w:color="auto" w:sz="6" w:space="0"/>
              <w:bottom w:val="single" w:color="auto" w:sz="6" w:space="0"/>
              <w:right w:val="single" w:color="auto" w:sz="6" w:space="0"/>
            </w:tcBorders>
            <w:noWrap w:val="0"/>
            <w:vAlign w:val="center"/>
          </w:tcPr>
          <w:p w14:paraId="35334E1D">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245144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0"/>
            <w:vAlign w:val="center"/>
          </w:tcPr>
          <w:p w14:paraId="76D86FDC">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547" w:type="dxa"/>
            <w:gridSpan w:val="2"/>
            <w:tcBorders>
              <w:top w:val="single" w:color="auto" w:sz="6" w:space="0"/>
              <w:left w:val="single" w:color="auto" w:sz="4" w:space="0"/>
              <w:bottom w:val="single" w:color="auto" w:sz="6" w:space="0"/>
              <w:right w:val="single" w:color="auto" w:sz="6" w:space="0"/>
            </w:tcBorders>
            <w:noWrap w:val="0"/>
            <w:vAlign w:val="center"/>
          </w:tcPr>
          <w:p w14:paraId="7CE8EC9F">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0"/>
            <w:vAlign w:val="center"/>
          </w:tcPr>
          <w:p w14:paraId="01E30A37">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0"/>
            <w:vAlign w:val="center"/>
          </w:tcPr>
          <w:p w14:paraId="34559236">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706" w:type="dxa"/>
            <w:tcBorders>
              <w:top w:val="single" w:color="auto" w:sz="6" w:space="0"/>
              <w:left w:val="single" w:color="auto" w:sz="6" w:space="0"/>
              <w:bottom w:val="single" w:color="auto" w:sz="6" w:space="0"/>
              <w:right w:val="single" w:color="auto" w:sz="6" w:space="0"/>
            </w:tcBorders>
            <w:noWrap w:val="0"/>
            <w:vAlign w:val="center"/>
          </w:tcPr>
          <w:p w14:paraId="5D433D44">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327" w:type="dxa"/>
            <w:tcBorders>
              <w:top w:val="single" w:color="auto" w:sz="6" w:space="0"/>
              <w:left w:val="single" w:color="auto" w:sz="6" w:space="0"/>
              <w:bottom w:val="single" w:color="auto" w:sz="6" w:space="0"/>
              <w:right w:val="single" w:color="auto" w:sz="6" w:space="0"/>
            </w:tcBorders>
            <w:noWrap w:val="0"/>
            <w:vAlign w:val="center"/>
          </w:tcPr>
          <w:p w14:paraId="7679A01F">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74529AB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0"/>
            <w:vAlign w:val="center"/>
          </w:tcPr>
          <w:p w14:paraId="37C6EF2A">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547" w:type="dxa"/>
            <w:gridSpan w:val="2"/>
            <w:tcBorders>
              <w:top w:val="single" w:color="auto" w:sz="6" w:space="0"/>
              <w:left w:val="single" w:color="auto" w:sz="4" w:space="0"/>
              <w:bottom w:val="single" w:color="auto" w:sz="6" w:space="0"/>
              <w:right w:val="single" w:color="auto" w:sz="6" w:space="0"/>
            </w:tcBorders>
            <w:noWrap w:val="0"/>
            <w:vAlign w:val="center"/>
          </w:tcPr>
          <w:p w14:paraId="52A13DCE">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0"/>
            <w:vAlign w:val="center"/>
          </w:tcPr>
          <w:p w14:paraId="5FE58B23">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0"/>
            <w:vAlign w:val="center"/>
          </w:tcPr>
          <w:p w14:paraId="01C27470">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706" w:type="dxa"/>
            <w:tcBorders>
              <w:top w:val="single" w:color="auto" w:sz="6" w:space="0"/>
              <w:left w:val="single" w:color="auto" w:sz="6" w:space="0"/>
              <w:bottom w:val="single" w:color="auto" w:sz="6" w:space="0"/>
              <w:right w:val="single" w:color="auto" w:sz="6" w:space="0"/>
            </w:tcBorders>
            <w:noWrap w:val="0"/>
            <w:vAlign w:val="center"/>
          </w:tcPr>
          <w:p w14:paraId="3668309D">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327" w:type="dxa"/>
            <w:tcBorders>
              <w:top w:val="single" w:color="auto" w:sz="6" w:space="0"/>
              <w:left w:val="single" w:color="auto" w:sz="6" w:space="0"/>
              <w:bottom w:val="single" w:color="auto" w:sz="6" w:space="0"/>
              <w:right w:val="single" w:color="auto" w:sz="6" w:space="0"/>
            </w:tcBorders>
            <w:noWrap w:val="0"/>
            <w:vAlign w:val="center"/>
          </w:tcPr>
          <w:p w14:paraId="7AC20B78">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bl>
    <w:p w14:paraId="3E2D0D33">
      <w:pPr>
        <w:wordWrap w:val="0"/>
        <w:adjustRightInd w:val="0"/>
        <w:snapToGrid w:val="0"/>
        <w:spacing w:line="440" w:lineRule="exact"/>
        <w:jc w:val="center"/>
        <w:outlineLvl w:val="2"/>
        <w:rPr>
          <w:rFonts w:hint="eastAsia" w:ascii="宋体" w:hAnsi="宋体" w:eastAsia="宋体" w:cs="宋体"/>
          <w:b/>
          <w:bCs/>
          <w:snapToGrid w:val="0"/>
          <w:color w:val="auto"/>
          <w:kern w:val="0"/>
          <w:szCs w:val="24"/>
          <w:highlight w:val="none"/>
        </w:rPr>
      </w:pPr>
      <w:bookmarkStart w:id="336" w:name="_Toc12212"/>
      <w:bookmarkStart w:id="337" w:name="_Toc19513"/>
      <w:r>
        <w:rPr>
          <w:rFonts w:hint="eastAsia" w:ascii="宋体" w:hAnsi="宋体" w:eastAsia="宋体" w:cs="宋体"/>
          <w:b/>
          <w:snapToGrid w:val="0"/>
          <w:color w:val="auto"/>
          <w:kern w:val="0"/>
          <w:sz w:val="30"/>
          <w:highlight w:val="none"/>
        </w:rPr>
        <w:t>专职安全员简历表</w:t>
      </w:r>
      <w:bookmarkEnd w:id="336"/>
      <w:bookmarkEnd w:id="337"/>
    </w:p>
    <w:p w14:paraId="4B7B20B5">
      <w:pPr>
        <w:wordWrap w:val="0"/>
        <w:adjustRightInd w:val="0"/>
        <w:snapToGrid w:val="0"/>
        <w:spacing w:line="440" w:lineRule="exact"/>
        <w:ind w:firstLine="570"/>
        <w:rPr>
          <w:rFonts w:hint="eastAsia" w:ascii="宋体" w:hAnsi="宋体" w:eastAsia="宋体" w:cs="宋体"/>
          <w:snapToGrid w:val="0"/>
          <w:color w:val="auto"/>
          <w:kern w:val="0"/>
          <w:szCs w:val="28"/>
          <w:highlight w:val="none"/>
        </w:rPr>
      </w:pPr>
    </w:p>
    <w:p w14:paraId="73ACCF2E">
      <w:pPr>
        <w:pStyle w:val="62"/>
        <w:wordWrap w:val="0"/>
        <w:adjustRightInd w:val="0"/>
        <w:snapToGrid w:val="0"/>
        <w:spacing w:line="440" w:lineRule="exact"/>
        <w:jc w:val="right"/>
        <w:rPr>
          <w:rFonts w:hint="eastAsia" w:ascii="宋体" w:hAnsi="宋体" w:eastAsia="宋体" w:cs="宋体"/>
          <w:snapToGrid w:val="0"/>
          <w:color w:val="auto"/>
          <w:kern w:val="0"/>
          <w:highlight w:val="none"/>
        </w:rPr>
      </w:pPr>
    </w:p>
    <w:p w14:paraId="50DD7DE6">
      <w:pPr>
        <w:pStyle w:val="62"/>
        <w:wordWrap w:val="0"/>
        <w:adjustRightInd w:val="0"/>
        <w:snapToGrid w:val="0"/>
        <w:spacing w:line="440" w:lineRule="exact"/>
        <w:jc w:val="right"/>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专职安全员：</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（签字）</w:t>
      </w:r>
    </w:p>
    <w:p w14:paraId="238B7992">
      <w:pPr>
        <w:pStyle w:val="62"/>
        <w:wordWrap w:val="0"/>
        <w:adjustRightInd w:val="0"/>
        <w:snapToGrid w:val="0"/>
        <w:spacing w:line="440" w:lineRule="exact"/>
        <w:jc w:val="right"/>
        <w:rPr>
          <w:rFonts w:hint="eastAsia" w:ascii="宋体" w:hAnsi="宋体" w:eastAsia="宋体" w:cs="宋体"/>
          <w:snapToGrid w:val="0"/>
          <w:color w:val="auto"/>
          <w:kern w:val="0"/>
          <w:highlight w:val="none"/>
        </w:rPr>
      </w:pPr>
    </w:p>
    <w:p w14:paraId="374FEB97">
      <w:pPr>
        <w:pStyle w:val="62"/>
        <w:wordWrap w:val="0"/>
        <w:adjustRightInd w:val="0"/>
        <w:snapToGrid w:val="0"/>
        <w:spacing w:line="440" w:lineRule="exact"/>
        <w:jc w:val="center"/>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 xml:space="preserve">                                     </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年</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月</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日</w:t>
      </w:r>
    </w:p>
    <w:p w14:paraId="032E4527">
      <w:pPr>
        <w:wordWrap w:val="0"/>
        <w:adjustRightInd w:val="0"/>
        <w:snapToGrid w:val="0"/>
        <w:spacing w:line="400" w:lineRule="exact"/>
        <w:ind w:firstLine="570"/>
        <w:rPr>
          <w:rFonts w:hint="eastAsia" w:ascii="宋体" w:hAnsi="宋体" w:eastAsia="宋体" w:cs="宋体"/>
          <w:snapToGrid w:val="0"/>
          <w:color w:val="auto"/>
          <w:kern w:val="0"/>
          <w:szCs w:val="28"/>
          <w:highlight w:val="none"/>
        </w:rPr>
      </w:pPr>
    </w:p>
    <w:p w14:paraId="3E2B8BAD">
      <w:pPr>
        <w:wordWrap w:val="0"/>
        <w:adjustRightInd w:val="0"/>
        <w:snapToGrid w:val="0"/>
        <w:spacing w:line="400" w:lineRule="exac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8"/>
          <w:highlight w:val="none"/>
        </w:rPr>
        <w:t xml:space="preserve">    </w:t>
      </w:r>
      <w:r>
        <w:rPr>
          <w:rFonts w:hint="eastAsia" w:ascii="宋体" w:hAnsi="宋体" w:eastAsia="宋体" w:cs="宋体"/>
          <w:snapToGrid w:val="0"/>
          <w:color w:val="auto"/>
          <w:kern w:val="0"/>
          <w:sz w:val="21"/>
          <w:szCs w:val="21"/>
          <w:highlight w:val="none"/>
        </w:rPr>
        <w:t>说明：《专职安全员简历表》后应附拟派专职安全员以下资料：</w:t>
      </w:r>
    </w:p>
    <w:p w14:paraId="3CBFC8AA">
      <w:pPr>
        <w:wordWrap w:val="0"/>
        <w:adjustRightInd w:val="0"/>
        <w:snapToGrid w:val="0"/>
        <w:spacing w:line="400" w:lineRule="exac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 xml:space="preserve">    1．身份证</w:t>
      </w:r>
      <w:r>
        <w:rPr>
          <w:rFonts w:hint="eastAsia" w:ascii="宋体" w:hAnsi="宋体" w:eastAsia="宋体" w:cs="宋体"/>
          <w:snapToGrid w:val="0"/>
          <w:color w:val="auto"/>
          <w:kern w:val="0"/>
          <w:sz w:val="21"/>
          <w:szCs w:val="21"/>
          <w:highlight w:val="none"/>
          <w:lang w:eastAsia="zh-CN"/>
        </w:rPr>
        <w:t>彩色扫描件</w:t>
      </w:r>
      <w:r>
        <w:rPr>
          <w:rFonts w:hint="eastAsia" w:ascii="宋体" w:hAnsi="宋体" w:eastAsia="宋体" w:cs="宋体"/>
          <w:snapToGrid w:val="0"/>
          <w:color w:val="auto"/>
          <w:kern w:val="0"/>
          <w:sz w:val="21"/>
          <w:szCs w:val="21"/>
          <w:highlight w:val="none"/>
        </w:rPr>
        <w:t>；</w:t>
      </w:r>
    </w:p>
    <w:p w14:paraId="1F03E0A6">
      <w:pPr>
        <w:wordWrap w:val="0"/>
        <w:adjustRightInd w:val="0"/>
        <w:snapToGrid w:val="0"/>
        <w:spacing w:line="400" w:lineRule="exac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 xml:space="preserve">    2．C类安全生产考核合格证书</w:t>
      </w:r>
      <w:r>
        <w:rPr>
          <w:rFonts w:hint="eastAsia" w:ascii="宋体" w:hAnsi="宋体" w:eastAsia="宋体" w:cs="宋体"/>
          <w:snapToGrid w:val="0"/>
          <w:color w:val="auto"/>
          <w:kern w:val="0"/>
          <w:sz w:val="21"/>
          <w:szCs w:val="21"/>
          <w:highlight w:val="none"/>
          <w:lang w:eastAsia="zh-CN"/>
        </w:rPr>
        <w:t>彩色扫描件</w:t>
      </w:r>
      <w:r>
        <w:rPr>
          <w:rFonts w:hint="eastAsia" w:ascii="宋体" w:hAnsi="宋体" w:eastAsia="宋体" w:cs="宋体"/>
          <w:snapToGrid w:val="0"/>
          <w:color w:val="auto"/>
          <w:kern w:val="0"/>
          <w:sz w:val="21"/>
          <w:szCs w:val="21"/>
          <w:highlight w:val="none"/>
        </w:rPr>
        <w:t>或“广东省建筑施工企业管理人员安全生产考核信息系统”考核合格信息打印页；</w:t>
      </w:r>
    </w:p>
    <w:p w14:paraId="6F2788D7">
      <w:pPr>
        <w:wordWrap w:val="0"/>
        <w:adjustRightInd w:val="0"/>
        <w:snapToGrid w:val="0"/>
        <w:spacing w:line="400" w:lineRule="exact"/>
        <w:ind w:firstLine="420" w:firstLineChars="200"/>
        <w:rPr>
          <w:rStyle w:val="149"/>
          <w:rFonts w:hint="eastAsia" w:ascii="宋体" w:hAnsi="宋体" w:eastAsia="宋体" w:cs="宋体"/>
          <w:color w:val="auto"/>
          <w:kern w:val="0"/>
          <w:sz w:val="21"/>
          <w:szCs w:val="21"/>
          <w:highlight w:val="none"/>
        </w:rPr>
      </w:pPr>
      <w:r>
        <w:rPr>
          <w:rFonts w:hint="eastAsia" w:ascii="宋体" w:hAnsi="宋体" w:eastAsia="宋体" w:cs="宋体"/>
          <w:snapToGrid w:val="0"/>
          <w:color w:val="auto"/>
          <w:kern w:val="0"/>
          <w:sz w:val="21"/>
          <w:szCs w:val="21"/>
          <w:highlight w:val="none"/>
        </w:rPr>
        <w:t>3．</w:t>
      </w:r>
      <w:r>
        <w:rPr>
          <w:rFonts w:hint="eastAsia" w:ascii="宋体" w:hAnsi="宋体" w:eastAsia="宋体" w:cs="宋体"/>
          <w:snapToGrid w:val="0"/>
          <w:color w:val="auto"/>
          <w:kern w:val="0"/>
          <w:sz w:val="21"/>
          <w:szCs w:val="21"/>
          <w:highlight w:val="none"/>
          <w:lang w:eastAsia="zh-CN"/>
        </w:rPr>
        <w:t>在本单位缴纳社保的证明（至少连续</w:t>
      </w:r>
      <w:r>
        <w:rPr>
          <w:rFonts w:hint="eastAsia" w:ascii="宋体" w:hAnsi="宋体" w:eastAsia="宋体" w:cs="宋体"/>
          <w:snapToGrid w:val="0"/>
          <w:color w:val="auto"/>
          <w:kern w:val="0"/>
          <w:sz w:val="21"/>
          <w:szCs w:val="21"/>
          <w:highlight w:val="none"/>
          <w:lang w:val="en-US" w:eastAsia="zh-CN"/>
        </w:rPr>
        <w:t>一</w:t>
      </w:r>
      <w:r>
        <w:rPr>
          <w:rFonts w:hint="eastAsia" w:ascii="宋体" w:hAnsi="宋体" w:eastAsia="宋体" w:cs="宋体"/>
          <w:snapToGrid w:val="0"/>
          <w:color w:val="auto"/>
          <w:kern w:val="0"/>
          <w:sz w:val="21"/>
          <w:szCs w:val="21"/>
          <w:highlight w:val="none"/>
          <w:lang w:eastAsia="zh-CN"/>
        </w:rPr>
        <w:t>个月，其中必须有202</w:t>
      </w:r>
      <w:r>
        <w:rPr>
          <w:rFonts w:hint="eastAsia" w:ascii="宋体" w:hAnsi="宋体" w:eastAsia="宋体" w:cs="宋体"/>
          <w:snapToGrid w:val="0"/>
          <w:color w:val="auto"/>
          <w:kern w:val="0"/>
          <w:sz w:val="21"/>
          <w:szCs w:val="21"/>
          <w:highlight w:val="none"/>
          <w:lang w:val="en-US" w:eastAsia="zh-CN"/>
        </w:rPr>
        <w:t>5</w:t>
      </w:r>
      <w:r>
        <w:rPr>
          <w:rFonts w:hint="eastAsia" w:ascii="宋体" w:hAnsi="宋体" w:eastAsia="宋体" w:cs="宋体"/>
          <w:snapToGrid w:val="0"/>
          <w:color w:val="auto"/>
          <w:kern w:val="0"/>
          <w:sz w:val="21"/>
          <w:szCs w:val="21"/>
          <w:highlight w:val="none"/>
          <w:lang w:eastAsia="zh-CN"/>
        </w:rPr>
        <w:t>年</w:t>
      </w:r>
      <w:r>
        <w:rPr>
          <w:rFonts w:hint="eastAsia" w:ascii="宋体" w:hAnsi="宋体" w:eastAsia="宋体" w:cs="宋体"/>
          <w:snapToGrid w:val="0"/>
          <w:color w:val="auto"/>
          <w:kern w:val="0"/>
          <w:sz w:val="21"/>
          <w:szCs w:val="21"/>
          <w:highlight w:val="none"/>
          <w:lang w:val="en-US" w:eastAsia="zh-CN"/>
        </w:rPr>
        <w:t>09</w:t>
      </w:r>
      <w:r>
        <w:rPr>
          <w:rFonts w:hint="eastAsia" w:ascii="宋体" w:hAnsi="宋体" w:eastAsia="宋体" w:cs="宋体"/>
          <w:snapToGrid w:val="0"/>
          <w:color w:val="auto"/>
          <w:kern w:val="0"/>
          <w:sz w:val="21"/>
          <w:szCs w:val="21"/>
          <w:highlight w:val="none"/>
          <w:lang w:eastAsia="zh-CN"/>
        </w:rPr>
        <w:t>月）彩色扫描件。拟派专职安全员为退休返聘人员无法提供社保证明的，提供退休证和劳动合同彩色扫描件；</w:t>
      </w:r>
    </w:p>
    <w:p w14:paraId="6D57810E">
      <w:pPr>
        <w:pStyle w:val="74"/>
        <w:widowControl w:val="0"/>
        <w:wordWrap w:val="0"/>
        <w:adjustRightInd w:val="0"/>
        <w:snapToGrid w:val="0"/>
        <w:spacing w:line="400" w:lineRule="exact"/>
        <w:rPr>
          <w:rFonts w:hint="eastAsia" w:ascii="宋体" w:hAnsi="宋体" w:eastAsia="宋体" w:cs="宋体"/>
          <w:snapToGrid w:val="0"/>
          <w:color w:val="auto"/>
          <w:sz w:val="21"/>
          <w:szCs w:val="28"/>
          <w:highlight w:val="none"/>
        </w:rPr>
        <w:sectPr>
          <w:endnotePr>
            <w:numFmt w:val="decimal"/>
          </w:endnotePr>
          <w:pgSz w:w="11906" w:h="16838"/>
          <w:pgMar w:top="1134" w:right="1134" w:bottom="1134" w:left="1134" w:header="567" w:footer="567" w:gutter="0"/>
          <w:cols w:space="720" w:num="1"/>
          <w:docGrid w:linePitch="327" w:charSpace="0"/>
        </w:sectPr>
      </w:pPr>
      <w:r>
        <w:rPr>
          <w:rFonts w:hint="eastAsia" w:ascii="宋体" w:hAnsi="宋体" w:eastAsia="宋体" w:cs="宋体"/>
          <w:color w:val="auto"/>
          <w:sz w:val="21"/>
          <w:szCs w:val="21"/>
          <w:lang w:val="en-US" w:eastAsia="zh-CN"/>
        </w:rPr>
        <w:t>4.</w:t>
      </w:r>
      <w:r>
        <w:rPr>
          <w:rFonts w:hint="eastAsia" w:ascii="宋体" w:hAnsi="宋体" w:eastAsia="宋体" w:cs="宋体"/>
          <w:color w:val="auto"/>
          <w:sz w:val="21"/>
          <w:szCs w:val="21"/>
          <w:lang w:eastAsia="zh-CN"/>
        </w:rPr>
        <w:t>“进粤企业和人员诚信信息登记平台”个人信息情况截图。（适用于省外建筑企业）。</w:t>
      </w:r>
    </w:p>
    <w:p w14:paraId="241C2AFA">
      <w:pPr>
        <w:pStyle w:val="4"/>
        <w:bidi w:val="0"/>
        <w:ind w:firstLine="964"/>
        <w:rPr>
          <w:rFonts w:hint="eastAsia" w:ascii="宋体" w:hAnsi="宋体" w:eastAsia="宋体" w:cs="宋体"/>
          <w:color w:val="auto"/>
        </w:rPr>
      </w:pPr>
      <w:bookmarkStart w:id="338" w:name="_Toc20506"/>
      <w:bookmarkStart w:id="339" w:name="_Toc23812"/>
      <w:bookmarkStart w:id="340" w:name="_Toc14989"/>
      <w:bookmarkStart w:id="341" w:name="_Toc14261309"/>
      <w:bookmarkStart w:id="342" w:name="_Toc994"/>
      <w:bookmarkStart w:id="343" w:name="_Toc29727"/>
      <w:r>
        <w:rPr>
          <w:rFonts w:hint="eastAsia" w:ascii="宋体" w:hAnsi="宋体" w:eastAsia="宋体" w:cs="宋体"/>
          <w:color w:val="auto"/>
        </w:rPr>
        <w:t>格式</w:t>
      </w:r>
      <w:bookmarkStart w:id="344" w:name="_Hlt287950384"/>
      <w:bookmarkEnd w:id="344"/>
      <w:r>
        <w:rPr>
          <w:rFonts w:hint="eastAsia" w:ascii="宋体" w:hAnsi="宋体" w:eastAsia="宋体" w:cs="宋体"/>
          <w:color w:val="auto"/>
        </w:rPr>
        <w:t>十二 项目管理机构组成表</w:t>
      </w:r>
      <w:bookmarkEnd w:id="338"/>
      <w:bookmarkEnd w:id="339"/>
      <w:bookmarkEnd w:id="340"/>
      <w:bookmarkEnd w:id="341"/>
      <w:bookmarkEnd w:id="342"/>
      <w:bookmarkEnd w:id="343"/>
    </w:p>
    <w:p w14:paraId="2A01A5B5">
      <w:pPr>
        <w:wordWrap w:val="0"/>
        <w:adjustRightInd w:val="0"/>
        <w:snapToGrid w:val="0"/>
        <w:spacing w:before="260" w:after="260" w:line="440" w:lineRule="exact"/>
        <w:jc w:val="center"/>
        <w:outlineLvl w:val="2"/>
        <w:rPr>
          <w:rFonts w:hint="eastAsia" w:ascii="宋体" w:hAnsi="宋体" w:eastAsia="宋体" w:cs="宋体"/>
          <w:b/>
          <w:snapToGrid w:val="0"/>
          <w:color w:val="auto"/>
          <w:kern w:val="0"/>
          <w:highlight w:val="none"/>
        </w:rPr>
      </w:pPr>
      <w:bookmarkStart w:id="345" w:name="_Toc14261751"/>
      <w:bookmarkStart w:id="346" w:name="_Toc21803"/>
      <w:bookmarkStart w:id="347" w:name="_Toc3834"/>
      <w:r>
        <w:rPr>
          <w:rFonts w:hint="eastAsia" w:ascii="宋体" w:hAnsi="宋体" w:eastAsia="宋体" w:cs="宋体"/>
          <w:b/>
          <w:snapToGrid w:val="0"/>
          <w:color w:val="auto"/>
          <w:kern w:val="0"/>
          <w:sz w:val="30"/>
          <w:highlight w:val="none"/>
        </w:rPr>
        <w:t>项目管理机构组成表</w:t>
      </w:r>
      <w:bookmarkEnd w:id="345"/>
      <w:bookmarkEnd w:id="346"/>
      <w:bookmarkEnd w:id="347"/>
    </w:p>
    <w:tbl>
      <w:tblPr>
        <w:tblStyle w:val="30"/>
        <w:tblW w:w="8938"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743"/>
        <w:gridCol w:w="1421"/>
        <w:gridCol w:w="1355"/>
        <w:gridCol w:w="900"/>
        <w:gridCol w:w="817"/>
        <w:gridCol w:w="1538"/>
        <w:gridCol w:w="2164"/>
      </w:tblGrid>
      <w:tr w14:paraId="30758C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60" w:hRule="atLeast"/>
        </w:trPr>
        <w:tc>
          <w:tcPr>
            <w:tcW w:w="743" w:type="dxa"/>
            <w:tcBorders>
              <w:top w:val="single" w:color="auto" w:sz="6" w:space="0"/>
              <w:left w:val="single" w:color="auto" w:sz="6" w:space="0"/>
              <w:bottom w:val="single" w:color="auto" w:sz="6" w:space="0"/>
              <w:right w:val="single" w:color="auto" w:sz="6" w:space="0"/>
            </w:tcBorders>
            <w:noWrap w:val="0"/>
            <w:vAlign w:val="center"/>
          </w:tcPr>
          <w:p w14:paraId="7D141442">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序号</w:t>
            </w:r>
          </w:p>
        </w:tc>
        <w:tc>
          <w:tcPr>
            <w:tcW w:w="1421" w:type="dxa"/>
            <w:tcBorders>
              <w:top w:val="single" w:color="auto" w:sz="6" w:space="0"/>
              <w:left w:val="single" w:color="auto" w:sz="6" w:space="0"/>
              <w:bottom w:val="single" w:color="auto" w:sz="6" w:space="0"/>
              <w:right w:val="single" w:color="auto" w:sz="6" w:space="0"/>
            </w:tcBorders>
            <w:noWrap w:val="0"/>
            <w:vAlign w:val="center"/>
          </w:tcPr>
          <w:p w14:paraId="0DEFD678">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职务</w:t>
            </w:r>
          </w:p>
        </w:tc>
        <w:tc>
          <w:tcPr>
            <w:tcW w:w="1355" w:type="dxa"/>
            <w:tcBorders>
              <w:top w:val="single" w:color="auto" w:sz="6" w:space="0"/>
              <w:left w:val="single" w:color="auto" w:sz="6" w:space="0"/>
              <w:bottom w:val="single" w:color="auto" w:sz="6" w:space="0"/>
              <w:right w:val="single" w:color="auto" w:sz="6" w:space="0"/>
            </w:tcBorders>
            <w:noWrap w:val="0"/>
            <w:vAlign w:val="center"/>
          </w:tcPr>
          <w:p w14:paraId="12BB2BF8">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姓名</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25455DA0">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性别</w:t>
            </w:r>
          </w:p>
        </w:tc>
        <w:tc>
          <w:tcPr>
            <w:tcW w:w="817" w:type="dxa"/>
            <w:tcBorders>
              <w:top w:val="single" w:color="auto" w:sz="6" w:space="0"/>
              <w:left w:val="single" w:color="auto" w:sz="6" w:space="0"/>
              <w:bottom w:val="single" w:color="auto" w:sz="6" w:space="0"/>
              <w:right w:val="single" w:color="auto" w:sz="6" w:space="0"/>
            </w:tcBorders>
            <w:noWrap w:val="0"/>
            <w:vAlign w:val="center"/>
          </w:tcPr>
          <w:p w14:paraId="603BCCBF">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年龄</w:t>
            </w:r>
          </w:p>
        </w:tc>
        <w:tc>
          <w:tcPr>
            <w:tcW w:w="1538" w:type="dxa"/>
            <w:tcBorders>
              <w:top w:val="single" w:color="auto" w:sz="6" w:space="0"/>
              <w:left w:val="single" w:color="auto" w:sz="6" w:space="0"/>
              <w:bottom w:val="single" w:color="auto" w:sz="6" w:space="0"/>
              <w:right w:val="single" w:color="auto" w:sz="6" w:space="0"/>
            </w:tcBorders>
            <w:noWrap w:val="0"/>
            <w:vAlign w:val="center"/>
          </w:tcPr>
          <w:p w14:paraId="1D7DF99F">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职称</w:t>
            </w:r>
          </w:p>
        </w:tc>
        <w:tc>
          <w:tcPr>
            <w:tcW w:w="2164" w:type="dxa"/>
            <w:tcBorders>
              <w:top w:val="single" w:color="auto" w:sz="6" w:space="0"/>
              <w:left w:val="single" w:color="auto" w:sz="6" w:space="0"/>
              <w:bottom w:val="single" w:color="auto" w:sz="6" w:space="0"/>
              <w:right w:val="single" w:color="auto" w:sz="6" w:space="0"/>
            </w:tcBorders>
            <w:noWrap w:val="0"/>
            <w:vAlign w:val="center"/>
          </w:tcPr>
          <w:p w14:paraId="15372F05">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备注</w:t>
            </w:r>
          </w:p>
        </w:tc>
      </w:tr>
      <w:tr w14:paraId="5723FD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37" w:hRule="exact"/>
        </w:trPr>
        <w:tc>
          <w:tcPr>
            <w:tcW w:w="743" w:type="dxa"/>
            <w:tcBorders>
              <w:top w:val="single" w:color="auto" w:sz="6" w:space="0"/>
              <w:left w:val="single" w:color="auto" w:sz="6" w:space="0"/>
              <w:bottom w:val="single" w:color="auto" w:sz="6" w:space="0"/>
              <w:right w:val="single" w:color="auto" w:sz="6" w:space="0"/>
            </w:tcBorders>
            <w:noWrap w:val="0"/>
            <w:vAlign w:val="center"/>
          </w:tcPr>
          <w:p w14:paraId="23D162B1">
            <w:pPr>
              <w:wordWrap w:val="0"/>
              <w:adjustRightInd w:val="0"/>
              <w:snapToGrid w:val="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w:t>
            </w:r>
          </w:p>
        </w:tc>
        <w:tc>
          <w:tcPr>
            <w:tcW w:w="1421" w:type="dxa"/>
            <w:tcBorders>
              <w:top w:val="single" w:color="auto" w:sz="6" w:space="0"/>
              <w:left w:val="single" w:color="auto" w:sz="6" w:space="0"/>
              <w:bottom w:val="single" w:color="auto" w:sz="6" w:space="0"/>
              <w:right w:val="single" w:color="auto" w:sz="6" w:space="0"/>
            </w:tcBorders>
            <w:noWrap w:val="0"/>
            <w:vAlign w:val="center"/>
          </w:tcPr>
          <w:p w14:paraId="7030D70B">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项目经理</w:t>
            </w:r>
          </w:p>
        </w:tc>
        <w:tc>
          <w:tcPr>
            <w:tcW w:w="1355" w:type="dxa"/>
            <w:tcBorders>
              <w:top w:val="single" w:color="auto" w:sz="6" w:space="0"/>
              <w:left w:val="single" w:color="auto" w:sz="6" w:space="0"/>
              <w:bottom w:val="single" w:color="auto" w:sz="6" w:space="0"/>
              <w:right w:val="single" w:color="auto" w:sz="6" w:space="0"/>
            </w:tcBorders>
            <w:noWrap w:val="0"/>
            <w:vAlign w:val="center"/>
          </w:tcPr>
          <w:p w14:paraId="7F3C4B08">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900" w:type="dxa"/>
            <w:tcBorders>
              <w:top w:val="single" w:color="auto" w:sz="6" w:space="0"/>
              <w:left w:val="single" w:color="auto" w:sz="6" w:space="0"/>
              <w:bottom w:val="single" w:color="auto" w:sz="6" w:space="0"/>
              <w:right w:val="single" w:color="auto" w:sz="6" w:space="0"/>
            </w:tcBorders>
            <w:noWrap w:val="0"/>
            <w:vAlign w:val="center"/>
          </w:tcPr>
          <w:p w14:paraId="5CBE49E2">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817" w:type="dxa"/>
            <w:tcBorders>
              <w:top w:val="single" w:color="auto" w:sz="6" w:space="0"/>
              <w:left w:val="single" w:color="auto" w:sz="6" w:space="0"/>
              <w:bottom w:val="single" w:color="auto" w:sz="6" w:space="0"/>
              <w:right w:val="single" w:color="auto" w:sz="6" w:space="0"/>
            </w:tcBorders>
            <w:noWrap w:val="0"/>
            <w:vAlign w:val="center"/>
          </w:tcPr>
          <w:p w14:paraId="56D946AD">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1538" w:type="dxa"/>
            <w:tcBorders>
              <w:top w:val="single" w:color="auto" w:sz="6" w:space="0"/>
              <w:left w:val="single" w:color="auto" w:sz="6" w:space="0"/>
              <w:bottom w:val="single" w:color="auto" w:sz="6" w:space="0"/>
              <w:right w:val="single" w:color="auto" w:sz="6" w:space="0"/>
            </w:tcBorders>
            <w:noWrap w:val="0"/>
            <w:vAlign w:val="center"/>
          </w:tcPr>
          <w:p w14:paraId="69CDD42E">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2164" w:type="dxa"/>
            <w:tcBorders>
              <w:top w:val="single" w:color="auto" w:sz="6" w:space="0"/>
              <w:left w:val="single" w:color="auto" w:sz="6" w:space="0"/>
              <w:bottom w:val="single" w:color="auto" w:sz="6" w:space="0"/>
              <w:right w:val="single" w:color="auto" w:sz="6" w:space="0"/>
            </w:tcBorders>
            <w:noWrap w:val="0"/>
            <w:vAlign w:val="center"/>
          </w:tcPr>
          <w:p w14:paraId="39F2031E">
            <w:pPr>
              <w:wordWrap w:val="0"/>
              <w:adjustRightInd w:val="0"/>
              <w:snapToGrid w:val="0"/>
              <w:jc w:val="center"/>
              <w:rPr>
                <w:rFonts w:hint="eastAsia" w:ascii="宋体" w:hAnsi="宋体" w:eastAsia="宋体" w:cs="宋体"/>
                <w:snapToGrid w:val="0"/>
                <w:color w:val="auto"/>
                <w:kern w:val="0"/>
                <w:sz w:val="21"/>
                <w:szCs w:val="21"/>
                <w:highlight w:val="none"/>
              </w:rPr>
            </w:pPr>
          </w:p>
        </w:tc>
      </w:tr>
      <w:tr w14:paraId="267699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91" w:hRule="exact"/>
        </w:trPr>
        <w:tc>
          <w:tcPr>
            <w:tcW w:w="743" w:type="dxa"/>
            <w:tcBorders>
              <w:top w:val="single" w:color="auto" w:sz="6" w:space="0"/>
              <w:left w:val="single" w:color="auto" w:sz="6" w:space="0"/>
              <w:bottom w:val="single" w:color="auto" w:sz="6" w:space="0"/>
              <w:right w:val="single" w:color="auto" w:sz="6" w:space="0"/>
            </w:tcBorders>
            <w:noWrap w:val="0"/>
            <w:vAlign w:val="center"/>
          </w:tcPr>
          <w:p w14:paraId="320F2CD4">
            <w:pPr>
              <w:wordWrap w:val="0"/>
              <w:adjustRightInd w:val="0"/>
              <w:snapToGrid w:val="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2</w:t>
            </w:r>
          </w:p>
        </w:tc>
        <w:tc>
          <w:tcPr>
            <w:tcW w:w="1421" w:type="dxa"/>
            <w:tcBorders>
              <w:top w:val="single" w:color="auto" w:sz="6" w:space="0"/>
              <w:left w:val="single" w:color="auto" w:sz="6" w:space="0"/>
              <w:bottom w:val="single" w:color="auto" w:sz="6" w:space="0"/>
              <w:right w:val="single" w:color="auto" w:sz="6" w:space="0"/>
            </w:tcBorders>
            <w:noWrap w:val="0"/>
            <w:vAlign w:val="center"/>
          </w:tcPr>
          <w:p w14:paraId="6129DD57">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项目技术</w:t>
            </w:r>
          </w:p>
          <w:p w14:paraId="364C082F">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负责人</w:t>
            </w:r>
          </w:p>
        </w:tc>
        <w:tc>
          <w:tcPr>
            <w:tcW w:w="1355" w:type="dxa"/>
            <w:tcBorders>
              <w:top w:val="single" w:color="auto" w:sz="6" w:space="0"/>
              <w:left w:val="single" w:color="auto" w:sz="6" w:space="0"/>
              <w:bottom w:val="single" w:color="auto" w:sz="6" w:space="0"/>
              <w:right w:val="single" w:color="auto" w:sz="6" w:space="0"/>
            </w:tcBorders>
            <w:noWrap w:val="0"/>
            <w:vAlign w:val="center"/>
          </w:tcPr>
          <w:p w14:paraId="5FF63CA6">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900" w:type="dxa"/>
            <w:tcBorders>
              <w:top w:val="single" w:color="auto" w:sz="6" w:space="0"/>
              <w:left w:val="single" w:color="auto" w:sz="6" w:space="0"/>
              <w:bottom w:val="single" w:color="auto" w:sz="6" w:space="0"/>
              <w:right w:val="single" w:color="auto" w:sz="6" w:space="0"/>
            </w:tcBorders>
            <w:noWrap w:val="0"/>
            <w:vAlign w:val="center"/>
          </w:tcPr>
          <w:p w14:paraId="5FEAE2C8">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817" w:type="dxa"/>
            <w:tcBorders>
              <w:top w:val="single" w:color="auto" w:sz="6" w:space="0"/>
              <w:left w:val="single" w:color="auto" w:sz="6" w:space="0"/>
              <w:bottom w:val="single" w:color="auto" w:sz="6" w:space="0"/>
              <w:right w:val="single" w:color="auto" w:sz="6" w:space="0"/>
            </w:tcBorders>
            <w:noWrap w:val="0"/>
            <w:vAlign w:val="center"/>
          </w:tcPr>
          <w:p w14:paraId="754E7BF3">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1538" w:type="dxa"/>
            <w:tcBorders>
              <w:top w:val="single" w:color="auto" w:sz="6" w:space="0"/>
              <w:left w:val="single" w:color="auto" w:sz="6" w:space="0"/>
              <w:bottom w:val="single" w:color="auto" w:sz="6" w:space="0"/>
              <w:right w:val="single" w:color="auto" w:sz="6" w:space="0"/>
            </w:tcBorders>
            <w:noWrap w:val="0"/>
            <w:vAlign w:val="center"/>
          </w:tcPr>
          <w:p w14:paraId="0F66FD4C">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2164" w:type="dxa"/>
            <w:tcBorders>
              <w:top w:val="single" w:color="auto" w:sz="6" w:space="0"/>
              <w:left w:val="single" w:color="auto" w:sz="6" w:space="0"/>
              <w:bottom w:val="single" w:color="auto" w:sz="6" w:space="0"/>
              <w:right w:val="single" w:color="auto" w:sz="6" w:space="0"/>
            </w:tcBorders>
            <w:noWrap w:val="0"/>
            <w:vAlign w:val="center"/>
          </w:tcPr>
          <w:p w14:paraId="0AC31E1E">
            <w:pPr>
              <w:wordWrap w:val="0"/>
              <w:adjustRightInd w:val="0"/>
              <w:snapToGrid w:val="0"/>
              <w:jc w:val="center"/>
              <w:rPr>
                <w:rFonts w:hint="eastAsia" w:ascii="宋体" w:hAnsi="宋体" w:eastAsia="宋体" w:cs="宋体"/>
                <w:snapToGrid w:val="0"/>
                <w:color w:val="auto"/>
                <w:kern w:val="0"/>
                <w:sz w:val="21"/>
                <w:szCs w:val="21"/>
                <w:highlight w:val="none"/>
              </w:rPr>
            </w:pPr>
          </w:p>
        </w:tc>
      </w:tr>
      <w:tr w14:paraId="7FB86D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63" w:hRule="exact"/>
        </w:trPr>
        <w:tc>
          <w:tcPr>
            <w:tcW w:w="743" w:type="dxa"/>
            <w:tcBorders>
              <w:top w:val="single" w:color="auto" w:sz="6" w:space="0"/>
              <w:left w:val="single" w:color="auto" w:sz="6" w:space="0"/>
              <w:right w:val="single" w:color="auto" w:sz="6" w:space="0"/>
            </w:tcBorders>
            <w:noWrap w:val="0"/>
            <w:vAlign w:val="center"/>
          </w:tcPr>
          <w:p w14:paraId="61E0FF45">
            <w:pPr>
              <w:wordWrap w:val="0"/>
              <w:adjustRightInd w:val="0"/>
              <w:snapToGrid w:val="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3</w:t>
            </w:r>
          </w:p>
        </w:tc>
        <w:tc>
          <w:tcPr>
            <w:tcW w:w="1421" w:type="dxa"/>
            <w:tcBorders>
              <w:top w:val="single" w:color="auto" w:sz="6" w:space="0"/>
              <w:left w:val="single" w:color="auto" w:sz="6" w:space="0"/>
              <w:right w:val="single" w:color="auto" w:sz="6" w:space="0"/>
            </w:tcBorders>
            <w:noWrap w:val="0"/>
            <w:vAlign w:val="center"/>
          </w:tcPr>
          <w:p w14:paraId="0DFA5BF2">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专职安全员</w:t>
            </w:r>
          </w:p>
        </w:tc>
        <w:tc>
          <w:tcPr>
            <w:tcW w:w="1355" w:type="dxa"/>
            <w:tcBorders>
              <w:top w:val="single" w:color="auto" w:sz="6" w:space="0"/>
              <w:left w:val="single" w:color="auto" w:sz="6" w:space="0"/>
              <w:bottom w:val="single" w:color="auto" w:sz="6" w:space="0"/>
              <w:right w:val="single" w:color="auto" w:sz="6" w:space="0"/>
            </w:tcBorders>
            <w:noWrap w:val="0"/>
            <w:vAlign w:val="center"/>
          </w:tcPr>
          <w:p w14:paraId="6103D7F3">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900" w:type="dxa"/>
            <w:tcBorders>
              <w:top w:val="single" w:color="auto" w:sz="6" w:space="0"/>
              <w:left w:val="single" w:color="auto" w:sz="6" w:space="0"/>
              <w:bottom w:val="single" w:color="auto" w:sz="6" w:space="0"/>
              <w:right w:val="single" w:color="auto" w:sz="6" w:space="0"/>
            </w:tcBorders>
            <w:noWrap w:val="0"/>
            <w:vAlign w:val="center"/>
          </w:tcPr>
          <w:p w14:paraId="04E1C0CB">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817" w:type="dxa"/>
            <w:tcBorders>
              <w:top w:val="single" w:color="auto" w:sz="6" w:space="0"/>
              <w:left w:val="single" w:color="auto" w:sz="6" w:space="0"/>
              <w:bottom w:val="single" w:color="auto" w:sz="6" w:space="0"/>
              <w:right w:val="single" w:color="auto" w:sz="6" w:space="0"/>
            </w:tcBorders>
            <w:noWrap w:val="0"/>
            <w:vAlign w:val="center"/>
          </w:tcPr>
          <w:p w14:paraId="68DC5461">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1538" w:type="dxa"/>
            <w:tcBorders>
              <w:top w:val="single" w:color="auto" w:sz="6" w:space="0"/>
              <w:left w:val="single" w:color="auto" w:sz="6" w:space="0"/>
              <w:bottom w:val="single" w:color="auto" w:sz="6" w:space="0"/>
              <w:right w:val="single" w:color="auto" w:sz="6" w:space="0"/>
            </w:tcBorders>
            <w:noWrap w:val="0"/>
            <w:vAlign w:val="center"/>
          </w:tcPr>
          <w:p w14:paraId="667B8A0E">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2164" w:type="dxa"/>
            <w:tcBorders>
              <w:top w:val="single" w:color="auto" w:sz="6" w:space="0"/>
              <w:left w:val="single" w:color="auto" w:sz="6" w:space="0"/>
              <w:bottom w:val="single" w:color="auto" w:sz="6" w:space="0"/>
              <w:right w:val="single" w:color="auto" w:sz="6" w:space="0"/>
            </w:tcBorders>
            <w:noWrap w:val="0"/>
            <w:vAlign w:val="center"/>
          </w:tcPr>
          <w:p w14:paraId="00176E15">
            <w:pPr>
              <w:wordWrap w:val="0"/>
              <w:adjustRightInd w:val="0"/>
              <w:snapToGrid w:val="0"/>
              <w:jc w:val="center"/>
              <w:rPr>
                <w:rFonts w:hint="eastAsia" w:ascii="宋体" w:hAnsi="宋体" w:eastAsia="宋体" w:cs="宋体"/>
                <w:snapToGrid w:val="0"/>
                <w:color w:val="auto"/>
                <w:kern w:val="0"/>
                <w:sz w:val="21"/>
                <w:szCs w:val="21"/>
                <w:highlight w:val="none"/>
              </w:rPr>
            </w:pPr>
          </w:p>
        </w:tc>
      </w:tr>
      <w:tr w14:paraId="04AA825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43"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1BE8F7EF">
            <w:pPr>
              <w:wordWrap w:val="0"/>
              <w:adjustRightInd w:val="0"/>
              <w:snapToGrid w:val="0"/>
              <w:jc w:val="center"/>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rPr>
              <w:t>4</w:t>
            </w:r>
          </w:p>
        </w:tc>
        <w:tc>
          <w:tcPr>
            <w:tcW w:w="1421" w:type="dxa"/>
            <w:tcBorders>
              <w:top w:val="single" w:color="auto" w:sz="6" w:space="0"/>
              <w:left w:val="single" w:color="auto" w:sz="6" w:space="0"/>
              <w:bottom w:val="single" w:color="auto" w:sz="6" w:space="0"/>
              <w:right w:val="single" w:color="auto" w:sz="6" w:space="0"/>
            </w:tcBorders>
            <w:noWrap w:val="0"/>
            <w:vAlign w:val="center"/>
          </w:tcPr>
          <w:p w14:paraId="6F4FF353">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施工员</w:t>
            </w:r>
          </w:p>
        </w:tc>
        <w:tc>
          <w:tcPr>
            <w:tcW w:w="1355" w:type="dxa"/>
            <w:tcBorders>
              <w:top w:val="single" w:color="auto" w:sz="6" w:space="0"/>
              <w:left w:val="single" w:color="auto" w:sz="6" w:space="0"/>
              <w:bottom w:val="single" w:color="auto" w:sz="6" w:space="0"/>
              <w:right w:val="single" w:color="auto" w:sz="6" w:space="0"/>
            </w:tcBorders>
            <w:noWrap w:val="0"/>
            <w:vAlign w:val="center"/>
          </w:tcPr>
          <w:p w14:paraId="4DEF1FEE">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900" w:type="dxa"/>
            <w:tcBorders>
              <w:top w:val="single" w:color="auto" w:sz="6" w:space="0"/>
              <w:left w:val="single" w:color="auto" w:sz="6" w:space="0"/>
              <w:bottom w:val="single" w:color="auto" w:sz="6" w:space="0"/>
              <w:right w:val="single" w:color="auto" w:sz="6" w:space="0"/>
            </w:tcBorders>
            <w:noWrap w:val="0"/>
            <w:vAlign w:val="center"/>
          </w:tcPr>
          <w:p w14:paraId="08AA47A3">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817" w:type="dxa"/>
            <w:tcBorders>
              <w:top w:val="single" w:color="auto" w:sz="6" w:space="0"/>
              <w:left w:val="single" w:color="auto" w:sz="6" w:space="0"/>
              <w:bottom w:val="single" w:color="auto" w:sz="6" w:space="0"/>
              <w:right w:val="single" w:color="auto" w:sz="6" w:space="0"/>
            </w:tcBorders>
            <w:noWrap w:val="0"/>
            <w:vAlign w:val="center"/>
          </w:tcPr>
          <w:p w14:paraId="5EDBB61B">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1538" w:type="dxa"/>
            <w:tcBorders>
              <w:top w:val="single" w:color="auto" w:sz="6" w:space="0"/>
              <w:left w:val="single" w:color="auto" w:sz="6" w:space="0"/>
              <w:bottom w:val="single" w:color="auto" w:sz="6" w:space="0"/>
              <w:right w:val="single" w:color="auto" w:sz="6" w:space="0"/>
            </w:tcBorders>
            <w:noWrap w:val="0"/>
            <w:vAlign w:val="center"/>
          </w:tcPr>
          <w:p w14:paraId="33F5F9E3">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2164" w:type="dxa"/>
            <w:tcBorders>
              <w:top w:val="single" w:color="auto" w:sz="6" w:space="0"/>
              <w:left w:val="single" w:color="auto" w:sz="6" w:space="0"/>
              <w:bottom w:val="single" w:color="auto" w:sz="6" w:space="0"/>
              <w:right w:val="single" w:color="auto" w:sz="6" w:space="0"/>
            </w:tcBorders>
            <w:noWrap w:val="0"/>
            <w:vAlign w:val="center"/>
          </w:tcPr>
          <w:p w14:paraId="6BD58CBC">
            <w:pPr>
              <w:wordWrap w:val="0"/>
              <w:adjustRightInd w:val="0"/>
              <w:snapToGrid w:val="0"/>
              <w:jc w:val="center"/>
              <w:rPr>
                <w:rFonts w:hint="eastAsia" w:ascii="宋体" w:hAnsi="宋体" w:eastAsia="宋体" w:cs="宋体"/>
                <w:snapToGrid w:val="0"/>
                <w:color w:val="auto"/>
                <w:kern w:val="0"/>
                <w:sz w:val="21"/>
                <w:szCs w:val="21"/>
                <w:highlight w:val="none"/>
              </w:rPr>
            </w:pPr>
          </w:p>
        </w:tc>
      </w:tr>
      <w:tr w14:paraId="77B58D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43"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3C3488D4">
            <w:pPr>
              <w:wordWrap w:val="0"/>
              <w:adjustRightInd w:val="0"/>
              <w:snapToGrid w:val="0"/>
              <w:jc w:val="center"/>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rPr>
              <w:t>5</w:t>
            </w:r>
          </w:p>
        </w:tc>
        <w:tc>
          <w:tcPr>
            <w:tcW w:w="1421" w:type="dxa"/>
            <w:tcBorders>
              <w:top w:val="single" w:color="auto" w:sz="6" w:space="0"/>
              <w:left w:val="single" w:color="auto" w:sz="6" w:space="0"/>
              <w:bottom w:val="single" w:color="auto" w:sz="6" w:space="0"/>
              <w:right w:val="single" w:color="auto" w:sz="6" w:space="0"/>
            </w:tcBorders>
            <w:noWrap w:val="0"/>
            <w:vAlign w:val="center"/>
          </w:tcPr>
          <w:p w14:paraId="1206DD33">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质量员</w:t>
            </w:r>
          </w:p>
        </w:tc>
        <w:tc>
          <w:tcPr>
            <w:tcW w:w="1355" w:type="dxa"/>
            <w:tcBorders>
              <w:top w:val="single" w:color="auto" w:sz="6" w:space="0"/>
              <w:left w:val="single" w:color="auto" w:sz="6" w:space="0"/>
              <w:bottom w:val="single" w:color="auto" w:sz="6" w:space="0"/>
              <w:right w:val="single" w:color="auto" w:sz="6" w:space="0"/>
            </w:tcBorders>
            <w:noWrap w:val="0"/>
            <w:vAlign w:val="center"/>
          </w:tcPr>
          <w:p w14:paraId="1BDEDBEF">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900" w:type="dxa"/>
            <w:tcBorders>
              <w:top w:val="single" w:color="auto" w:sz="6" w:space="0"/>
              <w:left w:val="single" w:color="auto" w:sz="6" w:space="0"/>
              <w:bottom w:val="single" w:color="auto" w:sz="6" w:space="0"/>
              <w:right w:val="single" w:color="auto" w:sz="6" w:space="0"/>
            </w:tcBorders>
            <w:noWrap w:val="0"/>
            <w:vAlign w:val="center"/>
          </w:tcPr>
          <w:p w14:paraId="3FD9A995">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817" w:type="dxa"/>
            <w:tcBorders>
              <w:top w:val="single" w:color="auto" w:sz="6" w:space="0"/>
              <w:left w:val="single" w:color="auto" w:sz="6" w:space="0"/>
              <w:bottom w:val="single" w:color="auto" w:sz="6" w:space="0"/>
              <w:right w:val="single" w:color="auto" w:sz="6" w:space="0"/>
            </w:tcBorders>
            <w:noWrap w:val="0"/>
            <w:vAlign w:val="center"/>
          </w:tcPr>
          <w:p w14:paraId="20E2949B">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1538" w:type="dxa"/>
            <w:tcBorders>
              <w:top w:val="single" w:color="auto" w:sz="6" w:space="0"/>
              <w:left w:val="single" w:color="auto" w:sz="6" w:space="0"/>
              <w:bottom w:val="single" w:color="auto" w:sz="6" w:space="0"/>
              <w:right w:val="single" w:color="auto" w:sz="6" w:space="0"/>
            </w:tcBorders>
            <w:noWrap w:val="0"/>
            <w:vAlign w:val="center"/>
          </w:tcPr>
          <w:p w14:paraId="356C38AB">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2164" w:type="dxa"/>
            <w:tcBorders>
              <w:top w:val="single" w:color="auto" w:sz="6" w:space="0"/>
              <w:left w:val="single" w:color="auto" w:sz="6" w:space="0"/>
              <w:bottom w:val="single" w:color="auto" w:sz="6" w:space="0"/>
              <w:right w:val="single" w:color="auto" w:sz="6" w:space="0"/>
            </w:tcBorders>
            <w:noWrap w:val="0"/>
            <w:vAlign w:val="center"/>
          </w:tcPr>
          <w:p w14:paraId="19505E2B">
            <w:pPr>
              <w:wordWrap w:val="0"/>
              <w:adjustRightInd w:val="0"/>
              <w:snapToGrid w:val="0"/>
              <w:jc w:val="center"/>
              <w:rPr>
                <w:rFonts w:hint="eastAsia" w:ascii="宋体" w:hAnsi="宋体" w:eastAsia="宋体" w:cs="宋体"/>
                <w:snapToGrid w:val="0"/>
                <w:color w:val="auto"/>
                <w:kern w:val="0"/>
                <w:sz w:val="21"/>
                <w:szCs w:val="21"/>
                <w:highlight w:val="none"/>
              </w:rPr>
            </w:pPr>
          </w:p>
        </w:tc>
      </w:tr>
      <w:tr w14:paraId="5B0262D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43"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60D52610">
            <w:pPr>
              <w:wordWrap w:val="0"/>
              <w:adjustRightInd w:val="0"/>
              <w:snapToGrid w:val="0"/>
              <w:jc w:val="center"/>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rPr>
              <w:t>6</w:t>
            </w:r>
          </w:p>
        </w:tc>
        <w:tc>
          <w:tcPr>
            <w:tcW w:w="1421" w:type="dxa"/>
            <w:tcBorders>
              <w:top w:val="single" w:color="auto" w:sz="6" w:space="0"/>
              <w:left w:val="single" w:color="auto" w:sz="6" w:space="0"/>
              <w:bottom w:val="single" w:color="auto" w:sz="6" w:space="0"/>
              <w:right w:val="single" w:color="auto" w:sz="6" w:space="0"/>
            </w:tcBorders>
            <w:noWrap w:val="0"/>
            <w:vAlign w:val="center"/>
          </w:tcPr>
          <w:p w14:paraId="0CF89D0D">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材料员</w:t>
            </w:r>
          </w:p>
        </w:tc>
        <w:tc>
          <w:tcPr>
            <w:tcW w:w="1355" w:type="dxa"/>
            <w:tcBorders>
              <w:top w:val="single" w:color="auto" w:sz="6" w:space="0"/>
              <w:left w:val="single" w:color="auto" w:sz="6" w:space="0"/>
              <w:bottom w:val="single" w:color="auto" w:sz="6" w:space="0"/>
              <w:right w:val="single" w:color="auto" w:sz="6" w:space="0"/>
            </w:tcBorders>
            <w:noWrap w:val="0"/>
            <w:vAlign w:val="center"/>
          </w:tcPr>
          <w:p w14:paraId="5E313652">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900" w:type="dxa"/>
            <w:tcBorders>
              <w:top w:val="single" w:color="auto" w:sz="6" w:space="0"/>
              <w:left w:val="single" w:color="auto" w:sz="6" w:space="0"/>
              <w:bottom w:val="single" w:color="auto" w:sz="6" w:space="0"/>
              <w:right w:val="single" w:color="auto" w:sz="6" w:space="0"/>
            </w:tcBorders>
            <w:noWrap w:val="0"/>
            <w:vAlign w:val="center"/>
          </w:tcPr>
          <w:p w14:paraId="33871C28">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817" w:type="dxa"/>
            <w:tcBorders>
              <w:top w:val="single" w:color="auto" w:sz="6" w:space="0"/>
              <w:left w:val="single" w:color="auto" w:sz="6" w:space="0"/>
              <w:bottom w:val="single" w:color="auto" w:sz="6" w:space="0"/>
              <w:right w:val="single" w:color="auto" w:sz="6" w:space="0"/>
            </w:tcBorders>
            <w:noWrap w:val="0"/>
            <w:vAlign w:val="center"/>
          </w:tcPr>
          <w:p w14:paraId="7AB74900">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1538" w:type="dxa"/>
            <w:tcBorders>
              <w:top w:val="single" w:color="auto" w:sz="6" w:space="0"/>
              <w:left w:val="single" w:color="auto" w:sz="6" w:space="0"/>
              <w:bottom w:val="single" w:color="auto" w:sz="6" w:space="0"/>
              <w:right w:val="single" w:color="auto" w:sz="6" w:space="0"/>
            </w:tcBorders>
            <w:noWrap w:val="0"/>
            <w:vAlign w:val="center"/>
          </w:tcPr>
          <w:p w14:paraId="79346C4B">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2164" w:type="dxa"/>
            <w:tcBorders>
              <w:top w:val="single" w:color="auto" w:sz="6" w:space="0"/>
              <w:left w:val="single" w:color="auto" w:sz="6" w:space="0"/>
              <w:bottom w:val="single" w:color="auto" w:sz="6" w:space="0"/>
              <w:right w:val="single" w:color="auto" w:sz="6" w:space="0"/>
            </w:tcBorders>
            <w:noWrap w:val="0"/>
            <w:vAlign w:val="center"/>
          </w:tcPr>
          <w:p w14:paraId="33F87039">
            <w:pPr>
              <w:wordWrap w:val="0"/>
              <w:adjustRightInd w:val="0"/>
              <w:snapToGrid w:val="0"/>
              <w:jc w:val="center"/>
              <w:rPr>
                <w:rFonts w:hint="eastAsia" w:ascii="宋体" w:hAnsi="宋体" w:eastAsia="宋体" w:cs="宋体"/>
                <w:snapToGrid w:val="0"/>
                <w:color w:val="auto"/>
                <w:kern w:val="0"/>
                <w:sz w:val="21"/>
                <w:szCs w:val="21"/>
                <w:highlight w:val="none"/>
              </w:rPr>
            </w:pPr>
          </w:p>
        </w:tc>
      </w:tr>
      <w:tr w14:paraId="1B288E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43" w:type="dxa"/>
            <w:tcBorders>
              <w:top w:val="single" w:color="auto" w:sz="6" w:space="0"/>
              <w:left w:val="single" w:color="auto" w:sz="6" w:space="0"/>
              <w:bottom w:val="single" w:color="auto" w:sz="6" w:space="0"/>
              <w:right w:val="single" w:color="auto" w:sz="6" w:space="0"/>
            </w:tcBorders>
            <w:noWrap w:val="0"/>
            <w:vAlign w:val="center"/>
          </w:tcPr>
          <w:p w14:paraId="18A4D24B">
            <w:pPr>
              <w:wordWrap w:val="0"/>
              <w:adjustRightInd w:val="0"/>
              <w:snapToGrid w:val="0"/>
              <w:jc w:val="center"/>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7</w:t>
            </w:r>
          </w:p>
        </w:tc>
        <w:tc>
          <w:tcPr>
            <w:tcW w:w="1421" w:type="dxa"/>
            <w:tcBorders>
              <w:top w:val="single" w:color="auto" w:sz="6" w:space="0"/>
              <w:left w:val="single" w:color="auto" w:sz="6" w:space="0"/>
              <w:bottom w:val="single" w:color="auto" w:sz="6" w:space="0"/>
              <w:right w:val="single" w:color="auto" w:sz="6" w:space="0"/>
            </w:tcBorders>
            <w:noWrap w:val="0"/>
            <w:vAlign w:val="center"/>
          </w:tcPr>
          <w:p w14:paraId="0BEB727A">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资料员</w:t>
            </w:r>
          </w:p>
        </w:tc>
        <w:tc>
          <w:tcPr>
            <w:tcW w:w="1355" w:type="dxa"/>
            <w:tcBorders>
              <w:top w:val="single" w:color="auto" w:sz="6" w:space="0"/>
              <w:left w:val="single" w:color="auto" w:sz="6" w:space="0"/>
              <w:bottom w:val="single" w:color="auto" w:sz="6" w:space="0"/>
              <w:right w:val="single" w:color="auto" w:sz="6" w:space="0"/>
            </w:tcBorders>
            <w:noWrap w:val="0"/>
            <w:vAlign w:val="center"/>
          </w:tcPr>
          <w:p w14:paraId="7C4FB398">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900" w:type="dxa"/>
            <w:tcBorders>
              <w:top w:val="single" w:color="auto" w:sz="6" w:space="0"/>
              <w:left w:val="single" w:color="auto" w:sz="6" w:space="0"/>
              <w:bottom w:val="single" w:color="auto" w:sz="6" w:space="0"/>
              <w:right w:val="single" w:color="auto" w:sz="6" w:space="0"/>
            </w:tcBorders>
            <w:noWrap w:val="0"/>
            <w:vAlign w:val="center"/>
          </w:tcPr>
          <w:p w14:paraId="663BD55C">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817" w:type="dxa"/>
            <w:tcBorders>
              <w:top w:val="single" w:color="auto" w:sz="6" w:space="0"/>
              <w:left w:val="single" w:color="auto" w:sz="6" w:space="0"/>
              <w:bottom w:val="single" w:color="auto" w:sz="6" w:space="0"/>
              <w:right w:val="single" w:color="auto" w:sz="6" w:space="0"/>
            </w:tcBorders>
            <w:noWrap w:val="0"/>
            <w:vAlign w:val="center"/>
          </w:tcPr>
          <w:p w14:paraId="12B5206E">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1538" w:type="dxa"/>
            <w:tcBorders>
              <w:top w:val="single" w:color="auto" w:sz="6" w:space="0"/>
              <w:left w:val="single" w:color="auto" w:sz="6" w:space="0"/>
              <w:bottom w:val="single" w:color="auto" w:sz="6" w:space="0"/>
              <w:right w:val="single" w:color="auto" w:sz="6" w:space="0"/>
            </w:tcBorders>
            <w:noWrap w:val="0"/>
            <w:vAlign w:val="center"/>
          </w:tcPr>
          <w:p w14:paraId="3A7FFE8E">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2164" w:type="dxa"/>
            <w:tcBorders>
              <w:top w:val="single" w:color="auto" w:sz="6" w:space="0"/>
              <w:left w:val="single" w:color="auto" w:sz="6" w:space="0"/>
              <w:bottom w:val="single" w:color="auto" w:sz="6" w:space="0"/>
              <w:right w:val="single" w:color="auto" w:sz="6" w:space="0"/>
            </w:tcBorders>
            <w:noWrap w:val="0"/>
            <w:vAlign w:val="center"/>
          </w:tcPr>
          <w:p w14:paraId="59744306">
            <w:pPr>
              <w:wordWrap w:val="0"/>
              <w:adjustRightInd w:val="0"/>
              <w:snapToGrid w:val="0"/>
              <w:jc w:val="center"/>
              <w:rPr>
                <w:rFonts w:hint="eastAsia" w:ascii="宋体" w:hAnsi="宋体" w:eastAsia="宋体" w:cs="宋体"/>
                <w:snapToGrid w:val="0"/>
                <w:color w:val="auto"/>
                <w:kern w:val="0"/>
                <w:sz w:val="21"/>
                <w:szCs w:val="21"/>
                <w:highlight w:val="none"/>
              </w:rPr>
            </w:pPr>
          </w:p>
        </w:tc>
      </w:tr>
      <w:tr w14:paraId="16E17F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43" w:type="dxa"/>
            <w:tcBorders>
              <w:top w:val="single" w:color="auto" w:sz="6" w:space="0"/>
              <w:left w:val="single" w:color="auto" w:sz="6" w:space="0"/>
              <w:bottom w:val="single" w:color="auto" w:sz="6" w:space="0"/>
              <w:right w:val="single" w:color="auto" w:sz="6" w:space="0"/>
            </w:tcBorders>
            <w:noWrap w:val="0"/>
            <w:vAlign w:val="center"/>
          </w:tcPr>
          <w:p w14:paraId="4B203E25">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1421" w:type="dxa"/>
            <w:tcBorders>
              <w:top w:val="single" w:color="auto" w:sz="6" w:space="0"/>
              <w:left w:val="single" w:color="auto" w:sz="6" w:space="0"/>
              <w:bottom w:val="single" w:color="auto" w:sz="6" w:space="0"/>
              <w:right w:val="single" w:color="auto" w:sz="6" w:space="0"/>
            </w:tcBorders>
            <w:noWrap w:val="0"/>
            <w:vAlign w:val="center"/>
          </w:tcPr>
          <w:p w14:paraId="6AE75267">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w:t>
            </w:r>
          </w:p>
        </w:tc>
        <w:tc>
          <w:tcPr>
            <w:tcW w:w="1355" w:type="dxa"/>
            <w:tcBorders>
              <w:top w:val="single" w:color="auto" w:sz="6" w:space="0"/>
              <w:left w:val="single" w:color="auto" w:sz="6" w:space="0"/>
              <w:bottom w:val="single" w:color="auto" w:sz="6" w:space="0"/>
              <w:right w:val="single" w:color="auto" w:sz="6" w:space="0"/>
            </w:tcBorders>
            <w:noWrap w:val="0"/>
            <w:vAlign w:val="center"/>
          </w:tcPr>
          <w:p w14:paraId="51F2B1B8">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900" w:type="dxa"/>
            <w:tcBorders>
              <w:top w:val="single" w:color="auto" w:sz="6" w:space="0"/>
              <w:left w:val="single" w:color="auto" w:sz="6" w:space="0"/>
              <w:bottom w:val="single" w:color="auto" w:sz="6" w:space="0"/>
              <w:right w:val="single" w:color="auto" w:sz="6" w:space="0"/>
            </w:tcBorders>
            <w:noWrap w:val="0"/>
            <w:vAlign w:val="center"/>
          </w:tcPr>
          <w:p w14:paraId="2B8F9361">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817" w:type="dxa"/>
            <w:tcBorders>
              <w:top w:val="single" w:color="auto" w:sz="6" w:space="0"/>
              <w:left w:val="single" w:color="auto" w:sz="6" w:space="0"/>
              <w:bottom w:val="single" w:color="auto" w:sz="6" w:space="0"/>
              <w:right w:val="single" w:color="auto" w:sz="6" w:space="0"/>
            </w:tcBorders>
            <w:noWrap w:val="0"/>
            <w:vAlign w:val="center"/>
          </w:tcPr>
          <w:p w14:paraId="77F8F894">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1538" w:type="dxa"/>
            <w:tcBorders>
              <w:top w:val="single" w:color="auto" w:sz="6" w:space="0"/>
              <w:left w:val="single" w:color="auto" w:sz="6" w:space="0"/>
              <w:bottom w:val="single" w:color="auto" w:sz="6" w:space="0"/>
              <w:right w:val="single" w:color="auto" w:sz="6" w:space="0"/>
            </w:tcBorders>
            <w:noWrap w:val="0"/>
            <w:vAlign w:val="center"/>
          </w:tcPr>
          <w:p w14:paraId="427D41AF">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2164" w:type="dxa"/>
            <w:tcBorders>
              <w:top w:val="single" w:color="auto" w:sz="6" w:space="0"/>
              <w:left w:val="single" w:color="auto" w:sz="6" w:space="0"/>
              <w:bottom w:val="single" w:color="auto" w:sz="6" w:space="0"/>
              <w:right w:val="single" w:color="auto" w:sz="6" w:space="0"/>
            </w:tcBorders>
            <w:noWrap w:val="0"/>
            <w:vAlign w:val="center"/>
          </w:tcPr>
          <w:p w14:paraId="50112A35">
            <w:pPr>
              <w:wordWrap w:val="0"/>
              <w:adjustRightInd w:val="0"/>
              <w:snapToGrid w:val="0"/>
              <w:jc w:val="center"/>
              <w:rPr>
                <w:rFonts w:hint="eastAsia" w:ascii="宋体" w:hAnsi="宋体" w:eastAsia="宋体" w:cs="宋体"/>
                <w:snapToGrid w:val="0"/>
                <w:color w:val="auto"/>
                <w:kern w:val="0"/>
                <w:sz w:val="21"/>
                <w:szCs w:val="21"/>
                <w:highlight w:val="none"/>
              </w:rPr>
            </w:pPr>
          </w:p>
        </w:tc>
        <w:bookmarkStart w:id="348" w:name="_附件二十五：综合评审合理低价法"/>
        <w:bookmarkStart w:id="349" w:name="_附件十：单项工程费汇总表"/>
        <w:bookmarkStart w:id="350" w:name="_附件二十四：技术标提问单"/>
        <w:bookmarkStart w:id="351" w:name="_Hlt68774664"/>
        <w:bookmarkStart w:id="352" w:name="_Hlt69116778"/>
      </w:tr>
      <w:bookmarkEnd w:id="330"/>
      <w:bookmarkEnd w:id="331"/>
      <w:bookmarkEnd w:id="348"/>
      <w:bookmarkEnd w:id="349"/>
      <w:bookmarkEnd w:id="350"/>
      <w:bookmarkEnd w:id="351"/>
      <w:bookmarkEnd w:id="352"/>
    </w:tbl>
    <w:p w14:paraId="4E531D2D">
      <w:pPr>
        <w:pStyle w:val="150"/>
        <w:snapToGrid w:val="0"/>
        <w:spacing w:line="400" w:lineRule="exact"/>
        <w:rPr>
          <w:rStyle w:val="149"/>
          <w:rFonts w:hint="eastAsia" w:ascii="宋体" w:hAnsi="宋体" w:eastAsia="宋体" w:cs="宋体"/>
          <w:color w:val="auto"/>
          <w:sz w:val="21"/>
          <w:szCs w:val="21"/>
          <w:highlight w:val="none"/>
        </w:rPr>
      </w:pPr>
      <w:r>
        <w:rPr>
          <w:rStyle w:val="149"/>
          <w:rFonts w:hint="eastAsia" w:ascii="宋体" w:hAnsi="宋体" w:eastAsia="宋体" w:cs="宋体"/>
          <w:color w:val="auto"/>
          <w:sz w:val="21"/>
          <w:szCs w:val="21"/>
          <w:highlight w:val="none"/>
        </w:rPr>
        <w:t>说明：</w:t>
      </w:r>
    </w:p>
    <w:p w14:paraId="257996AB">
      <w:pPr>
        <w:pStyle w:val="74"/>
        <w:keepNext w:val="0"/>
        <w:keepLines w:val="0"/>
        <w:pageBreakBefore w:val="0"/>
        <w:widowControl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napToGrid w:val="0"/>
          <w:color w:val="auto"/>
          <w:sz w:val="21"/>
          <w:szCs w:val="28"/>
          <w:highlight w:val="none"/>
        </w:rPr>
      </w:pPr>
      <w:r>
        <w:rPr>
          <w:rFonts w:hint="eastAsia" w:ascii="宋体" w:hAnsi="宋体" w:eastAsia="宋体" w:cs="宋体"/>
          <w:snapToGrid w:val="0"/>
          <w:color w:val="auto"/>
          <w:sz w:val="21"/>
          <w:highlight w:val="none"/>
        </w:rPr>
        <w:t>1</w:t>
      </w:r>
      <w:r>
        <w:rPr>
          <w:rFonts w:hint="eastAsia" w:ascii="宋体" w:hAnsi="宋体" w:eastAsia="宋体" w:cs="宋体"/>
          <w:snapToGrid w:val="0"/>
          <w:color w:val="auto"/>
          <w:sz w:val="21"/>
          <w:szCs w:val="28"/>
          <w:highlight w:val="none"/>
        </w:rPr>
        <w:t>．</w:t>
      </w:r>
      <w:r>
        <w:rPr>
          <w:rFonts w:hint="eastAsia" w:ascii="宋体" w:hAnsi="宋体" w:eastAsia="宋体" w:cs="宋体"/>
          <w:snapToGrid w:val="0"/>
          <w:color w:val="auto"/>
          <w:sz w:val="21"/>
          <w:highlight w:val="none"/>
        </w:rPr>
        <w:t>《项目管理机构组成表》后应附表中拟派人员（项目经理、项目技术负责人、专职安全员除外）以下资料：</w:t>
      </w:r>
    </w:p>
    <w:p w14:paraId="69C3B13C">
      <w:pPr>
        <w:keepNext w:val="0"/>
        <w:keepLines w:val="0"/>
        <w:pageBreakBefore w:val="0"/>
        <w:widowControl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napToGrid w:val="0"/>
          <w:color w:val="auto"/>
          <w:kern w:val="0"/>
          <w:sz w:val="21"/>
          <w:szCs w:val="28"/>
          <w:highlight w:val="none"/>
        </w:rPr>
      </w:pPr>
      <w:r>
        <w:rPr>
          <w:rFonts w:hint="eastAsia" w:ascii="宋体" w:hAnsi="宋体" w:eastAsia="宋体" w:cs="宋体"/>
          <w:snapToGrid w:val="0"/>
          <w:color w:val="auto"/>
          <w:kern w:val="0"/>
          <w:sz w:val="21"/>
          <w:szCs w:val="28"/>
          <w:highlight w:val="none"/>
        </w:rPr>
        <w:t>（1）身份证</w:t>
      </w:r>
      <w:r>
        <w:rPr>
          <w:rFonts w:hint="eastAsia" w:ascii="宋体" w:hAnsi="宋体" w:eastAsia="宋体" w:cs="宋体"/>
          <w:snapToGrid w:val="0"/>
          <w:color w:val="auto"/>
          <w:kern w:val="0"/>
          <w:sz w:val="21"/>
          <w:szCs w:val="28"/>
          <w:highlight w:val="none"/>
          <w:lang w:eastAsia="zh-CN"/>
        </w:rPr>
        <w:t>彩色扫描件</w:t>
      </w:r>
      <w:r>
        <w:rPr>
          <w:rFonts w:hint="eastAsia" w:ascii="宋体" w:hAnsi="宋体" w:eastAsia="宋体" w:cs="宋体"/>
          <w:snapToGrid w:val="0"/>
          <w:color w:val="auto"/>
          <w:kern w:val="0"/>
          <w:sz w:val="21"/>
          <w:szCs w:val="28"/>
          <w:highlight w:val="none"/>
        </w:rPr>
        <w:t>；</w:t>
      </w:r>
    </w:p>
    <w:p w14:paraId="7AEA615F">
      <w:pPr>
        <w:keepNext w:val="0"/>
        <w:keepLines w:val="0"/>
        <w:pageBreakBefore w:val="0"/>
        <w:widowControl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napToGrid w:val="0"/>
          <w:color w:val="auto"/>
          <w:kern w:val="0"/>
          <w:sz w:val="21"/>
          <w:szCs w:val="28"/>
          <w:highlight w:val="none"/>
          <w:lang w:eastAsia="zh-CN"/>
        </w:rPr>
      </w:pPr>
      <w:r>
        <w:rPr>
          <w:rFonts w:hint="eastAsia" w:ascii="宋体" w:hAnsi="宋体" w:eastAsia="宋体" w:cs="宋体"/>
          <w:snapToGrid w:val="0"/>
          <w:color w:val="auto"/>
          <w:kern w:val="0"/>
          <w:sz w:val="21"/>
          <w:szCs w:val="28"/>
          <w:highlight w:val="none"/>
        </w:rPr>
        <w:t>（2）</w:t>
      </w:r>
      <w:r>
        <w:rPr>
          <w:rFonts w:hint="eastAsia" w:ascii="宋体" w:hAnsi="宋体" w:eastAsia="宋体" w:cs="宋体"/>
          <w:snapToGrid w:val="0"/>
          <w:color w:val="auto"/>
          <w:kern w:val="0"/>
          <w:sz w:val="21"/>
          <w:szCs w:val="28"/>
          <w:highlight w:val="none"/>
          <w:lang w:val="en-US" w:eastAsia="zh-CN"/>
        </w:rPr>
        <w:t>职称证或</w:t>
      </w:r>
      <w:r>
        <w:rPr>
          <w:rFonts w:hint="eastAsia" w:ascii="宋体" w:hAnsi="宋体" w:eastAsia="宋体" w:cs="宋体"/>
          <w:snapToGrid w:val="0"/>
          <w:color w:val="auto"/>
          <w:kern w:val="0"/>
          <w:sz w:val="21"/>
          <w:szCs w:val="28"/>
          <w:highlight w:val="none"/>
        </w:rPr>
        <w:t>岗位证或培训证</w:t>
      </w:r>
      <w:r>
        <w:rPr>
          <w:rFonts w:hint="eastAsia" w:ascii="宋体" w:hAnsi="宋体" w:eastAsia="宋体" w:cs="宋体"/>
          <w:snapToGrid w:val="0"/>
          <w:color w:val="auto"/>
          <w:kern w:val="0"/>
          <w:sz w:val="21"/>
          <w:szCs w:val="28"/>
          <w:highlight w:val="none"/>
          <w:lang w:eastAsia="zh-CN"/>
        </w:rPr>
        <w:t>彩色扫描件</w:t>
      </w:r>
      <w:r>
        <w:rPr>
          <w:rFonts w:hint="eastAsia" w:ascii="宋体" w:hAnsi="宋体" w:eastAsia="宋体" w:cs="宋体"/>
          <w:snapToGrid w:val="0"/>
          <w:color w:val="auto"/>
          <w:kern w:val="0"/>
          <w:sz w:val="21"/>
          <w:szCs w:val="21"/>
          <w:highlight w:val="none"/>
        </w:rPr>
        <w:t>（或打印件）；</w:t>
      </w:r>
    </w:p>
    <w:p w14:paraId="4115CCF7">
      <w:pPr>
        <w:keepNext w:val="0"/>
        <w:keepLines w:val="0"/>
        <w:pageBreakBefore w:val="0"/>
        <w:widowControl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snapToGrid w:val="0"/>
          <w:color w:val="auto"/>
          <w:kern w:val="0"/>
          <w:sz w:val="21"/>
          <w:szCs w:val="28"/>
          <w:highlight w:val="none"/>
        </w:rPr>
        <w:t>（</w:t>
      </w:r>
      <w:r>
        <w:rPr>
          <w:rFonts w:hint="eastAsia" w:ascii="宋体" w:hAnsi="宋体" w:eastAsia="宋体" w:cs="宋体"/>
          <w:snapToGrid w:val="0"/>
          <w:color w:val="auto"/>
          <w:kern w:val="0"/>
          <w:sz w:val="21"/>
          <w:szCs w:val="28"/>
          <w:highlight w:val="none"/>
          <w:lang w:val="en-US" w:eastAsia="zh-CN"/>
        </w:rPr>
        <w:t>3</w:t>
      </w:r>
      <w:r>
        <w:rPr>
          <w:rFonts w:hint="eastAsia" w:ascii="宋体" w:hAnsi="宋体" w:eastAsia="宋体" w:cs="宋体"/>
          <w:snapToGrid w:val="0"/>
          <w:color w:val="auto"/>
          <w:kern w:val="0"/>
          <w:sz w:val="21"/>
          <w:szCs w:val="28"/>
          <w:highlight w:val="none"/>
        </w:rPr>
        <w:t>）在本单位缴纳社保的证明（</w:t>
      </w:r>
      <w:r>
        <w:rPr>
          <w:rFonts w:hint="eastAsia" w:ascii="宋体" w:hAnsi="宋体" w:eastAsia="宋体" w:cs="宋体"/>
          <w:snapToGrid w:val="0"/>
          <w:color w:val="auto"/>
          <w:kern w:val="0"/>
          <w:sz w:val="21"/>
          <w:szCs w:val="28"/>
          <w:highlight w:val="none"/>
          <w:lang w:eastAsia="zh-CN"/>
        </w:rPr>
        <w:t>至少连续</w:t>
      </w:r>
      <w:r>
        <w:rPr>
          <w:rFonts w:hint="eastAsia" w:ascii="宋体" w:hAnsi="宋体" w:eastAsia="宋体" w:cs="宋体"/>
          <w:snapToGrid w:val="0"/>
          <w:color w:val="auto"/>
          <w:kern w:val="0"/>
          <w:sz w:val="21"/>
          <w:szCs w:val="28"/>
          <w:highlight w:val="none"/>
          <w:lang w:val="en-US" w:eastAsia="zh-CN"/>
        </w:rPr>
        <w:t>一</w:t>
      </w:r>
      <w:r>
        <w:rPr>
          <w:rFonts w:hint="eastAsia" w:ascii="宋体" w:hAnsi="宋体" w:eastAsia="宋体" w:cs="宋体"/>
          <w:snapToGrid w:val="0"/>
          <w:color w:val="auto"/>
          <w:kern w:val="0"/>
          <w:sz w:val="21"/>
          <w:szCs w:val="28"/>
          <w:highlight w:val="none"/>
          <w:lang w:eastAsia="zh-CN"/>
        </w:rPr>
        <w:t>个月，其中必须</w:t>
      </w:r>
      <w:r>
        <w:rPr>
          <w:rFonts w:hint="eastAsia" w:ascii="宋体" w:hAnsi="宋体" w:eastAsia="宋体" w:cs="宋体"/>
          <w:snapToGrid w:val="0"/>
          <w:color w:val="auto"/>
          <w:kern w:val="0"/>
          <w:sz w:val="21"/>
          <w:szCs w:val="21"/>
          <w:highlight w:val="none"/>
          <w:lang w:eastAsia="zh-CN"/>
        </w:rPr>
        <w:t>有202</w:t>
      </w:r>
      <w:r>
        <w:rPr>
          <w:rFonts w:hint="eastAsia" w:ascii="宋体" w:hAnsi="宋体" w:eastAsia="宋体" w:cs="宋体"/>
          <w:snapToGrid w:val="0"/>
          <w:color w:val="auto"/>
          <w:kern w:val="0"/>
          <w:sz w:val="21"/>
          <w:szCs w:val="21"/>
          <w:highlight w:val="none"/>
          <w:lang w:val="en-US" w:eastAsia="zh-CN"/>
        </w:rPr>
        <w:t>5</w:t>
      </w:r>
      <w:r>
        <w:rPr>
          <w:rFonts w:hint="eastAsia" w:ascii="宋体" w:hAnsi="宋体" w:eastAsia="宋体" w:cs="宋体"/>
          <w:snapToGrid w:val="0"/>
          <w:color w:val="auto"/>
          <w:kern w:val="0"/>
          <w:sz w:val="21"/>
          <w:szCs w:val="21"/>
          <w:highlight w:val="none"/>
          <w:lang w:eastAsia="zh-CN"/>
        </w:rPr>
        <w:t>年</w:t>
      </w:r>
      <w:r>
        <w:rPr>
          <w:rFonts w:hint="eastAsia" w:ascii="宋体" w:hAnsi="宋体" w:eastAsia="宋体" w:cs="宋体"/>
          <w:snapToGrid w:val="0"/>
          <w:color w:val="auto"/>
          <w:kern w:val="0"/>
          <w:sz w:val="21"/>
          <w:szCs w:val="21"/>
          <w:highlight w:val="none"/>
          <w:lang w:val="en-US" w:eastAsia="zh-CN"/>
        </w:rPr>
        <w:t>09</w:t>
      </w:r>
      <w:r>
        <w:rPr>
          <w:rFonts w:hint="eastAsia" w:ascii="宋体" w:hAnsi="宋体" w:eastAsia="宋体" w:cs="宋体"/>
          <w:snapToGrid w:val="0"/>
          <w:color w:val="auto"/>
          <w:kern w:val="0"/>
          <w:sz w:val="21"/>
          <w:szCs w:val="21"/>
          <w:highlight w:val="none"/>
          <w:lang w:eastAsia="zh-CN"/>
        </w:rPr>
        <w:t>月）</w:t>
      </w:r>
      <w:r>
        <w:rPr>
          <w:rFonts w:hint="eastAsia" w:ascii="宋体" w:hAnsi="宋体" w:eastAsia="宋体" w:cs="宋体"/>
          <w:snapToGrid w:val="0"/>
          <w:color w:val="auto"/>
          <w:kern w:val="0"/>
          <w:sz w:val="21"/>
          <w:szCs w:val="21"/>
          <w:highlight w:val="none"/>
        </w:rPr>
        <w:t>彩色扫描件</w:t>
      </w:r>
      <w:r>
        <w:rPr>
          <w:rFonts w:hint="eastAsia" w:ascii="宋体" w:hAnsi="宋体" w:eastAsia="宋体" w:cs="宋体"/>
          <w:snapToGrid w:val="0"/>
          <w:color w:val="auto"/>
          <w:kern w:val="0"/>
          <w:sz w:val="21"/>
          <w:szCs w:val="28"/>
          <w:highlight w:val="none"/>
        </w:rPr>
        <w:t>。拟派</w:t>
      </w:r>
      <w:r>
        <w:rPr>
          <w:rFonts w:hint="eastAsia" w:ascii="宋体" w:hAnsi="宋体" w:eastAsia="宋体" w:cs="宋体"/>
          <w:snapToGrid w:val="0"/>
          <w:color w:val="auto"/>
          <w:kern w:val="0"/>
          <w:sz w:val="21"/>
          <w:szCs w:val="28"/>
          <w:highlight w:val="none"/>
          <w:lang w:val="en-US" w:eastAsia="zh-CN"/>
        </w:rPr>
        <w:t>人员</w:t>
      </w:r>
      <w:r>
        <w:rPr>
          <w:rFonts w:hint="eastAsia" w:ascii="宋体" w:hAnsi="宋体" w:eastAsia="宋体" w:cs="宋体"/>
          <w:snapToGrid w:val="0"/>
          <w:color w:val="auto"/>
          <w:kern w:val="0"/>
          <w:sz w:val="21"/>
          <w:szCs w:val="28"/>
          <w:highlight w:val="none"/>
        </w:rPr>
        <w:t>为退休返聘人员无法提供社保证明的，提供退休证和劳动合同</w:t>
      </w:r>
      <w:r>
        <w:rPr>
          <w:rFonts w:hint="eastAsia" w:ascii="宋体" w:hAnsi="宋体" w:eastAsia="宋体" w:cs="宋体"/>
          <w:snapToGrid w:val="0"/>
          <w:color w:val="auto"/>
          <w:kern w:val="0"/>
          <w:sz w:val="21"/>
          <w:szCs w:val="21"/>
          <w:highlight w:val="none"/>
        </w:rPr>
        <w:t>彩色扫描件</w:t>
      </w:r>
      <w:r>
        <w:rPr>
          <w:rFonts w:hint="eastAsia" w:ascii="宋体" w:hAnsi="宋体" w:eastAsia="宋体" w:cs="宋体"/>
          <w:snapToGrid w:val="0"/>
          <w:color w:val="auto"/>
          <w:kern w:val="0"/>
          <w:sz w:val="21"/>
          <w:szCs w:val="28"/>
          <w:highlight w:val="none"/>
        </w:rPr>
        <w:t>。</w:t>
      </w:r>
    </w:p>
    <w:p w14:paraId="78C426FF">
      <w:pPr>
        <w:keepNext w:val="0"/>
        <w:keepLines w:val="0"/>
        <w:pageBreakBefore w:val="0"/>
        <w:widowControl w:val="0"/>
        <w:kinsoku/>
        <w:overflowPunct/>
        <w:topLinePunct w:val="0"/>
        <w:autoSpaceDE/>
        <w:autoSpaceDN/>
        <w:bidi w:val="0"/>
        <w:spacing w:line="360" w:lineRule="auto"/>
        <w:ind w:firstLine="420" w:firstLineChars="200"/>
        <w:textAlignment w:val="auto"/>
        <w:rPr>
          <w:rFonts w:hint="eastAsia" w:ascii="宋体" w:hAnsi="宋体" w:eastAsia="宋体" w:cs="宋体"/>
          <w:color w:val="auto"/>
          <w:sz w:val="21"/>
          <w:szCs w:val="16"/>
          <w:lang w:eastAsia="zh-CN"/>
        </w:rPr>
        <w:sectPr>
          <w:pgSz w:w="11907" w:h="16840"/>
          <w:pgMar w:top="1134" w:right="1134" w:bottom="1134" w:left="1134" w:header="567" w:footer="567" w:gutter="0"/>
          <w:cols w:space="720" w:num="1"/>
        </w:sectPr>
      </w:pPr>
      <w:r>
        <w:rPr>
          <w:rFonts w:hint="eastAsia" w:ascii="宋体" w:hAnsi="宋体" w:eastAsia="宋体" w:cs="宋体"/>
          <w:color w:val="auto"/>
          <w:sz w:val="21"/>
          <w:szCs w:val="16"/>
          <w:lang w:eastAsia="zh-CN"/>
        </w:rPr>
        <w:t>（</w:t>
      </w:r>
      <w:r>
        <w:rPr>
          <w:rFonts w:hint="eastAsia" w:ascii="宋体" w:hAnsi="宋体" w:eastAsia="宋体" w:cs="宋体"/>
          <w:color w:val="auto"/>
          <w:sz w:val="21"/>
          <w:szCs w:val="16"/>
          <w:lang w:val="en-US" w:eastAsia="zh-CN"/>
        </w:rPr>
        <w:t>4</w:t>
      </w:r>
      <w:r>
        <w:rPr>
          <w:rFonts w:hint="eastAsia" w:ascii="宋体" w:hAnsi="宋体" w:eastAsia="宋体" w:cs="宋体"/>
          <w:color w:val="auto"/>
          <w:sz w:val="21"/>
          <w:szCs w:val="16"/>
          <w:lang w:eastAsia="zh-CN"/>
        </w:rPr>
        <w:t>）</w:t>
      </w:r>
      <w:r>
        <w:rPr>
          <w:rFonts w:hint="eastAsia" w:ascii="宋体" w:hAnsi="宋体" w:eastAsia="宋体" w:cs="宋体"/>
          <w:color w:val="auto"/>
          <w:sz w:val="21"/>
          <w:szCs w:val="21"/>
          <w:lang w:eastAsia="zh-CN"/>
        </w:rPr>
        <w:t>“进粤企业和人员诚信信息登记平台”个人信息情况截图。（适用于省外建筑企业）。</w:t>
      </w:r>
    </w:p>
    <w:p w14:paraId="132C37FB">
      <w:pPr>
        <w:pStyle w:val="4"/>
        <w:bidi w:val="0"/>
        <w:ind w:firstLine="964"/>
        <w:rPr>
          <w:rFonts w:hint="eastAsia" w:ascii="宋体" w:hAnsi="宋体" w:eastAsia="宋体" w:cs="宋体"/>
          <w:color w:val="auto"/>
        </w:rPr>
      </w:pPr>
      <w:bookmarkStart w:id="353" w:name="_Toc13555"/>
      <w:r>
        <w:rPr>
          <w:rFonts w:hint="eastAsia" w:ascii="宋体" w:hAnsi="宋体" w:eastAsia="宋体" w:cs="宋体"/>
          <w:color w:val="auto"/>
        </w:rPr>
        <w:t>格式十</w:t>
      </w:r>
      <w:r>
        <w:rPr>
          <w:rFonts w:hint="eastAsia" w:ascii="宋体" w:hAnsi="宋体" w:eastAsia="宋体" w:cs="宋体"/>
          <w:color w:val="auto"/>
          <w:lang w:val="en-US" w:eastAsia="zh-CN"/>
        </w:rPr>
        <w:t>三</w:t>
      </w:r>
      <w:r>
        <w:rPr>
          <w:rFonts w:hint="eastAsia" w:ascii="宋体" w:hAnsi="宋体" w:eastAsia="宋体" w:cs="宋体"/>
          <w:color w:val="auto"/>
        </w:rPr>
        <w:t xml:space="preserve"> 建造师查询页（有效期+建造师签字）</w:t>
      </w:r>
      <w:bookmarkEnd w:id="353"/>
    </w:p>
    <w:p w14:paraId="30C5F9AE">
      <w:pPr>
        <w:pStyle w:val="74"/>
        <w:widowControl w:val="0"/>
        <w:wordWrap w:val="0"/>
        <w:adjustRightInd w:val="0"/>
        <w:snapToGrid w:val="0"/>
        <w:spacing w:line="240" w:lineRule="auto"/>
        <w:ind w:firstLine="0"/>
        <w:jc w:val="center"/>
        <w:rPr>
          <w:rFonts w:hint="eastAsia" w:ascii="宋体" w:hAnsi="宋体" w:eastAsia="宋体" w:cs="宋体"/>
          <w:snapToGrid w:val="0"/>
          <w:color w:val="auto"/>
          <w:sz w:val="21"/>
          <w:highlight w:val="none"/>
        </w:rPr>
      </w:pPr>
      <w:r>
        <w:rPr>
          <w:rFonts w:hint="eastAsia" w:ascii="宋体" w:hAnsi="宋体" w:eastAsia="宋体" w:cs="宋体"/>
          <w:caps w:val="0"/>
          <w:smallCaps w:val="0"/>
          <w:snapToGrid w:val="0"/>
          <w:color w:val="auto"/>
          <w:spacing w:val="0"/>
          <w:kern w:val="0"/>
          <w:sz w:val="21"/>
          <w:highlight w:val="none"/>
          <w:lang w:val="en-US" w:eastAsia="zh-CN"/>
        </w:rPr>
        <w:drawing>
          <wp:inline distT="0" distB="0" distL="114300" distR="114300">
            <wp:extent cx="5768975" cy="8063865"/>
            <wp:effectExtent l="0" t="0" r="3175" b="13335"/>
            <wp:docPr id="2" name="图片 2" descr="32d7491b2f9802d8de0f2607fe015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32d7491b2f9802d8de0f2607fe015bb"/>
                    <pic:cNvPicPr>
                      <a:picLocks noChangeAspect="1"/>
                    </pic:cNvPicPr>
                  </pic:nvPicPr>
                  <pic:blipFill>
                    <a:blip r:embed="rId8"/>
                    <a:stretch>
                      <a:fillRect/>
                    </a:stretch>
                  </pic:blipFill>
                  <pic:spPr>
                    <a:xfrm>
                      <a:off x="0" y="0"/>
                      <a:ext cx="5768975" cy="8063865"/>
                    </a:xfrm>
                    <a:prstGeom prst="rect">
                      <a:avLst/>
                    </a:prstGeom>
                    <a:noFill/>
                    <a:ln>
                      <a:noFill/>
                    </a:ln>
                  </pic:spPr>
                </pic:pic>
              </a:graphicData>
            </a:graphic>
          </wp:inline>
        </w:drawing>
      </w:r>
      <w:r>
        <w:rPr>
          <w:rFonts w:hint="eastAsia" w:ascii="宋体" w:hAnsi="宋体" w:eastAsia="宋体" w:cs="宋体"/>
          <w:color w:val="auto"/>
          <w:sz w:val="24"/>
          <w:szCs w:val="24"/>
        </w:rPr>
        <w:drawing>
          <wp:inline distT="0" distB="0" distL="114300" distR="114300">
            <wp:extent cx="6507480" cy="7734300"/>
            <wp:effectExtent l="0" t="0" r="7620" b="0"/>
            <wp:docPr id="17"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 descr="IMG_256"/>
                    <pic:cNvPicPr>
                      <a:picLocks noChangeAspect="1"/>
                    </pic:cNvPicPr>
                  </pic:nvPicPr>
                  <pic:blipFill>
                    <a:blip r:embed="rId9"/>
                    <a:stretch>
                      <a:fillRect/>
                    </a:stretch>
                  </pic:blipFill>
                  <pic:spPr>
                    <a:xfrm>
                      <a:off x="0" y="0"/>
                      <a:ext cx="6507480" cy="7734300"/>
                    </a:xfrm>
                    <a:prstGeom prst="rect">
                      <a:avLst/>
                    </a:prstGeom>
                    <a:noFill/>
                    <a:ln w="9525">
                      <a:noFill/>
                    </a:ln>
                  </pic:spPr>
                </pic:pic>
              </a:graphicData>
            </a:graphic>
          </wp:inline>
        </w:drawing>
      </w:r>
    </w:p>
    <w:p w14:paraId="044BAB73">
      <w:pPr>
        <w:rPr>
          <w:rFonts w:hint="eastAsia" w:ascii="宋体" w:hAnsi="宋体" w:eastAsia="宋体" w:cs="宋体"/>
          <w:b/>
          <w:bCs/>
          <w:snapToGrid w:val="0"/>
          <w:color w:val="auto"/>
          <w:sz w:val="21"/>
          <w:highlight w:val="none"/>
          <w:lang w:val="en-US" w:eastAsia="zh-CN"/>
        </w:rPr>
      </w:pPr>
      <w:r>
        <w:rPr>
          <w:rFonts w:hint="eastAsia" w:ascii="宋体" w:hAnsi="宋体" w:eastAsia="宋体" w:cs="宋体"/>
          <w:snapToGrid w:val="0"/>
          <w:color w:val="auto"/>
          <w:sz w:val="21"/>
          <w:highlight w:val="none"/>
        </w:rPr>
        <w:br w:type="page"/>
      </w:r>
    </w:p>
    <w:p w14:paraId="68893148">
      <w:pPr>
        <w:pStyle w:val="74"/>
        <w:widowControl w:val="0"/>
        <w:wordWrap w:val="0"/>
        <w:adjustRightInd w:val="0"/>
        <w:snapToGrid w:val="0"/>
        <w:spacing w:line="240" w:lineRule="auto"/>
        <w:ind w:firstLine="0"/>
        <w:rPr>
          <w:rFonts w:hint="eastAsia" w:ascii="宋体" w:hAnsi="宋体" w:eastAsia="宋体" w:cs="宋体"/>
          <w:snapToGrid w:val="0"/>
          <w:color w:val="auto"/>
          <w:sz w:val="21"/>
          <w:highlight w:val="none"/>
        </w:rPr>
        <w:sectPr>
          <w:endnotePr>
            <w:numFmt w:val="decimal"/>
          </w:endnotePr>
          <w:pgSz w:w="11906" w:h="16838"/>
          <w:pgMar w:top="1134" w:right="1134" w:bottom="1134" w:left="1134" w:header="567" w:footer="567" w:gutter="0"/>
          <w:pgBorders>
            <w:top w:val="none" w:sz="0" w:space="0"/>
            <w:left w:val="none" w:sz="0" w:space="0"/>
            <w:bottom w:val="none" w:sz="0" w:space="0"/>
            <w:right w:val="none" w:sz="0" w:space="0"/>
          </w:pgBorders>
          <w:cols w:space="720" w:num="1"/>
          <w:docGrid w:linePitch="327" w:charSpace="0"/>
        </w:sectPr>
      </w:pPr>
    </w:p>
    <w:bookmarkEnd w:id="7"/>
    <w:bookmarkEnd w:id="287"/>
    <w:bookmarkEnd w:id="288"/>
    <w:p w14:paraId="1F1A3B36">
      <w:pPr>
        <w:pStyle w:val="4"/>
        <w:bidi w:val="0"/>
        <w:ind w:firstLine="964"/>
        <w:rPr>
          <w:rFonts w:hint="eastAsia" w:ascii="宋体" w:hAnsi="宋体" w:eastAsia="宋体" w:cs="宋体"/>
          <w:color w:val="auto"/>
        </w:rPr>
      </w:pPr>
      <w:bookmarkStart w:id="354" w:name="_附件十六：措施项目清单计价表"/>
      <w:bookmarkEnd w:id="354"/>
      <w:bookmarkStart w:id="355" w:name="_Hlt87793582"/>
      <w:bookmarkEnd w:id="355"/>
      <w:bookmarkStart w:id="356" w:name="_Hlt87783244"/>
      <w:bookmarkEnd w:id="356"/>
      <w:bookmarkStart w:id="357" w:name="_附件二十一：土建工程、电气工程、给排水工程工程清单项目费汇总表"/>
      <w:bookmarkEnd w:id="357"/>
      <w:bookmarkStart w:id="358" w:name="_Toc13122"/>
      <w:bookmarkStart w:id="359" w:name="_Toc2067"/>
      <w:bookmarkStart w:id="360" w:name="_Toc346"/>
      <w:bookmarkStart w:id="361" w:name="_Toc9569"/>
      <w:bookmarkStart w:id="362" w:name="_Toc13722"/>
      <w:bookmarkStart w:id="363" w:name="_Toc132687128"/>
      <w:bookmarkStart w:id="364" w:name="_Toc133160683"/>
      <w:bookmarkStart w:id="365" w:name="_Toc142468134"/>
      <w:bookmarkStart w:id="366" w:name="_Toc137444778"/>
      <w:bookmarkStart w:id="367" w:name="_Toc133815902"/>
      <w:bookmarkStart w:id="368" w:name="_Toc78794873"/>
      <w:r>
        <w:rPr>
          <w:rFonts w:hint="eastAsia" w:ascii="宋体" w:hAnsi="宋体" w:eastAsia="宋体" w:cs="宋体"/>
          <w:color w:val="auto"/>
        </w:rPr>
        <w:t>格式十</w:t>
      </w:r>
      <w:r>
        <w:rPr>
          <w:rFonts w:hint="eastAsia" w:ascii="宋体" w:hAnsi="宋体" w:eastAsia="宋体" w:cs="宋体"/>
          <w:color w:val="auto"/>
          <w:lang w:val="en-US" w:eastAsia="zh-CN"/>
        </w:rPr>
        <w:t>四</w:t>
      </w:r>
      <w:r>
        <w:rPr>
          <w:rFonts w:hint="eastAsia" w:ascii="宋体" w:hAnsi="宋体" w:eastAsia="宋体" w:cs="宋体"/>
          <w:color w:val="auto"/>
        </w:rPr>
        <w:t xml:space="preserve"> 原件一览表</w:t>
      </w:r>
      <w:bookmarkEnd w:id="358"/>
      <w:bookmarkEnd w:id="359"/>
      <w:bookmarkEnd w:id="360"/>
      <w:bookmarkEnd w:id="361"/>
    </w:p>
    <w:p w14:paraId="58E5E4F8">
      <w:pPr>
        <w:spacing w:line="336" w:lineRule="auto"/>
        <w:contextualSpacing/>
        <w:jc w:val="left"/>
        <w:rPr>
          <w:rFonts w:hint="eastAsia" w:ascii="宋体" w:hAnsi="宋体" w:eastAsia="宋体" w:cs="宋体"/>
          <w:color w:val="auto"/>
          <w:highlight w:val="none"/>
        </w:rPr>
      </w:pPr>
    </w:p>
    <w:tbl>
      <w:tblPr>
        <w:tblStyle w:val="30"/>
        <w:tblpPr w:leftFromText="180" w:rightFromText="180" w:vertAnchor="text" w:horzAnchor="page" w:tblpX="1664" w:tblpY="438"/>
        <w:tblOverlap w:val="never"/>
        <w:tblW w:w="91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701"/>
        <w:gridCol w:w="1506"/>
        <w:gridCol w:w="92"/>
        <w:gridCol w:w="1902"/>
        <w:gridCol w:w="1625"/>
        <w:gridCol w:w="754"/>
        <w:gridCol w:w="958"/>
        <w:gridCol w:w="1570"/>
      </w:tblGrid>
      <w:tr w14:paraId="68B24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63" w:hRule="atLeast"/>
        </w:trPr>
        <w:tc>
          <w:tcPr>
            <w:tcW w:w="9108" w:type="dxa"/>
            <w:gridSpan w:val="8"/>
            <w:shd w:val="clear" w:color="000000" w:fill="FFFFFF"/>
            <w:noWrap w:val="0"/>
            <w:tcMar>
              <w:left w:w="108" w:type="dxa"/>
              <w:right w:w="108" w:type="dxa"/>
            </w:tcMar>
            <w:vAlign w:val="center"/>
          </w:tcPr>
          <w:p w14:paraId="782E7337">
            <w:pPr>
              <w:jc w:val="center"/>
              <w:rPr>
                <w:rFonts w:hint="eastAsia" w:ascii="宋体" w:hAnsi="宋体" w:eastAsia="宋体" w:cs="宋体"/>
                <w:color w:val="auto"/>
                <w:highlight w:val="none"/>
              </w:rPr>
            </w:pPr>
            <w:r>
              <w:rPr>
                <w:rFonts w:hint="eastAsia" w:ascii="宋体" w:hAnsi="宋体" w:eastAsia="宋体" w:cs="宋体"/>
                <w:b/>
                <w:color w:val="auto"/>
                <w:highlight w:val="none"/>
              </w:rPr>
              <w:t>原件一览表</w:t>
            </w:r>
          </w:p>
        </w:tc>
      </w:tr>
      <w:tr w14:paraId="57ACD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atLeast"/>
        </w:trPr>
        <w:tc>
          <w:tcPr>
            <w:tcW w:w="2299" w:type="dxa"/>
            <w:gridSpan w:val="3"/>
            <w:shd w:val="clear" w:color="000000" w:fill="FFFFFF"/>
            <w:noWrap w:val="0"/>
            <w:tcMar>
              <w:left w:w="108" w:type="dxa"/>
              <w:right w:w="108" w:type="dxa"/>
            </w:tcMar>
            <w:vAlign w:val="center"/>
          </w:tcPr>
          <w:p w14:paraId="18ECE8F6">
            <w:pPr>
              <w:jc w:val="center"/>
              <w:rPr>
                <w:rFonts w:hint="eastAsia" w:ascii="宋体" w:hAnsi="宋体" w:eastAsia="宋体" w:cs="宋体"/>
                <w:color w:val="auto"/>
                <w:sz w:val="20"/>
                <w:highlight w:val="none"/>
              </w:rPr>
            </w:pPr>
            <w:r>
              <w:rPr>
                <w:rFonts w:hint="eastAsia" w:ascii="宋体" w:hAnsi="宋体" w:eastAsia="宋体" w:cs="宋体"/>
                <w:color w:val="auto"/>
                <w:sz w:val="20"/>
                <w:highlight w:val="none"/>
                <w:lang w:val="en-US" w:eastAsia="zh-CN"/>
              </w:rPr>
              <w:t>项目</w:t>
            </w:r>
            <w:r>
              <w:rPr>
                <w:rFonts w:hint="eastAsia" w:ascii="宋体" w:hAnsi="宋体" w:eastAsia="宋体" w:cs="宋体"/>
                <w:color w:val="auto"/>
                <w:sz w:val="20"/>
                <w:highlight w:val="none"/>
              </w:rPr>
              <w:t>名称</w:t>
            </w:r>
          </w:p>
        </w:tc>
        <w:tc>
          <w:tcPr>
            <w:tcW w:w="6809" w:type="dxa"/>
            <w:gridSpan w:val="5"/>
            <w:shd w:val="clear" w:color="000000" w:fill="FFFFFF"/>
            <w:noWrap w:val="0"/>
            <w:tcMar>
              <w:left w:w="108" w:type="dxa"/>
              <w:right w:w="108" w:type="dxa"/>
            </w:tcMar>
            <w:vAlign w:val="center"/>
          </w:tcPr>
          <w:p w14:paraId="2A454562">
            <w:pPr>
              <w:jc w:val="center"/>
              <w:rPr>
                <w:rFonts w:hint="eastAsia" w:ascii="宋体" w:hAnsi="宋体" w:eastAsia="宋体" w:cs="宋体"/>
                <w:color w:val="auto"/>
                <w:sz w:val="20"/>
                <w:highlight w:val="none"/>
              </w:rPr>
            </w:pPr>
            <w:r>
              <w:rPr>
                <w:rFonts w:hint="eastAsia" w:ascii="宋体" w:hAnsi="宋体" w:eastAsia="宋体" w:cs="宋体"/>
                <w:color w:val="auto"/>
                <w:sz w:val="20"/>
                <w:highlight w:val="none"/>
              </w:rPr>
              <w:t xml:space="preserve"> </w:t>
            </w:r>
          </w:p>
        </w:tc>
      </w:tr>
      <w:tr w14:paraId="27EB1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atLeast"/>
        </w:trPr>
        <w:tc>
          <w:tcPr>
            <w:tcW w:w="2299" w:type="dxa"/>
            <w:gridSpan w:val="3"/>
            <w:shd w:val="clear" w:color="000000" w:fill="FFFFFF"/>
            <w:noWrap w:val="0"/>
            <w:tcMar>
              <w:left w:w="108" w:type="dxa"/>
              <w:right w:w="108" w:type="dxa"/>
            </w:tcMar>
            <w:vAlign w:val="center"/>
          </w:tcPr>
          <w:p w14:paraId="1559497C">
            <w:pPr>
              <w:jc w:val="center"/>
              <w:rPr>
                <w:rFonts w:hint="eastAsia" w:ascii="宋体" w:hAnsi="宋体" w:eastAsia="宋体" w:cs="宋体"/>
                <w:color w:val="auto"/>
                <w:sz w:val="20"/>
                <w:highlight w:val="none"/>
              </w:rPr>
            </w:pPr>
            <w:r>
              <w:rPr>
                <w:rFonts w:hint="eastAsia" w:ascii="宋体" w:hAnsi="宋体" w:eastAsia="宋体" w:cs="宋体"/>
                <w:color w:val="auto"/>
                <w:sz w:val="20"/>
                <w:highlight w:val="none"/>
              </w:rPr>
              <w:t>投标人名称                (请务必填写单位全称)</w:t>
            </w:r>
          </w:p>
        </w:tc>
        <w:tc>
          <w:tcPr>
            <w:tcW w:w="6809" w:type="dxa"/>
            <w:gridSpan w:val="5"/>
            <w:shd w:val="clear" w:color="000000" w:fill="FFFFFF"/>
            <w:noWrap w:val="0"/>
            <w:tcMar>
              <w:left w:w="108" w:type="dxa"/>
              <w:right w:w="108" w:type="dxa"/>
            </w:tcMar>
            <w:vAlign w:val="center"/>
          </w:tcPr>
          <w:p w14:paraId="564CAB2C">
            <w:pPr>
              <w:jc w:val="center"/>
              <w:rPr>
                <w:rFonts w:hint="eastAsia" w:ascii="宋体" w:hAnsi="宋体" w:eastAsia="宋体" w:cs="宋体"/>
                <w:color w:val="auto"/>
                <w:sz w:val="20"/>
                <w:highlight w:val="none"/>
              </w:rPr>
            </w:pPr>
            <w:r>
              <w:rPr>
                <w:rFonts w:hint="eastAsia" w:ascii="宋体" w:hAnsi="宋体" w:eastAsia="宋体" w:cs="宋体"/>
                <w:color w:val="auto"/>
                <w:sz w:val="20"/>
                <w:highlight w:val="none"/>
              </w:rPr>
              <w:t>　</w:t>
            </w:r>
          </w:p>
        </w:tc>
      </w:tr>
      <w:tr w14:paraId="0FD04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atLeast"/>
        </w:trPr>
        <w:tc>
          <w:tcPr>
            <w:tcW w:w="2299" w:type="dxa"/>
            <w:gridSpan w:val="3"/>
            <w:shd w:val="clear" w:color="000000" w:fill="FFFFFF"/>
            <w:noWrap w:val="0"/>
            <w:tcMar>
              <w:left w:w="108" w:type="dxa"/>
              <w:right w:w="108" w:type="dxa"/>
            </w:tcMar>
            <w:vAlign w:val="center"/>
          </w:tcPr>
          <w:p w14:paraId="6A358BA3">
            <w:pPr>
              <w:jc w:val="center"/>
              <w:rPr>
                <w:rFonts w:hint="eastAsia" w:ascii="宋体" w:hAnsi="宋体" w:eastAsia="宋体" w:cs="宋体"/>
                <w:color w:val="auto"/>
                <w:sz w:val="20"/>
                <w:highlight w:val="none"/>
              </w:rPr>
            </w:pPr>
            <w:r>
              <w:rPr>
                <w:rFonts w:hint="eastAsia" w:ascii="宋体" w:hAnsi="宋体" w:eastAsia="宋体" w:cs="宋体"/>
                <w:color w:val="auto"/>
                <w:sz w:val="20"/>
                <w:highlight w:val="none"/>
              </w:rPr>
              <w:t>投标人法定代表人或其</w:t>
            </w:r>
          </w:p>
          <w:p w14:paraId="3AC60E4A">
            <w:pPr>
              <w:jc w:val="center"/>
              <w:rPr>
                <w:rFonts w:hint="eastAsia" w:ascii="宋体" w:hAnsi="宋体" w:eastAsia="宋体" w:cs="宋体"/>
                <w:color w:val="auto"/>
                <w:sz w:val="20"/>
                <w:highlight w:val="none"/>
              </w:rPr>
            </w:pPr>
            <w:r>
              <w:rPr>
                <w:rFonts w:hint="eastAsia" w:ascii="宋体" w:hAnsi="宋体" w:eastAsia="宋体" w:cs="宋体"/>
                <w:color w:val="auto"/>
                <w:sz w:val="20"/>
                <w:highlight w:val="none"/>
              </w:rPr>
              <w:t>委托代理人签名</w:t>
            </w:r>
          </w:p>
        </w:tc>
        <w:tc>
          <w:tcPr>
            <w:tcW w:w="3527" w:type="dxa"/>
            <w:gridSpan w:val="2"/>
            <w:shd w:val="clear" w:color="000000" w:fill="FFFFFF"/>
            <w:noWrap w:val="0"/>
            <w:tcMar>
              <w:left w:w="108" w:type="dxa"/>
              <w:right w:w="108" w:type="dxa"/>
            </w:tcMar>
            <w:vAlign w:val="center"/>
          </w:tcPr>
          <w:p w14:paraId="2B124D22">
            <w:pPr>
              <w:jc w:val="center"/>
              <w:rPr>
                <w:rFonts w:hint="eastAsia" w:ascii="宋体" w:hAnsi="宋体" w:eastAsia="宋体" w:cs="宋体"/>
                <w:color w:val="auto"/>
                <w:sz w:val="20"/>
                <w:highlight w:val="none"/>
              </w:rPr>
            </w:pPr>
            <w:r>
              <w:rPr>
                <w:rFonts w:hint="eastAsia" w:ascii="宋体" w:hAnsi="宋体" w:eastAsia="宋体" w:cs="宋体"/>
                <w:color w:val="auto"/>
                <w:sz w:val="20"/>
                <w:highlight w:val="none"/>
              </w:rPr>
              <w:t>　</w:t>
            </w:r>
          </w:p>
        </w:tc>
        <w:tc>
          <w:tcPr>
            <w:tcW w:w="754" w:type="dxa"/>
            <w:shd w:val="clear" w:color="000000" w:fill="FFFFFF"/>
            <w:noWrap w:val="0"/>
            <w:tcMar>
              <w:left w:w="108" w:type="dxa"/>
              <w:right w:w="108" w:type="dxa"/>
            </w:tcMar>
            <w:vAlign w:val="center"/>
          </w:tcPr>
          <w:p w14:paraId="64C0891A">
            <w:pPr>
              <w:jc w:val="center"/>
              <w:rPr>
                <w:rFonts w:hint="eastAsia" w:ascii="宋体" w:hAnsi="宋体" w:eastAsia="宋体" w:cs="宋体"/>
                <w:color w:val="auto"/>
                <w:sz w:val="20"/>
                <w:highlight w:val="none"/>
              </w:rPr>
            </w:pPr>
            <w:r>
              <w:rPr>
                <w:rFonts w:hint="eastAsia" w:ascii="宋体" w:hAnsi="宋体" w:eastAsia="宋体" w:cs="宋体"/>
                <w:color w:val="auto"/>
                <w:sz w:val="20"/>
                <w:highlight w:val="none"/>
              </w:rPr>
              <w:t>手机号码</w:t>
            </w:r>
          </w:p>
        </w:tc>
        <w:tc>
          <w:tcPr>
            <w:tcW w:w="2528" w:type="dxa"/>
            <w:gridSpan w:val="2"/>
            <w:shd w:val="clear" w:color="000000" w:fill="FFFFFF"/>
            <w:noWrap w:val="0"/>
            <w:tcMar>
              <w:left w:w="108" w:type="dxa"/>
              <w:right w:w="108" w:type="dxa"/>
            </w:tcMar>
            <w:vAlign w:val="center"/>
          </w:tcPr>
          <w:p w14:paraId="775FC6D7">
            <w:pPr>
              <w:jc w:val="center"/>
              <w:rPr>
                <w:rFonts w:hint="eastAsia" w:ascii="宋体" w:hAnsi="宋体" w:eastAsia="宋体" w:cs="宋体"/>
                <w:color w:val="auto"/>
                <w:sz w:val="20"/>
                <w:highlight w:val="none"/>
              </w:rPr>
            </w:pPr>
            <w:r>
              <w:rPr>
                <w:rFonts w:hint="eastAsia" w:ascii="宋体" w:hAnsi="宋体" w:eastAsia="宋体" w:cs="宋体"/>
                <w:color w:val="auto"/>
                <w:sz w:val="20"/>
                <w:highlight w:val="none"/>
              </w:rPr>
              <w:t>　</w:t>
            </w:r>
          </w:p>
        </w:tc>
      </w:tr>
      <w:tr w14:paraId="3F8AD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atLeast"/>
        </w:trPr>
        <w:tc>
          <w:tcPr>
            <w:tcW w:w="9108" w:type="dxa"/>
            <w:gridSpan w:val="8"/>
            <w:shd w:val="clear" w:color="000000" w:fill="FFFFFF"/>
            <w:noWrap w:val="0"/>
            <w:tcMar>
              <w:left w:w="108" w:type="dxa"/>
              <w:right w:w="108" w:type="dxa"/>
            </w:tcMar>
            <w:vAlign w:val="center"/>
          </w:tcPr>
          <w:p w14:paraId="02EF021E">
            <w:pPr>
              <w:jc w:val="center"/>
              <w:rPr>
                <w:rFonts w:hint="eastAsia" w:ascii="宋体" w:hAnsi="宋体" w:eastAsia="宋体" w:cs="宋体"/>
                <w:color w:val="auto"/>
                <w:sz w:val="20"/>
                <w:highlight w:val="none"/>
              </w:rPr>
            </w:pPr>
            <w:r>
              <w:rPr>
                <w:rFonts w:hint="eastAsia" w:ascii="宋体" w:hAnsi="宋体" w:eastAsia="宋体" w:cs="宋体"/>
                <w:color w:val="auto"/>
                <w:sz w:val="20"/>
                <w:highlight w:val="none"/>
              </w:rPr>
              <w:t>递交的证明材料原件如下：</w:t>
            </w:r>
          </w:p>
        </w:tc>
      </w:tr>
      <w:tr w14:paraId="1D0F1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atLeast"/>
        </w:trPr>
        <w:tc>
          <w:tcPr>
            <w:tcW w:w="701" w:type="dxa"/>
            <w:shd w:val="clear" w:color="auto" w:fill="FFFFFF"/>
            <w:noWrap w:val="0"/>
            <w:tcMar>
              <w:left w:w="108" w:type="dxa"/>
              <w:right w:w="108" w:type="dxa"/>
            </w:tcMar>
            <w:vAlign w:val="center"/>
          </w:tcPr>
          <w:p w14:paraId="05582F4C">
            <w:pPr>
              <w:jc w:val="center"/>
              <w:rPr>
                <w:rFonts w:hint="eastAsia" w:ascii="宋体" w:hAnsi="宋体" w:eastAsia="宋体" w:cs="宋体"/>
                <w:color w:val="auto"/>
                <w:sz w:val="20"/>
                <w:highlight w:val="none"/>
              </w:rPr>
            </w:pPr>
            <w:r>
              <w:rPr>
                <w:rFonts w:hint="eastAsia" w:ascii="宋体" w:hAnsi="宋体" w:eastAsia="宋体" w:cs="宋体"/>
                <w:color w:val="auto"/>
                <w:sz w:val="20"/>
                <w:highlight w:val="none"/>
              </w:rPr>
              <w:t>序号</w:t>
            </w:r>
          </w:p>
        </w:tc>
        <w:tc>
          <w:tcPr>
            <w:tcW w:w="5125" w:type="dxa"/>
            <w:gridSpan w:val="4"/>
            <w:shd w:val="clear" w:color="auto" w:fill="FFFFFF"/>
            <w:noWrap w:val="0"/>
            <w:tcMar>
              <w:left w:w="108" w:type="dxa"/>
              <w:right w:w="108" w:type="dxa"/>
            </w:tcMar>
            <w:vAlign w:val="center"/>
          </w:tcPr>
          <w:p w14:paraId="559FA8DE">
            <w:pPr>
              <w:jc w:val="center"/>
              <w:rPr>
                <w:rFonts w:hint="eastAsia" w:ascii="宋体" w:hAnsi="宋体" w:eastAsia="宋体" w:cs="宋体"/>
                <w:color w:val="auto"/>
                <w:sz w:val="20"/>
                <w:highlight w:val="none"/>
              </w:rPr>
            </w:pPr>
            <w:r>
              <w:rPr>
                <w:rFonts w:hint="eastAsia" w:ascii="宋体" w:hAnsi="宋体" w:eastAsia="宋体" w:cs="宋体"/>
                <w:color w:val="auto"/>
                <w:sz w:val="20"/>
                <w:highlight w:val="none"/>
              </w:rPr>
              <w:t>证明材料原件名称</w:t>
            </w:r>
          </w:p>
        </w:tc>
        <w:tc>
          <w:tcPr>
            <w:tcW w:w="1712" w:type="dxa"/>
            <w:gridSpan w:val="2"/>
            <w:shd w:val="clear" w:color="auto" w:fill="FFFFFF"/>
            <w:noWrap w:val="0"/>
            <w:tcMar>
              <w:left w:w="108" w:type="dxa"/>
              <w:right w:w="108" w:type="dxa"/>
            </w:tcMar>
            <w:vAlign w:val="center"/>
          </w:tcPr>
          <w:p w14:paraId="106B125B">
            <w:pPr>
              <w:jc w:val="center"/>
              <w:rPr>
                <w:rFonts w:hint="eastAsia" w:ascii="宋体" w:hAnsi="宋体" w:eastAsia="宋体" w:cs="宋体"/>
                <w:color w:val="auto"/>
                <w:sz w:val="20"/>
                <w:highlight w:val="none"/>
              </w:rPr>
            </w:pPr>
            <w:r>
              <w:rPr>
                <w:rFonts w:hint="eastAsia" w:ascii="宋体" w:hAnsi="宋体" w:eastAsia="宋体" w:cs="宋体"/>
                <w:color w:val="auto"/>
                <w:sz w:val="20"/>
                <w:highlight w:val="none"/>
              </w:rPr>
              <w:t>单位</w:t>
            </w:r>
          </w:p>
        </w:tc>
        <w:tc>
          <w:tcPr>
            <w:tcW w:w="1570" w:type="dxa"/>
            <w:shd w:val="clear" w:color="auto" w:fill="FFFFFF"/>
            <w:noWrap w:val="0"/>
            <w:tcMar>
              <w:left w:w="108" w:type="dxa"/>
              <w:right w:w="108" w:type="dxa"/>
            </w:tcMar>
            <w:vAlign w:val="center"/>
          </w:tcPr>
          <w:p w14:paraId="308476C4">
            <w:pPr>
              <w:jc w:val="center"/>
              <w:rPr>
                <w:rFonts w:hint="eastAsia" w:ascii="宋体" w:hAnsi="宋体" w:eastAsia="宋体" w:cs="宋体"/>
                <w:color w:val="auto"/>
                <w:sz w:val="20"/>
                <w:highlight w:val="none"/>
              </w:rPr>
            </w:pPr>
            <w:r>
              <w:rPr>
                <w:rFonts w:hint="eastAsia" w:ascii="宋体" w:hAnsi="宋体" w:eastAsia="宋体" w:cs="宋体"/>
                <w:color w:val="auto"/>
                <w:sz w:val="20"/>
                <w:highlight w:val="none"/>
              </w:rPr>
              <w:t>数量</w:t>
            </w:r>
          </w:p>
        </w:tc>
      </w:tr>
      <w:tr w14:paraId="3F9BB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atLeast"/>
        </w:trPr>
        <w:tc>
          <w:tcPr>
            <w:tcW w:w="701" w:type="dxa"/>
            <w:shd w:val="clear" w:color="000000" w:fill="FFFFFF"/>
            <w:noWrap w:val="0"/>
            <w:tcMar>
              <w:left w:w="108" w:type="dxa"/>
              <w:right w:w="108" w:type="dxa"/>
            </w:tcMar>
            <w:vAlign w:val="center"/>
          </w:tcPr>
          <w:p w14:paraId="2929E57C">
            <w:pPr>
              <w:jc w:val="center"/>
              <w:rPr>
                <w:rFonts w:hint="eastAsia" w:ascii="宋体" w:hAnsi="宋体" w:eastAsia="宋体" w:cs="宋体"/>
                <w:color w:val="auto"/>
                <w:highlight w:val="none"/>
              </w:rPr>
            </w:pPr>
            <w:r>
              <w:rPr>
                <w:rFonts w:hint="eastAsia" w:ascii="宋体" w:hAnsi="宋体" w:eastAsia="宋体" w:cs="宋体"/>
                <w:color w:val="auto"/>
                <w:highlight w:val="none"/>
              </w:rPr>
              <w:t>1</w:t>
            </w:r>
          </w:p>
        </w:tc>
        <w:tc>
          <w:tcPr>
            <w:tcW w:w="5125" w:type="dxa"/>
            <w:gridSpan w:val="4"/>
            <w:shd w:val="clear" w:color="000000" w:fill="FFFFFF"/>
            <w:noWrap w:val="0"/>
            <w:tcMar>
              <w:left w:w="108" w:type="dxa"/>
              <w:right w:w="108" w:type="dxa"/>
            </w:tcMar>
            <w:vAlign w:val="center"/>
          </w:tcPr>
          <w:p w14:paraId="4099C3BD">
            <w:pPr>
              <w:jc w:val="center"/>
              <w:rPr>
                <w:rFonts w:hint="eastAsia" w:ascii="宋体" w:hAnsi="宋体" w:eastAsia="宋体" w:cs="宋体"/>
                <w:color w:val="auto"/>
                <w:highlight w:val="none"/>
              </w:rPr>
            </w:pPr>
          </w:p>
        </w:tc>
        <w:tc>
          <w:tcPr>
            <w:tcW w:w="1712" w:type="dxa"/>
            <w:gridSpan w:val="2"/>
            <w:shd w:val="clear" w:color="000000" w:fill="FFFFFF"/>
            <w:noWrap w:val="0"/>
            <w:tcMar>
              <w:left w:w="108" w:type="dxa"/>
              <w:right w:w="108" w:type="dxa"/>
            </w:tcMar>
            <w:vAlign w:val="center"/>
          </w:tcPr>
          <w:p w14:paraId="5839CDEF">
            <w:pPr>
              <w:jc w:val="center"/>
              <w:rPr>
                <w:rFonts w:hint="eastAsia" w:ascii="宋体" w:hAnsi="宋体" w:eastAsia="宋体" w:cs="宋体"/>
                <w:color w:val="auto"/>
                <w:highlight w:val="none"/>
              </w:rPr>
            </w:pPr>
          </w:p>
        </w:tc>
        <w:tc>
          <w:tcPr>
            <w:tcW w:w="1570" w:type="dxa"/>
            <w:shd w:val="clear" w:color="000000" w:fill="FFFFFF"/>
            <w:noWrap w:val="0"/>
            <w:tcMar>
              <w:left w:w="108" w:type="dxa"/>
              <w:right w:w="108" w:type="dxa"/>
            </w:tcMar>
            <w:vAlign w:val="center"/>
          </w:tcPr>
          <w:p w14:paraId="3500F32A">
            <w:pPr>
              <w:jc w:val="center"/>
              <w:rPr>
                <w:rFonts w:hint="eastAsia" w:ascii="宋体" w:hAnsi="宋体" w:eastAsia="宋体" w:cs="宋体"/>
                <w:color w:val="auto"/>
                <w:highlight w:val="none"/>
              </w:rPr>
            </w:pPr>
            <w:r>
              <w:rPr>
                <w:rFonts w:hint="eastAsia" w:ascii="宋体" w:hAnsi="宋体" w:eastAsia="宋体" w:cs="宋体"/>
                <w:color w:val="auto"/>
                <w:highlight w:val="none"/>
              </w:rPr>
              <w:t>　</w:t>
            </w:r>
          </w:p>
        </w:tc>
      </w:tr>
      <w:tr w14:paraId="51A94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atLeast"/>
        </w:trPr>
        <w:tc>
          <w:tcPr>
            <w:tcW w:w="701" w:type="dxa"/>
            <w:shd w:val="clear" w:color="000000" w:fill="FFFFFF"/>
            <w:noWrap w:val="0"/>
            <w:tcMar>
              <w:left w:w="108" w:type="dxa"/>
              <w:right w:w="108" w:type="dxa"/>
            </w:tcMar>
            <w:vAlign w:val="center"/>
          </w:tcPr>
          <w:p w14:paraId="7BA16B22">
            <w:pPr>
              <w:jc w:val="center"/>
              <w:rPr>
                <w:rFonts w:hint="eastAsia" w:ascii="宋体" w:hAnsi="宋体" w:eastAsia="宋体" w:cs="宋体"/>
                <w:color w:val="auto"/>
                <w:highlight w:val="none"/>
              </w:rPr>
            </w:pPr>
            <w:r>
              <w:rPr>
                <w:rFonts w:hint="eastAsia" w:ascii="宋体" w:hAnsi="宋体" w:eastAsia="宋体" w:cs="宋体"/>
                <w:color w:val="auto"/>
                <w:highlight w:val="none"/>
              </w:rPr>
              <w:t>2</w:t>
            </w:r>
          </w:p>
        </w:tc>
        <w:tc>
          <w:tcPr>
            <w:tcW w:w="5125" w:type="dxa"/>
            <w:gridSpan w:val="4"/>
            <w:shd w:val="clear" w:color="000000" w:fill="FFFFFF"/>
            <w:noWrap w:val="0"/>
            <w:tcMar>
              <w:left w:w="108" w:type="dxa"/>
              <w:right w:w="108" w:type="dxa"/>
            </w:tcMar>
            <w:vAlign w:val="center"/>
          </w:tcPr>
          <w:p w14:paraId="514DDB9A">
            <w:pPr>
              <w:jc w:val="center"/>
              <w:rPr>
                <w:rFonts w:hint="eastAsia" w:ascii="宋体" w:hAnsi="宋体" w:eastAsia="宋体" w:cs="宋体"/>
                <w:color w:val="auto"/>
                <w:highlight w:val="none"/>
              </w:rPr>
            </w:pPr>
          </w:p>
        </w:tc>
        <w:tc>
          <w:tcPr>
            <w:tcW w:w="1712" w:type="dxa"/>
            <w:gridSpan w:val="2"/>
            <w:shd w:val="clear" w:color="000000" w:fill="FFFFFF"/>
            <w:noWrap w:val="0"/>
            <w:tcMar>
              <w:left w:w="108" w:type="dxa"/>
              <w:right w:w="108" w:type="dxa"/>
            </w:tcMar>
            <w:vAlign w:val="center"/>
          </w:tcPr>
          <w:p w14:paraId="7AA4DB01">
            <w:pPr>
              <w:jc w:val="center"/>
              <w:rPr>
                <w:rFonts w:hint="eastAsia" w:ascii="宋体" w:hAnsi="宋体" w:eastAsia="宋体" w:cs="宋体"/>
                <w:color w:val="auto"/>
                <w:highlight w:val="none"/>
              </w:rPr>
            </w:pPr>
          </w:p>
        </w:tc>
        <w:tc>
          <w:tcPr>
            <w:tcW w:w="1570" w:type="dxa"/>
            <w:shd w:val="clear" w:color="000000" w:fill="FFFFFF"/>
            <w:noWrap w:val="0"/>
            <w:tcMar>
              <w:left w:w="108" w:type="dxa"/>
              <w:right w:w="108" w:type="dxa"/>
            </w:tcMar>
            <w:vAlign w:val="center"/>
          </w:tcPr>
          <w:p w14:paraId="55C4B9FF">
            <w:pPr>
              <w:jc w:val="center"/>
              <w:rPr>
                <w:rFonts w:hint="eastAsia" w:ascii="宋体" w:hAnsi="宋体" w:eastAsia="宋体" w:cs="宋体"/>
                <w:color w:val="auto"/>
                <w:highlight w:val="none"/>
              </w:rPr>
            </w:pPr>
          </w:p>
        </w:tc>
      </w:tr>
      <w:tr w14:paraId="6E727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atLeast"/>
        </w:trPr>
        <w:tc>
          <w:tcPr>
            <w:tcW w:w="701" w:type="dxa"/>
            <w:shd w:val="clear" w:color="000000" w:fill="FFFFFF"/>
            <w:noWrap w:val="0"/>
            <w:tcMar>
              <w:left w:w="108" w:type="dxa"/>
              <w:right w:w="108" w:type="dxa"/>
            </w:tcMar>
            <w:vAlign w:val="center"/>
          </w:tcPr>
          <w:p w14:paraId="7B07D806">
            <w:pPr>
              <w:jc w:val="center"/>
              <w:rPr>
                <w:rFonts w:hint="eastAsia" w:ascii="宋体" w:hAnsi="宋体" w:eastAsia="宋体" w:cs="宋体"/>
                <w:color w:val="auto"/>
                <w:highlight w:val="none"/>
              </w:rPr>
            </w:pPr>
            <w:r>
              <w:rPr>
                <w:rFonts w:hint="eastAsia" w:ascii="宋体" w:hAnsi="宋体" w:eastAsia="宋体" w:cs="宋体"/>
                <w:color w:val="auto"/>
                <w:highlight w:val="none"/>
              </w:rPr>
              <w:t>3</w:t>
            </w:r>
          </w:p>
        </w:tc>
        <w:tc>
          <w:tcPr>
            <w:tcW w:w="5125" w:type="dxa"/>
            <w:gridSpan w:val="4"/>
            <w:shd w:val="clear" w:color="000000" w:fill="FFFFFF"/>
            <w:noWrap w:val="0"/>
            <w:tcMar>
              <w:left w:w="108" w:type="dxa"/>
              <w:right w:w="108" w:type="dxa"/>
            </w:tcMar>
            <w:vAlign w:val="center"/>
          </w:tcPr>
          <w:p w14:paraId="4843CD22">
            <w:pPr>
              <w:jc w:val="center"/>
              <w:rPr>
                <w:rFonts w:hint="eastAsia" w:ascii="宋体" w:hAnsi="宋体" w:eastAsia="宋体" w:cs="宋体"/>
                <w:color w:val="auto"/>
                <w:highlight w:val="none"/>
              </w:rPr>
            </w:pPr>
          </w:p>
        </w:tc>
        <w:tc>
          <w:tcPr>
            <w:tcW w:w="1712" w:type="dxa"/>
            <w:gridSpan w:val="2"/>
            <w:shd w:val="clear" w:color="000000" w:fill="FFFFFF"/>
            <w:noWrap w:val="0"/>
            <w:tcMar>
              <w:left w:w="108" w:type="dxa"/>
              <w:right w:w="108" w:type="dxa"/>
            </w:tcMar>
            <w:vAlign w:val="center"/>
          </w:tcPr>
          <w:p w14:paraId="041D69FC">
            <w:pPr>
              <w:jc w:val="center"/>
              <w:rPr>
                <w:rFonts w:hint="eastAsia" w:ascii="宋体" w:hAnsi="宋体" w:eastAsia="宋体" w:cs="宋体"/>
                <w:color w:val="auto"/>
                <w:highlight w:val="none"/>
              </w:rPr>
            </w:pPr>
          </w:p>
        </w:tc>
        <w:tc>
          <w:tcPr>
            <w:tcW w:w="1570" w:type="dxa"/>
            <w:shd w:val="clear" w:color="000000" w:fill="FFFFFF"/>
            <w:noWrap w:val="0"/>
            <w:tcMar>
              <w:left w:w="108" w:type="dxa"/>
              <w:right w:w="108" w:type="dxa"/>
            </w:tcMar>
            <w:vAlign w:val="center"/>
          </w:tcPr>
          <w:p w14:paraId="1216FF6A">
            <w:pPr>
              <w:jc w:val="center"/>
              <w:rPr>
                <w:rFonts w:hint="eastAsia" w:ascii="宋体" w:hAnsi="宋体" w:eastAsia="宋体" w:cs="宋体"/>
                <w:color w:val="auto"/>
                <w:highlight w:val="none"/>
              </w:rPr>
            </w:pPr>
          </w:p>
        </w:tc>
      </w:tr>
      <w:tr w14:paraId="27E0F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atLeast"/>
        </w:trPr>
        <w:tc>
          <w:tcPr>
            <w:tcW w:w="701" w:type="dxa"/>
            <w:shd w:val="clear" w:color="000000" w:fill="FFFFFF"/>
            <w:noWrap w:val="0"/>
            <w:tcMar>
              <w:left w:w="108" w:type="dxa"/>
              <w:right w:w="108" w:type="dxa"/>
            </w:tcMar>
            <w:vAlign w:val="center"/>
          </w:tcPr>
          <w:p w14:paraId="177E8FBB">
            <w:pPr>
              <w:jc w:val="center"/>
              <w:rPr>
                <w:rFonts w:hint="eastAsia" w:ascii="宋体" w:hAnsi="宋体" w:eastAsia="宋体" w:cs="宋体"/>
                <w:color w:val="auto"/>
                <w:highlight w:val="none"/>
              </w:rPr>
            </w:pPr>
            <w:r>
              <w:rPr>
                <w:rFonts w:hint="eastAsia" w:ascii="宋体" w:hAnsi="宋体" w:eastAsia="宋体" w:cs="宋体"/>
                <w:color w:val="auto"/>
                <w:highlight w:val="none"/>
              </w:rPr>
              <w:t>...</w:t>
            </w:r>
          </w:p>
        </w:tc>
        <w:tc>
          <w:tcPr>
            <w:tcW w:w="5125" w:type="dxa"/>
            <w:gridSpan w:val="4"/>
            <w:shd w:val="clear" w:color="000000" w:fill="FFFFFF"/>
            <w:noWrap w:val="0"/>
            <w:tcMar>
              <w:left w:w="108" w:type="dxa"/>
              <w:right w:w="108" w:type="dxa"/>
            </w:tcMar>
            <w:vAlign w:val="center"/>
          </w:tcPr>
          <w:p w14:paraId="475F2F9E">
            <w:pPr>
              <w:jc w:val="center"/>
              <w:rPr>
                <w:rFonts w:hint="eastAsia" w:ascii="宋体" w:hAnsi="宋体" w:eastAsia="宋体" w:cs="宋体"/>
                <w:color w:val="auto"/>
                <w:highlight w:val="none"/>
              </w:rPr>
            </w:pPr>
          </w:p>
        </w:tc>
        <w:tc>
          <w:tcPr>
            <w:tcW w:w="1712" w:type="dxa"/>
            <w:gridSpan w:val="2"/>
            <w:shd w:val="clear" w:color="000000" w:fill="FFFFFF"/>
            <w:noWrap w:val="0"/>
            <w:tcMar>
              <w:left w:w="108" w:type="dxa"/>
              <w:right w:w="108" w:type="dxa"/>
            </w:tcMar>
            <w:vAlign w:val="center"/>
          </w:tcPr>
          <w:p w14:paraId="744FA12F">
            <w:pPr>
              <w:jc w:val="center"/>
              <w:rPr>
                <w:rFonts w:hint="eastAsia" w:ascii="宋体" w:hAnsi="宋体" w:eastAsia="宋体" w:cs="宋体"/>
                <w:color w:val="auto"/>
                <w:highlight w:val="none"/>
              </w:rPr>
            </w:pPr>
          </w:p>
        </w:tc>
        <w:tc>
          <w:tcPr>
            <w:tcW w:w="1570" w:type="dxa"/>
            <w:shd w:val="clear" w:color="000000" w:fill="FFFFFF"/>
            <w:noWrap w:val="0"/>
            <w:tcMar>
              <w:left w:w="108" w:type="dxa"/>
              <w:right w:w="108" w:type="dxa"/>
            </w:tcMar>
            <w:vAlign w:val="center"/>
          </w:tcPr>
          <w:p w14:paraId="4FE0A12E">
            <w:pPr>
              <w:jc w:val="center"/>
              <w:rPr>
                <w:rFonts w:hint="eastAsia" w:ascii="宋体" w:hAnsi="宋体" w:eastAsia="宋体" w:cs="宋体"/>
                <w:color w:val="auto"/>
                <w:highlight w:val="none"/>
              </w:rPr>
            </w:pPr>
            <w:r>
              <w:rPr>
                <w:rFonts w:hint="eastAsia" w:ascii="宋体" w:hAnsi="宋体" w:eastAsia="宋体" w:cs="宋体"/>
                <w:color w:val="auto"/>
                <w:highlight w:val="none"/>
              </w:rPr>
              <w:t>　</w:t>
            </w:r>
          </w:p>
        </w:tc>
      </w:tr>
      <w:tr w14:paraId="14512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778" w:hRule="atLeast"/>
        </w:trPr>
        <w:tc>
          <w:tcPr>
            <w:tcW w:w="701" w:type="dxa"/>
            <w:shd w:val="clear" w:color="auto" w:fill="FFFFFF"/>
            <w:noWrap w:val="0"/>
            <w:tcMar>
              <w:left w:w="108" w:type="dxa"/>
              <w:right w:w="108" w:type="dxa"/>
            </w:tcMar>
            <w:vAlign w:val="center"/>
          </w:tcPr>
          <w:p w14:paraId="7E184362">
            <w:pPr>
              <w:ind w:left="8" w:hanging="94"/>
              <w:jc w:val="center"/>
              <w:rPr>
                <w:rFonts w:hint="eastAsia" w:ascii="宋体" w:hAnsi="宋体" w:eastAsia="宋体" w:cs="宋体"/>
                <w:color w:val="auto"/>
                <w:sz w:val="20"/>
                <w:highlight w:val="none"/>
              </w:rPr>
            </w:pPr>
            <w:r>
              <w:rPr>
                <w:rFonts w:hint="eastAsia" w:ascii="宋体" w:hAnsi="宋体" w:eastAsia="宋体" w:cs="宋体"/>
                <w:color w:val="auto"/>
                <w:sz w:val="20"/>
                <w:highlight w:val="none"/>
              </w:rPr>
              <w:t>注意：</w:t>
            </w:r>
          </w:p>
        </w:tc>
        <w:tc>
          <w:tcPr>
            <w:tcW w:w="8407" w:type="dxa"/>
            <w:gridSpan w:val="7"/>
            <w:shd w:val="clear" w:color="auto" w:fill="FFFFFF"/>
            <w:noWrap w:val="0"/>
            <w:tcMar>
              <w:left w:w="108" w:type="dxa"/>
              <w:right w:w="108" w:type="dxa"/>
            </w:tcMar>
            <w:vAlign w:val="center"/>
          </w:tcPr>
          <w:p w14:paraId="34137430">
            <w:pPr>
              <w:ind w:firstLine="480"/>
              <w:rPr>
                <w:rFonts w:hint="eastAsia" w:ascii="宋体" w:hAnsi="宋体" w:eastAsia="宋体" w:cs="宋体"/>
                <w:color w:val="auto"/>
                <w:sz w:val="20"/>
                <w:highlight w:val="none"/>
              </w:rPr>
            </w:pPr>
            <w:r>
              <w:rPr>
                <w:rFonts w:hint="eastAsia" w:ascii="宋体" w:hAnsi="宋体" w:eastAsia="宋体" w:cs="宋体"/>
                <w:color w:val="auto"/>
                <w:sz w:val="20"/>
                <w:highlight w:val="none"/>
              </w:rPr>
              <w:t>该表一式两份，两份表格投标人均需如实填写各项内容，两份表格的填写内容应一致。一份贴于装纳原件的文件袋（箱），一份在递交文件袋（箱）时由招标代理机构、投标人签字后交招标代理机构。招标代理机构仅代签收装纳原件的文件袋（箱），而不对文件袋（箱）中资料的数量、内容及真实性负责。</w:t>
            </w:r>
          </w:p>
        </w:tc>
      </w:tr>
      <w:tr w14:paraId="3A3D9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53" w:hRule="atLeast"/>
        </w:trPr>
        <w:tc>
          <w:tcPr>
            <w:tcW w:w="2207" w:type="dxa"/>
            <w:gridSpan w:val="2"/>
            <w:shd w:val="clear" w:color="000000" w:fill="FFFFFF"/>
            <w:noWrap w:val="0"/>
            <w:tcMar>
              <w:left w:w="108" w:type="dxa"/>
              <w:right w:w="108" w:type="dxa"/>
            </w:tcMar>
            <w:vAlign w:val="center"/>
          </w:tcPr>
          <w:p w14:paraId="11BE785A">
            <w:pPr>
              <w:jc w:val="center"/>
              <w:rPr>
                <w:rFonts w:hint="eastAsia" w:ascii="宋体" w:hAnsi="宋体" w:eastAsia="宋体" w:cs="宋体"/>
                <w:color w:val="auto"/>
                <w:sz w:val="20"/>
                <w:highlight w:val="none"/>
              </w:rPr>
            </w:pPr>
          </w:p>
          <w:p w14:paraId="6432014F">
            <w:pPr>
              <w:jc w:val="center"/>
              <w:rPr>
                <w:rFonts w:hint="eastAsia" w:ascii="宋体" w:hAnsi="宋体" w:eastAsia="宋体" w:cs="宋体"/>
                <w:color w:val="auto"/>
                <w:sz w:val="20"/>
                <w:highlight w:val="none"/>
              </w:rPr>
            </w:pPr>
            <w:r>
              <w:rPr>
                <w:rFonts w:hint="eastAsia" w:ascii="宋体" w:hAnsi="宋体" w:eastAsia="宋体" w:cs="宋体"/>
                <w:color w:val="auto"/>
                <w:sz w:val="20"/>
                <w:highlight w:val="none"/>
              </w:rPr>
              <w:t>接收原件经办人(招标代理)：</w:t>
            </w:r>
          </w:p>
        </w:tc>
        <w:tc>
          <w:tcPr>
            <w:tcW w:w="1994" w:type="dxa"/>
            <w:gridSpan w:val="2"/>
            <w:shd w:val="clear" w:color="000000" w:fill="FFFFFF"/>
            <w:noWrap w:val="0"/>
            <w:tcMar>
              <w:left w:w="108" w:type="dxa"/>
              <w:right w:w="108" w:type="dxa"/>
            </w:tcMar>
            <w:vAlign w:val="center"/>
          </w:tcPr>
          <w:p w14:paraId="64EF6556">
            <w:pPr>
              <w:jc w:val="center"/>
              <w:rPr>
                <w:rFonts w:hint="eastAsia" w:ascii="宋体" w:hAnsi="宋体" w:eastAsia="宋体" w:cs="宋体"/>
                <w:color w:val="auto"/>
                <w:sz w:val="20"/>
                <w:highlight w:val="none"/>
              </w:rPr>
            </w:pPr>
          </w:p>
        </w:tc>
        <w:tc>
          <w:tcPr>
            <w:tcW w:w="1625" w:type="dxa"/>
            <w:shd w:val="clear" w:color="000000" w:fill="FFFFFF"/>
            <w:noWrap w:val="0"/>
            <w:tcMar>
              <w:left w:w="108" w:type="dxa"/>
              <w:right w:w="108" w:type="dxa"/>
            </w:tcMar>
            <w:vAlign w:val="center"/>
          </w:tcPr>
          <w:p w14:paraId="2C62D6CD">
            <w:pPr>
              <w:jc w:val="center"/>
              <w:rPr>
                <w:rFonts w:hint="eastAsia" w:ascii="宋体" w:hAnsi="宋体" w:eastAsia="宋体" w:cs="宋体"/>
                <w:color w:val="auto"/>
                <w:sz w:val="20"/>
                <w:highlight w:val="none"/>
              </w:rPr>
            </w:pPr>
            <w:r>
              <w:rPr>
                <w:rFonts w:hint="eastAsia" w:ascii="宋体" w:hAnsi="宋体" w:eastAsia="宋体" w:cs="宋体"/>
                <w:color w:val="auto"/>
                <w:sz w:val="20"/>
                <w:highlight w:val="none"/>
              </w:rPr>
              <w:t>接收时间：</w:t>
            </w:r>
          </w:p>
        </w:tc>
        <w:tc>
          <w:tcPr>
            <w:tcW w:w="3282" w:type="dxa"/>
            <w:gridSpan w:val="3"/>
            <w:shd w:val="clear" w:color="000000" w:fill="FFFFFF"/>
            <w:noWrap w:val="0"/>
            <w:tcMar>
              <w:left w:w="108" w:type="dxa"/>
              <w:right w:w="108" w:type="dxa"/>
            </w:tcMar>
            <w:vAlign w:val="center"/>
          </w:tcPr>
          <w:p w14:paraId="41E5D9AB">
            <w:pPr>
              <w:ind w:firstLine="600" w:firstLineChars="300"/>
              <w:jc w:val="left"/>
              <w:rPr>
                <w:rFonts w:hint="eastAsia" w:ascii="宋体" w:hAnsi="宋体" w:eastAsia="宋体" w:cs="宋体"/>
                <w:color w:val="auto"/>
                <w:sz w:val="20"/>
                <w:highlight w:val="none"/>
              </w:rPr>
            </w:pPr>
            <w:r>
              <w:rPr>
                <w:rFonts w:hint="eastAsia" w:ascii="宋体" w:hAnsi="宋体" w:eastAsia="宋体" w:cs="宋体"/>
                <w:color w:val="auto"/>
                <w:sz w:val="20"/>
                <w:highlight w:val="none"/>
              </w:rPr>
              <w:t>年   月   日   时  分</w:t>
            </w:r>
          </w:p>
        </w:tc>
      </w:tr>
      <w:tr w14:paraId="45B82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90" w:hRule="atLeast"/>
        </w:trPr>
        <w:tc>
          <w:tcPr>
            <w:tcW w:w="2207" w:type="dxa"/>
            <w:gridSpan w:val="2"/>
            <w:shd w:val="clear" w:color="000000" w:fill="FFFFFF"/>
            <w:noWrap w:val="0"/>
            <w:tcMar>
              <w:left w:w="108" w:type="dxa"/>
              <w:right w:w="108" w:type="dxa"/>
            </w:tcMar>
            <w:vAlign w:val="center"/>
          </w:tcPr>
          <w:p w14:paraId="0359AF54">
            <w:pPr>
              <w:jc w:val="center"/>
              <w:rPr>
                <w:rFonts w:hint="eastAsia" w:ascii="宋体" w:hAnsi="宋体" w:eastAsia="宋体" w:cs="宋体"/>
                <w:color w:val="auto"/>
                <w:sz w:val="20"/>
                <w:highlight w:val="none"/>
              </w:rPr>
            </w:pPr>
            <w:r>
              <w:rPr>
                <w:rFonts w:hint="eastAsia" w:ascii="宋体" w:hAnsi="宋体" w:eastAsia="宋体" w:cs="宋体"/>
                <w:color w:val="auto"/>
                <w:sz w:val="20"/>
                <w:highlight w:val="none"/>
              </w:rPr>
              <w:t>退还原件接收人(投标人)：</w:t>
            </w:r>
          </w:p>
        </w:tc>
        <w:tc>
          <w:tcPr>
            <w:tcW w:w="1994" w:type="dxa"/>
            <w:gridSpan w:val="2"/>
            <w:shd w:val="clear" w:color="000000" w:fill="FFFFFF"/>
            <w:noWrap w:val="0"/>
            <w:tcMar>
              <w:left w:w="108" w:type="dxa"/>
              <w:right w:w="108" w:type="dxa"/>
            </w:tcMar>
            <w:vAlign w:val="center"/>
          </w:tcPr>
          <w:p w14:paraId="77E741D3">
            <w:pPr>
              <w:jc w:val="center"/>
              <w:rPr>
                <w:rFonts w:hint="eastAsia" w:ascii="宋体" w:hAnsi="宋体" w:eastAsia="宋体" w:cs="宋体"/>
                <w:color w:val="auto"/>
                <w:sz w:val="20"/>
                <w:highlight w:val="none"/>
              </w:rPr>
            </w:pPr>
          </w:p>
        </w:tc>
        <w:tc>
          <w:tcPr>
            <w:tcW w:w="1625" w:type="dxa"/>
            <w:shd w:val="clear" w:color="000000" w:fill="FFFFFF"/>
            <w:noWrap w:val="0"/>
            <w:tcMar>
              <w:left w:w="108" w:type="dxa"/>
              <w:right w:w="108" w:type="dxa"/>
            </w:tcMar>
            <w:vAlign w:val="center"/>
          </w:tcPr>
          <w:p w14:paraId="115DC5D1">
            <w:pPr>
              <w:jc w:val="center"/>
              <w:rPr>
                <w:rFonts w:hint="eastAsia" w:ascii="宋体" w:hAnsi="宋体" w:eastAsia="宋体" w:cs="宋体"/>
                <w:color w:val="auto"/>
                <w:sz w:val="20"/>
                <w:highlight w:val="none"/>
              </w:rPr>
            </w:pPr>
            <w:r>
              <w:rPr>
                <w:rFonts w:hint="eastAsia" w:ascii="宋体" w:hAnsi="宋体" w:eastAsia="宋体" w:cs="宋体"/>
                <w:color w:val="auto"/>
                <w:sz w:val="20"/>
                <w:highlight w:val="none"/>
              </w:rPr>
              <w:t>退还时间：</w:t>
            </w:r>
          </w:p>
        </w:tc>
        <w:tc>
          <w:tcPr>
            <w:tcW w:w="3282" w:type="dxa"/>
            <w:gridSpan w:val="3"/>
            <w:shd w:val="clear" w:color="000000" w:fill="FFFFFF"/>
            <w:noWrap w:val="0"/>
            <w:tcMar>
              <w:left w:w="108" w:type="dxa"/>
              <w:right w:w="108" w:type="dxa"/>
            </w:tcMar>
            <w:vAlign w:val="center"/>
          </w:tcPr>
          <w:p w14:paraId="01FC9EBC">
            <w:pPr>
              <w:ind w:firstLine="600" w:firstLineChars="300"/>
              <w:jc w:val="left"/>
              <w:rPr>
                <w:rFonts w:hint="eastAsia" w:ascii="宋体" w:hAnsi="宋体" w:eastAsia="宋体" w:cs="宋体"/>
                <w:color w:val="auto"/>
                <w:sz w:val="20"/>
                <w:highlight w:val="none"/>
              </w:rPr>
            </w:pPr>
            <w:r>
              <w:rPr>
                <w:rFonts w:hint="eastAsia" w:ascii="宋体" w:hAnsi="宋体" w:eastAsia="宋体" w:cs="宋体"/>
                <w:color w:val="auto"/>
                <w:sz w:val="20"/>
                <w:highlight w:val="none"/>
              </w:rPr>
              <w:t>年   月   日   时   分</w:t>
            </w:r>
          </w:p>
        </w:tc>
      </w:tr>
    </w:tbl>
    <w:p w14:paraId="79F98C6B">
      <w:pPr>
        <w:pStyle w:val="74"/>
        <w:widowControl w:val="0"/>
        <w:wordWrap w:val="0"/>
        <w:adjustRightInd w:val="0"/>
        <w:snapToGrid w:val="0"/>
        <w:spacing w:line="400" w:lineRule="exact"/>
        <w:rPr>
          <w:rFonts w:hint="eastAsia" w:ascii="宋体" w:hAnsi="宋体" w:eastAsia="宋体" w:cs="宋体"/>
          <w:snapToGrid w:val="0"/>
          <w:color w:val="auto"/>
          <w:sz w:val="21"/>
          <w:highlight w:val="none"/>
        </w:rPr>
        <w:sectPr>
          <w:endnotePr>
            <w:numFmt w:val="decimal"/>
          </w:endnotePr>
          <w:pgSz w:w="11906" w:h="16838"/>
          <w:pgMar w:top="1134" w:right="1134" w:bottom="1134" w:left="1134" w:header="567" w:footer="567" w:gutter="0"/>
          <w:pgBorders>
            <w:top w:val="none" w:sz="0" w:space="0"/>
            <w:left w:val="none" w:sz="0" w:space="0"/>
            <w:bottom w:val="none" w:sz="0" w:space="0"/>
            <w:right w:val="none" w:sz="0" w:space="0"/>
          </w:pgBorders>
          <w:cols w:space="720" w:num="1"/>
          <w:docGrid w:linePitch="327" w:charSpace="0"/>
        </w:sectPr>
      </w:pPr>
    </w:p>
    <w:p w14:paraId="36FA6E8B">
      <w:pPr>
        <w:pStyle w:val="2"/>
        <w:wordWrap w:val="0"/>
        <w:autoSpaceDE/>
        <w:autoSpaceDN/>
        <w:snapToGrid w:val="0"/>
        <w:spacing w:line="440" w:lineRule="exact"/>
        <w:jc w:val="center"/>
        <w:rPr>
          <w:rFonts w:hint="eastAsia" w:ascii="宋体" w:hAnsi="宋体" w:eastAsia="宋体" w:cs="宋体"/>
          <w:b/>
          <w:snapToGrid w:val="0"/>
          <w:color w:val="auto"/>
          <w:sz w:val="24"/>
          <w:highlight w:val="none"/>
        </w:rPr>
      </w:pPr>
      <w:bookmarkStart w:id="369" w:name="_Toc17586"/>
      <w:bookmarkStart w:id="370" w:name="_Toc13959"/>
      <w:r>
        <w:rPr>
          <w:rFonts w:hint="eastAsia" w:ascii="宋体" w:hAnsi="宋体" w:eastAsia="宋体" w:cs="宋体"/>
          <w:b/>
          <w:snapToGrid w:val="0"/>
          <w:color w:val="auto"/>
          <w:sz w:val="24"/>
          <w:highlight w:val="none"/>
        </w:rPr>
        <w:t>第七章 建设工程施工合同</w:t>
      </w:r>
      <w:bookmarkEnd w:id="362"/>
      <w:bookmarkEnd w:id="363"/>
      <w:bookmarkEnd w:id="364"/>
      <w:bookmarkEnd w:id="365"/>
      <w:bookmarkEnd w:id="366"/>
      <w:bookmarkEnd w:id="369"/>
      <w:bookmarkEnd w:id="370"/>
    </w:p>
    <w:p w14:paraId="0A013BA5">
      <w:pPr>
        <w:wordWrap w:val="0"/>
        <w:adjustRightInd w:val="0"/>
        <w:snapToGrid w:val="0"/>
        <w:spacing w:line="440" w:lineRule="exact"/>
        <w:rPr>
          <w:rFonts w:hint="eastAsia" w:ascii="宋体" w:hAnsi="宋体" w:eastAsia="宋体" w:cs="宋体"/>
          <w:snapToGrid w:val="0"/>
          <w:color w:val="auto"/>
          <w:kern w:val="0"/>
          <w:highlight w:val="none"/>
        </w:rPr>
      </w:pPr>
    </w:p>
    <w:p w14:paraId="33681202">
      <w:pPr>
        <w:wordWrap w:val="0"/>
        <w:adjustRightInd w:val="0"/>
        <w:snapToGrid w:val="0"/>
        <w:spacing w:line="440" w:lineRule="exact"/>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 xml:space="preserve">    （略），</w:t>
      </w:r>
      <w:bookmarkEnd w:id="367"/>
      <w:bookmarkEnd w:id="368"/>
      <w:r>
        <w:rPr>
          <w:rFonts w:hint="eastAsia" w:ascii="宋体" w:hAnsi="宋体" w:eastAsia="宋体" w:cs="宋体"/>
          <w:snapToGrid w:val="0"/>
          <w:color w:val="auto"/>
          <w:kern w:val="0"/>
          <w:highlight w:val="none"/>
        </w:rPr>
        <w:t>按《广东省建设工程标准施工合同》（2009年版）或《建设工程施工合同（示范文本）》（GF—2017—0201）执行。</w:t>
      </w:r>
    </w:p>
    <w:sectPr>
      <w:endnotePr>
        <w:numFmt w:val="decimal"/>
      </w:endnotePr>
      <w:pgSz w:w="11906" w:h="16838"/>
      <w:pgMar w:top="1134" w:right="1134" w:bottom="1134" w:left="1134" w:header="567" w:footer="567" w:gutter="0"/>
      <w:pgBorders>
        <w:top w:val="none" w:sz="0" w:space="0"/>
        <w:left w:val="none" w:sz="0" w:space="0"/>
        <w:bottom w:val="none" w:sz="0" w:space="0"/>
        <w:right w:val="none" w:sz="0" w:space="0"/>
      </w:pgBorders>
      <w:cols w:space="720" w:num="1"/>
      <w:docGrid w:linePitch="327"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F"/>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Tahoma">
    <w:panose1 w:val="020B0604030504040204"/>
    <w:charset w:val="00"/>
    <w:family w:val="swiss"/>
    <w:pitch w:val="default"/>
    <w:sig w:usb0="E1002EFF" w:usb1="C000605B" w:usb2="00000029" w:usb3="00000000" w:csb0="200101FF" w:csb1="2028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69D89">
    <w:pPr>
      <w:pStyle w:val="19"/>
      <w:pBdr>
        <w:between w:val="none" w:color="auto" w:sz="0" w:space="0"/>
      </w:pBdr>
      <w:rPr>
        <w:rFonts w:hint="eastAsia"/>
      </w:rPr>
    </w:pPr>
  </w:p>
  <w:p w14:paraId="4472F7EC">
    <w:pPr>
      <w:pStyle w:val="19"/>
      <w:pBdr>
        <w:between w:val="none" w:color="auto" w:sz="0" w:space="0"/>
      </w:pBdr>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1759D6">
    <w:pPr>
      <w:pStyle w:val="19"/>
      <w:pBdr>
        <w:between w:val="none" w:color="auto" w:sz="0" w:space="0"/>
      </w:pBdr>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26C9EB6">
                          <w:pPr>
                            <w:pStyle w:val="19"/>
                            <w:rPr>
                              <w:rFonts w:hint="eastAsia"/>
                            </w:rPr>
                          </w:pPr>
                          <w:r>
                            <w:rPr>
                              <w:rFonts w:hint="eastAsia" w:ascii="Times New Roman"/>
                              <w:sz w:val="21"/>
                            </w:rPr>
                            <w:t>—</w:t>
                          </w:r>
                          <w:r>
                            <w:rPr>
                              <w:rFonts w:hint="eastAsia" w:ascii="宋体" w:hAnsi="宋体" w:eastAsia="宋体" w:cs="宋体"/>
                              <w:sz w:val="21"/>
                            </w:rPr>
                            <w:fldChar w:fldCharType="begin"/>
                          </w:r>
                          <w:r>
                            <w:rPr>
                              <w:rFonts w:hint="eastAsia" w:ascii="宋体" w:hAnsi="宋体" w:eastAsia="宋体" w:cs="宋体"/>
                              <w:sz w:val="21"/>
                            </w:rPr>
                            <w:instrText xml:space="preserve"> PAGE  \* MERGEFORMAT </w:instrText>
                          </w:r>
                          <w:r>
                            <w:rPr>
                              <w:rFonts w:hint="eastAsia" w:ascii="宋体" w:hAnsi="宋体" w:eastAsia="宋体" w:cs="宋体"/>
                              <w:sz w:val="21"/>
                            </w:rPr>
                            <w:fldChar w:fldCharType="separate"/>
                          </w:r>
                          <w:r>
                            <w:rPr>
                              <w:rFonts w:hint="eastAsia" w:ascii="宋体" w:hAnsi="宋体" w:eastAsia="宋体" w:cs="宋体"/>
                            </w:rPr>
                            <w:t>54</w:t>
                          </w:r>
                          <w:r>
                            <w:rPr>
                              <w:rFonts w:hint="eastAsia" w:ascii="宋体" w:hAnsi="宋体" w:eastAsia="宋体" w:cs="宋体"/>
                              <w:sz w:val="21"/>
                            </w:rPr>
                            <w:fldChar w:fldCharType="end"/>
                          </w:r>
                          <w:r>
                            <w:rPr>
                              <w:rFonts w:hint="eastAsia" w:ascii="Times New Roman"/>
                              <w:sz w:val="21"/>
                            </w:rPr>
                            <w:t>—</w:t>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o2tjnsoBAACaAwAADgAAAGRycy9lMm9Eb2MueG1srVPNjtMwEL4j8Q6W&#10;79TZrgRV1HS1qFqEhABp4QFcx24s+U8et0lfAN6AExfuPFefg7GTdGG57GEvznhm/M1830zWN4M1&#10;5CgjaO8aerWoKJFO+Fa7fUO/frl7taIEEnctN97Jhp4k0JvNyxfrPtRy6TtvWhkJgjio+9DQLqVQ&#10;Mwaik5bDwgfpMKh8tDzhNe5ZG3mP6NawZVW9Zr2PbYheSAD0bscgnRDjUwC9UlrIrRcHK10aUaM0&#10;PCEl6HQAuindKiVF+qQUyERMQ5FpKicWQXuXT7ZZ83ofeei0mFrgT2nhESfLtcOiF6gtT5wcov4P&#10;ymoRPXiVFsJbNhIpiiCLq+qRNvcdD7JwQakhXESH54MVH4+fI9FtQ6/fUOK4xYmff3w///x9/vWN&#10;XGd9+gA1pt0HTEzDWz/g1sx+QGemPaho8xcJEYyjuqeLunJIRORHq+VqVWFIYGy+ID57eB4ipHfS&#10;W5KNhkYcX1GVHz9AGlPnlFzN+TttTBmhcf84EDN7WO597DFbadgNE6Gdb0/Ip8fJN9TholNi3jsU&#10;Ni/JbMTZ2M3GIUS978oW5XoQbg8Jmyi95Qoj7FQYR1bYTeuVd+Lve8l6+KU2f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o2tjnsoBAACaAwAADgAAAAAAAAABACAAAAAeAQAAZHJzL2Uyb0Rv&#10;Yy54bWxQSwUGAAAAAAYABgBZAQAAWgUAAAAA&#10;">
              <v:fill on="f" focussize="0,0"/>
              <v:stroke on="f"/>
              <v:imagedata o:title=""/>
              <o:lock v:ext="edit" aspectratio="f"/>
              <v:textbox inset="0mm,0mm,0mm,0mm" style="mso-fit-shape-to-text:t;">
                <w:txbxContent>
                  <w:p w14:paraId="726C9EB6">
                    <w:pPr>
                      <w:pStyle w:val="19"/>
                      <w:rPr>
                        <w:rFonts w:hint="eastAsia"/>
                      </w:rPr>
                    </w:pPr>
                    <w:r>
                      <w:rPr>
                        <w:rFonts w:hint="eastAsia" w:ascii="Times New Roman"/>
                        <w:sz w:val="21"/>
                      </w:rPr>
                      <w:t>—</w:t>
                    </w:r>
                    <w:r>
                      <w:rPr>
                        <w:rFonts w:hint="eastAsia" w:ascii="宋体" w:hAnsi="宋体" w:eastAsia="宋体" w:cs="宋体"/>
                        <w:sz w:val="21"/>
                      </w:rPr>
                      <w:fldChar w:fldCharType="begin"/>
                    </w:r>
                    <w:r>
                      <w:rPr>
                        <w:rFonts w:hint="eastAsia" w:ascii="宋体" w:hAnsi="宋体" w:eastAsia="宋体" w:cs="宋体"/>
                        <w:sz w:val="21"/>
                      </w:rPr>
                      <w:instrText xml:space="preserve"> PAGE  \* MERGEFORMAT </w:instrText>
                    </w:r>
                    <w:r>
                      <w:rPr>
                        <w:rFonts w:hint="eastAsia" w:ascii="宋体" w:hAnsi="宋体" w:eastAsia="宋体" w:cs="宋体"/>
                        <w:sz w:val="21"/>
                      </w:rPr>
                      <w:fldChar w:fldCharType="separate"/>
                    </w:r>
                    <w:r>
                      <w:rPr>
                        <w:rFonts w:hint="eastAsia" w:ascii="宋体" w:hAnsi="宋体" w:eastAsia="宋体" w:cs="宋体"/>
                      </w:rPr>
                      <w:t>54</w:t>
                    </w:r>
                    <w:r>
                      <w:rPr>
                        <w:rFonts w:hint="eastAsia" w:ascii="宋体" w:hAnsi="宋体" w:eastAsia="宋体" w:cs="宋体"/>
                        <w:sz w:val="21"/>
                      </w:rPr>
                      <w:fldChar w:fldCharType="end"/>
                    </w:r>
                    <w:r>
                      <w:rPr>
                        <w:rFonts w:hint="eastAsia" w:ascii="Times New Roman"/>
                        <w:sz w:val="21"/>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hyphenationZone w:val="360"/>
  <w:drawingGridHorizontalSpacing w:val="240"/>
  <w:drawingGridVerticalSpacing w:val="164"/>
  <w:displayHorizontalDrawingGridEvery w:val="1"/>
  <w:displayVerticalDrawingGridEvery w:val="1"/>
  <w:doNotShadeFormData w:val="1"/>
  <w:noPunctuationKerning w:val="1"/>
  <w:characterSpacingControl w:val="compressPunctuation"/>
  <w:doNotValidateAgainstSchema/>
  <w:doNotDemarcateInvalidXml/>
  <w:hdrShapeDefaults>
    <o:shapelayout v:ext="edit">
      <o:idmap v:ext="edit" data="1"/>
    </o:shapelayout>
  </w:hdrShapeDefaults>
  <w:footnotePr>
    <w:footnote w:id="0"/>
    <w:footnote w:id="1"/>
  </w:footnotePr>
  <w:endnotePr>
    <w:numFmt w:val="decimal"/>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AwMjY2NzBhZWQ3Zjc5NDdhZTU5NDg5NTA0ZGM3N2UifQ=="/>
    <w:docVar w:name="KSO_WPS_MARK_KEY" w:val="339fc04a-30c4-466d-ab1a-b9d928989bea"/>
  </w:docVars>
  <w:rsids>
    <w:rsidRoot w:val="00172A27"/>
    <w:rsid w:val="000813CE"/>
    <w:rsid w:val="00156E02"/>
    <w:rsid w:val="001740E2"/>
    <w:rsid w:val="00204CA9"/>
    <w:rsid w:val="00253E2F"/>
    <w:rsid w:val="004804C4"/>
    <w:rsid w:val="00485BD6"/>
    <w:rsid w:val="004A677C"/>
    <w:rsid w:val="005D2C6E"/>
    <w:rsid w:val="00662AF1"/>
    <w:rsid w:val="00735061"/>
    <w:rsid w:val="00783750"/>
    <w:rsid w:val="008859E0"/>
    <w:rsid w:val="008B6453"/>
    <w:rsid w:val="00947E79"/>
    <w:rsid w:val="00976E7B"/>
    <w:rsid w:val="009E1A7B"/>
    <w:rsid w:val="009E7023"/>
    <w:rsid w:val="009F585C"/>
    <w:rsid w:val="00C4516D"/>
    <w:rsid w:val="00D5717A"/>
    <w:rsid w:val="01065CF6"/>
    <w:rsid w:val="011A0428"/>
    <w:rsid w:val="011F3697"/>
    <w:rsid w:val="01635D69"/>
    <w:rsid w:val="01D953BA"/>
    <w:rsid w:val="020227A1"/>
    <w:rsid w:val="021717B9"/>
    <w:rsid w:val="02227179"/>
    <w:rsid w:val="02FC76B4"/>
    <w:rsid w:val="03315C3D"/>
    <w:rsid w:val="034C6D1C"/>
    <w:rsid w:val="035B58E7"/>
    <w:rsid w:val="03D006DB"/>
    <w:rsid w:val="04061CFF"/>
    <w:rsid w:val="041025A8"/>
    <w:rsid w:val="041341B1"/>
    <w:rsid w:val="04EB042F"/>
    <w:rsid w:val="05235E1B"/>
    <w:rsid w:val="05533E9B"/>
    <w:rsid w:val="05717EE4"/>
    <w:rsid w:val="057E6B27"/>
    <w:rsid w:val="06127454"/>
    <w:rsid w:val="065C6C4B"/>
    <w:rsid w:val="066300E8"/>
    <w:rsid w:val="06A32407"/>
    <w:rsid w:val="06C4753C"/>
    <w:rsid w:val="06CB210C"/>
    <w:rsid w:val="06CC5B3F"/>
    <w:rsid w:val="07031B00"/>
    <w:rsid w:val="072C105E"/>
    <w:rsid w:val="07311844"/>
    <w:rsid w:val="0732071C"/>
    <w:rsid w:val="076B1CFB"/>
    <w:rsid w:val="07852DBD"/>
    <w:rsid w:val="07982AEC"/>
    <w:rsid w:val="07A251EE"/>
    <w:rsid w:val="07D62FDE"/>
    <w:rsid w:val="082A5712"/>
    <w:rsid w:val="0837398B"/>
    <w:rsid w:val="08472853"/>
    <w:rsid w:val="0878647D"/>
    <w:rsid w:val="08D32CA6"/>
    <w:rsid w:val="08DB54AE"/>
    <w:rsid w:val="09573962"/>
    <w:rsid w:val="0957416C"/>
    <w:rsid w:val="0958005D"/>
    <w:rsid w:val="09AA019F"/>
    <w:rsid w:val="09CE23B5"/>
    <w:rsid w:val="0A0A7E5D"/>
    <w:rsid w:val="0A345888"/>
    <w:rsid w:val="0A860745"/>
    <w:rsid w:val="0ADD2F10"/>
    <w:rsid w:val="0B112BB9"/>
    <w:rsid w:val="0B337C85"/>
    <w:rsid w:val="0B3F61A8"/>
    <w:rsid w:val="0B4B1C27"/>
    <w:rsid w:val="0B957346"/>
    <w:rsid w:val="0B9D0C4F"/>
    <w:rsid w:val="0BAF665A"/>
    <w:rsid w:val="0C264F0A"/>
    <w:rsid w:val="0C473915"/>
    <w:rsid w:val="0C5965C6"/>
    <w:rsid w:val="0C6F50D1"/>
    <w:rsid w:val="0C982D80"/>
    <w:rsid w:val="0CAD246E"/>
    <w:rsid w:val="0CC207F1"/>
    <w:rsid w:val="0CE56967"/>
    <w:rsid w:val="0D161723"/>
    <w:rsid w:val="0D366D45"/>
    <w:rsid w:val="0D4232B6"/>
    <w:rsid w:val="0D53151A"/>
    <w:rsid w:val="0DB20DDC"/>
    <w:rsid w:val="0E054EB6"/>
    <w:rsid w:val="0E1919B2"/>
    <w:rsid w:val="0EA35515"/>
    <w:rsid w:val="0EAD2C13"/>
    <w:rsid w:val="0F427539"/>
    <w:rsid w:val="0F8B63BB"/>
    <w:rsid w:val="0F933B9D"/>
    <w:rsid w:val="0FB5646C"/>
    <w:rsid w:val="10162E29"/>
    <w:rsid w:val="101B48E8"/>
    <w:rsid w:val="10223C6A"/>
    <w:rsid w:val="102739F7"/>
    <w:rsid w:val="10336C65"/>
    <w:rsid w:val="1055163A"/>
    <w:rsid w:val="10637A6B"/>
    <w:rsid w:val="10817DC1"/>
    <w:rsid w:val="10B416E8"/>
    <w:rsid w:val="10C42F37"/>
    <w:rsid w:val="10CD6A2A"/>
    <w:rsid w:val="10DF5DAE"/>
    <w:rsid w:val="10E70644"/>
    <w:rsid w:val="11024F3F"/>
    <w:rsid w:val="114C494B"/>
    <w:rsid w:val="11934328"/>
    <w:rsid w:val="11C404D9"/>
    <w:rsid w:val="123635C4"/>
    <w:rsid w:val="124226EB"/>
    <w:rsid w:val="129920B1"/>
    <w:rsid w:val="12A80195"/>
    <w:rsid w:val="12C12CBB"/>
    <w:rsid w:val="135F0966"/>
    <w:rsid w:val="138B03FE"/>
    <w:rsid w:val="14060DE1"/>
    <w:rsid w:val="149D77CF"/>
    <w:rsid w:val="15226C56"/>
    <w:rsid w:val="153C6A85"/>
    <w:rsid w:val="153E45AB"/>
    <w:rsid w:val="15B42ABF"/>
    <w:rsid w:val="15C12761"/>
    <w:rsid w:val="160F6D81"/>
    <w:rsid w:val="162B0E39"/>
    <w:rsid w:val="163E52CD"/>
    <w:rsid w:val="16465E0D"/>
    <w:rsid w:val="16825090"/>
    <w:rsid w:val="16B20DAC"/>
    <w:rsid w:val="16DD6444"/>
    <w:rsid w:val="16F17BE3"/>
    <w:rsid w:val="1751770F"/>
    <w:rsid w:val="17B95607"/>
    <w:rsid w:val="183C2959"/>
    <w:rsid w:val="184719C8"/>
    <w:rsid w:val="18534570"/>
    <w:rsid w:val="18A80D52"/>
    <w:rsid w:val="18C36995"/>
    <w:rsid w:val="18FF1058"/>
    <w:rsid w:val="1986632D"/>
    <w:rsid w:val="19C37774"/>
    <w:rsid w:val="1A232E93"/>
    <w:rsid w:val="1A6554FA"/>
    <w:rsid w:val="1A9F7572"/>
    <w:rsid w:val="1AE6196C"/>
    <w:rsid w:val="1AF5570C"/>
    <w:rsid w:val="1B21189C"/>
    <w:rsid w:val="1B9D1DD5"/>
    <w:rsid w:val="1BEF6DFD"/>
    <w:rsid w:val="1BF06998"/>
    <w:rsid w:val="1C1545C5"/>
    <w:rsid w:val="1C5635D6"/>
    <w:rsid w:val="1C744DB0"/>
    <w:rsid w:val="1C7562B0"/>
    <w:rsid w:val="1D141CAC"/>
    <w:rsid w:val="1D55171C"/>
    <w:rsid w:val="1D69459E"/>
    <w:rsid w:val="1D742D80"/>
    <w:rsid w:val="1DB02AA1"/>
    <w:rsid w:val="1DE1641B"/>
    <w:rsid w:val="1E76451C"/>
    <w:rsid w:val="1ECB21F4"/>
    <w:rsid w:val="1F26151A"/>
    <w:rsid w:val="1F6F04E9"/>
    <w:rsid w:val="1F8F29A7"/>
    <w:rsid w:val="1FB73684"/>
    <w:rsid w:val="1FDA10C4"/>
    <w:rsid w:val="1FF42F10"/>
    <w:rsid w:val="2036210F"/>
    <w:rsid w:val="206E2053"/>
    <w:rsid w:val="20713F99"/>
    <w:rsid w:val="207B66B3"/>
    <w:rsid w:val="21224762"/>
    <w:rsid w:val="218A22F4"/>
    <w:rsid w:val="218D0B38"/>
    <w:rsid w:val="2192066D"/>
    <w:rsid w:val="219569C3"/>
    <w:rsid w:val="21DB149C"/>
    <w:rsid w:val="226B1A58"/>
    <w:rsid w:val="226C0772"/>
    <w:rsid w:val="227E0643"/>
    <w:rsid w:val="230C3197"/>
    <w:rsid w:val="23381CEE"/>
    <w:rsid w:val="234E0189"/>
    <w:rsid w:val="23713D9D"/>
    <w:rsid w:val="23E9602A"/>
    <w:rsid w:val="23FD1838"/>
    <w:rsid w:val="24132B71"/>
    <w:rsid w:val="24962A42"/>
    <w:rsid w:val="24BA4892"/>
    <w:rsid w:val="24EF141E"/>
    <w:rsid w:val="25236495"/>
    <w:rsid w:val="254A2AF8"/>
    <w:rsid w:val="25A16BBC"/>
    <w:rsid w:val="25C04D26"/>
    <w:rsid w:val="25CD411B"/>
    <w:rsid w:val="26393298"/>
    <w:rsid w:val="26526878"/>
    <w:rsid w:val="26730090"/>
    <w:rsid w:val="26A5092E"/>
    <w:rsid w:val="26D43BC6"/>
    <w:rsid w:val="26DC6022"/>
    <w:rsid w:val="27001050"/>
    <w:rsid w:val="270B2978"/>
    <w:rsid w:val="271433BD"/>
    <w:rsid w:val="27303202"/>
    <w:rsid w:val="28096C9A"/>
    <w:rsid w:val="286E29AA"/>
    <w:rsid w:val="28BE4088"/>
    <w:rsid w:val="290B64C5"/>
    <w:rsid w:val="29135C0E"/>
    <w:rsid w:val="29421D31"/>
    <w:rsid w:val="299F64A8"/>
    <w:rsid w:val="2A251746"/>
    <w:rsid w:val="2AC27A05"/>
    <w:rsid w:val="2B4166E9"/>
    <w:rsid w:val="2B66641F"/>
    <w:rsid w:val="2BDD46C6"/>
    <w:rsid w:val="2BFE4F67"/>
    <w:rsid w:val="2C0B1A81"/>
    <w:rsid w:val="2C183670"/>
    <w:rsid w:val="2C290723"/>
    <w:rsid w:val="2C4D3FF3"/>
    <w:rsid w:val="2C4F43C7"/>
    <w:rsid w:val="2C724190"/>
    <w:rsid w:val="2D38581D"/>
    <w:rsid w:val="2D4B4E2D"/>
    <w:rsid w:val="2D51162C"/>
    <w:rsid w:val="2D930C39"/>
    <w:rsid w:val="2D973D96"/>
    <w:rsid w:val="2DAD3E66"/>
    <w:rsid w:val="2DF51B3E"/>
    <w:rsid w:val="2E1D2B43"/>
    <w:rsid w:val="2E204C18"/>
    <w:rsid w:val="2E2F0ABD"/>
    <w:rsid w:val="2E6B5FB9"/>
    <w:rsid w:val="2E6E34C0"/>
    <w:rsid w:val="2F2F348A"/>
    <w:rsid w:val="2F3C5BA7"/>
    <w:rsid w:val="2F3E191F"/>
    <w:rsid w:val="2F896F93"/>
    <w:rsid w:val="2FDA63FB"/>
    <w:rsid w:val="30105A39"/>
    <w:rsid w:val="3018665F"/>
    <w:rsid w:val="303074BA"/>
    <w:rsid w:val="303C57F4"/>
    <w:rsid w:val="30536D05"/>
    <w:rsid w:val="305A2B4D"/>
    <w:rsid w:val="307D4226"/>
    <w:rsid w:val="30B30AAC"/>
    <w:rsid w:val="30B337A6"/>
    <w:rsid w:val="30C222D2"/>
    <w:rsid w:val="30C85944"/>
    <w:rsid w:val="30D501D4"/>
    <w:rsid w:val="31210BB1"/>
    <w:rsid w:val="317433D6"/>
    <w:rsid w:val="31A041CB"/>
    <w:rsid w:val="31D51879"/>
    <w:rsid w:val="31DE6AA2"/>
    <w:rsid w:val="32A63A63"/>
    <w:rsid w:val="32BE2779"/>
    <w:rsid w:val="32D305D1"/>
    <w:rsid w:val="33182487"/>
    <w:rsid w:val="33266BDE"/>
    <w:rsid w:val="33377574"/>
    <w:rsid w:val="33557238"/>
    <w:rsid w:val="34117689"/>
    <w:rsid w:val="342C1BED"/>
    <w:rsid w:val="34437F20"/>
    <w:rsid w:val="352D168F"/>
    <w:rsid w:val="35586B6B"/>
    <w:rsid w:val="35812CF5"/>
    <w:rsid w:val="35EA0C71"/>
    <w:rsid w:val="35F15BE6"/>
    <w:rsid w:val="35F55F65"/>
    <w:rsid w:val="360A3E4F"/>
    <w:rsid w:val="361C403D"/>
    <w:rsid w:val="36211653"/>
    <w:rsid w:val="362700CC"/>
    <w:rsid w:val="36436AD9"/>
    <w:rsid w:val="365B7948"/>
    <w:rsid w:val="36653C36"/>
    <w:rsid w:val="369F1D0C"/>
    <w:rsid w:val="36F80606"/>
    <w:rsid w:val="36FE3E1F"/>
    <w:rsid w:val="37935F95"/>
    <w:rsid w:val="383D25F2"/>
    <w:rsid w:val="38841C4D"/>
    <w:rsid w:val="389B38FE"/>
    <w:rsid w:val="38EE5BAC"/>
    <w:rsid w:val="390F3BFF"/>
    <w:rsid w:val="39143A18"/>
    <w:rsid w:val="39387BD3"/>
    <w:rsid w:val="39644BE0"/>
    <w:rsid w:val="398B779E"/>
    <w:rsid w:val="398C62F9"/>
    <w:rsid w:val="39DF5703"/>
    <w:rsid w:val="3A005EB0"/>
    <w:rsid w:val="3A091E3B"/>
    <w:rsid w:val="3A096720"/>
    <w:rsid w:val="3A38094F"/>
    <w:rsid w:val="3A385253"/>
    <w:rsid w:val="3B0D7690"/>
    <w:rsid w:val="3B5A482F"/>
    <w:rsid w:val="3BAB6E46"/>
    <w:rsid w:val="3BB50377"/>
    <w:rsid w:val="3C501C16"/>
    <w:rsid w:val="3C6B3628"/>
    <w:rsid w:val="3C890B1C"/>
    <w:rsid w:val="3CDC0368"/>
    <w:rsid w:val="3CE82F45"/>
    <w:rsid w:val="3CF27EE4"/>
    <w:rsid w:val="3D142020"/>
    <w:rsid w:val="3D90085D"/>
    <w:rsid w:val="3DA821F1"/>
    <w:rsid w:val="3DCE34F0"/>
    <w:rsid w:val="3DE93F38"/>
    <w:rsid w:val="3DFA3EDF"/>
    <w:rsid w:val="3E3642DC"/>
    <w:rsid w:val="3E94568C"/>
    <w:rsid w:val="3EF77497"/>
    <w:rsid w:val="3F47212A"/>
    <w:rsid w:val="3F95226A"/>
    <w:rsid w:val="3FBB5D0C"/>
    <w:rsid w:val="3FC61702"/>
    <w:rsid w:val="40295CD4"/>
    <w:rsid w:val="40876255"/>
    <w:rsid w:val="408847A8"/>
    <w:rsid w:val="40F564A2"/>
    <w:rsid w:val="414836DE"/>
    <w:rsid w:val="4173714A"/>
    <w:rsid w:val="41EC0D67"/>
    <w:rsid w:val="42240113"/>
    <w:rsid w:val="42783DA7"/>
    <w:rsid w:val="42A4461E"/>
    <w:rsid w:val="42B526FB"/>
    <w:rsid w:val="42DE3A88"/>
    <w:rsid w:val="42E020F1"/>
    <w:rsid w:val="432F1B40"/>
    <w:rsid w:val="435A387A"/>
    <w:rsid w:val="4415344F"/>
    <w:rsid w:val="44250560"/>
    <w:rsid w:val="4439334D"/>
    <w:rsid w:val="4484172B"/>
    <w:rsid w:val="44A818BD"/>
    <w:rsid w:val="44C90CE4"/>
    <w:rsid w:val="44F3240C"/>
    <w:rsid w:val="45307B43"/>
    <w:rsid w:val="453411E9"/>
    <w:rsid w:val="454E4597"/>
    <w:rsid w:val="458B507A"/>
    <w:rsid w:val="45CE4402"/>
    <w:rsid w:val="45D16987"/>
    <w:rsid w:val="462C48A5"/>
    <w:rsid w:val="4666543F"/>
    <w:rsid w:val="46830038"/>
    <w:rsid w:val="46A3216A"/>
    <w:rsid w:val="46B20A58"/>
    <w:rsid w:val="46BD7176"/>
    <w:rsid w:val="46C4592F"/>
    <w:rsid w:val="4759106A"/>
    <w:rsid w:val="477D10DD"/>
    <w:rsid w:val="47D51828"/>
    <w:rsid w:val="484D14FE"/>
    <w:rsid w:val="48CB6044"/>
    <w:rsid w:val="48D507A7"/>
    <w:rsid w:val="491F2342"/>
    <w:rsid w:val="493C6C84"/>
    <w:rsid w:val="49516671"/>
    <w:rsid w:val="49ED3E05"/>
    <w:rsid w:val="4A2C1F1B"/>
    <w:rsid w:val="4A2D0433"/>
    <w:rsid w:val="4A6D370F"/>
    <w:rsid w:val="4A927004"/>
    <w:rsid w:val="4AA462C2"/>
    <w:rsid w:val="4AB17999"/>
    <w:rsid w:val="4AD17C6A"/>
    <w:rsid w:val="4ADD673C"/>
    <w:rsid w:val="4AFD42C5"/>
    <w:rsid w:val="4BEC431A"/>
    <w:rsid w:val="4C26753E"/>
    <w:rsid w:val="4C7D6B0F"/>
    <w:rsid w:val="4C83676C"/>
    <w:rsid w:val="4CEE1D65"/>
    <w:rsid w:val="4CF54FD3"/>
    <w:rsid w:val="4CFB6302"/>
    <w:rsid w:val="4D0D7455"/>
    <w:rsid w:val="4D184DDC"/>
    <w:rsid w:val="4D305F93"/>
    <w:rsid w:val="4DCB3F26"/>
    <w:rsid w:val="4DE60D60"/>
    <w:rsid w:val="4DE906B8"/>
    <w:rsid w:val="4E034506"/>
    <w:rsid w:val="4E9D3A56"/>
    <w:rsid w:val="4ED06ACC"/>
    <w:rsid w:val="4EF11423"/>
    <w:rsid w:val="4F9D61B1"/>
    <w:rsid w:val="500A476B"/>
    <w:rsid w:val="50154140"/>
    <w:rsid w:val="501B7800"/>
    <w:rsid w:val="5076449B"/>
    <w:rsid w:val="511424B5"/>
    <w:rsid w:val="5167777C"/>
    <w:rsid w:val="51E341EA"/>
    <w:rsid w:val="51EE072E"/>
    <w:rsid w:val="521F6F37"/>
    <w:rsid w:val="52831CC6"/>
    <w:rsid w:val="52DD4AA0"/>
    <w:rsid w:val="53334E5E"/>
    <w:rsid w:val="53414F13"/>
    <w:rsid w:val="53C02167"/>
    <w:rsid w:val="53EC2E48"/>
    <w:rsid w:val="545A2A0D"/>
    <w:rsid w:val="54DB6CF8"/>
    <w:rsid w:val="550860CF"/>
    <w:rsid w:val="553053B0"/>
    <w:rsid w:val="55490F06"/>
    <w:rsid w:val="558419F7"/>
    <w:rsid w:val="55843DEA"/>
    <w:rsid w:val="565572D8"/>
    <w:rsid w:val="56B87FEA"/>
    <w:rsid w:val="577E6AC5"/>
    <w:rsid w:val="57971413"/>
    <w:rsid w:val="57ED15F0"/>
    <w:rsid w:val="587F6039"/>
    <w:rsid w:val="58CF6A0F"/>
    <w:rsid w:val="58E30CBE"/>
    <w:rsid w:val="59326E77"/>
    <w:rsid w:val="59A63D9B"/>
    <w:rsid w:val="59BE7B1D"/>
    <w:rsid w:val="59C53DD7"/>
    <w:rsid w:val="59CD3A40"/>
    <w:rsid w:val="59D61BA3"/>
    <w:rsid w:val="5A9A7FEA"/>
    <w:rsid w:val="5AB3121A"/>
    <w:rsid w:val="5AD7215D"/>
    <w:rsid w:val="5B8272E2"/>
    <w:rsid w:val="5BA1515F"/>
    <w:rsid w:val="5C8A5924"/>
    <w:rsid w:val="5CD361A8"/>
    <w:rsid w:val="5CE45E53"/>
    <w:rsid w:val="5CED5785"/>
    <w:rsid w:val="5CFA7B59"/>
    <w:rsid w:val="5D081B2B"/>
    <w:rsid w:val="5D7E531B"/>
    <w:rsid w:val="5DDF1B27"/>
    <w:rsid w:val="5DFF4CA0"/>
    <w:rsid w:val="5E162F9C"/>
    <w:rsid w:val="5E23390B"/>
    <w:rsid w:val="5E806055"/>
    <w:rsid w:val="5EA252A9"/>
    <w:rsid w:val="5EFC720B"/>
    <w:rsid w:val="5F335282"/>
    <w:rsid w:val="5F456F62"/>
    <w:rsid w:val="5F6850AE"/>
    <w:rsid w:val="5FA338FA"/>
    <w:rsid w:val="5FB971CA"/>
    <w:rsid w:val="5FC15189"/>
    <w:rsid w:val="5FDA7209"/>
    <w:rsid w:val="5FE7724F"/>
    <w:rsid w:val="608839CA"/>
    <w:rsid w:val="60E94998"/>
    <w:rsid w:val="61144667"/>
    <w:rsid w:val="61810B92"/>
    <w:rsid w:val="61A134C4"/>
    <w:rsid w:val="61D2232C"/>
    <w:rsid w:val="61EA1238"/>
    <w:rsid w:val="61EE5FDE"/>
    <w:rsid w:val="61FD278D"/>
    <w:rsid w:val="626E7E8B"/>
    <w:rsid w:val="62EF7FF6"/>
    <w:rsid w:val="636812F3"/>
    <w:rsid w:val="63BB50B2"/>
    <w:rsid w:val="647257A1"/>
    <w:rsid w:val="64BD6E23"/>
    <w:rsid w:val="64E9313E"/>
    <w:rsid w:val="64FE49C2"/>
    <w:rsid w:val="656C0B78"/>
    <w:rsid w:val="657219D1"/>
    <w:rsid w:val="65B348B5"/>
    <w:rsid w:val="660404C6"/>
    <w:rsid w:val="66136878"/>
    <w:rsid w:val="661E19B4"/>
    <w:rsid w:val="662D2233"/>
    <w:rsid w:val="66594E7C"/>
    <w:rsid w:val="66717333"/>
    <w:rsid w:val="66C043ED"/>
    <w:rsid w:val="66C11F13"/>
    <w:rsid w:val="66E57306"/>
    <w:rsid w:val="670D43FE"/>
    <w:rsid w:val="674622CC"/>
    <w:rsid w:val="674F55EC"/>
    <w:rsid w:val="67553AAB"/>
    <w:rsid w:val="676A713E"/>
    <w:rsid w:val="676F0E01"/>
    <w:rsid w:val="67830574"/>
    <w:rsid w:val="67B176A0"/>
    <w:rsid w:val="67DB2196"/>
    <w:rsid w:val="681D04F5"/>
    <w:rsid w:val="68667456"/>
    <w:rsid w:val="68A76E4E"/>
    <w:rsid w:val="68D97D4B"/>
    <w:rsid w:val="68F8079F"/>
    <w:rsid w:val="6919541B"/>
    <w:rsid w:val="69CA10DE"/>
    <w:rsid w:val="6A090914"/>
    <w:rsid w:val="6A60658C"/>
    <w:rsid w:val="6AF64BE0"/>
    <w:rsid w:val="6B306F2E"/>
    <w:rsid w:val="6BED7202"/>
    <w:rsid w:val="6BF14433"/>
    <w:rsid w:val="6C4C35F0"/>
    <w:rsid w:val="6C986FDB"/>
    <w:rsid w:val="6CC961B8"/>
    <w:rsid w:val="6D390A55"/>
    <w:rsid w:val="6D594D13"/>
    <w:rsid w:val="6D9258E0"/>
    <w:rsid w:val="6DA25CBE"/>
    <w:rsid w:val="6DD24CB8"/>
    <w:rsid w:val="6E385CCB"/>
    <w:rsid w:val="6E3D4575"/>
    <w:rsid w:val="6E4121AE"/>
    <w:rsid w:val="6E435064"/>
    <w:rsid w:val="6E530EB1"/>
    <w:rsid w:val="6E8B56BC"/>
    <w:rsid w:val="6EB45747"/>
    <w:rsid w:val="6EED58A5"/>
    <w:rsid w:val="6F37578E"/>
    <w:rsid w:val="6F8306AD"/>
    <w:rsid w:val="6FA80114"/>
    <w:rsid w:val="703A1840"/>
    <w:rsid w:val="705F3682"/>
    <w:rsid w:val="70B328CC"/>
    <w:rsid w:val="70F7175E"/>
    <w:rsid w:val="70F8517F"/>
    <w:rsid w:val="71540B5A"/>
    <w:rsid w:val="71861FE4"/>
    <w:rsid w:val="71EA67C2"/>
    <w:rsid w:val="71F238C8"/>
    <w:rsid w:val="72702E0F"/>
    <w:rsid w:val="72A43708"/>
    <w:rsid w:val="72D9462C"/>
    <w:rsid w:val="72EB5955"/>
    <w:rsid w:val="73001740"/>
    <w:rsid w:val="73611130"/>
    <w:rsid w:val="7386251A"/>
    <w:rsid w:val="73F303E1"/>
    <w:rsid w:val="74623C1E"/>
    <w:rsid w:val="74A40D4F"/>
    <w:rsid w:val="75067AB9"/>
    <w:rsid w:val="752B3379"/>
    <w:rsid w:val="75551EC0"/>
    <w:rsid w:val="75C61952"/>
    <w:rsid w:val="75F401CA"/>
    <w:rsid w:val="760B2304"/>
    <w:rsid w:val="760D3533"/>
    <w:rsid w:val="760D7FFA"/>
    <w:rsid w:val="764A3CD3"/>
    <w:rsid w:val="76A96199"/>
    <w:rsid w:val="771C4781"/>
    <w:rsid w:val="77494EF6"/>
    <w:rsid w:val="77912588"/>
    <w:rsid w:val="77C22EB1"/>
    <w:rsid w:val="781E5D2E"/>
    <w:rsid w:val="7843417C"/>
    <w:rsid w:val="788B412F"/>
    <w:rsid w:val="78F833FC"/>
    <w:rsid w:val="795D44C5"/>
    <w:rsid w:val="798049F2"/>
    <w:rsid w:val="798149F9"/>
    <w:rsid w:val="79A62319"/>
    <w:rsid w:val="79AA0D57"/>
    <w:rsid w:val="79B06543"/>
    <w:rsid w:val="79F91F7E"/>
    <w:rsid w:val="7A0128FA"/>
    <w:rsid w:val="7A1A1600"/>
    <w:rsid w:val="7A4805DF"/>
    <w:rsid w:val="7A686FCC"/>
    <w:rsid w:val="7A6F427A"/>
    <w:rsid w:val="7AA11B1E"/>
    <w:rsid w:val="7ABE3062"/>
    <w:rsid w:val="7AEC04F3"/>
    <w:rsid w:val="7AF4245F"/>
    <w:rsid w:val="7B026E3F"/>
    <w:rsid w:val="7B570210"/>
    <w:rsid w:val="7B6126DB"/>
    <w:rsid w:val="7BFC4D17"/>
    <w:rsid w:val="7C013085"/>
    <w:rsid w:val="7C06244A"/>
    <w:rsid w:val="7C1D30D3"/>
    <w:rsid w:val="7C7400FF"/>
    <w:rsid w:val="7C8B0BA1"/>
    <w:rsid w:val="7D402DFE"/>
    <w:rsid w:val="7D4F6A43"/>
    <w:rsid w:val="7D622B91"/>
    <w:rsid w:val="7D77701F"/>
    <w:rsid w:val="7DBF2BE5"/>
    <w:rsid w:val="7DCF7B93"/>
    <w:rsid w:val="7E077CFD"/>
    <w:rsid w:val="7E403498"/>
    <w:rsid w:val="7E6B47E6"/>
    <w:rsid w:val="7F06714D"/>
    <w:rsid w:val="7F2B4AF7"/>
    <w:rsid w:val="7F947D6D"/>
    <w:rsid w:val="7F9B734D"/>
    <w:rsid w:val="7FD90FAC"/>
    <w:rsid w:val="7FF80302"/>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styleId="2">
    <w:name w:val="heading 1"/>
    <w:basedOn w:val="1"/>
    <w:next w:val="1"/>
    <w:qFormat/>
    <w:uiPriority w:val="0"/>
    <w:pPr>
      <w:autoSpaceDE w:val="0"/>
      <w:autoSpaceDN w:val="0"/>
      <w:adjustRightInd w:val="0"/>
      <w:jc w:val="left"/>
      <w:outlineLvl w:val="0"/>
    </w:pPr>
    <w:rPr>
      <w:kern w:val="0"/>
      <w:sz w:val="30"/>
    </w:rPr>
  </w:style>
  <w:style w:type="paragraph" w:styleId="3">
    <w:name w:val="heading 2"/>
    <w:basedOn w:val="1"/>
    <w:next w:val="1"/>
    <w:qFormat/>
    <w:uiPriority w:val="0"/>
    <w:pPr>
      <w:autoSpaceDE w:val="0"/>
      <w:autoSpaceDN w:val="0"/>
      <w:adjustRightInd w:val="0"/>
      <w:jc w:val="left"/>
      <w:outlineLvl w:val="1"/>
    </w:pPr>
    <w:rPr>
      <w:rFonts w:ascii="宋体" w:hAnsi="宋体" w:eastAsia="宋体"/>
      <w:b/>
      <w:kern w:val="0"/>
    </w:rPr>
  </w:style>
  <w:style w:type="paragraph" w:styleId="4">
    <w:name w:val="heading 3"/>
    <w:basedOn w:val="5"/>
    <w:next w:val="5"/>
    <w:link w:val="154"/>
    <w:qFormat/>
    <w:uiPriority w:val="0"/>
    <w:pPr>
      <w:keepNext/>
      <w:keepLines/>
      <w:spacing w:beforeLines="0" w:beforeAutospacing="0" w:afterLines="0" w:afterAutospacing="0"/>
      <w:ind w:firstLine="964" w:firstLineChars="200"/>
      <w:jc w:val="left"/>
      <w:outlineLvl w:val="2"/>
    </w:pPr>
    <w:rPr>
      <w:rFonts w:ascii="宋体" w:hAnsi="宋体" w:eastAsia="宋体"/>
      <w:b/>
      <w:sz w:val="24"/>
    </w:rPr>
  </w:style>
  <w:style w:type="paragraph" w:styleId="6">
    <w:name w:val="heading 4"/>
    <w:basedOn w:val="1"/>
    <w:next w:val="1"/>
    <w:qFormat/>
    <w:uiPriority w:val="0"/>
    <w:pPr>
      <w:keepNext/>
      <w:keepLines/>
      <w:spacing w:before="280" w:beforeLines="0" w:beforeAutospacing="0" w:after="290" w:afterLines="0" w:afterAutospacing="0" w:line="374" w:lineRule="auto"/>
      <w:outlineLvl w:val="3"/>
    </w:pPr>
    <w:rPr>
      <w:rFonts w:ascii="Arial" w:hAnsi="Arial"/>
      <w:sz w:val="24"/>
    </w:rPr>
  </w:style>
  <w:style w:type="character" w:default="1" w:styleId="32">
    <w:name w:val="Default Paragraph Font"/>
    <w:qFormat/>
    <w:uiPriority w:val="0"/>
  </w:style>
  <w:style w:type="table" w:default="1" w:styleId="30">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widowControl/>
      <w:ind w:firstLine="420"/>
      <w:jc w:val="left"/>
    </w:pPr>
    <w:rPr>
      <w:kern w:val="0"/>
      <w:sz w:val="20"/>
    </w:rPr>
  </w:style>
  <w:style w:type="paragraph" w:styleId="7">
    <w:name w:val="toc 7"/>
    <w:basedOn w:val="1"/>
    <w:next w:val="1"/>
    <w:qFormat/>
    <w:uiPriority w:val="0"/>
    <w:pPr>
      <w:ind w:left="1680"/>
      <w:jc w:val="left"/>
    </w:pPr>
  </w:style>
  <w:style w:type="paragraph" w:styleId="8">
    <w:name w:val="table of authorities"/>
    <w:basedOn w:val="1"/>
    <w:next w:val="1"/>
    <w:qFormat/>
    <w:uiPriority w:val="0"/>
    <w:pPr>
      <w:ind w:left="420" w:leftChars="200"/>
    </w:pPr>
  </w:style>
  <w:style w:type="paragraph" w:styleId="9">
    <w:name w:val="Document Map"/>
    <w:basedOn w:val="1"/>
    <w:qFormat/>
    <w:uiPriority w:val="0"/>
    <w:pPr>
      <w:shd w:val="clear" w:color="auto" w:fill="000080"/>
    </w:pPr>
  </w:style>
  <w:style w:type="paragraph" w:styleId="10">
    <w:name w:val="annotation text"/>
    <w:basedOn w:val="1"/>
    <w:next w:val="1"/>
    <w:qFormat/>
    <w:uiPriority w:val="0"/>
    <w:pPr>
      <w:adjustRightInd w:val="0"/>
      <w:spacing w:line="360" w:lineRule="atLeast"/>
      <w:jc w:val="left"/>
      <w:textAlignment w:val="baseline"/>
    </w:pPr>
    <w:rPr>
      <w:rFonts w:ascii="宋体"/>
      <w:kern w:val="0"/>
      <w:sz w:val="24"/>
    </w:rPr>
  </w:style>
  <w:style w:type="paragraph" w:styleId="11">
    <w:name w:val="Body Text"/>
    <w:basedOn w:val="1"/>
    <w:qFormat/>
    <w:uiPriority w:val="0"/>
    <w:pPr>
      <w:spacing w:after="120" w:afterLines="0" w:afterAutospacing="0"/>
    </w:pPr>
  </w:style>
  <w:style w:type="paragraph" w:styleId="12">
    <w:name w:val="Body Text Indent"/>
    <w:basedOn w:val="1"/>
    <w:next w:val="13"/>
    <w:link w:val="39"/>
    <w:qFormat/>
    <w:uiPriority w:val="0"/>
    <w:pPr>
      <w:ind w:firstLine="560" w:firstLineChars="200"/>
    </w:pPr>
  </w:style>
  <w:style w:type="paragraph" w:styleId="13">
    <w:name w:val="envelope return"/>
    <w:basedOn w:val="1"/>
    <w:qFormat/>
    <w:uiPriority w:val="99"/>
    <w:pPr>
      <w:snapToGrid w:val="0"/>
    </w:pPr>
    <w:rPr>
      <w:rFonts w:ascii="Arial" w:hAnsi="Arial"/>
    </w:rPr>
  </w:style>
  <w:style w:type="paragraph" w:styleId="14">
    <w:name w:val="toc 5"/>
    <w:basedOn w:val="1"/>
    <w:next w:val="1"/>
    <w:qFormat/>
    <w:uiPriority w:val="0"/>
    <w:pPr>
      <w:ind w:left="1120"/>
      <w:jc w:val="left"/>
    </w:pPr>
  </w:style>
  <w:style w:type="paragraph" w:styleId="15">
    <w:name w:val="toc 3"/>
    <w:basedOn w:val="1"/>
    <w:next w:val="1"/>
    <w:qFormat/>
    <w:uiPriority w:val="0"/>
    <w:pPr>
      <w:ind w:left="561"/>
      <w:jc w:val="left"/>
    </w:pPr>
    <w:rPr>
      <w:sz w:val="24"/>
    </w:rPr>
  </w:style>
  <w:style w:type="paragraph" w:styleId="16">
    <w:name w:val="toc 8"/>
    <w:basedOn w:val="1"/>
    <w:next w:val="1"/>
    <w:qFormat/>
    <w:uiPriority w:val="0"/>
    <w:pPr>
      <w:ind w:left="1960"/>
      <w:jc w:val="left"/>
    </w:pPr>
  </w:style>
  <w:style w:type="paragraph" w:styleId="17">
    <w:name w:val="Body Text Indent 2"/>
    <w:basedOn w:val="1"/>
    <w:qFormat/>
    <w:uiPriority w:val="0"/>
    <w:pPr>
      <w:spacing w:line="480" w:lineRule="auto"/>
      <w:ind w:firstLine="561"/>
    </w:pPr>
    <w:rPr>
      <w:rFonts w:ascii="宋体"/>
    </w:rPr>
  </w:style>
  <w:style w:type="paragraph" w:styleId="18">
    <w:name w:val="Balloon Text"/>
    <w:basedOn w:val="1"/>
    <w:qFormat/>
    <w:uiPriority w:val="0"/>
    <w:rPr>
      <w:sz w:val="18"/>
      <w:szCs w:val="18"/>
    </w:rPr>
  </w:style>
  <w:style w:type="paragraph" w:styleId="19">
    <w:name w:val="footer"/>
    <w:basedOn w:val="1"/>
    <w:qFormat/>
    <w:uiPriority w:val="0"/>
    <w:pPr>
      <w:widowControl/>
      <w:tabs>
        <w:tab w:val="center" w:pos="4153"/>
        <w:tab w:val="right" w:pos="8306"/>
      </w:tabs>
      <w:snapToGrid w:val="0"/>
      <w:jc w:val="left"/>
    </w:pPr>
    <w:rPr>
      <w:kern w:val="0"/>
      <w:sz w:val="18"/>
    </w:rPr>
  </w:style>
  <w:style w:type="paragraph" w:styleId="20">
    <w:name w:val="header"/>
    <w:basedOn w:val="1"/>
    <w:qFormat/>
    <w:uiPriority w:val="0"/>
    <w:pPr>
      <w:widowControl/>
      <w:pBdr>
        <w:bottom w:val="single" w:color="auto" w:sz="6" w:space="1"/>
      </w:pBdr>
      <w:tabs>
        <w:tab w:val="center" w:pos="4153"/>
        <w:tab w:val="right" w:pos="8306"/>
      </w:tabs>
      <w:snapToGrid w:val="0"/>
      <w:jc w:val="center"/>
    </w:pPr>
    <w:rPr>
      <w:kern w:val="0"/>
      <w:sz w:val="18"/>
    </w:rPr>
  </w:style>
  <w:style w:type="paragraph" w:styleId="21">
    <w:name w:val="toc 1"/>
    <w:basedOn w:val="1"/>
    <w:next w:val="1"/>
    <w:qFormat/>
    <w:uiPriority w:val="0"/>
    <w:pPr>
      <w:spacing w:before="120" w:beforeLines="0" w:beforeAutospacing="0" w:after="120" w:afterLines="0" w:afterAutospacing="0"/>
      <w:jc w:val="left"/>
    </w:pPr>
    <w:rPr>
      <w:caps/>
      <w:sz w:val="24"/>
    </w:rPr>
  </w:style>
  <w:style w:type="paragraph" w:styleId="22">
    <w:name w:val="toc 4"/>
    <w:basedOn w:val="1"/>
    <w:next w:val="1"/>
    <w:qFormat/>
    <w:uiPriority w:val="0"/>
    <w:pPr>
      <w:ind w:left="840"/>
      <w:jc w:val="left"/>
    </w:pPr>
  </w:style>
  <w:style w:type="paragraph" w:styleId="23">
    <w:name w:val="toc 6"/>
    <w:basedOn w:val="1"/>
    <w:next w:val="1"/>
    <w:qFormat/>
    <w:uiPriority w:val="0"/>
    <w:pPr>
      <w:ind w:left="1400"/>
      <w:jc w:val="left"/>
    </w:pPr>
  </w:style>
  <w:style w:type="paragraph" w:styleId="24">
    <w:name w:val="Body Text Indent 3"/>
    <w:basedOn w:val="1"/>
    <w:link w:val="40"/>
    <w:qFormat/>
    <w:uiPriority w:val="0"/>
    <w:pPr>
      <w:ind w:firstLine="560"/>
    </w:pPr>
    <w:rPr>
      <w:color w:val="FF0000"/>
    </w:rPr>
  </w:style>
  <w:style w:type="paragraph" w:styleId="25">
    <w:name w:val="toc 2"/>
    <w:basedOn w:val="1"/>
    <w:next w:val="1"/>
    <w:qFormat/>
    <w:uiPriority w:val="0"/>
    <w:pPr>
      <w:ind w:left="278"/>
      <w:jc w:val="left"/>
    </w:pPr>
    <w:rPr>
      <w:smallCaps/>
      <w:sz w:val="24"/>
    </w:rPr>
  </w:style>
  <w:style w:type="paragraph" w:styleId="26">
    <w:name w:val="toc 9"/>
    <w:basedOn w:val="1"/>
    <w:next w:val="1"/>
    <w:qFormat/>
    <w:uiPriority w:val="0"/>
    <w:pPr>
      <w:ind w:left="2240"/>
      <w:jc w:val="left"/>
    </w:pPr>
  </w:style>
  <w:style w:type="paragraph" w:styleId="27">
    <w:name w:val="Body Text 2"/>
    <w:basedOn w:val="1"/>
    <w:qFormat/>
    <w:uiPriority w:val="0"/>
    <w:pPr>
      <w:spacing w:line="500" w:lineRule="exact"/>
    </w:pPr>
    <w:rPr>
      <w:rFonts w:ascii="宋体"/>
      <w:sz w:val="24"/>
    </w:rPr>
  </w:style>
  <w:style w:type="paragraph" w:styleId="28">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29">
    <w:name w:val="annotation subject"/>
    <w:basedOn w:val="10"/>
    <w:next w:val="10"/>
    <w:qFormat/>
    <w:uiPriority w:val="0"/>
    <w:pPr>
      <w:adjustRightInd/>
      <w:spacing w:line="360" w:lineRule="auto"/>
      <w:textAlignment w:val="auto"/>
    </w:pPr>
    <w:rPr>
      <w:b/>
      <w:bCs/>
      <w:kern w:val="2"/>
    </w:rPr>
  </w:style>
  <w:style w:type="table" w:styleId="31">
    <w:name w:val="Table Grid"/>
    <w:basedOn w:val="3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3">
    <w:name w:val="Strong"/>
    <w:qFormat/>
    <w:uiPriority w:val="0"/>
    <w:rPr>
      <w:b/>
      <w:bCs/>
    </w:rPr>
  </w:style>
  <w:style w:type="character" w:styleId="34">
    <w:name w:val="page number"/>
    <w:qFormat/>
    <w:uiPriority w:val="0"/>
  </w:style>
  <w:style w:type="character" w:styleId="35">
    <w:name w:val="FollowedHyperlink"/>
    <w:qFormat/>
    <w:uiPriority w:val="0"/>
    <w:rPr>
      <w:color w:val="800080"/>
      <w:u w:val="single"/>
    </w:rPr>
  </w:style>
  <w:style w:type="character" w:styleId="36">
    <w:name w:val="Emphasis"/>
    <w:qFormat/>
    <w:uiPriority w:val="0"/>
    <w:rPr>
      <w:i/>
    </w:rPr>
  </w:style>
  <w:style w:type="character" w:styleId="37">
    <w:name w:val="Hyperlink"/>
    <w:qFormat/>
    <w:uiPriority w:val="0"/>
    <w:rPr>
      <w:color w:val="0000FF"/>
      <w:u w:val="single"/>
    </w:rPr>
  </w:style>
  <w:style w:type="character" w:styleId="38">
    <w:name w:val="annotation reference"/>
    <w:qFormat/>
    <w:uiPriority w:val="0"/>
    <w:rPr>
      <w:sz w:val="21"/>
    </w:rPr>
  </w:style>
  <w:style w:type="character" w:customStyle="1" w:styleId="39">
    <w:name w:val="正文文本缩进 字符"/>
    <w:link w:val="12"/>
    <w:qFormat/>
    <w:uiPriority w:val="0"/>
    <w:rPr>
      <w:rFonts w:ascii="宋体"/>
      <w:kern w:val="2"/>
      <w:sz w:val="24"/>
    </w:rPr>
  </w:style>
  <w:style w:type="character" w:customStyle="1" w:styleId="40">
    <w:name w:val="正文文本缩进 3 字符"/>
    <w:link w:val="24"/>
    <w:qFormat/>
    <w:uiPriority w:val="0"/>
    <w:rPr>
      <w:rFonts w:ascii="宋体" w:eastAsia="宋体"/>
      <w:color w:val="FF0000"/>
      <w:kern w:val="2"/>
      <w:sz w:val="24"/>
      <w:lang w:val="en-US" w:eastAsia="zh-CN" w:bidi="ar-SA"/>
    </w:rPr>
  </w:style>
  <w:style w:type="paragraph" w:customStyle="1" w:styleId="41">
    <w:name w:val=" Char Char2"/>
    <w:basedOn w:val="9"/>
    <w:qFormat/>
    <w:uiPriority w:val="0"/>
    <w:pPr>
      <w:spacing w:line="240" w:lineRule="auto"/>
    </w:pPr>
  </w:style>
  <w:style w:type="character" w:customStyle="1" w:styleId="42">
    <w:name w:val="超链接 New"/>
    <w:qFormat/>
    <w:uiPriority w:val="0"/>
    <w:rPr>
      <w:color w:val="000000"/>
      <w:sz w:val="18"/>
      <w:szCs w:val="18"/>
      <w:u w:val="none"/>
    </w:rPr>
  </w:style>
  <w:style w:type="character" w:customStyle="1" w:styleId="43">
    <w:name w:val=" Char Char1"/>
    <w:qFormat/>
    <w:uiPriority w:val="0"/>
    <w:rPr>
      <w:rFonts w:ascii="宋体" w:eastAsia="宋体"/>
      <w:color w:val="FF0000"/>
      <w:kern w:val="2"/>
      <w:sz w:val="24"/>
      <w:lang w:val="en-US" w:eastAsia="zh-CN" w:bidi="ar-SA"/>
    </w:rPr>
  </w:style>
  <w:style w:type="character" w:customStyle="1" w:styleId="44">
    <w:name w:val="Default Paragraph Font"/>
    <w:qFormat/>
    <w:uiPriority w:val="0"/>
    <w:rPr>
      <w:rFonts w:hint="default"/>
    </w:rPr>
  </w:style>
  <w:style w:type="character" w:customStyle="1" w:styleId="45">
    <w:name w:val="正文文本 (2) + 间距 0 pt3"/>
    <w:qFormat/>
    <w:uiPriority w:val="99"/>
    <w:rPr>
      <w:rFonts w:ascii="MingLiU" w:eastAsia="MingLiU" w:cs="MingLiU"/>
      <w:spacing w:val="0"/>
      <w:sz w:val="22"/>
      <w:szCs w:val="22"/>
      <w:u w:val="none"/>
    </w:rPr>
  </w:style>
  <w:style w:type="character" w:customStyle="1" w:styleId="46">
    <w:name w:val="页码 New New"/>
    <w:qFormat/>
    <w:uiPriority w:val="0"/>
    <w:rPr>
      <w:rFonts w:eastAsia="宋体"/>
      <w:kern w:val="2"/>
      <w:sz w:val="24"/>
      <w:szCs w:val="24"/>
      <w:lang w:val="en-US" w:eastAsia="zh-CN" w:bidi="ar-SA"/>
    </w:rPr>
  </w:style>
  <w:style w:type="character" w:customStyle="1" w:styleId="47">
    <w:name w:val="默认段落字体 New New"/>
    <w:link w:val="48"/>
    <w:qFormat/>
    <w:uiPriority w:val="0"/>
    <w:rPr>
      <w:rFonts w:ascii="Tahoma" w:hAnsi="Tahoma"/>
      <w:szCs w:val="24"/>
    </w:rPr>
  </w:style>
  <w:style w:type="paragraph" w:customStyle="1" w:styleId="48">
    <w:name w:val=" Char New New"/>
    <w:basedOn w:val="1"/>
    <w:link w:val="47"/>
    <w:qFormat/>
    <w:uiPriority w:val="0"/>
    <w:pPr>
      <w:spacing w:line="240" w:lineRule="auto"/>
    </w:pPr>
    <w:rPr>
      <w:rFonts w:ascii="Tahoma" w:hAnsi="Tahoma"/>
      <w:kern w:val="0"/>
      <w:sz w:val="20"/>
      <w:szCs w:val="24"/>
    </w:rPr>
  </w:style>
  <w:style w:type="character" w:customStyle="1" w:styleId="49">
    <w:name w:val="超链接 New New"/>
    <w:qFormat/>
    <w:uiPriority w:val="0"/>
    <w:rPr>
      <w:color w:val="000000"/>
      <w:sz w:val="18"/>
      <w:szCs w:val="18"/>
      <w:u w:val="none"/>
    </w:rPr>
  </w:style>
  <w:style w:type="character" w:customStyle="1" w:styleId="50">
    <w:name w:val="页码 New New New"/>
    <w:qFormat/>
    <w:uiPriority w:val="0"/>
    <w:rPr>
      <w:rFonts w:eastAsia="宋体"/>
      <w:kern w:val="2"/>
      <w:sz w:val="24"/>
      <w:szCs w:val="24"/>
      <w:lang w:val="en-US" w:eastAsia="zh-CN" w:bidi="ar-SA"/>
    </w:rPr>
  </w:style>
  <w:style w:type="character" w:customStyle="1" w:styleId="51">
    <w:name w:val="页码 New"/>
    <w:qFormat/>
    <w:uiPriority w:val="0"/>
    <w:rPr>
      <w:rFonts w:eastAsia="宋体"/>
      <w:kern w:val="2"/>
      <w:sz w:val="24"/>
      <w:szCs w:val="24"/>
      <w:lang w:val="en-US" w:eastAsia="zh-CN" w:bidi="ar-SA"/>
    </w:rPr>
  </w:style>
  <w:style w:type="character" w:customStyle="1" w:styleId="52">
    <w:name w:val="默认段落字体 New"/>
    <w:link w:val="53"/>
    <w:qFormat/>
    <w:uiPriority w:val="0"/>
    <w:rPr>
      <w:rFonts w:ascii="Tahoma" w:hAnsi="Tahoma"/>
      <w:szCs w:val="24"/>
    </w:rPr>
  </w:style>
  <w:style w:type="paragraph" w:customStyle="1" w:styleId="53">
    <w:name w:val=" Char New"/>
    <w:basedOn w:val="1"/>
    <w:link w:val="52"/>
    <w:qFormat/>
    <w:uiPriority w:val="0"/>
    <w:pPr>
      <w:spacing w:line="240" w:lineRule="auto"/>
    </w:pPr>
    <w:rPr>
      <w:rFonts w:ascii="Tahoma" w:hAnsi="Tahoma"/>
      <w:kern w:val="0"/>
      <w:sz w:val="20"/>
      <w:szCs w:val="24"/>
    </w:rPr>
  </w:style>
  <w:style w:type="paragraph" w:customStyle="1" w:styleId="54">
    <w:name w:val="页脚 New New"/>
    <w:basedOn w:val="55"/>
    <w:qFormat/>
    <w:uiPriority w:val="0"/>
    <w:pPr>
      <w:tabs>
        <w:tab w:val="center" w:pos="4153"/>
        <w:tab w:val="right" w:pos="8306"/>
      </w:tabs>
      <w:snapToGrid w:val="0"/>
      <w:jc w:val="left"/>
    </w:pPr>
    <w:rPr>
      <w:sz w:val="18"/>
      <w:szCs w:val="18"/>
    </w:rPr>
  </w:style>
  <w:style w:type="paragraph" w:customStyle="1" w:styleId="55">
    <w:name w:val="正文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56">
    <w:name w:val="正文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57">
    <w:name w:val="p18"/>
    <w:qFormat/>
    <w:uiPriority w:val="0"/>
    <w:pPr>
      <w:spacing w:after="120" w:line="360" w:lineRule="auto"/>
    </w:pPr>
    <w:rPr>
      <w:rFonts w:ascii="宋体" w:hAnsi="宋体" w:eastAsia="宋体" w:cs="宋体"/>
      <w:sz w:val="24"/>
      <w:szCs w:val="24"/>
      <w:lang w:val="en-US" w:eastAsia="zh-CN" w:bidi="ar-SA"/>
    </w:rPr>
  </w:style>
  <w:style w:type="paragraph" w:customStyle="1" w:styleId="58">
    <w:name w:val="正文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59">
    <w:name w:val="正文 New New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60">
    <w:name w:val="样式 宋体 行距: 1.5 倍行距"/>
    <w:basedOn w:val="61"/>
    <w:next w:val="1"/>
    <w:qFormat/>
    <w:uiPriority w:val="99"/>
    <w:pPr>
      <w:jc w:val="center"/>
    </w:pPr>
    <w:rPr>
      <w:b/>
    </w:rPr>
  </w:style>
  <w:style w:type="paragraph" w:customStyle="1" w:styleId="61">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next w:val="60"/>
    <w:qFormat/>
    <w:uiPriority w:val="0"/>
    <w:pPr>
      <w:widowControl w:val="0"/>
      <w:jc w:val="both"/>
    </w:pPr>
    <w:rPr>
      <w:rFonts w:ascii="Calibri" w:hAnsi="Calibri" w:eastAsia="宋体" w:cs="黑体"/>
      <w:kern w:val="2"/>
      <w:sz w:val="21"/>
      <w:szCs w:val="24"/>
      <w:lang w:val="en-US" w:eastAsia="zh-CN" w:bidi="ar-SA"/>
    </w:rPr>
  </w:style>
  <w:style w:type="paragraph" w:customStyle="1" w:styleId="62">
    <w:name w:val="正文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63">
    <w:name w:val="纯文本 New New"/>
    <w:basedOn w:val="56"/>
    <w:qFormat/>
    <w:uiPriority w:val="0"/>
    <w:rPr>
      <w:rFonts w:ascii="宋体" w:hAnsi="Courier New" w:eastAsia="楷体_GB2312"/>
      <w:kern w:val="2"/>
      <w:sz w:val="21"/>
      <w:szCs w:val="24"/>
      <w:lang w:val="en-US" w:eastAsia="zh-CN" w:bidi="ar-SA"/>
    </w:rPr>
  </w:style>
  <w:style w:type="paragraph" w:customStyle="1" w:styleId="64">
    <w:name w:val="正文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65">
    <w:name w:val="正文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66">
    <w:name w:val="正文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67">
    <w:name w:val="页脚 New New New New"/>
    <w:basedOn w:val="68"/>
    <w:qFormat/>
    <w:uiPriority w:val="0"/>
    <w:pPr>
      <w:tabs>
        <w:tab w:val="center" w:pos="4153"/>
        <w:tab w:val="right" w:pos="8306"/>
      </w:tabs>
      <w:snapToGrid w:val="0"/>
      <w:jc w:val="left"/>
    </w:pPr>
    <w:rPr>
      <w:sz w:val="18"/>
      <w:szCs w:val="18"/>
    </w:rPr>
  </w:style>
  <w:style w:type="paragraph" w:customStyle="1" w:styleId="68">
    <w:name w:val="正文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9">
    <w:name w:val="正文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70">
    <w:name w:val="正文 New New New New New New New New New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2"/>
      <w:lang w:val="en-US" w:eastAsia="zh-CN" w:bidi="ar-SA"/>
    </w:rPr>
  </w:style>
  <w:style w:type="paragraph" w:customStyle="1" w:styleId="71">
    <w:name w:val="页眉 New New New New New New New"/>
    <w:basedOn w:val="69"/>
    <w:qFormat/>
    <w:uiPriority w:val="0"/>
    <w:pPr>
      <w:widowControl/>
      <w:pBdr>
        <w:bottom w:val="single" w:color="auto" w:sz="6" w:space="1"/>
      </w:pBdr>
      <w:tabs>
        <w:tab w:val="center" w:pos="4153"/>
        <w:tab w:val="right" w:pos="8306"/>
      </w:tabs>
      <w:snapToGrid w:val="0"/>
      <w:jc w:val="center"/>
    </w:pPr>
    <w:rPr>
      <w:rFonts w:ascii="宋体" w:eastAsia="宋体"/>
      <w:sz w:val="18"/>
      <w:lang w:val="en-US" w:eastAsia="zh-CN" w:bidi="ar-SA"/>
    </w:rPr>
  </w:style>
  <w:style w:type="paragraph" w:customStyle="1" w:styleId="72">
    <w:name w:val="样式2"/>
    <w:basedOn w:val="21"/>
    <w:qFormat/>
    <w:uiPriority w:val="0"/>
    <w:pPr>
      <w:tabs>
        <w:tab w:val="right" w:leader="dot" w:pos="9345"/>
      </w:tabs>
    </w:pPr>
    <w:rPr>
      <w:rFonts w:ascii="宋体" w:hAnsi="宋体"/>
      <w:b/>
      <w:color w:val="0000FF"/>
      <w:u w:val="single"/>
    </w:rPr>
  </w:style>
  <w:style w:type="paragraph" w:customStyle="1" w:styleId="73">
    <w:name w:val="正文 New New New New New New New New New New New New New New New New New New New New New New New New"/>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customStyle="1" w:styleId="74">
    <w:name w:val="正文缩进 New"/>
    <w:basedOn w:val="62"/>
    <w:qFormat/>
    <w:uiPriority w:val="0"/>
    <w:pPr>
      <w:widowControl/>
      <w:ind w:firstLine="420"/>
      <w:jc w:val="left"/>
    </w:pPr>
    <w:rPr>
      <w:kern w:val="0"/>
      <w:sz w:val="20"/>
    </w:rPr>
  </w:style>
  <w:style w:type="paragraph" w:customStyle="1" w:styleId="75">
    <w:name w:val="页眉 New"/>
    <w:basedOn w:val="76"/>
    <w:qFormat/>
    <w:uiPriority w:val="0"/>
    <w:pPr>
      <w:pBdr>
        <w:bottom w:val="single" w:color="auto" w:sz="6" w:space="1"/>
      </w:pBdr>
      <w:tabs>
        <w:tab w:val="center" w:pos="4153"/>
        <w:tab w:val="right" w:pos="8306"/>
      </w:tabs>
      <w:snapToGrid w:val="0"/>
      <w:jc w:val="center"/>
    </w:pPr>
    <w:rPr>
      <w:sz w:val="18"/>
      <w:szCs w:val="18"/>
    </w:rPr>
  </w:style>
  <w:style w:type="paragraph" w:customStyle="1" w:styleId="76">
    <w:name w:val="正文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77">
    <w:name w:val="样式1"/>
    <w:basedOn w:val="6"/>
    <w:qFormat/>
    <w:uiPriority w:val="0"/>
    <w:pPr>
      <w:tabs>
        <w:tab w:val="right" w:leader="dot" w:pos="9345"/>
      </w:tabs>
    </w:pPr>
    <w:rPr>
      <w:rFonts w:ascii="宋体" w:hAnsi="宋体" w:eastAsia="宋体"/>
      <w:b/>
      <w:caps/>
      <w:sz w:val="24"/>
      <w:u w:val="single"/>
    </w:rPr>
  </w:style>
  <w:style w:type="paragraph" w:customStyle="1" w:styleId="78">
    <w:name w:val="标题 3 New New"/>
    <w:basedOn w:val="74"/>
    <w:next w:val="74"/>
    <w:qFormat/>
    <w:uiPriority w:val="0"/>
    <w:pPr>
      <w:keepNext/>
      <w:keepLines/>
      <w:spacing w:before="120" w:beforeLines="0" w:beforeAutospacing="0" w:after="120" w:afterLines="0" w:afterAutospacing="0"/>
      <w:jc w:val="center"/>
      <w:outlineLvl w:val="2"/>
    </w:pPr>
    <w:rPr>
      <w:sz w:val="24"/>
    </w:rPr>
  </w:style>
  <w:style w:type="paragraph" w:customStyle="1" w:styleId="79">
    <w:name w:val="页脚 New New New New New New New New New New New New"/>
    <w:basedOn w:val="80"/>
    <w:qFormat/>
    <w:uiPriority w:val="0"/>
    <w:pPr>
      <w:tabs>
        <w:tab w:val="center" w:pos="4153"/>
        <w:tab w:val="right" w:pos="8306"/>
      </w:tabs>
      <w:snapToGrid w:val="0"/>
      <w:jc w:val="left"/>
    </w:pPr>
    <w:rPr>
      <w:rFonts w:eastAsia="楷体_GB2312"/>
      <w:kern w:val="2"/>
      <w:sz w:val="18"/>
      <w:szCs w:val="18"/>
    </w:rPr>
  </w:style>
  <w:style w:type="paragraph" w:customStyle="1" w:styleId="80">
    <w:name w:val="正文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81">
    <w:name w:val="页脚 New New New New New New New New New"/>
    <w:basedOn w:val="82"/>
    <w:qFormat/>
    <w:uiPriority w:val="0"/>
    <w:pPr>
      <w:tabs>
        <w:tab w:val="center" w:pos="4153"/>
        <w:tab w:val="right" w:pos="8306"/>
      </w:tabs>
      <w:snapToGrid w:val="0"/>
      <w:jc w:val="left"/>
    </w:pPr>
    <w:rPr>
      <w:kern w:val="2"/>
      <w:sz w:val="18"/>
      <w:szCs w:val="18"/>
    </w:rPr>
  </w:style>
  <w:style w:type="paragraph" w:customStyle="1" w:styleId="82">
    <w:name w:val="正文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3">
    <w:name w:val="页眉 New New New"/>
    <w:basedOn w:val="56"/>
    <w:qFormat/>
    <w:uiPriority w:val="0"/>
    <w:pPr>
      <w:pBdr>
        <w:bottom w:val="single" w:color="auto" w:sz="6" w:space="1"/>
      </w:pBdr>
      <w:tabs>
        <w:tab w:val="center" w:pos="4153"/>
        <w:tab w:val="right" w:pos="8306"/>
      </w:tabs>
      <w:snapToGrid w:val="0"/>
      <w:jc w:val="center"/>
    </w:pPr>
    <w:rPr>
      <w:sz w:val="18"/>
      <w:szCs w:val="18"/>
    </w:rPr>
  </w:style>
  <w:style w:type="paragraph" w:customStyle="1" w:styleId="84">
    <w:name w:val="正文 New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85">
    <w:name w:val="正文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86">
    <w:name w:val="正文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87">
    <w:name w:val="正文 New New New New New New New New New New New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88">
    <w:name w:val="正文 New New New New New New New New New New New New New New New New New New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89">
    <w:name w:val="正文缩进1"/>
    <w:basedOn w:val="1"/>
    <w:qFormat/>
    <w:uiPriority w:val="0"/>
    <w:pPr>
      <w:widowControl/>
      <w:ind w:firstLine="420"/>
      <w:jc w:val="left"/>
    </w:pPr>
    <w:rPr>
      <w:kern w:val="0"/>
      <w:szCs w:val="20"/>
    </w:rPr>
  </w:style>
  <w:style w:type="paragraph" w:customStyle="1" w:styleId="90">
    <w:name w:val="页眉 New New"/>
    <w:basedOn w:val="55"/>
    <w:qFormat/>
    <w:uiPriority w:val="0"/>
    <w:pPr>
      <w:pBdr>
        <w:bottom w:val="single" w:color="auto" w:sz="6" w:space="1"/>
      </w:pBdr>
      <w:tabs>
        <w:tab w:val="center" w:pos="4153"/>
        <w:tab w:val="right" w:pos="8306"/>
      </w:tabs>
      <w:snapToGrid w:val="0"/>
      <w:jc w:val="center"/>
    </w:pPr>
    <w:rPr>
      <w:sz w:val="18"/>
      <w:szCs w:val="18"/>
    </w:rPr>
  </w:style>
  <w:style w:type="paragraph" w:customStyle="1" w:styleId="91">
    <w:name w:val="正文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92">
    <w:name w:val=" Char"/>
    <w:basedOn w:val="9"/>
    <w:qFormat/>
    <w:uiPriority w:val="0"/>
    <w:pPr>
      <w:spacing w:line="240" w:lineRule="auto"/>
    </w:pPr>
  </w:style>
  <w:style w:type="paragraph" w:customStyle="1" w:styleId="93">
    <w:name w:val="正文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94">
    <w:name w:val="正文 New New New New New New New New New New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95">
    <w:name w:val="正文 New New New New New New New New New New New New New New New New New New New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96">
    <w:name w:val="页眉 New New New New New New New New New"/>
    <w:basedOn w:val="97"/>
    <w:qFormat/>
    <w:uiPriority w:val="0"/>
    <w:pPr>
      <w:widowControl/>
      <w:pBdr>
        <w:bottom w:val="single" w:color="auto" w:sz="6" w:space="1"/>
      </w:pBdr>
      <w:tabs>
        <w:tab w:val="center" w:pos="4153"/>
        <w:tab w:val="right" w:pos="8306"/>
      </w:tabs>
      <w:snapToGrid w:val="0"/>
      <w:jc w:val="center"/>
    </w:pPr>
    <w:rPr>
      <w:rFonts w:ascii="宋体" w:eastAsia="宋体"/>
      <w:sz w:val="18"/>
      <w:lang w:val="en-US" w:eastAsia="zh-CN" w:bidi="ar-SA"/>
    </w:rPr>
  </w:style>
  <w:style w:type="paragraph" w:customStyle="1" w:styleId="97">
    <w:name w:val="正文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98">
    <w:name w:val="页脚 New New New New New New"/>
    <w:basedOn w:val="87"/>
    <w:qFormat/>
    <w:uiPriority w:val="0"/>
    <w:pPr>
      <w:tabs>
        <w:tab w:val="center" w:pos="4153"/>
        <w:tab w:val="right" w:pos="8306"/>
      </w:tabs>
      <w:snapToGrid w:val="0"/>
      <w:jc w:val="left"/>
    </w:pPr>
    <w:rPr>
      <w:sz w:val="18"/>
    </w:rPr>
  </w:style>
  <w:style w:type="paragraph" w:customStyle="1" w:styleId="99">
    <w:name w:val="正文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00">
    <w:name w:val="正文文本缩进 New New New New"/>
    <w:basedOn w:val="93"/>
    <w:qFormat/>
    <w:uiPriority w:val="0"/>
    <w:pPr>
      <w:ind w:firstLine="560" w:firstLineChars="200"/>
    </w:pPr>
    <w:rPr>
      <w:rFonts w:ascii="宋体"/>
      <w:kern w:val="2"/>
      <w:sz w:val="24"/>
      <w:szCs w:val="28"/>
    </w:rPr>
  </w:style>
  <w:style w:type="paragraph" w:customStyle="1" w:styleId="101">
    <w:name w:val="正文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02">
    <w:name w:val="正文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103">
    <w:name w:val="正文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04">
    <w:name w:val="正文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05">
    <w:name w:val="正文文本缩进 New"/>
    <w:basedOn w:val="62"/>
    <w:qFormat/>
    <w:uiPriority w:val="0"/>
    <w:pPr>
      <w:ind w:firstLine="560" w:firstLineChars="200"/>
    </w:pPr>
    <w:rPr>
      <w:rFonts w:ascii="宋体"/>
      <w:kern w:val="2"/>
      <w:sz w:val="24"/>
    </w:rPr>
  </w:style>
  <w:style w:type="paragraph" w:customStyle="1" w:styleId="106">
    <w:name w:val="正文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07">
    <w:name w:val="Normal New"/>
    <w:qFormat/>
    <w:uiPriority w:val="0"/>
    <w:pPr>
      <w:widowControl w:val="0"/>
      <w:jc w:val="both"/>
    </w:pPr>
    <w:rPr>
      <w:rFonts w:hint="eastAsia" w:ascii="Times New Roman" w:hAnsi="Times New Roman" w:eastAsia="宋体" w:cs="Times New Roman"/>
      <w:kern w:val="2"/>
      <w:sz w:val="21"/>
      <w:lang w:val="en-US" w:eastAsia="zh-CN" w:bidi="ar-SA"/>
    </w:rPr>
  </w:style>
  <w:style w:type="paragraph" w:customStyle="1" w:styleId="108">
    <w:name w:val="页脚 New New New New New"/>
    <w:basedOn w:val="94"/>
    <w:qFormat/>
    <w:uiPriority w:val="0"/>
    <w:pPr>
      <w:tabs>
        <w:tab w:val="center" w:pos="4153"/>
        <w:tab w:val="right" w:pos="8306"/>
      </w:tabs>
      <w:snapToGrid w:val="0"/>
      <w:jc w:val="left"/>
    </w:pPr>
    <w:rPr>
      <w:sz w:val="18"/>
    </w:rPr>
  </w:style>
  <w:style w:type="paragraph" w:customStyle="1" w:styleId="109">
    <w:name w:val="页眉 New New New New"/>
    <w:basedOn w:val="94"/>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customStyle="1" w:styleId="110">
    <w:name w:val="页脚 New New New"/>
    <w:basedOn w:val="56"/>
    <w:qFormat/>
    <w:uiPriority w:val="0"/>
    <w:pPr>
      <w:tabs>
        <w:tab w:val="center" w:pos="4153"/>
        <w:tab w:val="right" w:pos="8306"/>
      </w:tabs>
      <w:snapToGrid w:val="0"/>
      <w:jc w:val="left"/>
    </w:pPr>
    <w:rPr>
      <w:sz w:val="18"/>
      <w:szCs w:val="18"/>
    </w:rPr>
  </w:style>
  <w:style w:type="paragraph" w:customStyle="1" w:styleId="111">
    <w:name w:val="toc 3"/>
    <w:basedOn w:val="112"/>
    <w:next w:val="112"/>
    <w:qFormat/>
    <w:uiPriority w:val="0"/>
    <w:pPr>
      <w:ind w:left="561"/>
      <w:jc w:val="left"/>
    </w:pPr>
    <w:rPr>
      <w:rFonts w:hint="eastAsia"/>
    </w:rPr>
  </w:style>
  <w:style w:type="paragraph" w:customStyle="1" w:styleId="112">
    <w:name w:val="Normal"/>
    <w:qFormat/>
    <w:uiPriority w:val="0"/>
    <w:pPr>
      <w:widowControl w:val="0"/>
      <w:spacing w:line="360" w:lineRule="auto"/>
      <w:jc w:val="both"/>
    </w:pPr>
    <w:rPr>
      <w:rFonts w:hint="eastAsia" w:ascii="宋体" w:hAnsi="Times New Roman" w:eastAsia="宋体" w:cs="Times New Roman"/>
      <w:kern w:val="2"/>
      <w:sz w:val="24"/>
      <w:lang w:val="en-US" w:eastAsia="zh-CN" w:bidi="ar-SA"/>
    </w:rPr>
  </w:style>
  <w:style w:type="paragraph" w:customStyle="1" w:styleId="113">
    <w:name w:val="页脚 New New New New New New New"/>
    <w:basedOn w:val="102"/>
    <w:qFormat/>
    <w:uiPriority w:val="0"/>
    <w:pPr>
      <w:widowControl/>
      <w:tabs>
        <w:tab w:val="center" w:pos="4153"/>
        <w:tab w:val="right" w:pos="8306"/>
      </w:tabs>
      <w:snapToGrid w:val="0"/>
      <w:jc w:val="left"/>
    </w:pPr>
    <w:rPr>
      <w:kern w:val="0"/>
      <w:sz w:val="18"/>
      <w:szCs w:val="20"/>
    </w:rPr>
  </w:style>
  <w:style w:type="paragraph" w:customStyle="1" w:styleId="114">
    <w:name w:val="页眉 New New New New New New"/>
    <w:basedOn w:val="102"/>
    <w:qFormat/>
    <w:uiPriority w:val="0"/>
    <w:pPr>
      <w:widowControl/>
      <w:pBdr>
        <w:bottom w:val="single" w:color="auto" w:sz="6" w:space="1"/>
      </w:pBdr>
      <w:tabs>
        <w:tab w:val="center" w:pos="4153"/>
        <w:tab w:val="right" w:pos="8306"/>
      </w:tabs>
      <w:snapToGrid w:val="0"/>
      <w:jc w:val="center"/>
    </w:pPr>
    <w:rPr>
      <w:kern w:val="0"/>
      <w:sz w:val="18"/>
      <w:szCs w:val="20"/>
    </w:rPr>
  </w:style>
  <w:style w:type="paragraph" w:customStyle="1" w:styleId="115">
    <w:name w:val="正文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16">
    <w:name w:val="footer"/>
    <w:basedOn w:val="112"/>
    <w:qFormat/>
    <w:uiPriority w:val="0"/>
    <w:pPr>
      <w:widowControl/>
      <w:tabs>
        <w:tab w:val="center" w:pos="4153"/>
        <w:tab w:val="right" w:pos="8306"/>
      </w:tabs>
      <w:snapToGrid w:val="0"/>
      <w:jc w:val="left"/>
    </w:pPr>
    <w:rPr>
      <w:rFonts w:hint="eastAsia"/>
      <w:kern w:val="0"/>
      <w:sz w:val="18"/>
    </w:rPr>
  </w:style>
  <w:style w:type="paragraph" w:customStyle="1" w:styleId="117">
    <w:name w:val="p0"/>
    <w:basedOn w:val="88"/>
    <w:qFormat/>
    <w:uiPriority w:val="0"/>
    <w:pPr>
      <w:widowControl/>
      <w:spacing w:line="360" w:lineRule="auto"/>
    </w:pPr>
    <w:rPr>
      <w:rFonts w:ascii="宋体" w:hAnsi="宋体" w:eastAsia="宋体" w:cs="宋体"/>
      <w:kern w:val="0"/>
      <w:sz w:val="24"/>
      <w:szCs w:val="24"/>
    </w:rPr>
  </w:style>
  <w:style w:type="paragraph" w:customStyle="1" w:styleId="118">
    <w:name w:val="正文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19">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0">
    <w:name w:val="正文 New New New New New New New New New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21">
    <w:name w:val="正文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122">
    <w:name w:val="正文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123">
    <w:name w:val="正文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4">
    <w:name w:val="正文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125">
    <w:name w:val="正文 New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6">
    <w:name w:val="标题 3 New"/>
    <w:basedOn w:val="5"/>
    <w:next w:val="5"/>
    <w:qFormat/>
    <w:uiPriority w:val="0"/>
    <w:pPr>
      <w:keepNext/>
      <w:keepLines/>
      <w:spacing w:before="120" w:beforeLines="0" w:after="120" w:afterLines="0"/>
      <w:jc w:val="center"/>
      <w:outlineLvl w:val="2"/>
    </w:pPr>
    <w:rPr>
      <w:sz w:val="24"/>
    </w:rPr>
  </w:style>
  <w:style w:type="paragraph" w:customStyle="1" w:styleId="127">
    <w:name w:val="页脚 New New New New New New New New New New"/>
    <w:basedOn w:val="69"/>
    <w:qFormat/>
    <w:uiPriority w:val="0"/>
    <w:pPr>
      <w:widowControl/>
      <w:tabs>
        <w:tab w:val="center" w:pos="4153"/>
        <w:tab w:val="right" w:pos="8306"/>
      </w:tabs>
      <w:snapToGrid w:val="0"/>
      <w:jc w:val="left"/>
    </w:pPr>
    <w:rPr>
      <w:rFonts w:ascii="宋体" w:eastAsia="宋体"/>
      <w:sz w:val="18"/>
      <w:lang w:val="en-US" w:eastAsia="zh-CN" w:bidi="ar-SA"/>
    </w:rPr>
  </w:style>
  <w:style w:type="paragraph" w:customStyle="1" w:styleId="128">
    <w:name w:val="页眉 New New New New New New New New"/>
    <w:basedOn w:val="129"/>
    <w:qFormat/>
    <w:uiPriority w:val="0"/>
    <w:pPr>
      <w:widowControl/>
      <w:pBdr>
        <w:bottom w:val="single" w:color="auto" w:sz="6" w:space="1"/>
      </w:pBdr>
      <w:tabs>
        <w:tab w:val="center" w:pos="4153"/>
        <w:tab w:val="right" w:pos="8306"/>
      </w:tabs>
      <w:snapToGrid w:val="0"/>
      <w:jc w:val="center"/>
    </w:pPr>
    <w:rPr>
      <w:rFonts w:ascii="宋体" w:eastAsia="宋体"/>
      <w:sz w:val="18"/>
      <w:lang w:val="en-US" w:eastAsia="zh-CN" w:bidi="ar-SA"/>
    </w:rPr>
  </w:style>
  <w:style w:type="paragraph" w:customStyle="1" w:styleId="129">
    <w:name w:val="正文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130">
    <w:name w:val="页眉 New New New New New"/>
    <w:basedOn w:val="8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customStyle="1" w:styleId="131">
    <w:name w:val="页脚 New New New New New New New New New New New New New"/>
    <w:basedOn w:val="97"/>
    <w:qFormat/>
    <w:uiPriority w:val="0"/>
    <w:pPr>
      <w:widowControl/>
      <w:tabs>
        <w:tab w:val="center" w:pos="4153"/>
        <w:tab w:val="right" w:pos="8306"/>
      </w:tabs>
      <w:snapToGrid w:val="0"/>
      <w:jc w:val="left"/>
    </w:pPr>
    <w:rPr>
      <w:rFonts w:ascii="宋体" w:eastAsia="宋体"/>
      <w:sz w:val="18"/>
      <w:lang w:val="en-US" w:eastAsia="zh-CN" w:bidi="ar-SA"/>
    </w:rPr>
  </w:style>
  <w:style w:type="paragraph" w:customStyle="1" w:styleId="132">
    <w:name w:val="正文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133">
    <w:name w:val="正文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34">
    <w:name w:val="正文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135">
    <w:name w:val="正文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36">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37">
    <w:name w:val="页脚 New New New New New New New New New New New"/>
    <w:basedOn w:val="129"/>
    <w:qFormat/>
    <w:uiPriority w:val="0"/>
    <w:pPr>
      <w:widowControl/>
      <w:tabs>
        <w:tab w:val="center" w:pos="4153"/>
        <w:tab w:val="right" w:pos="8306"/>
      </w:tabs>
      <w:snapToGrid w:val="0"/>
      <w:jc w:val="left"/>
    </w:pPr>
    <w:rPr>
      <w:rFonts w:ascii="宋体" w:eastAsia="宋体"/>
      <w:sz w:val="18"/>
      <w:lang w:val="en-US" w:eastAsia="zh-CN" w:bidi="ar-SA"/>
    </w:rPr>
  </w:style>
  <w:style w:type="paragraph" w:customStyle="1" w:styleId="138">
    <w:name w:val="正文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39">
    <w:name w:val="正文 New New New New New New New New New New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2"/>
      <w:lang w:val="en-US" w:eastAsia="zh-CN" w:bidi="ar-SA"/>
    </w:rPr>
  </w:style>
  <w:style w:type="paragraph" w:customStyle="1" w:styleId="140">
    <w:name w:val="普通(网站) New"/>
    <w:basedOn w:val="87"/>
    <w:qFormat/>
    <w:uiPriority w:val="0"/>
    <w:rPr>
      <w:sz w:val="24"/>
    </w:rPr>
  </w:style>
  <w:style w:type="paragraph" w:customStyle="1" w:styleId="141">
    <w:name w:val="页脚 New New New New New New New New"/>
    <w:basedOn w:val="138"/>
    <w:qFormat/>
    <w:uiPriority w:val="0"/>
    <w:pPr>
      <w:tabs>
        <w:tab w:val="center" w:pos="4153"/>
        <w:tab w:val="right" w:pos="8306"/>
      </w:tabs>
      <w:snapToGrid w:val="0"/>
      <w:jc w:val="left"/>
    </w:pPr>
    <w:rPr>
      <w:kern w:val="2"/>
      <w:sz w:val="18"/>
      <w:szCs w:val="18"/>
    </w:rPr>
  </w:style>
  <w:style w:type="paragraph" w:customStyle="1" w:styleId="142">
    <w:name w:val="标题 2 New"/>
    <w:basedOn w:val="136"/>
    <w:qFormat/>
    <w:uiPriority w:val="0"/>
    <w:pPr>
      <w:widowControl/>
      <w:spacing w:before="100" w:beforeLines="0" w:beforeAutospacing="1" w:after="100" w:afterLines="0" w:afterAutospacing="1"/>
      <w:jc w:val="left"/>
      <w:outlineLvl w:val="1"/>
    </w:pPr>
    <w:rPr>
      <w:rFonts w:ascii="宋体" w:hAnsi="宋体" w:cs="宋体"/>
      <w:b/>
      <w:bCs/>
      <w:kern w:val="0"/>
      <w:sz w:val="36"/>
      <w:szCs w:val="36"/>
    </w:rPr>
  </w:style>
  <w:style w:type="paragraph" w:customStyle="1" w:styleId="143">
    <w:name w:val="blockquote"/>
    <w:basedOn w:val="1"/>
    <w:qFormat/>
    <w:uiPriority w:val="0"/>
    <w:pPr>
      <w:widowControl/>
      <w:spacing w:before="100" w:beforeLines="0" w:beforeAutospacing="1" w:after="100" w:afterLines="0" w:afterAutospacing="1" w:line="240" w:lineRule="auto"/>
      <w:jc w:val="left"/>
    </w:pPr>
    <w:rPr>
      <w:rFonts w:hAnsi="宋体"/>
      <w:kern w:val="0"/>
    </w:rPr>
  </w:style>
  <w:style w:type="paragraph" w:customStyle="1" w:styleId="144">
    <w:name w:val="纯文本 New"/>
    <w:basedOn w:val="55"/>
    <w:qFormat/>
    <w:uiPriority w:val="0"/>
    <w:rPr>
      <w:rFonts w:ascii="宋体" w:hAnsi="Courier New" w:eastAsia="楷体_GB2312"/>
      <w:kern w:val="2"/>
      <w:sz w:val="21"/>
      <w:szCs w:val="24"/>
      <w:lang w:val="en-US" w:eastAsia="zh-CN" w:bidi="ar-SA"/>
    </w:rPr>
  </w:style>
  <w:style w:type="paragraph" w:customStyle="1" w:styleId="145">
    <w:name w:val="页脚 New"/>
    <w:basedOn w:val="76"/>
    <w:qFormat/>
    <w:uiPriority w:val="0"/>
    <w:pPr>
      <w:tabs>
        <w:tab w:val="center" w:pos="4153"/>
        <w:tab w:val="right" w:pos="8306"/>
      </w:tabs>
      <w:snapToGrid w:val="0"/>
      <w:jc w:val="left"/>
    </w:pPr>
    <w:rPr>
      <w:sz w:val="18"/>
      <w:szCs w:val="18"/>
    </w:rPr>
  </w:style>
  <w:style w:type="paragraph" w:customStyle="1" w:styleId="146">
    <w:name w:val="_Style 1"/>
    <w:basedOn w:val="1"/>
    <w:qFormat/>
    <w:uiPriority w:val="0"/>
    <w:pPr>
      <w:spacing w:line="240" w:lineRule="auto"/>
      <w:ind w:firstLine="420" w:firstLineChars="200"/>
    </w:pPr>
    <w:rPr>
      <w:rFonts w:ascii="Calibri" w:hAnsi="Calibri"/>
      <w:sz w:val="21"/>
      <w:szCs w:val="22"/>
    </w:rPr>
  </w:style>
  <w:style w:type="paragraph" w:customStyle="1" w:styleId="147">
    <w:name w:val="文一"/>
    <w:basedOn w:val="1"/>
    <w:qFormat/>
    <w:uiPriority w:val="0"/>
    <w:pPr>
      <w:topLinePunct/>
      <w:adjustRightInd w:val="0"/>
      <w:snapToGrid w:val="0"/>
      <w:ind w:firstLine="200" w:firstLineChars="200"/>
    </w:pPr>
    <w:rPr>
      <w:rFonts w:hint="default" w:ascii="Calibri" w:hAnsi="Calibri" w:eastAsia="宋体" w:cs="Times New Roman"/>
      <w:snapToGrid w:val="0"/>
      <w:spacing w:val="4"/>
      <w:kern w:val="0"/>
      <w:szCs w:val="22"/>
    </w:rPr>
  </w:style>
  <w:style w:type="paragraph" w:customStyle="1" w:styleId="148">
    <w:name w:val="UserStyle_19"/>
    <w:qFormat/>
    <w:uiPriority w:val="99"/>
    <w:pPr>
      <w:jc w:val="both"/>
      <w:textAlignment w:val="baseline"/>
    </w:pPr>
    <w:rPr>
      <w:rFonts w:ascii="Times New Roman" w:hAnsi="Times New Roman" w:eastAsia="宋体" w:cs="Times New Roman"/>
      <w:kern w:val="2"/>
      <w:sz w:val="21"/>
      <w:szCs w:val="21"/>
      <w:lang w:val="en-US" w:eastAsia="zh-CN" w:bidi="ar-SA"/>
    </w:rPr>
  </w:style>
  <w:style w:type="character" w:customStyle="1" w:styleId="149">
    <w:name w:val="NormalCharacter"/>
    <w:semiHidden/>
    <w:qFormat/>
    <w:uiPriority w:val="0"/>
    <w:rPr>
      <w:rFonts w:ascii="宋体"/>
      <w:kern w:val="2"/>
      <w:sz w:val="24"/>
      <w:lang w:val="en-US" w:eastAsia="zh-CN" w:bidi="ar-SA"/>
    </w:rPr>
  </w:style>
  <w:style w:type="paragraph" w:customStyle="1" w:styleId="150">
    <w:name w:val="UserStyle_76"/>
    <w:basedOn w:val="151"/>
    <w:qFormat/>
    <w:uiPriority w:val="99"/>
    <w:pPr>
      <w:ind w:firstLine="420"/>
      <w:jc w:val="left"/>
    </w:pPr>
    <w:rPr>
      <w:kern w:val="0"/>
      <w:sz w:val="20"/>
      <w:szCs w:val="20"/>
    </w:rPr>
  </w:style>
  <w:style w:type="paragraph" w:customStyle="1" w:styleId="151">
    <w:name w:val="UserStyle_15"/>
    <w:qFormat/>
    <w:uiPriority w:val="99"/>
    <w:pPr>
      <w:spacing w:line="360" w:lineRule="auto"/>
      <w:jc w:val="both"/>
      <w:textAlignment w:val="baseline"/>
    </w:pPr>
    <w:rPr>
      <w:rFonts w:ascii="宋体" w:hAnsi="Times New Roman" w:eastAsia="宋体" w:cs="宋体"/>
      <w:kern w:val="2"/>
      <w:sz w:val="24"/>
      <w:szCs w:val="24"/>
      <w:lang w:val="en-US" w:eastAsia="zh-CN" w:bidi="ar-SA"/>
    </w:rPr>
  </w:style>
  <w:style w:type="paragraph" w:customStyle="1" w:styleId="152">
    <w:name w:val="Heading2"/>
    <w:basedOn w:val="1"/>
    <w:next w:val="1"/>
    <w:qFormat/>
    <w:uiPriority w:val="99"/>
    <w:pPr>
      <w:jc w:val="left"/>
    </w:pPr>
    <w:rPr>
      <w:kern w:val="0"/>
    </w:rPr>
  </w:style>
  <w:style w:type="paragraph" w:customStyle="1" w:styleId="153">
    <w:name w:val="Table Text"/>
    <w:basedOn w:val="1"/>
    <w:semiHidden/>
    <w:qFormat/>
    <w:uiPriority w:val="0"/>
    <w:rPr>
      <w:rFonts w:ascii="宋体" w:hAnsi="宋体" w:eastAsia="宋体" w:cs="宋体"/>
      <w:sz w:val="19"/>
      <w:szCs w:val="19"/>
      <w:lang w:val="en-US" w:eastAsia="en-US" w:bidi="ar-SA"/>
    </w:rPr>
  </w:style>
  <w:style w:type="character" w:customStyle="1" w:styleId="154">
    <w:name w:val="标题 3 Char"/>
    <w:link w:val="4"/>
    <w:qFormat/>
    <w:uiPriority w:val="0"/>
    <w:rPr>
      <w:rFonts w:ascii="宋体" w:hAnsi="宋体" w:eastAsia="宋体"/>
      <w:b/>
      <w:sz w:val="24"/>
    </w:rPr>
  </w:style>
  <w:style w:type="table" w:customStyle="1" w:styleId="15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26700;&#38754;\Norma3"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Norma3</Template>
  <Company>1</Company>
  <Pages>77</Pages>
  <Words>19792</Words>
  <Characters>21422</Characters>
  <Lines>721</Lines>
  <Paragraphs>203</Paragraphs>
  <TotalTime>10</TotalTime>
  <ScaleCrop>false</ScaleCrop>
  <LinksUpToDate>false</LinksUpToDate>
  <CharactersWithSpaces>21836</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2022-12-20T03:27:00Z</dcterms:created>
  <dc:creator>kingsons</dc:creator>
  <cp:lastModifiedBy>妮子</cp:lastModifiedBy>
  <cp:lastPrinted>2025-11-03T02:49:00Z</cp:lastPrinted>
  <dcterms:modified xsi:type="dcterms:W3CDTF">2025-11-04T11:00:02Z</dcterms:modified>
  <dc:title>广东省韶关学院第三期学生公寓第一、二组团工程施工</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CE252277CF0A404F9C796571D5D0A788_13</vt:lpwstr>
  </property>
  <property fmtid="{D5CDD505-2E9C-101B-9397-08002B2CF9AE}" pid="4" name="ribbonExt">
    <vt:lpwstr>{"WPSExtOfficeTab":{"OnGetEnabled":false,"OnGetVisible":false}}</vt:lpwstr>
  </property>
  <property fmtid="{D5CDD505-2E9C-101B-9397-08002B2CF9AE}" pid="5" name="KSOTemplateDocerSaveRecord">
    <vt:lpwstr>eyJoZGlkIjoiNzJlODJlZWIyMWViOTBjNDFkZDAwODdjNDFmYTk2MjUiLCJ1c2VySWQiOiIxMzczNjgyNDAzIn0=</vt:lpwstr>
  </property>
</Properties>
</file>