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78029">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065BF53E">
      <w:pPr>
        <w:keepNext w:val="0"/>
        <w:keepLines w:val="0"/>
        <w:pageBreakBefore w:val="0"/>
        <w:widowControl/>
        <w:kinsoku w:val="0"/>
        <w:wordWrap w:val="0"/>
        <w:overflowPunct/>
        <w:topLinePunct w:val="0"/>
        <w:autoSpaceDE w:val="0"/>
        <w:autoSpaceDN w:val="0"/>
        <w:bidi w:val="0"/>
        <w:adjustRightInd w:val="0"/>
        <w:snapToGrid w:val="0"/>
        <w:spacing w:before="231" w:line="360" w:lineRule="auto"/>
        <w:jc w:val="center"/>
        <w:textAlignment w:val="baseline"/>
        <w:outlineLvl w:val="9"/>
        <w:rPr>
          <w:rFonts w:hint="default" w:ascii="宋体" w:hAnsi="宋体" w:eastAsia="宋体" w:cs="宋体"/>
          <w:b/>
          <w:bCs/>
          <w:color w:val="auto"/>
          <w:spacing w:val="0"/>
          <w:sz w:val="44"/>
          <w:szCs w:val="44"/>
          <w:highlight w:val="none"/>
          <w:lang w:val="en-US" w:eastAsia="zh-CN"/>
        </w:rPr>
      </w:pPr>
      <w:r>
        <w:rPr>
          <w:rFonts w:hint="eastAsia" w:ascii="宋体" w:hAnsi="宋体" w:eastAsia="宋体" w:cs="宋体"/>
          <w:b/>
          <w:bCs/>
          <w:color w:val="auto"/>
          <w:spacing w:val="0"/>
          <w:sz w:val="48"/>
          <w:szCs w:val="48"/>
          <w:highlight w:val="none"/>
          <w:lang w:val="en-US" w:eastAsia="zh-CN"/>
        </w:rPr>
        <w:t>蓉城花园一街2、3座保障性租赁住房装修项目施工</w:t>
      </w:r>
    </w:p>
    <w:p w14:paraId="0ACA8D3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2B3F812">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3F283A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296BC558">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32ED6F11">
      <w:pPr>
        <w:keepNext w:val="0"/>
        <w:keepLines w:val="0"/>
        <w:pageBreakBefore w:val="0"/>
        <w:wordWrap w:val="0"/>
        <w:overflowPunct/>
        <w:topLinePunct w:val="0"/>
        <w:bidi w:val="0"/>
        <w:spacing w:before="231" w:line="360" w:lineRule="auto"/>
        <w:jc w:val="center"/>
        <w:outlineLvl w:val="9"/>
        <w:rPr>
          <w:rFonts w:hint="eastAsia" w:ascii="宋体" w:hAnsi="宋体" w:eastAsia="宋体" w:cs="宋体"/>
          <w:color w:val="auto"/>
          <w:spacing w:val="0"/>
          <w:sz w:val="71"/>
          <w:szCs w:val="71"/>
          <w:highlight w:val="none"/>
        </w:rPr>
      </w:pPr>
      <w:bookmarkStart w:id="0" w:name="_Toc15274"/>
      <w:bookmarkStart w:id="1" w:name="_Toc15837"/>
      <w:bookmarkStart w:id="2" w:name="_Toc1688"/>
      <w:bookmarkStart w:id="3" w:name="_Toc7958"/>
      <w:r>
        <w:rPr>
          <w:rFonts w:hint="eastAsia" w:ascii="宋体" w:hAnsi="宋体" w:eastAsia="宋体" w:cs="宋体"/>
          <w:b/>
          <w:bCs/>
          <w:color w:val="auto"/>
          <w:spacing w:val="0"/>
          <w:sz w:val="71"/>
          <w:szCs w:val="71"/>
          <w:highlight w:val="none"/>
        </w:rPr>
        <w:t>招标文件</w:t>
      </w:r>
      <w:bookmarkEnd w:id="0"/>
      <w:bookmarkEnd w:id="1"/>
      <w:bookmarkEnd w:id="2"/>
      <w:bookmarkEnd w:id="3"/>
    </w:p>
    <w:p w14:paraId="4EFF9E9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2B5B3882">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C622A16">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124711D2">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5A7070C0">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66BB1A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tbl>
      <w:tblPr>
        <w:tblStyle w:val="16"/>
        <w:tblW w:w="9714" w:type="dxa"/>
        <w:jc w:val="center"/>
        <w:tblLayout w:type="fixed"/>
        <w:tblCellMar>
          <w:top w:w="0" w:type="dxa"/>
          <w:left w:w="0" w:type="dxa"/>
          <w:bottom w:w="0" w:type="dxa"/>
          <w:right w:w="0" w:type="dxa"/>
        </w:tblCellMar>
      </w:tblPr>
      <w:tblGrid>
        <w:gridCol w:w="5013"/>
        <w:gridCol w:w="4701"/>
      </w:tblGrid>
      <w:tr w14:paraId="0FBD89A1">
        <w:trPr>
          <w:trHeight w:val="1030" w:hRule="atLeast"/>
          <w:jc w:val="center"/>
        </w:trPr>
        <w:tc>
          <w:tcPr>
            <w:tcW w:w="5013" w:type="dxa"/>
            <w:vAlign w:val="center"/>
          </w:tcPr>
          <w:p w14:paraId="75FF4CB7">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  标  人（盖单位章）：</w:t>
            </w:r>
          </w:p>
        </w:tc>
        <w:tc>
          <w:tcPr>
            <w:tcW w:w="4701" w:type="dxa"/>
            <w:vAlign w:val="center"/>
          </w:tcPr>
          <w:p w14:paraId="542235EB">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lang w:eastAsia="zh-CN"/>
              </w:rPr>
            </w:pPr>
            <w:r>
              <w:rPr>
                <w:rStyle w:val="28"/>
                <w:rFonts w:hint="eastAsia" w:hAnsi="宋体" w:cs="宋体"/>
                <w:color w:val="auto"/>
                <w:spacing w:val="0"/>
                <w:kern w:val="0"/>
                <w:sz w:val="28"/>
                <w:szCs w:val="28"/>
                <w:highlight w:val="none"/>
                <w:lang w:eastAsia="zh-CN"/>
              </w:rPr>
              <w:t>韶关市成丰资源开发管理有限公司</w:t>
            </w:r>
          </w:p>
        </w:tc>
      </w:tr>
      <w:tr w14:paraId="0ED64425">
        <w:tblPrEx>
          <w:tblCellMar>
            <w:top w:w="0" w:type="dxa"/>
            <w:left w:w="0" w:type="dxa"/>
            <w:bottom w:w="0" w:type="dxa"/>
            <w:right w:w="0" w:type="dxa"/>
          </w:tblCellMar>
        </w:tblPrEx>
        <w:trPr>
          <w:trHeight w:val="844" w:hRule="atLeast"/>
          <w:jc w:val="center"/>
        </w:trPr>
        <w:tc>
          <w:tcPr>
            <w:tcW w:w="5013" w:type="dxa"/>
            <w:vAlign w:val="center"/>
          </w:tcPr>
          <w:p w14:paraId="32C2F3CA">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招标人工作领导小组负责人（签字）：</w:t>
            </w:r>
          </w:p>
        </w:tc>
        <w:tc>
          <w:tcPr>
            <w:tcW w:w="4701" w:type="dxa"/>
            <w:vAlign w:val="center"/>
          </w:tcPr>
          <w:p w14:paraId="6DAD42AE">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rPr>
            </w:pPr>
          </w:p>
        </w:tc>
      </w:tr>
      <w:tr w14:paraId="4098A439">
        <w:tblPrEx>
          <w:tblCellMar>
            <w:top w:w="0" w:type="dxa"/>
            <w:left w:w="0" w:type="dxa"/>
            <w:bottom w:w="0" w:type="dxa"/>
            <w:right w:w="0" w:type="dxa"/>
          </w:tblCellMar>
        </w:tblPrEx>
        <w:trPr>
          <w:trHeight w:val="840" w:hRule="atLeast"/>
          <w:jc w:val="center"/>
        </w:trPr>
        <w:tc>
          <w:tcPr>
            <w:tcW w:w="5013" w:type="dxa"/>
            <w:vAlign w:val="center"/>
          </w:tcPr>
          <w:p w14:paraId="15C4759D">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 标 代 理 机 构 （盖单位章）：</w:t>
            </w:r>
          </w:p>
        </w:tc>
        <w:tc>
          <w:tcPr>
            <w:tcW w:w="4701" w:type="dxa"/>
            <w:vAlign w:val="center"/>
          </w:tcPr>
          <w:p w14:paraId="25C2E748">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lang w:eastAsia="zh-CN"/>
              </w:rPr>
            </w:pPr>
            <w:r>
              <w:rPr>
                <w:rStyle w:val="28"/>
                <w:rFonts w:hint="eastAsia" w:hAnsi="宋体" w:cs="宋体"/>
                <w:color w:val="auto"/>
                <w:spacing w:val="0"/>
                <w:kern w:val="0"/>
                <w:sz w:val="28"/>
                <w:szCs w:val="28"/>
                <w:highlight w:val="none"/>
                <w:lang w:eastAsia="zh-CN"/>
              </w:rPr>
              <w:t>智埔国际建设集团有限公司</w:t>
            </w:r>
          </w:p>
        </w:tc>
      </w:tr>
      <w:tr w14:paraId="46AA99F4">
        <w:tblPrEx>
          <w:tblCellMar>
            <w:top w:w="0" w:type="dxa"/>
            <w:left w:w="0" w:type="dxa"/>
            <w:bottom w:w="0" w:type="dxa"/>
            <w:right w:w="0" w:type="dxa"/>
          </w:tblCellMar>
        </w:tblPrEx>
        <w:trPr>
          <w:trHeight w:val="968" w:hRule="atLeast"/>
          <w:jc w:val="center"/>
        </w:trPr>
        <w:tc>
          <w:tcPr>
            <w:tcW w:w="5013" w:type="dxa"/>
            <w:vAlign w:val="center"/>
          </w:tcPr>
          <w:p w14:paraId="7D7498C5">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招标文件编制人（签字）：</w:t>
            </w:r>
          </w:p>
        </w:tc>
        <w:tc>
          <w:tcPr>
            <w:tcW w:w="4701" w:type="dxa"/>
            <w:vAlign w:val="center"/>
          </w:tcPr>
          <w:p w14:paraId="6F37BCCD">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lang w:eastAsia="zh-CN"/>
              </w:rPr>
            </w:pPr>
          </w:p>
        </w:tc>
      </w:tr>
      <w:tr w14:paraId="224F3282">
        <w:tblPrEx>
          <w:tblCellMar>
            <w:top w:w="0" w:type="dxa"/>
            <w:left w:w="0" w:type="dxa"/>
            <w:bottom w:w="0" w:type="dxa"/>
            <w:right w:w="0" w:type="dxa"/>
          </w:tblCellMar>
        </w:tblPrEx>
        <w:trPr>
          <w:trHeight w:val="937" w:hRule="atLeast"/>
          <w:jc w:val="center"/>
        </w:trPr>
        <w:tc>
          <w:tcPr>
            <w:tcW w:w="5013" w:type="dxa"/>
            <w:vAlign w:val="center"/>
          </w:tcPr>
          <w:p w14:paraId="457738D3">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招标代理机构项目负责人（签字）：</w:t>
            </w:r>
          </w:p>
        </w:tc>
        <w:tc>
          <w:tcPr>
            <w:tcW w:w="4701" w:type="dxa"/>
            <w:vAlign w:val="center"/>
          </w:tcPr>
          <w:p w14:paraId="02AD201A">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lang w:eastAsia="zh-CN"/>
              </w:rPr>
            </w:pPr>
          </w:p>
        </w:tc>
      </w:tr>
      <w:tr w14:paraId="77ED4758">
        <w:tblPrEx>
          <w:tblCellMar>
            <w:top w:w="0" w:type="dxa"/>
            <w:left w:w="0" w:type="dxa"/>
            <w:bottom w:w="0" w:type="dxa"/>
            <w:right w:w="0" w:type="dxa"/>
          </w:tblCellMar>
        </w:tblPrEx>
        <w:trPr>
          <w:trHeight w:val="832" w:hRule="atLeast"/>
          <w:jc w:val="center"/>
        </w:trPr>
        <w:tc>
          <w:tcPr>
            <w:tcW w:w="5013" w:type="dxa"/>
            <w:vAlign w:val="center"/>
          </w:tcPr>
          <w:p w14:paraId="11F645AA">
            <w:pPr>
              <w:pStyle w:val="27"/>
              <w:keepNext w:val="0"/>
              <w:keepLines w:val="0"/>
              <w:pageBreakBefore w:val="0"/>
              <w:wordWrap w:val="0"/>
              <w:overflowPunct/>
              <w:topLinePunct w:val="0"/>
              <w:bidi w:val="0"/>
              <w:snapToGrid w:val="0"/>
              <w:spacing w:line="360" w:lineRule="auto"/>
              <w:jc w:val="distribute"/>
              <w:rPr>
                <w:rStyle w:val="28"/>
                <w:rFonts w:hint="eastAsia" w:ascii="宋体" w:hAnsi="宋体" w:eastAsia="宋体" w:cs="宋体"/>
                <w:color w:val="auto"/>
                <w:spacing w:val="0"/>
                <w:kern w:val="0"/>
                <w:sz w:val="28"/>
                <w:szCs w:val="28"/>
                <w:highlight w:val="none"/>
              </w:rPr>
            </w:pPr>
            <w:r>
              <w:rPr>
                <w:rStyle w:val="28"/>
                <w:rFonts w:hint="eastAsia" w:ascii="宋体" w:hAnsi="宋体" w:eastAsia="宋体" w:cs="宋体"/>
                <w:color w:val="auto"/>
                <w:spacing w:val="0"/>
                <w:kern w:val="0"/>
                <w:sz w:val="28"/>
                <w:szCs w:val="28"/>
                <w:highlight w:val="none"/>
              </w:rPr>
              <w:t xml:space="preserve"> 招标文件编制日期：</w:t>
            </w:r>
          </w:p>
        </w:tc>
        <w:tc>
          <w:tcPr>
            <w:tcW w:w="4701" w:type="dxa"/>
            <w:vAlign w:val="center"/>
          </w:tcPr>
          <w:p w14:paraId="4CC93183">
            <w:pPr>
              <w:pStyle w:val="27"/>
              <w:keepNext w:val="0"/>
              <w:keepLines w:val="0"/>
              <w:pageBreakBefore w:val="0"/>
              <w:wordWrap w:val="0"/>
              <w:overflowPunct/>
              <w:topLinePunct w:val="0"/>
              <w:bidi w:val="0"/>
              <w:snapToGrid w:val="0"/>
              <w:spacing w:line="360" w:lineRule="auto"/>
              <w:rPr>
                <w:rStyle w:val="28"/>
                <w:rFonts w:hint="eastAsia" w:ascii="宋体" w:hAnsi="宋体" w:eastAsia="宋体" w:cs="宋体"/>
                <w:color w:val="auto"/>
                <w:spacing w:val="0"/>
                <w:kern w:val="0"/>
                <w:sz w:val="28"/>
                <w:szCs w:val="28"/>
                <w:highlight w:val="none"/>
              </w:rPr>
            </w:pPr>
            <w:r>
              <w:rPr>
                <w:rStyle w:val="28"/>
                <w:rFonts w:hint="eastAsia" w:hAnsi="宋体" w:cs="宋体"/>
                <w:color w:val="auto"/>
                <w:spacing w:val="0"/>
                <w:kern w:val="0"/>
                <w:sz w:val="28"/>
                <w:szCs w:val="28"/>
                <w:highlight w:val="none"/>
                <w:lang w:val="en-US" w:eastAsia="zh-CN"/>
              </w:rPr>
              <w:t>2026</w:t>
            </w:r>
            <w:r>
              <w:rPr>
                <w:rStyle w:val="28"/>
                <w:rFonts w:hint="eastAsia" w:ascii="宋体" w:hAnsi="宋体" w:eastAsia="宋体" w:cs="宋体"/>
                <w:color w:val="auto"/>
                <w:spacing w:val="0"/>
                <w:kern w:val="0"/>
                <w:sz w:val="28"/>
                <w:szCs w:val="28"/>
                <w:highlight w:val="none"/>
              </w:rPr>
              <w:t>年</w:t>
            </w:r>
            <w:r>
              <w:rPr>
                <w:rStyle w:val="28"/>
                <w:rFonts w:hint="eastAsia" w:hAnsi="宋体" w:cs="宋体"/>
                <w:color w:val="auto"/>
                <w:spacing w:val="0"/>
                <w:kern w:val="0"/>
                <w:sz w:val="28"/>
                <w:szCs w:val="28"/>
                <w:highlight w:val="none"/>
                <w:lang w:val="en-US" w:eastAsia="zh-CN"/>
              </w:rPr>
              <w:t>7</w:t>
            </w:r>
            <w:r>
              <w:rPr>
                <w:rStyle w:val="28"/>
                <w:rFonts w:hint="eastAsia" w:ascii="宋体" w:hAnsi="宋体" w:eastAsia="宋体" w:cs="宋体"/>
                <w:color w:val="auto"/>
                <w:spacing w:val="0"/>
                <w:kern w:val="0"/>
                <w:sz w:val="28"/>
                <w:szCs w:val="28"/>
                <w:highlight w:val="none"/>
              </w:rPr>
              <w:t>月</w:t>
            </w:r>
          </w:p>
        </w:tc>
      </w:tr>
    </w:tbl>
    <w:p w14:paraId="7B96492F">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sectPr>
          <w:head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306B3DC9">
      <w:pPr>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0A6D314A">
      <w:pPr>
        <w:keepNext w:val="0"/>
        <w:keepLines w:val="0"/>
        <w:pageBreakBefore w:val="0"/>
        <w:wordWrap w:val="0"/>
        <w:overflowPunct/>
        <w:topLinePunct w:val="0"/>
        <w:bidi w:val="0"/>
        <w:spacing w:line="360" w:lineRule="auto"/>
        <w:jc w:val="center"/>
        <w:rPr>
          <w:rFonts w:hint="eastAsia" w:ascii="宋体" w:hAnsi="宋体" w:eastAsia="宋体" w:cs="宋体"/>
          <w:b/>
          <w:bCs/>
          <w:color w:val="auto"/>
          <w:spacing w:val="0"/>
          <w:sz w:val="28"/>
          <w:szCs w:val="28"/>
          <w:highlight w:val="none"/>
        </w:rPr>
        <w:sectPr>
          <w:headerReference r:id="rId6" w:type="default"/>
          <w:footerReference r:id="rId7"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088BE4E2">
      <w:pPr>
        <w:keepNext w:val="0"/>
        <w:keepLines w:val="0"/>
        <w:pageBreakBefore w:val="0"/>
        <w:wordWrap w:val="0"/>
        <w:overflowPunct/>
        <w:topLinePunct w:val="0"/>
        <w:bidi w:val="0"/>
        <w:spacing w:line="360" w:lineRule="auto"/>
        <w:jc w:val="center"/>
        <w:rPr>
          <w:rFonts w:hint="eastAsia" w:ascii="宋体" w:hAnsi="宋体" w:eastAsia="宋体" w:cs="宋体"/>
          <w:b/>
          <w:bCs/>
          <w:color w:val="auto"/>
          <w:spacing w:val="0"/>
          <w:sz w:val="28"/>
          <w:szCs w:val="28"/>
          <w:highlight w:val="none"/>
        </w:rPr>
      </w:pPr>
      <w:r>
        <w:rPr>
          <w:rFonts w:hint="eastAsia" w:ascii="宋体" w:hAnsi="宋体" w:eastAsia="宋体" w:cs="宋体"/>
          <w:b/>
          <w:bCs/>
          <w:color w:val="auto"/>
          <w:spacing w:val="0"/>
          <w:sz w:val="28"/>
          <w:szCs w:val="28"/>
          <w:highlight w:val="none"/>
        </w:rPr>
        <w:t>目录</w:t>
      </w:r>
    </w:p>
    <w:p w14:paraId="431E88A7">
      <w:pPr>
        <w:pStyle w:val="11"/>
        <w:tabs>
          <w:tab w:val="right" w:leader="dot" w:pos="9746"/>
        </w:tabs>
        <w:spacing w:line="360" w:lineRule="auto"/>
        <w:rPr>
          <w:color w:val="auto"/>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TOC \o "1-3" \h \u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_Toc12197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_Toc12197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0D34C9F6">
      <w:pPr>
        <w:pStyle w:val="12"/>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_Toc30373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第一节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_Toc30373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pacing w:val="0"/>
          <w:szCs w:val="24"/>
          <w:highlight w:val="none"/>
        </w:rPr>
        <w:fldChar w:fldCharType="end"/>
      </w:r>
    </w:p>
    <w:p w14:paraId="41885F39">
      <w:pPr>
        <w:pStyle w:val="12"/>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_Toc6506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_Toc6506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spacing w:val="0"/>
          <w:szCs w:val="24"/>
          <w:highlight w:val="none"/>
        </w:rPr>
        <w:fldChar w:fldCharType="end"/>
      </w:r>
    </w:p>
    <w:p w14:paraId="30355FB5">
      <w:pPr>
        <w:pStyle w:val="12"/>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_Toc14274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_Toc14274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pacing w:val="0"/>
          <w:szCs w:val="24"/>
          <w:highlight w:val="none"/>
        </w:rPr>
        <w:fldChar w:fldCharType="end"/>
      </w:r>
    </w:p>
    <w:p w14:paraId="15399AEE">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_Toc16113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．项目概况、招标范围和标段划分、投标费用等</w:t>
      </w:r>
      <w:r>
        <w:rPr>
          <w:color w:val="auto"/>
          <w:highlight w:val="none"/>
        </w:rPr>
        <w:tab/>
      </w:r>
      <w:r>
        <w:rPr>
          <w:color w:val="auto"/>
          <w:highlight w:val="none"/>
        </w:rPr>
        <w:fldChar w:fldCharType="begin"/>
      </w:r>
      <w:r>
        <w:rPr>
          <w:color w:val="auto"/>
          <w:highlight w:val="none"/>
        </w:rPr>
        <w:instrText xml:space="preserve"> PAGEREF _Toc16113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pacing w:val="0"/>
          <w:szCs w:val="24"/>
          <w:highlight w:val="none"/>
        </w:rPr>
        <w:fldChar w:fldCharType="end"/>
      </w:r>
    </w:p>
    <w:p w14:paraId="11B24C9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_Toc24619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w:t>
      </w:r>
      <w:r>
        <w:rPr>
          <w:rFonts w:hint="eastAsia" w:ascii="宋体" w:hAnsi="宋体" w:eastAsia="宋体" w:cs="宋体"/>
          <w:bCs w:val="0"/>
          <w:color w:val="auto"/>
          <w:spacing w:val="0"/>
          <w:szCs w:val="24"/>
          <w:highlight w:val="none"/>
          <w:lang w:eastAsia="zh-CN"/>
        </w:rPr>
        <w:t>投标人</w:t>
      </w:r>
      <w:r>
        <w:rPr>
          <w:rFonts w:hint="eastAsia" w:ascii="宋体" w:hAnsi="宋体" w:eastAsia="宋体" w:cs="宋体"/>
          <w:bCs w:val="0"/>
          <w:color w:val="auto"/>
          <w:spacing w:val="0"/>
          <w:szCs w:val="24"/>
          <w:highlight w:val="none"/>
        </w:rPr>
        <w:t>资</w:t>
      </w:r>
      <w:r>
        <w:rPr>
          <w:rFonts w:hint="eastAsia" w:ascii="宋体" w:hAnsi="宋体" w:eastAsia="宋体" w:cs="宋体"/>
          <w:bCs w:val="0"/>
          <w:color w:val="auto"/>
          <w:spacing w:val="0"/>
          <w:szCs w:val="24"/>
          <w:highlight w:val="none"/>
          <w:lang w:val="en-US" w:eastAsia="zh-CN"/>
        </w:rPr>
        <w:t>格</w:t>
      </w:r>
      <w:r>
        <w:rPr>
          <w:rFonts w:hint="eastAsia" w:ascii="宋体" w:hAnsi="宋体" w:eastAsia="宋体" w:cs="宋体"/>
          <w:bCs w:val="0"/>
          <w:color w:val="auto"/>
          <w:spacing w:val="0"/>
          <w:szCs w:val="24"/>
          <w:highlight w:val="none"/>
        </w:rPr>
        <w:t>要求</w:t>
      </w:r>
      <w:r>
        <w:rPr>
          <w:color w:val="auto"/>
          <w:highlight w:val="none"/>
        </w:rPr>
        <w:tab/>
      </w:r>
      <w:r>
        <w:rPr>
          <w:color w:val="auto"/>
          <w:highlight w:val="none"/>
        </w:rPr>
        <w:fldChar w:fldCharType="begin"/>
      </w:r>
      <w:r>
        <w:rPr>
          <w:color w:val="auto"/>
          <w:highlight w:val="none"/>
        </w:rPr>
        <w:instrText xml:space="preserve"> PAGEREF _Toc24619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pacing w:val="0"/>
          <w:szCs w:val="24"/>
          <w:highlight w:val="none"/>
        </w:rPr>
        <w:fldChar w:fldCharType="end"/>
      </w:r>
    </w:p>
    <w:p w14:paraId="4DD4AB3A">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_Toc32731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3．招标文件的获取</w:t>
      </w:r>
      <w:r>
        <w:rPr>
          <w:color w:val="auto"/>
          <w:highlight w:val="none"/>
        </w:rPr>
        <w:tab/>
      </w:r>
      <w:r>
        <w:rPr>
          <w:color w:val="auto"/>
          <w:highlight w:val="none"/>
        </w:rPr>
        <w:fldChar w:fldCharType="begin"/>
      </w:r>
      <w:r>
        <w:rPr>
          <w:color w:val="auto"/>
          <w:highlight w:val="none"/>
        </w:rPr>
        <w:instrText xml:space="preserve"> PAGEREF _Toc32731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pacing w:val="0"/>
          <w:szCs w:val="24"/>
          <w:highlight w:val="none"/>
        </w:rPr>
        <w:fldChar w:fldCharType="end"/>
      </w:r>
    </w:p>
    <w:p w14:paraId="68DFC3D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_Toc24483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_Toc24483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pacing w:val="0"/>
          <w:szCs w:val="24"/>
          <w:highlight w:val="none"/>
        </w:rPr>
        <w:fldChar w:fldCharType="end"/>
      </w:r>
    </w:p>
    <w:p w14:paraId="7A911E70">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_Toc26868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5</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_Toc26868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color w:val="auto"/>
          <w:spacing w:val="0"/>
          <w:szCs w:val="24"/>
          <w:highlight w:val="none"/>
        </w:rPr>
        <w:fldChar w:fldCharType="end"/>
      </w:r>
    </w:p>
    <w:p w14:paraId="56A65F1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_Toc25460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6 ．施工条件及现场踏勘</w:t>
      </w:r>
      <w:r>
        <w:rPr>
          <w:color w:val="auto"/>
          <w:highlight w:val="none"/>
        </w:rPr>
        <w:tab/>
      </w:r>
      <w:r>
        <w:rPr>
          <w:color w:val="auto"/>
          <w:highlight w:val="none"/>
        </w:rPr>
        <w:fldChar w:fldCharType="begin"/>
      </w:r>
      <w:r>
        <w:rPr>
          <w:color w:val="auto"/>
          <w:highlight w:val="none"/>
        </w:rPr>
        <w:instrText xml:space="preserve"> PAGEREF _Toc25460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pacing w:val="0"/>
          <w:szCs w:val="24"/>
          <w:highlight w:val="none"/>
        </w:rPr>
        <w:fldChar w:fldCharType="end"/>
      </w:r>
    </w:p>
    <w:p w14:paraId="1DC8A122">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_Toc16201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7 ．招标文件的提问和答疑</w:t>
      </w:r>
      <w:r>
        <w:rPr>
          <w:color w:val="auto"/>
          <w:highlight w:val="none"/>
        </w:rPr>
        <w:tab/>
      </w:r>
      <w:r>
        <w:rPr>
          <w:color w:val="auto"/>
          <w:highlight w:val="none"/>
        </w:rPr>
        <w:fldChar w:fldCharType="begin"/>
      </w:r>
      <w:r>
        <w:rPr>
          <w:color w:val="auto"/>
          <w:highlight w:val="none"/>
        </w:rPr>
        <w:instrText xml:space="preserve"> PAGEREF _Toc16201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pacing w:val="0"/>
          <w:szCs w:val="24"/>
          <w:highlight w:val="none"/>
        </w:rPr>
        <w:fldChar w:fldCharType="end"/>
      </w:r>
    </w:p>
    <w:p w14:paraId="79FCFA16">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_Toc23999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8 ．</w:t>
      </w:r>
      <w:r>
        <w:rPr>
          <w:rFonts w:hint="eastAsia" w:ascii="宋体" w:hAnsi="宋体" w:eastAsia="宋体" w:cs="宋体"/>
          <w:bCs/>
          <w:color w:val="auto"/>
          <w:spacing w:val="0"/>
          <w:szCs w:val="24"/>
          <w:highlight w:val="none"/>
          <w:lang w:eastAsia="zh-CN"/>
        </w:rPr>
        <w:t>最高投标限价</w:t>
      </w:r>
      <w:r>
        <w:rPr>
          <w:color w:val="auto"/>
          <w:highlight w:val="none"/>
        </w:rPr>
        <w:tab/>
      </w:r>
      <w:r>
        <w:rPr>
          <w:color w:val="auto"/>
          <w:highlight w:val="none"/>
        </w:rPr>
        <w:fldChar w:fldCharType="begin"/>
      </w:r>
      <w:r>
        <w:rPr>
          <w:color w:val="auto"/>
          <w:highlight w:val="none"/>
        </w:rPr>
        <w:instrText xml:space="preserve"> PAGEREF _Toc23999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pacing w:val="0"/>
          <w:szCs w:val="24"/>
          <w:highlight w:val="none"/>
        </w:rPr>
        <w:fldChar w:fldCharType="end"/>
      </w:r>
    </w:p>
    <w:p w14:paraId="5E1B05A3">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_Toc28851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9 ．投标报价</w:t>
      </w:r>
      <w:r>
        <w:rPr>
          <w:color w:val="auto"/>
          <w:highlight w:val="none"/>
        </w:rPr>
        <w:tab/>
      </w:r>
      <w:r>
        <w:rPr>
          <w:color w:val="auto"/>
          <w:highlight w:val="none"/>
        </w:rPr>
        <w:fldChar w:fldCharType="begin"/>
      </w:r>
      <w:r>
        <w:rPr>
          <w:color w:val="auto"/>
          <w:highlight w:val="none"/>
        </w:rPr>
        <w:instrText xml:space="preserve"> PAGEREF _Toc28851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eastAsia="宋体" w:cs="宋体"/>
          <w:color w:val="auto"/>
          <w:spacing w:val="0"/>
          <w:szCs w:val="24"/>
          <w:highlight w:val="none"/>
        </w:rPr>
        <w:fldChar w:fldCharType="end"/>
      </w:r>
    </w:p>
    <w:p w14:paraId="5D3AB7B8">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_Toc8260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10 ．投标文件的编制要求</w:t>
      </w:r>
      <w:r>
        <w:rPr>
          <w:color w:val="auto"/>
          <w:highlight w:val="none"/>
        </w:rPr>
        <w:tab/>
      </w:r>
      <w:r>
        <w:rPr>
          <w:color w:val="auto"/>
          <w:highlight w:val="none"/>
        </w:rPr>
        <w:fldChar w:fldCharType="begin"/>
      </w:r>
      <w:r>
        <w:rPr>
          <w:color w:val="auto"/>
          <w:highlight w:val="none"/>
        </w:rPr>
        <w:instrText xml:space="preserve"> PAGEREF _Toc8260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pacing w:val="0"/>
          <w:szCs w:val="24"/>
          <w:highlight w:val="none"/>
        </w:rPr>
        <w:fldChar w:fldCharType="end"/>
      </w:r>
    </w:p>
    <w:p w14:paraId="5E4D3C68">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_Toc32246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 xml:space="preserve">11. </w:t>
      </w:r>
      <w:r>
        <w:rPr>
          <w:rFonts w:hint="eastAsia" w:ascii="宋体" w:hAnsi="宋体" w:eastAsia="宋体" w:cs="宋体"/>
          <w:color w:val="auto"/>
          <w:spacing w:val="0"/>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_Toc32246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color w:val="auto"/>
          <w:spacing w:val="0"/>
          <w:szCs w:val="24"/>
          <w:highlight w:val="none"/>
        </w:rPr>
        <w:fldChar w:fldCharType="end"/>
      </w:r>
    </w:p>
    <w:p w14:paraId="49D6D2A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_Toc28315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lang w:val="en-US" w:eastAsia="zh-CN"/>
        </w:rPr>
        <w:t>12.</w:t>
      </w:r>
      <w:r>
        <w:rPr>
          <w:rFonts w:hint="eastAsia" w:ascii="宋体" w:hAnsi="宋体" w:eastAsia="宋体" w:cs="宋体"/>
          <w:bCs/>
          <w:color w:val="auto"/>
          <w:spacing w:val="0"/>
          <w:w w:val="101"/>
          <w:szCs w:val="24"/>
          <w:highlight w:val="none"/>
        </w:rPr>
        <w:t xml:space="preserve"> </w:t>
      </w:r>
      <w:r>
        <w:rPr>
          <w:rFonts w:hint="eastAsia" w:ascii="宋体" w:hAnsi="宋体" w:eastAsia="宋体" w:cs="宋体"/>
          <w:bCs/>
          <w:color w:val="auto"/>
          <w:spacing w:val="0"/>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_Toc28315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color w:val="auto"/>
          <w:spacing w:val="0"/>
          <w:szCs w:val="24"/>
          <w:highlight w:val="none"/>
        </w:rPr>
        <w:fldChar w:fldCharType="end"/>
      </w:r>
    </w:p>
    <w:p w14:paraId="0D53C74C">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_Toc21165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13 ．投标文件的提交</w:t>
      </w:r>
      <w:r>
        <w:rPr>
          <w:color w:val="auto"/>
          <w:highlight w:val="none"/>
        </w:rPr>
        <w:tab/>
      </w:r>
      <w:r>
        <w:rPr>
          <w:color w:val="auto"/>
          <w:highlight w:val="none"/>
        </w:rPr>
        <w:fldChar w:fldCharType="begin"/>
      </w:r>
      <w:r>
        <w:rPr>
          <w:color w:val="auto"/>
          <w:highlight w:val="none"/>
        </w:rPr>
        <w:instrText xml:space="preserve"> PAGEREF _Toc21165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eastAsia="宋体" w:cs="宋体"/>
          <w:color w:val="auto"/>
          <w:spacing w:val="0"/>
          <w:szCs w:val="24"/>
          <w:highlight w:val="none"/>
        </w:rPr>
        <w:fldChar w:fldCharType="end"/>
      </w:r>
    </w:p>
    <w:p w14:paraId="7AFA6159">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_Toc19179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14 ．开标</w:t>
      </w:r>
      <w:r>
        <w:rPr>
          <w:color w:val="auto"/>
          <w:highlight w:val="none"/>
        </w:rPr>
        <w:tab/>
      </w:r>
      <w:r>
        <w:rPr>
          <w:color w:val="auto"/>
          <w:highlight w:val="none"/>
        </w:rPr>
        <w:fldChar w:fldCharType="begin"/>
      </w:r>
      <w:r>
        <w:rPr>
          <w:color w:val="auto"/>
          <w:highlight w:val="none"/>
        </w:rPr>
        <w:instrText xml:space="preserve"> PAGEREF _Toc19179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eastAsia="宋体" w:cs="宋体"/>
          <w:color w:val="auto"/>
          <w:spacing w:val="0"/>
          <w:szCs w:val="24"/>
          <w:highlight w:val="none"/>
        </w:rPr>
        <w:fldChar w:fldCharType="end"/>
      </w:r>
    </w:p>
    <w:p w14:paraId="14A442C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_Toc24966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15 ．评标</w:t>
      </w:r>
      <w:r>
        <w:rPr>
          <w:color w:val="auto"/>
          <w:highlight w:val="none"/>
        </w:rPr>
        <w:tab/>
      </w:r>
      <w:r>
        <w:rPr>
          <w:color w:val="auto"/>
          <w:highlight w:val="none"/>
        </w:rPr>
        <w:fldChar w:fldCharType="begin"/>
      </w:r>
      <w:r>
        <w:rPr>
          <w:color w:val="auto"/>
          <w:highlight w:val="none"/>
        </w:rPr>
        <w:instrText xml:space="preserve"> PAGEREF _Toc24966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color w:val="auto"/>
          <w:spacing w:val="0"/>
          <w:szCs w:val="24"/>
          <w:highlight w:val="none"/>
        </w:rPr>
        <w:fldChar w:fldCharType="end"/>
      </w:r>
    </w:p>
    <w:p w14:paraId="1E36A928">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_Toc6562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16 ．</w:t>
      </w:r>
      <w:r>
        <w:rPr>
          <w:rFonts w:hint="eastAsia" w:ascii="宋体" w:hAnsi="宋体" w:eastAsia="宋体" w:cs="宋体"/>
          <w:bCs/>
          <w:color w:val="auto"/>
          <w:spacing w:val="0"/>
          <w:szCs w:val="24"/>
          <w:highlight w:val="none"/>
          <w:lang w:eastAsia="zh-CN"/>
        </w:rPr>
        <w:t>评标结果公示</w:t>
      </w:r>
      <w:r>
        <w:rPr>
          <w:color w:val="auto"/>
          <w:highlight w:val="none"/>
        </w:rPr>
        <w:tab/>
      </w:r>
      <w:r>
        <w:rPr>
          <w:color w:val="auto"/>
          <w:highlight w:val="none"/>
        </w:rPr>
        <w:fldChar w:fldCharType="begin"/>
      </w:r>
      <w:r>
        <w:rPr>
          <w:color w:val="auto"/>
          <w:highlight w:val="none"/>
        </w:rPr>
        <w:instrText xml:space="preserve"> PAGEREF _Toc6562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pacing w:val="0"/>
          <w:szCs w:val="24"/>
          <w:highlight w:val="none"/>
        </w:rPr>
        <w:fldChar w:fldCharType="end"/>
      </w:r>
    </w:p>
    <w:p w14:paraId="679F9FC8">
      <w:pPr>
        <w:pStyle w:val="12"/>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_Toc20403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第四节</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_Toc20403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pacing w:val="0"/>
          <w:szCs w:val="24"/>
          <w:highlight w:val="none"/>
        </w:rPr>
        <w:fldChar w:fldCharType="end"/>
      </w:r>
    </w:p>
    <w:p w14:paraId="4B5ACDC2">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_Toc23494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．资格评审环节</w:t>
      </w:r>
      <w:r>
        <w:rPr>
          <w:color w:val="auto"/>
          <w:highlight w:val="none"/>
        </w:rPr>
        <w:tab/>
      </w:r>
      <w:r>
        <w:rPr>
          <w:color w:val="auto"/>
          <w:highlight w:val="none"/>
        </w:rPr>
        <w:fldChar w:fldCharType="begin"/>
      </w:r>
      <w:r>
        <w:rPr>
          <w:color w:val="auto"/>
          <w:highlight w:val="none"/>
        </w:rPr>
        <w:instrText xml:space="preserve"> PAGEREF _Toc23494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pacing w:val="0"/>
          <w:szCs w:val="24"/>
          <w:highlight w:val="none"/>
        </w:rPr>
        <w:fldChar w:fldCharType="end"/>
      </w:r>
    </w:p>
    <w:p w14:paraId="5C51BF77">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_Toc4204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．形式评审环节</w:t>
      </w:r>
      <w:r>
        <w:rPr>
          <w:color w:val="auto"/>
          <w:highlight w:val="none"/>
        </w:rPr>
        <w:tab/>
      </w:r>
      <w:r>
        <w:rPr>
          <w:color w:val="auto"/>
          <w:highlight w:val="none"/>
        </w:rPr>
        <w:fldChar w:fldCharType="begin"/>
      </w:r>
      <w:r>
        <w:rPr>
          <w:color w:val="auto"/>
          <w:highlight w:val="none"/>
        </w:rPr>
        <w:instrText xml:space="preserve"> PAGEREF _Toc4204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pacing w:val="0"/>
          <w:szCs w:val="24"/>
          <w:highlight w:val="none"/>
        </w:rPr>
        <w:fldChar w:fldCharType="end"/>
      </w:r>
    </w:p>
    <w:p w14:paraId="0BBDC7C3">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_Toc31944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．响应性评审环节</w:t>
      </w:r>
      <w:r>
        <w:rPr>
          <w:color w:val="auto"/>
          <w:highlight w:val="none"/>
        </w:rPr>
        <w:tab/>
      </w:r>
      <w:r>
        <w:rPr>
          <w:color w:val="auto"/>
          <w:highlight w:val="none"/>
        </w:rPr>
        <w:fldChar w:fldCharType="begin"/>
      </w:r>
      <w:r>
        <w:rPr>
          <w:color w:val="auto"/>
          <w:highlight w:val="none"/>
        </w:rPr>
        <w:instrText xml:space="preserve"> PAGEREF _Toc31944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spacing w:val="0"/>
          <w:szCs w:val="24"/>
          <w:highlight w:val="none"/>
        </w:rPr>
        <w:fldChar w:fldCharType="end"/>
      </w:r>
    </w:p>
    <w:p w14:paraId="6E96E88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_Toc6649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．其他</w:t>
      </w:r>
      <w:r>
        <w:rPr>
          <w:color w:val="auto"/>
          <w:highlight w:val="none"/>
        </w:rPr>
        <w:tab/>
      </w:r>
      <w:r>
        <w:rPr>
          <w:color w:val="auto"/>
          <w:highlight w:val="none"/>
        </w:rPr>
        <w:fldChar w:fldCharType="begin"/>
      </w:r>
      <w:r>
        <w:rPr>
          <w:color w:val="auto"/>
          <w:highlight w:val="none"/>
        </w:rPr>
        <w:instrText xml:space="preserve"> PAGEREF _Toc6649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spacing w:val="0"/>
          <w:szCs w:val="24"/>
          <w:highlight w:val="none"/>
        </w:rPr>
        <w:fldChar w:fldCharType="end"/>
      </w:r>
    </w:p>
    <w:p w14:paraId="52348899">
      <w:pPr>
        <w:pStyle w:val="12"/>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_Toc22536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snapToGrid/>
          <w:color w:val="auto"/>
          <w:kern w:val="2"/>
          <w:szCs w:val="24"/>
          <w:highlight w:val="none"/>
          <w:lang w:eastAsia="zh-CN"/>
        </w:rPr>
        <w:t>第</w:t>
      </w:r>
      <w:r>
        <w:rPr>
          <w:rFonts w:hint="eastAsia" w:ascii="宋体" w:hAnsi="宋体" w:eastAsia="宋体" w:cs="宋体"/>
          <w:bCs/>
          <w:snapToGrid/>
          <w:color w:val="auto"/>
          <w:kern w:val="2"/>
          <w:szCs w:val="24"/>
          <w:highlight w:val="none"/>
          <w:lang w:val="en-US" w:eastAsia="zh-CN"/>
        </w:rPr>
        <w:t>五</w:t>
      </w:r>
      <w:r>
        <w:rPr>
          <w:rFonts w:hint="eastAsia" w:ascii="宋体" w:hAnsi="宋体" w:eastAsia="宋体" w:cs="宋体"/>
          <w:bCs/>
          <w:snapToGrid/>
          <w:color w:val="auto"/>
          <w:kern w:val="2"/>
          <w:szCs w:val="24"/>
          <w:highlight w:val="none"/>
          <w:lang w:eastAsia="zh-CN"/>
        </w:rPr>
        <w:t>节 定标规定</w:t>
      </w:r>
      <w:r>
        <w:rPr>
          <w:rFonts w:hint="eastAsia" w:ascii="宋体" w:hAnsi="宋体" w:eastAsia="宋体" w:cs="宋体"/>
          <w:bCs/>
          <w:snapToGrid/>
          <w:color w:val="auto"/>
          <w:kern w:val="2"/>
          <w:szCs w:val="24"/>
          <w:highlight w:val="none"/>
          <w:lang w:val="en-US" w:eastAsia="zh-CN"/>
        </w:rPr>
        <w:t>及细则（本项目采用票决数量法定标）</w:t>
      </w:r>
      <w:r>
        <w:rPr>
          <w:color w:val="auto"/>
          <w:highlight w:val="none"/>
        </w:rPr>
        <w:tab/>
      </w:r>
      <w:r>
        <w:rPr>
          <w:color w:val="auto"/>
          <w:highlight w:val="none"/>
        </w:rPr>
        <w:fldChar w:fldCharType="begin"/>
      </w:r>
      <w:r>
        <w:rPr>
          <w:color w:val="auto"/>
          <w:highlight w:val="none"/>
        </w:rPr>
        <w:instrText xml:space="preserve"> PAGEREF _Toc22536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spacing w:val="0"/>
          <w:szCs w:val="24"/>
          <w:highlight w:val="none"/>
        </w:rPr>
        <w:fldChar w:fldCharType="end"/>
      </w:r>
    </w:p>
    <w:p w14:paraId="3DC55300">
      <w:pPr>
        <w:pStyle w:val="12"/>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_Toc26531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snapToGrid/>
          <w:color w:val="auto"/>
          <w:kern w:val="2"/>
          <w:szCs w:val="24"/>
          <w:highlight w:val="none"/>
          <w:lang w:eastAsia="zh-CN"/>
        </w:rPr>
        <w:t>第</w:t>
      </w:r>
      <w:r>
        <w:rPr>
          <w:rFonts w:hint="eastAsia" w:ascii="宋体" w:hAnsi="宋体" w:eastAsia="宋体" w:cs="宋体"/>
          <w:bCs/>
          <w:snapToGrid/>
          <w:color w:val="auto"/>
          <w:kern w:val="2"/>
          <w:szCs w:val="24"/>
          <w:highlight w:val="none"/>
          <w:lang w:val="en-US" w:eastAsia="zh-CN"/>
        </w:rPr>
        <w:t>六</w:t>
      </w:r>
      <w:r>
        <w:rPr>
          <w:rFonts w:hint="eastAsia" w:ascii="宋体" w:hAnsi="宋体" w:eastAsia="宋体" w:cs="宋体"/>
          <w:bCs/>
          <w:snapToGrid/>
          <w:color w:val="auto"/>
          <w:kern w:val="2"/>
          <w:szCs w:val="24"/>
          <w:highlight w:val="none"/>
          <w:lang w:eastAsia="zh-CN"/>
        </w:rPr>
        <w:t>节 中标确认</w:t>
      </w:r>
      <w:r>
        <w:rPr>
          <w:color w:val="auto"/>
          <w:highlight w:val="none"/>
        </w:rPr>
        <w:tab/>
      </w:r>
      <w:r>
        <w:rPr>
          <w:color w:val="auto"/>
          <w:highlight w:val="none"/>
        </w:rPr>
        <w:fldChar w:fldCharType="begin"/>
      </w:r>
      <w:r>
        <w:rPr>
          <w:color w:val="auto"/>
          <w:highlight w:val="none"/>
        </w:rPr>
        <w:instrText xml:space="preserve"> PAGEREF _Toc26531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pacing w:val="0"/>
          <w:szCs w:val="24"/>
          <w:highlight w:val="none"/>
        </w:rPr>
        <w:fldChar w:fldCharType="end"/>
      </w:r>
    </w:p>
    <w:p w14:paraId="2FAFDD95">
      <w:pPr>
        <w:pStyle w:val="11"/>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_Toc31598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第二章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_Toc31598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eastAsia="宋体" w:cs="宋体"/>
          <w:color w:val="auto"/>
          <w:spacing w:val="0"/>
          <w:szCs w:val="24"/>
          <w:highlight w:val="none"/>
        </w:rPr>
        <w:fldChar w:fldCharType="end"/>
      </w:r>
    </w:p>
    <w:p w14:paraId="13796545">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_Toc22638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．中标通知书</w:t>
      </w:r>
      <w:r>
        <w:rPr>
          <w:color w:val="auto"/>
          <w:highlight w:val="none"/>
        </w:rPr>
        <w:tab/>
      </w:r>
      <w:r>
        <w:rPr>
          <w:color w:val="auto"/>
          <w:highlight w:val="none"/>
        </w:rPr>
        <w:fldChar w:fldCharType="begin"/>
      </w:r>
      <w:r>
        <w:rPr>
          <w:color w:val="auto"/>
          <w:highlight w:val="none"/>
        </w:rPr>
        <w:instrText xml:space="preserve"> PAGEREF _Toc22638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eastAsia="宋体" w:cs="宋体"/>
          <w:color w:val="auto"/>
          <w:spacing w:val="0"/>
          <w:szCs w:val="24"/>
          <w:highlight w:val="none"/>
        </w:rPr>
        <w:fldChar w:fldCharType="end"/>
      </w:r>
    </w:p>
    <w:p w14:paraId="42456DA8">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_Toc6074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．中标结果公示</w:t>
      </w:r>
      <w:r>
        <w:rPr>
          <w:color w:val="auto"/>
          <w:highlight w:val="none"/>
        </w:rPr>
        <w:tab/>
      </w:r>
      <w:r>
        <w:rPr>
          <w:color w:val="auto"/>
          <w:highlight w:val="none"/>
        </w:rPr>
        <w:fldChar w:fldCharType="begin"/>
      </w:r>
      <w:r>
        <w:rPr>
          <w:color w:val="auto"/>
          <w:highlight w:val="none"/>
        </w:rPr>
        <w:instrText xml:space="preserve"> PAGEREF _Toc6074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eastAsia="宋体" w:cs="宋体"/>
          <w:color w:val="auto"/>
          <w:spacing w:val="0"/>
          <w:szCs w:val="24"/>
          <w:highlight w:val="none"/>
        </w:rPr>
        <w:fldChar w:fldCharType="end"/>
      </w:r>
    </w:p>
    <w:p w14:paraId="3B2BCE36">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_Toc14494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．履约保证</w:t>
      </w:r>
      <w:r>
        <w:rPr>
          <w:color w:val="auto"/>
          <w:highlight w:val="none"/>
        </w:rPr>
        <w:tab/>
      </w:r>
      <w:r>
        <w:rPr>
          <w:color w:val="auto"/>
          <w:highlight w:val="none"/>
        </w:rPr>
        <w:fldChar w:fldCharType="begin"/>
      </w:r>
      <w:r>
        <w:rPr>
          <w:color w:val="auto"/>
          <w:highlight w:val="none"/>
        </w:rPr>
        <w:instrText xml:space="preserve"> PAGEREF _Toc14494 \h </w:instrText>
      </w:r>
      <w:r>
        <w:rPr>
          <w:color w:val="auto"/>
          <w:highlight w:val="none"/>
        </w:rPr>
        <w:fldChar w:fldCharType="separate"/>
      </w:r>
      <w:r>
        <w:rPr>
          <w:color w:val="auto"/>
          <w:highlight w:val="none"/>
        </w:rPr>
        <w:t>53</w:t>
      </w:r>
      <w:r>
        <w:rPr>
          <w:color w:val="auto"/>
          <w:highlight w:val="none"/>
        </w:rPr>
        <w:fldChar w:fldCharType="end"/>
      </w:r>
      <w:r>
        <w:rPr>
          <w:rFonts w:hint="eastAsia" w:ascii="宋体" w:hAnsi="宋体" w:eastAsia="宋体" w:cs="宋体"/>
          <w:color w:val="auto"/>
          <w:spacing w:val="0"/>
          <w:szCs w:val="24"/>
          <w:highlight w:val="none"/>
        </w:rPr>
        <w:fldChar w:fldCharType="end"/>
      </w:r>
    </w:p>
    <w:p w14:paraId="7A0E18E1">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_Toc21637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．合同订立</w:t>
      </w:r>
      <w:r>
        <w:rPr>
          <w:color w:val="auto"/>
          <w:highlight w:val="none"/>
        </w:rPr>
        <w:tab/>
      </w:r>
      <w:r>
        <w:rPr>
          <w:color w:val="auto"/>
          <w:highlight w:val="none"/>
        </w:rPr>
        <w:fldChar w:fldCharType="begin"/>
      </w:r>
      <w:r>
        <w:rPr>
          <w:color w:val="auto"/>
          <w:highlight w:val="none"/>
        </w:rPr>
        <w:instrText xml:space="preserve"> PAGEREF _Toc21637 \h </w:instrText>
      </w:r>
      <w:r>
        <w:rPr>
          <w:color w:val="auto"/>
          <w:highlight w:val="none"/>
        </w:rPr>
        <w:fldChar w:fldCharType="separate"/>
      </w:r>
      <w:r>
        <w:rPr>
          <w:color w:val="auto"/>
          <w:highlight w:val="none"/>
        </w:rPr>
        <w:t>54</w:t>
      </w:r>
      <w:r>
        <w:rPr>
          <w:color w:val="auto"/>
          <w:highlight w:val="none"/>
        </w:rPr>
        <w:fldChar w:fldCharType="end"/>
      </w:r>
      <w:r>
        <w:rPr>
          <w:rFonts w:hint="eastAsia" w:ascii="宋体" w:hAnsi="宋体" w:eastAsia="宋体" w:cs="宋体"/>
          <w:color w:val="auto"/>
          <w:spacing w:val="0"/>
          <w:szCs w:val="24"/>
          <w:highlight w:val="none"/>
        </w:rPr>
        <w:fldChar w:fldCharType="end"/>
      </w:r>
    </w:p>
    <w:p w14:paraId="2833E325">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_Toc29769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5 ．放弃中标的处理</w:t>
      </w:r>
      <w:r>
        <w:rPr>
          <w:color w:val="auto"/>
          <w:highlight w:val="none"/>
        </w:rPr>
        <w:tab/>
      </w:r>
      <w:r>
        <w:rPr>
          <w:color w:val="auto"/>
          <w:highlight w:val="none"/>
        </w:rPr>
        <w:fldChar w:fldCharType="begin"/>
      </w:r>
      <w:r>
        <w:rPr>
          <w:color w:val="auto"/>
          <w:highlight w:val="none"/>
        </w:rPr>
        <w:instrText xml:space="preserve"> PAGEREF _Toc29769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spacing w:val="0"/>
          <w:szCs w:val="24"/>
          <w:highlight w:val="none"/>
        </w:rPr>
        <w:fldChar w:fldCharType="end"/>
      </w:r>
    </w:p>
    <w:p w14:paraId="5C153EA1">
      <w:pPr>
        <w:pStyle w:val="11"/>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_Toc11521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第三章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_Toc11521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eastAsia="宋体" w:cs="宋体"/>
          <w:color w:val="auto"/>
          <w:spacing w:val="0"/>
          <w:szCs w:val="24"/>
          <w:highlight w:val="none"/>
        </w:rPr>
        <w:fldChar w:fldCharType="end"/>
      </w:r>
    </w:p>
    <w:p w14:paraId="3AE7C520">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_Toc9089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．工程承包方式</w:t>
      </w:r>
      <w:r>
        <w:rPr>
          <w:color w:val="auto"/>
          <w:highlight w:val="none"/>
        </w:rPr>
        <w:tab/>
      </w:r>
      <w:r>
        <w:rPr>
          <w:color w:val="auto"/>
          <w:highlight w:val="none"/>
        </w:rPr>
        <w:fldChar w:fldCharType="begin"/>
      </w:r>
      <w:r>
        <w:rPr>
          <w:color w:val="auto"/>
          <w:highlight w:val="none"/>
        </w:rPr>
        <w:instrText xml:space="preserve"> PAGEREF _Toc9089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eastAsia="宋体" w:cs="宋体"/>
          <w:color w:val="auto"/>
          <w:spacing w:val="0"/>
          <w:szCs w:val="24"/>
          <w:highlight w:val="none"/>
        </w:rPr>
        <w:fldChar w:fldCharType="end"/>
      </w:r>
    </w:p>
    <w:p w14:paraId="04F9D36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_Toc25591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．工程结算原则</w:t>
      </w:r>
      <w:r>
        <w:rPr>
          <w:color w:val="auto"/>
          <w:highlight w:val="none"/>
        </w:rPr>
        <w:tab/>
      </w:r>
      <w:r>
        <w:rPr>
          <w:color w:val="auto"/>
          <w:highlight w:val="none"/>
        </w:rPr>
        <w:fldChar w:fldCharType="begin"/>
      </w:r>
      <w:r>
        <w:rPr>
          <w:color w:val="auto"/>
          <w:highlight w:val="none"/>
        </w:rPr>
        <w:instrText xml:space="preserve"> PAGEREF _Toc25591 \h </w:instrText>
      </w:r>
      <w:r>
        <w:rPr>
          <w:color w:val="auto"/>
          <w:highlight w:val="none"/>
        </w:rPr>
        <w:fldChar w:fldCharType="separate"/>
      </w:r>
      <w:r>
        <w:rPr>
          <w:color w:val="auto"/>
          <w:highlight w:val="none"/>
        </w:rPr>
        <w:t>56</w:t>
      </w:r>
      <w:r>
        <w:rPr>
          <w:color w:val="auto"/>
          <w:highlight w:val="none"/>
        </w:rPr>
        <w:fldChar w:fldCharType="end"/>
      </w:r>
      <w:r>
        <w:rPr>
          <w:rFonts w:hint="eastAsia" w:ascii="宋体" w:hAnsi="宋体" w:eastAsia="宋体" w:cs="宋体"/>
          <w:color w:val="auto"/>
          <w:spacing w:val="0"/>
          <w:szCs w:val="24"/>
          <w:highlight w:val="none"/>
        </w:rPr>
        <w:fldChar w:fldCharType="end"/>
      </w:r>
    </w:p>
    <w:p w14:paraId="7EEF5A24">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_Toc25828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_Toc25828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pacing w:val="0"/>
          <w:szCs w:val="24"/>
          <w:highlight w:val="none"/>
        </w:rPr>
        <w:fldChar w:fldCharType="end"/>
      </w:r>
    </w:p>
    <w:p w14:paraId="01E60F85">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_Toc20640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4 ．其他专用合同条款</w:t>
      </w:r>
      <w:r>
        <w:rPr>
          <w:color w:val="auto"/>
          <w:highlight w:val="none"/>
        </w:rPr>
        <w:tab/>
      </w:r>
      <w:r>
        <w:rPr>
          <w:color w:val="auto"/>
          <w:highlight w:val="none"/>
        </w:rPr>
        <w:fldChar w:fldCharType="begin"/>
      </w:r>
      <w:r>
        <w:rPr>
          <w:color w:val="auto"/>
          <w:highlight w:val="none"/>
        </w:rPr>
        <w:instrText xml:space="preserve"> PAGEREF _Toc20640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pacing w:val="0"/>
          <w:szCs w:val="24"/>
          <w:highlight w:val="none"/>
        </w:rPr>
        <w:fldChar w:fldCharType="end"/>
      </w:r>
    </w:p>
    <w:p w14:paraId="7710E340">
      <w:pPr>
        <w:pStyle w:val="11"/>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_Toc24977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第四章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_Toc24977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pacing w:val="0"/>
          <w:szCs w:val="24"/>
          <w:highlight w:val="none"/>
        </w:rPr>
        <w:fldChar w:fldCharType="end"/>
      </w:r>
    </w:p>
    <w:p w14:paraId="3B8C99AE">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_Toc4930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．房屋建筑工程建设项目</w:t>
      </w:r>
      <w:r>
        <w:rPr>
          <w:color w:val="auto"/>
          <w:highlight w:val="none"/>
        </w:rPr>
        <w:tab/>
      </w:r>
      <w:r>
        <w:rPr>
          <w:color w:val="auto"/>
          <w:highlight w:val="none"/>
        </w:rPr>
        <w:fldChar w:fldCharType="begin"/>
      </w:r>
      <w:r>
        <w:rPr>
          <w:color w:val="auto"/>
          <w:highlight w:val="none"/>
        </w:rPr>
        <w:instrText xml:space="preserve"> PAGEREF _Toc4930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pacing w:val="0"/>
          <w:szCs w:val="24"/>
          <w:highlight w:val="none"/>
        </w:rPr>
        <w:fldChar w:fldCharType="end"/>
      </w:r>
    </w:p>
    <w:p w14:paraId="44FF0868">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_Toc28110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．市政基础设施工程建设项目</w:t>
      </w:r>
      <w:r>
        <w:rPr>
          <w:color w:val="auto"/>
          <w:highlight w:val="none"/>
        </w:rPr>
        <w:tab/>
      </w:r>
      <w:r>
        <w:rPr>
          <w:color w:val="auto"/>
          <w:highlight w:val="none"/>
        </w:rPr>
        <w:fldChar w:fldCharType="begin"/>
      </w:r>
      <w:r>
        <w:rPr>
          <w:color w:val="auto"/>
          <w:highlight w:val="none"/>
        </w:rPr>
        <w:instrText xml:space="preserve"> PAGEREF _Toc28110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pacing w:val="0"/>
          <w:szCs w:val="24"/>
          <w:highlight w:val="none"/>
        </w:rPr>
        <w:fldChar w:fldCharType="end"/>
      </w:r>
    </w:p>
    <w:p w14:paraId="065B2E4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_Toc30653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3 ．备查要求</w:t>
      </w:r>
      <w:r>
        <w:rPr>
          <w:color w:val="auto"/>
          <w:highlight w:val="none"/>
        </w:rPr>
        <w:tab/>
      </w:r>
      <w:r>
        <w:rPr>
          <w:color w:val="auto"/>
          <w:highlight w:val="none"/>
        </w:rPr>
        <w:fldChar w:fldCharType="begin"/>
      </w:r>
      <w:r>
        <w:rPr>
          <w:color w:val="auto"/>
          <w:highlight w:val="none"/>
        </w:rPr>
        <w:instrText xml:space="preserve"> PAGEREF _Toc30653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pacing w:val="0"/>
          <w:szCs w:val="24"/>
          <w:highlight w:val="none"/>
        </w:rPr>
        <w:fldChar w:fldCharType="end"/>
      </w:r>
    </w:p>
    <w:p w14:paraId="518417B7">
      <w:pPr>
        <w:pStyle w:val="11"/>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_Toc5097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第五章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_Toc5097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pacing w:val="0"/>
          <w:szCs w:val="24"/>
          <w:highlight w:val="none"/>
        </w:rPr>
        <w:fldChar w:fldCharType="end"/>
      </w:r>
    </w:p>
    <w:p w14:paraId="68FB0275">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_Toc15718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1 ．图纸</w:t>
      </w:r>
      <w:r>
        <w:rPr>
          <w:color w:val="auto"/>
          <w:highlight w:val="none"/>
        </w:rPr>
        <w:tab/>
      </w:r>
      <w:r>
        <w:rPr>
          <w:color w:val="auto"/>
          <w:highlight w:val="none"/>
        </w:rPr>
        <w:fldChar w:fldCharType="begin"/>
      </w:r>
      <w:r>
        <w:rPr>
          <w:color w:val="auto"/>
          <w:highlight w:val="none"/>
        </w:rPr>
        <w:instrText xml:space="preserve"> PAGEREF _Toc15718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pacing w:val="0"/>
          <w:szCs w:val="24"/>
          <w:highlight w:val="none"/>
        </w:rPr>
        <w:fldChar w:fldCharType="end"/>
      </w:r>
    </w:p>
    <w:p w14:paraId="7151A9EC">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_Toc796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2 ．招标工程量清单</w:t>
      </w:r>
      <w:r>
        <w:rPr>
          <w:color w:val="auto"/>
          <w:highlight w:val="none"/>
        </w:rPr>
        <w:tab/>
      </w:r>
      <w:r>
        <w:rPr>
          <w:color w:val="auto"/>
          <w:highlight w:val="none"/>
        </w:rPr>
        <w:fldChar w:fldCharType="begin"/>
      </w:r>
      <w:r>
        <w:rPr>
          <w:color w:val="auto"/>
          <w:highlight w:val="none"/>
        </w:rPr>
        <w:instrText xml:space="preserve"> PAGEREF _Toc796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pacing w:val="0"/>
          <w:szCs w:val="24"/>
          <w:highlight w:val="none"/>
        </w:rPr>
        <w:fldChar w:fldCharType="end"/>
      </w:r>
    </w:p>
    <w:p w14:paraId="0960CDAC">
      <w:pPr>
        <w:pStyle w:val="11"/>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_Toc30440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第六章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_Toc30440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pacing w:val="0"/>
          <w:szCs w:val="24"/>
          <w:highlight w:val="none"/>
        </w:rPr>
        <w:fldChar w:fldCharType="end"/>
      </w:r>
    </w:p>
    <w:p w14:paraId="59141CD7">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_Toc27248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格式一</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封面</w:t>
      </w:r>
      <w:r>
        <w:rPr>
          <w:color w:val="auto"/>
          <w:highlight w:val="none"/>
        </w:rPr>
        <w:tab/>
      </w:r>
      <w:r>
        <w:rPr>
          <w:color w:val="auto"/>
          <w:highlight w:val="none"/>
        </w:rPr>
        <w:fldChar w:fldCharType="begin"/>
      </w:r>
      <w:r>
        <w:rPr>
          <w:color w:val="auto"/>
          <w:highlight w:val="none"/>
        </w:rPr>
        <w:instrText xml:space="preserve"> PAGEREF _Toc27248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pacing w:val="0"/>
          <w:szCs w:val="24"/>
          <w:highlight w:val="none"/>
        </w:rPr>
        <w:fldChar w:fldCharType="end"/>
      </w:r>
    </w:p>
    <w:p w14:paraId="4B2E5AA9">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_Toc2562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_Toc2562 \h </w:instrText>
      </w:r>
      <w:r>
        <w:rPr>
          <w:color w:val="auto"/>
          <w:highlight w:val="none"/>
        </w:rPr>
        <w:fldChar w:fldCharType="separate"/>
      </w:r>
      <w:r>
        <w:rPr>
          <w:color w:val="auto"/>
          <w:highlight w:val="none"/>
        </w:rPr>
        <w:t>79</w:t>
      </w:r>
      <w:r>
        <w:rPr>
          <w:color w:val="auto"/>
          <w:highlight w:val="none"/>
        </w:rPr>
        <w:fldChar w:fldCharType="end"/>
      </w:r>
      <w:r>
        <w:rPr>
          <w:rFonts w:hint="eastAsia" w:ascii="宋体" w:hAnsi="宋体" w:eastAsia="宋体" w:cs="宋体"/>
          <w:color w:val="auto"/>
          <w:spacing w:val="0"/>
          <w:szCs w:val="24"/>
          <w:highlight w:val="none"/>
        </w:rPr>
        <w:fldChar w:fldCharType="end"/>
      </w:r>
    </w:p>
    <w:p w14:paraId="44C58487">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_Toc18431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_Toc18431 \h </w:instrText>
      </w:r>
      <w:r>
        <w:rPr>
          <w:color w:val="auto"/>
          <w:highlight w:val="none"/>
        </w:rPr>
        <w:fldChar w:fldCharType="separate"/>
      </w:r>
      <w:r>
        <w:rPr>
          <w:color w:val="auto"/>
          <w:highlight w:val="none"/>
        </w:rPr>
        <w:t>81</w:t>
      </w:r>
      <w:r>
        <w:rPr>
          <w:color w:val="auto"/>
          <w:highlight w:val="none"/>
        </w:rPr>
        <w:fldChar w:fldCharType="end"/>
      </w:r>
      <w:r>
        <w:rPr>
          <w:rFonts w:hint="eastAsia" w:ascii="宋体" w:hAnsi="宋体" w:eastAsia="宋体" w:cs="宋体"/>
          <w:color w:val="auto"/>
          <w:spacing w:val="0"/>
          <w:szCs w:val="24"/>
          <w:highlight w:val="none"/>
        </w:rPr>
        <w:fldChar w:fldCharType="end"/>
      </w:r>
    </w:p>
    <w:p w14:paraId="5BFEBE8E">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_Toc22105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_Toc22105 \h </w:instrText>
      </w:r>
      <w:r>
        <w:rPr>
          <w:color w:val="auto"/>
          <w:highlight w:val="none"/>
        </w:rPr>
        <w:fldChar w:fldCharType="separate"/>
      </w:r>
      <w:r>
        <w:rPr>
          <w:color w:val="auto"/>
          <w:highlight w:val="none"/>
        </w:rPr>
        <w:t>84</w:t>
      </w:r>
      <w:r>
        <w:rPr>
          <w:color w:val="auto"/>
          <w:highlight w:val="none"/>
        </w:rPr>
        <w:fldChar w:fldCharType="end"/>
      </w:r>
      <w:r>
        <w:rPr>
          <w:rFonts w:hint="eastAsia" w:ascii="宋体" w:hAnsi="宋体" w:eastAsia="宋体" w:cs="宋体"/>
          <w:color w:val="auto"/>
          <w:spacing w:val="0"/>
          <w:szCs w:val="24"/>
          <w:highlight w:val="none"/>
        </w:rPr>
        <w:fldChar w:fldCharType="end"/>
      </w:r>
    </w:p>
    <w:p w14:paraId="46818B5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_Toc14087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_Toc14087 \h </w:instrText>
      </w:r>
      <w:r>
        <w:rPr>
          <w:color w:val="auto"/>
          <w:highlight w:val="none"/>
        </w:rPr>
        <w:fldChar w:fldCharType="separate"/>
      </w:r>
      <w:r>
        <w:rPr>
          <w:color w:val="auto"/>
          <w:highlight w:val="none"/>
        </w:rPr>
        <w:t>86</w:t>
      </w:r>
      <w:r>
        <w:rPr>
          <w:color w:val="auto"/>
          <w:highlight w:val="none"/>
        </w:rPr>
        <w:fldChar w:fldCharType="end"/>
      </w:r>
      <w:r>
        <w:rPr>
          <w:rFonts w:hint="eastAsia" w:ascii="宋体" w:hAnsi="宋体" w:eastAsia="宋体" w:cs="宋体"/>
          <w:color w:val="auto"/>
          <w:spacing w:val="0"/>
          <w:szCs w:val="24"/>
          <w:highlight w:val="none"/>
        </w:rPr>
        <w:fldChar w:fldCharType="end"/>
      </w:r>
    </w:p>
    <w:p w14:paraId="6D996A01">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_Toc23452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_Toc23452 \h </w:instrText>
      </w:r>
      <w:r>
        <w:rPr>
          <w:color w:val="auto"/>
          <w:highlight w:val="none"/>
        </w:rPr>
        <w:fldChar w:fldCharType="separate"/>
      </w:r>
      <w:r>
        <w:rPr>
          <w:color w:val="auto"/>
          <w:highlight w:val="none"/>
        </w:rPr>
        <w:t>88</w:t>
      </w:r>
      <w:r>
        <w:rPr>
          <w:color w:val="auto"/>
          <w:highlight w:val="none"/>
        </w:rPr>
        <w:fldChar w:fldCharType="end"/>
      </w:r>
      <w:r>
        <w:rPr>
          <w:rFonts w:hint="eastAsia" w:ascii="宋体" w:hAnsi="宋体" w:eastAsia="宋体" w:cs="宋体"/>
          <w:color w:val="auto"/>
          <w:spacing w:val="0"/>
          <w:szCs w:val="24"/>
          <w:highlight w:val="none"/>
        </w:rPr>
        <w:fldChar w:fldCharType="end"/>
      </w:r>
    </w:p>
    <w:p w14:paraId="771AE7CB">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_Toc15225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_Toc15225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color w:val="auto"/>
          <w:spacing w:val="0"/>
          <w:szCs w:val="24"/>
          <w:highlight w:val="none"/>
        </w:rPr>
        <w:fldChar w:fldCharType="end"/>
      </w:r>
    </w:p>
    <w:p w14:paraId="09DBF7E2">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_Toc16647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_Toc16647 \h </w:instrText>
      </w:r>
      <w:r>
        <w:rPr>
          <w:color w:val="auto"/>
          <w:highlight w:val="none"/>
        </w:rPr>
        <w:fldChar w:fldCharType="separate"/>
      </w:r>
      <w:r>
        <w:rPr>
          <w:color w:val="auto"/>
          <w:highlight w:val="none"/>
        </w:rPr>
        <w:t>92</w:t>
      </w:r>
      <w:r>
        <w:rPr>
          <w:color w:val="auto"/>
          <w:highlight w:val="none"/>
        </w:rPr>
        <w:fldChar w:fldCharType="end"/>
      </w:r>
      <w:r>
        <w:rPr>
          <w:rFonts w:hint="eastAsia" w:ascii="宋体" w:hAnsi="宋体" w:eastAsia="宋体" w:cs="宋体"/>
          <w:color w:val="auto"/>
          <w:spacing w:val="0"/>
          <w:szCs w:val="24"/>
          <w:highlight w:val="none"/>
        </w:rPr>
        <w:fldChar w:fldCharType="end"/>
      </w:r>
    </w:p>
    <w:p w14:paraId="14E6EA26">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_Toc28123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_Toc28123 \h </w:instrText>
      </w:r>
      <w:r>
        <w:rPr>
          <w:color w:val="auto"/>
          <w:highlight w:val="none"/>
        </w:rPr>
        <w:fldChar w:fldCharType="separate"/>
      </w:r>
      <w:r>
        <w:rPr>
          <w:color w:val="auto"/>
          <w:highlight w:val="none"/>
        </w:rPr>
        <w:t>94</w:t>
      </w:r>
      <w:r>
        <w:rPr>
          <w:color w:val="auto"/>
          <w:highlight w:val="none"/>
        </w:rPr>
        <w:fldChar w:fldCharType="end"/>
      </w:r>
      <w:r>
        <w:rPr>
          <w:rFonts w:hint="eastAsia" w:ascii="宋体" w:hAnsi="宋体" w:eastAsia="宋体" w:cs="宋体"/>
          <w:color w:val="auto"/>
          <w:spacing w:val="0"/>
          <w:szCs w:val="24"/>
          <w:highlight w:val="none"/>
        </w:rPr>
        <w:fldChar w:fldCharType="end"/>
      </w:r>
    </w:p>
    <w:p w14:paraId="48394A21">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_Toc26647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_Toc26647 \h </w:instrText>
      </w:r>
      <w:r>
        <w:rPr>
          <w:color w:val="auto"/>
          <w:highlight w:val="none"/>
        </w:rPr>
        <w:fldChar w:fldCharType="separate"/>
      </w:r>
      <w:r>
        <w:rPr>
          <w:color w:val="auto"/>
          <w:highlight w:val="none"/>
        </w:rPr>
        <w:t>95</w:t>
      </w:r>
      <w:r>
        <w:rPr>
          <w:color w:val="auto"/>
          <w:highlight w:val="none"/>
        </w:rPr>
        <w:fldChar w:fldCharType="end"/>
      </w:r>
      <w:r>
        <w:rPr>
          <w:rFonts w:hint="eastAsia" w:ascii="宋体" w:hAnsi="宋体" w:eastAsia="宋体" w:cs="宋体"/>
          <w:color w:val="auto"/>
          <w:spacing w:val="0"/>
          <w:szCs w:val="24"/>
          <w:highlight w:val="none"/>
        </w:rPr>
        <w:fldChar w:fldCharType="end"/>
      </w:r>
    </w:p>
    <w:p w14:paraId="5AAF497F">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_Toc2981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_Toc2981 \h </w:instrText>
      </w:r>
      <w:r>
        <w:rPr>
          <w:color w:val="auto"/>
          <w:highlight w:val="none"/>
        </w:rPr>
        <w:fldChar w:fldCharType="separate"/>
      </w:r>
      <w:r>
        <w:rPr>
          <w:color w:val="auto"/>
          <w:highlight w:val="none"/>
        </w:rPr>
        <w:t>97</w:t>
      </w:r>
      <w:r>
        <w:rPr>
          <w:color w:val="auto"/>
          <w:highlight w:val="none"/>
        </w:rPr>
        <w:fldChar w:fldCharType="end"/>
      </w:r>
      <w:r>
        <w:rPr>
          <w:rFonts w:hint="eastAsia" w:ascii="宋体" w:hAnsi="宋体" w:eastAsia="宋体" w:cs="宋体"/>
          <w:color w:val="auto"/>
          <w:spacing w:val="0"/>
          <w:szCs w:val="24"/>
          <w:highlight w:val="none"/>
        </w:rPr>
        <w:fldChar w:fldCharType="end"/>
      </w:r>
    </w:p>
    <w:p w14:paraId="0360DD80">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_Toc27882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_Toc27882 \h </w:instrText>
      </w:r>
      <w:r>
        <w:rPr>
          <w:color w:val="auto"/>
          <w:highlight w:val="none"/>
        </w:rPr>
        <w:fldChar w:fldCharType="separate"/>
      </w:r>
      <w:r>
        <w:rPr>
          <w:color w:val="auto"/>
          <w:highlight w:val="none"/>
        </w:rPr>
        <w:t>98</w:t>
      </w:r>
      <w:r>
        <w:rPr>
          <w:color w:val="auto"/>
          <w:highlight w:val="none"/>
        </w:rPr>
        <w:fldChar w:fldCharType="end"/>
      </w:r>
      <w:r>
        <w:rPr>
          <w:rFonts w:hint="eastAsia" w:ascii="宋体" w:hAnsi="宋体" w:eastAsia="宋体" w:cs="宋体"/>
          <w:color w:val="auto"/>
          <w:spacing w:val="0"/>
          <w:szCs w:val="24"/>
          <w:highlight w:val="none"/>
        </w:rPr>
        <w:fldChar w:fldCharType="end"/>
      </w:r>
    </w:p>
    <w:p w14:paraId="5AD727C6">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_Toc7490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格式十三</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szCs w:val="22"/>
          <w:highlight w:val="none"/>
        </w:rPr>
        <w:t>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_Toc7490 \h </w:instrText>
      </w:r>
      <w:r>
        <w:rPr>
          <w:color w:val="auto"/>
          <w:highlight w:val="none"/>
        </w:rPr>
        <w:fldChar w:fldCharType="separate"/>
      </w:r>
      <w:r>
        <w:rPr>
          <w:color w:val="auto"/>
          <w:highlight w:val="none"/>
        </w:rPr>
        <w:t>101</w:t>
      </w:r>
      <w:r>
        <w:rPr>
          <w:color w:val="auto"/>
          <w:highlight w:val="none"/>
        </w:rPr>
        <w:fldChar w:fldCharType="end"/>
      </w:r>
      <w:r>
        <w:rPr>
          <w:rFonts w:hint="eastAsia" w:ascii="宋体" w:hAnsi="宋体" w:eastAsia="宋体" w:cs="宋体"/>
          <w:color w:val="auto"/>
          <w:spacing w:val="0"/>
          <w:szCs w:val="24"/>
          <w:highlight w:val="none"/>
        </w:rPr>
        <w:fldChar w:fldCharType="end"/>
      </w:r>
    </w:p>
    <w:p w14:paraId="032D3AC0">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_Toc10225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格式十四</w:t>
      </w:r>
      <w:r>
        <w:rPr>
          <w:rFonts w:hint="eastAsia" w:ascii="宋体" w:hAnsi="宋体" w:eastAsia="宋体" w:cs="宋体"/>
          <w:bCs/>
          <w:color w:val="auto"/>
          <w:spacing w:val="0"/>
          <w:szCs w:val="24"/>
          <w:highlight w:val="none"/>
          <w:lang w:val="en-US" w:eastAsia="zh-CN"/>
        </w:rPr>
        <w:t xml:space="preserve">  </w:t>
      </w:r>
      <w:r>
        <w:rPr>
          <w:rFonts w:hint="eastAsia" w:ascii="宋体" w:hAnsi="宋体" w:eastAsia="宋体" w:cs="宋体"/>
          <w:bCs/>
          <w:color w:val="auto"/>
          <w:spacing w:val="0"/>
          <w:position w:val="3"/>
          <w:szCs w:val="21"/>
          <w:highlight w:val="none"/>
        </w:rPr>
        <w:t>投标保证金信用承诺函</w:t>
      </w:r>
      <w:r>
        <w:rPr>
          <w:color w:val="auto"/>
          <w:highlight w:val="none"/>
        </w:rPr>
        <w:tab/>
      </w:r>
      <w:r>
        <w:rPr>
          <w:color w:val="auto"/>
          <w:highlight w:val="none"/>
        </w:rPr>
        <w:fldChar w:fldCharType="begin"/>
      </w:r>
      <w:r>
        <w:rPr>
          <w:color w:val="auto"/>
          <w:highlight w:val="none"/>
        </w:rPr>
        <w:instrText xml:space="preserve"> PAGEREF _Toc10225 \h </w:instrText>
      </w:r>
      <w:r>
        <w:rPr>
          <w:color w:val="auto"/>
          <w:highlight w:val="none"/>
        </w:rPr>
        <w:fldChar w:fldCharType="separate"/>
      </w:r>
      <w:r>
        <w:rPr>
          <w:color w:val="auto"/>
          <w:highlight w:val="none"/>
        </w:rPr>
        <w:t>107</w:t>
      </w:r>
      <w:r>
        <w:rPr>
          <w:color w:val="auto"/>
          <w:highlight w:val="none"/>
        </w:rPr>
        <w:fldChar w:fldCharType="end"/>
      </w:r>
      <w:r>
        <w:rPr>
          <w:rFonts w:hint="eastAsia" w:ascii="宋体" w:hAnsi="宋体" w:eastAsia="宋体" w:cs="宋体"/>
          <w:color w:val="auto"/>
          <w:spacing w:val="0"/>
          <w:szCs w:val="24"/>
          <w:highlight w:val="none"/>
        </w:rPr>
        <w:fldChar w:fldCharType="end"/>
      </w:r>
    </w:p>
    <w:p w14:paraId="636B815B">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_Toc11310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格式十</w:t>
      </w:r>
      <w:r>
        <w:rPr>
          <w:rFonts w:hint="eastAsia" w:ascii="宋体" w:hAnsi="宋体" w:eastAsia="宋体" w:cs="宋体"/>
          <w:bCs/>
          <w:color w:val="auto"/>
          <w:spacing w:val="0"/>
          <w:szCs w:val="24"/>
          <w:highlight w:val="none"/>
          <w:lang w:eastAsia="zh-CN"/>
        </w:rPr>
        <w:t>五</w:t>
      </w:r>
      <w:r>
        <w:rPr>
          <w:rFonts w:hint="eastAsia" w:ascii="宋体" w:hAnsi="宋体" w:eastAsia="宋体" w:cs="宋体"/>
          <w:bCs/>
          <w:color w:val="auto"/>
          <w:spacing w:val="0"/>
          <w:szCs w:val="24"/>
          <w:highlight w:val="none"/>
        </w:rPr>
        <w:t xml:space="preserve">  原件一览表</w:t>
      </w:r>
      <w:r>
        <w:rPr>
          <w:color w:val="auto"/>
          <w:highlight w:val="none"/>
        </w:rPr>
        <w:tab/>
      </w:r>
      <w:r>
        <w:rPr>
          <w:color w:val="auto"/>
          <w:highlight w:val="none"/>
        </w:rPr>
        <w:fldChar w:fldCharType="begin"/>
      </w:r>
      <w:r>
        <w:rPr>
          <w:color w:val="auto"/>
          <w:highlight w:val="none"/>
        </w:rPr>
        <w:instrText xml:space="preserve"> PAGEREF _Toc11310 \h </w:instrText>
      </w:r>
      <w:r>
        <w:rPr>
          <w:color w:val="auto"/>
          <w:highlight w:val="none"/>
        </w:rPr>
        <w:fldChar w:fldCharType="separate"/>
      </w:r>
      <w:r>
        <w:rPr>
          <w:color w:val="auto"/>
          <w:highlight w:val="none"/>
        </w:rPr>
        <w:t>108</w:t>
      </w:r>
      <w:r>
        <w:rPr>
          <w:color w:val="auto"/>
          <w:highlight w:val="none"/>
        </w:rPr>
        <w:fldChar w:fldCharType="end"/>
      </w:r>
      <w:r>
        <w:rPr>
          <w:rFonts w:hint="eastAsia" w:ascii="宋体" w:hAnsi="宋体" w:eastAsia="宋体" w:cs="宋体"/>
          <w:color w:val="auto"/>
          <w:spacing w:val="0"/>
          <w:szCs w:val="24"/>
          <w:highlight w:val="none"/>
        </w:rPr>
        <w:fldChar w:fldCharType="end"/>
      </w:r>
    </w:p>
    <w:p w14:paraId="51372793">
      <w:pPr>
        <w:pStyle w:val="7"/>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_Toc3144 </w:instrText>
      </w:r>
      <w:r>
        <w:rPr>
          <w:rFonts w:hint="eastAsia" w:ascii="宋体" w:hAnsi="宋体" w:eastAsia="宋体" w:cs="宋体"/>
          <w:color w:val="auto"/>
          <w:spacing w:val="0"/>
          <w:szCs w:val="24"/>
          <w:highlight w:val="none"/>
        </w:rPr>
        <w:fldChar w:fldCharType="separate"/>
      </w:r>
      <w:r>
        <w:rPr>
          <w:rFonts w:hint="eastAsia" w:ascii="Times New Roman" w:hAnsi="宋体" w:eastAsia="宋体" w:cs="Times New Roman"/>
          <w:bCs/>
          <w:snapToGrid w:val="0"/>
          <w:color w:val="auto"/>
          <w:kern w:val="2"/>
          <w:szCs w:val="21"/>
          <w:highlight w:val="none"/>
          <w:lang w:eastAsia="zh-CN"/>
        </w:rPr>
        <w:t>格式十</w:t>
      </w:r>
      <w:r>
        <w:rPr>
          <w:rFonts w:hint="eastAsia" w:ascii="Times New Roman" w:hAnsi="宋体" w:eastAsia="宋体" w:cs="Times New Roman"/>
          <w:bCs/>
          <w:snapToGrid w:val="0"/>
          <w:color w:val="auto"/>
          <w:kern w:val="2"/>
          <w:szCs w:val="21"/>
          <w:highlight w:val="none"/>
          <w:lang w:val="en-US" w:eastAsia="zh-CN"/>
        </w:rPr>
        <w:t>六 定标因素评审资料</w:t>
      </w:r>
      <w:r>
        <w:rPr>
          <w:color w:val="auto"/>
          <w:highlight w:val="none"/>
        </w:rPr>
        <w:tab/>
      </w:r>
      <w:r>
        <w:rPr>
          <w:color w:val="auto"/>
          <w:highlight w:val="none"/>
        </w:rPr>
        <w:fldChar w:fldCharType="begin"/>
      </w:r>
      <w:r>
        <w:rPr>
          <w:color w:val="auto"/>
          <w:highlight w:val="none"/>
        </w:rPr>
        <w:instrText xml:space="preserve"> PAGEREF _Toc3144 \h </w:instrText>
      </w:r>
      <w:r>
        <w:rPr>
          <w:color w:val="auto"/>
          <w:highlight w:val="none"/>
        </w:rPr>
        <w:fldChar w:fldCharType="separate"/>
      </w:r>
      <w:r>
        <w:rPr>
          <w:color w:val="auto"/>
          <w:highlight w:val="none"/>
        </w:rPr>
        <w:t>109</w:t>
      </w:r>
      <w:r>
        <w:rPr>
          <w:color w:val="auto"/>
          <w:highlight w:val="none"/>
        </w:rPr>
        <w:fldChar w:fldCharType="end"/>
      </w:r>
      <w:r>
        <w:rPr>
          <w:rFonts w:hint="eastAsia" w:ascii="宋体" w:hAnsi="宋体" w:eastAsia="宋体" w:cs="宋体"/>
          <w:color w:val="auto"/>
          <w:spacing w:val="0"/>
          <w:szCs w:val="24"/>
          <w:highlight w:val="none"/>
        </w:rPr>
        <w:fldChar w:fldCharType="end"/>
      </w:r>
    </w:p>
    <w:p w14:paraId="2060A511">
      <w:pPr>
        <w:pStyle w:val="12"/>
        <w:tabs>
          <w:tab w:val="right" w:leader="dot" w:pos="9746"/>
        </w:tabs>
        <w:spacing w:line="360" w:lineRule="auto"/>
        <w:rPr>
          <w:color w:val="auto"/>
          <w:highlight w:val="none"/>
        </w:rPr>
      </w:pPr>
      <w:r>
        <w:rPr>
          <w:rFonts w:hint="eastAsia" w:ascii="宋体" w:hAnsi="宋体" w:eastAsia="宋体" w:cs="宋体"/>
          <w:color w:val="auto"/>
          <w:spacing w:val="0"/>
          <w:szCs w:val="24"/>
          <w:highlight w:val="none"/>
        </w:rPr>
        <w:fldChar w:fldCharType="begin"/>
      </w:r>
      <w:r>
        <w:rPr>
          <w:rFonts w:hint="eastAsia" w:ascii="宋体" w:hAnsi="宋体" w:eastAsia="宋体" w:cs="宋体"/>
          <w:color w:val="auto"/>
          <w:spacing w:val="0"/>
          <w:szCs w:val="24"/>
          <w:highlight w:val="none"/>
        </w:rPr>
        <w:instrText xml:space="preserve"> HYPERLINK \l _Toc22650 </w:instrText>
      </w:r>
      <w:r>
        <w:rPr>
          <w:rFonts w:hint="eastAsia" w:ascii="宋体" w:hAnsi="宋体" w:eastAsia="宋体" w:cs="宋体"/>
          <w:color w:val="auto"/>
          <w:spacing w:val="0"/>
          <w:szCs w:val="24"/>
          <w:highlight w:val="none"/>
        </w:rPr>
        <w:fldChar w:fldCharType="separate"/>
      </w:r>
      <w:r>
        <w:rPr>
          <w:rFonts w:hint="eastAsia" w:ascii="宋体" w:hAnsi="宋体" w:eastAsia="宋体" w:cs="宋体"/>
          <w:bCs/>
          <w:color w:val="auto"/>
          <w:spacing w:val="0"/>
          <w:szCs w:val="24"/>
          <w:highlight w:val="none"/>
        </w:rPr>
        <w:t>第七章</w:t>
      </w:r>
      <w:r>
        <w:rPr>
          <w:rFonts w:hint="eastAsia" w:ascii="宋体" w:hAnsi="宋体" w:eastAsia="宋体" w:cs="宋体"/>
          <w:color w:val="auto"/>
          <w:spacing w:val="0"/>
          <w:szCs w:val="24"/>
          <w:highlight w:val="none"/>
        </w:rPr>
        <w:t xml:space="preserve"> </w:t>
      </w:r>
      <w:r>
        <w:rPr>
          <w:rFonts w:hint="eastAsia" w:ascii="宋体" w:hAnsi="宋体" w:eastAsia="宋体" w:cs="宋体"/>
          <w:bCs/>
          <w:color w:val="auto"/>
          <w:spacing w:val="0"/>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_Toc22650 \h </w:instrText>
      </w:r>
      <w:r>
        <w:rPr>
          <w:color w:val="auto"/>
          <w:highlight w:val="none"/>
        </w:rPr>
        <w:fldChar w:fldCharType="separate"/>
      </w:r>
      <w:r>
        <w:rPr>
          <w:color w:val="auto"/>
          <w:highlight w:val="none"/>
        </w:rPr>
        <w:t>110</w:t>
      </w:r>
      <w:r>
        <w:rPr>
          <w:color w:val="auto"/>
          <w:highlight w:val="none"/>
        </w:rPr>
        <w:fldChar w:fldCharType="end"/>
      </w:r>
      <w:r>
        <w:rPr>
          <w:rFonts w:hint="eastAsia" w:ascii="宋体" w:hAnsi="宋体" w:eastAsia="宋体" w:cs="宋体"/>
          <w:color w:val="auto"/>
          <w:spacing w:val="0"/>
          <w:szCs w:val="24"/>
          <w:highlight w:val="none"/>
        </w:rPr>
        <w:fldChar w:fldCharType="end"/>
      </w:r>
    </w:p>
    <w:p w14:paraId="7CE8F2FC">
      <w:pPr>
        <w:keepNext w:val="0"/>
        <w:keepLines w:val="0"/>
        <w:pageBreakBefore w:val="0"/>
        <w:wordWrap w:val="0"/>
        <w:overflowPunct/>
        <w:topLinePunct w:val="0"/>
        <w:bidi w:val="0"/>
        <w:spacing w:line="360" w:lineRule="auto"/>
        <w:jc w:val="center"/>
        <w:rPr>
          <w:rFonts w:hint="eastAsia" w:ascii="宋体" w:hAnsi="宋体" w:eastAsia="宋体" w:cs="宋体"/>
          <w:color w:val="auto"/>
          <w:spacing w:val="0"/>
          <w:sz w:val="24"/>
          <w:szCs w:val="24"/>
          <w:highlight w:val="none"/>
        </w:rPr>
        <w:sectPr>
          <w:footerReference r:id="rId8" w:type="default"/>
          <w:pgSz w:w="11906" w:h="16839"/>
          <w:pgMar w:top="1440" w:right="1080" w:bottom="1440" w:left="1080" w:header="1200" w:footer="1134" w:gutter="0"/>
          <w:pgBorders>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pacing w:val="0"/>
          <w:szCs w:val="24"/>
          <w:highlight w:val="none"/>
        </w:rPr>
        <w:fldChar w:fldCharType="end"/>
      </w:r>
    </w:p>
    <w:p w14:paraId="73063668">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highlight w:val="none"/>
        </w:rPr>
      </w:pPr>
    </w:p>
    <w:p w14:paraId="49639CDB">
      <w:pPr>
        <w:keepNext w:val="0"/>
        <w:keepLines w:val="0"/>
        <w:pageBreakBefore w:val="0"/>
        <w:wordWrap w:val="0"/>
        <w:overflowPunct/>
        <w:topLinePunct w:val="0"/>
        <w:bidi w:val="0"/>
        <w:spacing w:before="78" w:line="360" w:lineRule="auto"/>
        <w:ind w:left="3416"/>
        <w:outlineLvl w:val="0"/>
        <w:rPr>
          <w:rFonts w:hint="eastAsia" w:ascii="宋体" w:hAnsi="宋体" w:eastAsia="宋体" w:cs="宋体"/>
          <w:color w:val="auto"/>
          <w:spacing w:val="0"/>
          <w:sz w:val="24"/>
          <w:szCs w:val="24"/>
          <w:highlight w:val="none"/>
        </w:rPr>
      </w:pPr>
      <w:bookmarkStart w:id="4" w:name="bookmark1"/>
      <w:bookmarkEnd w:id="4"/>
      <w:bookmarkStart w:id="5" w:name="_Toc12197"/>
      <w:r>
        <w:rPr>
          <w:rFonts w:hint="eastAsia" w:ascii="宋体" w:hAnsi="宋体" w:eastAsia="宋体" w:cs="宋体"/>
          <w:b/>
          <w:bCs/>
          <w:color w:val="auto"/>
          <w:spacing w:val="0"/>
          <w:sz w:val="24"/>
          <w:szCs w:val="24"/>
          <w:highlight w:val="none"/>
        </w:rPr>
        <w:t>第一章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w:t>
      </w:r>
      <w:bookmarkEnd w:id="5"/>
    </w:p>
    <w:p w14:paraId="0C219C57">
      <w:pPr>
        <w:keepNext w:val="0"/>
        <w:keepLines w:val="0"/>
        <w:pageBreakBefore w:val="0"/>
        <w:wordWrap w:val="0"/>
        <w:overflowPunct/>
        <w:topLinePunct w:val="0"/>
        <w:bidi w:val="0"/>
        <w:spacing w:before="156" w:line="360" w:lineRule="auto"/>
        <w:ind w:left="17"/>
        <w:outlineLvl w:val="1"/>
        <w:rPr>
          <w:rFonts w:hint="eastAsia" w:ascii="宋体" w:hAnsi="宋体" w:eastAsia="宋体" w:cs="宋体"/>
          <w:color w:val="auto"/>
          <w:spacing w:val="0"/>
          <w:sz w:val="24"/>
          <w:szCs w:val="24"/>
          <w:highlight w:val="none"/>
        </w:rPr>
      </w:pPr>
      <w:bookmarkStart w:id="6" w:name="bookmark3"/>
      <w:bookmarkEnd w:id="6"/>
      <w:bookmarkStart w:id="7" w:name="_Toc30373"/>
      <w:r>
        <w:rPr>
          <w:rFonts w:hint="eastAsia" w:ascii="宋体" w:hAnsi="宋体" w:eastAsia="宋体" w:cs="宋体"/>
          <w:b/>
          <w:bCs/>
          <w:color w:val="auto"/>
          <w:spacing w:val="0"/>
          <w:sz w:val="24"/>
          <w:szCs w:val="24"/>
          <w:highlight w:val="none"/>
        </w:rPr>
        <w:t>第一节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投标人须知前附表</w:t>
      </w:r>
      <w:bookmarkEnd w:id="7"/>
    </w:p>
    <w:p w14:paraId="451443B4">
      <w:pPr>
        <w:keepNext w:val="0"/>
        <w:keepLines w:val="0"/>
        <w:pageBreakBefore w:val="0"/>
        <w:wordWrap w:val="0"/>
        <w:overflowPunct/>
        <w:topLinePunct w:val="0"/>
        <w:bidi w:val="0"/>
        <w:spacing w:before="25" w:line="360" w:lineRule="auto"/>
        <w:rPr>
          <w:rFonts w:hint="eastAsia" w:ascii="宋体" w:hAnsi="宋体" w:eastAsia="宋体" w:cs="宋体"/>
          <w:color w:val="auto"/>
          <w:spacing w:val="0"/>
          <w:sz w:val="24"/>
          <w:szCs w:val="24"/>
          <w:highlight w:val="none"/>
        </w:rPr>
      </w:pPr>
    </w:p>
    <w:tbl>
      <w:tblPr>
        <w:tblStyle w:val="16"/>
        <w:tblW w:w="100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495"/>
        <w:gridCol w:w="8021"/>
      </w:tblGrid>
      <w:tr w14:paraId="7ACC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4758577E">
            <w:pPr>
              <w:keepNext w:val="0"/>
              <w:keepLines w:val="0"/>
              <w:pageBreakBefore w:val="0"/>
              <w:wordWrap w:val="0"/>
              <w:overflowPunct/>
              <w:topLinePunct w:val="0"/>
              <w:bidi w:val="0"/>
              <w:spacing w:before="203" w:line="360" w:lineRule="auto"/>
              <w:ind w:left="0" w:leftChars="0" w:firstLine="0" w:firstLineChars="0"/>
              <w:jc w:val="center"/>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序号</w:t>
            </w:r>
          </w:p>
        </w:tc>
        <w:tc>
          <w:tcPr>
            <w:tcW w:w="1495" w:type="dxa"/>
            <w:vAlign w:val="center"/>
          </w:tcPr>
          <w:p w14:paraId="7B8ED52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内容</w:t>
            </w:r>
          </w:p>
        </w:tc>
        <w:tc>
          <w:tcPr>
            <w:tcW w:w="8021" w:type="dxa"/>
            <w:vAlign w:val="center"/>
          </w:tcPr>
          <w:p w14:paraId="0575BAF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说明与要求</w:t>
            </w:r>
          </w:p>
        </w:tc>
      </w:tr>
      <w:tr w14:paraId="53CA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4D199C6">
            <w:pPr>
              <w:keepNext w:val="0"/>
              <w:keepLines w:val="0"/>
              <w:pageBreakBefore w:val="0"/>
              <w:wordWrap w:val="0"/>
              <w:overflowPunct/>
              <w:topLinePunct w:val="0"/>
              <w:bidi w:val="0"/>
              <w:spacing w:before="223" w:line="360" w:lineRule="auto"/>
              <w:jc w:val="center"/>
              <w:rPr>
                <w:rFonts w:hint="eastAsia" w:ascii="宋体" w:hAnsi="宋体" w:eastAsia="宋体" w:cs="宋体"/>
                <w:color w:val="auto"/>
                <w:spacing w:val="0"/>
                <w:sz w:val="24"/>
                <w:szCs w:val="24"/>
                <w:highlight w:val="none"/>
              </w:rPr>
            </w:pPr>
            <w:bookmarkStart w:id="8" w:name="OLE_LINK2" w:colFirst="2" w:colLast="2"/>
            <w:r>
              <w:rPr>
                <w:rFonts w:hint="eastAsia" w:ascii="宋体" w:hAnsi="宋体" w:eastAsia="宋体" w:cs="宋体"/>
                <w:color w:val="auto"/>
                <w:spacing w:val="0"/>
                <w:sz w:val="24"/>
                <w:szCs w:val="24"/>
                <w:highlight w:val="none"/>
              </w:rPr>
              <w:t>1</w:t>
            </w:r>
          </w:p>
        </w:tc>
        <w:tc>
          <w:tcPr>
            <w:tcW w:w="1495" w:type="dxa"/>
            <w:vAlign w:val="center"/>
          </w:tcPr>
          <w:p w14:paraId="6E81DB5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项目名称</w:t>
            </w:r>
          </w:p>
        </w:tc>
        <w:tc>
          <w:tcPr>
            <w:tcW w:w="8021" w:type="dxa"/>
            <w:vAlign w:val="center"/>
          </w:tcPr>
          <w:p w14:paraId="62C2E40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蓉城花园一街2、3座保障性租赁住房装修项目施工</w:t>
            </w:r>
          </w:p>
        </w:tc>
      </w:tr>
      <w:tr w14:paraId="1C49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 w:hRule="atLeast"/>
        </w:trPr>
        <w:tc>
          <w:tcPr>
            <w:tcW w:w="582" w:type="dxa"/>
            <w:vAlign w:val="center"/>
          </w:tcPr>
          <w:p w14:paraId="5546609D">
            <w:pPr>
              <w:keepNext w:val="0"/>
              <w:keepLines w:val="0"/>
              <w:pageBreakBefore w:val="0"/>
              <w:wordWrap w:val="0"/>
              <w:overflowPunct/>
              <w:topLinePunct w:val="0"/>
              <w:bidi w:val="0"/>
              <w:spacing w:before="222"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495" w:type="dxa"/>
            <w:vAlign w:val="center"/>
          </w:tcPr>
          <w:p w14:paraId="28FBECF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项目业主</w:t>
            </w:r>
          </w:p>
        </w:tc>
        <w:tc>
          <w:tcPr>
            <w:tcW w:w="8021" w:type="dxa"/>
            <w:vAlign w:val="center"/>
          </w:tcPr>
          <w:p w14:paraId="6B4C0B9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韶关市成丰资源开发管理有限公司</w:t>
            </w:r>
          </w:p>
        </w:tc>
      </w:tr>
      <w:tr w14:paraId="42F2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582" w:type="dxa"/>
            <w:vAlign w:val="center"/>
          </w:tcPr>
          <w:p w14:paraId="2FE483DA">
            <w:pPr>
              <w:keepNext w:val="0"/>
              <w:keepLines w:val="0"/>
              <w:pageBreakBefore w:val="0"/>
              <w:wordWrap w:val="0"/>
              <w:overflowPunct/>
              <w:topLinePunct w:val="0"/>
              <w:bidi w:val="0"/>
              <w:spacing w:before="58"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495" w:type="dxa"/>
            <w:vAlign w:val="center"/>
          </w:tcPr>
          <w:p w14:paraId="31041B2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项目批准部门及项目批准文号</w:t>
            </w:r>
          </w:p>
        </w:tc>
        <w:tc>
          <w:tcPr>
            <w:tcW w:w="8021" w:type="dxa"/>
            <w:vAlign w:val="center"/>
          </w:tcPr>
          <w:p w14:paraId="141A5A4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武江区发展和改革局（广东省企业投资项目备案证）</w:t>
            </w:r>
          </w:p>
        </w:tc>
      </w:tr>
      <w:tr w14:paraId="58FC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065D891">
            <w:pPr>
              <w:keepNext w:val="0"/>
              <w:keepLines w:val="0"/>
              <w:pageBreakBefore w:val="0"/>
              <w:wordWrap w:val="0"/>
              <w:overflowPunct/>
              <w:topLinePunct w:val="0"/>
              <w:bidi w:val="0"/>
              <w:spacing w:before="225"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495" w:type="dxa"/>
            <w:vAlign w:val="center"/>
          </w:tcPr>
          <w:p w14:paraId="2161DF4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建设地点</w:t>
            </w:r>
          </w:p>
        </w:tc>
        <w:tc>
          <w:tcPr>
            <w:tcW w:w="8021" w:type="dxa"/>
            <w:tcMar>
              <w:top w:w="0" w:type="dxa"/>
              <w:left w:w="0" w:type="dxa"/>
              <w:bottom w:w="0" w:type="dxa"/>
              <w:right w:w="0" w:type="dxa"/>
            </w:tcMar>
            <w:vAlign w:val="center"/>
          </w:tcPr>
          <w:p w14:paraId="17B62E4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韶关市武江区蓉城花园一街2、3座</w:t>
            </w:r>
          </w:p>
        </w:tc>
      </w:tr>
      <w:tr w14:paraId="767A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582" w:type="dxa"/>
            <w:vAlign w:val="center"/>
          </w:tcPr>
          <w:p w14:paraId="62C389A3">
            <w:pPr>
              <w:keepNext w:val="0"/>
              <w:keepLines w:val="0"/>
              <w:pageBreakBefore w:val="0"/>
              <w:wordWrap w:val="0"/>
              <w:overflowPunct/>
              <w:topLinePunct w:val="0"/>
              <w:bidi w:val="0"/>
              <w:spacing w:before="226"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495" w:type="dxa"/>
            <w:vAlign w:val="center"/>
          </w:tcPr>
          <w:p w14:paraId="4E0519E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项目代码</w:t>
            </w:r>
          </w:p>
        </w:tc>
        <w:tc>
          <w:tcPr>
            <w:tcW w:w="8021" w:type="dxa"/>
            <w:vAlign w:val="center"/>
          </w:tcPr>
          <w:p w14:paraId="168A8C9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2606-440203-04-02-518985</w:t>
            </w:r>
          </w:p>
        </w:tc>
      </w:tr>
      <w:tr w14:paraId="4134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27F55D58">
            <w:pPr>
              <w:keepNext w:val="0"/>
              <w:keepLines w:val="0"/>
              <w:pageBreakBefore w:val="0"/>
              <w:wordWrap w:val="0"/>
              <w:overflowPunct/>
              <w:topLinePunct w:val="0"/>
              <w:bidi w:val="0"/>
              <w:spacing w:before="58"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495" w:type="dxa"/>
            <w:vAlign w:val="center"/>
          </w:tcPr>
          <w:p w14:paraId="54684E3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资金来源及落实情况</w:t>
            </w:r>
          </w:p>
        </w:tc>
        <w:tc>
          <w:tcPr>
            <w:tcW w:w="8021" w:type="dxa"/>
            <w:vAlign w:val="center"/>
          </w:tcPr>
          <w:p w14:paraId="0168322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自筹资金，100%</w:t>
            </w:r>
          </w:p>
        </w:tc>
      </w:tr>
      <w:tr w14:paraId="55E0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trPr>
        <w:tc>
          <w:tcPr>
            <w:tcW w:w="582" w:type="dxa"/>
            <w:vAlign w:val="center"/>
          </w:tcPr>
          <w:p w14:paraId="13A867CC">
            <w:pPr>
              <w:keepNext w:val="0"/>
              <w:keepLines w:val="0"/>
              <w:pageBreakBefore w:val="0"/>
              <w:wordWrap w:val="0"/>
              <w:overflowPunct/>
              <w:topLinePunct w:val="0"/>
              <w:bidi w:val="0"/>
              <w:spacing w:before="228"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495" w:type="dxa"/>
            <w:vAlign w:val="center"/>
          </w:tcPr>
          <w:p w14:paraId="1395956E">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招标人</w:t>
            </w:r>
          </w:p>
        </w:tc>
        <w:tc>
          <w:tcPr>
            <w:tcW w:w="8021" w:type="dxa"/>
            <w:vAlign w:val="center"/>
          </w:tcPr>
          <w:p w14:paraId="2D9D595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韶关市成丰资源开发管理有限公司</w:t>
            </w:r>
          </w:p>
        </w:tc>
      </w:tr>
      <w:tr w14:paraId="38A7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2" w:type="dxa"/>
            <w:vAlign w:val="center"/>
          </w:tcPr>
          <w:p w14:paraId="6A89B71E">
            <w:pPr>
              <w:keepNext w:val="0"/>
              <w:keepLines w:val="0"/>
              <w:pageBreakBefore w:val="0"/>
              <w:wordWrap w:val="0"/>
              <w:overflowPunct/>
              <w:topLinePunct w:val="0"/>
              <w:bidi w:val="0"/>
              <w:spacing w:before="224"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w:t>
            </w:r>
          </w:p>
        </w:tc>
        <w:tc>
          <w:tcPr>
            <w:tcW w:w="1495" w:type="dxa"/>
            <w:vAlign w:val="center"/>
          </w:tcPr>
          <w:p w14:paraId="35B8FC2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招标代理机构</w:t>
            </w:r>
          </w:p>
        </w:tc>
        <w:tc>
          <w:tcPr>
            <w:tcW w:w="8021" w:type="dxa"/>
            <w:vAlign w:val="center"/>
          </w:tcPr>
          <w:p w14:paraId="7B44CAF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智埔国际建设集团有限公司</w:t>
            </w:r>
          </w:p>
        </w:tc>
      </w:tr>
      <w:tr w14:paraId="45E3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EE48A18">
            <w:pPr>
              <w:keepNext w:val="0"/>
              <w:keepLines w:val="0"/>
              <w:pageBreakBefore w:val="0"/>
              <w:wordWrap w:val="0"/>
              <w:overflowPunct/>
              <w:topLinePunct w:val="0"/>
              <w:bidi w:val="0"/>
              <w:spacing w:before="225"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w:t>
            </w:r>
          </w:p>
        </w:tc>
        <w:tc>
          <w:tcPr>
            <w:tcW w:w="1495" w:type="dxa"/>
            <w:vAlign w:val="center"/>
          </w:tcPr>
          <w:p w14:paraId="2173F83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设计单位</w:t>
            </w:r>
          </w:p>
        </w:tc>
        <w:tc>
          <w:tcPr>
            <w:tcW w:w="8021" w:type="dxa"/>
            <w:vAlign w:val="center"/>
          </w:tcPr>
          <w:p w14:paraId="363B6AC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color w:val="auto"/>
                <w:sz w:val="24"/>
                <w:szCs w:val="24"/>
                <w:highlight w:val="none"/>
                <w:lang w:eastAsia="zh-CN"/>
              </w:rPr>
              <w:t>韶关市建筑设计院有限公司</w:t>
            </w:r>
          </w:p>
        </w:tc>
      </w:tr>
      <w:bookmarkEnd w:id="8"/>
      <w:tr w14:paraId="3BFA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trPr>
        <w:tc>
          <w:tcPr>
            <w:tcW w:w="582" w:type="dxa"/>
            <w:vAlign w:val="center"/>
          </w:tcPr>
          <w:p w14:paraId="1635C0FD">
            <w:pPr>
              <w:keepNext w:val="0"/>
              <w:keepLines w:val="0"/>
              <w:pageBreakBefore w:val="0"/>
              <w:wordWrap w:val="0"/>
              <w:overflowPunct/>
              <w:topLinePunct w:val="0"/>
              <w:bidi w:val="0"/>
              <w:spacing w:before="245"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w:t>
            </w:r>
          </w:p>
        </w:tc>
        <w:tc>
          <w:tcPr>
            <w:tcW w:w="1495" w:type="dxa"/>
            <w:vAlign w:val="center"/>
          </w:tcPr>
          <w:p w14:paraId="2495ED4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造价咨询单位</w:t>
            </w:r>
          </w:p>
        </w:tc>
        <w:tc>
          <w:tcPr>
            <w:tcW w:w="8021" w:type="dxa"/>
            <w:vAlign w:val="center"/>
          </w:tcPr>
          <w:p w14:paraId="6BD3EE2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eastAsia="zh-CN"/>
              </w:rPr>
              <w:t>□非全过程造价咨询</w:t>
            </w:r>
            <w:r>
              <w:rPr>
                <w:rFonts w:hint="eastAsia" w:ascii="宋体" w:hAnsi="宋体" w:eastAsia="宋体" w:cs="宋体"/>
                <w:snapToGrid w:val="0"/>
                <w:color w:val="auto"/>
                <w:spacing w:val="0"/>
                <w:kern w:val="0"/>
                <w:sz w:val="24"/>
                <w:szCs w:val="24"/>
                <w:highlight w:val="none"/>
                <w:lang w:val="en-US" w:eastAsia="zh-CN"/>
              </w:rPr>
              <w:t xml:space="preserve">  </w:t>
            </w:r>
            <w:r>
              <w:rPr>
                <w:rFonts w:hint="eastAsia" w:ascii="宋体" w:hAnsi="宋体" w:eastAsia="宋体" w:cs="宋体"/>
                <w:snapToGrid w:val="0"/>
                <w:color w:val="auto"/>
                <w:spacing w:val="0"/>
                <w:kern w:val="0"/>
                <w:sz w:val="24"/>
                <w:szCs w:val="24"/>
                <w:highlight w:val="none"/>
                <w:lang w:eastAsia="zh-CN"/>
              </w:rPr>
              <w:t>☑全过程造价咨询</w:t>
            </w:r>
            <w:r>
              <w:rPr>
                <w:rFonts w:hint="eastAsia" w:ascii="宋体" w:hAnsi="宋体" w:eastAsia="宋体" w:cs="宋体"/>
                <w:snapToGrid w:val="0"/>
                <w:color w:val="auto"/>
                <w:spacing w:val="0"/>
                <w:kern w:val="0"/>
                <w:sz w:val="24"/>
                <w:szCs w:val="24"/>
                <w:highlight w:val="none"/>
                <w:lang w:val="en-US" w:eastAsia="zh-CN"/>
              </w:rPr>
              <w:t xml:space="preserve">  </w:t>
            </w:r>
          </w:p>
        </w:tc>
      </w:tr>
      <w:tr w14:paraId="3692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9F5224E">
            <w:pPr>
              <w:keepNext w:val="0"/>
              <w:keepLines w:val="0"/>
              <w:pageBreakBefore w:val="0"/>
              <w:wordWrap w:val="0"/>
              <w:overflowPunct/>
              <w:topLinePunct w:val="0"/>
              <w:bidi w:val="0"/>
              <w:spacing w:before="242"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w:t>
            </w:r>
          </w:p>
        </w:tc>
        <w:tc>
          <w:tcPr>
            <w:tcW w:w="1495" w:type="dxa"/>
            <w:vAlign w:val="center"/>
          </w:tcPr>
          <w:p w14:paraId="1084556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监理单位</w:t>
            </w:r>
          </w:p>
        </w:tc>
        <w:tc>
          <w:tcPr>
            <w:tcW w:w="8021" w:type="dxa"/>
            <w:vAlign w:val="center"/>
          </w:tcPr>
          <w:p w14:paraId="0067EC3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☑已确定监理单位</w:t>
            </w:r>
            <w:r>
              <w:rPr>
                <w:rFonts w:hint="eastAsia" w:ascii="宋体" w:hAnsi="宋体" w:eastAsia="宋体" w:cs="宋体"/>
                <w:snapToGrid w:val="0"/>
                <w:color w:val="auto"/>
                <w:spacing w:val="0"/>
                <w:kern w:val="0"/>
                <w:sz w:val="24"/>
                <w:szCs w:val="24"/>
                <w:highlight w:val="none"/>
                <w:lang w:val="en-US" w:eastAsia="zh-CN"/>
              </w:rPr>
              <w:t xml:space="preserve">   </w:t>
            </w:r>
            <w:r>
              <w:rPr>
                <w:rFonts w:hint="eastAsia" w:ascii="宋体" w:hAnsi="宋体" w:eastAsia="宋体" w:cs="宋体"/>
                <w:snapToGrid w:val="0"/>
                <w:color w:val="auto"/>
                <w:spacing w:val="0"/>
                <w:kern w:val="0"/>
                <w:sz w:val="24"/>
                <w:szCs w:val="24"/>
                <w:highlight w:val="none"/>
                <w:lang w:eastAsia="zh-CN"/>
              </w:rPr>
              <w:t>□未确定监理单位</w:t>
            </w:r>
          </w:p>
        </w:tc>
      </w:tr>
      <w:tr w14:paraId="2E54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2D733243">
            <w:pPr>
              <w:keepNext w:val="0"/>
              <w:keepLines w:val="0"/>
              <w:pageBreakBefore w:val="0"/>
              <w:wordWrap w:val="0"/>
              <w:overflowPunct/>
              <w:topLinePunct w:val="0"/>
              <w:bidi w:val="0"/>
              <w:spacing w:before="58"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w:t>
            </w:r>
            <w:r>
              <w:rPr>
                <w:rFonts w:hint="eastAsia" w:ascii="宋体" w:hAnsi="宋体" w:eastAsia="宋体" w:cs="宋体"/>
                <w:color w:val="auto"/>
                <w:spacing w:val="0"/>
                <w:sz w:val="24"/>
                <w:szCs w:val="24"/>
                <w:highlight w:val="none"/>
              </w:rPr>
              <w:t>2</w:t>
            </w:r>
          </w:p>
        </w:tc>
        <w:tc>
          <w:tcPr>
            <w:tcW w:w="1495" w:type="dxa"/>
            <w:vAlign w:val="center"/>
          </w:tcPr>
          <w:p w14:paraId="526340D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建设内容和规模</w:t>
            </w:r>
          </w:p>
        </w:tc>
        <w:tc>
          <w:tcPr>
            <w:tcW w:w="8021" w:type="dxa"/>
            <w:vAlign w:val="center"/>
          </w:tcPr>
          <w:p w14:paraId="5C660F0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eastAsia="zh-CN"/>
              </w:rPr>
              <w:t>□建设规模：</w:t>
            </w:r>
            <w:r>
              <w:rPr>
                <w:rFonts w:hint="eastAsia" w:ascii="宋体" w:hAnsi="宋体" w:eastAsia="宋体" w:cs="宋体"/>
                <w:snapToGrid w:val="0"/>
                <w:color w:val="auto"/>
                <w:spacing w:val="0"/>
                <w:kern w:val="0"/>
                <w:sz w:val="24"/>
                <w:szCs w:val="24"/>
                <w:highlight w:val="none"/>
                <w:lang w:val="en-US" w:eastAsia="zh-CN"/>
              </w:rPr>
              <w:t>/</w:t>
            </w:r>
          </w:p>
          <w:p w14:paraId="4FDA639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☑建设内容：</w:t>
            </w:r>
          </w:p>
          <w:p w14:paraId="7E68E26D">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left="210" w:leftChars="100" w:firstLine="0" w:firstLineChars="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val="en-US" w:eastAsia="zh-CN" w:bidi="ar-SA"/>
              </w:rPr>
              <w:t>蓉城花园一街2、3座房屋状态为电梯毛坯房，楼层为18层，共计204套。户型均为二房二厅一厨一卫一阳台，户均建筑面积73.29平方米，总建筑面积14952.5平方米。室内装修以硬装为主，主要内容包括水电工程、墙面工程、地面工程、门窗工程、油漆工程等。</w:t>
            </w:r>
          </w:p>
        </w:tc>
      </w:tr>
      <w:tr w14:paraId="6450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519A5EB">
            <w:pPr>
              <w:keepNext w:val="0"/>
              <w:keepLines w:val="0"/>
              <w:pageBreakBefore w:val="0"/>
              <w:wordWrap w:val="0"/>
              <w:overflowPunct/>
              <w:topLinePunct w:val="0"/>
              <w:bidi w:val="0"/>
              <w:spacing w:before="57"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w:t>
            </w:r>
          </w:p>
        </w:tc>
        <w:tc>
          <w:tcPr>
            <w:tcW w:w="1495" w:type="dxa"/>
            <w:vAlign w:val="center"/>
          </w:tcPr>
          <w:p w14:paraId="15BC852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项目总投资</w:t>
            </w:r>
          </w:p>
        </w:tc>
        <w:tc>
          <w:tcPr>
            <w:tcW w:w="8021" w:type="dxa"/>
            <w:vAlign w:val="center"/>
          </w:tcPr>
          <w:p w14:paraId="051183D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项目总投资为1200万元,其中工程费用为1073.17万元。</w:t>
            </w:r>
          </w:p>
        </w:tc>
      </w:tr>
      <w:tr w14:paraId="09BB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582" w:type="dxa"/>
            <w:vAlign w:val="center"/>
          </w:tcPr>
          <w:p w14:paraId="2280C6D3">
            <w:pPr>
              <w:keepNext w:val="0"/>
              <w:keepLines w:val="0"/>
              <w:pageBreakBefore w:val="0"/>
              <w:wordWrap w:val="0"/>
              <w:overflowPunct/>
              <w:topLinePunct w:val="0"/>
              <w:bidi w:val="0"/>
              <w:spacing w:before="58"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14</w:t>
            </w:r>
          </w:p>
        </w:tc>
        <w:tc>
          <w:tcPr>
            <w:tcW w:w="1495" w:type="dxa"/>
            <w:vAlign w:val="center"/>
          </w:tcPr>
          <w:p w14:paraId="58FC513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招标范围</w:t>
            </w:r>
          </w:p>
        </w:tc>
        <w:tc>
          <w:tcPr>
            <w:tcW w:w="8021" w:type="dxa"/>
            <w:vAlign w:val="center"/>
          </w:tcPr>
          <w:p w14:paraId="2CC19A7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按审查合格的施工图纸及工程量清单内容施工</w:t>
            </w:r>
          </w:p>
        </w:tc>
      </w:tr>
      <w:tr w14:paraId="3290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334CDB2D">
            <w:pPr>
              <w:keepNext w:val="0"/>
              <w:keepLines w:val="0"/>
              <w:pageBreakBefore w:val="0"/>
              <w:wordWrap w:val="0"/>
              <w:overflowPunct/>
              <w:topLinePunct w:val="0"/>
              <w:bidi w:val="0"/>
              <w:spacing w:before="58"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w:t>
            </w:r>
          </w:p>
        </w:tc>
        <w:tc>
          <w:tcPr>
            <w:tcW w:w="1495" w:type="dxa"/>
            <w:vAlign w:val="center"/>
          </w:tcPr>
          <w:p w14:paraId="56FA5F4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标段划分</w:t>
            </w:r>
          </w:p>
        </w:tc>
        <w:tc>
          <w:tcPr>
            <w:tcW w:w="8021" w:type="dxa"/>
            <w:vAlign w:val="center"/>
          </w:tcPr>
          <w:p w14:paraId="5B21ACD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 xml:space="preserve">本招标项目不划分标段。 </w:t>
            </w:r>
          </w:p>
        </w:tc>
      </w:tr>
      <w:tr w14:paraId="5A1C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01C9B2F3">
            <w:pPr>
              <w:keepNext w:val="0"/>
              <w:keepLines w:val="0"/>
              <w:pageBreakBefore w:val="0"/>
              <w:wordWrap w:val="0"/>
              <w:overflowPunct/>
              <w:topLinePunct w:val="0"/>
              <w:bidi w:val="0"/>
              <w:spacing w:before="57" w:line="360" w:lineRule="auto"/>
              <w:jc w:val="center"/>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16</w:t>
            </w:r>
          </w:p>
        </w:tc>
        <w:tc>
          <w:tcPr>
            <w:tcW w:w="1495" w:type="dxa"/>
            <w:vAlign w:val="center"/>
          </w:tcPr>
          <w:p w14:paraId="20F526C7">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工期</w:t>
            </w:r>
          </w:p>
        </w:tc>
        <w:tc>
          <w:tcPr>
            <w:tcW w:w="8021" w:type="dxa"/>
            <w:vAlign w:val="top"/>
          </w:tcPr>
          <w:p w14:paraId="2ACB4A1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本招标项目招标工期为</w:t>
            </w:r>
            <w:r>
              <w:rPr>
                <w:rFonts w:hint="eastAsia" w:ascii="宋体" w:hAnsi="宋体" w:eastAsia="宋体" w:cs="宋体"/>
                <w:snapToGrid w:val="0"/>
                <w:color w:val="auto"/>
                <w:spacing w:val="0"/>
                <w:kern w:val="0"/>
                <w:sz w:val="24"/>
                <w:szCs w:val="24"/>
                <w:highlight w:val="none"/>
                <w:lang w:val="en-US" w:eastAsia="zh-CN"/>
              </w:rPr>
              <w:t>90个日历天</w:t>
            </w:r>
            <w:r>
              <w:rPr>
                <w:rFonts w:hint="eastAsia" w:ascii="宋体" w:hAnsi="宋体" w:eastAsia="宋体" w:cs="宋体"/>
                <w:snapToGrid w:val="0"/>
                <w:color w:val="auto"/>
                <w:spacing w:val="0"/>
                <w:kern w:val="0"/>
                <w:sz w:val="24"/>
                <w:szCs w:val="24"/>
                <w:highlight w:val="none"/>
                <w:lang w:eastAsia="zh-CN"/>
              </w:rPr>
              <w:t>。具体如下：</w:t>
            </w:r>
          </w:p>
          <w:p w14:paraId="320C3CB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☑总工期：</w:t>
            </w:r>
            <w:r>
              <w:rPr>
                <w:rFonts w:hint="eastAsia" w:ascii="宋体" w:hAnsi="宋体" w:eastAsia="宋体" w:cs="宋体"/>
                <w:snapToGrid w:val="0"/>
                <w:color w:val="auto"/>
                <w:spacing w:val="0"/>
                <w:kern w:val="0"/>
                <w:sz w:val="24"/>
                <w:szCs w:val="24"/>
                <w:highlight w:val="none"/>
                <w:u w:val="single"/>
                <w:lang w:eastAsia="zh-CN"/>
              </w:rPr>
              <w:t xml:space="preserve"> </w:t>
            </w:r>
            <w:r>
              <w:rPr>
                <w:rFonts w:hint="eastAsia" w:ascii="宋体" w:hAnsi="宋体" w:eastAsia="宋体" w:cs="宋体"/>
                <w:snapToGrid w:val="0"/>
                <w:color w:val="auto"/>
                <w:spacing w:val="0"/>
                <w:kern w:val="0"/>
                <w:sz w:val="24"/>
                <w:szCs w:val="24"/>
                <w:highlight w:val="none"/>
                <w:u w:val="single"/>
                <w:lang w:val="en-US" w:eastAsia="zh-CN"/>
              </w:rPr>
              <w:t>90</w:t>
            </w:r>
            <w:r>
              <w:rPr>
                <w:rFonts w:hint="eastAsia" w:ascii="宋体" w:hAnsi="宋体" w:eastAsia="宋体" w:cs="宋体"/>
                <w:snapToGrid w:val="0"/>
                <w:color w:val="auto"/>
                <w:spacing w:val="0"/>
                <w:kern w:val="0"/>
                <w:sz w:val="24"/>
                <w:szCs w:val="24"/>
                <w:highlight w:val="none"/>
                <w:lang w:eastAsia="zh-CN"/>
              </w:rPr>
              <w:t>天 （日历天）。</w:t>
            </w:r>
          </w:p>
          <w:p w14:paraId="4BF2E44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□计划开工日期：</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snapToGrid w:val="0"/>
                <w:color w:val="auto"/>
                <w:spacing w:val="0"/>
                <w:kern w:val="0"/>
                <w:sz w:val="24"/>
                <w:szCs w:val="24"/>
                <w:highlight w:val="none"/>
                <w:lang w:eastAsia="zh-CN"/>
              </w:rPr>
              <w:t>年</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snapToGrid w:val="0"/>
                <w:color w:val="auto"/>
                <w:spacing w:val="0"/>
                <w:kern w:val="0"/>
                <w:sz w:val="24"/>
                <w:szCs w:val="24"/>
                <w:highlight w:val="none"/>
                <w:lang w:eastAsia="zh-CN"/>
              </w:rPr>
              <w:t>月</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snapToGrid w:val="0"/>
                <w:color w:val="auto"/>
                <w:spacing w:val="0"/>
                <w:kern w:val="0"/>
                <w:sz w:val="24"/>
                <w:szCs w:val="24"/>
                <w:highlight w:val="none"/>
                <w:lang w:eastAsia="zh-CN"/>
              </w:rPr>
              <w:t>日（具体开工日期以合同为准）</w:t>
            </w:r>
          </w:p>
          <w:p w14:paraId="35D8577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□计划竣工日期：</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snapToGrid w:val="0"/>
                <w:color w:val="auto"/>
                <w:spacing w:val="0"/>
                <w:kern w:val="0"/>
                <w:sz w:val="24"/>
                <w:szCs w:val="24"/>
                <w:highlight w:val="none"/>
                <w:lang w:eastAsia="zh-CN"/>
              </w:rPr>
              <w:t>年</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snapToGrid w:val="0"/>
                <w:color w:val="auto"/>
                <w:spacing w:val="0"/>
                <w:kern w:val="0"/>
                <w:sz w:val="24"/>
                <w:szCs w:val="24"/>
                <w:highlight w:val="none"/>
                <w:lang w:eastAsia="zh-CN"/>
              </w:rPr>
              <w:t>月</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snapToGrid w:val="0"/>
                <w:color w:val="auto"/>
                <w:spacing w:val="0"/>
                <w:kern w:val="0"/>
                <w:sz w:val="24"/>
                <w:szCs w:val="24"/>
                <w:highlight w:val="none"/>
                <w:lang w:eastAsia="zh-CN"/>
              </w:rPr>
              <w:t>日</w:t>
            </w:r>
          </w:p>
          <w:p w14:paraId="3D4184C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□除上述总工期外，发包人还要求以下阶段工期：</w:t>
            </w:r>
            <w:r>
              <w:rPr>
                <w:rFonts w:hint="eastAsia" w:ascii="宋体" w:hAnsi="宋体" w:eastAsia="宋体" w:cs="宋体"/>
                <w:snapToGrid w:val="0"/>
                <w:color w:val="auto"/>
                <w:spacing w:val="0"/>
                <w:kern w:val="0"/>
                <w:sz w:val="24"/>
                <w:szCs w:val="24"/>
                <w:highlight w:val="none"/>
                <w:u w:val="single"/>
                <w:lang w:eastAsia="zh-CN"/>
              </w:rPr>
              <w:t xml:space="preserve">        </w:t>
            </w:r>
          </w:p>
        </w:tc>
      </w:tr>
      <w:tr w14:paraId="59EFE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trPr>
        <w:tc>
          <w:tcPr>
            <w:tcW w:w="582" w:type="dxa"/>
            <w:vAlign w:val="center"/>
          </w:tcPr>
          <w:p w14:paraId="416E216C">
            <w:pPr>
              <w:keepNext w:val="0"/>
              <w:keepLines w:val="0"/>
              <w:pageBreakBefore w:val="0"/>
              <w:wordWrap w:val="0"/>
              <w:overflowPunct/>
              <w:topLinePunct w:val="0"/>
              <w:bidi w:val="0"/>
              <w:spacing w:before="57"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17</w:t>
            </w:r>
          </w:p>
        </w:tc>
        <w:tc>
          <w:tcPr>
            <w:tcW w:w="1495" w:type="dxa"/>
            <w:vAlign w:val="center"/>
          </w:tcPr>
          <w:p w14:paraId="529D0EDA">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质量标准</w:t>
            </w:r>
          </w:p>
        </w:tc>
        <w:tc>
          <w:tcPr>
            <w:tcW w:w="8021" w:type="dxa"/>
            <w:vAlign w:val="top"/>
          </w:tcPr>
          <w:p w14:paraId="689C1B0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☑质量标准</w:t>
            </w:r>
            <w:r>
              <w:rPr>
                <w:rFonts w:hint="eastAsia" w:ascii="宋体" w:hAnsi="宋体" w:eastAsia="宋体" w:cs="宋体"/>
                <w:snapToGrid w:val="0"/>
                <w:color w:val="auto"/>
                <w:spacing w:val="0"/>
                <w:kern w:val="0"/>
                <w:sz w:val="24"/>
                <w:szCs w:val="24"/>
                <w:highlight w:val="none"/>
                <w:lang w:val="en-US" w:eastAsia="zh-CN"/>
              </w:rPr>
              <w:t>与质量目标</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lang w:val="en-US" w:eastAsia="zh-CN"/>
              </w:rPr>
              <w:t>符合现行国家有关工程施工质量验收规范和标准的要求，达到验收合格。</w:t>
            </w:r>
          </w:p>
          <w:p w14:paraId="17421BC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□优质工程要求：</w:t>
            </w:r>
            <w:r>
              <w:rPr>
                <w:rFonts w:hint="eastAsia" w:ascii="宋体" w:hAnsi="宋体" w:eastAsia="宋体" w:cs="宋体"/>
                <w:snapToGrid w:val="0"/>
                <w:color w:val="auto"/>
                <w:spacing w:val="0"/>
                <w:kern w:val="0"/>
                <w:sz w:val="24"/>
                <w:szCs w:val="24"/>
                <w:highlight w:val="none"/>
                <w:u w:val="single"/>
                <w:lang w:eastAsia="zh-CN"/>
              </w:rPr>
              <w:t>无</w:t>
            </w:r>
            <w:r>
              <w:rPr>
                <w:rFonts w:hint="eastAsia" w:ascii="宋体" w:hAnsi="宋体" w:eastAsia="宋体" w:cs="宋体"/>
                <w:snapToGrid w:val="0"/>
                <w:color w:val="auto"/>
                <w:spacing w:val="0"/>
                <w:kern w:val="0"/>
                <w:sz w:val="24"/>
                <w:szCs w:val="24"/>
                <w:highlight w:val="none"/>
                <w:lang w:eastAsia="zh-CN"/>
              </w:rPr>
              <w:t>....</w:t>
            </w:r>
          </w:p>
          <w:p w14:paraId="7B9EFA3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eastAsia="zh-CN"/>
              </w:rPr>
              <w:t>工程优质费：☑无</w:t>
            </w:r>
            <w:r>
              <w:rPr>
                <w:rFonts w:hint="eastAsia" w:ascii="宋体" w:hAnsi="宋体" w:eastAsia="宋体" w:cs="宋体"/>
                <w:snapToGrid w:val="0"/>
                <w:color w:val="auto"/>
                <w:spacing w:val="0"/>
                <w:kern w:val="0"/>
                <w:sz w:val="24"/>
                <w:szCs w:val="24"/>
                <w:highlight w:val="none"/>
                <w:lang w:val="en-US" w:eastAsia="zh-CN"/>
              </w:rPr>
              <w:t xml:space="preserve"> </w:t>
            </w:r>
            <w:r>
              <w:rPr>
                <w:rFonts w:hint="eastAsia" w:ascii="宋体" w:hAnsi="宋体" w:eastAsia="宋体" w:cs="宋体"/>
                <w:snapToGrid w:val="0"/>
                <w:color w:val="auto"/>
                <w:spacing w:val="0"/>
                <w:kern w:val="0"/>
                <w:sz w:val="24"/>
                <w:szCs w:val="24"/>
                <w:highlight w:val="none"/>
                <w:lang w:eastAsia="zh-CN"/>
              </w:rPr>
              <w:t>□有：</w:t>
            </w:r>
            <w:r>
              <w:rPr>
                <w:rFonts w:hint="eastAsia" w:ascii="宋体" w:hAnsi="宋体" w:eastAsia="宋体" w:cs="宋体"/>
                <w:snapToGrid w:val="0"/>
                <w:color w:val="auto"/>
                <w:spacing w:val="0"/>
                <w:kern w:val="0"/>
                <w:sz w:val="24"/>
                <w:szCs w:val="24"/>
                <w:highlight w:val="none"/>
                <w:u w:val="single"/>
                <w:lang w:val="en-US" w:eastAsia="zh-CN"/>
              </w:rPr>
              <w:t xml:space="preserve"> / </w:t>
            </w:r>
          </w:p>
        </w:tc>
      </w:tr>
      <w:tr w14:paraId="07BA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2FAF8482">
            <w:pPr>
              <w:keepNext w:val="0"/>
              <w:keepLines w:val="0"/>
              <w:pageBreakBefore w:val="0"/>
              <w:wordWrap w:val="0"/>
              <w:overflowPunct/>
              <w:topLinePunct w:val="0"/>
              <w:bidi w:val="0"/>
              <w:spacing w:before="57"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w:t>
            </w:r>
          </w:p>
        </w:tc>
        <w:tc>
          <w:tcPr>
            <w:tcW w:w="1495" w:type="dxa"/>
            <w:vMerge w:val="restart"/>
            <w:vAlign w:val="center"/>
          </w:tcPr>
          <w:p w14:paraId="684E171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合同类型</w:t>
            </w:r>
          </w:p>
        </w:tc>
        <w:tc>
          <w:tcPr>
            <w:tcW w:w="8021" w:type="dxa"/>
            <w:vAlign w:val="top"/>
          </w:tcPr>
          <w:p w14:paraId="5B0CC98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☑单价合同：发承包双方约定以工程量清单及其综合单价进行合同价款计算、调整和确认的建设工程施工合同。</w:t>
            </w:r>
          </w:p>
          <w:p w14:paraId="37B161E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6B7E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001972E5">
            <w:pPr>
              <w:keepNext w:val="0"/>
              <w:keepLines w:val="0"/>
              <w:pageBreakBefore w:val="0"/>
              <w:wordWrap w:val="0"/>
              <w:overflowPunct/>
              <w:topLinePunct w:val="0"/>
              <w:bidi w:val="0"/>
              <w:spacing w:before="57" w:line="360" w:lineRule="auto"/>
              <w:jc w:val="center"/>
              <w:rPr>
                <w:rFonts w:hint="eastAsia" w:ascii="宋体" w:hAnsi="宋体" w:eastAsia="宋体" w:cs="宋体"/>
                <w:color w:val="auto"/>
                <w:spacing w:val="0"/>
                <w:sz w:val="24"/>
                <w:szCs w:val="24"/>
                <w:highlight w:val="none"/>
              </w:rPr>
            </w:pPr>
          </w:p>
        </w:tc>
        <w:tc>
          <w:tcPr>
            <w:tcW w:w="1495" w:type="dxa"/>
            <w:vMerge w:val="continue"/>
            <w:vAlign w:val="center"/>
          </w:tcPr>
          <w:p w14:paraId="114EAAC5">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p>
        </w:tc>
        <w:tc>
          <w:tcPr>
            <w:tcW w:w="8021" w:type="dxa"/>
            <w:vAlign w:val="top"/>
          </w:tcPr>
          <w:p w14:paraId="208620C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val="en-US" w:eastAsia="zh-CN"/>
              </w:rPr>
              <w:t xml:space="preserve">□总价合同：发承包双方约定以施工图及其预算和有关条件进行合同价款计算、调整和确认的建设工程施工合同。 </w:t>
            </w:r>
          </w:p>
          <w:p w14:paraId="0E5FC1B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标准原则。</w:t>
            </w:r>
          </w:p>
        </w:tc>
      </w:tr>
      <w:tr w14:paraId="548B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4F5536D8">
            <w:pPr>
              <w:keepNext w:val="0"/>
              <w:keepLines w:val="0"/>
              <w:pageBreakBefore w:val="0"/>
              <w:wordWrap w:val="0"/>
              <w:overflowPunct/>
              <w:topLinePunct w:val="0"/>
              <w:bidi w:val="0"/>
              <w:spacing w:before="19"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w:t>
            </w:r>
          </w:p>
        </w:tc>
        <w:tc>
          <w:tcPr>
            <w:tcW w:w="1495" w:type="dxa"/>
            <w:vAlign w:val="center"/>
          </w:tcPr>
          <w:p w14:paraId="0F7CD5C0">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房屋建筑工程绿色建筑标准</w:t>
            </w:r>
          </w:p>
        </w:tc>
        <w:tc>
          <w:tcPr>
            <w:tcW w:w="8021" w:type="dxa"/>
            <w:vAlign w:val="center"/>
          </w:tcPr>
          <w:p w14:paraId="523371B7">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本招标项目</w:t>
            </w:r>
            <w:r>
              <w:rPr>
                <w:rFonts w:hint="eastAsia" w:ascii="宋体" w:hAnsi="宋体" w:eastAsia="宋体" w:cs="宋体"/>
                <w:snapToGrid w:val="0"/>
                <w:color w:val="auto"/>
                <w:spacing w:val="0"/>
                <w:kern w:val="0"/>
                <w:sz w:val="24"/>
                <w:szCs w:val="24"/>
                <w:highlight w:val="none"/>
                <w:u w:val="single"/>
                <w:lang w:val="en-US" w:eastAsia="zh-CN"/>
              </w:rPr>
              <w:t>不</w:t>
            </w:r>
            <w:r>
              <w:rPr>
                <w:rFonts w:hint="eastAsia" w:ascii="宋体" w:hAnsi="宋体" w:eastAsia="宋体" w:cs="宋体"/>
                <w:snapToGrid w:val="0"/>
                <w:color w:val="auto"/>
                <w:spacing w:val="0"/>
                <w:kern w:val="0"/>
                <w:sz w:val="24"/>
                <w:szCs w:val="24"/>
                <w:highlight w:val="none"/>
                <w:lang w:eastAsia="zh-CN"/>
              </w:rPr>
              <w:t>纳入绿色建设实施范围。</w:t>
            </w:r>
          </w:p>
        </w:tc>
      </w:tr>
      <w:tr w14:paraId="44A5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CD2CF21">
            <w:pPr>
              <w:keepNext w:val="0"/>
              <w:keepLines w:val="0"/>
              <w:pageBreakBefore w:val="0"/>
              <w:wordWrap w:val="0"/>
              <w:overflowPunct/>
              <w:topLinePunct w:val="0"/>
              <w:bidi w:val="0"/>
              <w:spacing w:before="58"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19.1</w:t>
            </w:r>
          </w:p>
        </w:tc>
        <w:tc>
          <w:tcPr>
            <w:tcW w:w="1495" w:type="dxa"/>
            <w:vAlign w:val="center"/>
          </w:tcPr>
          <w:p w14:paraId="4D336BF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装配式建筑标准</w:t>
            </w:r>
          </w:p>
        </w:tc>
        <w:tc>
          <w:tcPr>
            <w:tcW w:w="8021" w:type="dxa"/>
            <w:vAlign w:val="center"/>
          </w:tcPr>
          <w:p w14:paraId="7FEA000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本招标项目</w:t>
            </w:r>
            <w:r>
              <w:rPr>
                <w:rFonts w:hint="eastAsia" w:ascii="宋体" w:hAnsi="宋体" w:eastAsia="宋体" w:cs="宋体"/>
                <w:snapToGrid w:val="0"/>
                <w:color w:val="auto"/>
                <w:spacing w:val="0"/>
                <w:kern w:val="0"/>
                <w:sz w:val="24"/>
                <w:szCs w:val="24"/>
                <w:highlight w:val="none"/>
                <w:u w:val="single"/>
                <w:lang w:val="en-US" w:eastAsia="zh-CN"/>
              </w:rPr>
              <w:t>不</w:t>
            </w:r>
            <w:r>
              <w:rPr>
                <w:rFonts w:hint="eastAsia" w:ascii="宋体" w:hAnsi="宋体" w:eastAsia="宋体" w:cs="宋体"/>
                <w:snapToGrid w:val="0"/>
                <w:color w:val="auto"/>
                <w:spacing w:val="0"/>
                <w:kern w:val="0"/>
                <w:sz w:val="24"/>
                <w:szCs w:val="24"/>
                <w:highlight w:val="none"/>
                <w:lang w:eastAsia="zh-CN"/>
              </w:rPr>
              <w:t>纳入装配式建造建设实施范围。</w:t>
            </w:r>
          </w:p>
        </w:tc>
      </w:tr>
      <w:tr w14:paraId="2E1C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4746E48">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w:t>
            </w:r>
          </w:p>
        </w:tc>
        <w:tc>
          <w:tcPr>
            <w:tcW w:w="1495" w:type="dxa"/>
            <w:vAlign w:val="center"/>
          </w:tcPr>
          <w:p w14:paraId="649F4D0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发包人提供材料和工程设备</w:t>
            </w:r>
          </w:p>
        </w:tc>
        <w:tc>
          <w:tcPr>
            <w:tcW w:w="8021" w:type="dxa"/>
            <w:vAlign w:val="center"/>
          </w:tcPr>
          <w:p w14:paraId="77FB08D3">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jc w:val="both"/>
              <w:textAlignment w:val="auto"/>
              <w:rPr>
                <w:rFonts w:hint="eastAsia" w:ascii="宋体" w:hAnsi="宋体" w:eastAsia="宋体" w:cs="宋体"/>
                <w:snapToGrid w:val="0"/>
                <w:color w:val="auto"/>
                <w:spacing w:val="0"/>
                <w:kern w:val="0"/>
                <w:sz w:val="24"/>
                <w:szCs w:val="24"/>
                <w:highlight w:val="none"/>
                <w:u w:val="single"/>
                <w:lang w:val="en-US" w:eastAsia="zh-CN"/>
              </w:rPr>
            </w:pPr>
            <w:r>
              <w:rPr>
                <w:rFonts w:hint="eastAsia" w:ascii="宋体" w:hAnsi="宋体" w:eastAsia="宋体" w:cs="宋体"/>
                <w:snapToGrid w:val="0"/>
                <w:color w:val="auto"/>
                <w:spacing w:val="0"/>
                <w:kern w:val="0"/>
                <w:sz w:val="24"/>
                <w:szCs w:val="24"/>
                <w:highlight w:val="none"/>
                <w:lang w:eastAsia="zh-CN"/>
              </w:rPr>
              <w:t>发包人提供材料和工程设备： ☑无     □有：</w:t>
            </w:r>
            <w:r>
              <w:rPr>
                <w:rFonts w:hint="eastAsia" w:ascii="宋体" w:hAnsi="宋体" w:eastAsia="宋体" w:cs="宋体"/>
                <w:snapToGrid w:val="0"/>
                <w:color w:val="auto"/>
                <w:spacing w:val="0"/>
                <w:kern w:val="0"/>
                <w:sz w:val="24"/>
                <w:szCs w:val="24"/>
                <w:highlight w:val="none"/>
                <w:u w:val="single"/>
                <w:lang w:val="en-US" w:eastAsia="zh-CN"/>
              </w:rPr>
              <w:t xml:space="preserve">     </w:t>
            </w:r>
          </w:p>
        </w:tc>
      </w:tr>
      <w:tr w14:paraId="119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2622591F">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w:t>
            </w:r>
          </w:p>
        </w:tc>
        <w:tc>
          <w:tcPr>
            <w:tcW w:w="1495" w:type="dxa"/>
            <w:vAlign w:val="center"/>
          </w:tcPr>
          <w:p w14:paraId="6A6F9E67">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承包人提供材料和工程设备</w:t>
            </w:r>
          </w:p>
        </w:tc>
        <w:tc>
          <w:tcPr>
            <w:tcW w:w="8021" w:type="dxa"/>
            <w:vAlign w:val="top"/>
          </w:tcPr>
          <w:p w14:paraId="7329718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716D254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□其它说明：鼓励承包人积极采购环保产品进行施工。</w:t>
            </w:r>
          </w:p>
        </w:tc>
      </w:tr>
      <w:tr w14:paraId="3B0B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trPr>
        <w:tc>
          <w:tcPr>
            <w:tcW w:w="582" w:type="dxa"/>
            <w:vAlign w:val="center"/>
          </w:tcPr>
          <w:p w14:paraId="23CFF5B2">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22</w:t>
            </w:r>
          </w:p>
        </w:tc>
        <w:tc>
          <w:tcPr>
            <w:tcW w:w="1495" w:type="dxa"/>
            <w:vAlign w:val="center"/>
          </w:tcPr>
          <w:p w14:paraId="08D2DACC">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最高投标限价</w:t>
            </w:r>
          </w:p>
        </w:tc>
        <w:tc>
          <w:tcPr>
            <w:tcW w:w="8021" w:type="dxa"/>
            <w:vAlign w:val="center"/>
          </w:tcPr>
          <w:p w14:paraId="56D40F4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val="en-US" w:eastAsia="zh-CN"/>
              </w:rPr>
              <w:t>本招标项目最高投标限价为人民币（大写）：壹仟零柒拾叁万壹仟陆佰柒拾陆元叁角陆分（￥10731676.36元）。其中安全生产措施费不得低于￥326249.24元；暂列金（统一报价）为￥475263.63元；专业工程暂估价（统一报价）为￥644232.00元。</w:t>
            </w:r>
          </w:p>
        </w:tc>
      </w:tr>
      <w:tr w14:paraId="0706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5" w:hRule="atLeast"/>
        </w:trPr>
        <w:tc>
          <w:tcPr>
            <w:tcW w:w="582" w:type="dxa"/>
            <w:vAlign w:val="center"/>
          </w:tcPr>
          <w:p w14:paraId="14D57F0A">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23</w:t>
            </w:r>
          </w:p>
        </w:tc>
        <w:tc>
          <w:tcPr>
            <w:tcW w:w="1495" w:type="dxa"/>
            <w:vAlign w:val="center"/>
          </w:tcPr>
          <w:p w14:paraId="4EDFFAA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投标人的投标报价</w:t>
            </w:r>
          </w:p>
        </w:tc>
        <w:tc>
          <w:tcPr>
            <w:tcW w:w="8021" w:type="dxa"/>
            <w:vAlign w:val="center"/>
          </w:tcPr>
          <w:p w14:paraId="7133753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3FFDBB7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eastAsia="zh-CN"/>
              </w:rPr>
              <w:t>投标报价方式： ☑工程量清单报</w:t>
            </w:r>
            <w:r>
              <w:rPr>
                <w:rFonts w:hint="eastAsia" w:ascii="宋体" w:hAnsi="宋体" w:eastAsia="宋体" w:cs="宋体"/>
                <w:snapToGrid w:val="0"/>
                <w:color w:val="auto"/>
                <w:spacing w:val="0"/>
                <w:kern w:val="0"/>
                <w:sz w:val="24"/>
                <w:szCs w:val="24"/>
                <w:highlight w:val="none"/>
                <w:lang w:val="en-US" w:eastAsia="zh-CN"/>
              </w:rPr>
              <w:t>价  □其他：</w:t>
            </w:r>
          </w:p>
          <w:p w14:paraId="21F4330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投标报价时，应按《广东省建设工程计价依据（2018）》规定的费率报价，若招标工程量清单明确说明不计算预算包干费或另外确定预算包干费费率的，则按招标工程量清单报价。</w:t>
            </w:r>
          </w:p>
        </w:tc>
      </w:tr>
      <w:tr w14:paraId="3A26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82" w:type="dxa"/>
            <w:vAlign w:val="center"/>
          </w:tcPr>
          <w:p w14:paraId="78D804F4">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24</w:t>
            </w:r>
          </w:p>
        </w:tc>
        <w:tc>
          <w:tcPr>
            <w:tcW w:w="1495" w:type="dxa"/>
            <w:vAlign w:val="center"/>
          </w:tcPr>
          <w:p w14:paraId="75D56106">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投标报价风险</w:t>
            </w:r>
          </w:p>
        </w:tc>
        <w:tc>
          <w:tcPr>
            <w:tcW w:w="8021" w:type="dxa"/>
            <w:vAlign w:val="center"/>
          </w:tcPr>
          <w:p w14:paraId="09F1294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☑投标人依据招标文件约定自行考虑风险因素，一旦中标，投标报价（合同价）除合同另有约定外将不因市场变化而调整。</w:t>
            </w:r>
          </w:p>
          <w:p w14:paraId="4AE8FF5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☑投标报价中应包括工程量清单项目所发生的人工费、材料费、机具费、管理费、利润、措施项目费、其它项目费、税金、暂列金额、</w:t>
            </w:r>
            <w:r>
              <w:rPr>
                <w:rFonts w:hint="eastAsia" w:ascii="宋体" w:hAnsi="宋体" w:eastAsia="宋体" w:cs="宋体"/>
                <w:snapToGrid w:val="0"/>
                <w:color w:val="auto"/>
                <w:spacing w:val="0"/>
                <w:kern w:val="0"/>
                <w:sz w:val="24"/>
                <w:szCs w:val="24"/>
                <w:highlight w:val="none"/>
                <w:lang w:val="en-US" w:eastAsia="zh-CN"/>
              </w:rPr>
              <w:t>专业工程</w:t>
            </w:r>
            <w:r>
              <w:rPr>
                <w:rFonts w:hint="eastAsia" w:ascii="宋体" w:hAnsi="宋体" w:eastAsia="宋体" w:cs="宋体"/>
                <w:snapToGrid w:val="0"/>
                <w:color w:val="auto"/>
                <w:spacing w:val="0"/>
                <w:kern w:val="0"/>
                <w:sz w:val="24"/>
                <w:szCs w:val="24"/>
                <w:highlight w:val="none"/>
                <w:lang w:eastAsia="zh-CN"/>
              </w:rPr>
              <w:t>暂估价以及所有风险、责任等各项费用。</w:t>
            </w:r>
          </w:p>
          <w:p w14:paraId="0FDFC6A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☑人工费、材料费、机具费、管理费、利润、措施项目费（不含安全生产措施费）投标人漏报或不报，招标人视为有关费用已包括在工程量清单项目的其它单价及合价中不予另外增加。</w:t>
            </w:r>
          </w:p>
          <w:p w14:paraId="1D4B24B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☑措施项目中的安全生产措施费，必须按国家、省级、市级（即工程所在地）行业建设主管部门的规定计算，不得作为竞争性费用。</w:t>
            </w:r>
          </w:p>
          <w:p w14:paraId="2BDA8BB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0EBD4A2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042F334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☑招标人向投标人提供的有关施工现场资料及数据，是招标人现有的能使投标人利用的资料，招标人对投标人据此作出的推论及理解概不负责。</w:t>
            </w:r>
          </w:p>
          <w:p w14:paraId="12C0474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7883DF1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4F80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trPr>
        <w:tc>
          <w:tcPr>
            <w:tcW w:w="582" w:type="dxa"/>
            <w:vAlign w:val="center"/>
          </w:tcPr>
          <w:p w14:paraId="2A703940">
            <w:pPr>
              <w:keepNext w:val="0"/>
              <w:keepLines w:val="0"/>
              <w:pageBreakBefore w:val="0"/>
              <w:wordWrap w:val="0"/>
              <w:overflowPunct/>
              <w:topLinePunct w:val="0"/>
              <w:bidi w:val="0"/>
              <w:spacing w:before="284"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25</w:t>
            </w:r>
          </w:p>
        </w:tc>
        <w:tc>
          <w:tcPr>
            <w:tcW w:w="1495" w:type="dxa"/>
            <w:vAlign w:val="center"/>
          </w:tcPr>
          <w:p w14:paraId="169F8CD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投标费用</w:t>
            </w:r>
          </w:p>
        </w:tc>
        <w:tc>
          <w:tcPr>
            <w:tcW w:w="8021" w:type="dxa"/>
            <w:vAlign w:val="center"/>
          </w:tcPr>
          <w:p w14:paraId="6A66A49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投标人自行承担编制与递交投标文件的一切费用。</w:t>
            </w:r>
          </w:p>
        </w:tc>
      </w:tr>
      <w:tr w14:paraId="5958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82" w:type="dxa"/>
            <w:vAlign w:val="center"/>
          </w:tcPr>
          <w:p w14:paraId="39B3D201">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26</w:t>
            </w:r>
          </w:p>
        </w:tc>
        <w:tc>
          <w:tcPr>
            <w:tcW w:w="1495" w:type="dxa"/>
            <w:vAlign w:val="center"/>
          </w:tcPr>
          <w:p w14:paraId="728110B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投标人资格要求</w:t>
            </w:r>
          </w:p>
        </w:tc>
        <w:tc>
          <w:tcPr>
            <w:tcW w:w="8021" w:type="dxa"/>
            <w:vAlign w:val="center"/>
          </w:tcPr>
          <w:p w14:paraId="1B0027D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1.本次招标</w:t>
            </w:r>
            <w:r>
              <w:rPr>
                <w:rFonts w:hint="eastAsia" w:ascii="宋体" w:hAnsi="宋体" w:eastAsia="宋体" w:cs="宋体"/>
                <w:b/>
                <w:bCs/>
                <w:snapToGrid w:val="0"/>
                <w:color w:val="auto"/>
                <w:spacing w:val="0"/>
                <w:kern w:val="0"/>
                <w:sz w:val="24"/>
                <w:szCs w:val="24"/>
                <w:highlight w:val="none"/>
                <w:u w:val="single"/>
                <w:lang w:eastAsia="zh-CN"/>
              </w:rPr>
              <w:t>不接受</w:t>
            </w:r>
            <w:r>
              <w:rPr>
                <w:rFonts w:hint="eastAsia" w:ascii="宋体" w:hAnsi="宋体" w:eastAsia="宋体" w:cs="宋体"/>
                <w:snapToGrid w:val="0"/>
                <w:color w:val="auto"/>
                <w:spacing w:val="0"/>
                <w:kern w:val="0"/>
                <w:sz w:val="24"/>
                <w:szCs w:val="24"/>
                <w:highlight w:val="none"/>
                <w:lang w:eastAsia="zh-CN"/>
              </w:rPr>
              <w:t>联合体投标。</w:t>
            </w:r>
          </w:p>
          <w:p w14:paraId="11991F2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2．资质要求</w:t>
            </w:r>
          </w:p>
          <w:p w14:paraId="48C60A8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2.1 投标人须具备独立法人资格，按国家法律经营。</w:t>
            </w:r>
          </w:p>
          <w:p w14:paraId="4048220C">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2.2 投标人须持有建设行政主管部门颁发的企业资质证书及安全生产许可证。</w:t>
            </w:r>
          </w:p>
          <w:p w14:paraId="517B08E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b/>
                <w:bCs/>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2.3  投标人须具备以下资质：</w:t>
            </w:r>
            <w:r>
              <w:rPr>
                <w:rFonts w:hint="eastAsia" w:ascii="宋体" w:hAnsi="宋体" w:eastAsia="宋体" w:cs="宋体"/>
                <w:b/>
                <w:bCs/>
                <w:snapToGrid w:val="0"/>
                <w:color w:val="auto"/>
                <w:spacing w:val="0"/>
                <w:kern w:val="0"/>
                <w:sz w:val="24"/>
                <w:szCs w:val="24"/>
                <w:highlight w:val="none"/>
                <w:u w:val="single"/>
                <w:lang w:eastAsia="zh-CN"/>
              </w:rPr>
              <w:t>建筑工程施工总承包叁级以上（含叁级）资质或建筑装修装饰工程专业承包贰级以上（含贰级）资质证书。</w:t>
            </w:r>
          </w:p>
          <w:p w14:paraId="1E67CBD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2.4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6E1B7DB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3．相关人员要求</w:t>
            </w:r>
          </w:p>
          <w:p w14:paraId="34B5145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3.1  拟派项目经理为</w:t>
            </w:r>
            <w:r>
              <w:rPr>
                <w:rFonts w:hint="eastAsia" w:ascii="宋体" w:hAnsi="宋体" w:eastAsia="宋体" w:cs="宋体"/>
                <w:b/>
                <w:bCs/>
                <w:snapToGrid w:val="0"/>
                <w:color w:val="auto"/>
                <w:spacing w:val="0"/>
                <w:kern w:val="0"/>
                <w:sz w:val="24"/>
                <w:szCs w:val="24"/>
                <w:highlight w:val="none"/>
                <w:u w:val="single"/>
                <w:lang w:eastAsia="zh-CN"/>
              </w:rPr>
              <w:t>建筑工程专业一级或二级</w:t>
            </w:r>
            <w:r>
              <w:rPr>
                <w:rFonts w:hint="eastAsia" w:ascii="宋体" w:hAnsi="宋体" w:eastAsia="宋体" w:cs="宋体"/>
                <w:snapToGrid w:val="0"/>
                <w:color w:val="auto"/>
                <w:spacing w:val="0"/>
                <w:kern w:val="0"/>
                <w:sz w:val="24"/>
                <w:szCs w:val="24"/>
                <w:highlight w:val="none"/>
                <w:lang w:eastAsia="zh-CN"/>
              </w:rPr>
              <w:t>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p>
          <w:p w14:paraId="526D959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3.2 拟派项目技术负责人须具备</w:t>
            </w:r>
            <w:r>
              <w:rPr>
                <w:rFonts w:hint="eastAsia" w:ascii="宋体" w:hAnsi="宋体" w:eastAsia="宋体" w:cs="宋体"/>
                <w:b/>
                <w:bCs/>
                <w:snapToGrid w:val="0"/>
                <w:color w:val="auto"/>
                <w:spacing w:val="0"/>
                <w:kern w:val="0"/>
                <w:sz w:val="24"/>
                <w:szCs w:val="24"/>
                <w:highlight w:val="none"/>
                <w:u w:val="single"/>
                <w:lang w:val="en-US" w:eastAsia="zh-CN"/>
              </w:rPr>
              <w:t>建筑工程</w:t>
            </w:r>
            <w:r>
              <w:rPr>
                <w:rFonts w:hint="eastAsia" w:ascii="宋体" w:hAnsi="宋体" w:eastAsia="宋体" w:cs="宋体"/>
                <w:snapToGrid w:val="0"/>
                <w:color w:val="auto"/>
                <w:spacing w:val="0"/>
                <w:kern w:val="0"/>
                <w:sz w:val="24"/>
                <w:szCs w:val="24"/>
                <w:highlight w:val="none"/>
                <w:lang w:eastAsia="zh-CN"/>
              </w:rPr>
              <w:t>类相关专业中级以上（含中级）技术职称。</w:t>
            </w:r>
          </w:p>
          <w:p w14:paraId="7E279E0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 1 人。</w:t>
            </w:r>
          </w:p>
          <w:p w14:paraId="4F35C3C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3.4 投标人与其拟派往本项目管理机构的所有人员之间必须具备合法、唯一的劳动聘用关系。拟派人员中具备注册执业资格的，其注册单位须与投标人保持一致。</w:t>
            </w:r>
          </w:p>
          <w:p w14:paraId="68CF7C1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 ．禁止投标条款：</w:t>
            </w:r>
          </w:p>
          <w:p w14:paraId="756E14C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4.1  投标人不得存在下列情形之一：</w:t>
            </w:r>
          </w:p>
          <w:p w14:paraId="68C2B4A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（1）为招标人不具有独立法人资格的附属机构（单位）；</w:t>
            </w:r>
          </w:p>
          <w:p w14:paraId="44593C8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（2）为本招标项目前期准备提供设计或咨询服务的；</w:t>
            </w:r>
          </w:p>
          <w:p w14:paraId="59CFF19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（3）与本招标项目的其他投标人为同一个单位负责人；</w:t>
            </w:r>
          </w:p>
          <w:p w14:paraId="2AE6D68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（4）与本招标项目的其他投标人存在控股、管理关系；</w:t>
            </w:r>
          </w:p>
          <w:p w14:paraId="38CFB62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（5）为本招标项目的监理人；</w:t>
            </w:r>
          </w:p>
          <w:p w14:paraId="1419324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（6）为本招标项目的代建人；</w:t>
            </w:r>
          </w:p>
          <w:p w14:paraId="170099A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（7）为本招标项目的招标代理机构；</w:t>
            </w:r>
          </w:p>
          <w:p w14:paraId="062B5CB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（8）与本招标项目的监理人或代建人或招标代理机构同为一个法定代表人；</w:t>
            </w:r>
          </w:p>
          <w:p w14:paraId="76338A8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（9）与本招标项目的监理人或代建人或招标代理机构存在控股或参股关系；</w:t>
            </w:r>
          </w:p>
          <w:p w14:paraId="2A915A3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（10）与本招标项目的监理人或代建人或招标代理机构存在相互任职或工作关系；</w:t>
            </w:r>
          </w:p>
          <w:p w14:paraId="2D49455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（11）被依法暂停或者取消投标资格；</w:t>
            </w:r>
          </w:p>
          <w:p w14:paraId="335907D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（12）被责令停产停业、暂扣或者吊销许可证、暂扣或者吊销执照；</w:t>
            </w:r>
          </w:p>
          <w:p w14:paraId="146AB41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（13）进入清算程序，或被宣告破产，或其他丧失履约能力的情形；</w:t>
            </w:r>
          </w:p>
          <w:p w14:paraId="730679D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（14）在最近三年内发生重大工程质量或安全问题（以相关行业主管部门的行政处罚决定或司法机关出具的有关法律文书为准）；</w:t>
            </w:r>
          </w:p>
          <w:p w14:paraId="4202D8C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（15）被“信用中国 ”网站（https://www.creditchina.gov.cn）发布的《法人和非法人组织公共信用信息报告》列为严重失信主体名单的。</w:t>
            </w:r>
          </w:p>
          <w:p w14:paraId="587EA45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4.2  招标人拒绝以下名单中的单位参加本次投标：</w:t>
            </w:r>
          </w:p>
          <w:tbl>
            <w:tblPr>
              <w:tblStyle w:val="16"/>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3532"/>
              <w:gridCol w:w="3281"/>
            </w:tblGrid>
            <w:tr w14:paraId="526D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45" w:type="dxa"/>
                  <w:vAlign w:val="center"/>
                </w:tcPr>
                <w:p w14:paraId="60DBAAF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序号</w:t>
                  </w:r>
                </w:p>
              </w:tc>
              <w:tc>
                <w:tcPr>
                  <w:tcW w:w="3532" w:type="dxa"/>
                  <w:vAlign w:val="center"/>
                </w:tcPr>
                <w:p w14:paraId="7B054724">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单位名称</w:t>
                  </w:r>
                </w:p>
              </w:tc>
              <w:tc>
                <w:tcPr>
                  <w:tcW w:w="3281" w:type="dxa"/>
                  <w:vAlign w:val="center"/>
                </w:tcPr>
                <w:p w14:paraId="4FE91A11">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拒绝原因</w:t>
                  </w:r>
                </w:p>
              </w:tc>
            </w:tr>
            <w:tr w14:paraId="1DBB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45" w:type="dxa"/>
                  <w:vAlign w:val="center"/>
                </w:tcPr>
                <w:p w14:paraId="5735F3E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1</w:t>
                  </w:r>
                </w:p>
              </w:tc>
              <w:tc>
                <w:tcPr>
                  <w:tcW w:w="3532" w:type="dxa"/>
                  <w:vAlign w:val="center"/>
                </w:tcPr>
                <w:p w14:paraId="25D93D7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韶关市成丰资源开发管理有限公司</w:t>
                  </w:r>
                </w:p>
              </w:tc>
              <w:tc>
                <w:tcPr>
                  <w:tcW w:w="3281" w:type="dxa"/>
                  <w:vAlign w:val="center"/>
                </w:tcPr>
                <w:p w14:paraId="42F41EC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为本招标项目的招标人</w:t>
                  </w:r>
                </w:p>
              </w:tc>
            </w:tr>
            <w:tr w14:paraId="625F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45" w:type="dxa"/>
                  <w:vAlign w:val="center"/>
                </w:tcPr>
                <w:p w14:paraId="27F653D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2</w:t>
                  </w:r>
                </w:p>
              </w:tc>
              <w:tc>
                <w:tcPr>
                  <w:tcW w:w="3532" w:type="dxa"/>
                  <w:vAlign w:val="center"/>
                </w:tcPr>
                <w:p w14:paraId="74BC464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智埔国际建设集团有限公司</w:t>
                  </w:r>
                </w:p>
              </w:tc>
              <w:tc>
                <w:tcPr>
                  <w:tcW w:w="3281" w:type="dxa"/>
                  <w:vAlign w:val="center"/>
                </w:tcPr>
                <w:p w14:paraId="15ADD93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为本招标项目的招标代理机构</w:t>
                  </w:r>
                </w:p>
              </w:tc>
            </w:tr>
            <w:tr w14:paraId="31CB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45" w:type="dxa"/>
                  <w:vAlign w:val="center"/>
                </w:tcPr>
                <w:p w14:paraId="3A11F44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3</w:t>
                  </w:r>
                </w:p>
              </w:tc>
              <w:tc>
                <w:tcPr>
                  <w:tcW w:w="3532" w:type="dxa"/>
                  <w:vAlign w:val="center"/>
                </w:tcPr>
                <w:p w14:paraId="034B772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韶关市新辉项目管理有限公司</w:t>
                  </w:r>
                </w:p>
              </w:tc>
              <w:tc>
                <w:tcPr>
                  <w:tcW w:w="3281" w:type="dxa"/>
                  <w:vAlign w:val="center"/>
                </w:tcPr>
                <w:p w14:paraId="0B8C63A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为本招标项目的全过程</w:t>
                  </w:r>
                  <w:r>
                    <w:rPr>
                      <w:rFonts w:hint="eastAsia" w:ascii="宋体" w:hAnsi="宋体" w:eastAsia="宋体" w:cs="宋体"/>
                      <w:snapToGrid w:val="0"/>
                      <w:color w:val="auto"/>
                      <w:spacing w:val="0"/>
                      <w:kern w:val="0"/>
                      <w:sz w:val="24"/>
                      <w:szCs w:val="24"/>
                      <w:highlight w:val="none"/>
                      <w:lang w:val="en-US" w:eastAsia="zh-CN" w:bidi="ar-SA"/>
                    </w:rPr>
                    <w:fldChar w:fldCharType="begin"/>
                  </w:r>
                  <w:r>
                    <w:rPr>
                      <w:rFonts w:hint="eastAsia" w:ascii="宋体" w:hAnsi="宋体" w:eastAsia="宋体" w:cs="宋体"/>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宋体" w:hAnsi="宋体" w:eastAsia="宋体" w:cs="宋体"/>
                      <w:snapToGrid w:val="0"/>
                      <w:color w:val="auto"/>
                      <w:spacing w:val="0"/>
                      <w:kern w:val="0"/>
                      <w:sz w:val="24"/>
                      <w:szCs w:val="24"/>
                      <w:highlight w:val="none"/>
                      <w:lang w:val="en-US" w:eastAsia="zh-CN" w:bidi="ar-SA"/>
                    </w:rPr>
                    <w:fldChar w:fldCharType="separate"/>
                  </w:r>
                  <w:r>
                    <w:rPr>
                      <w:rFonts w:hint="eastAsia" w:ascii="宋体" w:hAnsi="宋体" w:eastAsia="宋体" w:cs="宋体"/>
                      <w:snapToGrid w:val="0"/>
                      <w:color w:val="auto"/>
                      <w:spacing w:val="0"/>
                      <w:kern w:val="0"/>
                      <w:sz w:val="24"/>
                      <w:szCs w:val="24"/>
                      <w:highlight w:val="none"/>
                      <w:lang w:val="en-US" w:eastAsia="zh-CN" w:bidi="ar-SA"/>
                    </w:rPr>
                    <w:t>造价服务</w:t>
                  </w:r>
                  <w:r>
                    <w:rPr>
                      <w:rFonts w:hint="eastAsia" w:ascii="宋体" w:hAnsi="宋体" w:eastAsia="宋体" w:cs="宋体"/>
                      <w:snapToGrid w:val="0"/>
                      <w:color w:val="auto"/>
                      <w:spacing w:val="0"/>
                      <w:kern w:val="0"/>
                      <w:sz w:val="24"/>
                      <w:szCs w:val="24"/>
                      <w:highlight w:val="none"/>
                      <w:lang w:val="en-US" w:eastAsia="zh-CN" w:bidi="ar-SA"/>
                    </w:rPr>
                    <w:fldChar w:fldCharType="end"/>
                  </w:r>
                  <w:r>
                    <w:rPr>
                      <w:rFonts w:hint="eastAsia" w:ascii="宋体" w:hAnsi="宋体" w:eastAsia="宋体" w:cs="宋体"/>
                      <w:snapToGrid w:val="0"/>
                      <w:color w:val="auto"/>
                      <w:spacing w:val="0"/>
                      <w:kern w:val="0"/>
                      <w:sz w:val="24"/>
                      <w:szCs w:val="24"/>
                      <w:highlight w:val="none"/>
                      <w:lang w:val="en-US" w:eastAsia="zh-CN" w:bidi="ar-SA"/>
                    </w:rPr>
                    <w:t>单位</w:t>
                  </w:r>
                </w:p>
              </w:tc>
            </w:tr>
            <w:tr w14:paraId="5A93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45" w:type="dxa"/>
                  <w:vAlign w:val="center"/>
                </w:tcPr>
                <w:p w14:paraId="4B04CAD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4</w:t>
                  </w:r>
                </w:p>
              </w:tc>
              <w:tc>
                <w:tcPr>
                  <w:tcW w:w="3532" w:type="dxa"/>
                  <w:vAlign w:val="center"/>
                </w:tcPr>
                <w:p w14:paraId="7D9ECA3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韶关市建筑设计院有限公司</w:t>
                  </w:r>
                </w:p>
              </w:tc>
              <w:tc>
                <w:tcPr>
                  <w:tcW w:w="3281" w:type="dxa"/>
                  <w:vAlign w:val="center"/>
                </w:tcPr>
                <w:p w14:paraId="0A4BE5B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w:t>
                  </w:r>
                  <w:r>
                    <w:rPr>
                      <w:rFonts w:hint="eastAsia" w:ascii="宋体" w:hAnsi="宋体" w:eastAsia="宋体" w:cs="宋体"/>
                      <w:snapToGrid w:val="0"/>
                      <w:color w:val="auto"/>
                      <w:spacing w:val="0"/>
                      <w:kern w:val="0"/>
                      <w:sz w:val="24"/>
                      <w:szCs w:val="24"/>
                      <w:highlight w:val="none"/>
                      <w:lang w:val="en-US" w:eastAsia="zh-CN" w:bidi="ar-SA"/>
                    </w:rPr>
                    <w:fldChar w:fldCharType="begin"/>
                  </w:r>
                  <w:r>
                    <w:rPr>
                      <w:rFonts w:hint="eastAsia" w:ascii="宋体" w:hAnsi="宋体" w:eastAsia="宋体" w:cs="宋体"/>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宋体" w:hAnsi="宋体" w:eastAsia="宋体" w:cs="宋体"/>
                      <w:snapToGrid w:val="0"/>
                      <w:color w:val="auto"/>
                      <w:spacing w:val="0"/>
                      <w:kern w:val="0"/>
                      <w:sz w:val="24"/>
                      <w:szCs w:val="24"/>
                      <w:highlight w:val="none"/>
                      <w:lang w:val="en-US" w:eastAsia="zh-CN" w:bidi="ar-SA"/>
                    </w:rPr>
                    <w:fldChar w:fldCharType="separate"/>
                  </w:r>
                  <w:r>
                    <w:rPr>
                      <w:rFonts w:hint="eastAsia" w:ascii="宋体" w:hAnsi="宋体" w:eastAsia="宋体" w:cs="宋体"/>
                      <w:snapToGrid w:val="0"/>
                      <w:color w:val="auto"/>
                      <w:spacing w:val="0"/>
                      <w:kern w:val="0"/>
                      <w:sz w:val="24"/>
                      <w:szCs w:val="24"/>
                      <w:highlight w:val="none"/>
                      <w:lang w:val="en-US" w:eastAsia="zh-CN" w:bidi="ar-SA"/>
                    </w:rPr>
                    <w:t>设计服务</w:t>
                  </w:r>
                  <w:r>
                    <w:rPr>
                      <w:rFonts w:hint="eastAsia" w:ascii="宋体" w:hAnsi="宋体" w:eastAsia="宋体" w:cs="宋体"/>
                      <w:snapToGrid w:val="0"/>
                      <w:color w:val="auto"/>
                      <w:spacing w:val="0"/>
                      <w:kern w:val="0"/>
                      <w:sz w:val="24"/>
                      <w:szCs w:val="24"/>
                      <w:highlight w:val="none"/>
                      <w:lang w:val="en-US" w:eastAsia="zh-CN" w:bidi="ar-SA"/>
                    </w:rPr>
                    <w:fldChar w:fldCharType="end"/>
                  </w:r>
                  <w:r>
                    <w:rPr>
                      <w:rFonts w:hint="eastAsia" w:ascii="宋体" w:hAnsi="宋体" w:eastAsia="宋体" w:cs="宋体"/>
                      <w:snapToGrid w:val="0"/>
                      <w:color w:val="auto"/>
                      <w:spacing w:val="0"/>
                      <w:kern w:val="0"/>
                      <w:sz w:val="24"/>
                      <w:szCs w:val="24"/>
                      <w:highlight w:val="none"/>
                      <w:lang w:val="en-US" w:eastAsia="zh-CN" w:bidi="ar-SA"/>
                    </w:rPr>
                    <w:t>单位</w:t>
                  </w:r>
                </w:p>
              </w:tc>
            </w:tr>
            <w:tr w14:paraId="63B4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45" w:type="dxa"/>
                  <w:vAlign w:val="center"/>
                </w:tcPr>
                <w:p w14:paraId="034CDC6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5</w:t>
                  </w:r>
                </w:p>
              </w:tc>
              <w:tc>
                <w:tcPr>
                  <w:tcW w:w="3532" w:type="dxa"/>
                  <w:vAlign w:val="center"/>
                </w:tcPr>
                <w:p w14:paraId="3DC9D34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韶关市工程建设监理有限公司</w:t>
                  </w:r>
                </w:p>
              </w:tc>
              <w:tc>
                <w:tcPr>
                  <w:tcW w:w="3281" w:type="dxa"/>
                  <w:vAlign w:val="center"/>
                </w:tcPr>
                <w:p w14:paraId="26B845C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w:t>
                  </w:r>
                  <w:r>
                    <w:rPr>
                      <w:rFonts w:hint="eastAsia" w:ascii="宋体" w:hAnsi="宋体" w:eastAsia="宋体" w:cs="宋体"/>
                      <w:snapToGrid w:val="0"/>
                      <w:color w:val="auto"/>
                      <w:spacing w:val="0"/>
                      <w:kern w:val="0"/>
                      <w:sz w:val="24"/>
                      <w:szCs w:val="24"/>
                      <w:highlight w:val="none"/>
                      <w:lang w:val="en-US" w:eastAsia="zh-CN" w:bidi="ar-SA"/>
                    </w:rPr>
                    <w:fldChar w:fldCharType="begin"/>
                  </w:r>
                  <w:r>
                    <w:rPr>
                      <w:rFonts w:hint="eastAsia" w:ascii="宋体" w:hAnsi="宋体" w:eastAsia="宋体" w:cs="宋体"/>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宋体" w:hAnsi="宋体" w:eastAsia="宋体" w:cs="宋体"/>
                      <w:snapToGrid w:val="0"/>
                      <w:color w:val="auto"/>
                      <w:spacing w:val="0"/>
                      <w:kern w:val="0"/>
                      <w:sz w:val="24"/>
                      <w:szCs w:val="24"/>
                      <w:highlight w:val="none"/>
                      <w:lang w:val="en-US" w:eastAsia="zh-CN" w:bidi="ar-SA"/>
                    </w:rPr>
                    <w:fldChar w:fldCharType="separate"/>
                  </w:r>
                  <w:r>
                    <w:rPr>
                      <w:rFonts w:hint="eastAsia" w:ascii="宋体" w:hAnsi="宋体" w:eastAsia="宋体" w:cs="宋体"/>
                      <w:snapToGrid w:val="0"/>
                      <w:color w:val="auto"/>
                      <w:spacing w:val="0"/>
                      <w:kern w:val="0"/>
                      <w:sz w:val="24"/>
                      <w:szCs w:val="24"/>
                      <w:highlight w:val="none"/>
                      <w:lang w:val="en-US" w:eastAsia="zh-CN" w:bidi="ar-SA"/>
                    </w:rPr>
                    <w:t>监理服务</w:t>
                  </w:r>
                  <w:r>
                    <w:rPr>
                      <w:rFonts w:hint="eastAsia" w:ascii="宋体" w:hAnsi="宋体" w:eastAsia="宋体" w:cs="宋体"/>
                      <w:snapToGrid w:val="0"/>
                      <w:color w:val="auto"/>
                      <w:spacing w:val="0"/>
                      <w:kern w:val="0"/>
                      <w:sz w:val="24"/>
                      <w:szCs w:val="24"/>
                      <w:highlight w:val="none"/>
                      <w:lang w:val="en-US" w:eastAsia="zh-CN" w:bidi="ar-SA"/>
                    </w:rPr>
                    <w:fldChar w:fldCharType="end"/>
                  </w:r>
                  <w:r>
                    <w:rPr>
                      <w:rFonts w:hint="eastAsia" w:ascii="宋体" w:hAnsi="宋体" w:eastAsia="宋体" w:cs="宋体"/>
                      <w:snapToGrid w:val="0"/>
                      <w:color w:val="auto"/>
                      <w:spacing w:val="0"/>
                      <w:kern w:val="0"/>
                      <w:sz w:val="24"/>
                      <w:szCs w:val="24"/>
                      <w:highlight w:val="none"/>
                      <w:lang w:val="en-US" w:eastAsia="zh-CN" w:bidi="ar-SA"/>
                    </w:rPr>
                    <w:t>单位</w:t>
                  </w:r>
                </w:p>
              </w:tc>
            </w:tr>
          </w:tbl>
          <w:p w14:paraId="7E7C597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5 ．其他要求</w:t>
            </w:r>
          </w:p>
          <w:p w14:paraId="15FDD122">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号）规定在“进粤企业和人员诚信信息登记平台”录入相关信息并通过数据规范检查。</w:t>
            </w:r>
          </w:p>
        </w:tc>
      </w:tr>
      <w:tr w14:paraId="67DD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rPr>
        <w:tc>
          <w:tcPr>
            <w:tcW w:w="582" w:type="dxa"/>
            <w:vAlign w:val="center"/>
          </w:tcPr>
          <w:p w14:paraId="703F9879">
            <w:pPr>
              <w:keepNext w:val="0"/>
              <w:keepLines w:val="0"/>
              <w:pageBreakBefore w:val="0"/>
              <w:wordWrap w:val="0"/>
              <w:overflowPunct/>
              <w:topLinePunct w:val="0"/>
              <w:bidi w:val="0"/>
              <w:spacing w:before="19"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27</w:t>
            </w:r>
          </w:p>
        </w:tc>
        <w:tc>
          <w:tcPr>
            <w:tcW w:w="1495" w:type="dxa"/>
            <w:vAlign w:val="center"/>
          </w:tcPr>
          <w:p w14:paraId="4CB5E43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投标有效期</w:t>
            </w:r>
          </w:p>
        </w:tc>
        <w:tc>
          <w:tcPr>
            <w:tcW w:w="8021" w:type="dxa"/>
            <w:vAlign w:val="center"/>
          </w:tcPr>
          <w:p w14:paraId="3D83EF0A">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本次招标的投标有效期为</w:t>
            </w:r>
            <w:r>
              <w:rPr>
                <w:rFonts w:hint="eastAsia" w:ascii="宋体" w:hAnsi="宋体" w:eastAsia="宋体" w:cs="宋体"/>
                <w:snapToGrid w:val="0"/>
                <w:color w:val="auto"/>
                <w:spacing w:val="0"/>
                <w:kern w:val="0"/>
                <w:sz w:val="24"/>
                <w:szCs w:val="24"/>
                <w:highlight w:val="none"/>
                <w:u w:val="single"/>
                <w:lang w:eastAsia="zh-CN"/>
              </w:rPr>
              <w:t>90</w:t>
            </w:r>
            <w:r>
              <w:rPr>
                <w:rFonts w:hint="eastAsia" w:ascii="宋体" w:hAnsi="宋体" w:eastAsia="宋体" w:cs="宋体"/>
                <w:snapToGrid w:val="0"/>
                <w:color w:val="auto"/>
                <w:spacing w:val="0"/>
                <w:kern w:val="0"/>
                <w:sz w:val="24"/>
                <w:szCs w:val="24"/>
                <w:highlight w:val="none"/>
                <w:lang w:eastAsia="zh-CN"/>
              </w:rPr>
              <w:t xml:space="preserve"> 个日历天。</w:t>
            </w:r>
          </w:p>
        </w:tc>
      </w:tr>
      <w:tr w14:paraId="6150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82" w:type="dxa"/>
            <w:vAlign w:val="center"/>
          </w:tcPr>
          <w:p w14:paraId="75B295D4">
            <w:pPr>
              <w:keepNext w:val="0"/>
              <w:keepLines w:val="0"/>
              <w:pageBreakBefore w:val="0"/>
              <w:wordWrap w:val="0"/>
              <w:overflowPunct/>
              <w:topLinePunct w:val="0"/>
              <w:bidi w:val="0"/>
              <w:spacing w:before="69" w:line="360" w:lineRule="auto"/>
              <w:ind w:left="205"/>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28</w:t>
            </w:r>
          </w:p>
        </w:tc>
        <w:tc>
          <w:tcPr>
            <w:tcW w:w="1495" w:type="dxa"/>
            <w:vAlign w:val="center"/>
          </w:tcPr>
          <w:p w14:paraId="4BFBD8C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投标文件组成</w:t>
            </w:r>
          </w:p>
        </w:tc>
        <w:tc>
          <w:tcPr>
            <w:tcW w:w="8021" w:type="dxa"/>
            <w:vAlign w:val="center"/>
          </w:tcPr>
          <w:p w14:paraId="142ADE0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投标文件包括商务标书、经济标书、施工组织设计、</w:t>
            </w:r>
            <w:r>
              <w:rPr>
                <w:rFonts w:hint="eastAsia" w:ascii="宋体" w:hAnsi="宋体" w:eastAsia="宋体" w:cs="宋体"/>
                <w:snapToGrid w:val="0"/>
                <w:color w:val="auto"/>
                <w:spacing w:val="0"/>
                <w:kern w:val="0"/>
                <w:sz w:val="24"/>
                <w:szCs w:val="24"/>
                <w:highlight w:val="none"/>
                <w:lang w:val="en-US" w:eastAsia="zh-CN"/>
              </w:rPr>
              <w:t>定标文件四</w:t>
            </w:r>
            <w:r>
              <w:rPr>
                <w:rFonts w:hint="eastAsia" w:ascii="宋体" w:hAnsi="宋体" w:eastAsia="宋体" w:cs="宋体"/>
                <w:snapToGrid w:val="0"/>
                <w:color w:val="auto"/>
                <w:spacing w:val="0"/>
                <w:kern w:val="0"/>
                <w:sz w:val="24"/>
                <w:szCs w:val="24"/>
                <w:highlight w:val="none"/>
                <w:lang w:eastAsia="zh-CN"/>
              </w:rPr>
              <w:t>个分册。</w:t>
            </w:r>
          </w:p>
        </w:tc>
      </w:tr>
      <w:tr w14:paraId="5A82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30846F92">
            <w:pPr>
              <w:keepNext w:val="0"/>
              <w:keepLines w:val="0"/>
              <w:pageBreakBefore w:val="0"/>
              <w:wordWrap w:val="0"/>
              <w:overflowPunct/>
              <w:topLinePunct w:val="0"/>
              <w:bidi w:val="0"/>
              <w:spacing w:before="69" w:line="360" w:lineRule="auto"/>
              <w:ind w:left="205"/>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29</w:t>
            </w:r>
          </w:p>
        </w:tc>
        <w:tc>
          <w:tcPr>
            <w:tcW w:w="1495" w:type="dxa"/>
            <w:vAlign w:val="center"/>
          </w:tcPr>
          <w:p w14:paraId="0FC3CC3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施工组织设计评审方式</w:t>
            </w:r>
          </w:p>
        </w:tc>
        <w:tc>
          <w:tcPr>
            <w:tcW w:w="8021" w:type="dxa"/>
            <w:vAlign w:val="center"/>
          </w:tcPr>
          <w:p w14:paraId="4C6491C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本次招标施工组织设计</w:t>
            </w:r>
            <w:r>
              <w:rPr>
                <w:rFonts w:hint="eastAsia" w:ascii="宋体" w:hAnsi="宋体" w:eastAsia="宋体" w:cs="宋体"/>
                <w:snapToGrid w:val="0"/>
                <w:color w:val="auto"/>
                <w:spacing w:val="0"/>
                <w:kern w:val="0"/>
                <w:sz w:val="24"/>
                <w:szCs w:val="24"/>
                <w:highlight w:val="none"/>
                <w:u w:val="single"/>
                <w:lang w:eastAsia="zh-CN"/>
              </w:rPr>
              <w:t xml:space="preserve"> 不采用 </w:t>
            </w:r>
            <w:r>
              <w:rPr>
                <w:rFonts w:hint="eastAsia" w:ascii="宋体" w:hAnsi="宋体" w:eastAsia="宋体" w:cs="宋体"/>
                <w:snapToGrid w:val="0"/>
                <w:color w:val="auto"/>
                <w:spacing w:val="0"/>
                <w:kern w:val="0"/>
                <w:sz w:val="24"/>
                <w:szCs w:val="24"/>
                <w:highlight w:val="none"/>
                <w:lang w:eastAsia="zh-CN"/>
              </w:rPr>
              <w:t>“暗标 ”方式进行评审。</w:t>
            </w:r>
          </w:p>
        </w:tc>
      </w:tr>
      <w:tr w14:paraId="253B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78D49806">
            <w:pPr>
              <w:keepNext w:val="0"/>
              <w:keepLines w:val="0"/>
              <w:pageBreakBefore w:val="0"/>
              <w:wordWrap w:val="0"/>
              <w:overflowPunct/>
              <w:topLinePunct w:val="0"/>
              <w:bidi w:val="0"/>
              <w:spacing w:before="69" w:line="360" w:lineRule="auto"/>
              <w:ind w:left="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30</w:t>
            </w:r>
          </w:p>
        </w:tc>
        <w:tc>
          <w:tcPr>
            <w:tcW w:w="1495" w:type="dxa"/>
            <w:vAlign w:val="center"/>
          </w:tcPr>
          <w:p w14:paraId="65ACF68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评标委员会</w:t>
            </w:r>
          </w:p>
        </w:tc>
        <w:tc>
          <w:tcPr>
            <w:tcW w:w="8021" w:type="dxa"/>
            <w:vAlign w:val="top"/>
          </w:tcPr>
          <w:p w14:paraId="61B142C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评标委员会由 5 人组成，其中招标人代表 0 人，专家 5 人。专家从广东省综合评标评审专家库中随机抽取，其中技术类专家 3 人，经济类专家 2 人。</w:t>
            </w:r>
          </w:p>
        </w:tc>
      </w:tr>
      <w:tr w14:paraId="465C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A40B0F1">
            <w:pPr>
              <w:keepNext w:val="0"/>
              <w:keepLines w:val="0"/>
              <w:pageBreakBefore w:val="0"/>
              <w:wordWrap w:val="0"/>
              <w:overflowPunct/>
              <w:topLinePunct w:val="0"/>
              <w:bidi w:val="0"/>
              <w:spacing w:before="258" w:line="360" w:lineRule="auto"/>
              <w:ind w:left="209" w:left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r>
              <w:rPr>
                <w:rFonts w:hint="eastAsia" w:ascii="宋体" w:hAnsi="宋体" w:eastAsia="宋体" w:cs="宋体"/>
                <w:color w:val="auto"/>
                <w:spacing w:val="0"/>
                <w:sz w:val="24"/>
                <w:szCs w:val="24"/>
                <w:highlight w:val="none"/>
                <w:lang w:val="en-US" w:eastAsia="zh-CN"/>
              </w:rPr>
              <w:t>1</w:t>
            </w:r>
          </w:p>
        </w:tc>
        <w:tc>
          <w:tcPr>
            <w:tcW w:w="1495" w:type="dxa"/>
            <w:vAlign w:val="center"/>
          </w:tcPr>
          <w:p w14:paraId="7D3E9DD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评标方法</w:t>
            </w:r>
          </w:p>
        </w:tc>
        <w:tc>
          <w:tcPr>
            <w:tcW w:w="8021" w:type="dxa"/>
            <w:vAlign w:val="center"/>
          </w:tcPr>
          <w:p w14:paraId="66D0F1A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 A＋B 值评标法  □经评审的最低投标价法   ☑综合评估法</w:t>
            </w:r>
          </w:p>
        </w:tc>
      </w:tr>
      <w:tr w14:paraId="5338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trPr>
        <w:tc>
          <w:tcPr>
            <w:tcW w:w="582" w:type="dxa"/>
            <w:vAlign w:val="center"/>
          </w:tcPr>
          <w:p w14:paraId="75465AC7">
            <w:pPr>
              <w:keepNext w:val="0"/>
              <w:keepLines w:val="0"/>
              <w:pageBreakBefore w:val="0"/>
              <w:wordWrap w:val="0"/>
              <w:overflowPunct/>
              <w:topLinePunct w:val="0"/>
              <w:bidi w:val="0"/>
              <w:spacing w:before="69" w:line="360" w:lineRule="auto"/>
              <w:ind w:left="209" w:left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32</w:t>
            </w:r>
          </w:p>
        </w:tc>
        <w:tc>
          <w:tcPr>
            <w:tcW w:w="1495" w:type="dxa"/>
            <w:vAlign w:val="center"/>
          </w:tcPr>
          <w:p w14:paraId="325A7EA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8021" w:type="dxa"/>
            <w:vAlign w:val="center"/>
          </w:tcPr>
          <w:p w14:paraId="4C9A6534">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Fonts w:hint="eastAsia" w:ascii="宋体" w:hAnsi="宋体" w:eastAsia="宋体" w:cs="宋体"/>
                <w:color w:val="auto"/>
                <w:sz w:val="24"/>
                <w:szCs w:val="24"/>
                <w:highlight w:val="none"/>
                <w:u w:val="none"/>
              </w:rPr>
              <w:t>定标委员会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14:paraId="45F4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039A9A4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kern w:val="0"/>
                <w:sz w:val="24"/>
                <w:szCs w:val="24"/>
                <w:highlight w:val="none"/>
                <w:lang w:val="en-US" w:eastAsia="zh-CN" w:bidi="ar-SA"/>
              </w:rPr>
              <w:t>33</w:t>
            </w:r>
          </w:p>
        </w:tc>
        <w:tc>
          <w:tcPr>
            <w:tcW w:w="1495" w:type="dxa"/>
            <w:vAlign w:val="center"/>
          </w:tcPr>
          <w:p w14:paraId="465D67A6">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定标办法</w:t>
            </w:r>
          </w:p>
        </w:tc>
        <w:tc>
          <w:tcPr>
            <w:tcW w:w="8021" w:type="dxa"/>
            <w:vAlign w:val="center"/>
          </w:tcPr>
          <w:p w14:paraId="3E74D02E">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本项目采用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，应选定下列定标办法：</w:t>
            </w:r>
          </w:p>
          <w:p w14:paraId="453F01CF">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14:paraId="21620F81">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14:paraId="3C8E3539">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14:paraId="488F382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jc w:val="left"/>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Cs/>
                <w:snapToGrid w:val="0"/>
                <w:color w:val="auto"/>
                <w:kern w:val="0"/>
                <w:sz w:val="24"/>
                <w:szCs w:val="24"/>
                <w:highlight w:val="none"/>
                <w:lang w:val="en-US" w:eastAsia="zh-CN"/>
              </w:rPr>
              <w:t>□其他方法：</w:t>
            </w:r>
          </w:p>
        </w:tc>
      </w:tr>
      <w:tr w14:paraId="18BE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trPr>
        <w:tc>
          <w:tcPr>
            <w:tcW w:w="582" w:type="dxa"/>
            <w:vAlign w:val="center"/>
          </w:tcPr>
          <w:p w14:paraId="7E9D31AC">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kern w:val="0"/>
                <w:sz w:val="24"/>
                <w:szCs w:val="24"/>
                <w:highlight w:val="none"/>
              </w:rPr>
              <w:t>3</w:t>
            </w:r>
            <w:r>
              <w:rPr>
                <w:rFonts w:hint="eastAsia" w:ascii="宋体" w:hAnsi="宋体" w:eastAsia="宋体" w:cs="宋体"/>
                <w:snapToGrid w:val="0"/>
                <w:color w:val="auto"/>
                <w:kern w:val="0"/>
                <w:sz w:val="24"/>
                <w:szCs w:val="24"/>
                <w:highlight w:val="none"/>
                <w:lang w:val="en-US" w:eastAsia="zh-CN"/>
              </w:rPr>
              <w:t>4</w:t>
            </w:r>
          </w:p>
        </w:tc>
        <w:tc>
          <w:tcPr>
            <w:tcW w:w="1495" w:type="dxa"/>
            <w:vAlign w:val="center"/>
          </w:tcPr>
          <w:p w14:paraId="0991EFA9">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kern w:val="0"/>
                <w:sz w:val="24"/>
                <w:szCs w:val="24"/>
                <w:highlight w:val="none"/>
              </w:rPr>
              <w:t>投标文件编制</w:t>
            </w:r>
            <w:r>
              <w:rPr>
                <w:rFonts w:hint="eastAsia" w:ascii="宋体" w:hAnsi="宋体" w:eastAsia="宋体" w:cs="宋体"/>
                <w:snapToGrid w:val="0"/>
                <w:color w:val="auto"/>
                <w:kern w:val="0"/>
                <w:sz w:val="24"/>
                <w:szCs w:val="24"/>
                <w:highlight w:val="none"/>
                <w:lang w:eastAsia="zh-CN"/>
              </w:rPr>
              <w:t>及</w:t>
            </w:r>
            <w:r>
              <w:rPr>
                <w:rFonts w:hint="eastAsia" w:ascii="宋体" w:hAnsi="宋体" w:eastAsia="宋体" w:cs="宋体"/>
                <w:snapToGrid w:val="0"/>
                <w:color w:val="auto"/>
                <w:kern w:val="0"/>
                <w:sz w:val="24"/>
                <w:szCs w:val="24"/>
                <w:highlight w:val="none"/>
              </w:rPr>
              <w:t>份数要求</w:t>
            </w:r>
          </w:p>
        </w:tc>
        <w:tc>
          <w:tcPr>
            <w:tcW w:w="8021" w:type="dxa"/>
            <w:vAlign w:val="center"/>
          </w:tcPr>
          <w:p w14:paraId="02AF4ED3">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投标人须上传（递交）投标文件：</w:t>
            </w:r>
          </w:p>
          <w:p w14:paraId="552478C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1、电子投标文件一套：</w:t>
            </w:r>
          </w:p>
          <w:p w14:paraId="58E013CF">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（1）商务标书1份；</w:t>
            </w:r>
          </w:p>
          <w:p w14:paraId="634C8EF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（2）经济标书1份；</w:t>
            </w:r>
          </w:p>
          <w:p w14:paraId="3E36D97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 xml:space="preserve">（3）施工组织设计1份； </w:t>
            </w:r>
          </w:p>
          <w:p w14:paraId="3147924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（4）定标文件1份；</w:t>
            </w:r>
          </w:p>
          <w:p w14:paraId="7DF1D59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2、对应评审要求的分项响应文件（如有）。</w:t>
            </w:r>
          </w:p>
          <w:p w14:paraId="12573AB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438F5FB7">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val="en-US" w:eastAsia="zh-CN"/>
              </w:rPr>
              <w:t>注：投标人被确定为中标人后，应从交易系统打印两套纸质投标文件（含签名盖章页），内容同电子投标文件，在签订本招标项目承包合同前提交给招标人。（除招标文件约定外，纸质标书须与电子标书一致，不一致的以电子标书为准）。</w:t>
            </w:r>
          </w:p>
        </w:tc>
      </w:tr>
      <w:tr w14:paraId="4E70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5" w:hRule="atLeast"/>
        </w:trPr>
        <w:tc>
          <w:tcPr>
            <w:tcW w:w="582" w:type="dxa"/>
            <w:vAlign w:val="center"/>
          </w:tcPr>
          <w:p w14:paraId="56B959FD">
            <w:pPr>
              <w:keepNext w:val="0"/>
              <w:keepLines w:val="0"/>
              <w:pageBreakBefore w:val="0"/>
              <w:wordWrap w:val="0"/>
              <w:overflowPunct/>
              <w:topLinePunct w:val="0"/>
              <w:bidi w:val="0"/>
              <w:spacing w:before="57" w:line="360" w:lineRule="auto"/>
              <w:jc w:val="center"/>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3</w:t>
            </w:r>
            <w:r>
              <w:rPr>
                <w:rFonts w:hint="eastAsia" w:ascii="宋体" w:hAnsi="宋体" w:eastAsia="宋体" w:cs="宋体"/>
                <w:color w:val="auto"/>
                <w:spacing w:val="0"/>
                <w:sz w:val="24"/>
                <w:szCs w:val="24"/>
                <w:highlight w:val="none"/>
                <w:lang w:val="en-US" w:eastAsia="zh-CN"/>
              </w:rPr>
              <w:t>5</w:t>
            </w:r>
          </w:p>
        </w:tc>
        <w:tc>
          <w:tcPr>
            <w:tcW w:w="1495" w:type="dxa"/>
            <w:vAlign w:val="center"/>
          </w:tcPr>
          <w:p w14:paraId="5FAEFFC6">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招标文件要求提交的用于评审的证书、证件、证明原件</w:t>
            </w:r>
          </w:p>
        </w:tc>
        <w:tc>
          <w:tcPr>
            <w:tcW w:w="8021" w:type="dxa"/>
            <w:vAlign w:val="top"/>
          </w:tcPr>
          <w:p w14:paraId="71660FC5">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投标人在提交用于评审的证书、证件、证明原件的，投标人应自行将所需原件密封于文件袋（箱）中，并自行准备两张“原件一览表”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2D98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trPr>
        <w:tc>
          <w:tcPr>
            <w:tcW w:w="582" w:type="dxa"/>
            <w:vAlign w:val="center"/>
          </w:tcPr>
          <w:p w14:paraId="0C69718A">
            <w:pPr>
              <w:keepNext w:val="0"/>
              <w:keepLines w:val="0"/>
              <w:pageBreakBefore w:val="0"/>
              <w:wordWrap w:val="0"/>
              <w:overflowPunct/>
              <w:topLinePunct w:val="0"/>
              <w:bidi w:val="0"/>
              <w:spacing w:before="69" w:line="360" w:lineRule="auto"/>
              <w:ind w:left="20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lang w:val="en-US" w:eastAsia="zh-CN"/>
              </w:rPr>
              <w:t>6</w:t>
            </w:r>
          </w:p>
        </w:tc>
        <w:tc>
          <w:tcPr>
            <w:tcW w:w="1495" w:type="dxa"/>
            <w:vAlign w:val="center"/>
          </w:tcPr>
          <w:p w14:paraId="20A44A5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val="en-US" w:eastAsia="zh-CN"/>
              </w:rPr>
              <w:t>招标代理费</w:t>
            </w:r>
          </w:p>
        </w:tc>
        <w:tc>
          <w:tcPr>
            <w:tcW w:w="8021" w:type="dxa"/>
            <w:vAlign w:val="center"/>
          </w:tcPr>
          <w:p w14:paraId="0F863CA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default"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本项目由中标人支付招标代理费及评标专家酬劳，代理费根据国家计委关于印发《招标代理服务收费管理暂行办法》的通知计价格[2002]1980号，按标准下浮20%。</w:t>
            </w:r>
          </w:p>
        </w:tc>
      </w:tr>
      <w:tr w14:paraId="7AAB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9" w:hRule="atLeast"/>
        </w:trPr>
        <w:tc>
          <w:tcPr>
            <w:tcW w:w="582" w:type="dxa"/>
            <w:vAlign w:val="center"/>
          </w:tcPr>
          <w:p w14:paraId="75B13CC6">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3</w:t>
            </w:r>
            <w:r>
              <w:rPr>
                <w:rFonts w:hint="eastAsia" w:ascii="宋体" w:hAnsi="宋体" w:eastAsia="宋体" w:cs="宋体"/>
                <w:color w:val="auto"/>
                <w:spacing w:val="0"/>
                <w:sz w:val="24"/>
                <w:szCs w:val="24"/>
                <w:highlight w:val="none"/>
                <w:lang w:val="en-US" w:eastAsia="zh-CN"/>
              </w:rPr>
              <w:t>7</w:t>
            </w:r>
          </w:p>
        </w:tc>
        <w:tc>
          <w:tcPr>
            <w:tcW w:w="1495" w:type="dxa"/>
            <w:vAlign w:val="center"/>
          </w:tcPr>
          <w:p w14:paraId="198B1BD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招标人</w:t>
            </w:r>
          </w:p>
          <w:p w14:paraId="2C622AED">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联系方式</w:t>
            </w:r>
          </w:p>
        </w:tc>
        <w:tc>
          <w:tcPr>
            <w:tcW w:w="8021" w:type="dxa"/>
            <w:vAlign w:val="center"/>
          </w:tcPr>
          <w:p w14:paraId="32F4EF3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单位名称：韶关市成丰资源开发管理有限公司</w:t>
            </w:r>
          </w:p>
          <w:p w14:paraId="71FEEAFB">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办公地址：韶关市浈江区和平路73号房地产大厦7层</w:t>
            </w:r>
          </w:p>
          <w:p w14:paraId="008A276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default"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联 系 人：廖工</w:t>
            </w:r>
          </w:p>
          <w:p w14:paraId="08BD115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val="en-US" w:eastAsia="zh-CN"/>
              </w:rPr>
              <w:t>联系电话：0751-8884029</w:t>
            </w:r>
          </w:p>
        </w:tc>
      </w:tr>
      <w:tr w14:paraId="1335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9" w:hRule="atLeast"/>
        </w:trPr>
        <w:tc>
          <w:tcPr>
            <w:tcW w:w="582" w:type="dxa"/>
            <w:vAlign w:val="center"/>
          </w:tcPr>
          <w:p w14:paraId="1022974A">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lang w:val="en-US" w:eastAsia="zh-CN"/>
              </w:rPr>
              <w:t>8</w:t>
            </w:r>
          </w:p>
        </w:tc>
        <w:tc>
          <w:tcPr>
            <w:tcW w:w="1495" w:type="dxa"/>
            <w:vAlign w:val="center"/>
          </w:tcPr>
          <w:p w14:paraId="7F3AD70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招标代理机构</w:t>
            </w:r>
          </w:p>
          <w:p w14:paraId="0B65885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联系方式</w:t>
            </w:r>
          </w:p>
        </w:tc>
        <w:tc>
          <w:tcPr>
            <w:tcW w:w="8021" w:type="dxa"/>
            <w:vAlign w:val="center"/>
          </w:tcPr>
          <w:p w14:paraId="61E71AE1">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单位名称：智埔国际建设集团有限公司</w:t>
            </w:r>
          </w:p>
          <w:p w14:paraId="7B352BA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办公地址：韶关市武江区西联镇58号明顺实业大楼七楼（办公地址）</w:t>
            </w:r>
          </w:p>
          <w:p w14:paraId="1D06C61D">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项目负责人：易工、吴工</w:t>
            </w:r>
          </w:p>
          <w:p w14:paraId="218132D4">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项目经办人：梁工</w:t>
            </w:r>
          </w:p>
          <w:p w14:paraId="04C3E670">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联系电话：0751-8768123</w:t>
            </w:r>
          </w:p>
        </w:tc>
      </w:tr>
      <w:tr w14:paraId="4E2F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7AEA0C33">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lang w:val="en-US" w:eastAsia="zh-CN"/>
              </w:rPr>
              <w:t>9</w:t>
            </w:r>
          </w:p>
        </w:tc>
        <w:tc>
          <w:tcPr>
            <w:tcW w:w="1495" w:type="dxa"/>
            <w:vAlign w:val="center"/>
          </w:tcPr>
          <w:p w14:paraId="7DFD4527">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交易场所联系方式</w:t>
            </w:r>
          </w:p>
        </w:tc>
        <w:tc>
          <w:tcPr>
            <w:tcW w:w="8021" w:type="dxa"/>
            <w:vAlign w:val="center"/>
          </w:tcPr>
          <w:p w14:paraId="567ABCA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单位名称：韶关市公共资源交易中心</w:t>
            </w:r>
          </w:p>
          <w:p w14:paraId="31DE105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办公地址：广东省韶关市武江区西联镇</w:t>
            </w:r>
          </w:p>
          <w:p w14:paraId="177B9128">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联系人（部门）：工程交易部</w:t>
            </w:r>
          </w:p>
          <w:p w14:paraId="62ADC38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val="en-US" w:eastAsia="zh-CN"/>
              </w:rPr>
              <w:t>联系电话：0751-8633211</w:t>
            </w:r>
          </w:p>
        </w:tc>
      </w:tr>
      <w:tr w14:paraId="04B8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3E200AD1">
            <w:pPr>
              <w:keepNext w:val="0"/>
              <w:keepLines w:val="0"/>
              <w:pageBreakBefore w:val="0"/>
              <w:wordWrap w:val="0"/>
              <w:overflowPunct/>
              <w:topLinePunct w:val="0"/>
              <w:bidi w:val="0"/>
              <w:spacing w:before="69" w:line="360" w:lineRule="auto"/>
              <w:jc w:val="center"/>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40</w:t>
            </w:r>
          </w:p>
        </w:tc>
        <w:tc>
          <w:tcPr>
            <w:tcW w:w="1495" w:type="dxa"/>
            <w:vAlign w:val="center"/>
          </w:tcPr>
          <w:p w14:paraId="49D0B385">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行政监督部</w:t>
            </w:r>
          </w:p>
          <w:p w14:paraId="5F176A11">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eastAsia="zh-CN"/>
              </w:rPr>
              <w:t>门联系方式</w:t>
            </w:r>
          </w:p>
        </w:tc>
        <w:tc>
          <w:tcPr>
            <w:tcW w:w="8021" w:type="dxa"/>
            <w:vAlign w:val="center"/>
          </w:tcPr>
          <w:p w14:paraId="5254DC8E">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单位名称：韶关市住房和城乡建设管理局</w:t>
            </w:r>
          </w:p>
          <w:p w14:paraId="0E51AD1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办公地址：广东省韶关市武江区芙蓉东路5号</w:t>
            </w:r>
          </w:p>
          <w:p w14:paraId="76EAF0A6">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snapToGrid w:val="0"/>
                <w:color w:val="auto"/>
                <w:spacing w:val="0"/>
                <w:kern w:val="0"/>
                <w:sz w:val="24"/>
                <w:szCs w:val="24"/>
                <w:highlight w:val="none"/>
                <w:lang w:val="en-US" w:eastAsia="zh-CN"/>
              </w:rPr>
              <w:t>联系人（部门）：建筑业市场管理科</w:t>
            </w:r>
          </w:p>
          <w:p w14:paraId="625B6569">
            <w:pPr>
              <w:keepNext w:val="0"/>
              <w:keepLines w:val="0"/>
              <w:pageBreakBefore w:val="0"/>
              <w:widowControl w:val="0"/>
              <w:kinsoku/>
              <w:wordWrap w:val="0"/>
              <w:overflowPunct/>
              <w:topLinePunct w:val="0"/>
              <w:autoSpaceDE/>
              <w:autoSpaceDN/>
              <w:bidi w:val="0"/>
              <w:adjustRightInd w:val="0"/>
              <w:snapToGrid w:val="0"/>
              <w:spacing w:line="360" w:lineRule="auto"/>
              <w:ind w:left="0" w:leftChars="0" w:firstLine="218" w:firstLineChars="91"/>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snapToGrid w:val="0"/>
                <w:color w:val="auto"/>
                <w:spacing w:val="0"/>
                <w:kern w:val="0"/>
                <w:sz w:val="24"/>
                <w:szCs w:val="24"/>
                <w:highlight w:val="none"/>
                <w:lang w:val="en-US" w:eastAsia="zh-CN"/>
              </w:rPr>
              <w:t>联系电话：0751-8892601</w:t>
            </w:r>
          </w:p>
        </w:tc>
      </w:tr>
    </w:tbl>
    <w:p w14:paraId="7235C323">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bookmarkStart w:id="9" w:name="bookmark115"/>
      <w:bookmarkEnd w:id="9"/>
      <w:r>
        <w:rPr>
          <w:rFonts w:hint="eastAsia" w:ascii="宋体" w:hAnsi="宋体" w:eastAsia="宋体" w:cs="宋体"/>
          <w:b/>
          <w:bCs/>
          <w:color w:val="auto"/>
          <w:spacing w:val="0"/>
          <w:sz w:val="24"/>
          <w:szCs w:val="24"/>
          <w:highlight w:val="none"/>
        </w:rPr>
        <w:br w:type="page"/>
      </w:r>
    </w:p>
    <w:p w14:paraId="1789A482">
      <w:pPr>
        <w:keepNext w:val="0"/>
        <w:keepLines w:val="0"/>
        <w:pageBreakBefore w:val="0"/>
        <w:wordWrap w:val="0"/>
        <w:overflowPunct/>
        <w:topLinePunct w:val="0"/>
        <w:bidi w:val="0"/>
        <w:spacing w:before="156" w:line="360" w:lineRule="auto"/>
        <w:ind w:left="17"/>
        <w:jc w:val="left"/>
        <w:outlineLvl w:val="1"/>
        <w:rPr>
          <w:rFonts w:hint="eastAsia" w:ascii="宋体" w:hAnsi="宋体" w:eastAsia="宋体" w:cs="宋体"/>
          <w:color w:val="auto"/>
          <w:spacing w:val="0"/>
          <w:sz w:val="24"/>
          <w:szCs w:val="24"/>
          <w:highlight w:val="none"/>
        </w:rPr>
      </w:pPr>
      <w:bookmarkStart w:id="10" w:name="_Toc6506"/>
      <w:r>
        <w:rPr>
          <w:rFonts w:hint="eastAsia" w:ascii="宋体" w:hAnsi="宋体" w:eastAsia="宋体" w:cs="宋体"/>
          <w:b/>
          <w:bCs/>
          <w:color w:val="auto"/>
          <w:spacing w:val="0"/>
          <w:sz w:val="24"/>
          <w:szCs w:val="24"/>
          <w:highlight w:val="none"/>
        </w:rPr>
        <w:t>第二节 重要事项时间地点一览表</w:t>
      </w:r>
      <w:bookmarkEnd w:id="10"/>
    </w:p>
    <w:p w14:paraId="44D452C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bl>
      <w:tblPr>
        <w:tblStyle w:val="16"/>
        <w:tblW w:w="9312"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1"/>
        <w:gridCol w:w="1300"/>
        <w:gridCol w:w="7591"/>
      </w:tblGrid>
      <w:tr w14:paraId="0517B1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4246031">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1</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5CBBA90E">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招标公告</w:t>
            </w:r>
          </w:p>
          <w:p w14:paraId="666692D7">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发布时间 </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0C104DB8">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color w:val="auto"/>
                <w:spacing w:val="0"/>
                <w:kern w:val="0"/>
                <w:sz w:val="24"/>
                <w:szCs w:val="24"/>
                <w:highlight w:val="none"/>
                <w:u w:val="single"/>
                <w:lang w:val="en-US" w:eastAsia="zh-CN" w:bidi="ar-SA"/>
              </w:rPr>
              <w:t>7</w:t>
            </w:r>
            <w:r>
              <w:rPr>
                <w:rFonts w:hint="eastAsia" w:ascii="宋体" w:hAnsi="宋体" w:eastAsia="宋体" w:cs="宋体"/>
                <w:color w:val="auto"/>
                <w:spacing w:val="0"/>
                <w:kern w:val="0"/>
                <w:sz w:val="24"/>
                <w:szCs w:val="24"/>
                <w:highlight w:val="none"/>
                <w:lang w:val="en-US" w:eastAsia="zh-CN" w:bidi="ar-SA"/>
              </w:rPr>
              <w:t>月</w:t>
            </w:r>
            <w:r>
              <w:rPr>
                <w:rFonts w:hint="eastAsia" w:ascii="宋体" w:hAnsi="宋体" w:eastAsia="宋体" w:cs="宋体"/>
                <w:color w:val="auto"/>
                <w:spacing w:val="0"/>
                <w:kern w:val="0"/>
                <w:sz w:val="24"/>
                <w:szCs w:val="24"/>
                <w:highlight w:val="none"/>
                <w:u w:val="single"/>
                <w:lang w:val="en-US" w:eastAsia="zh-CN" w:bidi="ar-SA"/>
              </w:rPr>
              <w:t>20</w:t>
            </w:r>
            <w:r>
              <w:rPr>
                <w:rFonts w:hint="eastAsia" w:ascii="宋体" w:hAnsi="宋体" w:eastAsia="宋体" w:cs="宋体"/>
                <w:color w:val="auto"/>
                <w:spacing w:val="0"/>
                <w:kern w:val="0"/>
                <w:sz w:val="24"/>
                <w:szCs w:val="24"/>
                <w:highlight w:val="none"/>
                <w:lang w:val="en-US" w:eastAsia="zh-CN" w:bidi="ar-SA"/>
              </w:rPr>
              <w:t>日</w:t>
            </w:r>
            <w:r>
              <w:rPr>
                <w:rFonts w:hint="eastAsia" w:ascii="宋体" w:hAnsi="宋体" w:eastAsia="宋体" w:cs="宋体"/>
                <w:color w:val="auto"/>
                <w:spacing w:val="0"/>
                <w:kern w:val="0"/>
                <w:sz w:val="24"/>
                <w:szCs w:val="24"/>
                <w:highlight w:val="none"/>
                <w:u w:val="single"/>
                <w:lang w:val="en-US" w:eastAsia="zh-CN" w:bidi="ar-SA"/>
              </w:rPr>
              <w:t>16</w:t>
            </w:r>
            <w:r>
              <w:rPr>
                <w:rFonts w:hint="eastAsia" w:ascii="宋体" w:hAnsi="宋体" w:eastAsia="宋体" w:cs="宋体"/>
                <w:color w:val="auto"/>
                <w:spacing w:val="0"/>
                <w:kern w:val="0"/>
                <w:sz w:val="24"/>
                <w:szCs w:val="24"/>
                <w:highlight w:val="none"/>
                <w:lang w:val="en-US" w:eastAsia="zh-CN" w:bidi="ar-SA"/>
              </w:rPr>
              <w:t>时</w:t>
            </w:r>
            <w:r>
              <w:rPr>
                <w:rFonts w:hint="eastAsia" w:ascii="宋体" w:hAnsi="宋体" w:eastAsia="宋体" w:cs="宋体"/>
                <w:color w:val="auto"/>
                <w:spacing w:val="0"/>
                <w:kern w:val="0"/>
                <w:sz w:val="24"/>
                <w:szCs w:val="24"/>
                <w:highlight w:val="none"/>
                <w:u w:val="single"/>
                <w:lang w:val="en-US" w:eastAsia="zh-CN" w:bidi="ar-SA"/>
              </w:rPr>
              <w:t>00</w:t>
            </w:r>
            <w:r>
              <w:rPr>
                <w:rFonts w:hint="eastAsia" w:ascii="宋体" w:hAnsi="宋体" w:eastAsia="宋体" w:cs="宋体"/>
                <w:color w:val="auto"/>
                <w:spacing w:val="0"/>
                <w:kern w:val="0"/>
                <w:sz w:val="24"/>
                <w:szCs w:val="24"/>
                <w:highlight w:val="none"/>
                <w:lang w:val="en-US" w:eastAsia="zh-CN" w:bidi="ar-SA"/>
              </w:rPr>
              <w:t>分</w:t>
            </w:r>
          </w:p>
        </w:tc>
      </w:tr>
      <w:tr w14:paraId="7067E4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FE8C188">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2</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755E24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获取招标文件截止时间 </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7400C243">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snapToGrid w:val="0"/>
                <w:color w:val="auto"/>
                <w:spacing w:val="0"/>
                <w:kern w:val="0"/>
                <w:sz w:val="24"/>
                <w:szCs w:val="24"/>
                <w:highlight w:val="none"/>
                <w:u w:val="single"/>
                <w:lang w:val="en-US" w:eastAsia="zh-CN" w:bidi="ar-SA"/>
              </w:rPr>
              <w:t>8</w:t>
            </w:r>
            <w:r>
              <w:rPr>
                <w:rFonts w:hint="eastAsia" w:ascii="宋体" w:hAnsi="宋体" w:eastAsia="宋体" w:cs="宋体"/>
                <w:snapToGrid w:val="0"/>
                <w:color w:val="auto"/>
                <w:spacing w:val="0"/>
                <w:kern w:val="0"/>
                <w:sz w:val="24"/>
                <w:szCs w:val="24"/>
                <w:highlight w:val="none"/>
                <w:lang w:val="en-US" w:eastAsia="zh-CN" w:bidi="ar-SA"/>
              </w:rPr>
              <w:t>月</w:t>
            </w:r>
            <w:r>
              <w:rPr>
                <w:rFonts w:hint="eastAsia" w:ascii="宋体" w:hAnsi="宋体" w:eastAsia="宋体" w:cs="宋体"/>
                <w:snapToGrid w:val="0"/>
                <w:color w:val="auto"/>
                <w:spacing w:val="0"/>
                <w:kern w:val="0"/>
                <w:sz w:val="24"/>
                <w:szCs w:val="24"/>
                <w:highlight w:val="none"/>
                <w:u w:val="single"/>
                <w:lang w:val="en-US" w:eastAsia="zh-CN" w:bidi="ar-SA"/>
              </w:rPr>
              <w:t>11</w:t>
            </w:r>
            <w:r>
              <w:rPr>
                <w:rFonts w:hint="eastAsia" w:ascii="宋体" w:hAnsi="宋体" w:eastAsia="宋体" w:cs="宋体"/>
                <w:snapToGrid w:val="0"/>
                <w:color w:val="auto"/>
                <w:spacing w:val="0"/>
                <w:kern w:val="0"/>
                <w:sz w:val="24"/>
                <w:szCs w:val="24"/>
                <w:highlight w:val="none"/>
                <w:lang w:val="en-US" w:eastAsia="zh-CN" w:bidi="ar-SA"/>
              </w:rPr>
              <w:t>日</w:t>
            </w:r>
            <w:r>
              <w:rPr>
                <w:rFonts w:hint="eastAsia" w:ascii="宋体" w:hAnsi="宋体" w:eastAsia="宋体" w:cs="宋体"/>
                <w:snapToGrid w:val="0"/>
                <w:color w:val="auto"/>
                <w:spacing w:val="0"/>
                <w:kern w:val="0"/>
                <w:sz w:val="24"/>
                <w:szCs w:val="24"/>
                <w:highlight w:val="none"/>
                <w:u w:val="single"/>
                <w:lang w:val="en-US" w:eastAsia="zh-CN" w:bidi="ar-SA"/>
              </w:rPr>
              <w:t>09</w:t>
            </w:r>
            <w:r>
              <w:rPr>
                <w:rFonts w:hint="eastAsia" w:ascii="宋体" w:hAnsi="宋体" w:eastAsia="宋体" w:cs="宋体"/>
                <w:snapToGrid w:val="0"/>
                <w:color w:val="auto"/>
                <w:spacing w:val="0"/>
                <w:kern w:val="0"/>
                <w:sz w:val="24"/>
                <w:szCs w:val="24"/>
                <w:highlight w:val="none"/>
                <w:lang w:val="en-US" w:eastAsia="zh-CN" w:bidi="ar-SA"/>
              </w:rPr>
              <w:t>时</w:t>
            </w:r>
            <w:r>
              <w:rPr>
                <w:rFonts w:hint="eastAsia" w:ascii="宋体" w:hAnsi="宋体" w:eastAsia="宋体" w:cs="宋体"/>
                <w:snapToGrid w:val="0"/>
                <w:color w:val="auto"/>
                <w:spacing w:val="0"/>
                <w:kern w:val="0"/>
                <w:sz w:val="24"/>
                <w:szCs w:val="24"/>
                <w:highlight w:val="none"/>
                <w:u w:val="single"/>
                <w:lang w:val="en-US" w:eastAsia="zh-CN" w:bidi="ar-SA"/>
              </w:rPr>
              <w:t>30</w:t>
            </w:r>
            <w:r>
              <w:rPr>
                <w:rFonts w:hint="eastAsia" w:ascii="宋体" w:hAnsi="宋体" w:eastAsia="宋体" w:cs="宋体"/>
                <w:color w:val="auto"/>
                <w:spacing w:val="0"/>
                <w:kern w:val="0"/>
                <w:sz w:val="24"/>
                <w:szCs w:val="24"/>
                <w:highlight w:val="none"/>
                <w:lang w:val="en-US" w:eastAsia="zh-CN" w:bidi="ar-SA"/>
              </w:rPr>
              <w:t>分</w:t>
            </w:r>
          </w:p>
        </w:tc>
      </w:tr>
      <w:tr w14:paraId="783654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5ADE1F4">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3</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62198D29">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网上提问</w:t>
            </w:r>
          </w:p>
          <w:p w14:paraId="455D8911">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截止时间 </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26BC3BA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color w:val="auto"/>
                <w:spacing w:val="0"/>
                <w:kern w:val="0"/>
                <w:sz w:val="24"/>
                <w:szCs w:val="24"/>
                <w:highlight w:val="none"/>
                <w:u w:val="single"/>
                <w:lang w:val="en-US" w:eastAsia="zh-CN" w:bidi="ar-SA"/>
              </w:rPr>
              <w:t>8</w:t>
            </w:r>
            <w:r>
              <w:rPr>
                <w:rFonts w:hint="eastAsia" w:ascii="宋体" w:hAnsi="宋体" w:eastAsia="宋体" w:cs="宋体"/>
                <w:color w:val="auto"/>
                <w:spacing w:val="0"/>
                <w:kern w:val="0"/>
                <w:sz w:val="24"/>
                <w:szCs w:val="24"/>
                <w:highlight w:val="none"/>
                <w:lang w:val="en-US" w:eastAsia="zh-CN" w:bidi="ar-SA"/>
              </w:rPr>
              <w:t>月</w:t>
            </w:r>
            <w:r>
              <w:rPr>
                <w:rFonts w:hint="eastAsia" w:ascii="宋体" w:hAnsi="宋体" w:eastAsia="宋体" w:cs="宋体"/>
                <w:color w:val="auto"/>
                <w:spacing w:val="0"/>
                <w:kern w:val="0"/>
                <w:sz w:val="24"/>
                <w:szCs w:val="24"/>
                <w:highlight w:val="none"/>
                <w:u w:val="single"/>
                <w:lang w:val="en-US" w:eastAsia="zh-CN" w:bidi="ar-SA"/>
              </w:rPr>
              <w:t>1</w:t>
            </w:r>
            <w:r>
              <w:rPr>
                <w:rFonts w:hint="eastAsia" w:ascii="宋体" w:hAnsi="宋体" w:eastAsia="宋体" w:cs="宋体"/>
                <w:color w:val="auto"/>
                <w:spacing w:val="0"/>
                <w:kern w:val="0"/>
                <w:sz w:val="24"/>
                <w:szCs w:val="24"/>
                <w:highlight w:val="none"/>
                <w:lang w:val="en-US" w:eastAsia="zh-CN" w:bidi="ar-SA"/>
              </w:rPr>
              <w:t>日</w:t>
            </w:r>
            <w:r>
              <w:rPr>
                <w:rFonts w:hint="eastAsia" w:ascii="宋体" w:hAnsi="宋体" w:eastAsia="宋体" w:cs="宋体"/>
                <w:color w:val="auto"/>
                <w:spacing w:val="0"/>
                <w:kern w:val="0"/>
                <w:sz w:val="24"/>
                <w:szCs w:val="24"/>
                <w:highlight w:val="none"/>
                <w:u w:val="single"/>
                <w:lang w:val="en-US" w:eastAsia="zh-CN" w:bidi="ar-SA"/>
              </w:rPr>
              <w:t>16</w:t>
            </w:r>
            <w:r>
              <w:rPr>
                <w:rFonts w:hint="eastAsia" w:ascii="宋体" w:hAnsi="宋体" w:eastAsia="宋体" w:cs="宋体"/>
                <w:color w:val="auto"/>
                <w:spacing w:val="0"/>
                <w:kern w:val="0"/>
                <w:sz w:val="24"/>
                <w:szCs w:val="24"/>
                <w:highlight w:val="none"/>
                <w:lang w:val="en-US" w:eastAsia="zh-CN" w:bidi="ar-SA"/>
              </w:rPr>
              <w:t>时</w:t>
            </w:r>
            <w:r>
              <w:rPr>
                <w:rFonts w:hint="eastAsia" w:ascii="宋体" w:hAnsi="宋体" w:eastAsia="宋体" w:cs="宋体"/>
                <w:color w:val="auto"/>
                <w:spacing w:val="0"/>
                <w:kern w:val="0"/>
                <w:sz w:val="24"/>
                <w:szCs w:val="24"/>
                <w:highlight w:val="none"/>
                <w:u w:val="single"/>
                <w:lang w:val="en-US" w:eastAsia="zh-CN" w:bidi="ar-SA"/>
              </w:rPr>
              <w:t>00</w:t>
            </w:r>
            <w:r>
              <w:rPr>
                <w:rFonts w:hint="eastAsia" w:ascii="宋体" w:hAnsi="宋体" w:eastAsia="宋体" w:cs="宋体"/>
                <w:color w:val="auto"/>
                <w:spacing w:val="0"/>
                <w:kern w:val="0"/>
                <w:sz w:val="24"/>
                <w:szCs w:val="24"/>
                <w:highlight w:val="none"/>
                <w:lang w:val="en-US" w:eastAsia="zh-CN" w:bidi="ar-SA"/>
              </w:rPr>
              <w:t>分</w:t>
            </w:r>
          </w:p>
        </w:tc>
      </w:tr>
      <w:tr w14:paraId="4564051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3B82443D">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4</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CE1AA0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网上答疑</w:t>
            </w:r>
          </w:p>
          <w:p w14:paraId="0F5F46E0">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时间</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7B5EFA2E">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color w:val="auto"/>
                <w:spacing w:val="0"/>
                <w:kern w:val="0"/>
                <w:sz w:val="24"/>
                <w:szCs w:val="24"/>
                <w:highlight w:val="none"/>
                <w:u w:val="single"/>
                <w:lang w:val="en-US" w:eastAsia="zh-CN" w:bidi="ar-SA"/>
              </w:rPr>
              <w:t>8</w:t>
            </w:r>
            <w:r>
              <w:rPr>
                <w:rFonts w:hint="eastAsia" w:ascii="宋体" w:hAnsi="宋体" w:eastAsia="宋体" w:cs="宋体"/>
                <w:color w:val="auto"/>
                <w:spacing w:val="0"/>
                <w:kern w:val="0"/>
                <w:sz w:val="24"/>
                <w:szCs w:val="24"/>
                <w:highlight w:val="none"/>
                <w:lang w:val="en-US" w:eastAsia="zh-CN" w:bidi="ar-SA"/>
              </w:rPr>
              <w:t>月</w:t>
            </w:r>
            <w:r>
              <w:rPr>
                <w:rFonts w:hint="eastAsia" w:ascii="宋体" w:hAnsi="宋体" w:eastAsia="宋体" w:cs="宋体"/>
                <w:color w:val="auto"/>
                <w:spacing w:val="0"/>
                <w:kern w:val="0"/>
                <w:sz w:val="24"/>
                <w:szCs w:val="24"/>
                <w:highlight w:val="none"/>
                <w:u w:val="single"/>
                <w:lang w:val="en-US" w:eastAsia="zh-CN" w:bidi="ar-SA"/>
              </w:rPr>
              <w:t>1</w:t>
            </w:r>
            <w:r>
              <w:rPr>
                <w:rFonts w:hint="eastAsia" w:ascii="宋体" w:hAnsi="宋体" w:eastAsia="宋体" w:cs="宋体"/>
                <w:color w:val="auto"/>
                <w:spacing w:val="0"/>
                <w:kern w:val="0"/>
                <w:sz w:val="24"/>
                <w:szCs w:val="24"/>
                <w:highlight w:val="none"/>
                <w:lang w:val="en-US" w:eastAsia="zh-CN" w:bidi="ar-SA"/>
              </w:rPr>
              <w:t>日</w:t>
            </w:r>
            <w:r>
              <w:rPr>
                <w:rFonts w:hint="eastAsia" w:ascii="宋体" w:hAnsi="宋体" w:eastAsia="宋体" w:cs="宋体"/>
                <w:color w:val="auto"/>
                <w:spacing w:val="0"/>
                <w:kern w:val="0"/>
                <w:sz w:val="24"/>
                <w:szCs w:val="24"/>
                <w:highlight w:val="none"/>
                <w:u w:val="single"/>
                <w:lang w:val="en-US" w:eastAsia="zh-CN" w:bidi="ar-SA"/>
              </w:rPr>
              <w:t>16</w:t>
            </w:r>
            <w:r>
              <w:rPr>
                <w:rFonts w:hint="eastAsia" w:ascii="宋体" w:hAnsi="宋体" w:eastAsia="宋体" w:cs="宋体"/>
                <w:color w:val="auto"/>
                <w:spacing w:val="0"/>
                <w:kern w:val="0"/>
                <w:sz w:val="24"/>
                <w:szCs w:val="24"/>
                <w:highlight w:val="none"/>
                <w:lang w:val="en-US" w:eastAsia="zh-CN" w:bidi="ar-SA"/>
              </w:rPr>
              <w:t>时</w:t>
            </w:r>
            <w:r>
              <w:rPr>
                <w:rFonts w:hint="eastAsia" w:ascii="宋体" w:hAnsi="宋体" w:eastAsia="宋体" w:cs="宋体"/>
                <w:color w:val="auto"/>
                <w:spacing w:val="0"/>
                <w:kern w:val="0"/>
                <w:sz w:val="24"/>
                <w:szCs w:val="24"/>
                <w:highlight w:val="none"/>
                <w:u w:val="single"/>
                <w:lang w:val="en-US" w:eastAsia="zh-CN" w:bidi="ar-SA"/>
              </w:rPr>
              <w:t>30</w:t>
            </w:r>
            <w:r>
              <w:rPr>
                <w:rFonts w:hint="eastAsia" w:ascii="宋体" w:hAnsi="宋体" w:eastAsia="宋体" w:cs="宋体"/>
                <w:color w:val="auto"/>
                <w:spacing w:val="0"/>
                <w:kern w:val="0"/>
                <w:sz w:val="24"/>
                <w:szCs w:val="24"/>
                <w:highlight w:val="none"/>
                <w:lang w:val="en-US" w:eastAsia="zh-CN" w:bidi="ar-SA"/>
              </w:rPr>
              <w:t>分至</w:t>
            </w: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color w:val="auto"/>
                <w:spacing w:val="0"/>
                <w:kern w:val="0"/>
                <w:sz w:val="24"/>
                <w:szCs w:val="24"/>
                <w:highlight w:val="none"/>
                <w:u w:val="single"/>
                <w:lang w:val="en-US" w:eastAsia="zh-CN" w:bidi="ar-SA"/>
              </w:rPr>
              <w:t>8</w:t>
            </w:r>
            <w:r>
              <w:rPr>
                <w:rFonts w:hint="eastAsia" w:ascii="宋体" w:hAnsi="宋体" w:eastAsia="宋体" w:cs="宋体"/>
                <w:color w:val="auto"/>
                <w:spacing w:val="0"/>
                <w:kern w:val="0"/>
                <w:sz w:val="24"/>
                <w:szCs w:val="24"/>
                <w:highlight w:val="none"/>
                <w:lang w:val="en-US" w:eastAsia="zh-CN" w:bidi="ar-SA"/>
              </w:rPr>
              <w:t>月</w:t>
            </w:r>
            <w:r>
              <w:rPr>
                <w:rFonts w:hint="eastAsia" w:ascii="宋体" w:hAnsi="宋体" w:eastAsia="宋体" w:cs="宋体"/>
                <w:color w:val="auto"/>
                <w:spacing w:val="0"/>
                <w:kern w:val="0"/>
                <w:sz w:val="24"/>
                <w:szCs w:val="24"/>
                <w:highlight w:val="none"/>
                <w:u w:val="single"/>
                <w:lang w:val="en-US" w:eastAsia="zh-CN" w:bidi="ar-SA"/>
              </w:rPr>
              <w:t>4</w:t>
            </w:r>
            <w:r>
              <w:rPr>
                <w:rFonts w:hint="eastAsia" w:ascii="宋体" w:hAnsi="宋体" w:eastAsia="宋体" w:cs="宋体"/>
                <w:color w:val="auto"/>
                <w:spacing w:val="0"/>
                <w:kern w:val="0"/>
                <w:sz w:val="24"/>
                <w:szCs w:val="24"/>
                <w:highlight w:val="none"/>
                <w:lang w:val="en-US" w:eastAsia="zh-CN" w:bidi="ar-SA"/>
              </w:rPr>
              <w:t>日</w:t>
            </w:r>
            <w:r>
              <w:rPr>
                <w:rFonts w:hint="eastAsia" w:ascii="宋体" w:hAnsi="宋体" w:eastAsia="宋体" w:cs="宋体"/>
                <w:color w:val="auto"/>
                <w:spacing w:val="0"/>
                <w:kern w:val="0"/>
                <w:sz w:val="24"/>
                <w:szCs w:val="24"/>
                <w:highlight w:val="none"/>
                <w:u w:val="single"/>
                <w:lang w:val="en-US" w:eastAsia="zh-CN" w:bidi="ar-SA"/>
              </w:rPr>
              <w:t>16</w:t>
            </w:r>
            <w:r>
              <w:rPr>
                <w:rFonts w:hint="eastAsia" w:ascii="宋体" w:hAnsi="宋体" w:eastAsia="宋体" w:cs="宋体"/>
                <w:color w:val="auto"/>
                <w:spacing w:val="0"/>
                <w:kern w:val="0"/>
                <w:sz w:val="24"/>
                <w:szCs w:val="24"/>
                <w:highlight w:val="none"/>
                <w:lang w:val="en-US" w:eastAsia="zh-CN" w:bidi="ar-SA"/>
              </w:rPr>
              <w:t>时</w:t>
            </w:r>
            <w:r>
              <w:rPr>
                <w:rFonts w:hint="eastAsia" w:ascii="宋体" w:hAnsi="宋体" w:eastAsia="宋体" w:cs="宋体"/>
                <w:color w:val="auto"/>
                <w:spacing w:val="0"/>
                <w:kern w:val="0"/>
                <w:sz w:val="24"/>
                <w:szCs w:val="24"/>
                <w:highlight w:val="none"/>
                <w:u w:val="single"/>
                <w:lang w:val="en-US" w:eastAsia="zh-CN" w:bidi="ar-SA"/>
              </w:rPr>
              <w:t>00</w:t>
            </w:r>
            <w:r>
              <w:rPr>
                <w:rFonts w:hint="eastAsia" w:ascii="宋体" w:hAnsi="宋体" w:eastAsia="宋体" w:cs="宋体"/>
                <w:color w:val="auto"/>
                <w:spacing w:val="0"/>
                <w:kern w:val="0"/>
                <w:sz w:val="24"/>
                <w:szCs w:val="24"/>
                <w:highlight w:val="none"/>
                <w:lang w:val="en-US" w:eastAsia="zh-CN" w:bidi="ar-SA"/>
              </w:rPr>
              <w:t>分</w:t>
            </w:r>
          </w:p>
        </w:tc>
      </w:tr>
      <w:tr w14:paraId="26346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48"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B93C9CE">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5</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082D687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投标保证缴</w:t>
            </w:r>
          </w:p>
          <w:p w14:paraId="2D149AA8">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纳截止时间</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62232350">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宋体" w:hAnsi="宋体" w:eastAsia="宋体" w:cs="宋体"/>
                <w:color w:val="auto"/>
                <w:spacing w:val="0"/>
                <w:kern w:val="0"/>
                <w:sz w:val="24"/>
                <w:szCs w:val="24"/>
                <w:highlight w:val="none"/>
                <w:lang w:val="en-US" w:eastAsia="zh-CN" w:bidi="ar-SA"/>
              </w:rPr>
            </w:pPr>
            <w:r>
              <w:rPr>
                <w:rFonts w:hint="eastAsia" w:ascii="宋体" w:hAnsi="宋体" w:eastAsia="宋体" w:cs="宋体"/>
                <w:color w:val="auto"/>
                <w:spacing w:val="0"/>
                <w:kern w:val="0"/>
                <w:sz w:val="24"/>
                <w:szCs w:val="24"/>
                <w:highlight w:val="none"/>
                <w:lang w:val="en-US" w:eastAsia="zh-CN" w:bidi="ar-SA"/>
              </w:rPr>
              <w:t>投标保证金到账截止时间：</w:t>
            </w: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snapToGrid w:val="0"/>
                <w:color w:val="auto"/>
                <w:spacing w:val="0"/>
                <w:kern w:val="0"/>
                <w:sz w:val="24"/>
                <w:szCs w:val="24"/>
                <w:highlight w:val="none"/>
                <w:u w:val="single"/>
                <w:lang w:val="en-US" w:eastAsia="zh-CN" w:bidi="ar-SA"/>
              </w:rPr>
              <w:t>8</w:t>
            </w:r>
            <w:r>
              <w:rPr>
                <w:rFonts w:hint="eastAsia" w:ascii="宋体" w:hAnsi="宋体" w:eastAsia="宋体" w:cs="宋体"/>
                <w:snapToGrid w:val="0"/>
                <w:color w:val="auto"/>
                <w:spacing w:val="0"/>
                <w:kern w:val="0"/>
                <w:sz w:val="24"/>
                <w:szCs w:val="24"/>
                <w:highlight w:val="none"/>
                <w:lang w:val="en-US" w:eastAsia="zh-CN" w:bidi="ar-SA"/>
              </w:rPr>
              <w:t>月</w:t>
            </w:r>
            <w:r>
              <w:rPr>
                <w:rFonts w:hint="eastAsia" w:ascii="宋体" w:hAnsi="宋体" w:eastAsia="宋体" w:cs="宋体"/>
                <w:snapToGrid w:val="0"/>
                <w:color w:val="auto"/>
                <w:spacing w:val="0"/>
                <w:kern w:val="0"/>
                <w:sz w:val="24"/>
                <w:szCs w:val="24"/>
                <w:highlight w:val="none"/>
                <w:u w:val="single"/>
                <w:lang w:val="en-US" w:eastAsia="zh-CN" w:bidi="ar-SA"/>
              </w:rPr>
              <w:t>10</w:t>
            </w:r>
            <w:r>
              <w:rPr>
                <w:rFonts w:hint="eastAsia" w:ascii="宋体" w:hAnsi="宋体" w:eastAsia="宋体" w:cs="宋体"/>
                <w:snapToGrid w:val="0"/>
                <w:color w:val="auto"/>
                <w:spacing w:val="0"/>
                <w:kern w:val="0"/>
                <w:sz w:val="24"/>
                <w:szCs w:val="24"/>
                <w:highlight w:val="none"/>
                <w:lang w:val="en-US" w:eastAsia="zh-CN" w:bidi="ar-SA"/>
              </w:rPr>
              <w:t>日</w:t>
            </w:r>
            <w:r>
              <w:rPr>
                <w:rFonts w:hint="eastAsia" w:ascii="宋体" w:hAnsi="宋体" w:eastAsia="宋体" w:cs="宋体"/>
                <w:snapToGrid w:val="0"/>
                <w:color w:val="auto"/>
                <w:spacing w:val="0"/>
                <w:kern w:val="0"/>
                <w:sz w:val="24"/>
                <w:szCs w:val="24"/>
                <w:highlight w:val="none"/>
                <w:u w:val="single"/>
                <w:lang w:val="en-US" w:eastAsia="zh-CN" w:bidi="ar-SA"/>
              </w:rPr>
              <w:t>09</w:t>
            </w:r>
            <w:r>
              <w:rPr>
                <w:rFonts w:hint="eastAsia" w:ascii="宋体" w:hAnsi="宋体" w:eastAsia="宋体" w:cs="宋体"/>
                <w:snapToGrid w:val="0"/>
                <w:color w:val="auto"/>
                <w:spacing w:val="0"/>
                <w:kern w:val="0"/>
                <w:sz w:val="24"/>
                <w:szCs w:val="24"/>
                <w:highlight w:val="none"/>
                <w:lang w:val="en-US" w:eastAsia="zh-CN" w:bidi="ar-SA"/>
              </w:rPr>
              <w:t>时</w:t>
            </w:r>
            <w:r>
              <w:rPr>
                <w:rFonts w:hint="eastAsia" w:ascii="宋体" w:hAnsi="宋体" w:eastAsia="宋体" w:cs="宋体"/>
                <w:snapToGrid w:val="0"/>
                <w:color w:val="auto"/>
                <w:spacing w:val="0"/>
                <w:kern w:val="0"/>
                <w:sz w:val="24"/>
                <w:szCs w:val="24"/>
                <w:highlight w:val="none"/>
                <w:u w:val="single"/>
                <w:lang w:val="en-US" w:eastAsia="zh-CN" w:bidi="ar-SA"/>
              </w:rPr>
              <w:t>30</w:t>
            </w:r>
            <w:r>
              <w:rPr>
                <w:rFonts w:hint="eastAsia" w:ascii="宋体" w:hAnsi="宋体" w:eastAsia="宋体" w:cs="宋体"/>
                <w:color w:val="auto"/>
                <w:spacing w:val="0"/>
                <w:kern w:val="0"/>
                <w:sz w:val="24"/>
                <w:szCs w:val="24"/>
                <w:highlight w:val="none"/>
                <w:lang w:val="en-US" w:eastAsia="zh-CN" w:bidi="ar-SA"/>
              </w:rPr>
              <w:t>分；</w:t>
            </w:r>
          </w:p>
          <w:p w14:paraId="48469684">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宋体" w:hAnsi="宋体" w:eastAsia="宋体" w:cs="宋体"/>
                <w:color w:val="auto"/>
                <w:spacing w:val="0"/>
                <w:kern w:val="0"/>
                <w:sz w:val="24"/>
                <w:szCs w:val="24"/>
                <w:highlight w:val="none"/>
                <w:lang w:val="en-US" w:eastAsia="zh-CN" w:bidi="ar-SA"/>
              </w:rPr>
            </w:pPr>
            <w:r>
              <w:rPr>
                <w:rFonts w:hint="eastAsia" w:ascii="宋体" w:hAnsi="宋体" w:eastAsia="宋体" w:cs="宋体"/>
                <w:color w:val="auto"/>
                <w:spacing w:val="0"/>
                <w:kern w:val="0"/>
                <w:sz w:val="24"/>
                <w:szCs w:val="24"/>
                <w:highlight w:val="none"/>
                <w:lang w:val="en-US" w:eastAsia="zh-CN" w:bidi="ar-SA"/>
              </w:rPr>
              <w:t>投标保证担保上传截止时间：</w:t>
            </w: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snapToGrid w:val="0"/>
                <w:color w:val="auto"/>
                <w:spacing w:val="0"/>
                <w:kern w:val="0"/>
                <w:sz w:val="24"/>
                <w:szCs w:val="24"/>
                <w:highlight w:val="none"/>
                <w:u w:val="single"/>
                <w:lang w:val="en-US" w:eastAsia="zh-CN" w:bidi="ar-SA"/>
              </w:rPr>
              <w:t>8</w:t>
            </w:r>
            <w:r>
              <w:rPr>
                <w:rFonts w:hint="eastAsia" w:ascii="宋体" w:hAnsi="宋体" w:eastAsia="宋体" w:cs="宋体"/>
                <w:snapToGrid w:val="0"/>
                <w:color w:val="auto"/>
                <w:spacing w:val="0"/>
                <w:kern w:val="0"/>
                <w:sz w:val="24"/>
                <w:szCs w:val="24"/>
                <w:highlight w:val="none"/>
                <w:lang w:val="en-US" w:eastAsia="zh-CN" w:bidi="ar-SA"/>
              </w:rPr>
              <w:t>月</w:t>
            </w:r>
            <w:r>
              <w:rPr>
                <w:rFonts w:hint="eastAsia" w:ascii="宋体" w:hAnsi="宋体" w:eastAsia="宋体" w:cs="宋体"/>
                <w:snapToGrid w:val="0"/>
                <w:color w:val="auto"/>
                <w:spacing w:val="0"/>
                <w:kern w:val="0"/>
                <w:sz w:val="24"/>
                <w:szCs w:val="24"/>
                <w:highlight w:val="none"/>
                <w:u w:val="single"/>
                <w:lang w:val="en-US" w:eastAsia="zh-CN" w:bidi="ar-SA"/>
              </w:rPr>
              <w:t>10</w:t>
            </w:r>
            <w:r>
              <w:rPr>
                <w:rFonts w:hint="eastAsia" w:ascii="宋体" w:hAnsi="宋体" w:eastAsia="宋体" w:cs="宋体"/>
                <w:snapToGrid w:val="0"/>
                <w:color w:val="auto"/>
                <w:spacing w:val="0"/>
                <w:kern w:val="0"/>
                <w:sz w:val="24"/>
                <w:szCs w:val="24"/>
                <w:highlight w:val="none"/>
                <w:lang w:val="en-US" w:eastAsia="zh-CN" w:bidi="ar-SA"/>
              </w:rPr>
              <w:t>日</w:t>
            </w:r>
            <w:r>
              <w:rPr>
                <w:rFonts w:hint="eastAsia" w:ascii="宋体" w:hAnsi="宋体" w:eastAsia="宋体" w:cs="宋体"/>
                <w:snapToGrid w:val="0"/>
                <w:color w:val="auto"/>
                <w:spacing w:val="0"/>
                <w:kern w:val="0"/>
                <w:sz w:val="24"/>
                <w:szCs w:val="24"/>
                <w:highlight w:val="none"/>
                <w:u w:val="single"/>
                <w:lang w:val="en-US" w:eastAsia="zh-CN" w:bidi="ar-SA"/>
              </w:rPr>
              <w:t>09</w:t>
            </w:r>
            <w:r>
              <w:rPr>
                <w:rFonts w:hint="eastAsia" w:ascii="宋体" w:hAnsi="宋体" w:eastAsia="宋体" w:cs="宋体"/>
                <w:snapToGrid w:val="0"/>
                <w:color w:val="auto"/>
                <w:spacing w:val="0"/>
                <w:kern w:val="0"/>
                <w:sz w:val="24"/>
                <w:szCs w:val="24"/>
                <w:highlight w:val="none"/>
                <w:lang w:val="en-US" w:eastAsia="zh-CN" w:bidi="ar-SA"/>
              </w:rPr>
              <w:t>时</w:t>
            </w:r>
            <w:r>
              <w:rPr>
                <w:rFonts w:hint="eastAsia" w:ascii="宋体" w:hAnsi="宋体" w:eastAsia="宋体" w:cs="宋体"/>
                <w:snapToGrid w:val="0"/>
                <w:color w:val="auto"/>
                <w:spacing w:val="0"/>
                <w:kern w:val="0"/>
                <w:sz w:val="24"/>
                <w:szCs w:val="24"/>
                <w:highlight w:val="none"/>
                <w:u w:val="single"/>
                <w:lang w:val="en-US" w:eastAsia="zh-CN" w:bidi="ar-SA"/>
              </w:rPr>
              <w:t>30</w:t>
            </w:r>
            <w:r>
              <w:rPr>
                <w:rFonts w:hint="eastAsia" w:ascii="宋体" w:hAnsi="宋体" w:eastAsia="宋体" w:cs="宋体"/>
                <w:color w:val="auto"/>
                <w:spacing w:val="0"/>
                <w:kern w:val="0"/>
                <w:sz w:val="24"/>
                <w:szCs w:val="24"/>
                <w:highlight w:val="none"/>
                <w:lang w:val="en-US" w:eastAsia="zh-CN" w:bidi="ar-SA"/>
              </w:rPr>
              <w:t>分；</w:t>
            </w:r>
          </w:p>
          <w:p w14:paraId="4B354B21">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kern w:val="0"/>
                <w:sz w:val="24"/>
                <w:szCs w:val="24"/>
                <w:highlight w:val="none"/>
                <w:lang w:val="en-US" w:eastAsia="zh-CN" w:bidi="ar-SA"/>
              </w:rPr>
              <w:t>投标保证保险投保截止时间：</w:t>
            </w: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color w:val="auto"/>
                <w:spacing w:val="0"/>
                <w:kern w:val="0"/>
                <w:sz w:val="24"/>
                <w:szCs w:val="24"/>
                <w:highlight w:val="none"/>
                <w:u w:val="single"/>
                <w:lang w:val="en-US" w:eastAsia="zh-CN" w:bidi="ar-SA"/>
              </w:rPr>
              <w:t>8</w:t>
            </w:r>
            <w:r>
              <w:rPr>
                <w:rFonts w:hint="eastAsia" w:ascii="宋体" w:hAnsi="宋体" w:eastAsia="宋体" w:cs="宋体"/>
                <w:snapToGrid w:val="0"/>
                <w:color w:val="auto"/>
                <w:spacing w:val="0"/>
                <w:kern w:val="0"/>
                <w:sz w:val="24"/>
                <w:szCs w:val="24"/>
                <w:highlight w:val="none"/>
                <w:lang w:val="en-US" w:eastAsia="zh-CN" w:bidi="ar-SA"/>
              </w:rPr>
              <w:t>月</w:t>
            </w:r>
            <w:r>
              <w:rPr>
                <w:rFonts w:hint="eastAsia" w:ascii="宋体" w:hAnsi="宋体" w:eastAsia="宋体" w:cs="宋体"/>
                <w:snapToGrid w:val="0"/>
                <w:color w:val="auto"/>
                <w:spacing w:val="0"/>
                <w:kern w:val="0"/>
                <w:sz w:val="24"/>
                <w:szCs w:val="24"/>
                <w:highlight w:val="none"/>
                <w:u w:val="single"/>
                <w:lang w:val="en-US" w:eastAsia="zh-CN" w:bidi="ar-SA"/>
              </w:rPr>
              <w:t>10</w:t>
            </w:r>
            <w:r>
              <w:rPr>
                <w:rFonts w:hint="eastAsia" w:ascii="宋体" w:hAnsi="宋体" w:eastAsia="宋体" w:cs="宋体"/>
                <w:snapToGrid w:val="0"/>
                <w:color w:val="auto"/>
                <w:spacing w:val="0"/>
                <w:kern w:val="0"/>
                <w:sz w:val="24"/>
                <w:szCs w:val="24"/>
                <w:highlight w:val="none"/>
                <w:lang w:val="en-US" w:eastAsia="zh-CN" w:bidi="ar-SA"/>
              </w:rPr>
              <w:t>日</w:t>
            </w:r>
            <w:r>
              <w:rPr>
                <w:rFonts w:hint="eastAsia" w:ascii="宋体" w:hAnsi="宋体" w:eastAsia="宋体" w:cs="宋体"/>
                <w:snapToGrid w:val="0"/>
                <w:color w:val="auto"/>
                <w:spacing w:val="0"/>
                <w:kern w:val="0"/>
                <w:sz w:val="24"/>
                <w:szCs w:val="24"/>
                <w:highlight w:val="none"/>
                <w:u w:val="single"/>
                <w:lang w:val="en-US" w:eastAsia="zh-CN" w:bidi="ar-SA"/>
              </w:rPr>
              <w:t>09</w:t>
            </w:r>
            <w:r>
              <w:rPr>
                <w:rFonts w:hint="eastAsia" w:ascii="宋体" w:hAnsi="宋体" w:eastAsia="宋体" w:cs="宋体"/>
                <w:snapToGrid w:val="0"/>
                <w:color w:val="auto"/>
                <w:spacing w:val="0"/>
                <w:kern w:val="0"/>
                <w:sz w:val="24"/>
                <w:szCs w:val="24"/>
                <w:highlight w:val="none"/>
                <w:lang w:val="en-US" w:eastAsia="zh-CN" w:bidi="ar-SA"/>
              </w:rPr>
              <w:t>时</w:t>
            </w:r>
            <w:r>
              <w:rPr>
                <w:rFonts w:hint="eastAsia" w:ascii="宋体" w:hAnsi="宋体" w:eastAsia="宋体" w:cs="宋体"/>
                <w:snapToGrid w:val="0"/>
                <w:color w:val="auto"/>
                <w:spacing w:val="0"/>
                <w:kern w:val="0"/>
                <w:sz w:val="24"/>
                <w:szCs w:val="24"/>
                <w:highlight w:val="none"/>
                <w:u w:val="single"/>
                <w:lang w:val="en-US" w:eastAsia="zh-CN" w:bidi="ar-SA"/>
              </w:rPr>
              <w:t>30</w:t>
            </w:r>
            <w:r>
              <w:rPr>
                <w:rFonts w:hint="eastAsia" w:ascii="宋体" w:hAnsi="宋体" w:eastAsia="宋体" w:cs="宋体"/>
                <w:color w:val="auto"/>
                <w:spacing w:val="0"/>
                <w:kern w:val="0"/>
                <w:sz w:val="24"/>
                <w:szCs w:val="24"/>
                <w:highlight w:val="none"/>
                <w:lang w:val="en-US" w:eastAsia="zh-CN" w:bidi="ar-SA"/>
              </w:rPr>
              <w:t>分。</w:t>
            </w:r>
          </w:p>
        </w:tc>
      </w:tr>
      <w:tr w14:paraId="1D384F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2"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066C4A5C">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6</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76A2BAA3">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电子投标</w:t>
            </w:r>
          </w:p>
          <w:p w14:paraId="2FA17C4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截止时间 </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0DB12431">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snapToGrid w:val="0"/>
                <w:color w:val="auto"/>
                <w:spacing w:val="0"/>
                <w:kern w:val="0"/>
                <w:sz w:val="24"/>
                <w:szCs w:val="24"/>
                <w:highlight w:val="none"/>
                <w:u w:val="single"/>
                <w:lang w:val="en-US" w:eastAsia="zh-CN" w:bidi="ar-SA"/>
              </w:rPr>
              <w:t>8</w:t>
            </w:r>
            <w:r>
              <w:rPr>
                <w:rFonts w:hint="eastAsia" w:ascii="宋体" w:hAnsi="宋体" w:eastAsia="宋体" w:cs="宋体"/>
                <w:snapToGrid w:val="0"/>
                <w:color w:val="auto"/>
                <w:spacing w:val="0"/>
                <w:kern w:val="0"/>
                <w:sz w:val="24"/>
                <w:szCs w:val="24"/>
                <w:highlight w:val="none"/>
                <w:lang w:val="en-US" w:eastAsia="zh-CN" w:bidi="ar-SA"/>
              </w:rPr>
              <w:t>月</w:t>
            </w:r>
            <w:r>
              <w:rPr>
                <w:rFonts w:hint="eastAsia" w:ascii="宋体" w:hAnsi="宋体" w:eastAsia="宋体" w:cs="宋体"/>
                <w:snapToGrid w:val="0"/>
                <w:color w:val="auto"/>
                <w:spacing w:val="0"/>
                <w:kern w:val="0"/>
                <w:sz w:val="24"/>
                <w:szCs w:val="24"/>
                <w:highlight w:val="none"/>
                <w:u w:val="single"/>
                <w:lang w:val="en-US" w:eastAsia="zh-CN" w:bidi="ar-SA"/>
              </w:rPr>
              <w:t>11</w:t>
            </w:r>
            <w:r>
              <w:rPr>
                <w:rFonts w:hint="eastAsia" w:ascii="宋体" w:hAnsi="宋体" w:eastAsia="宋体" w:cs="宋体"/>
                <w:snapToGrid w:val="0"/>
                <w:color w:val="auto"/>
                <w:spacing w:val="0"/>
                <w:kern w:val="0"/>
                <w:sz w:val="24"/>
                <w:szCs w:val="24"/>
                <w:highlight w:val="none"/>
                <w:lang w:val="en-US" w:eastAsia="zh-CN" w:bidi="ar-SA"/>
              </w:rPr>
              <w:t>日</w:t>
            </w:r>
            <w:r>
              <w:rPr>
                <w:rFonts w:hint="eastAsia" w:ascii="宋体" w:hAnsi="宋体" w:eastAsia="宋体" w:cs="宋体"/>
                <w:snapToGrid w:val="0"/>
                <w:color w:val="auto"/>
                <w:spacing w:val="0"/>
                <w:kern w:val="0"/>
                <w:sz w:val="24"/>
                <w:szCs w:val="24"/>
                <w:highlight w:val="none"/>
                <w:u w:val="single"/>
                <w:lang w:val="en-US" w:eastAsia="zh-CN" w:bidi="ar-SA"/>
              </w:rPr>
              <w:t>09</w:t>
            </w:r>
            <w:r>
              <w:rPr>
                <w:rFonts w:hint="eastAsia" w:ascii="宋体" w:hAnsi="宋体" w:eastAsia="宋体" w:cs="宋体"/>
                <w:snapToGrid w:val="0"/>
                <w:color w:val="auto"/>
                <w:spacing w:val="0"/>
                <w:kern w:val="0"/>
                <w:sz w:val="24"/>
                <w:szCs w:val="24"/>
                <w:highlight w:val="none"/>
                <w:lang w:val="en-US" w:eastAsia="zh-CN" w:bidi="ar-SA"/>
              </w:rPr>
              <w:t>时</w:t>
            </w:r>
            <w:r>
              <w:rPr>
                <w:rFonts w:hint="eastAsia" w:ascii="宋体" w:hAnsi="宋体" w:eastAsia="宋体" w:cs="宋体"/>
                <w:snapToGrid w:val="0"/>
                <w:color w:val="auto"/>
                <w:spacing w:val="0"/>
                <w:kern w:val="0"/>
                <w:sz w:val="24"/>
                <w:szCs w:val="24"/>
                <w:highlight w:val="none"/>
                <w:u w:val="single"/>
                <w:lang w:val="en-US" w:eastAsia="zh-CN" w:bidi="ar-SA"/>
              </w:rPr>
              <w:t>30</w:t>
            </w:r>
            <w:r>
              <w:rPr>
                <w:rFonts w:hint="eastAsia" w:ascii="宋体" w:hAnsi="宋体" w:eastAsia="宋体" w:cs="宋体"/>
                <w:color w:val="auto"/>
                <w:spacing w:val="0"/>
                <w:kern w:val="0"/>
                <w:sz w:val="24"/>
                <w:szCs w:val="24"/>
                <w:highlight w:val="none"/>
                <w:lang w:val="en-US" w:eastAsia="zh-CN" w:bidi="ar-SA"/>
              </w:rPr>
              <w:t>分</w:t>
            </w:r>
          </w:p>
        </w:tc>
      </w:tr>
      <w:tr w14:paraId="30E0E0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2E2714AB">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7</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121AF192">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投标相关资料（如有）</w:t>
            </w:r>
          </w:p>
          <w:p w14:paraId="5083F832">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递交时间</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38D1657B">
            <w:pPr>
              <w:keepNext w:val="0"/>
              <w:keepLines w:val="0"/>
              <w:pageBreakBefore w:val="0"/>
              <w:widowControl/>
              <w:suppressLineNumbers w:val="0"/>
              <w:wordWrap w:val="0"/>
              <w:overflowPunct/>
              <w:topLinePunct w:val="0"/>
              <w:bidi w:val="0"/>
              <w:snapToGrid w:val="0"/>
              <w:spacing w:before="0" w:beforeAutospacing="0" w:after="0" w:afterAutospacing="0" w:line="360" w:lineRule="auto"/>
              <w:ind w:left="0" w:right="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snapToGrid w:val="0"/>
                <w:color w:val="auto"/>
                <w:spacing w:val="0"/>
                <w:kern w:val="0"/>
                <w:sz w:val="24"/>
                <w:szCs w:val="24"/>
                <w:highlight w:val="none"/>
                <w:u w:val="single"/>
                <w:lang w:val="en-US" w:eastAsia="zh-CN" w:bidi="ar-SA"/>
              </w:rPr>
              <w:t>8</w:t>
            </w:r>
            <w:r>
              <w:rPr>
                <w:rFonts w:hint="eastAsia" w:ascii="宋体" w:hAnsi="宋体" w:eastAsia="宋体" w:cs="宋体"/>
                <w:snapToGrid w:val="0"/>
                <w:color w:val="auto"/>
                <w:spacing w:val="0"/>
                <w:kern w:val="0"/>
                <w:sz w:val="24"/>
                <w:szCs w:val="24"/>
                <w:highlight w:val="none"/>
                <w:lang w:val="en-US" w:eastAsia="zh-CN" w:bidi="ar-SA"/>
              </w:rPr>
              <w:t>月</w:t>
            </w:r>
            <w:r>
              <w:rPr>
                <w:rFonts w:hint="eastAsia" w:ascii="宋体" w:hAnsi="宋体" w:eastAsia="宋体" w:cs="宋体"/>
                <w:snapToGrid w:val="0"/>
                <w:color w:val="auto"/>
                <w:spacing w:val="0"/>
                <w:kern w:val="0"/>
                <w:sz w:val="24"/>
                <w:szCs w:val="24"/>
                <w:highlight w:val="none"/>
                <w:u w:val="single"/>
                <w:lang w:val="en-US" w:eastAsia="zh-CN" w:bidi="ar-SA"/>
              </w:rPr>
              <w:t>11</w:t>
            </w:r>
            <w:r>
              <w:rPr>
                <w:rFonts w:hint="eastAsia" w:ascii="宋体" w:hAnsi="宋体" w:eastAsia="宋体" w:cs="宋体"/>
                <w:snapToGrid w:val="0"/>
                <w:color w:val="auto"/>
                <w:spacing w:val="0"/>
                <w:kern w:val="0"/>
                <w:sz w:val="24"/>
                <w:szCs w:val="24"/>
                <w:highlight w:val="none"/>
                <w:lang w:val="en-US" w:eastAsia="zh-CN" w:bidi="ar-SA"/>
              </w:rPr>
              <w:t>日</w:t>
            </w:r>
            <w:r>
              <w:rPr>
                <w:rFonts w:hint="eastAsia" w:ascii="宋体" w:hAnsi="宋体" w:eastAsia="宋体" w:cs="宋体"/>
                <w:snapToGrid w:val="0"/>
                <w:color w:val="auto"/>
                <w:spacing w:val="0"/>
                <w:kern w:val="0"/>
                <w:sz w:val="24"/>
                <w:szCs w:val="24"/>
                <w:highlight w:val="none"/>
                <w:u w:val="single"/>
                <w:lang w:val="en-US" w:eastAsia="zh-CN" w:bidi="ar-SA"/>
              </w:rPr>
              <w:t>09</w:t>
            </w:r>
            <w:r>
              <w:rPr>
                <w:rFonts w:hint="eastAsia" w:ascii="宋体" w:hAnsi="宋体" w:eastAsia="宋体" w:cs="宋体"/>
                <w:snapToGrid w:val="0"/>
                <w:color w:val="auto"/>
                <w:spacing w:val="0"/>
                <w:kern w:val="0"/>
                <w:sz w:val="24"/>
                <w:szCs w:val="24"/>
                <w:highlight w:val="none"/>
                <w:lang w:val="en-US" w:eastAsia="zh-CN" w:bidi="ar-SA"/>
              </w:rPr>
              <w:t>时</w:t>
            </w:r>
            <w:r>
              <w:rPr>
                <w:rFonts w:hint="eastAsia" w:ascii="宋体" w:hAnsi="宋体" w:eastAsia="宋体" w:cs="宋体"/>
                <w:snapToGrid w:val="0"/>
                <w:color w:val="auto"/>
                <w:spacing w:val="0"/>
                <w:kern w:val="0"/>
                <w:sz w:val="24"/>
                <w:szCs w:val="24"/>
                <w:highlight w:val="none"/>
                <w:u w:val="single"/>
                <w:lang w:val="en-US" w:eastAsia="zh-CN" w:bidi="ar-SA"/>
              </w:rPr>
              <w:t>00</w:t>
            </w:r>
            <w:r>
              <w:rPr>
                <w:rFonts w:hint="eastAsia" w:ascii="宋体" w:hAnsi="宋体" w:eastAsia="宋体" w:cs="宋体"/>
                <w:color w:val="auto"/>
                <w:spacing w:val="0"/>
                <w:kern w:val="0"/>
                <w:sz w:val="24"/>
                <w:szCs w:val="24"/>
                <w:highlight w:val="none"/>
                <w:lang w:val="en-US" w:eastAsia="zh-CN" w:bidi="ar-SA"/>
              </w:rPr>
              <w:t>分至</w:t>
            </w: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color w:val="auto"/>
                <w:spacing w:val="0"/>
                <w:kern w:val="0"/>
                <w:sz w:val="24"/>
                <w:szCs w:val="24"/>
                <w:highlight w:val="none"/>
                <w:lang w:val="en-US" w:eastAsia="zh-CN" w:bidi="ar-SA"/>
              </w:rPr>
              <w:t>年</w:t>
            </w:r>
            <w:r>
              <w:rPr>
                <w:rFonts w:hint="eastAsia" w:ascii="宋体" w:hAnsi="宋体" w:eastAsia="宋体" w:cs="宋体"/>
                <w:snapToGrid w:val="0"/>
                <w:color w:val="auto"/>
                <w:spacing w:val="0"/>
                <w:kern w:val="0"/>
                <w:sz w:val="24"/>
                <w:szCs w:val="24"/>
                <w:highlight w:val="none"/>
                <w:u w:val="single"/>
                <w:lang w:val="en-US" w:eastAsia="zh-CN" w:bidi="ar-SA"/>
              </w:rPr>
              <w:t>8</w:t>
            </w:r>
            <w:r>
              <w:rPr>
                <w:rFonts w:hint="eastAsia" w:ascii="宋体" w:hAnsi="宋体" w:eastAsia="宋体" w:cs="宋体"/>
                <w:snapToGrid w:val="0"/>
                <w:color w:val="auto"/>
                <w:spacing w:val="0"/>
                <w:kern w:val="0"/>
                <w:sz w:val="24"/>
                <w:szCs w:val="24"/>
                <w:highlight w:val="none"/>
                <w:lang w:val="en-US" w:eastAsia="zh-CN" w:bidi="ar-SA"/>
              </w:rPr>
              <w:t>月</w:t>
            </w:r>
            <w:r>
              <w:rPr>
                <w:rFonts w:hint="eastAsia" w:ascii="宋体" w:hAnsi="宋体" w:eastAsia="宋体" w:cs="宋体"/>
                <w:snapToGrid w:val="0"/>
                <w:color w:val="auto"/>
                <w:spacing w:val="0"/>
                <w:kern w:val="0"/>
                <w:sz w:val="24"/>
                <w:szCs w:val="24"/>
                <w:highlight w:val="none"/>
                <w:u w:val="single"/>
                <w:lang w:val="en-US" w:eastAsia="zh-CN" w:bidi="ar-SA"/>
              </w:rPr>
              <w:t>11</w:t>
            </w:r>
            <w:bookmarkStart w:id="276" w:name="_GoBack"/>
            <w:bookmarkEnd w:id="276"/>
            <w:r>
              <w:rPr>
                <w:rFonts w:hint="eastAsia" w:ascii="宋体" w:hAnsi="宋体" w:eastAsia="宋体" w:cs="宋体"/>
                <w:snapToGrid w:val="0"/>
                <w:color w:val="auto"/>
                <w:spacing w:val="0"/>
                <w:kern w:val="0"/>
                <w:sz w:val="24"/>
                <w:szCs w:val="24"/>
                <w:highlight w:val="none"/>
                <w:lang w:val="en-US" w:eastAsia="zh-CN" w:bidi="ar-SA"/>
              </w:rPr>
              <w:t>日</w:t>
            </w:r>
            <w:r>
              <w:rPr>
                <w:rFonts w:hint="eastAsia" w:ascii="宋体" w:hAnsi="宋体" w:eastAsia="宋体" w:cs="宋体"/>
                <w:snapToGrid w:val="0"/>
                <w:color w:val="auto"/>
                <w:spacing w:val="0"/>
                <w:kern w:val="0"/>
                <w:sz w:val="24"/>
                <w:szCs w:val="24"/>
                <w:highlight w:val="none"/>
                <w:u w:val="single"/>
                <w:lang w:val="en-US" w:eastAsia="zh-CN" w:bidi="ar-SA"/>
              </w:rPr>
              <w:t>09</w:t>
            </w:r>
            <w:r>
              <w:rPr>
                <w:rFonts w:hint="eastAsia" w:ascii="宋体" w:hAnsi="宋体" w:eastAsia="宋体" w:cs="宋体"/>
                <w:snapToGrid w:val="0"/>
                <w:color w:val="auto"/>
                <w:spacing w:val="0"/>
                <w:kern w:val="0"/>
                <w:sz w:val="24"/>
                <w:szCs w:val="24"/>
                <w:highlight w:val="none"/>
                <w:lang w:val="en-US" w:eastAsia="zh-CN" w:bidi="ar-SA"/>
              </w:rPr>
              <w:t>时</w:t>
            </w:r>
            <w:r>
              <w:rPr>
                <w:rFonts w:hint="eastAsia" w:ascii="宋体" w:hAnsi="宋体" w:eastAsia="宋体" w:cs="宋体"/>
                <w:snapToGrid w:val="0"/>
                <w:color w:val="auto"/>
                <w:spacing w:val="0"/>
                <w:kern w:val="0"/>
                <w:sz w:val="24"/>
                <w:szCs w:val="24"/>
                <w:highlight w:val="none"/>
                <w:u w:val="single"/>
                <w:lang w:val="en-US" w:eastAsia="zh-CN" w:bidi="ar-SA"/>
              </w:rPr>
              <w:t>30</w:t>
            </w:r>
            <w:r>
              <w:rPr>
                <w:rFonts w:hint="eastAsia" w:ascii="宋体" w:hAnsi="宋体" w:eastAsia="宋体" w:cs="宋体"/>
                <w:color w:val="auto"/>
                <w:spacing w:val="0"/>
                <w:kern w:val="0"/>
                <w:sz w:val="24"/>
                <w:szCs w:val="24"/>
                <w:highlight w:val="none"/>
                <w:lang w:val="en-US" w:eastAsia="zh-CN" w:bidi="ar-SA"/>
              </w:rPr>
              <w:t>分</w:t>
            </w:r>
          </w:p>
        </w:tc>
      </w:tr>
      <w:tr w14:paraId="3F934C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4265D800">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8</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98C8B7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投标相关资料（如有）</w:t>
            </w:r>
          </w:p>
          <w:p w14:paraId="170BD88B">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递交地点</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5605A282">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right="0"/>
              <w:jc w:val="left"/>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递交场所：韶关市公共资源交易中心，</w:t>
            </w:r>
          </w:p>
          <w:p w14:paraId="7190C4A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right="0"/>
              <w:jc w:val="lef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地址：广东省韶关市武江区西联镇，具体房间号以当日现场通知为准。</w:t>
            </w:r>
          </w:p>
        </w:tc>
      </w:tr>
      <w:tr w14:paraId="529A5D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6"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2C00C926">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9</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257504FA">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开标时间 </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4F4A041C">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kern w:val="0"/>
                <w:sz w:val="24"/>
                <w:szCs w:val="24"/>
                <w:highlight w:val="none"/>
                <w:u w:val="single"/>
                <w:lang w:val="en-US" w:eastAsia="zh-CN" w:bidi="ar-SA"/>
              </w:rPr>
              <w:t>2026</w:t>
            </w:r>
            <w:r>
              <w:rPr>
                <w:rFonts w:hint="eastAsia" w:ascii="宋体" w:hAnsi="宋体" w:eastAsia="宋体" w:cs="宋体"/>
                <w:snapToGrid w:val="0"/>
                <w:color w:val="auto"/>
                <w:spacing w:val="0"/>
                <w:kern w:val="0"/>
                <w:sz w:val="24"/>
                <w:szCs w:val="24"/>
                <w:highlight w:val="none"/>
                <w:lang w:val="en-US" w:eastAsia="zh-CN" w:bidi="ar-SA"/>
              </w:rPr>
              <w:t>年</w:t>
            </w:r>
            <w:r>
              <w:rPr>
                <w:rFonts w:hint="eastAsia" w:ascii="宋体" w:hAnsi="宋体" w:eastAsia="宋体" w:cs="宋体"/>
                <w:snapToGrid w:val="0"/>
                <w:color w:val="auto"/>
                <w:spacing w:val="0"/>
                <w:kern w:val="0"/>
                <w:sz w:val="24"/>
                <w:szCs w:val="24"/>
                <w:highlight w:val="none"/>
                <w:u w:val="single"/>
                <w:lang w:val="en-US" w:eastAsia="zh-CN" w:bidi="ar-SA"/>
              </w:rPr>
              <w:t>8</w:t>
            </w:r>
            <w:r>
              <w:rPr>
                <w:rFonts w:hint="eastAsia" w:ascii="宋体" w:hAnsi="宋体" w:eastAsia="宋体" w:cs="宋体"/>
                <w:snapToGrid w:val="0"/>
                <w:color w:val="auto"/>
                <w:spacing w:val="0"/>
                <w:kern w:val="0"/>
                <w:sz w:val="24"/>
                <w:szCs w:val="24"/>
                <w:highlight w:val="none"/>
                <w:lang w:val="en-US" w:eastAsia="zh-CN" w:bidi="ar-SA"/>
              </w:rPr>
              <w:t>月</w:t>
            </w:r>
            <w:r>
              <w:rPr>
                <w:rFonts w:hint="eastAsia" w:ascii="宋体" w:hAnsi="宋体" w:eastAsia="宋体" w:cs="宋体"/>
                <w:snapToGrid w:val="0"/>
                <w:color w:val="auto"/>
                <w:spacing w:val="0"/>
                <w:kern w:val="0"/>
                <w:sz w:val="24"/>
                <w:szCs w:val="24"/>
                <w:highlight w:val="none"/>
                <w:u w:val="single"/>
                <w:lang w:val="en-US" w:eastAsia="zh-CN" w:bidi="ar-SA"/>
              </w:rPr>
              <w:t>11</w:t>
            </w:r>
            <w:r>
              <w:rPr>
                <w:rFonts w:hint="eastAsia" w:ascii="宋体" w:hAnsi="宋体" w:eastAsia="宋体" w:cs="宋体"/>
                <w:snapToGrid w:val="0"/>
                <w:color w:val="auto"/>
                <w:spacing w:val="0"/>
                <w:kern w:val="0"/>
                <w:sz w:val="24"/>
                <w:szCs w:val="24"/>
                <w:highlight w:val="none"/>
                <w:lang w:val="en-US" w:eastAsia="zh-CN" w:bidi="ar-SA"/>
              </w:rPr>
              <w:t>日</w:t>
            </w:r>
            <w:r>
              <w:rPr>
                <w:rFonts w:hint="eastAsia" w:ascii="宋体" w:hAnsi="宋体" w:eastAsia="宋体" w:cs="宋体"/>
                <w:snapToGrid w:val="0"/>
                <w:color w:val="auto"/>
                <w:spacing w:val="0"/>
                <w:kern w:val="0"/>
                <w:sz w:val="24"/>
                <w:szCs w:val="24"/>
                <w:highlight w:val="none"/>
                <w:u w:val="single"/>
                <w:lang w:val="en-US" w:eastAsia="zh-CN" w:bidi="ar-SA"/>
              </w:rPr>
              <w:t>09</w:t>
            </w:r>
            <w:r>
              <w:rPr>
                <w:rFonts w:hint="eastAsia" w:ascii="宋体" w:hAnsi="宋体" w:eastAsia="宋体" w:cs="宋体"/>
                <w:snapToGrid w:val="0"/>
                <w:color w:val="auto"/>
                <w:spacing w:val="0"/>
                <w:kern w:val="0"/>
                <w:sz w:val="24"/>
                <w:szCs w:val="24"/>
                <w:highlight w:val="none"/>
                <w:lang w:val="en-US" w:eastAsia="zh-CN" w:bidi="ar-SA"/>
              </w:rPr>
              <w:t>时</w:t>
            </w:r>
            <w:r>
              <w:rPr>
                <w:rFonts w:hint="eastAsia" w:ascii="宋体" w:hAnsi="宋体" w:eastAsia="宋体" w:cs="宋体"/>
                <w:snapToGrid w:val="0"/>
                <w:color w:val="auto"/>
                <w:spacing w:val="0"/>
                <w:kern w:val="0"/>
                <w:sz w:val="24"/>
                <w:szCs w:val="24"/>
                <w:highlight w:val="none"/>
                <w:u w:val="single"/>
                <w:lang w:val="en-US" w:eastAsia="zh-CN" w:bidi="ar-SA"/>
              </w:rPr>
              <w:t>30</w:t>
            </w:r>
            <w:r>
              <w:rPr>
                <w:rFonts w:hint="eastAsia" w:ascii="宋体" w:hAnsi="宋体" w:eastAsia="宋体" w:cs="宋体"/>
                <w:snapToGrid w:val="0"/>
                <w:color w:val="auto"/>
                <w:spacing w:val="0"/>
                <w:kern w:val="0"/>
                <w:sz w:val="24"/>
                <w:szCs w:val="24"/>
                <w:highlight w:val="none"/>
                <w:lang w:val="en-US" w:eastAsia="zh-CN" w:bidi="ar-SA"/>
              </w:rPr>
              <w:t>分</w:t>
            </w:r>
          </w:p>
        </w:tc>
      </w:tr>
      <w:tr w14:paraId="27C90E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7" w:hRule="exact"/>
        </w:trPr>
        <w:tc>
          <w:tcPr>
            <w:tcW w:w="421" w:type="dxa"/>
            <w:tcBorders>
              <w:top w:val="single" w:color="080000" w:sz="4" w:space="0"/>
              <w:left w:val="single" w:color="080000" w:sz="4" w:space="0"/>
              <w:bottom w:val="single" w:color="080000" w:sz="4" w:space="0"/>
              <w:right w:val="single" w:color="080000" w:sz="4" w:space="0"/>
            </w:tcBorders>
            <w:noWrap w:val="0"/>
            <w:vAlign w:val="center"/>
          </w:tcPr>
          <w:p w14:paraId="1D049F48">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10</w:t>
            </w:r>
          </w:p>
        </w:tc>
        <w:tc>
          <w:tcPr>
            <w:tcW w:w="1300" w:type="dxa"/>
            <w:tcBorders>
              <w:top w:val="single" w:color="080000" w:sz="4" w:space="0"/>
              <w:left w:val="single" w:color="080000" w:sz="4" w:space="0"/>
              <w:bottom w:val="single" w:color="080000" w:sz="4" w:space="0"/>
              <w:right w:val="single" w:color="080000" w:sz="4" w:space="0"/>
            </w:tcBorders>
            <w:noWrap w:val="0"/>
            <w:vAlign w:val="center"/>
          </w:tcPr>
          <w:p w14:paraId="555B6A36">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 xml:space="preserve">开标地点 </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00C02B3F">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right="0"/>
              <w:jc w:val="left"/>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开标场所：韶关市公共资源交易中心，</w:t>
            </w:r>
          </w:p>
          <w:p w14:paraId="31FCDB5E">
            <w:pPr>
              <w:keepNext w:val="0"/>
              <w:keepLines w:val="0"/>
              <w:pageBreakBefore w:val="0"/>
              <w:widowControl w:val="0"/>
              <w:suppressLineNumbers w:val="0"/>
              <w:wordWrap w:val="0"/>
              <w:overflowPunct/>
              <w:topLinePunct w:val="0"/>
              <w:bidi w:val="0"/>
              <w:adjustRightInd w:val="0"/>
              <w:snapToGrid w:val="0"/>
              <w:spacing w:before="0" w:beforeAutospacing="0" w:after="0" w:afterAutospacing="0" w:line="360" w:lineRule="auto"/>
              <w:ind w:right="0"/>
              <w:jc w:val="lef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bidi="ar-SA"/>
              </w:rPr>
              <w:t>地址：广东省韶关市武江区西联镇，具体房间号以当日现场通知为准。</w:t>
            </w:r>
          </w:p>
        </w:tc>
      </w:tr>
      <w:tr w14:paraId="28D28B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1721" w:type="dxa"/>
            <w:gridSpan w:val="2"/>
            <w:tcBorders>
              <w:top w:val="single" w:color="080000" w:sz="4" w:space="0"/>
              <w:left w:val="single" w:color="080000" w:sz="4" w:space="0"/>
              <w:bottom w:val="single" w:color="080000" w:sz="4" w:space="0"/>
              <w:right w:val="single" w:color="080000" w:sz="4" w:space="0"/>
            </w:tcBorders>
            <w:noWrap w:val="0"/>
            <w:vAlign w:val="center"/>
          </w:tcPr>
          <w:p w14:paraId="084E8E9B">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left="0" w:right="0"/>
              <w:jc w:val="center"/>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val="en-US" w:eastAsia="zh-CN"/>
              </w:rPr>
              <w:t>备注</w:t>
            </w:r>
          </w:p>
        </w:tc>
        <w:tc>
          <w:tcPr>
            <w:tcW w:w="7591" w:type="dxa"/>
            <w:tcBorders>
              <w:top w:val="single" w:color="080000" w:sz="4" w:space="0"/>
              <w:left w:val="single" w:color="080000" w:sz="4" w:space="0"/>
              <w:bottom w:val="single" w:color="080000" w:sz="4" w:space="0"/>
              <w:right w:val="single" w:color="080000" w:sz="4" w:space="0"/>
            </w:tcBorders>
            <w:noWrap w:val="0"/>
            <w:vAlign w:val="center"/>
          </w:tcPr>
          <w:p w14:paraId="123A471A">
            <w:pPr>
              <w:pStyle w:val="30"/>
              <w:keepNext w:val="0"/>
              <w:keepLines w:val="0"/>
              <w:pageBreakBefore w:val="0"/>
              <w:suppressLineNumbers w:val="0"/>
              <w:wordWrap w:val="0"/>
              <w:overflowPunct/>
              <w:topLinePunct w:val="0"/>
              <w:bidi w:val="0"/>
              <w:adjustRightInd w:val="0"/>
              <w:snapToGrid w:val="0"/>
              <w:spacing w:before="0" w:beforeAutospacing="0" w:after="0" w:afterAutospacing="0" w:line="360" w:lineRule="auto"/>
              <w:ind w:right="0"/>
              <w:jc w:val="lef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BAA81FE">
      <w:pPr>
        <w:keepNext w:val="0"/>
        <w:keepLines w:val="0"/>
        <w:pageBreakBefore w:val="0"/>
        <w:tabs>
          <w:tab w:val="left" w:pos="8820"/>
        </w:tabs>
        <w:wordWrap w:val="0"/>
        <w:overflowPunct/>
        <w:topLinePunct w:val="0"/>
        <w:bidi w:val="0"/>
        <w:spacing w:line="360" w:lineRule="auto"/>
        <w:rPr>
          <w:rFonts w:hint="eastAsia" w:ascii="宋体" w:hAnsi="宋体" w:eastAsia="宋体" w:cs="宋体"/>
          <w:b w:val="0"/>
          <w:bCs w:val="0"/>
          <w:color w:val="auto"/>
          <w:spacing w:val="0"/>
          <w:sz w:val="24"/>
          <w:szCs w:val="24"/>
          <w:highlight w:val="none"/>
        </w:rPr>
        <w:sectPr>
          <w:headerReference r:id="rId9" w:type="default"/>
          <w:footerReference r:id="rId10" w:type="default"/>
          <w:pgSz w:w="11906" w:h="16839"/>
          <w:pgMar w:top="1440" w:right="1080" w:bottom="1440" w:left="1080" w:header="0" w:footer="1085" w:gutter="0"/>
          <w:pgBorders>
            <w:top w:val="none" w:sz="0" w:space="0"/>
            <w:left w:val="none" w:sz="0" w:space="0"/>
            <w:bottom w:val="none" w:sz="0" w:space="0"/>
            <w:right w:val="none" w:sz="0" w:space="0"/>
          </w:pgBorders>
          <w:pgNumType w:fmt="decimal"/>
          <w:cols w:space="720" w:num="1"/>
        </w:sectPr>
      </w:pPr>
    </w:p>
    <w:p w14:paraId="4035F05F">
      <w:pPr>
        <w:keepNext w:val="0"/>
        <w:keepLines w:val="0"/>
        <w:pageBreakBefore w:val="0"/>
        <w:wordWrap w:val="0"/>
        <w:overflowPunct/>
        <w:topLinePunct w:val="0"/>
        <w:bidi w:val="0"/>
        <w:spacing w:line="360" w:lineRule="auto"/>
        <w:jc w:val="center"/>
        <w:outlineLvl w:val="1"/>
        <w:rPr>
          <w:rFonts w:hint="eastAsia" w:ascii="宋体" w:hAnsi="宋体" w:eastAsia="宋体" w:cs="宋体"/>
          <w:color w:val="auto"/>
          <w:spacing w:val="0"/>
          <w:sz w:val="24"/>
          <w:szCs w:val="24"/>
          <w:highlight w:val="none"/>
        </w:rPr>
      </w:pPr>
      <w:bookmarkStart w:id="11" w:name="_Toc14274"/>
      <w:r>
        <w:rPr>
          <w:rFonts w:hint="eastAsia" w:ascii="宋体" w:hAnsi="宋体" w:eastAsia="宋体" w:cs="宋体"/>
          <w:b/>
          <w:bCs/>
          <w:color w:val="auto"/>
          <w:spacing w:val="0"/>
          <w:sz w:val="24"/>
          <w:szCs w:val="24"/>
          <w:highlight w:val="none"/>
        </w:rPr>
        <w:t>第三节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投标人须知正文</w:t>
      </w:r>
      <w:bookmarkEnd w:id="11"/>
    </w:p>
    <w:p w14:paraId="5DD28753">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17B4480">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AF44FDE">
      <w:pPr>
        <w:keepNext w:val="0"/>
        <w:keepLines w:val="0"/>
        <w:pageBreakBefore w:val="0"/>
        <w:widowControl/>
        <w:suppressLineNumbers w:val="0"/>
        <w:wordWrap w:val="0"/>
        <w:overflowPunct/>
        <w:topLinePunct w:val="0"/>
        <w:bidi w:val="0"/>
        <w:spacing w:line="360" w:lineRule="auto"/>
        <w:ind w:left="479" w:leftChars="228" w:right="-258" w:rightChars="-123" w:firstLine="0" w:firstLineChars="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u w:val="single"/>
          <w:lang w:val="en-US" w:eastAsia="zh-CN"/>
        </w:rPr>
        <w:t>蓉城花园一街2、3座保障性租赁住房装修项目</w:t>
      </w:r>
      <w:r>
        <w:rPr>
          <w:rFonts w:hint="eastAsia" w:ascii="宋体" w:hAnsi="宋体" w:eastAsia="宋体" w:cs="宋体"/>
          <w:snapToGrid w:val="0"/>
          <w:color w:val="auto"/>
          <w:spacing w:val="0"/>
          <w:kern w:val="0"/>
          <w:sz w:val="24"/>
          <w:szCs w:val="24"/>
          <w:highlight w:val="none"/>
        </w:rPr>
        <w:t>经</w:t>
      </w:r>
      <w:r>
        <w:rPr>
          <w:rFonts w:hint="eastAsia" w:ascii="宋体" w:hAnsi="宋体" w:eastAsia="宋体" w:cs="宋体"/>
          <w:snapToGrid w:val="0"/>
          <w:color w:val="auto"/>
          <w:spacing w:val="0"/>
          <w:kern w:val="0"/>
          <w:sz w:val="24"/>
          <w:szCs w:val="24"/>
          <w:highlight w:val="none"/>
          <w:u w:val="single"/>
          <w:lang w:val="en-US" w:eastAsia="zh-CN"/>
        </w:rPr>
        <w:t>武江区发展和改革局</w:t>
      </w:r>
      <w:r>
        <w:rPr>
          <w:rFonts w:hint="eastAsia" w:ascii="宋体" w:hAnsi="宋体" w:eastAsia="宋体" w:cs="宋体"/>
          <w:snapToGrid w:val="0"/>
          <w:color w:val="auto"/>
          <w:spacing w:val="0"/>
          <w:kern w:val="0"/>
          <w:sz w:val="24"/>
          <w:szCs w:val="24"/>
          <w:highlight w:val="none"/>
          <w:u w:val="none"/>
          <w:lang w:val="en-US" w:eastAsia="zh-CN"/>
        </w:rPr>
        <w:t>以</w:t>
      </w:r>
      <w:r>
        <w:rPr>
          <w:rFonts w:hint="eastAsia" w:ascii="宋体" w:hAnsi="宋体" w:eastAsia="宋体" w:cs="宋体"/>
          <w:snapToGrid w:val="0"/>
          <w:color w:val="auto"/>
          <w:spacing w:val="0"/>
          <w:kern w:val="0"/>
          <w:sz w:val="24"/>
          <w:szCs w:val="24"/>
          <w:highlight w:val="none"/>
          <w:u w:val="single"/>
          <w:lang w:val="en-US" w:eastAsia="zh-CN"/>
        </w:rPr>
        <w:t>（广东省企业投资项目备案证）</w:t>
      </w:r>
      <w:r>
        <w:rPr>
          <w:rFonts w:hint="eastAsia" w:ascii="宋体" w:hAnsi="宋体" w:eastAsia="宋体" w:cs="宋体"/>
          <w:snapToGrid w:val="0"/>
          <w:color w:val="auto"/>
          <w:spacing w:val="0"/>
          <w:kern w:val="0"/>
          <w:sz w:val="24"/>
          <w:szCs w:val="24"/>
          <w:highlight w:val="none"/>
        </w:rPr>
        <w:t>批准建设，项目代码为</w:t>
      </w:r>
      <w:r>
        <w:rPr>
          <w:rFonts w:hint="eastAsia" w:ascii="宋体" w:hAnsi="宋体" w:eastAsia="宋体" w:cs="宋体"/>
          <w:snapToGrid w:val="0"/>
          <w:color w:val="auto"/>
          <w:spacing w:val="0"/>
          <w:kern w:val="0"/>
          <w:sz w:val="24"/>
          <w:szCs w:val="24"/>
          <w:highlight w:val="none"/>
          <w:u w:val="single"/>
          <w:lang w:val="en-US" w:eastAsia="zh-CN"/>
        </w:rPr>
        <w:t>2606-440203-04-02-518985</w:t>
      </w:r>
      <w:r>
        <w:rPr>
          <w:rFonts w:hint="eastAsia" w:ascii="宋体" w:hAnsi="宋体" w:eastAsia="宋体" w:cs="宋体"/>
          <w:snapToGrid w:val="0"/>
          <w:color w:val="auto"/>
          <w:spacing w:val="0"/>
          <w:kern w:val="0"/>
          <w:sz w:val="24"/>
          <w:szCs w:val="24"/>
          <w:highlight w:val="none"/>
        </w:rPr>
        <w:t>。本项目业主为</w:t>
      </w:r>
      <w:r>
        <w:rPr>
          <w:rFonts w:hint="eastAsia" w:ascii="宋体" w:hAnsi="宋体" w:eastAsia="宋体" w:cs="宋体"/>
          <w:snapToGrid w:val="0"/>
          <w:color w:val="auto"/>
          <w:spacing w:val="0"/>
          <w:kern w:val="0"/>
          <w:sz w:val="24"/>
          <w:szCs w:val="24"/>
          <w:highlight w:val="none"/>
          <w:u w:val="single"/>
          <w:lang w:eastAsia="zh-CN"/>
        </w:rPr>
        <w:t>韶关市成丰资源开发管理有限公司</w:t>
      </w:r>
      <w:r>
        <w:rPr>
          <w:rFonts w:hint="eastAsia" w:ascii="宋体" w:hAnsi="宋体" w:eastAsia="宋体" w:cs="宋体"/>
          <w:snapToGrid w:val="0"/>
          <w:color w:val="auto"/>
          <w:spacing w:val="0"/>
          <w:kern w:val="0"/>
          <w:sz w:val="24"/>
          <w:szCs w:val="24"/>
          <w:highlight w:val="none"/>
        </w:rPr>
        <w:t>，建设资金来自</w:t>
      </w:r>
      <w:r>
        <w:rPr>
          <w:rFonts w:hint="eastAsia" w:ascii="宋体" w:hAnsi="宋体" w:eastAsia="宋体" w:cs="宋体"/>
          <w:snapToGrid w:val="0"/>
          <w:color w:val="auto"/>
          <w:spacing w:val="0"/>
          <w:kern w:val="0"/>
          <w:sz w:val="24"/>
          <w:szCs w:val="24"/>
          <w:highlight w:val="none"/>
          <w:u w:val="single"/>
          <w:lang w:val="en-US" w:eastAsia="zh-CN"/>
        </w:rPr>
        <w:t>自筹资金</w:t>
      </w:r>
      <w:r>
        <w:rPr>
          <w:rFonts w:hint="eastAsia" w:ascii="宋体" w:hAnsi="宋体" w:eastAsia="宋体" w:cs="宋体"/>
          <w:snapToGrid w:val="0"/>
          <w:color w:val="auto"/>
          <w:spacing w:val="0"/>
          <w:kern w:val="0"/>
          <w:sz w:val="24"/>
          <w:szCs w:val="24"/>
          <w:highlight w:val="none"/>
          <w:u w:val="none"/>
          <w:lang w:eastAsia="zh-CN"/>
        </w:rPr>
        <w:t>，</w:t>
      </w:r>
      <w:r>
        <w:rPr>
          <w:rFonts w:hint="eastAsia" w:ascii="宋体" w:hAnsi="宋体" w:eastAsia="宋体" w:cs="宋体"/>
          <w:snapToGrid w:val="0"/>
          <w:color w:val="auto"/>
          <w:spacing w:val="0"/>
          <w:kern w:val="0"/>
          <w:sz w:val="24"/>
          <w:szCs w:val="24"/>
          <w:highlight w:val="none"/>
        </w:rPr>
        <w:t>出资比例为</w:t>
      </w:r>
      <w:r>
        <w:rPr>
          <w:rFonts w:hint="eastAsia" w:ascii="宋体" w:hAnsi="宋体" w:eastAsia="宋体" w:cs="宋体"/>
          <w:snapToGrid w:val="0"/>
          <w:color w:val="auto"/>
          <w:spacing w:val="0"/>
          <w:kern w:val="0"/>
          <w:sz w:val="24"/>
          <w:szCs w:val="24"/>
          <w:highlight w:val="none"/>
          <w:u w:val="single"/>
        </w:rPr>
        <w:t>100%</w:t>
      </w:r>
      <w:r>
        <w:rPr>
          <w:rFonts w:hint="eastAsia" w:ascii="宋体" w:hAnsi="宋体" w:eastAsia="宋体" w:cs="宋体"/>
          <w:snapToGrid w:val="0"/>
          <w:color w:val="auto"/>
          <w:spacing w:val="0"/>
          <w:kern w:val="0"/>
          <w:sz w:val="24"/>
          <w:szCs w:val="24"/>
          <w:highlight w:val="none"/>
          <w:lang w:eastAsia="zh-CN"/>
        </w:rPr>
        <w:t>。</w:t>
      </w:r>
      <w:r>
        <w:rPr>
          <w:rFonts w:hint="eastAsia" w:ascii="宋体" w:hAnsi="宋体" w:eastAsia="宋体" w:cs="宋体"/>
          <w:snapToGrid w:val="0"/>
          <w:color w:val="auto"/>
          <w:spacing w:val="0"/>
          <w:kern w:val="0"/>
          <w:sz w:val="24"/>
          <w:szCs w:val="24"/>
          <w:highlight w:val="none"/>
        </w:rPr>
        <w:t>招标人为</w:t>
      </w:r>
      <w:r>
        <w:rPr>
          <w:rFonts w:hint="eastAsia" w:ascii="宋体" w:hAnsi="宋体" w:eastAsia="宋体" w:cs="宋体"/>
          <w:snapToGrid w:val="0"/>
          <w:color w:val="auto"/>
          <w:spacing w:val="0"/>
          <w:kern w:val="0"/>
          <w:sz w:val="24"/>
          <w:szCs w:val="24"/>
          <w:highlight w:val="none"/>
          <w:u w:val="single"/>
          <w:lang w:eastAsia="zh-CN"/>
        </w:rPr>
        <w:t>韶关市成丰资源开发管理有限公司</w:t>
      </w:r>
      <w:r>
        <w:rPr>
          <w:rFonts w:hint="eastAsia" w:ascii="宋体" w:hAnsi="宋体" w:eastAsia="宋体" w:cs="宋体"/>
          <w:snapToGrid w:val="0"/>
          <w:color w:val="auto"/>
          <w:spacing w:val="0"/>
          <w:kern w:val="0"/>
          <w:sz w:val="24"/>
          <w:szCs w:val="24"/>
          <w:highlight w:val="none"/>
        </w:rPr>
        <w:t>，招标代理机构为</w:t>
      </w:r>
      <w:r>
        <w:rPr>
          <w:rFonts w:hint="eastAsia" w:ascii="宋体" w:hAnsi="宋体" w:eastAsia="宋体" w:cs="宋体"/>
          <w:color w:val="auto"/>
          <w:spacing w:val="0"/>
          <w:sz w:val="24"/>
          <w:szCs w:val="24"/>
          <w:highlight w:val="none"/>
          <w:u w:val="single"/>
          <w:lang w:eastAsia="zh-CN"/>
        </w:rPr>
        <w:t>智埔国际建设集团有限公司</w:t>
      </w:r>
      <w:r>
        <w:rPr>
          <w:rFonts w:hint="eastAsia" w:ascii="宋体" w:hAnsi="宋体" w:eastAsia="宋体" w:cs="宋体"/>
          <w:snapToGrid w:val="0"/>
          <w:color w:val="auto"/>
          <w:spacing w:val="0"/>
          <w:kern w:val="0"/>
          <w:sz w:val="24"/>
          <w:szCs w:val="24"/>
          <w:highlight w:val="none"/>
        </w:rPr>
        <w:t>。项目已具备招标条件，现对该项目的</w:t>
      </w:r>
      <w:r>
        <w:rPr>
          <w:rFonts w:hint="eastAsia" w:ascii="宋体" w:hAnsi="宋体" w:eastAsia="宋体" w:cs="宋体"/>
          <w:snapToGrid w:val="0"/>
          <w:color w:val="auto"/>
          <w:spacing w:val="0"/>
          <w:kern w:val="0"/>
          <w:sz w:val="24"/>
          <w:szCs w:val="24"/>
          <w:highlight w:val="none"/>
          <w:u w:val="single"/>
        </w:rPr>
        <w:t>施工</w:t>
      </w:r>
      <w:r>
        <w:rPr>
          <w:rFonts w:hint="eastAsia" w:ascii="宋体" w:hAnsi="宋体" w:eastAsia="宋体" w:cs="宋体"/>
          <w:snapToGrid w:val="0"/>
          <w:color w:val="auto"/>
          <w:spacing w:val="0"/>
          <w:kern w:val="0"/>
          <w:sz w:val="24"/>
          <w:szCs w:val="24"/>
          <w:highlight w:val="none"/>
        </w:rPr>
        <w:t>进行公开招标。</w:t>
      </w:r>
    </w:p>
    <w:p w14:paraId="238EB322">
      <w:pPr>
        <w:keepNext w:val="0"/>
        <w:keepLines w:val="0"/>
        <w:pageBreakBefore w:val="0"/>
        <w:widowControl/>
        <w:kinsoku w:val="0"/>
        <w:wordWrap w:val="0"/>
        <w:overflowPunct/>
        <w:topLinePunct w:val="0"/>
        <w:autoSpaceDE w:val="0"/>
        <w:autoSpaceDN w:val="0"/>
        <w:bidi w:val="0"/>
        <w:adjustRightInd w:val="0"/>
        <w:snapToGrid w:val="0"/>
        <w:spacing w:line="360" w:lineRule="auto"/>
        <w:ind w:left="496"/>
        <w:textAlignment w:val="baseline"/>
        <w:outlineLvl w:val="2"/>
        <w:rPr>
          <w:rFonts w:hint="eastAsia" w:ascii="宋体" w:hAnsi="宋体" w:eastAsia="宋体" w:cs="宋体"/>
          <w:color w:val="auto"/>
          <w:spacing w:val="0"/>
          <w:sz w:val="24"/>
          <w:szCs w:val="24"/>
          <w:highlight w:val="none"/>
        </w:rPr>
      </w:pPr>
      <w:bookmarkStart w:id="12" w:name="bookmark73"/>
      <w:bookmarkEnd w:id="12"/>
      <w:bookmarkStart w:id="13" w:name="bookmark59"/>
      <w:bookmarkEnd w:id="13"/>
      <w:bookmarkStart w:id="14" w:name="bookmark52"/>
      <w:bookmarkEnd w:id="14"/>
      <w:bookmarkStart w:id="15" w:name="_Toc16113"/>
      <w:bookmarkStart w:id="16" w:name="_Toc15993"/>
      <w:r>
        <w:rPr>
          <w:rFonts w:hint="eastAsia" w:ascii="宋体" w:hAnsi="宋体" w:eastAsia="宋体" w:cs="宋体"/>
          <w:b/>
          <w:bCs/>
          <w:color w:val="auto"/>
          <w:spacing w:val="0"/>
          <w:sz w:val="24"/>
          <w:szCs w:val="24"/>
          <w:highlight w:val="none"/>
        </w:rPr>
        <w:t>1 ．项目概况、招标范围和标段划分、投标费用等</w:t>
      </w:r>
      <w:bookmarkEnd w:id="15"/>
      <w:bookmarkEnd w:id="16"/>
    </w:p>
    <w:p w14:paraId="26BED16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项目概况</w:t>
      </w:r>
    </w:p>
    <w:p w14:paraId="33A0C0A8">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建设地点：</w:t>
      </w:r>
      <w:r>
        <w:rPr>
          <w:rFonts w:hint="eastAsia" w:ascii="宋体" w:hAnsi="宋体" w:eastAsia="宋体" w:cs="宋体"/>
          <w:color w:val="auto"/>
          <w:spacing w:val="0"/>
          <w:sz w:val="24"/>
          <w:szCs w:val="24"/>
          <w:highlight w:val="none"/>
          <w:u w:val="single"/>
          <w:lang w:val="en-US" w:eastAsia="zh-CN"/>
        </w:rPr>
        <w:t>韶关市武江区蓉城花园一街2、3座。</w:t>
      </w:r>
    </w:p>
    <w:p w14:paraId="3C1299B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建设内容和规模：</w:t>
      </w:r>
      <w:r>
        <w:rPr>
          <w:rFonts w:hint="eastAsia" w:ascii="宋体" w:hAnsi="宋体" w:eastAsia="宋体" w:cs="宋体"/>
          <w:color w:val="auto"/>
          <w:spacing w:val="0"/>
          <w:sz w:val="24"/>
          <w:szCs w:val="24"/>
          <w:highlight w:val="none"/>
          <w:u w:val="single"/>
          <w:lang w:val="en-US" w:eastAsia="zh-CN"/>
        </w:rPr>
        <w:t>蓉城花园一街2、3座房屋状态为电梯毛坯房，楼层为18层，共计204套。户型均为二房二厅一厨一卫一阳台，户均建筑面积73.29平方米，总建筑面积14952.5平方米。室内装修以硬装为主，主要内容包括水电工程、墙面工程、地面工程、门窗工程、油漆工程等。</w:t>
      </w:r>
    </w:p>
    <w:p w14:paraId="582D5F1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项目总投资</w:t>
      </w:r>
      <w:r>
        <w:rPr>
          <w:rStyle w:val="28"/>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sz w:val="24"/>
          <w:szCs w:val="24"/>
          <w:highlight w:val="none"/>
          <w:u w:val="single"/>
          <w:lang w:val="en-US" w:eastAsia="zh-CN"/>
        </w:rPr>
        <w:t>项目总投资为1200万元,其中工程费用为1073.17万元。</w:t>
      </w:r>
    </w:p>
    <w:p w14:paraId="16BD1157">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u w:val="single"/>
          <w:lang w:val="en-US" w:eastAsia="zh-CN"/>
        </w:rPr>
      </w:pPr>
      <w:r>
        <w:rPr>
          <w:rFonts w:hint="eastAsia" w:ascii="宋体" w:hAnsi="宋体" w:eastAsia="宋体" w:cs="宋体"/>
          <w:b/>
          <w:bCs/>
          <w:color w:val="auto"/>
          <w:spacing w:val="0"/>
          <w:sz w:val="24"/>
          <w:szCs w:val="24"/>
          <w:highlight w:val="none"/>
          <w:u w:val="none"/>
          <w:lang w:val="en-US" w:eastAsia="zh-CN"/>
        </w:rPr>
        <w:t xml:space="preserve">1.2 </w:t>
      </w:r>
      <w:r>
        <w:rPr>
          <w:rFonts w:hint="eastAsia" w:ascii="宋体" w:hAnsi="宋体" w:eastAsia="宋体" w:cs="宋体"/>
          <w:color w:val="auto"/>
          <w:spacing w:val="0"/>
          <w:sz w:val="24"/>
          <w:szCs w:val="24"/>
          <w:highlight w:val="none"/>
          <w:u w:val="single"/>
          <w:lang w:val="en-US" w:eastAsia="zh-CN"/>
        </w:rPr>
        <w:t xml:space="preserve"> 招标范围和标段划分</w:t>
      </w:r>
    </w:p>
    <w:p w14:paraId="0378898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招标范围：</w:t>
      </w:r>
      <w:r>
        <w:rPr>
          <w:rFonts w:hint="eastAsia" w:ascii="宋体" w:hAnsi="宋体" w:eastAsia="宋体" w:cs="宋体"/>
          <w:color w:val="auto"/>
          <w:spacing w:val="0"/>
          <w:sz w:val="24"/>
          <w:szCs w:val="24"/>
          <w:highlight w:val="none"/>
          <w:lang w:eastAsia="zh-CN"/>
        </w:rPr>
        <w:t>按审查合格的施工图纸及工程量清单内容施工。</w:t>
      </w:r>
    </w:p>
    <w:p w14:paraId="0DFB5F34">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bookmarkStart w:id="17" w:name="_Toc20855"/>
      <w:bookmarkStart w:id="18" w:name="_Toc28202"/>
      <w:bookmarkStart w:id="19" w:name="_Toc24593"/>
      <w:bookmarkStart w:id="20" w:name="_Toc14190"/>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标段划分：本招标项目不划分标段。</w:t>
      </w:r>
      <w:bookmarkEnd w:id="17"/>
      <w:bookmarkEnd w:id="18"/>
      <w:bookmarkEnd w:id="19"/>
      <w:bookmarkEnd w:id="20"/>
    </w:p>
    <w:p w14:paraId="3BE6141C">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  </w:t>
      </w:r>
      <w:r>
        <w:rPr>
          <w:rFonts w:hint="eastAsia" w:ascii="宋体" w:hAnsi="宋体" w:eastAsia="宋体" w:cs="宋体"/>
          <w:color w:val="auto"/>
          <w:spacing w:val="0"/>
          <w:sz w:val="24"/>
          <w:szCs w:val="24"/>
          <w:highlight w:val="none"/>
        </w:rPr>
        <w:t>投标费用：投标人应承担所有准备和参加投标的相关费用，不论投标结果如何，招标人均无义务和责任承担这些费用。</w:t>
      </w:r>
    </w:p>
    <w:p w14:paraId="6DC29DD6">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  </w:t>
      </w:r>
      <w:r>
        <w:rPr>
          <w:rFonts w:hint="eastAsia" w:ascii="宋体" w:hAnsi="宋体" w:eastAsia="宋体" w:cs="宋体"/>
          <w:color w:val="auto"/>
          <w:spacing w:val="0"/>
          <w:sz w:val="24"/>
          <w:szCs w:val="24"/>
          <w:highlight w:val="none"/>
        </w:rPr>
        <w:t xml:space="preserve">招标代理费用：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shd w:val="clear" w:color="auto" w:fill="FFFFFF"/>
        </w:rPr>
        <w:t xml:space="preserve"> 由</w:t>
      </w:r>
      <w:r>
        <w:rPr>
          <w:rFonts w:hint="eastAsia" w:ascii="宋体" w:hAnsi="宋体" w:eastAsia="宋体" w:cs="宋体"/>
          <w:color w:val="auto"/>
          <w:spacing w:val="0"/>
          <w:sz w:val="24"/>
          <w:szCs w:val="24"/>
          <w:highlight w:val="none"/>
        </w:rPr>
        <w:t>项目业主</w:t>
      </w:r>
      <w:r>
        <w:rPr>
          <w:rFonts w:hint="eastAsia" w:ascii="宋体" w:hAnsi="宋体" w:eastAsia="宋体" w:cs="宋体"/>
          <w:color w:val="auto"/>
          <w:spacing w:val="0"/>
          <w:sz w:val="24"/>
          <w:szCs w:val="24"/>
          <w:highlight w:val="none"/>
          <w:shd w:val="clear" w:color="auto" w:fill="FFFFFF"/>
        </w:rPr>
        <w:t>支</w:t>
      </w:r>
      <w:r>
        <w:rPr>
          <w:rFonts w:hint="eastAsia" w:ascii="宋体" w:hAnsi="宋体" w:eastAsia="宋体" w:cs="宋体"/>
          <w:color w:val="auto"/>
          <w:spacing w:val="0"/>
          <w:sz w:val="24"/>
          <w:szCs w:val="24"/>
          <w:highlight w:val="none"/>
        </w:rPr>
        <w:t>付</w:t>
      </w:r>
      <w:r>
        <w:rPr>
          <w:rFonts w:hint="eastAsia" w:ascii="宋体" w:hAnsi="宋体" w:eastAsia="宋体" w:cs="宋体"/>
          <w:color w:val="auto"/>
          <w:spacing w:val="0"/>
          <w:position w:val="-6"/>
          <w:sz w:val="24"/>
          <w:szCs w:val="24"/>
          <w:highlight w:val="none"/>
          <w:shd w:val="clear" w:color="auto" w:fill="FFFFFF"/>
          <w:lang w:eastAsia="zh-CN"/>
        </w:rPr>
        <w:t xml:space="preserve"> </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 xml:space="preserve"> 由中标人支付。</w:t>
      </w:r>
    </w:p>
    <w:p w14:paraId="3514024E">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jc w:val="left"/>
        <w:textAlignment w:val="baseline"/>
        <w:outlineLvl w:val="2"/>
        <w:rPr>
          <w:rFonts w:hint="eastAsia" w:ascii="宋体" w:hAnsi="宋体" w:eastAsia="宋体" w:cs="宋体"/>
          <w:b w:val="0"/>
          <w:bCs w:val="0"/>
          <w:color w:val="auto"/>
          <w:spacing w:val="0"/>
          <w:sz w:val="24"/>
          <w:szCs w:val="24"/>
          <w:highlight w:val="none"/>
        </w:rPr>
      </w:pPr>
      <w:bookmarkStart w:id="21" w:name="_Toc24619"/>
      <w:r>
        <w:rPr>
          <w:rFonts w:hint="eastAsia" w:ascii="宋体" w:hAnsi="宋体" w:eastAsia="宋体" w:cs="宋体"/>
          <w:b/>
          <w:bCs/>
          <w:color w:val="auto"/>
          <w:spacing w:val="0"/>
          <w:sz w:val="24"/>
          <w:szCs w:val="24"/>
          <w:highlight w:val="none"/>
        </w:rPr>
        <w:t>2．</w:t>
      </w:r>
      <w:r>
        <w:rPr>
          <w:rFonts w:hint="eastAsia" w:ascii="宋体" w:hAnsi="宋体" w:eastAsia="宋体" w:cs="宋体"/>
          <w:b w:val="0"/>
          <w:bCs w:val="0"/>
          <w:color w:val="auto"/>
          <w:spacing w:val="0"/>
          <w:sz w:val="24"/>
          <w:szCs w:val="24"/>
          <w:highlight w:val="none"/>
          <w:lang w:eastAsia="zh-CN"/>
        </w:rPr>
        <w:t>投标人</w:t>
      </w:r>
      <w:r>
        <w:rPr>
          <w:rFonts w:hint="eastAsia" w:ascii="宋体" w:hAnsi="宋体" w:eastAsia="宋体" w:cs="宋体"/>
          <w:b w:val="0"/>
          <w:bCs w:val="0"/>
          <w:color w:val="auto"/>
          <w:spacing w:val="0"/>
          <w:sz w:val="24"/>
          <w:szCs w:val="24"/>
          <w:highlight w:val="none"/>
        </w:rPr>
        <w:t>资</w:t>
      </w:r>
      <w:r>
        <w:rPr>
          <w:rFonts w:hint="eastAsia" w:ascii="宋体" w:hAnsi="宋体" w:eastAsia="宋体" w:cs="宋体"/>
          <w:b w:val="0"/>
          <w:bCs w:val="0"/>
          <w:color w:val="auto"/>
          <w:spacing w:val="0"/>
          <w:sz w:val="24"/>
          <w:szCs w:val="24"/>
          <w:highlight w:val="none"/>
          <w:lang w:val="en-US" w:eastAsia="zh-CN"/>
        </w:rPr>
        <w:t>格</w:t>
      </w:r>
      <w:r>
        <w:rPr>
          <w:rFonts w:hint="eastAsia" w:ascii="宋体" w:hAnsi="宋体" w:eastAsia="宋体" w:cs="宋体"/>
          <w:b w:val="0"/>
          <w:bCs w:val="0"/>
          <w:color w:val="auto"/>
          <w:spacing w:val="0"/>
          <w:sz w:val="24"/>
          <w:szCs w:val="24"/>
          <w:highlight w:val="none"/>
        </w:rPr>
        <w:t>要求</w:t>
      </w:r>
      <w:bookmarkEnd w:id="21"/>
    </w:p>
    <w:p w14:paraId="5F354E7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2.1</w:t>
      </w:r>
      <w:r>
        <w:rPr>
          <w:rStyle w:val="28"/>
          <w:rFonts w:hint="eastAsia" w:ascii="宋体" w:hAnsi="宋体" w:eastAsia="宋体" w:cs="宋体"/>
          <w:b w:val="0"/>
          <w:bCs w:val="0"/>
          <w:color w:val="auto"/>
          <w:spacing w:val="0"/>
          <w:kern w:val="0"/>
          <w:sz w:val="24"/>
          <w:szCs w:val="24"/>
          <w:highlight w:val="none"/>
          <w:lang w:val="en-US" w:eastAsia="zh-CN"/>
        </w:rPr>
        <w:t xml:space="preserve"> 本次招标</w:t>
      </w:r>
      <w:r>
        <w:rPr>
          <w:rStyle w:val="28"/>
          <w:rFonts w:hint="eastAsia" w:ascii="宋体" w:hAnsi="宋体" w:eastAsia="宋体" w:cs="宋体"/>
          <w:b/>
          <w:bCs/>
          <w:color w:val="auto"/>
          <w:spacing w:val="0"/>
          <w:kern w:val="0"/>
          <w:sz w:val="24"/>
          <w:szCs w:val="24"/>
          <w:highlight w:val="none"/>
          <w:u w:val="single"/>
          <w:lang w:val="en-US" w:eastAsia="zh-CN"/>
        </w:rPr>
        <w:t>不接受</w:t>
      </w:r>
      <w:r>
        <w:rPr>
          <w:rStyle w:val="28"/>
          <w:rFonts w:hint="eastAsia" w:ascii="宋体" w:hAnsi="宋体" w:eastAsia="宋体" w:cs="宋体"/>
          <w:b w:val="0"/>
          <w:bCs w:val="0"/>
          <w:color w:val="auto"/>
          <w:spacing w:val="0"/>
          <w:kern w:val="0"/>
          <w:sz w:val="24"/>
          <w:szCs w:val="24"/>
          <w:highlight w:val="none"/>
          <w:lang w:val="en-US" w:eastAsia="zh-CN"/>
        </w:rPr>
        <w:t>联合体投标。</w:t>
      </w:r>
    </w:p>
    <w:p w14:paraId="34B9A513">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2.2</w:t>
      </w:r>
      <w:r>
        <w:rPr>
          <w:rStyle w:val="28"/>
          <w:rFonts w:hint="eastAsia" w:ascii="宋体" w:hAnsi="宋体" w:eastAsia="宋体" w:cs="宋体"/>
          <w:b w:val="0"/>
          <w:bCs w:val="0"/>
          <w:color w:val="auto"/>
          <w:spacing w:val="0"/>
          <w:kern w:val="0"/>
          <w:sz w:val="24"/>
          <w:szCs w:val="24"/>
          <w:highlight w:val="none"/>
          <w:lang w:val="en-US" w:eastAsia="zh-CN"/>
        </w:rPr>
        <w:t xml:space="preserve"> 资格资质要求</w:t>
      </w:r>
    </w:p>
    <w:p w14:paraId="6CD280F2">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2.2.1</w:t>
      </w:r>
      <w:r>
        <w:rPr>
          <w:rStyle w:val="28"/>
          <w:rFonts w:hint="eastAsia" w:ascii="宋体" w:hAnsi="宋体" w:eastAsia="宋体" w:cs="宋体"/>
          <w:b w:val="0"/>
          <w:bCs w:val="0"/>
          <w:color w:val="auto"/>
          <w:spacing w:val="0"/>
          <w:kern w:val="0"/>
          <w:sz w:val="24"/>
          <w:szCs w:val="24"/>
          <w:highlight w:val="none"/>
          <w:lang w:val="en-US" w:eastAsia="zh-CN"/>
        </w:rPr>
        <w:t xml:space="preserve"> 投标人须具备独立法人资格，按国家法律经营。</w:t>
      </w:r>
    </w:p>
    <w:p w14:paraId="55AC02AD">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2.2.2</w:t>
      </w:r>
      <w:r>
        <w:rPr>
          <w:rStyle w:val="28"/>
          <w:rFonts w:hint="eastAsia" w:ascii="宋体" w:hAnsi="宋体" w:eastAsia="宋体" w:cs="宋体"/>
          <w:b w:val="0"/>
          <w:bCs w:val="0"/>
          <w:color w:val="auto"/>
          <w:spacing w:val="0"/>
          <w:kern w:val="0"/>
          <w:sz w:val="24"/>
          <w:szCs w:val="24"/>
          <w:highlight w:val="none"/>
          <w:lang w:val="en-US" w:eastAsia="zh-CN"/>
        </w:rPr>
        <w:t xml:space="preserve"> 投标人须持有建设行政主管部门颁发的企业资质证书及安全生产许可证。</w:t>
      </w:r>
    </w:p>
    <w:p w14:paraId="29D0909E">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 xml:space="preserve">2.2.3 </w:t>
      </w:r>
      <w:r>
        <w:rPr>
          <w:rFonts w:hint="eastAsia" w:ascii="宋体" w:hAnsi="宋体" w:eastAsia="宋体" w:cs="宋体"/>
          <w:snapToGrid w:val="0"/>
          <w:color w:val="auto"/>
          <w:spacing w:val="0"/>
          <w:kern w:val="0"/>
          <w:sz w:val="24"/>
          <w:szCs w:val="24"/>
          <w:highlight w:val="none"/>
          <w:lang w:eastAsia="zh-CN"/>
        </w:rPr>
        <w:t>投标人须具备以下资质：</w:t>
      </w:r>
      <w:r>
        <w:rPr>
          <w:rFonts w:hint="eastAsia" w:ascii="宋体" w:hAnsi="宋体" w:eastAsia="宋体" w:cs="宋体"/>
          <w:b/>
          <w:bCs/>
          <w:snapToGrid w:val="0"/>
          <w:color w:val="auto"/>
          <w:spacing w:val="0"/>
          <w:kern w:val="0"/>
          <w:sz w:val="24"/>
          <w:szCs w:val="24"/>
          <w:highlight w:val="none"/>
          <w:u w:val="single"/>
          <w:lang w:eastAsia="zh-CN"/>
        </w:rPr>
        <w:t>建筑工程施工总承包叁级以上（含叁级）资质或建筑装修装饰工程专业承包贰级以上（含贰级）资质证书。</w:t>
      </w:r>
    </w:p>
    <w:p w14:paraId="7FA9A21A">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2.2.4</w:t>
      </w:r>
      <w:r>
        <w:rPr>
          <w:rStyle w:val="28"/>
          <w:rFonts w:hint="eastAsia" w:ascii="宋体" w:hAnsi="宋体" w:eastAsia="宋体" w:cs="宋体"/>
          <w:b w:val="0"/>
          <w:bCs w:val="0"/>
          <w:color w:val="auto"/>
          <w:spacing w:val="0"/>
          <w:kern w:val="0"/>
          <w:sz w:val="24"/>
          <w:szCs w:val="24"/>
          <w:highlight w:val="none"/>
          <w:lang w:val="en-US" w:eastAsia="zh-CN"/>
        </w:rPr>
        <w:t xml:space="preserve"> 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F9CF9A1">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2.3</w:t>
      </w:r>
      <w:r>
        <w:rPr>
          <w:rStyle w:val="28"/>
          <w:rFonts w:hint="eastAsia" w:ascii="宋体" w:hAnsi="宋体" w:eastAsia="宋体" w:cs="宋体"/>
          <w:b w:val="0"/>
          <w:bCs w:val="0"/>
          <w:color w:val="auto"/>
          <w:spacing w:val="0"/>
          <w:kern w:val="0"/>
          <w:sz w:val="24"/>
          <w:szCs w:val="24"/>
          <w:highlight w:val="none"/>
          <w:lang w:val="en-US" w:eastAsia="zh-CN"/>
        </w:rPr>
        <w:t xml:space="preserve"> 相关人员要求</w:t>
      </w:r>
    </w:p>
    <w:p w14:paraId="49155701">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 xml:space="preserve">2.3.1 </w:t>
      </w:r>
      <w:r>
        <w:rPr>
          <w:rStyle w:val="28"/>
          <w:rFonts w:hint="eastAsia" w:ascii="宋体" w:hAnsi="宋体" w:eastAsia="宋体" w:cs="宋体"/>
          <w:b w:val="0"/>
          <w:bCs w:val="0"/>
          <w:color w:val="auto"/>
          <w:spacing w:val="0"/>
          <w:kern w:val="0"/>
          <w:sz w:val="24"/>
          <w:szCs w:val="24"/>
          <w:highlight w:val="none"/>
          <w:lang w:val="en-US" w:eastAsia="zh-CN"/>
        </w:rPr>
        <w:t>拟派项目经理为</w:t>
      </w:r>
      <w:r>
        <w:rPr>
          <w:rStyle w:val="28"/>
          <w:rFonts w:hint="eastAsia" w:ascii="宋体" w:hAnsi="宋体" w:eastAsia="宋体" w:cs="宋体"/>
          <w:b/>
          <w:bCs/>
          <w:color w:val="auto"/>
          <w:spacing w:val="0"/>
          <w:kern w:val="0"/>
          <w:sz w:val="24"/>
          <w:szCs w:val="24"/>
          <w:highlight w:val="none"/>
          <w:u w:val="single"/>
          <w:lang w:val="en-US" w:eastAsia="zh-CN"/>
        </w:rPr>
        <w:t>建筑工程专业一级或二级</w:t>
      </w:r>
      <w:r>
        <w:rPr>
          <w:rStyle w:val="28"/>
          <w:rFonts w:hint="eastAsia" w:ascii="宋体" w:hAnsi="宋体" w:eastAsia="宋体" w:cs="宋体"/>
          <w:b w:val="0"/>
          <w:bCs w:val="0"/>
          <w:color w:val="auto"/>
          <w:spacing w:val="0"/>
          <w:kern w:val="0"/>
          <w:sz w:val="24"/>
          <w:szCs w:val="24"/>
          <w:highlight w:val="none"/>
          <w:lang w:val="en-US" w:eastAsia="zh-CN"/>
        </w:rPr>
        <w:t>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p>
    <w:p w14:paraId="5F0FE099">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2.3.2</w:t>
      </w:r>
      <w:r>
        <w:rPr>
          <w:rStyle w:val="28"/>
          <w:rFonts w:hint="eastAsia" w:ascii="宋体" w:hAnsi="宋体" w:eastAsia="宋体" w:cs="宋体"/>
          <w:b w:val="0"/>
          <w:bCs w:val="0"/>
          <w:color w:val="auto"/>
          <w:spacing w:val="0"/>
          <w:kern w:val="0"/>
          <w:sz w:val="24"/>
          <w:szCs w:val="24"/>
          <w:highlight w:val="none"/>
          <w:lang w:val="en-US" w:eastAsia="zh-CN"/>
        </w:rPr>
        <w:t xml:space="preserve"> 拟派项目技术负责人须具备</w:t>
      </w:r>
      <w:r>
        <w:rPr>
          <w:rStyle w:val="28"/>
          <w:rFonts w:hint="eastAsia" w:ascii="宋体" w:hAnsi="宋体" w:eastAsia="宋体" w:cs="宋体"/>
          <w:b/>
          <w:bCs/>
          <w:color w:val="auto"/>
          <w:spacing w:val="0"/>
          <w:kern w:val="0"/>
          <w:sz w:val="24"/>
          <w:szCs w:val="24"/>
          <w:highlight w:val="none"/>
          <w:u w:val="single"/>
          <w:lang w:val="en-US" w:eastAsia="zh-CN"/>
        </w:rPr>
        <w:t>建筑工程</w:t>
      </w:r>
      <w:r>
        <w:rPr>
          <w:rStyle w:val="28"/>
          <w:rFonts w:hint="eastAsia" w:ascii="宋体" w:hAnsi="宋体" w:eastAsia="宋体" w:cs="宋体"/>
          <w:b w:val="0"/>
          <w:bCs w:val="0"/>
          <w:color w:val="auto"/>
          <w:spacing w:val="0"/>
          <w:kern w:val="0"/>
          <w:sz w:val="24"/>
          <w:szCs w:val="24"/>
          <w:highlight w:val="none"/>
          <w:lang w:val="en-US" w:eastAsia="zh-CN"/>
        </w:rPr>
        <w:t>类相关专业中级以上（含中级）技术职称。</w:t>
      </w:r>
    </w:p>
    <w:p w14:paraId="4A2C1918">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 xml:space="preserve">2.3.3 </w:t>
      </w:r>
      <w:r>
        <w:rPr>
          <w:rStyle w:val="28"/>
          <w:rFonts w:hint="eastAsia" w:ascii="宋体" w:hAnsi="宋体" w:eastAsia="宋体" w:cs="宋体"/>
          <w:b w:val="0"/>
          <w:bCs w:val="0"/>
          <w:color w:val="auto"/>
          <w:spacing w:val="0"/>
          <w:kern w:val="0"/>
          <w:sz w:val="24"/>
          <w:szCs w:val="24"/>
          <w:highlight w:val="none"/>
          <w:lang w:val="en-US" w:eastAsia="zh-CN"/>
        </w:rPr>
        <w:t>投标人拟派专职安全生产管理人员须具备有效安全生产考核合格证明（C证，安全生产考核合格证书或“广东省建筑施工企业管理人员安全生产考核系统”考核合格信息打印页），且不少于 1 人。</w:t>
      </w:r>
    </w:p>
    <w:p w14:paraId="4F82BDFF">
      <w:pPr>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firstLine="482" w:firstLineChars="200"/>
        <w:textAlignment w:val="baseline"/>
        <w:outlineLvl w:val="9"/>
        <w:rPr>
          <w:rStyle w:val="28"/>
          <w:rFonts w:hint="eastAsia" w:ascii="宋体" w:hAnsi="宋体" w:eastAsia="宋体" w:cs="宋体"/>
          <w:b w:val="0"/>
          <w:bCs w:val="0"/>
          <w:color w:val="auto"/>
          <w:spacing w:val="0"/>
          <w:kern w:val="0"/>
          <w:sz w:val="24"/>
          <w:szCs w:val="24"/>
          <w:highlight w:val="none"/>
          <w:lang w:val="en-US" w:eastAsia="zh-CN"/>
        </w:rPr>
      </w:pPr>
      <w:r>
        <w:rPr>
          <w:rStyle w:val="28"/>
          <w:rFonts w:hint="eastAsia" w:ascii="宋体" w:hAnsi="宋体" w:eastAsia="宋体" w:cs="宋体"/>
          <w:b/>
          <w:bCs/>
          <w:color w:val="auto"/>
          <w:spacing w:val="0"/>
          <w:kern w:val="0"/>
          <w:sz w:val="24"/>
          <w:szCs w:val="24"/>
          <w:highlight w:val="none"/>
          <w:lang w:val="en-US" w:eastAsia="zh-CN"/>
        </w:rPr>
        <w:t>2.3.4</w:t>
      </w:r>
      <w:r>
        <w:rPr>
          <w:rStyle w:val="28"/>
          <w:rFonts w:hint="eastAsia" w:ascii="宋体" w:hAnsi="宋体" w:eastAsia="宋体" w:cs="宋体"/>
          <w:b w:val="0"/>
          <w:bCs w:val="0"/>
          <w:color w:val="auto"/>
          <w:spacing w:val="0"/>
          <w:kern w:val="0"/>
          <w:sz w:val="24"/>
          <w:szCs w:val="24"/>
          <w:highlight w:val="none"/>
          <w:lang w:val="en-US" w:eastAsia="zh-CN"/>
        </w:rPr>
        <w:t xml:space="preserve"> 投标人与其拟派往本项目管理机构的所有人员之间必须具备合法、唯一的劳动聘用关系。拟派人员中具备注册执业资格的，其注册单位须与投标人保持一致。</w:t>
      </w:r>
    </w:p>
    <w:p w14:paraId="6B5D9824">
      <w:pPr>
        <w:keepNext w:val="0"/>
        <w:keepLines w:val="0"/>
        <w:pageBreakBefore w:val="0"/>
        <w:wordWrap w:val="0"/>
        <w:overflowPunct/>
        <w:topLinePunct w:val="0"/>
        <w:bidi w:val="0"/>
        <w:spacing w:before="78" w:line="36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禁止投标条款</w:t>
      </w:r>
    </w:p>
    <w:p w14:paraId="4F43481F">
      <w:pPr>
        <w:keepNext w:val="0"/>
        <w:keepLines w:val="0"/>
        <w:pageBreakBefore w:val="0"/>
        <w:wordWrap w:val="0"/>
        <w:overflowPunct/>
        <w:topLinePunct w:val="0"/>
        <w:bidi w:val="0"/>
        <w:spacing w:before="153" w:line="360" w:lineRule="auto"/>
        <w:ind w:left="48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2.4.1  </w:t>
      </w:r>
      <w:r>
        <w:rPr>
          <w:rFonts w:hint="eastAsia" w:ascii="宋体" w:hAnsi="宋体" w:eastAsia="宋体" w:cs="宋体"/>
          <w:color w:val="auto"/>
          <w:spacing w:val="0"/>
          <w:sz w:val="24"/>
          <w:szCs w:val="24"/>
          <w:highlight w:val="none"/>
        </w:rPr>
        <w:t>投标人不得存在下列情形之一：</w:t>
      </w:r>
    </w:p>
    <w:p w14:paraId="5ECD680F">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（1）为招标人不具有独立法人资格的附属机构（单位）；</w:t>
      </w:r>
    </w:p>
    <w:p w14:paraId="7BE80EB7">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（2）为本招标项目前期准备提供设计或咨询服务的；</w:t>
      </w:r>
    </w:p>
    <w:p w14:paraId="0466C218">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（3）与本招标项目的其他投标人为同一个单位负责人；</w:t>
      </w:r>
    </w:p>
    <w:p w14:paraId="51978EC7">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（4）与本招标项目的其他投标人存在控股、管理关系；</w:t>
      </w:r>
    </w:p>
    <w:p w14:paraId="27DE5D51">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（5）为本招标项目的监理人；</w:t>
      </w:r>
    </w:p>
    <w:p w14:paraId="01E2A759">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（6）为本招标项目的代建人；</w:t>
      </w:r>
    </w:p>
    <w:p w14:paraId="3F4CE4E0">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（7）为本招标项目的招标代理机构；</w:t>
      </w:r>
    </w:p>
    <w:p w14:paraId="32DC1C8C">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（8）与本招标项目的监理人或代建人或招标代理机构同为一个法定代表人；</w:t>
      </w:r>
    </w:p>
    <w:p w14:paraId="356D5091">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（9）与本招标项目的监理人或代建人或招标代理机构存在控股或参股关系；</w:t>
      </w:r>
    </w:p>
    <w:p w14:paraId="1F6F6AFF">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（10）与本招标项目的监理人或代建人或招标代理机构存在相互任职或工作关系；</w:t>
      </w:r>
    </w:p>
    <w:p w14:paraId="62615967">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（11）被依法暂停或者取消投标资格；</w:t>
      </w:r>
    </w:p>
    <w:p w14:paraId="51CC66B8">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（12）被责令停产停业、暂扣或者吊销许可证、暂扣或者吊销执照；</w:t>
      </w:r>
    </w:p>
    <w:p w14:paraId="4D4EA795">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（13）进入清算程序，或被宣告破产，或其他丧失履约能力的情形；</w:t>
      </w:r>
    </w:p>
    <w:p w14:paraId="742CE9C2">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（14）在最近三年内发生重大工程质量或安全问题（以相关行业主管部门的行政处罚决定或司法机关出具的有关法律文书为准）；</w:t>
      </w:r>
    </w:p>
    <w:p w14:paraId="5FDD5BCF">
      <w:pPr>
        <w:keepNext w:val="0"/>
        <w:keepLines w:val="0"/>
        <w:pageBreakBefore w:val="0"/>
        <w:wordWrap w:val="0"/>
        <w:overflowPunct/>
        <w:topLinePunct w:val="0"/>
        <w:bidi w:val="0"/>
        <w:spacing w:before="118" w:line="360" w:lineRule="auto"/>
        <w:ind w:left="232" w:right="99" w:firstLine="36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（15）被“信用中国 ”网站（https://www.creditchina.gov.cn）发布的《法人和非法人组织公共信用信息报告》列为严重失信主体名单的。</w:t>
      </w:r>
    </w:p>
    <w:p w14:paraId="28B49AD7">
      <w:pPr>
        <w:keepNext w:val="0"/>
        <w:keepLines w:val="0"/>
        <w:pageBreakBefore w:val="0"/>
        <w:wordWrap w:val="0"/>
        <w:overflowPunct/>
        <w:topLinePunct w:val="0"/>
        <w:bidi w:val="0"/>
        <w:spacing w:before="155" w:line="360"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2.4.2  </w:t>
      </w:r>
      <w:r>
        <w:rPr>
          <w:rFonts w:hint="eastAsia" w:ascii="宋体" w:hAnsi="宋体" w:eastAsia="宋体" w:cs="宋体"/>
          <w:color w:val="auto"/>
          <w:spacing w:val="0"/>
          <w:sz w:val="24"/>
          <w:szCs w:val="24"/>
          <w:highlight w:val="none"/>
        </w:rPr>
        <w:t>招标人拒绝以下名单中的单位参加本次投标：</w:t>
      </w:r>
    </w:p>
    <w:tbl>
      <w:tblPr>
        <w:tblStyle w:val="16"/>
        <w:tblW w:w="8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3835"/>
        <w:gridCol w:w="3480"/>
      </w:tblGrid>
      <w:tr w14:paraId="5E0C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4" w:type="dxa"/>
            <w:vAlign w:val="center"/>
          </w:tcPr>
          <w:p w14:paraId="62490CBF">
            <w:pPr>
              <w:keepNext w:val="0"/>
              <w:keepLines w:val="0"/>
              <w:pageBreakBefore w:val="0"/>
              <w:wordWrap w:val="0"/>
              <w:overflowPunct/>
              <w:topLinePunct w:val="0"/>
              <w:bidi w:val="0"/>
              <w:spacing w:before="155" w:line="360" w:lineRule="auto"/>
              <w:jc w:val="center"/>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序号</w:t>
            </w:r>
          </w:p>
        </w:tc>
        <w:tc>
          <w:tcPr>
            <w:tcW w:w="3835" w:type="dxa"/>
            <w:vAlign w:val="center"/>
          </w:tcPr>
          <w:p w14:paraId="3D0F57DC">
            <w:pPr>
              <w:keepNext w:val="0"/>
              <w:keepLines w:val="0"/>
              <w:pageBreakBefore w:val="0"/>
              <w:wordWrap w:val="0"/>
              <w:overflowPunct/>
              <w:topLinePunct w:val="0"/>
              <w:bidi w:val="0"/>
              <w:spacing w:before="155" w:line="360" w:lineRule="auto"/>
              <w:ind w:left="706"/>
              <w:jc w:val="left"/>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单位名称</w:t>
            </w:r>
          </w:p>
        </w:tc>
        <w:tc>
          <w:tcPr>
            <w:tcW w:w="3480" w:type="dxa"/>
            <w:vAlign w:val="center"/>
          </w:tcPr>
          <w:p w14:paraId="2D5DF767">
            <w:pPr>
              <w:keepNext w:val="0"/>
              <w:keepLines w:val="0"/>
              <w:pageBreakBefore w:val="0"/>
              <w:wordWrap w:val="0"/>
              <w:overflowPunct/>
              <w:topLinePunct w:val="0"/>
              <w:bidi w:val="0"/>
              <w:spacing w:before="155" w:line="360" w:lineRule="auto"/>
              <w:ind w:left="706"/>
              <w:jc w:val="left"/>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拒绝原因</w:t>
            </w:r>
          </w:p>
        </w:tc>
      </w:tr>
      <w:tr w14:paraId="1521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24" w:type="dxa"/>
            <w:vAlign w:val="center"/>
          </w:tcPr>
          <w:p w14:paraId="22A3871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1</w:t>
            </w:r>
          </w:p>
        </w:tc>
        <w:tc>
          <w:tcPr>
            <w:tcW w:w="3835" w:type="dxa"/>
            <w:vAlign w:val="center"/>
          </w:tcPr>
          <w:p w14:paraId="19785C9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韶关市成丰资源开发管理有限公司</w:t>
            </w:r>
          </w:p>
        </w:tc>
        <w:tc>
          <w:tcPr>
            <w:tcW w:w="3480" w:type="dxa"/>
            <w:vAlign w:val="center"/>
          </w:tcPr>
          <w:p w14:paraId="1BB4C14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为本招标项目的招标人</w:t>
            </w:r>
          </w:p>
        </w:tc>
      </w:tr>
      <w:tr w14:paraId="17B0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824" w:type="dxa"/>
            <w:vAlign w:val="center"/>
          </w:tcPr>
          <w:p w14:paraId="4A73A8EF">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2</w:t>
            </w:r>
          </w:p>
        </w:tc>
        <w:tc>
          <w:tcPr>
            <w:tcW w:w="3835" w:type="dxa"/>
            <w:vAlign w:val="center"/>
          </w:tcPr>
          <w:p w14:paraId="7E7142E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智埔国际建设集团有限公司</w:t>
            </w:r>
          </w:p>
        </w:tc>
        <w:tc>
          <w:tcPr>
            <w:tcW w:w="3480" w:type="dxa"/>
            <w:vAlign w:val="center"/>
          </w:tcPr>
          <w:p w14:paraId="4B63CDF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为本招标项目的招标代理机构</w:t>
            </w:r>
          </w:p>
        </w:tc>
      </w:tr>
      <w:tr w14:paraId="11E3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24" w:type="dxa"/>
            <w:vAlign w:val="center"/>
          </w:tcPr>
          <w:p w14:paraId="18B8ED6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3</w:t>
            </w:r>
          </w:p>
        </w:tc>
        <w:tc>
          <w:tcPr>
            <w:tcW w:w="3835" w:type="dxa"/>
            <w:vAlign w:val="center"/>
          </w:tcPr>
          <w:p w14:paraId="1B62C1E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韶关市新辉项目管理有限公司</w:t>
            </w:r>
          </w:p>
        </w:tc>
        <w:tc>
          <w:tcPr>
            <w:tcW w:w="3480" w:type="dxa"/>
            <w:vAlign w:val="center"/>
          </w:tcPr>
          <w:p w14:paraId="5B1A987A">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为本招标项目的全过程</w:t>
            </w:r>
            <w:r>
              <w:rPr>
                <w:rFonts w:hint="eastAsia" w:ascii="宋体" w:hAnsi="宋体" w:eastAsia="宋体" w:cs="宋体"/>
                <w:snapToGrid w:val="0"/>
                <w:color w:val="auto"/>
                <w:spacing w:val="0"/>
                <w:kern w:val="0"/>
                <w:sz w:val="24"/>
                <w:szCs w:val="24"/>
                <w:highlight w:val="none"/>
                <w:lang w:val="en-US" w:eastAsia="zh-CN" w:bidi="ar-SA"/>
              </w:rPr>
              <w:fldChar w:fldCharType="begin"/>
            </w:r>
            <w:r>
              <w:rPr>
                <w:rFonts w:hint="eastAsia" w:ascii="宋体" w:hAnsi="宋体" w:eastAsia="宋体" w:cs="宋体"/>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宋体" w:hAnsi="宋体" w:eastAsia="宋体" w:cs="宋体"/>
                <w:snapToGrid w:val="0"/>
                <w:color w:val="auto"/>
                <w:spacing w:val="0"/>
                <w:kern w:val="0"/>
                <w:sz w:val="24"/>
                <w:szCs w:val="24"/>
                <w:highlight w:val="none"/>
                <w:lang w:val="en-US" w:eastAsia="zh-CN" w:bidi="ar-SA"/>
              </w:rPr>
              <w:fldChar w:fldCharType="separate"/>
            </w:r>
            <w:r>
              <w:rPr>
                <w:rFonts w:hint="eastAsia" w:ascii="宋体" w:hAnsi="宋体" w:eastAsia="宋体" w:cs="宋体"/>
                <w:snapToGrid w:val="0"/>
                <w:color w:val="auto"/>
                <w:spacing w:val="0"/>
                <w:kern w:val="0"/>
                <w:sz w:val="24"/>
                <w:szCs w:val="24"/>
                <w:highlight w:val="none"/>
                <w:lang w:val="en-US" w:eastAsia="zh-CN" w:bidi="ar-SA"/>
              </w:rPr>
              <w:t>造价服务</w:t>
            </w:r>
            <w:r>
              <w:rPr>
                <w:rFonts w:hint="eastAsia" w:ascii="宋体" w:hAnsi="宋体" w:eastAsia="宋体" w:cs="宋体"/>
                <w:snapToGrid w:val="0"/>
                <w:color w:val="auto"/>
                <w:spacing w:val="0"/>
                <w:kern w:val="0"/>
                <w:sz w:val="24"/>
                <w:szCs w:val="24"/>
                <w:highlight w:val="none"/>
                <w:lang w:val="en-US" w:eastAsia="zh-CN" w:bidi="ar-SA"/>
              </w:rPr>
              <w:fldChar w:fldCharType="end"/>
            </w:r>
            <w:r>
              <w:rPr>
                <w:rFonts w:hint="eastAsia" w:ascii="宋体" w:hAnsi="宋体" w:eastAsia="宋体" w:cs="宋体"/>
                <w:snapToGrid w:val="0"/>
                <w:color w:val="auto"/>
                <w:spacing w:val="0"/>
                <w:kern w:val="0"/>
                <w:sz w:val="24"/>
                <w:szCs w:val="24"/>
                <w:highlight w:val="none"/>
                <w:lang w:val="en-US" w:eastAsia="zh-CN" w:bidi="ar-SA"/>
              </w:rPr>
              <w:t>单位</w:t>
            </w:r>
          </w:p>
        </w:tc>
      </w:tr>
      <w:tr w14:paraId="379D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824" w:type="dxa"/>
            <w:vAlign w:val="center"/>
          </w:tcPr>
          <w:p w14:paraId="2358C2E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4</w:t>
            </w:r>
          </w:p>
        </w:tc>
        <w:tc>
          <w:tcPr>
            <w:tcW w:w="3835" w:type="dxa"/>
            <w:vAlign w:val="center"/>
          </w:tcPr>
          <w:p w14:paraId="5516EAC7">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韶关市建筑设计院有限公司</w:t>
            </w:r>
          </w:p>
        </w:tc>
        <w:tc>
          <w:tcPr>
            <w:tcW w:w="3480" w:type="dxa"/>
            <w:vAlign w:val="center"/>
          </w:tcPr>
          <w:p w14:paraId="7CAC747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w:t>
            </w:r>
            <w:r>
              <w:rPr>
                <w:rFonts w:hint="eastAsia" w:ascii="宋体" w:hAnsi="宋体" w:eastAsia="宋体" w:cs="宋体"/>
                <w:snapToGrid w:val="0"/>
                <w:color w:val="auto"/>
                <w:spacing w:val="0"/>
                <w:kern w:val="0"/>
                <w:sz w:val="24"/>
                <w:szCs w:val="24"/>
                <w:highlight w:val="none"/>
                <w:lang w:val="en-US" w:eastAsia="zh-CN" w:bidi="ar-SA"/>
              </w:rPr>
              <w:fldChar w:fldCharType="begin"/>
            </w:r>
            <w:r>
              <w:rPr>
                <w:rFonts w:hint="eastAsia" w:ascii="宋体" w:hAnsi="宋体" w:eastAsia="宋体" w:cs="宋体"/>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宋体" w:hAnsi="宋体" w:eastAsia="宋体" w:cs="宋体"/>
                <w:snapToGrid w:val="0"/>
                <w:color w:val="auto"/>
                <w:spacing w:val="0"/>
                <w:kern w:val="0"/>
                <w:sz w:val="24"/>
                <w:szCs w:val="24"/>
                <w:highlight w:val="none"/>
                <w:lang w:val="en-US" w:eastAsia="zh-CN" w:bidi="ar-SA"/>
              </w:rPr>
              <w:fldChar w:fldCharType="separate"/>
            </w:r>
            <w:r>
              <w:rPr>
                <w:rFonts w:hint="eastAsia" w:ascii="宋体" w:hAnsi="宋体" w:eastAsia="宋体" w:cs="宋体"/>
                <w:snapToGrid w:val="0"/>
                <w:color w:val="auto"/>
                <w:spacing w:val="0"/>
                <w:kern w:val="0"/>
                <w:sz w:val="24"/>
                <w:szCs w:val="24"/>
                <w:highlight w:val="none"/>
                <w:lang w:val="en-US" w:eastAsia="zh-CN" w:bidi="ar-SA"/>
              </w:rPr>
              <w:t>设计服务</w:t>
            </w:r>
            <w:r>
              <w:rPr>
                <w:rFonts w:hint="eastAsia" w:ascii="宋体" w:hAnsi="宋体" w:eastAsia="宋体" w:cs="宋体"/>
                <w:snapToGrid w:val="0"/>
                <w:color w:val="auto"/>
                <w:spacing w:val="0"/>
                <w:kern w:val="0"/>
                <w:sz w:val="24"/>
                <w:szCs w:val="24"/>
                <w:highlight w:val="none"/>
                <w:lang w:val="en-US" w:eastAsia="zh-CN" w:bidi="ar-SA"/>
              </w:rPr>
              <w:fldChar w:fldCharType="end"/>
            </w:r>
            <w:r>
              <w:rPr>
                <w:rFonts w:hint="eastAsia" w:ascii="宋体" w:hAnsi="宋体" w:eastAsia="宋体" w:cs="宋体"/>
                <w:snapToGrid w:val="0"/>
                <w:color w:val="auto"/>
                <w:spacing w:val="0"/>
                <w:kern w:val="0"/>
                <w:sz w:val="24"/>
                <w:szCs w:val="24"/>
                <w:highlight w:val="none"/>
                <w:lang w:val="en-US" w:eastAsia="zh-CN" w:bidi="ar-SA"/>
              </w:rPr>
              <w:t>单位</w:t>
            </w:r>
          </w:p>
        </w:tc>
      </w:tr>
      <w:tr w14:paraId="21D9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24" w:type="dxa"/>
            <w:vAlign w:val="center"/>
          </w:tcPr>
          <w:p w14:paraId="5531E994">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5</w:t>
            </w:r>
          </w:p>
        </w:tc>
        <w:tc>
          <w:tcPr>
            <w:tcW w:w="3835" w:type="dxa"/>
            <w:vAlign w:val="center"/>
          </w:tcPr>
          <w:p w14:paraId="06ECF9B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韶关市工程建设监理有限公司</w:t>
            </w:r>
          </w:p>
        </w:tc>
        <w:tc>
          <w:tcPr>
            <w:tcW w:w="3480" w:type="dxa"/>
            <w:vAlign w:val="center"/>
          </w:tcPr>
          <w:p w14:paraId="0114E89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宋体" w:hAnsi="宋体" w:eastAsia="宋体" w:cs="宋体"/>
                <w:snapToGrid w:val="0"/>
                <w:color w:val="auto"/>
                <w:spacing w:val="0"/>
                <w:kern w:val="0"/>
                <w:sz w:val="24"/>
                <w:szCs w:val="24"/>
                <w:highlight w:val="none"/>
                <w:lang w:val="en-US" w:eastAsia="zh-CN" w:bidi="ar-SA"/>
              </w:rPr>
            </w:pPr>
            <w:r>
              <w:rPr>
                <w:rFonts w:hint="eastAsia" w:ascii="宋体" w:hAnsi="宋体" w:eastAsia="宋体" w:cs="宋体"/>
                <w:snapToGrid w:val="0"/>
                <w:color w:val="auto"/>
                <w:spacing w:val="0"/>
                <w:kern w:val="0"/>
                <w:sz w:val="24"/>
                <w:szCs w:val="24"/>
                <w:highlight w:val="none"/>
                <w:lang w:val="en-US" w:eastAsia="zh-CN" w:bidi="ar-SA"/>
              </w:rPr>
              <w:t>为本招标项目的</w:t>
            </w:r>
            <w:r>
              <w:rPr>
                <w:rFonts w:hint="eastAsia" w:ascii="宋体" w:hAnsi="宋体" w:eastAsia="宋体" w:cs="宋体"/>
                <w:snapToGrid w:val="0"/>
                <w:color w:val="auto"/>
                <w:spacing w:val="0"/>
                <w:kern w:val="0"/>
                <w:sz w:val="24"/>
                <w:szCs w:val="24"/>
                <w:highlight w:val="none"/>
                <w:lang w:val="en-US" w:eastAsia="zh-CN" w:bidi="ar-SA"/>
              </w:rPr>
              <w:fldChar w:fldCharType="begin"/>
            </w:r>
            <w:r>
              <w:rPr>
                <w:rFonts w:hint="eastAsia" w:ascii="宋体" w:hAnsi="宋体" w:eastAsia="宋体" w:cs="宋体"/>
                <w:snapToGrid w:val="0"/>
                <w:color w:val="auto"/>
                <w:spacing w:val="0"/>
                <w:kern w:val="0"/>
                <w:sz w:val="24"/>
                <w:szCs w:val="24"/>
                <w:highlight w:val="none"/>
                <w:lang w:val="en-US" w:eastAsia="zh-CN" w:bidi="ar-SA"/>
              </w:rPr>
              <w:instrText xml:space="preserve"> HYPERLINK "https://ygp.gdzwfw.gov.cn/zjfwcs/gd-zjcs-pub/bidResultNotice/view/440233MB2C068372408230742" </w:instrText>
            </w:r>
            <w:r>
              <w:rPr>
                <w:rFonts w:hint="eastAsia" w:ascii="宋体" w:hAnsi="宋体" w:eastAsia="宋体" w:cs="宋体"/>
                <w:snapToGrid w:val="0"/>
                <w:color w:val="auto"/>
                <w:spacing w:val="0"/>
                <w:kern w:val="0"/>
                <w:sz w:val="24"/>
                <w:szCs w:val="24"/>
                <w:highlight w:val="none"/>
                <w:lang w:val="en-US" w:eastAsia="zh-CN" w:bidi="ar-SA"/>
              </w:rPr>
              <w:fldChar w:fldCharType="separate"/>
            </w:r>
            <w:r>
              <w:rPr>
                <w:rFonts w:hint="eastAsia" w:ascii="宋体" w:hAnsi="宋体" w:eastAsia="宋体" w:cs="宋体"/>
                <w:snapToGrid w:val="0"/>
                <w:color w:val="auto"/>
                <w:spacing w:val="0"/>
                <w:kern w:val="0"/>
                <w:sz w:val="24"/>
                <w:szCs w:val="24"/>
                <w:highlight w:val="none"/>
                <w:lang w:val="en-US" w:eastAsia="zh-CN" w:bidi="ar-SA"/>
              </w:rPr>
              <w:t>监理服务</w:t>
            </w:r>
            <w:r>
              <w:rPr>
                <w:rFonts w:hint="eastAsia" w:ascii="宋体" w:hAnsi="宋体" w:eastAsia="宋体" w:cs="宋体"/>
                <w:snapToGrid w:val="0"/>
                <w:color w:val="auto"/>
                <w:spacing w:val="0"/>
                <w:kern w:val="0"/>
                <w:sz w:val="24"/>
                <w:szCs w:val="24"/>
                <w:highlight w:val="none"/>
                <w:lang w:val="en-US" w:eastAsia="zh-CN" w:bidi="ar-SA"/>
              </w:rPr>
              <w:fldChar w:fldCharType="end"/>
            </w:r>
            <w:r>
              <w:rPr>
                <w:rFonts w:hint="eastAsia" w:ascii="宋体" w:hAnsi="宋体" w:eastAsia="宋体" w:cs="宋体"/>
                <w:snapToGrid w:val="0"/>
                <w:color w:val="auto"/>
                <w:spacing w:val="0"/>
                <w:kern w:val="0"/>
                <w:sz w:val="24"/>
                <w:szCs w:val="24"/>
                <w:highlight w:val="none"/>
                <w:lang w:val="en-US" w:eastAsia="zh-CN" w:bidi="ar-SA"/>
              </w:rPr>
              <w:t>单位</w:t>
            </w:r>
          </w:p>
        </w:tc>
      </w:tr>
    </w:tbl>
    <w:p w14:paraId="4E505B82">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03B6326">
      <w:pPr>
        <w:keepNext w:val="0"/>
        <w:keepLines w:val="0"/>
        <w:pageBreakBefore w:val="0"/>
        <w:wordWrap w:val="0"/>
        <w:overflowPunct/>
        <w:topLinePunct w:val="0"/>
        <w:bidi w:val="0"/>
        <w:spacing w:before="153" w:line="360" w:lineRule="auto"/>
        <w:ind w:left="70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其他要求</w:t>
      </w:r>
    </w:p>
    <w:p w14:paraId="495DD04A">
      <w:pPr>
        <w:keepNext w:val="0"/>
        <w:keepLines w:val="0"/>
        <w:pageBreakBefore w:val="0"/>
        <w:wordWrap w:val="0"/>
        <w:overflowPunct/>
        <w:topLinePunct w:val="0"/>
        <w:bidi w:val="0"/>
        <w:spacing w:before="150" w:line="360" w:lineRule="auto"/>
        <w:ind w:left="232" w:right="99"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省外企业及其拟派往本项目管理机构的所有人员均须按照《广东省住房和城乡建设厅关于取消省外建筑企业和人员进粤信息备案有关工作的通知》（粤建市﹝2015﹞52 号）规定在“进粤企业和人员诚信信息登记平台 ”录入相关信息并通过数据规范检查。</w:t>
      </w:r>
    </w:p>
    <w:p w14:paraId="1FE05A34">
      <w:pPr>
        <w:keepNext w:val="0"/>
        <w:keepLines w:val="0"/>
        <w:pageBreakBefore w:val="0"/>
        <w:wordWrap w:val="0"/>
        <w:overflowPunct/>
        <w:topLinePunct w:val="0"/>
        <w:bidi w:val="0"/>
        <w:spacing w:before="79" w:line="360" w:lineRule="auto"/>
        <w:ind w:left="715"/>
        <w:outlineLvl w:val="2"/>
        <w:rPr>
          <w:rFonts w:hint="eastAsia" w:ascii="宋体" w:hAnsi="宋体" w:eastAsia="宋体" w:cs="宋体"/>
          <w:color w:val="auto"/>
          <w:spacing w:val="0"/>
          <w:sz w:val="24"/>
          <w:szCs w:val="24"/>
          <w:highlight w:val="none"/>
        </w:rPr>
      </w:pPr>
      <w:bookmarkStart w:id="22" w:name="_Toc32731"/>
      <w:bookmarkStart w:id="23" w:name="_Toc23243"/>
      <w:r>
        <w:rPr>
          <w:rFonts w:hint="eastAsia" w:ascii="宋体" w:hAnsi="宋体" w:eastAsia="宋体" w:cs="宋体"/>
          <w:b/>
          <w:bCs/>
          <w:color w:val="auto"/>
          <w:spacing w:val="0"/>
          <w:sz w:val="24"/>
          <w:szCs w:val="24"/>
          <w:highlight w:val="none"/>
        </w:rPr>
        <w:t>3．招标文件的获取</w:t>
      </w:r>
      <w:bookmarkEnd w:id="22"/>
      <w:bookmarkEnd w:id="23"/>
    </w:p>
    <w:p w14:paraId="58025C1D">
      <w:pPr>
        <w:keepNext w:val="0"/>
        <w:keepLines w:val="0"/>
        <w:pageBreakBefore w:val="0"/>
        <w:wordWrap w:val="0"/>
        <w:overflowPunct/>
        <w:topLinePunct w:val="0"/>
        <w:bidi w:val="0"/>
        <w:spacing w:before="182" w:line="360" w:lineRule="auto"/>
        <w:ind w:left="70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本次招标实行电子投标。</w:t>
      </w:r>
    </w:p>
    <w:p w14:paraId="29156863">
      <w:pPr>
        <w:keepNext w:val="0"/>
        <w:keepLines w:val="0"/>
        <w:pageBreakBefore w:val="0"/>
        <w:wordWrap w:val="0"/>
        <w:overflowPunct/>
        <w:topLinePunct w:val="0"/>
        <w:bidi w:val="0"/>
        <w:spacing w:before="178" w:line="360" w:lineRule="auto"/>
        <w:ind w:left="0" w:leftChars="0" w:firstLine="481"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本次招标实行电子投标。本项目招标文件随招标公告一并在全国公共资源交易平台（广东省 ·韶关市）（https://ygp.gdzwfw.gov.cn/ggzy-portal/#/440200/index）网站发布。招标文件一经发布，视为发送投标人，招标文件及相关附件由投标人自行在全国公共资源交易平台（广东省 ·韶关市）网站下载。请于招标文件获取期间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（见本章第二节“重要事项时间地点一览表 ”）招标文件获取期间与招标公告发布时间一致，投标人须登录全国公共资源交易平台（广东省 ·韶关市）（https://ygp.gdzwfw.gov.cn/ggzy-portal/#/440200/index），使用新建设工程交易系统进行下载招标文件及相关附件，并于电子投标截止时间（见本章第二节“重要事项时间地点一览表 ”）前完成电子投标。投标人可登录全国公共资源交易平台（广东省 ·韶关市）（https://ygp.gdzwfw.gov.cn/ggzy-portal/#/440200/index），在【服务指南】栏目中建设工程交易中下载《韶关市公共资源建设工程交易系统-投标人操作指南（电子评标）》（附件 2），了解网上获取招标文件操作流程。技术咨询电话：0751-8379671 伍先生，业务咨询电话：0751-8633211、8633071。</w:t>
      </w:r>
    </w:p>
    <w:p w14:paraId="039A8FB6">
      <w:pPr>
        <w:keepNext w:val="0"/>
        <w:keepLines w:val="0"/>
        <w:pageBreakBefore w:val="0"/>
        <w:wordWrap w:val="0"/>
        <w:overflowPunct/>
        <w:topLinePunct w:val="0"/>
        <w:bidi w:val="0"/>
        <w:spacing w:before="142" w:line="360" w:lineRule="auto"/>
        <w:ind w:left="11" w:right="105" w:firstLine="473"/>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3.2  </w:t>
      </w:r>
      <w:r>
        <w:rPr>
          <w:rFonts w:hint="eastAsia" w:ascii="宋体" w:hAnsi="宋体" w:eastAsia="宋体" w:cs="宋体"/>
          <w:color w:val="auto"/>
          <w:spacing w:val="0"/>
          <w:sz w:val="24"/>
          <w:szCs w:val="24"/>
          <w:highlight w:val="none"/>
        </w:rPr>
        <w:t>只有申领了数字证书（CA）、“粤企签 ”或 GDCA/SZCA/NETCA 等符合法律法规规定的电子印章，并在交易系统中完成企业信息数据入库的投标人，方可使用建设工程交易系统进行招标文件及附件获取和电子投标。</w:t>
      </w:r>
    </w:p>
    <w:p w14:paraId="2FE752CB">
      <w:pPr>
        <w:keepNext w:val="0"/>
        <w:keepLines w:val="0"/>
        <w:pageBreakBefore w:val="0"/>
        <w:wordWrap w:val="0"/>
        <w:overflowPunct/>
        <w:topLinePunct w:val="0"/>
        <w:bidi w:val="0"/>
        <w:spacing w:before="32" w:line="360" w:lineRule="auto"/>
        <w:ind w:left="10" w:right="90"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首次在韶关市参与建设工程招标投标活动的投标人，必须在平台系统上传企业相关资料办理企业入库事宜。投标人可登录全国公共资源交易平台（广东省 ·韶关市）（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）办理企业入库、数字证书及电子印章事宜，具体请在平台查阅相应的交易指引。</w:t>
      </w:r>
    </w:p>
    <w:p w14:paraId="6F360068">
      <w:pPr>
        <w:keepNext w:val="0"/>
        <w:keepLines w:val="0"/>
        <w:pageBreakBefore w:val="0"/>
        <w:wordWrap w:val="0"/>
        <w:overflowPunct/>
        <w:topLinePunct w:val="0"/>
        <w:bidi w:val="0"/>
        <w:spacing w:before="37" w:line="360" w:lineRule="auto"/>
        <w:ind w:left="9" w:right="105"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1BE8084A">
      <w:pPr>
        <w:keepNext w:val="0"/>
        <w:keepLines w:val="0"/>
        <w:pageBreakBefore w:val="0"/>
        <w:wordWrap w:val="0"/>
        <w:overflowPunct/>
        <w:topLinePunct w:val="0"/>
        <w:bidi w:val="0"/>
        <w:spacing w:before="33" w:line="360" w:lineRule="auto"/>
        <w:ind w:left="10" w:right="105" w:firstLine="508"/>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 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40CA127C">
      <w:pPr>
        <w:keepNext w:val="0"/>
        <w:keepLines w:val="0"/>
        <w:pageBreakBefore w:val="0"/>
        <w:wordWrap w:val="0"/>
        <w:overflowPunct/>
        <w:topLinePunct w:val="0"/>
        <w:bidi w:val="0"/>
        <w:spacing w:before="33" w:line="36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投标保证</w:t>
      </w:r>
    </w:p>
    <w:p w14:paraId="734994B7">
      <w:pPr>
        <w:keepNext w:val="0"/>
        <w:keepLines w:val="0"/>
        <w:pageBreakBefore w:val="0"/>
        <w:wordWrap w:val="0"/>
        <w:overflowPunct/>
        <w:topLinePunct w:val="0"/>
        <w:bidi w:val="0"/>
        <w:spacing w:before="152" w:line="360" w:lineRule="auto"/>
        <w:ind w:left="8" w:right="105"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3.3.1  </w:t>
      </w:r>
      <w:r>
        <w:rPr>
          <w:rFonts w:hint="eastAsia" w:ascii="宋体" w:hAnsi="宋体" w:eastAsia="宋体" w:cs="宋体"/>
          <w:color w:val="auto"/>
          <w:spacing w:val="0"/>
          <w:sz w:val="24"/>
          <w:szCs w:val="24"/>
          <w:highlight w:val="none"/>
        </w:rPr>
        <w:t>投标人须缴纳金额为</w:t>
      </w:r>
      <w:r>
        <w:rPr>
          <w:rFonts w:hint="eastAsia" w:ascii="宋体" w:hAnsi="宋体" w:eastAsia="宋体" w:cs="宋体"/>
          <w:b/>
          <w:bCs/>
          <w:color w:val="auto"/>
          <w:spacing w:val="0"/>
          <w:sz w:val="24"/>
          <w:szCs w:val="24"/>
          <w:highlight w:val="none"/>
          <w:u w:val="single"/>
          <w:lang w:val="en-US" w:eastAsia="zh-CN"/>
        </w:rPr>
        <w:t>150000.00</w:t>
      </w:r>
      <w:r>
        <w:rPr>
          <w:rFonts w:hint="eastAsia" w:ascii="宋体" w:hAnsi="宋体" w:eastAsia="宋体" w:cs="宋体"/>
          <w:color w:val="auto"/>
          <w:spacing w:val="0"/>
          <w:sz w:val="24"/>
          <w:szCs w:val="24"/>
          <w:highlight w:val="none"/>
          <w:u w:val="none"/>
          <w:lang w:val="en-US" w:eastAsia="zh-CN"/>
        </w:rPr>
        <w:t>元</w:t>
      </w:r>
      <w:r>
        <w:rPr>
          <w:rFonts w:hint="eastAsia" w:ascii="宋体" w:hAnsi="宋体" w:eastAsia="宋体" w:cs="宋体"/>
          <w:color w:val="auto"/>
          <w:spacing w:val="0"/>
          <w:sz w:val="24"/>
          <w:szCs w:val="24"/>
          <w:highlight w:val="none"/>
        </w:rPr>
        <w:t>人民币的投标保证。</w:t>
      </w:r>
    </w:p>
    <w:p w14:paraId="5595FFDA">
      <w:pPr>
        <w:keepNext w:val="0"/>
        <w:keepLines w:val="0"/>
        <w:pageBreakBefore w:val="0"/>
        <w:wordWrap w:val="0"/>
        <w:overflowPunct/>
        <w:topLinePunct w:val="0"/>
        <w:bidi w:val="0"/>
        <w:spacing w:before="35" w:line="360" w:lineRule="auto"/>
        <w:ind w:left="12" w:right="108" w:firstLine="47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3.3.2  </w:t>
      </w:r>
      <w:r>
        <w:rPr>
          <w:rFonts w:hint="eastAsia" w:ascii="宋体" w:hAnsi="宋体" w:eastAsia="宋体" w:cs="宋体"/>
          <w:color w:val="auto"/>
          <w:spacing w:val="0"/>
          <w:sz w:val="24"/>
          <w:szCs w:val="24"/>
          <w:highlight w:val="none"/>
        </w:rPr>
        <w:t>投标保证的形式包括投标保证金、投标保证担保、投标保证保险三种，由投标人自主选择。</w:t>
      </w:r>
    </w:p>
    <w:p w14:paraId="52BC198A">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sz w:val="24"/>
          <w:szCs w:val="24"/>
          <w:highlight w:val="none"/>
        </w:rPr>
      </w:pPr>
      <w:bookmarkStart w:id="24" w:name="bookmark117"/>
      <w:bookmarkEnd w:id="24"/>
      <w:r>
        <w:rPr>
          <w:rFonts w:hint="eastAsia" w:ascii="宋体" w:hAnsi="宋体" w:eastAsia="宋体" w:cs="宋体"/>
          <w:color w:val="auto"/>
          <w:spacing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见本招标文件“重要事项时间地点一览表 ”）前，从其基本账户将投标保证金转账到指定的缴纳账号。逾期到账的、从非投标人基本账户转出的，其投标无效。</w:t>
      </w:r>
    </w:p>
    <w:p w14:paraId="5AD570B6">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604B82">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电子保单，电子保单的有效期不得短于投标有效期。投标人可登录全国公共资源交易平台（广东省·韶关市）（</w:t>
      </w: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"https://ygp.gdzwfw.gov.cn/ggzy-portal/#/440200/index"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color w:val="auto"/>
          <w:spacing w:val="0"/>
          <w:sz w:val="24"/>
          <w:szCs w:val="24"/>
          <w:highlight w:val="none"/>
        </w:rPr>
        <w:t>https://ygp.gdzwfw.gov.cn/ggzy-portal/#/440200/index</w:t>
      </w:r>
      <w:r>
        <w:rPr>
          <w:rFonts w:hint="eastAsia" w:ascii="宋体" w:hAnsi="宋体" w:eastAsia="宋体" w:cs="宋体"/>
          <w:color w:val="auto"/>
          <w:spacing w:val="0"/>
          <w:sz w:val="24"/>
          <w:szCs w:val="24"/>
          <w:highlight w:val="none"/>
        </w:rPr>
        <w:fldChar w:fldCharType="end"/>
      </w:r>
      <w:r>
        <w:rPr>
          <w:rFonts w:hint="eastAsia" w:ascii="宋体" w:hAnsi="宋体" w:eastAsia="宋体" w:cs="宋体"/>
          <w:color w:val="auto"/>
          <w:spacing w:val="0"/>
          <w:sz w:val="24"/>
          <w:szCs w:val="24"/>
          <w:highlight w:val="none"/>
        </w:rPr>
        <w:t>），在【服务指南】栏目中下载《建设工程网上交易系统保险保证金缴纳操作指南》，了解网上投保具体操作流程。逾期投保的，其投标无效。</w:t>
      </w:r>
    </w:p>
    <w:p w14:paraId="20834965">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1EC47989">
      <w:pPr>
        <w:keepNext w:val="0"/>
        <w:keepLines w:val="0"/>
        <w:pageBreakBefore w:val="0"/>
        <w:wordWrap w:val="0"/>
        <w:overflowPunct/>
        <w:topLinePunct w:val="0"/>
        <w:bidi w:val="0"/>
        <w:spacing w:before="78" w:line="360" w:lineRule="auto"/>
        <w:ind w:left="12" w:right="2" w:firstLine="49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 xml:space="preserve"> 若投标人因自身原因未能正确完成获取招标文件、电子投标、缴纳投标保证的，其投标无效。</w:t>
      </w:r>
    </w:p>
    <w:p w14:paraId="385224D7">
      <w:pPr>
        <w:keepNext w:val="0"/>
        <w:keepLines w:val="0"/>
        <w:pageBreakBefore w:val="0"/>
        <w:wordWrap w:val="0"/>
        <w:overflowPunct/>
        <w:topLinePunct w:val="0"/>
        <w:bidi w:val="0"/>
        <w:spacing w:before="79" w:line="360" w:lineRule="auto"/>
        <w:ind w:left="487"/>
        <w:outlineLvl w:val="2"/>
        <w:rPr>
          <w:rFonts w:hint="eastAsia" w:ascii="宋体" w:hAnsi="宋体" w:eastAsia="宋体" w:cs="宋体"/>
          <w:color w:val="auto"/>
          <w:spacing w:val="0"/>
          <w:sz w:val="24"/>
          <w:szCs w:val="24"/>
          <w:highlight w:val="none"/>
        </w:rPr>
      </w:pPr>
      <w:bookmarkStart w:id="25" w:name="bookmark64"/>
      <w:bookmarkEnd w:id="25"/>
      <w:bookmarkStart w:id="26" w:name="bookmark78"/>
      <w:bookmarkEnd w:id="26"/>
      <w:bookmarkStart w:id="27" w:name="_Toc15498"/>
      <w:bookmarkStart w:id="28" w:name="_Toc24483"/>
      <w:r>
        <w:rPr>
          <w:rFonts w:hint="eastAsia" w:ascii="宋体" w:hAnsi="宋体" w:eastAsia="宋体" w:cs="宋体"/>
          <w:b/>
          <w:bCs/>
          <w:color w:val="auto"/>
          <w:spacing w:val="0"/>
          <w:sz w:val="24"/>
          <w:szCs w:val="24"/>
          <w:highlight w:val="none"/>
        </w:rPr>
        <w:t>4</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．工期要求</w:t>
      </w:r>
      <w:bookmarkEnd w:id="27"/>
      <w:bookmarkEnd w:id="28"/>
    </w:p>
    <w:p w14:paraId="10DC164E">
      <w:pPr>
        <w:keepNext w:val="0"/>
        <w:keepLines w:val="0"/>
        <w:pageBreakBefore w:val="0"/>
        <w:wordWrap w:val="0"/>
        <w:overflowPunct/>
        <w:topLinePunct w:val="0"/>
        <w:bidi w:val="0"/>
        <w:spacing w:before="153" w:line="360" w:lineRule="auto"/>
        <w:ind w:left="30" w:right="65" w:firstLine="4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本招标项目招标工期为</w:t>
      </w:r>
      <w:r>
        <w:rPr>
          <w:rFonts w:hint="eastAsia" w:ascii="宋体" w:hAnsi="宋体" w:eastAsia="宋体" w:cs="宋体"/>
          <w:color w:val="auto"/>
          <w:spacing w:val="0"/>
          <w:sz w:val="24"/>
          <w:szCs w:val="24"/>
          <w:highlight w:val="none"/>
          <w:u w:val="single"/>
          <w:lang w:val="en-US" w:eastAsia="zh-CN"/>
        </w:rPr>
        <w:t>90个日历天</w:t>
      </w:r>
      <w:r>
        <w:rPr>
          <w:rFonts w:hint="eastAsia" w:ascii="宋体" w:hAnsi="宋体" w:eastAsia="宋体" w:cs="宋体"/>
          <w:color w:val="auto"/>
          <w:spacing w:val="0"/>
          <w:sz w:val="24"/>
          <w:szCs w:val="24"/>
          <w:highlight w:val="none"/>
        </w:rPr>
        <w:t>，中标人必须在招标工期内完成招标范围内的全部内容。</w:t>
      </w:r>
    </w:p>
    <w:p w14:paraId="2574D13A">
      <w:pPr>
        <w:keepNext w:val="0"/>
        <w:keepLines w:val="0"/>
        <w:pageBreakBefore w:val="0"/>
        <w:wordWrap w:val="0"/>
        <w:overflowPunct/>
        <w:topLinePunct w:val="0"/>
        <w:bidi w:val="0"/>
        <w:spacing w:before="78" w:line="360" w:lineRule="auto"/>
        <w:ind w:left="488"/>
        <w:outlineLvl w:val="2"/>
        <w:rPr>
          <w:rFonts w:hint="eastAsia" w:ascii="宋体" w:hAnsi="宋体" w:eastAsia="宋体" w:cs="宋体"/>
          <w:color w:val="auto"/>
          <w:spacing w:val="0"/>
          <w:sz w:val="24"/>
          <w:szCs w:val="24"/>
          <w:highlight w:val="none"/>
        </w:rPr>
      </w:pPr>
      <w:bookmarkStart w:id="29" w:name="_Toc4154"/>
      <w:bookmarkStart w:id="30" w:name="_Toc26868"/>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．质量标准和材料、机械要求</w:t>
      </w:r>
      <w:bookmarkEnd w:id="29"/>
      <w:bookmarkEnd w:id="30"/>
    </w:p>
    <w:p w14:paraId="2EE63B7A">
      <w:pPr>
        <w:keepNext w:val="0"/>
        <w:keepLines w:val="0"/>
        <w:pageBreakBefore w:val="0"/>
        <w:wordWrap w:val="0"/>
        <w:overflowPunct/>
        <w:topLinePunct w:val="0"/>
        <w:bidi w:val="0"/>
        <w:spacing w:before="154" w:line="360" w:lineRule="auto"/>
        <w:ind w:left="11" w:right="9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5.1  </w:t>
      </w:r>
      <w:r>
        <w:rPr>
          <w:rFonts w:hint="eastAsia" w:ascii="宋体" w:hAnsi="宋体" w:eastAsia="宋体" w:cs="宋体"/>
          <w:color w:val="auto"/>
          <w:spacing w:val="0"/>
          <w:sz w:val="24"/>
          <w:szCs w:val="24"/>
          <w:highlight w:val="none"/>
        </w:rPr>
        <w:t>施工工艺严格按照国家和广东省的有关现行施工技术规范及标准执行，工程质量标准</w:t>
      </w:r>
      <w:r>
        <w:rPr>
          <w:rFonts w:hint="eastAsia" w:ascii="宋体" w:hAnsi="宋体" w:eastAsia="宋体" w:cs="宋体"/>
          <w:color w:val="auto"/>
          <w:spacing w:val="0"/>
          <w:sz w:val="24"/>
          <w:szCs w:val="24"/>
          <w:highlight w:val="none"/>
          <w:u w:val="single"/>
          <w:lang w:val="en-US" w:eastAsia="zh-CN"/>
        </w:rPr>
        <w:t>符合现行国家有关工程施工质量验收规范和标准的要求，达到验收合格。</w:t>
      </w:r>
    </w:p>
    <w:p w14:paraId="550F785F">
      <w:pPr>
        <w:keepNext w:val="0"/>
        <w:keepLines w:val="0"/>
        <w:pageBreakBefore w:val="0"/>
        <w:wordWrap w:val="0"/>
        <w:overflowPunct/>
        <w:topLinePunct w:val="0"/>
        <w:bidi w:val="0"/>
        <w:spacing w:before="154" w:line="360" w:lineRule="auto"/>
        <w:ind w:left="10" w:right="99"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中标人在施工中如果工程质量不符合设计要求和有关规定，招标人或监理单位要求停工和返工的必须立即执行，并承担由此产生的各种费用，工期不予顺延。</w:t>
      </w:r>
    </w:p>
    <w:p w14:paraId="7AA414CC">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5.3  </w:t>
      </w:r>
      <w:r>
        <w:rPr>
          <w:rFonts w:hint="eastAsia" w:ascii="宋体" w:hAnsi="宋体" w:eastAsia="宋体" w:cs="宋体"/>
          <w:color w:val="auto"/>
          <w:spacing w:val="0"/>
          <w:sz w:val="24"/>
          <w:szCs w:val="24"/>
          <w:highlight w:val="none"/>
        </w:rPr>
        <w:t>保修期限按《建设工程质量管理条例》（中华人民共和国国务院令第 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46FB79BE">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5.4</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0"/>
          <w:sz w:val="24"/>
          <w:szCs w:val="24"/>
          <w:highlight w:val="none"/>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rPr>
        <w:t>纳入绿色建设实施范围</w:t>
      </w:r>
      <w:r>
        <w:rPr>
          <w:rFonts w:hint="eastAsia" w:ascii="宋体" w:hAnsi="宋体" w:eastAsia="宋体" w:cs="宋体"/>
          <w:color w:val="auto"/>
          <w:spacing w:val="0"/>
          <w:sz w:val="24"/>
          <w:szCs w:val="24"/>
          <w:highlight w:val="none"/>
          <w:lang w:eastAsia="zh-CN"/>
        </w:rPr>
        <w:t>。</w:t>
      </w:r>
    </w:p>
    <w:p w14:paraId="096BED74">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rPr>
        <w:t>5.5</w:t>
      </w:r>
      <w:r>
        <w:rPr>
          <w:rFonts w:hint="eastAsia" w:ascii="宋体" w:hAnsi="宋体" w:eastAsia="宋体" w:cs="宋体"/>
          <w:color w:val="auto"/>
          <w:spacing w:val="0"/>
          <w:sz w:val="24"/>
          <w:szCs w:val="24"/>
          <w:highlight w:val="none"/>
        </w:rPr>
        <w:t xml:space="preserve">  其它：</w:t>
      </w:r>
      <w:r>
        <w:rPr>
          <w:rFonts w:hint="eastAsia" w:ascii="宋体" w:hAnsi="宋体" w:eastAsia="宋体" w:cs="宋体"/>
          <w:color w:val="auto"/>
          <w:spacing w:val="0"/>
          <w:sz w:val="24"/>
          <w:szCs w:val="24"/>
          <w:highlight w:val="none"/>
          <w:lang w:eastAsia="zh-CN"/>
        </w:rPr>
        <w:t>本招标项目</w:t>
      </w:r>
      <w:r>
        <w:rPr>
          <w:rFonts w:hint="eastAsia" w:ascii="宋体" w:hAnsi="宋体" w:eastAsia="宋体" w:cs="宋体"/>
          <w:color w:val="auto"/>
          <w:spacing w:val="0"/>
          <w:sz w:val="24"/>
          <w:szCs w:val="24"/>
          <w:highlight w:val="none"/>
          <w:lang w:val="en-US" w:eastAsia="zh-CN"/>
        </w:rPr>
        <w:t>不</w:t>
      </w:r>
      <w:r>
        <w:rPr>
          <w:rFonts w:hint="eastAsia" w:ascii="宋体" w:hAnsi="宋体" w:eastAsia="宋体" w:cs="宋体"/>
          <w:color w:val="auto"/>
          <w:spacing w:val="0"/>
          <w:sz w:val="24"/>
          <w:szCs w:val="24"/>
          <w:highlight w:val="none"/>
          <w:lang w:eastAsia="zh-CN"/>
        </w:rPr>
        <w:t>纳入装配式建造建设实施范围。</w:t>
      </w:r>
    </w:p>
    <w:p w14:paraId="744CB0C9">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5.6</w:t>
      </w:r>
      <w:r>
        <w:rPr>
          <w:rFonts w:hint="eastAsia" w:ascii="宋体" w:hAnsi="宋体" w:eastAsia="宋体" w:cs="宋体"/>
          <w:color w:val="auto"/>
          <w:spacing w:val="0"/>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则中标人必须使用合格材料或设备。</w:t>
      </w:r>
    </w:p>
    <w:p w14:paraId="10FFFDBC">
      <w:pPr>
        <w:keepNext w:val="0"/>
        <w:keepLines w:val="0"/>
        <w:pageBreakBefore w:val="0"/>
        <w:wordWrap w:val="0"/>
        <w:overflowPunct/>
        <w:topLinePunct w:val="0"/>
        <w:bidi w:val="0"/>
        <w:spacing w:before="152" w:line="360" w:lineRule="auto"/>
        <w:ind w:left="9" w:firstLine="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w:t>
      </w:r>
      <w:r>
        <w:rPr>
          <w:rFonts w:hint="eastAsia" w:ascii="宋体" w:hAnsi="宋体" w:eastAsia="宋体" w:cs="宋体"/>
          <w:b/>
          <w:bCs/>
          <w:color w:val="auto"/>
          <w:spacing w:val="0"/>
          <w:sz w:val="24"/>
          <w:szCs w:val="24"/>
          <w:highlight w:val="none"/>
          <w:lang w:eastAsia="zh-CN"/>
        </w:rPr>
        <w:t>7</w:t>
      </w:r>
      <w:r>
        <w:rPr>
          <w:rFonts w:hint="eastAsia" w:ascii="宋体" w:hAnsi="宋体" w:eastAsia="宋体" w:cs="宋体"/>
          <w:color w:val="auto"/>
          <w:spacing w:val="0"/>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54A8F521">
      <w:pPr>
        <w:keepNext w:val="0"/>
        <w:keepLines w:val="0"/>
        <w:pageBreakBefore w:val="0"/>
        <w:wordWrap w:val="0"/>
        <w:overflowPunct/>
        <w:topLinePunct w:val="0"/>
        <w:bidi w:val="0"/>
        <w:spacing w:before="78" w:line="360" w:lineRule="auto"/>
        <w:ind w:left="489"/>
        <w:outlineLvl w:val="2"/>
        <w:rPr>
          <w:rFonts w:hint="eastAsia" w:ascii="宋体" w:hAnsi="宋体" w:eastAsia="宋体" w:cs="宋体"/>
          <w:color w:val="auto"/>
          <w:spacing w:val="0"/>
          <w:sz w:val="24"/>
          <w:szCs w:val="24"/>
          <w:highlight w:val="none"/>
        </w:rPr>
      </w:pPr>
      <w:bookmarkStart w:id="31" w:name="_Toc25460"/>
      <w:bookmarkStart w:id="32" w:name="_Toc7763"/>
      <w:r>
        <w:rPr>
          <w:rFonts w:hint="eastAsia" w:ascii="宋体" w:hAnsi="宋体" w:eastAsia="宋体" w:cs="宋体"/>
          <w:b/>
          <w:bCs/>
          <w:color w:val="auto"/>
          <w:spacing w:val="0"/>
          <w:sz w:val="24"/>
          <w:szCs w:val="24"/>
          <w:highlight w:val="none"/>
        </w:rPr>
        <w:t>6 ．施工条件及现场踏勘</w:t>
      </w:r>
      <w:bookmarkEnd w:id="31"/>
      <w:bookmarkEnd w:id="32"/>
    </w:p>
    <w:p w14:paraId="33B1E63A">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6.1  </w:t>
      </w:r>
      <w:r>
        <w:rPr>
          <w:rFonts w:hint="eastAsia" w:ascii="宋体" w:hAnsi="宋体" w:eastAsia="宋体" w:cs="宋体"/>
          <w:color w:val="auto"/>
          <w:spacing w:val="0"/>
          <w:sz w:val="24"/>
          <w:szCs w:val="24"/>
          <w:highlight w:val="none"/>
        </w:rPr>
        <w:t>招标人仅在本招标项目征地红线范围内提供场地，其他一切场地费用由中标人自行负责（含临时道路）。</w:t>
      </w:r>
    </w:p>
    <w:p w14:paraId="43C889C7">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bookmarkStart w:id="33" w:name="bookmark118"/>
      <w:bookmarkEnd w:id="33"/>
      <w:r>
        <w:rPr>
          <w:rFonts w:hint="eastAsia" w:ascii="宋体" w:hAnsi="宋体" w:eastAsia="宋体" w:cs="宋体"/>
          <w:b/>
          <w:bCs/>
          <w:color w:val="auto"/>
          <w:spacing w:val="0"/>
          <w:sz w:val="24"/>
          <w:szCs w:val="24"/>
          <w:highlight w:val="none"/>
        </w:rPr>
        <w:t>6.2</w:t>
      </w:r>
      <w:r>
        <w:rPr>
          <w:rFonts w:hint="eastAsia" w:ascii="宋体" w:hAnsi="宋体" w:eastAsia="宋体" w:cs="宋体"/>
          <w:color w:val="auto"/>
          <w:spacing w:val="0"/>
          <w:sz w:val="24"/>
          <w:szCs w:val="24"/>
          <w:highlight w:val="none"/>
        </w:rPr>
        <w:t xml:space="preserve">  施工用水：</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5DA5ED0F">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6.3</w:t>
      </w:r>
      <w:r>
        <w:rPr>
          <w:rFonts w:hint="eastAsia" w:ascii="宋体" w:hAnsi="宋体" w:eastAsia="宋体" w:cs="宋体"/>
          <w:color w:val="auto"/>
          <w:spacing w:val="0"/>
          <w:sz w:val="24"/>
          <w:szCs w:val="24"/>
          <w:highlight w:val="none"/>
        </w:rPr>
        <w:t xml:space="preserve">  施工用电：</w:t>
      </w:r>
      <w:r>
        <w:rPr>
          <w:rFonts w:hint="eastAsia" w:ascii="宋体" w:hAnsi="宋体" w:eastAsia="宋体" w:cs="宋体"/>
          <w:color w:val="auto"/>
          <w:spacing w:val="0"/>
          <w:sz w:val="24"/>
          <w:szCs w:val="24"/>
          <w:highlight w:val="none"/>
          <w:u w:val="single"/>
        </w:rPr>
        <w:t xml:space="preserve"> 由中标人自行解决，费用考虑在投标报价中</w:t>
      </w:r>
      <w:r>
        <w:rPr>
          <w:rFonts w:hint="eastAsia" w:ascii="宋体" w:hAnsi="宋体" w:eastAsia="宋体" w:cs="宋体"/>
          <w:color w:val="auto"/>
          <w:spacing w:val="0"/>
          <w:sz w:val="24"/>
          <w:szCs w:val="24"/>
          <w:highlight w:val="none"/>
        </w:rPr>
        <w:t>。</w:t>
      </w:r>
    </w:p>
    <w:p w14:paraId="4117B1E2">
      <w:pPr>
        <w:keepNext w:val="0"/>
        <w:keepLines w:val="0"/>
        <w:pageBreakBefore w:val="0"/>
        <w:wordWrap w:val="0"/>
        <w:overflowPunct/>
        <w:topLinePunct w:val="0"/>
        <w:bidi w:val="0"/>
        <w:spacing w:before="155" w:line="360" w:lineRule="auto"/>
        <w:ind w:left="12" w:right="99"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6.4</w:t>
      </w:r>
      <w:r>
        <w:rPr>
          <w:rFonts w:hint="eastAsia" w:ascii="宋体" w:hAnsi="宋体" w:eastAsia="宋体" w:cs="宋体"/>
          <w:color w:val="auto"/>
          <w:spacing w:val="0"/>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0"/>
          <w:sz w:val="24"/>
          <w:szCs w:val="24"/>
          <w:highlight w:val="none"/>
          <w:u w:val="single"/>
          <w:lang w:val="en-US" w:eastAsia="zh-CN"/>
        </w:rPr>
        <w:t>韶关市</w:t>
      </w:r>
      <w:r>
        <w:rPr>
          <w:rFonts w:hint="eastAsia" w:ascii="宋体" w:hAnsi="宋体" w:eastAsia="宋体" w:cs="宋体"/>
          <w:color w:val="auto"/>
          <w:spacing w:val="0"/>
          <w:sz w:val="24"/>
          <w:szCs w:val="24"/>
          <w:highlight w:val="none"/>
        </w:rPr>
        <w:t>基建工程水、电计费标准计算并由中标人缴纳。</w:t>
      </w:r>
    </w:p>
    <w:p w14:paraId="7B035D82">
      <w:pPr>
        <w:keepNext w:val="0"/>
        <w:keepLines w:val="0"/>
        <w:pageBreakBefore w:val="0"/>
        <w:wordWrap w:val="0"/>
        <w:overflowPunct/>
        <w:topLinePunct w:val="0"/>
        <w:bidi w:val="0"/>
        <w:spacing w:before="154"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6.5  </w:t>
      </w:r>
      <w:r>
        <w:rPr>
          <w:rFonts w:hint="eastAsia" w:ascii="宋体" w:hAnsi="宋体" w:eastAsia="宋体" w:cs="宋体"/>
          <w:color w:val="auto"/>
          <w:spacing w:val="0"/>
          <w:sz w:val="24"/>
          <w:szCs w:val="24"/>
          <w:highlight w:val="none"/>
        </w:rPr>
        <w:t>招标人不组织现场踏勘，但会在招标文件及有关设计文件中明确告知招标项目的具体位置和周边环境，并在现场设置足以识别的标识或提供足以表明招标项目具体位置的文字或图片。投标人需要了解现场情况的</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可自行进行现场踏勘。</w:t>
      </w:r>
    </w:p>
    <w:p w14:paraId="7738F7AC">
      <w:pPr>
        <w:keepNext w:val="0"/>
        <w:keepLines w:val="0"/>
        <w:pageBreakBefore w:val="0"/>
        <w:wordWrap w:val="0"/>
        <w:overflowPunct/>
        <w:topLinePunct w:val="0"/>
        <w:bidi w:val="0"/>
        <w:spacing w:before="153"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6.6  </w:t>
      </w:r>
      <w:r>
        <w:rPr>
          <w:rFonts w:hint="eastAsia" w:ascii="宋体" w:hAnsi="宋体" w:eastAsia="宋体" w:cs="宋体"/>
          <w:color w:val="auto"/>
          <w:spacing w:val="0"/>
          <w:sz w:val="24"/>
          <w:szCs w:val="24"/>
          <w:highlight w:val="none"/>
        </w:rPr>
        <w:t>在现场踏勘过程中，投标人应确保自身安全，投标人如果发生人身伤亡、财物或其他损失，法律法规有规定的按有关规定处理，没有规定的由投标人自行负责。</w:t>
      </w:r>
    </w:p>
    <w:p w14:paraId="7E2F99A6">
      <w:pPr>
        <w:keepNext w:val="0"/>
        <w:keepLines w:val="0"/>
        <w:pageBreakBefore w:val="0"/>
        <w:wordWrap w:val="0"/>
        <w:overflowPunct/>
        <w:topLinePunct w:val="0"/>
        <w:bidi w:val="0"/>
        <w:spacing w:before="153" w:line="360" w:lineRule="auto"/>
        <w:ind w:left="56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6.7  </w:t>
      </w:r>
      <w:r>
        <w:rPr>
          <w:rFonts w:hint="eastAsia" w:ascii="宋体" w:hAnsi="宋体" w:eastAsia="宋体" w:cs="宋体"/>
          <w:color w:val="auto"/>
          <w:spacing w:val="0"/>
          <w:sz w:val="24"/>
          <w:szCs w:val="24"/>
          <w:highlight w:val="none"/>
        </w:rPr>
        <w:t>现场踏勘期间的交通、食宿由投标人自行安排，费用自理。</w:t>
      </w:r>
    </w:p>
    <w:p w14:paraId="1757ED06">
      <w:pPr>
        <w:keepNext w:val="0"/>
        <w:keepLines w:val="0"/>
        <w:pageBreakBefore w:val="0"/>
        <w:wordWrap w:val="0"/>
        <w:overflowPunct/>
        <w:topLinePunct w:val="0"/>
        <w:bidi w:val="0"/>
        <w:spacing w:before="78" w:line="360" w:lineRule="auto"/>
        <w:ind w:left="488"/>
        <w:outlineLvl w:val="2"/>
        <w:rPr>
          <w:rFonts w:hint="eastAsia" w:ascii="宋体" w:hAnsi="宋体" w:eastAsia="宋体" w:cs="宋体"/>
          <w:color w:val="auto"/>
          <w:spacing w:val="0"/>
          <w:sz w:val="24"/>
          <w:szCs w:val="24"/>
          <w:highlight w:val="none"/>
        </w:rPr>
      </w:pPr>
      <w:bookmarkStart w:id="34" w:name="bookmark67"/>
      <w:bookmarkEnd w:id="34"/>
      <w:bookmarkStart w:id="35" w:name="bookmark69"/>
      <w:bookmarkEnd w:id="35"/>
      <w:bookmarkStart w:id="36" w:name="bookmark81"/>
      <w:bookmarkEnd w:id="36"/>
      <w:bookmarkStart w:id="37" w:name="_Toc15543"/>
      <w:bookmarkStart w:id="38" w:name="_Toc16201"/>
      <w:r>
        <w:rPr>
          <w:rFonts w:hint="eastAsia" w:ascii="宋体" w:hAnsi="宋体" w:eastAsia="宋体" w:cs="宋体"/>
          <w:b/>
          <w:bCs/>
          <w:color w:val="auto"/>
          <w:spacing w:val="0"/>
          <w:sz w:val="24"/>
          <w:szCs w:val="24"/>
          <w:highlight w:val="none"/>
        </w:rPr>
        <w:t>7 ．招标文件的提问和答疑</w:t>
      </w:r>
      <w:bookmarkEnd w:id="37"/>
      <w:bookmarkEnd w:id="38"/>
    </w:p>
    <w:p w14:paraId="58203EDA">
      <w:pPr>
        <w:keepNext w:val="0"/>
        <w:keepLines w:val="0"/>
        <w:pageBreakBefore w:val="0"/>
        <w:wordWrap w:val="0"/>
        <w:overflowPunct/>
        <w:topLinePunct w:val="0"/>
        <w:bidi w:val="0"/>
        <w:spacing w:before="153" w:line="360" w:lineRule="auto"/>
        <w:ind w:left="9" w:right="16" w:firstLine="47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7.1  </w:t>
      </w:r>
      <w:r>
        <w:rPr>
          <w:rFonts w:hint="eastAsia" w:ascii="宋体" w:hAnsi="宋体" w:eastAsia="宋体" w:cs="宋体"/>
          <w:color w:val="auto"/>
          <w:spacing w:val="0"/>
          <w:sz w:val="24"/>
          <w:szCs w:val="24"/>
          <w:highlight w:val="none"/>
        </w:rPr>
        <w:t>投标人若对招标文件（含施工图、招标工程量清单）有疑问，应在提问截止时间（见本章第二节“重要事项时间地点一览表 ”）前使用建设工程交易系统提出问题。未在指定时间前、未采用指定方式提出的，招标人不予受理。</w:t>
      </w:r>
    </w:p>
    <w:p w14:paraId="79A8D99B">
      <w:pPr>
        <w:keepNext w:val="0"/>
        <w:keepLines w:val="0"/>
        <w:pageBreakBefore w:val="0"/>
        <w:wordWrap w:val="0"/>
        <w:overflowPunct/>
        <w:topLinePunct w:val="0"/>
        <w:bidi w:val="0"/>
        <w:spacing w:before="154" w:line="360" w:lineRule="auto"/>
        <w:ind w:left="9" w:right="16"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7.2  </w:t>
      </w:r>
      <w:r>
        <w:rPr>
          <w:rFonts w:hint="eastAsia" w:ascii="宋体" w:hAnsi="宋体" w:eastAsia="宋体" w:cs="宋体"/>
          <w:color w:val="auto"/>
          <w:spacing w:val="0"/>
          <w:sz w:val="24"/>
          <w:szCs w:val="24"/>
          <w:highlight w:val="none"/>
        </w:rPr>
        <w:t>招标人在提问截止时间（见本章第二节“重要事项时间地点一览表 ”）后 3 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446874AE">
      <w:pPr>
        <w:keepNext w:val="0"/>
        <w:keepLines w:val="0"/>
        <w:pageBreakBefore w:val="0"/>
        <w:wordWrap w:val="0"/>
        <w:overflowPunct/>
        <w:topLinePunct w:val="0"/>
        <w:bidi w:val="0"/>
        <w:spacing w:before="152" w:line="360"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7.3  </w:t>
      </w:r>
      <w:r>
        <w:rPr>
          <w:rFonts w:hint="eastAsia" w:ascii="宋体" w:hAnsi="宋体" w:eastAsia="宋体" w:cs="宋体"/>
          <w:color w:val="auto"/>
          <w:spacing w:val="0"/>
          <w:sz w:val="24"/>
          <w:szCs w:val="24"/>
          <w:highlight w:val="none"/>
        </w:rPr>
        <w:t>招标人对招标文件所作的答疑（或修改）公告，构成招标文件的组成部分。</w:t>
      </w:r>
    </w:p>
    <w:p w14:paraId="1850E2AC">
      <w:pPr>
        <w:keepNext w:val="0"/>
        <w:keepLines w:val="0"/>
        <w:pageBreakBefore w:val="0"/>
        <w:wordWrap w:val="0"/>
        <w:overflowPunct/>
        <w:topLinePunct w:val="0"/>
        <w:bidi w:val="0"/>
        <w:spacing w:before="79" w:line="360" w:lineRule="auto"/>
        <w:ind w:left="488"/>
        <w:outlineLvl w:val="2"/>
        <w:rPr>
          <w:rFonts w:hint="eastAsia" w:ascii="宋体" w:hAnsi="宋体" w:eastAsia="宋体" w:cs="宋体"/>
          <w:color w:val="auto"/>
          <w:spacing w:val="0"/>
          <w:sz w:val="24"/>
          <w:szCs w:val="24"/>
          <w:highlight w:val="none"/>
          <w:lang w:eastAsia="zh-CN"/>
        </w:rPr>
      </w:pPr>
      <w:bookmarkStart w:id="39" w:name="_Toc6897"/>
      <w:bookmarkStart w:id="40" w:name="_Toc23999"/>
      <w:r>
        <w:rPr>
          <w:rFonts w:hint="eastAsia" w:ascii="宋体" w:hAnsi="宋体" w:eastAsia="宋体" w:cs="宋体"/>
          <w:b/>
          <w:bCs/>
          <w:color w:val="auto"/>
          <w:spacing w:val="0"/>
          <w:sz w:val="24"/>
          <w:szCs w:val="24"/>
          <w:highlight w:val="none"/>
        </w:rPr>
        <w:t>8 ．</w:t>
      </w:r>
      <w:bookmarkEnd w:id="39"/>
      <w:r>
        <w:rPr>
          <w:rFonts w:hint="eastAsia" w:ascii="宋体" w:hAnsi="宋体" w:eastAsia="宋体" w:cs="宋体"/>
          <w:b/>
          <w:bCs/>
          <w:color w:val="auto"/>
          <w:spacing w:val="0"/>
          <w:sz w:val="24"/>
          <w:szCs w:val="24"/>
          <w:highlight w:val="none"/>
          <w:lang w:eastAsia="zh-CN"/>
        </w:rPr>
        <w:t>最高投标限价</w:t>
      </w:r>
      <w:bookmarkEnd w:id="40"/>
    </w:p>
    <w:p w14:paraId="37FBB470">
      <w:pPr>
        <w:keepNext w:val="0"/>
        <w:keepLines w:val="0"/>
        <w:pageBreakBefore w:val="0"/>
        <w:wordWrap w:val="0"/>
        <w:overflowPunct/>
        <w:topLinePunct w:val="0"/>
        <w:bidi w:val="0"/>
        <w:spacing w:before="155"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8.1  </w:t>
      </w:r>
      <w:r>
        <w:rPr>
          <w:rFonts w:hint="eastAsia" w:ascii="宋体" w:hAnsi="宋体" w:eastAsia="宋体" w:cs="宋体"/>
          <w:color w:val="auto"/>
          <w:spacing w:val="0"/>
          <w:sz w:val="24"/>
          <w:szCs w:val="24"/>
          <w:highlight w:val="none"/>
        </w:rPr>
        <w:t>本招标项目按照以下依据编制</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w:t>
      </w:r>
    </w:p>
    <w:p w14:paraId="1070EE1C">
      <w:pPr>
        <w:keepNext w:val="0"/>
        <w:keepLines w:val="0"/>
        <w:pageBreakBefore w:val="0"/>
        <w:wordWrap w:val="0"/>
        <w:overflowPunct/>
        <w:topLinePunct w:val="0"/>
        <w:bidi w:val="0"/>
        <w:spacing w:before="157"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4A7247E5">
      <w:pPr>
        <w:keepNext w:val="0"/>
        <w:keepLines w:val="0"/>
        <w:pageBreakBefore w:val="0"/>
        <w:wordWrap w:val="0"/>
        <w:overflowPunct/>
        <w:topLinePunct w:val="0"/>
        <w:bidi w:val="0"/>
        <w:spacing w:before="153" w:line="360" w:lineRule="auto"/>
        <w:ind w:left="9" w:right="1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31DF117C">
      <w:pPr>
        <w:keepNext w:val="0"/>
        <w:keepLines w:val="0"/>
        <w:pageBreakBefore w:val="0"/>
        <w:wordWrap w:val="0"/>
        <w:overflowPunct/>
        <w:topLinePunct w:val="0"/>
        <w:bidi w:val="0"/>
        <w:spacing w:before="154"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（3）施工图及相关资料；</w:t>
      </w:r>
    </w:p>
    <w:p w14:paraId="2964A12F">
      <w:pPr>
        <w:keepNext w:val="0"/>
        <w:keepLines w:val="0"/>
        <w:pageBreakBefore w:val="0"/>
        <w:wordWrap w:val="0"/>
        <w:overflowPunct/>
        <w:topLinePunct w:val="0"/>
        <w:bidi w:val="0"/>
        <w:spacing w:before="78" w:line="360" w:lineRule="auto"/>
        <w:ind w:left="502"/>
        <w:rPr>
          <w:rFonts w:hint="eastAsia" w:ascii="宋体" w:hAnsi="宋体" w:eastAsia="宋体" w:cs="宋体"/>
          <w:color w:val="auto"/>
          <w:spacing w:val="0"/>
          <w:sz w:val="24"/>
          <w:szCs w:val="24"/>
          <w:highlight w:val="none"/>
        </w:rPr>
      </w:pPr>
      <w:bookmarkStart w:id="41" w:name="bookmark119"/>
      <w:bookmarkEnd w:id="41"/>
      <w:r>
        <w:rPr>
          <w:rFonts w:hint="eastAsia" w:ascii="宋体" w:hAnsi="宋体" w:eastAsia="宋体" w:cs="宋体"/>
          <w:color w:val="auto"/>
          <w:spacing w:val="0"/>
          <w:sz w:val="24"/>
          <w:szCs w:val="24"/>
          <w:highlight w:val="none"/>
        </w:rPr>
        <w:t>（4）招标文件及招标工程量清单；</w:t>
      </w:r>
    </w:p>
    <w:p w14:paraId="76D0A57F">
      <w:pPr>
        <w:keepNext w:val="0"/>
        <w:keepLines w:val="0"/>
        <w:pageBreakBefore w:val="0"/>
        <w:wordWrap w:val="0"/>
        <w:overflowPunct/>
        <w:topLinePunct w:val="0"/>
        <w:bidi w:val="0"/>
        <w:spacing w:before="155"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（5）施工现场情况、工程特点及常规施工方案；</w:t>
      </w:r>
    </w:p>
    <w:p w14:paraId="504E4C98">
      <w:pPr>
        <w:keepNext w:val="0"/>
        <w:keepLines w:val="0"/>
        <w:pageBreakBefore w:val="0"/>
        <w:wordWrap w:val="0"/>
        <w:overflowPunct/>
        <w:topLinePunct w:val="0"/>
        <w:bidi w:val="0"/>
        <w:spacing w:before="153" w:line="360" w:lineRule="auto"/>
        <w:ind w:left="12" w:right="136"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（6）项目所在地工程造价管理机构发布的工程造价信息，工程造价信息缺项的，参照市场价格；</w:t>
      </w:r>
    </w:p>
    <w:p w14:paraId="6B6B220A">
      <w:pPr>
        <w:keepNext w:val="0"/>
        <w:keepLines w:val="0"/>
        <w:pageBreakBefore w:val="0"/>
        <w:wordWrap w:val="0"/>
        <w:overflowPunct/>
        <w:topLinePunct w:val="0"/>
        <w:bidi w:val="0"/>
        <w:spacing w:before="157" w:line="360" w:lineRule="auto"/>
        <w:ind w:left="5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（7）与建设项目相关的标准、规范、技术资料。</w:t>
      </w:r>
    </w:p>
    <w:p w14:paraId="789B2941">
      <w:pPr>
        <w:keepNext w:val="0"/>
        <w:keepLines w:val="0"/>
        <w:pageBreakBefore w:val="0"/>
        <w:wordWrap w:val="0"/>
        <w:overflowPunct/>
        <w:topLinePunct w:val="0"/>
        <w:bidi w:val="0"/>
        <w:spacing w:before="79" w:line="360" w:lineRule="auto"/>
        <w:ind w:left="11" w:firstLine="479"/>
        <w:jc w:val="both"/>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eastAsia="zh-CN"/>
        </w:rPr>
        <w:t>8.2 本招标项目最高投标限价为</w:t>
      </w:r>
      <w:r>
        <w:rPr>
          <w:rFonts w:hint="eastAsia" w:ascii="宋体" w:hAnsi="宋体" w:eastAsia="宋体" w:cs="宋体"/>
          <w:b/>
          <w:bCs/>
          <w:color w:val="auto"/>
          <w:spacing w:val="0"/>
          <w:sz w:val="24"/>
          <w:szCs w:val="24"/>
          <w:highlight w:val="none"/>
          <w:u w:val="none"/>
          <w:lang w:val="en-US" w:eastAsia="zh-CN"/>
        </w:rPr>
        <w:t>人民币（大写）：</w:t>
      </w:r>
      <w:r>
        <w:rPr>
          <w:rFonts w:hint="eastAsia" w:ascii="宋体" w:hAnsi="宋体" w:eastAsia="宋体" w:cs="宋体"/>
          <w:b/>
          <w:bCs/>
          <w:color w:val="auto"/>
          <w:spacing w:val="0"/>
          <w:sz w:val="24"/>
          <w:szCs w:val="24"/>
          <w:highlight w:val="none"/>
          <w:u w:val="single"/>
          <w:lang w:val="en-US" w:eastAsia="zh-CN"/>
        </w:rPr>
        <w:t>壹仟零柒拾叁万壹仟陆佰柒拾陆元叁角陆分（￥10731676.36元）。其中安全生产措施费不得低于￥326249.24元；暂列金（统一报价）为￥475263.63元；专业工程暂估价（统一报价）为￥644232.00元。</w:t>
      </w:r>
    </w:p>
    <w:p w14:paraId="458077E8">
      <w:pPr>
        <w:keepNext w:val="0"/>
        <w:keepLines w:val="0"/>
        <w:pageBreakBefore w:val="0"/>
        <w:wordWrap w:val="0"/>
        <w:overflowPunct/>
        <w:topLinePunct w:val="0"/>
        <w:bidi w:val="0"/>
        <w:spacing w:before="79" w:line="360" w:lineRule="auto"/>
        <w:ind w:left="11" w:firstLine="479"/>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3</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092D0327">
      <w:pPr>
        <w:keepNext w:val="0"/>
        <w:keepLines w:val="0"/>
        <w:pageBreakBefore w:val="0"/>
        <w:wordWrap w:val="0"/>
        <w:overflowPunct/>
        <w:topLinePunct w:val="0"/>
        <w:bidi w:val="0"/>
        <w:spacing w:before="36" w:line="360" w:lineRule="auto"/>
        <w:ind w:left="10" w:right="200" w:firstLine="480"/>
        <w:rPr>
          <w:rFonts w:hint="eastAsia" w:ascii="宋体" w:hAnsi="宋体" w:eastAsia="宋体" w:cs="宋体"/>
          <w:color w:val="auto"/>
          <w:spacing w:val="0"/>
          <w:sz w:val="24"/>
          <w:szCs w:val="24"/>
          <w:highlight w:val="none"/>
          <w:u w:val="singl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4</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u w:val="single"/>
        </w:rPr>
        <w:t>本招标项目以暂估价形式列入招标工程量清单中的材料暂估价及专业工程暂估价</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rPr>
        <w:t>包括：</w:t>
      </w:r>
      <w:r>
        <w:rPr>
          <w:rFonts w:hint="eastAsia" w:ascii="宋体" w:hAnsi="宋体" w:eastAsia="宋体" w:cs="宋体"/>
          <w:color w:val="auto"/>
          <w:spacing w:val="0"/>
          <w:sz w:val="24"/>
          <w:szCs w:val="24"/>
          <w:highlight w:val="none"/>
          <w:u w:val="single"/>
          <w:lang w:val="en-US" w:eastAsia="zh-CN"/>
        </w:rPr>
        <w:t>招标人</w:t>
      </w:r>
      <w:r>
        <w:rPr>
          <w:rFonts w:hint="eastAsia" w:ascii="宋体" w:hAnsi="宋体" w:eastAsia="宋体" w:cs="宋体"/>
          <w:color w:val="auto"/>
          <w:spacing w:val="0"/>
          <w:sz w:val="24"/>
          <w:szCs w:val="24"/>
          <w:highlight w:val="none"/>
          <w:u w:val="single"/>
        </w:rPr>
        <w:t>在工程量清单中提供的、用于支付设计图纸要求必需使用但招标时‌价格尚未确定‌的材料（不含增值税）的预估价格</w:t>
      </w:r>
      <w:r>
        <w:rPr>
          <w:rFonts w:hint="eastAsia" w:ascii="宋体" w:hAnsi="宋体" w:eastAsia="宋体" w:cs="宋体"/>
          <w:color w:val="auto"/>
          <w:spacing w:val="0"/>
          <w:sz w:val="24"/>
          <w:szCs w:val="24"/>
          <w:highlight w:val="none"/>
          <w:u w:val="single"/>
          <w:lang w:eastAsia="zh-CN"/>
        </w:rPr>
        <w:t>；</w:t>
      </w:r>
      <w:r>
        <w:rPr>
          <w:rFonts w:hint="eastAsia" w:ascii="宋体" w:hAnsi="宋体" w:eastAsia="宋体" w:cs="宋体"/>
          <w:color w:val="auto"/>
          <w:spacing w:val="0"/>
          <w:sz w:val="24"/>
          <w:szCs w:val="24"/>
          <w:highlight w:val="none"/>
          <w:u w:val="single"/>
          <w:lang w:val="en-US" w:eastAsia="zh-CN"/>
        </w:rPr>
        <w:t>在</w:t>
      </w:r>
      <w:r>
        <w:rPr>
          <w:rFonts w:hint="eastAsia" w:ascii="宋体" w:hAnsi="宋体" w:eastAsia="宋体" w:cs="宋体"/>
          <w:color w:val="auto"/>
          <w:spacing w:val="0"/>
          <w:sz w:val="24"/>
          <w:szCs w:val="24"/>
          <w:highlight w:val="none"/>
          <w:u w:val="single"/>
          <w:lang w:eastAsia="zh-CN"/>
        </w:rPr>
        <w:t>招标时设计未明确、规格不确定但必然发生的‌专业分包工程‌（如消防、智能化、幕墙等）所预估的‌含税总价</w:t>
      </w:r>
      <w:r>
        <w:rPr>
          <w:rFonts w:hint="eastAsia" w:ascii="宋体" w:hAnsi="宋体" w:eastAsia="宋体" w:cs="宋体"/>
          <w:color w:val="auto"/>
          <w:spacing w:val="0"/>
          <w:sz w:val="24"/>
          <w:szCs w:val="24"/>
          <w:highlight w:val="none"/>
          <w:u w:val="single"/>
        </w:rPr>
        <w:t>。</w:t>
      </w:r>
    </w:p>
    <w:p w14:paraId="6A226F91">
      <w:pPr>
        <w:keepNext w:val="0"/>
        <w:keepLines w:val="0"/>
        <w:pageBreakBefore w:val="0"/>
        <w:wordWrap w:val="0"/>
        <w:overflowPunct/>
        <w:topLinePunct w:val="0"/>
        <w:bidi w:val="0"/>
        <w:spacing w:before="36" w:line="360" w:lineRule="auto"/>
        <w:ind w:left="10" w:right="200" w:firstLine="480"/>
        <w:rPr>
          <w:rFonts w:hint="eastAsia" w:ascii="宋体" w:hAnsi="宋体" w:eastAsia="宋体" w:cs="宋体"/>
          <w:color w:val="auto"/>
          <w:spacing w:val="0"/>
          <w:sz w:val="24"/>
          <w:szCs w:val="24"/>
          <w:highlight w:val="none"/>
          <w:u w:val="single"/>
          <w:lang w:eastAsia="zh-CN"/>
        </w:rPr>
      </w:pPr>
      <w:r>
        <w:rPr>
          <w:rFonts w:hint="eastAsia" w:ascii="宋体" w:hAnsi="宋体" w:eastAsia="宋体" w:cs="宋体"/>
          <w:color w:val="auto"/>
          <w:spacing w:val="0"/>
          <w:sz w:val="24"/>
          <w:szCs w:val="24"/>
          <w:highlight w:val="none"/>
          <w:u w:val="single"/>
        </w:rPr>
        <w:t>材料暂估价投标时必须按招标清单给定的‌不含税暂估单价‌计入综合单价，不得擅自更改</w:t>
      </w:r>
      <w:r>
        <w:rPr>
          <w:rFonts w:hint="eastAsia" w:ascii="宋体" w:hAnsi="宋体" w:eastAsia="宋体" w:cs="宋体"/>
          <w:color w:val="auto"/>
          <w:spacing w:val="0"/>
          <w:sz w:val="24"/>
          <w:szCs w:val="24"/>
          <w:highlight w:val="none"/>
          <w:u w:val="single"/>
          <w:lang w:eastAsia="zh-CN"/>
        </w:rPr>
        <w:t>；</w:t>
      </w:r>
    </w:p>
    <w:p w14:paraId="667A81E1">
      <w:pPr>
        <w:keepNext w:val="0"/>
        <w:keepLines w:val="0"/>
        <w:pageBreakBefore w:val="0"/>
        <w:wordWrap w:val="0"/>
        <w:overflowPunct/>
        <w:topLinePunct w:val="0"/>
        <w:bidi w:val="0"/>
        <w:spacing w:before="36" w:line="360" w:lineRule="auto"/>
        <w:ind w:left="10" w:right="200" w:firstLine="480"/>
        <w:rPr>
          <w:rFonts w:hint="eastAsia" w:ascii="宋体" w:hAnsi="宋体" w:eastAsia="宋体" w:cs="宋体"/>
          <w:color w:val="auto"/>
          <w:spacing w:val="0"/>
          <w:sz w:val="24"/>
          <w:szCs w:val="24"/>
          <w:highlight w:val="none"/>
          <w:u w:val="single"/>
        </w:rPr>
      </w:pPr>
      <w:r>
        <w:rPr>
          <w:rFonts w:hint="eastAsia" w:ascii="宋体" w:hAnsi="宋体" w:eastAsia="宋体" w:cs="宋体"/>
          <w:color w:val="auto"/>
          <w:spacing w:val="0"/>
          <w:sz w:val="24"/>
          <w:szCs w:val="24"/>
          <w:highlight w:val="none"/>
          <w:u w:val="single"/>
        </w:rPr>
        <w:t>专业工程暂估价投标人必须按招标工程量清单中列出金额统一报价，其结算原则按本招标文件相关条款执行。</w:t>
      </w:r>
    </w:p>
    <w:p w14:paraId="27DBB8AB">
      <w:pPr>
        <w:keepNext w:val="0"/>
        <w:keepLines w:val="0"/>
        <w:pageBreakBefore w:val="0"/>
        <w:wordWrap w:val="0"/>
        <w:overflowPunct/>
        <w:topLinePunct w:val="0"/>
        <w:bidi w:val="0"/>
        <w:spacing w:before="154" w:line="360" w:lineRule="auto"/>
        <w:ind w:left="12" w:right="200"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eastAsia="zh-CN"/>
        </w:rPr>
        <w:t>5</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当暂估价项目的内容、标准、要求在项目实施过程中得以深化、明确、固定后，按以下原则发包：</w:t>
      </w:r>
    </w:p>
    <w:p w14:paraId="2E6E5889">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3" w:leftChars="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（1）暂估价项目按工程、货物（指材料或工程设备，下同）的类别分类汇总的金额，达到必须招标规模标准的，由</w:t>
      </w:r>
      <w:r>
        <w:rPr>
          <w:rFonts w:hint="eastAsia" w:ascii="宋体" w:hAnsi="宋体" w:eastAsia="宋体" w:cs="宋体"/>
          <w:b/>
          <w:bCs/>
          <w:color w:val="auto"/>
          <w:spacing w:val="0"/>
          <w:sz w:val="24"/>
          <w:szCs w:val="24"/>
          <w:highlight w:val="none"/>
          <w:u w:val="single"/>
        </w:rPr>
        <w:t xml:space="preserve"> </w:t>
      </w:r>
      <w:r>
        <w:rPr>
          <w:rFonts w:hint="eastAsia" w:ascii="宋体" w:hAnsi="宋体" w:eastAsia="宋体" w:cs="宋体"/>
          <w:bCs/>
          <w:color w:val="auto"/>
          <w:spacing w:val="0"/>
          <w:sz w:val="24"/>
          <w:szCs w:val="24"/>
          <w:highlight w:val="none"/>
          <w:u w:val="single"/>
        </w:rPr>
        <w:t xml:space="preserve">中标人招标，招标人参与管理 </w:t>
      </w:r>
      <w:r>
        <w:rPr>
          <w:rFonts w:hint="eastAsia" w:ascii="宋体" w:hAnsi="宋体" w:eastAsia="宋体" w:cs="宋体"/>
          <w:bCs/>
          <w:color w:val="auto"/>
          <w:spacing w:val="0"/>
          <w:sz w:val="24"/>
          <w:szCs w:val="24"/>
          <w:highlight w:val="none"/>
        </w:rPr>
        <w:t>，</w:t>
      </w:r>
      <w:r>
        <w:rPr>
          <w:rFonts w:hint="eastAsia" w:ascii="宋体" w:hAnsi="宋体" w:eastAsia="宋体" w:cs="宋体"/>
          <w:color w:val="auto"/>
          <w:spacing w:val="0"/>
          <w:sz w:val="24"/>
          <w:szCs w:val="24"/>
          <w:highlight w:val="none"/>
        </w:rPr>
        <w:t>确定专业工程承包人（或材料、工程 设备供应商）和合同价格。</w:t>
      </w:r>
    </w:p>
    <w:p w14:paraId="748F67E9">
      <w:pPr>
        <w:keepNext w:val="0"/>
        <w:keepLines w:val="0"/>
        <w:pageBreakBefore w:val="0"/>
        <w:widowControl/>
        <w:kinsoku w:val="0"/>
        <w:wordWrap w:val="0"/>
        <w:overflowPunct/>
        <w:topLinePunct w:val="0"/>
        <w:autoSpaceDE w:val="0"/>
        <w:autoSpaceDN w:val="0"/>
        <w:bidi w:val="0"/>
        <w:adjustRightInd w:val="0"/>
        <w:snapToGrid w:val="0"/>
        <w:spacing w:before="30" w:line="360" w:lineRule="auto"/>
        <w:ind w:left="11" w:right="65" w:firstLine="48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（2）暂估价项目按工程、货物的类别分类汇总的金额，未达到必须招标规模标准但适用政府采购规定的，按照政府采购规定确定专业工程承包人（或材料、工程设备供应商）和合同价格。</w:t>
      </w:r>
    </w:p>
    <w:p w14:paraId="6736DF1E">
      <w:pPr>
        <w:keepNext w:val="0"/>
        <w:keepLines w:val="0"/>
        <w:pageBreakBefore w:val="0"/>
        <w:wordWrap w:val="0"/>
        <w:overflowPunct/>
        <w:topLinePunct w:val="0"/>
        <w:bidi w:val="0"/>
        <w:spacing w:before="154"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 文件相关条款执行。</w:t>
      </w:r>
    </w:p>
    <w:p w14:paraId="6EC26BD9">
      <w:pPr>
        <w:keepNext w:val="0"/>
        <w:keepLines w:val="0"/>
        <w:pageBreakBefore w:val="0"/>
        <w:wordWrap w:val="0"/>
        <w:overflowPunct/>
        <w:topLinePunct w:val="0"/>
        <w:bidi w:val="0"/>
        <w:spacing w:before="154" w:line="360" w:lineRule="auto"/>
        <w:ind w:left="11" w:right="65"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（4）暂估价项目按工程、货物的类别分类汇总的金额，未达到必须招标规模标准也不适用政府采购规定，中标人既不具备相应资格条件又不具备分包权的，由招标人另行发包。</w:t>
      </w:r>
    </w:p>
    <w:p w14:paraId="51638999">
      <w:pPr>
        <w:keepNext w:val="0"/>
        <w:keepLines w:val="0"/>
        <w:pageBreakBefore w:val="0"/>
        <w:wordWrap w:val="0"/>
        <w:overflowPunct/>
        <w:topLinePunct w:val="0"/>
        <w:bidi w:val="0"/>
        <w:spacing w:before="155" w:line="360" w:lineRule="auto"/>
        <w:ind w:left="9" w:right="66"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（5）暂估价项目由其他承包人承包的，纳入中标人的管理和协调范围，由其他承包人向中标人承担质量、安全、文明施工、工期责任，中标人向招标人承担责任。</w:t>
      </w:r>
    </w:p>
    <w:p w14:paraId="06A8222B">
      <w:pPr>
        <w:keepNext w:val="0"/>
        <w:keepLines w:val="0"/>
        <w:pageBreakBefore w:val="0"/>
        <w:wordWrap w:val="0"/>
        <w:overflowPunct/>
        <w:topLinePunct w:val="0"/>
        <w:bidi w:val="0"/>
        <w:spacing w:before="155" w:line="36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8</w:t>
      </w:r>
      <w:r>
        <w:rPr>
          <w:rFonts w:hint="eastAsia" w:ascii="宋体" w:hAnsi="宋体" w:eastAsia="宋体" w:cs="宋体"/>
          <w:b/>
          <w:bCs/>
          <w:color w:val="auto"/>
          <w:spacing w:val="0"/>
          <w:sz w:val="24"/>
          <w:szCs w:val="24"/>
          <w:highlight w:val="none"/>
          <w:lang w:val="en-US" w:eastAsia="zh-CN"/>
        </w:rPr>
        <w:t>.6</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本招标项目以暂列金额形式列入招标工程量清单中的所需货物和服务的采购（以下统称“暂列金额项目 ”）若有发生，按照本节第 </w:t>
      </w:r>
      <w:r>
        <w:rPr>
          <w:rFonts w:hint="eastAsia" w:ascii="宋体" w:hAnsi="宋体" w:eastAsia="宋体" w:cs="宋体"/>
          <w:b/>
          <w:bCs/>
          <w:color w:val="auto"/>
          <w:spacing w:val="0"/>
          <w:sz w:val="24"/>
          <w:szCs w:val="24"/>
          <w:highlight w:val="none"/>
        </w:rPr>
        <w:t xml:space="preserve">8.5 </w:t>
      </w:r>
      <w:r>
        <w:rPr>
          <w:rFonts w:hint="eastAsia" w:ascii="宋体" w:hAnsi="宋体" w:eastAsia="宋体" w:cs="宋体"/>
          <w:color w:val="auto"/>
          <w:spacing w:val="0"/>
          <w:sz w:val="24"/>
          <w:szCs w:val="24"/>
          <w:highlight w:val="none"/>
        </w:rPr>
        <w:t>条的规定确定货物（或服务）供应商和合同价格。暂列金额项目由其他承包人承包的，纳入中标人的管理和协调范围</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由其他承包人向中标人承担质量、安全、文明施工、工期责任，中标人向招标人承担责任。</w:t>
      </w:r>
    </w:p>
    <w:p w14:paraId="44041CF4">
      <w:pPr>
        <w:keepNext w:val="0"/>
        <w:keepLines w:val="0"/>
        <w:pageBreakBefore w:val="0"/>
        <w:wordWrap w:val="0"/>
        <w:overflowPunct/>
        <w:topLinePunct w:val="0"/>
        <w:bidi w:val="0"/>
        <w:spacing w:before="79" w:line="360" w:lineRule="auto"/>
        <w:ind w:left="487"/>
        <w:outlineLvl w:val="2"/>
        <w:rPr>
          <w:rFonts w:hint="eastAsia" w:ascii="宋体" w:hAnsi="宋体" w:eastAsia="宋体" w:cs="宋体"/>
          <w:color w:val="auto"/>
          <w:spacing w:val="0"/>
          <w:sz w:val="24"/>
          <w:szCs w:val="24"/>
          <w:highlight w:val="none"/>
        </w:rPr>
      </w:pPr>
      <w:bookmarkStart w:id="42" w:name="_Toc28851"/>
      <w:bookmarkStart w:id="43" w:name="_Toc22978"/>
      <w:r>
        <w:rPr>
          <w:rFonts w:hint="eastAsia" w:ascii="宋体" w:hAnsi="宋体" w:eastAsia="宋体" w:cs="宋体"/>
          <w:b/>
          <w:bCs/>
          <w:color w:val="auto"/>
          <w:spacing w:val="0"/>
          <w:sz w:val="24"/>
          <w:szCs w:val="24"/>
          <w:highlight w:val="none"/>
        </w:rPr>
        <w:t>9 ．投标报价</w:t>
      </w:r>
      <w:bookmarkEnd w:id="42"/>
      <w:bookmarkEnd w:id="43"/>
    </w:p>
    <w:p w14:paraId="0ED2EF22">
      <w:pPr>
        <w:keepNext w:val="0"/>
        <w:keepLines w:val="0"/>
        <w:pageBreakBefore w:val="0"/>
        <w:wordWrap w:val="0"/>
        <w:overflowPunct/>
        <w:topLinePunct w:val="0"/>
        <w:bidi w:val="0"/>
        <w:spacing w:before="157"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9.1  </w:t>
      </w:r>
      <w:r>
        <w:rPr>
          <w:rFonts w:hint="eastAsia" w:ascii="宋体" w:hAnsi="宋体" w:eastAsia="宋体" w:cs="宋体"/>
          <w:color w:val="auto"/>
          <w:spacing w:val="0"/>
          <w:sz w:val="24"/>
          <w:szCs w:val="24"/>
          <w:highlight w:val="none"/>
        </w:rPr>
        <w:t>投标人应按照以下依据编制投标报价：</w:t>
      </w:r>
    </w:p>
    <w:p w14:paraId="5DFFCF42">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1170464D">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lang w:eastAsia="zh-CN"/>
        </w:rPr>
      </w:pPr>
      <w:bookmarkStart w:id="44" w:name="bookmark120"/>
      <w:bookmarkEnd w:id="44"/>
      <w:r>
        <w:rPr>
          <w:rFonts w:hint="eastAsia" w:ascii="宋体" w:hAnsi="宋体" w:eastAsia="宋体" w:cs="宋体"/>
          <w:color w:val="auto"/>
          <w:spacing w:val="0"/>
          <w:sz w:val="24"/>
          <w:szCs w:val="24"/>
          <w:highlight w:val="none"/>
          <w:lang w:eastAsia="zh-CN"/>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56A82739">
      <w:pPr>
        <w:keepNext w:val="0"/>
        <w:keepLines w:val="0"/>
        <w:pageBreakBefore w:val="0"/>
        <w:wordWrap w:val="0"/>
        <w:overflowPunct/>
        <w:topLinePunct w:val="0"/>
        <w:bidi w:val="0"/>
        <w:spacing w:before="78"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（3）企业定额；</w:t>
      </w:r>
    </w:p>
    <w:p w14:paraId="21D7AB3A">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（4）招标文件及其答疑（或修改）公告、招标工程量清单；</w:t>
      </w:r>
    </w:p>
    <w:p w14:paraId="6C148BBB">
      <w:pPr>
        <w:keepNext w:val="0"/>
        <w:keepLines w:val="0"/>
        <w:pageBreakBefore w:val="0"/>
        <w:wordWrap w:val="0"/>
        <w:overflowPunct/>
        <w:topLinePunct w:val="0"/>
        <w:bidi w:val="0"/>
        <w:spacing w:before="154"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（5）施工图及相关资料；</w:t>
      </w:r>
    </w:p>
    <w:p w14:paraId="05C84BB3">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（6）施工现场情况、工程特点及投标时拟定的施工组织设计或施工方案；</w:t>
      </w:r>
    </w:p>
    <w:p w14:paraId="42F852A9">
      <w:pPr>
        <w:keepNext w:val="0"/>
        <w:keepLines w:val="0"/>
        <w:pageBreakBefore w:val="0"/>
        <w:wordWrap w:val="0"/>
        <w:overflowPunct/>
        <w:topLinePunct w:val="0"/>
        <w:bidi w:val="0"/>
        <w:spacing w:before="156"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（7）市场价格信息或项目所在地工程造价管理机构发布的工程造价信息；</w:t>
      </w:r>
    </w:p>
    <w:p w14:paraId="42E67E93">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（8）与建设项目相关的标准、规范、技术资料。</w:t>
      </w:r>
    </w:p>
    <w:p w14:paraId="655BD8EA">
      <w:pPr>
        <w:keepNext w:val="0"/>
        <w:keepLines w:val="0"/>
        <w:pageBreakBefore w:val="0"/>
        <w:wordWrap w:val="0"/>
        <w:overflowPunct/>
        <w:topLinePunct w:val="0"/>
        <w:bidi w:val="0"/>
        <w:spacing w:before="153" w:line="360" w:lineRule="auto"/>
        <w:ind w:left="8" w:right="150" w:firstLine="5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9.2  </w:t>
      </w:r>
      <w:r>
        <w:rPr>
          <w:rFonts w:hint="eastAsia" w:ascii="宋体" w:hAnsi="宋体" w:eastAsia="宋体" w:cs="宋体"/>
          <w:color w:val="auto"/>
          <w:spacing w:val="0"/>
          <w:sz w:val="24"/>
          <w:szCs w:val="24"/>
          <w:highlight w:val="none"/>
        </w:rPr>
        <w:t>投标人应根据招标工程量清单、工程量清单计价</w:t>
      </w:r>
      <w:r>
        <w:rPr>
          <w:rFonts w:hint="eastAsia" w:ascii="宋体" w:hAnsi="宋体" w:eastAsia="宋体" w:cs="宋体"/>
          <w:color w:val="auto"/>
          <w:spacing w:val="0"/>
          <w:sz w:val="24"/>
          <w:szCs w:val="24"/>
          <w:highlight w:val="none"/>
          <w:lang w:val="en-US" w:eastAsia="zh-CN"/>
        </w:rPr>
        <w:t>标准</w:t>
      </w:r>
      <w:r>
        <w:rPr>
          <w:rFonts w:hint="eastAsia" w:ascii="宋体" w:hAnsi="宋体" w:eastAsia="宋体" w:cs="宋体"/>
          <w:color w:val="auto"/>
          <w:spacing w:val="0"/>
          <w:sz w:val="24"/>
          <w:szCs w:val="24"/>
          <w:highlight w:val="none"/>
        </w:rPr>
        <w:t>中的工作内容、设计文件和有关要求、施工现场实际情况、投标人拟定的施工组织设计、本单位的企业定额和市场价格进行编制，自行报价，并承担一定范围内的风险费用。所谓“一定范围内的风险 ”是指合同约定的风险。</w:t>
      </w:r>
    </w:p>
    <w:p w14:paraId="7D8B28AF">
      <w:pPr>
        <w:keepNext w:val="0"/>
        <w:keepLines w:val="0"/>
        <w:pageBreakBefore w:val="0"/>
        <w:wordWrap w:val="0"/>
        <w:overflowPunct/>
        <w:topLinePunct w:val="0"/>
        <w:bidi w:val="0"/>
        <w:spacing w:before="152" w:line="360"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9.3  </w:t>
      </w:r>
      <w:r>
        <w:rPr>
          <w:rFonts w:hint="eastAsia" w:ascii="宋体" w:hAnsi="宋体" w:eastAsia="宋体" w:cs="宋体"/>
          <w:color w:val="auto"/>
          <w:spacing w:val="0"/>
          <w:sz w:val="24"/>
          <w:szCs w:val="24"/>
          <w:highlight w:val="none"/>
        </w:rPr>
        <w:t>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7BD0F3F4">
      <w:pPr>
        <w:keepNext w:val="0"/>
        <w:keepLines w:val="0"/>
        <w:pageBreakBefore w:val="0"/>
        <w:wordWrap w:val="0"/>
        <w:overflowPunct/>
        <w:topLinePunct w:val="0"/>
        <w:bidi w:val="0"/>
        <w:spacing w:before="155" w:line="360" w:lineRule="auto"/>
        <w:ind w:left="10" w:right="150"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9.4  </w:t>
      </w:r>
      <w:r>
        <w:rPr>
          <w:rFonts w:hint="eastAsia" w:ascii="宋体" w:hAnsi="宋体" w:eastAsia="宋体" w:cs="宋体"/>
          <w:color w:val="auto"/>
          <w:spacing w:val="0"/>
          <w:sz w:val="24"/>
          <w:szCs w:val="24"/>
          <w:highlight w:val="none"/>
        </w:rPr>
        <w:t>招标人向投标人提供的有关现场的数据和资料，是招标人现有的能被投标人利用的资料，招标人对投标人做出的任何推论、理解和结论均不负责任。</w:t>
      </w:r>
    </w:p>
    <w:p w14:paraId="18DC3EDD">
      <w:pPr>
        <w:keepNext w:val="0"/>
        <w:keepLines w:val="0"/>
        <w:pageBreakBefore w:val="0"/>
        <w:wordWrap w:val="0"/>
        <w:overflowPunct/>
        <w:topLinePunct w:val="0"/>
        <w:bidi w:val="0"/>
        <w:spacing w:before="154" w:line="360" w:lineRule="auto"/>
        <w:ind w:left="12" w:firstLine="55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9.5  </w:t>
      </w:r>
      <w:r>
        <w:rPr>
          <w:rFonts w:hint="eastAsia" w:ascii="宋体" w:hAnsi="宋体" w:eastAsia="宋体" w:cs="宋体"/>
          <w:color w:val="auto"/>
          <w:spacing w:val="0"/>
          <w:sz w:val="24"/>
          <w:szCs w:val="24"/>
          <w:highlight w:val="none"/>
        </w:rPr>
        <w:t>投标人必须按照招标工程量清单及表格填报价格。项目编码、项目名称、项目特征、计量单位、工程量必须与招标工程量清单一致。所有报价均以人民币“元 ” 为单位，并保留小数点后两位。</w:t>
      </w:r>
    </w:p>
    <w:p w14:paraId="2DEC74A0">
      <w:pPr>
        <w:keepNext w:val="0"/>
        <w:keepLines w:val="0"/>
        <w:pageBreakBefore w:val="0"/>
        <w:wordWrap w:val="0"/>
        <w:overflowPunct/>
        <w:topLinePunct w:val="0"/>
        <w:bidi w:val="0"/>
        <w:spacing w:before="158" w:line="360" w:lineRule="auto"/>
        <w:ind w:left="9" w:right="150" w:firstLine="55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9.6  </w:t>
      </w:r>
      <w:r>
        <w:rPr>
          <w:rFonts w:hint="eastAsia" w:ascii="宋体" w:hAnsi="宋体" w:eastAsia="宋体" w:cs="宋体"/>
          <w:color w:val="auto"/>
          <w:spacing w:val="0"/>
          <w:sz w:val="24"/>
          <w:szCs w:val="24"/>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40CE886C">
      <w:pPr>
        <w:keepNext w:val="0"/>
        <w:keepLines w:val="0"/>
        <w:pageBreakBefore w:val="0"/>
        <w:wordWrap w:val="0"/>
        <w:overflowPunct/>
        <w:topLinePunct w:val="0"/>
        <w:bidi w:val="0"/>
        <w:spacing w:before="152" w:line="360" w:lineRule="auto"/>
        <w:ind w:left="7" w:right="120" w:firstLine="480"/>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 xml:space="preserve">9.7  </w:t>
      </w:r>
      <w:r>
        <w:rPr>
          <w:rFonts w:hint="eastAsia" w:ascii="宋体" w:hAnsi="宋体" w:eastAsia="宋体" w:cs="宋体"/>
          <w:color w:val="auto"/>
          <w:spacing w:val="0"/>
          <w:sz w:val="24"/>
          <w:szCs w:val="24"/>
          <w:highlight w:val="none"/>
        </w:rPr>
        <w:t>投标人的投标总价不得高于</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，也不得低于工程成本。投标人对投标总价的所有优惠（降价、让利等），均应当反映在具体清单项目或其综合单价的报价上。</w:t>
      </w:r>
      <w:r>
        <w:rPr>
          <w:rFonts w:hint="eastAsia" w:ascii="宋体" w:hAnsi="宋体" w:eastAsia="宋体" w:cs="宋体"/>
          <w:b/>
          <w:bCs/>
          <w:color w:val="auto"/>
          <w:spacing w:val="0"/>
          <w:sz w:val="24"/>
          <w:szCs w:val="24"/>
          <w:highlight w:val="none"/>
        </w:rPr>
        <w:t>如果投标人的投标总价下浮率高于15%时，投标人必须在投标文件中专项作出详细合理的书面说明并提供以往类似工程详细成本分析报告供评标委员会审查。</w:t>
      </w:r>
    </w:p>
    <w:p w14:paraId="2EE97EFC">
      <w:pPr>
        <w:keepNext w:val="0"/>
        <w:keepLines w:val="0"/>
        <w:pageBreakBefore w:val="0"/>
        <w:wordWrap w:val="0"/>
        <w:overflowPunct/>
        <w:topLinePunct w:val="0"/>
        <w:bidi w:val="0"/>
        <w:spacing w:line="360" w:lineRule="auto"/>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b/>
          <w:bCs/>
          <w:color w:val="auto"/>
          <w:spacing w:val="0"/>
          <w:sz w:val="24"/>
          <w:szCs w:val="24"/>
          <w:highlight w:val="none"/>
          <w:lang w:eastAsia="zh-CN"/>
        </w:rPr>
        <w:t>投标总价下浮率=（1-投标总价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100%</w:t>
      </w:r>
    </w:p>
    <w:p w14:paraId="0A848A62">
      <w:pPr>
        <w:keepNext w:val="0"/>
        <w:keepLines w:val="0"/>
        <w:pageBreakBefore w:val="0"/>
        <w:wordWrap w:val="0"/>
        <w:overflowPunct/>
        <w:topLinePunct w:val="0"/>
        <w:bidi w:val="0"/>
        <w:spacing w:before="146" w:line="360" w:lineRule="auto"/>
        <w:ind w:left="29" w:right="153" w:firstLine="45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9.8  </w:t>
      </w:r>
      <w:r>
        <w:rPr>
          <w:rFonts w:hint="eastAsia" w:ascii="宋体" w:hAnsi="宋体" w:eastAsia="宋体" w:cs="宋体"/>
          <w:color w:val="auto"/>
          <w:spacing w:val="0"/>
          <w:sz w:val="24"/>
          <w:szCs w:val="24"/>
          <w:highlight w:val="none"/>
        </w:rPr>
        <w:t>投标人的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报价必须达到或超过</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中提供的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p>
    <w:p w14:paraId="76AD78D0">
      <w:pPr>
        <w:keepNext w:val="0"/>
        <w:keepLines w:val="0"/>
        <w:pageBreakBefore w:val="0"/>
        <w:wordWrap w:val="0"/>
        <w:overflowPunct/>
        <w:topLinePunct w:val="0"/>
        <w:bidi w:val="0"/>
        <w:spacing w:before="78" w:line="360" w:lineRule="auto"/>
        <w:ind w:right="99"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9.9  </w:t>
      </w:r>
      <w:r>
        <w:rPr>
          <w:rFonts w:hint="eastAsia" w:ascii="宋体" w:hAnsi="宋体" w:eastAsia="宋体" w:cs="宋体"/>
          <w:color w:val="auto"/>
          <w:spacing w:val="0"/>
          <w:sz w:val="24"/>
          <w:szCs w:val="24"/>
          <w:highlight w:val="none"/>
        </w:rPr>
        <w:t>投标人必须按照招标工程量清单中提供的暂列金额和</w:t>
      </w:r>
      <w:r>
        <w:rPr>
          <w:rFonts w:hint="eastAsia" w:ascii="宋体" w:hAnsi="宋体" w:eastAsia="宋体" w:cs="宋体"/>
          <w:color w:val="auto"/>
          <w:spacing w:val="0"/>
          <w:sz w:val="24"/>
          <w:szCs w:val="24"/>
          <w:highlight w:val="none"/>
          <w:lang w:val="en-US" w:eastAsia="zh-CN"/>
        </w:rPr>
        <w:t>专业工程</w:t>
      </w:r>
      <w:r>
        <w:rPr>
          <w:rFonts w:hint="eastAsia" w:ascii="宋体" w:hAnsi="宋体" w:eastAsia="宋体" w:cs="宋体"/>
          <w:color w:val="auto"/>
          <w:spacing w:val="0"/>
          <w:sz w:val="24"/>
          <w:szCs w:val="24"/>
          <w:highlight w:val="none"/>
        </w:rPr>
        <w:t>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14:paraId="31555D04">
      <w:pPr>
        <w:pStyle w:val="6"/>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snapToGrid w:val="0"/>
          <w:color w:val="auto"/>
          <w:spacing w:val="0"/>
          <w:sz w:val="24"/>
          <w:szCs w:val="24"/>
          <w:highlight w:val="none"/>
          <w:lang w:val="en-US" w:eastAsia="en-US" w:bidi="ar-SA"/>
        </w:rPr>
      </w:pPr>
      <w:r>
        <w:rPr>
          <w:rFonts w:hint="eastAsia" w:ascii="宋体" w:hAnsi="宋体" w:eastAsia="宋体" w:cs="宋体"/>
          <w:b/>
          <w:bCs/>
          <w:color w:val="auto"/>
          <w:spacing w:val="0"/>
          <w:sz w:val="24"/>
          <w:szCs w:val="24"/>
          <w:highlight w:val="none"/>
        </w:rPr>
        <w:t xml:space="preserve">9.10 </w:t>
      </w:r>
      <w:r>
        <w:rPr>
          <w:rFonts w:hint="eastAsia" w:ascii="宋体" w:hAnsi="宋体" w:eastAsia="宋体" w:cs="宋体"/>
          <w:snapToGrid w:val="0"/>
          <w:color w:val="auto"/>
          <w:spacing w:val="0"/>
          <w:sz w:val="24"/>
          <w:szCs w:val="24"/>
          <w:highlight w:val="none"/>
          <w:lang w:val="en-US" w:eastAsia="en-US" w:bidi="ar-SA"/>
        </w:rPr>
        <w:t>预算包干内容一般包括施工雨（污）水的排除、因地形影响造成的场内料具二次运输、20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p>
    <w:p w14:paraId="02BC6D0D">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sz w:val="24"/>
          <w:szCs w:val="24"/>
          <w:highlight w:val="none"/>
        </w:rPr>
      </w:pPr>
      <w:bookmarkStart w:id="45" w:name="_Toc8260"/>
      <w:bookmarkStart w:id="46" w:name="_Toc16322"/>
      <w:r>
        <w:rPr>
          <w:rFonts w:hint="eastAsia" w:ascii="宋体" w:hAnsi="宋体" w:eastAsia="宋体" w:cs="宋体"/>
          <w:b/>
          <w:bCs/>
          <w:color w:val="auto"/>
          <w:spacing w:val="0"/>
          <w:sz w:val="24"/>
          <w:szCs w:val="24"/>
          <w:highlight w:val="none"/>
        </w:rPr>
        <w:t>10 ．投标文件的编制要求</w:t>
      </w:r>
      <w:bookmarkEnd w:id="45"/>
      <w:bookmarkEnd w:id="46"/>
    </w:p>
    <w:p w14:paraId="1ADA1598">
      <w:pPr>
        <w:keepNext w:val="0"/>
        <w:keepLines w:val="0"/>
        <w:pageBreakBefore w:val="0"/>
        <w:wordWrap w:val="0"/>
        <w:overflowPunct/>
        <w:topLinePunct w:val="0"/>
        <w:bidi w:val="0"/>
        <w:spacing w:before="152" w:line="360" w:lineRule="auto"/>
        <w:ind w:left="496"/>
        <w:outlineLvl w:val="9"/>
        <w:rPr>
          <w:rFonts w:hint="eastAsia" w:ascii="宋体" w:hAnsi="宋体" w:eastAsia="宋体" w:cs="宋体"/>
          <w:color w:val="auto"/>
          <w:spacing w:val="0"/>
          <w:sz w:val="24"/>
          <w:szCs w:val="24"/>
          <w:highlight w:val="none"/>
        </w:rPr>
      </w:pPr>
      <w:bookmarkStart w:id="47" w:name="_Toc22937"/>
      <w:bookmarkStart w:id="48" w:name="_Toc20590"/>
      <w:r>
        <w:rPr>
          <w:rFonts w:hint="eastAsia" w:ascii="宋体" w:hAnsi="宋体" w:eastAsia="宋体" w:cs="宋体"/>
          <w:b/>
          <w:bCs/>
          <w:color w:val="auto"/>
          <w:spacing w:val="0"/>
          <w:sz w:val="24"/>
          <w:szCs w:val="24"/>
          <w:highlight w:val="none"/>
        </w:rPr>
        <w:t xml:space="preserve">10.1  </w:t>
      </w:r>
      <w:r>
        <w:rPr>
          <w:rFonts w:hint="eastAsia" w:ascii="宋体" w:hAnsi="宋体" w:eastAsia="宋体" w:cs="宋体"/>
          <w:color w:val="auto"/>
          <w:spacing w:val="0"/>
          <w:sz w:val="24"/>
          <w:szCs w:val="24"/>
          <w:highlight w:val="none"/>
        </w:rPr>
        <w:t>一般要求</w:t>
      </w:r>
      <w:bookmarkEnd w:id="47"/>
      <w:bookmarkEnd w:id="48"/>
    </w:p>
    <w:p w14:paraId="3BA09E09">
      <w:pPr>
        <w:keepNext w:val="0"/>
        <w:keepLines w:val="0"/>
        <w:pageBreakBefore w:val="0"/>
        <w:wordWrap w:val="0"/>
        <w:overflowPunct/>
        <w:topLinePunct w:val="0"/>
        <w:bidi w:val="0"/>
        <w:spacing w:before="118" w:line="360" w:lineRule="auto"/>
        <w:ind w:left="11" w:right="99"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投标文件应按第六章投标文件格式规定的内容，投标人提交的投标文件应当使用招标文件所提供的投标文件全部格式。</w:t>
      </w:r>
    </w:p>
    <w:p w14:paraId="64F68F54">
      <w:pPr>
        <w:keepNext w:val="0"/>
        <w:keepLines w:val="0"/>
        <w:pageBreakBefore w:val="0"/>
        <w:wordWrap w:val="0"/>
        <w:overflowPunct/>
        <w:topLinePunct w:val="0"/>
        <w:bidi w:val="0"/>
        <w:spacing w:before="68" w:line="360" w:lineRule="auto"/>
        <w:ind w:left="11" w:right="99" w:firstLine="56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10.1.1  </w:t>
      </w:r>
      <w:r>
        <w:rPr>
          <w:rFonts w:hint="eastAsia" w:ascii="宋体" w:hAnsi="宋体" w:eastAsia="宋体" w:cs="宋体"/>
          <w:color w:val="auto"/>
          <w:spacing w:val="0"/>
          <w:sz w:val="24"/>
          <w:szCs w:val="24"/>
          <w:highlight w:val="none"/>
        </w:rPr>
        <w:t>投标人必须响应招标文件，并在充分理解招标人提供的全部文件、设计图纸、资料及现场条件的基础上编制投标文件。因投标文件不符合招标文件的要求而造成的损失和后果，由投标人自行承担。</w:t>
      </w:r>
    </w:p>
    <w:p w14:paraId="51122B59">
      <w:pPr>
        <w:keepNext w:val="0"/>
        <w:keepLines w:val="0"/>
        <w:pageBreakBefore w:val="0"/>
        <w:wordWrap w:val="0"/>
        <w:overflowPunct/>
        <w:topLinePunct w:val="0"/>
        <w:bidi w:val="0"/>
        <w:spacing w:before="123" w:line="360" w:lineRule="auto"/>
        <w:ind w:left="8" w:firstLine="56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10.1.2  </w:t>
      </w:r>
      <w:r>
        <w:rPr>
          <w:rFonts w:hint="eastAsia" w:ascii="宋体" w:hAnsi="宋体" w:eastAsia="宋体" w:cs="宋体"/>
          <w:color w:val="auto"/>
          <w:spacing w:val="0"/>
          <w:sz w:val="24"/>
          <w:szCs w:val="24"/>
          <w:highlight w:val="none"/>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 ·韶关市）交易指引。</w:t>
      </w:r>
    </w:p>
    <w:p w14:paraId="1C1308EF">
      <w:pPr>
        <w:keepNext w:val="0"/>
        <w:keepLines w:val="0"/>
        <w:pageBreakBefore w:val="0"/>
        <w:wordWrap w:val="0"/>
        <w:overflowPunct/>
        <w:topLinePunct w:val="0"/>
        <w:bidi w:val="0"/>
        <w:spacing w:before="1" w:line="360" w:lineRule="auto"/>
        <w:ind w:left="5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10.1.3  </w:t>
      </w:r>
      <w:r>
        <w:rPr>
          <w:rFonts w:hint="eastAsia" w:ascii="宋体" w:hAnsi="宋体" w:eastAsia="宋体" w:cs="宋体"/>
          <w:color w:val="auto"/>
          <w:spacing w:val="0"/>
          <w:sz w:val="24"/>
          <w:szCs w:val="24"/>
          <w:highlight w:val="none"/>
        </w:rPr>
        <w:t>投标文件需按以下要求签字、盖章：电子投标文件：</w:t>
      </w:r>
    </w:p>
    <w:p w14:paraId="75FDA074">
      <w:pPr>
        <w:keepNext w:val="0"/>
        <w:keepLines w:val="0"/>
        <w:pageBreakBefore w:val="0"/>
        <w:wordWrap w:val="0"/>
        <w:overflowPunct/>
        <w:topLinePunct w:val="0"/>
        <w:bidi w:val="0"/>
        <w:spacing w:before="111" w:line="360" w:lineRule="auto"/>
        <w:ind w:right="133"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"10.1.3.1"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10.1.3.1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投标文件封面、组成内容中凡注明“签字 ”处由要求的人员签字或电子签章；凡注明“签字或盖章 ”处由要求的人员签字或盖其私章（电子印章）；凡注明“签字并盖执业印章 ”处由要求的人员签字并盖其执业印章。</w:t>
      </w:r>
    </w:p>
    <w:p w14:paraId="6358B792">
      <w:pPr>
        <w:keepNext w:val="0"/>
        <w:keepLines w:val="0"/>
        <w:pageBreakBefore w:val="0"/>
        <w:wordWrap w:val="0"/>
        <w:overflowPunct/>
        <w:topLinePunct w:val="0"/>
        <w:bidi w:val="0"/>
        <w:spacing w:before="112" w:line="360" w:lineRule="auto"/>
        <w:ind w:left="13" w:right="133" w:firstLine="5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"10.1.3.2"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10.1.3.2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投标文件封套、封面、组成内容中凡要求录入投标人名称且注明“盖单位章 ”处盖单位法人公章（电子印章）。</w:t>
      </w:r>
    </w:p>
    <w:p w14:paraId="3F70DCC9">
      <w:pPr>
        <w:keepNext w:val="0"/>
        <w:keepLines w:val="0"/>
        <w:pageBreakBefore w:val="0"/>
        <w:wordWrap w:val="0"/>
        <w:overflowPunct/>
        <w:topLinePunct w:val="0"/>
        <w:bidi w:val="0"/>
        <w:spacing w:before="146" w:line="360" w:lineRule="auto"/>
        <w:ind w:left="16" w:right="135"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"10.1.3.3"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10.1.3.3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投标文件的签字均为签字人本人亲笔署名或签章（电子印章），其余部分的复印件无须另行签字、盖章。</w:t>
      </w:r>
    </w:p>
    <w:p w14:paraId="2DA037BE">
      <w:pPr>
        <w:keepNext w:val="0"/>
        <w:keepLines w:val="0"/>
        <w:pageBreakBefore w:val="0"/>
        <w:wordWrap w:val="0"/>
        <w:overflowPunct/>
        <w:topLinePunct w:val="0"/>
        <w:bidi w:val="0"/>
        <w:spacing w:before="155" w:line="360" w:lineRule="auto"/>
        <w:ind w:left="0" w:leftChars="0" w:firstLine="482" w:firstLineChars="200"/>
        <w:outlineLvl w:val="9"/>
        <w:rPr>
          <w:rFonts w:hint="eastAsia" w:ascii="宋体" w:hAnsi="宋体" w:eastAsia="宋体" w:cs="宋体"/>
          <w:b w:val="0"/>
          <w:bCs w:val="0"/>
          <w:color w:val="auto"/>
          <w:spacing w:val="0"/>
          <w:sz w:val="24"/>
          <w:szCs w:val="24"/>
          <w:highlight w:val="none"/>
        </w:rPr>
      </w:pPr>
      <w:bookmarkStart w:id="49" w:name="_Toc20223"/>
      <w:bookmarkStart w:id="50" w:name="_Toc21271"/>
      <w:r>
        <w:rPr>
          <w:rFonts w:hint="eastAsia" w:ascii="宋体" w:hAnsi="宋体" w:eastAsia="宋体" w:cs="宋体"/>
          <w:b/>
          <w:bCs/>
          <w:color w:val="auto"/>
          <w:spacing w:val="0"/>
          <w:sz w:val="24"/>
          <w:szCs w:val="24"/>
          <w:highlight w:val="none"/>
        </w:rPr>
        <w:t xml:space="preserve">10.1.3.4 </w:t>
      </w:r>
      <w:r>
        <w:rPr>
          <w:rFonts w:hint="eastAsia" w:ascii="宋体" w:hAnsi="宋体" w:eastAsia="宋体" w:cs="宋体"/>
          <w:color w:val="auto"/>
          <w:spacing w:val="0"/>
          <w:sz w:val="24"/>
          <w:szCs w:val="24"/>
          <w:highlight w:val="none"/>
        </w:rPr>
        <w:t>联合体投标的，除《联合体协议书》外，由联合体牵头人按以上要求签亲笔署名或签章（电子印章）即可。</w:t>
      </w:r>
    </w:p>
    <w:p w14:paraId="0C858C64">
      <w:pPr>
        <w:keepNext w:val="0"/>
        <w:keepLines w:val="0"/>
        <w:pageBreakBefore w:val="0"/>
        <w:wordWrap w:val="0"/>
        <w:overflowPunct/>
        <w:topLinePunct w:val="0"/>
        <w:bidi w:val="0"/>
        <w:spacing w:before="155" w:line="360" w:lineRule="auto"/>
        <w:ind w:left="500"/>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  </w:t>
      </w:r>
      <w:r>
        <w:rPr>
          <w:rFonts w:hint="eastAsia" w:ascii="宋体" w:hAnsi="宋体" w:eastAsia="宋体" w:cs="宋体"/>
          <w:color w:val="auto"/>
          <w:spacing w:val="0"/>
          <w:sz w:val="24"/>
          <w:szCs w:val="24"/>
          <w:highlight w:val="none"/>
        </w:rPr>
        <w:t>商务标书的编制要求</w:t>
      </w:r>
      <w:bookmarkEnd w:id="49"/>
      <w:bookmarkEnd w:id="50"/>
    </w:p>
    <w:p w14:paraId="0C2AF9BC">
      <w:pPr>
        <w:keepNext w:val="0"/>
        <w:keepLines w:val="0"/>
        <w:pageBreakBefore w:val="0"/>
        <w:wordWrap w:val="0"/>
        <w:overflowPunct/>
        <w:topLinePunct w:val="0"/>
        <w:bidi w:val="0"/>
        <w:spacing w:before="157" w:line="360" w:lineRule="auto"/>
        <w:ind w:left="58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商务标书包括但不限于以下内容：</w:t>
      </w:r>
    </w:p>
    <w:p w14:paraId="352E57AE">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76EADC31">
      <w:pPr>
        <w:keepNext w:val="0"/>
        <w:keepLines w:val="0"/>
        <w:pageBreakBefore w:val="0"/>
        <w:wordWrap w:val="0"/>
        <w:overflowPunct/>
        <w:topLinePunct w:val="0"/>
        <w:bidi w:val="0"/>
        <w:spacing w:before="153"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774FBD39">
      <w:pPr>
        <w:keepNext w:val="0"/>
        <w:keepLines w:val="0"/>
        <w:pageBreakBefore w:val="0"/>
        <w:wordWrap w:val="0"/>
        <w:overflowPunct/>
        <w:topLinePunct w:val="0"/>
        <w:bidi w:val="0"/>
        <w:spacing w:before="153"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（3）《投标函》（格式二）；</w:t>
      </w:r>
    </w:p>
    <w:p w14:paraId="720161C8">
      <w:pPr>
        <w:keepNext w:val="0"/>
        <w:keepLines w:val="0"/>
        <w:pageBreakBefore w:val="0"/>
        <w:wordWrap w:val="0"/>
        <w:overflowPunct/>
        <w:topLinePunct w:val="0"/>
        <w:bidi w:val="0"/>
        <w:spacing w:before="153"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（4）《各项承诺一览表》（格式三）；</w:t>
      </w:r>
    </w:p>
    <w:p w14:paraId="7094AFC2">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（5）《授权委托书》（格式四）；</w:t>
      </w:r>
    </w:p>
    <w:p w14:paraId="3AF70EF9">
      <w:pPr>
        <w:keepNext w:val="0"/>
        <w:keepLines w:val="0"/>
        <w:pageBreakBefore w:val="0"/>
        <w:wordWrap w:val="0"/>
        <w:overflowPunct/>
        <w:topLinePunct w:val="0"/>
        <w:bidi w:val="0"/>
        <w:spacing w:before="156"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（6）《法定代表人身份证明》（格式五）；</w:t>
      </w:r>
    </w:p>
    <w:p w14:paraId="2DB8A529">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（7）《联合体协议书》（格式六）及所附资料；</w:t>
      </w:r>
    </w:p>
    <w:p w14:paraId="6673BC70">
      <w:pPr>
        <w:keepNext w:val="0"/>
        <w:keepLines w:val="0"/>
        <w:pageBreakBefore w:val="0"/>
        <w:wordWrap w:val="0"/>
        <w:overflowPunct/>
        <w:topLinePunct w:val="0"/>
        <w:bidi w:val="0"/>
        <w:spacing w:before="153" w:line="360" w:lineRule="auto"/>
        <w:ind w:left="13" w:right="133"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color w:val="auto"/>
          <w:spacing w:val="0"/>
          <w:sz w:val="24"/>
          <w:szCs w:val="24"/>
          <w:highlight w:val="none"/>
        </w:rPr>
        <w:t>《韶关市公共资源交易一体化平台保证金缴纳信息》页面截图</w:t>
      </w:r>
      <w:r>
        <w:rPr>
          <w:rFonts w:hint="eastAsia" w:ascii="宋体" w:hAnsi="宋体" w:eastAsia="宋体" w:cs="宋体"/>
          <w:color w:val="auto"/>
          <w:spacing w:val="0"/>
          <w:sz w:val="24"/>
          <w:szCs w:val="24"/>
          <w:highlight w:val="none"/>
        </w:rPr>
        <w:t>）；</w:t>
      </w:r>
    </w:p>
    <w:p w14:paraId="36031B27">
      <w:pPr>
        <w:keepNext w:val="0"/>
        <w:keepLines w:val="0"/>
        <w:pageBreakBefore w:val="0"/>
        <w:wordWrap w:val="0"/>
        <w:overflowPunct/>
        <w:topLinePunct w:val="0"/>
        <w:bidi w:val="0"/>
        <w:spacing w:before="156"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（9）《投标人基本情况表》（格式七）及所附资料；</w:t>
      </w:r>
    </w:p>
    <w:p w14:paraId="2CE7262F">
      <w:pPr>
        <w:keepNext w:val="0"/>
        <w:keepLines w:val="0"/>
        <w:pageBreakBefore w:val="0"/>
        <w:wordWrap w:val="0"/>
        <w:overflowPunct/>
        <w:topLinePunct w:val="0"/>
        <w:bidi w:val="0"/>
        <w:spacing w:before="155"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（10）《项目经理简历表》（格式八）及所附资料；</w:t>
      </w:r>
    </w:p>
    <w:p w14:paraId="4BF4D313">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（11）《项目经理任职声明》（格式九）；</w:t>
      </w:r>
    </w:p>
    <w:p w14:paraId="6D95CC60">
      <w:pPr>
        <w:keepNext w:val="0"/>
        <w:keepLines w:val="0"/>
        <w:pageBreakBefore w:val="0"/>
        <w:wordWrap w:val="0"/>
        <w:overflowPunct/>
        <w:topLinePunct w:val="0"/>
        <w:bidi w:val="0"/>
        <w:spacing w:before="156"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（12）《项目技术负责人简历表》（格式十）及所附资料；</w:t>
      </w:r>
    </w:p>
    <w:p w14:paraId="0132BAD9">
      <w:pPr>
        <w:keepNext w:val="0"/>
        <w:keepLines w:val="0"/>
        <w:pageBreakBefore w:val="0"/>
        <w:wordWrap w:val="0"/>
        <w:overflowPunct/>
        <w:topLinePunct w:val="0"/>
        <w:bidi w:val="0"/>
        <w:spacing w:before="154"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（13）《项</w:t>
      </w:r>
      <w:bookmarkStart w:id="51" w:name="OLE_LINK7"/>
      <w:r>
        <w:rPr>
          <w:rFonts w:hint="eastAsia" w:ascii="宋体" w:hAnsi="宋体" w:eastAsia="宋体" w:cs="宋体"/>
          <w:color w:val="auto"/>
          <w:spacing w:val="0"/>
          <w:sz w:val="24"/>
          <w:szCs w:val="24"/>
          <w:highlight w:val="none"/>
        </w:rPr>
        <w:t>目管理机构组成表》（格式十一）及</w:t>
      </w:r>
      <w:bookmarkEnd w:id="51"/>
      <w:r>
        <w:rPr>
          <w:rFonts w:hint="eastAsia" w:ascii="宋体" w:hAnsi="宋体" w:eastAsia="宋体" w:cs="宋体"/>
          <w:color w:val="auto"/>
          <w:spacing w:val="0"/>
          <w:sz w:val="24"/>
          <w:szCs w:val="24"/>
          <w:highlight w:val="none"/>
        </w:rPr>
        <w:t>所附资料；</w:t>
      </w:r>
    </w:p>
    <w:p w14:paraId="6E0A04ED">
      <w:pPr>
        <w:keepNext w:val="0"/>
        <w:keepLines w:val="0"/>
        <w:pageBreakBefore w:val="0"/>
        <w:wordWrap w:val="0"/>
        <w:overflowPunct/>
        <w:topLinePunct w:val="0"/>
        <w:bidi w:val="0"/>
        <w:spacing w:before="155" w:line="360" w:lineRule="auto"/>
        <w:ind w:left="5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（14）本节第 </w:t>
      </w:r>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目“评标方法 ”要求提供的评审资料；</w:t>
      </w:r>
    </w:p>
    <w:p w14:paraId="03DF9A5F">
      <w:pPr>
        <w:keepNext w:val="0"/>
        <w:keepLines w:val="0"/>
        <w:pageBreakBefore w:val="0"/>
        <w:wordWrap w:val="0"/>
        <w:overflowPunct/>
        <w:topLinePunct w:val="0"/>
        <w:bidi w:val="0"/>
        <w:spacing w:before="78" w:line="360" w:lineRule="auto"/>
        <w:ind w:left="8" w:right="61"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（15）投标人认为有必要补充的其他资料。（例如投标人已经工商变更，但其企业资质证书、安全生产许可证或其员工执业资格注册证书上的企业名称未能在投标期间完成变更的书面说明和佐证材料等）</w:t>
      </w:r>
    </w:p>
    <w:p w14:paraId="29D2CA8C">
      <w:pPr>
        <w:keepNext w:val="0"/>
        <w:keepLines w:val="0"/>
        <w:pageBreakBefore w:val="0"/>
        <w:wordWrap w:val="0"/>
        <w:overflowPunct/>
        <w:topLinePunct w:val="0"/>
        <w:bidi w:val="0"/>
        <w:spacing w:before="155" w:line="360" w:lineRule="auto"/>
        <w:ind w:left="9" w:right="61"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10.2.1  </w:t>
      </w:r>
      <w:r>
        <w:rPr>
          <w:rFonts w:hint="eastAsia" w:ascii="宋体" w:hAnsi="宋体" w:eastAsia="宋体" w:cs="宋体"/>
          <w:color w:val="auto"/>
          <w:spacing w:val="0"/>
          <w:sz w:val="24"/>
          <w:szCs w:val="24"/>
          <w:highlight w:val="none"/>
        </w:rPr>
        <w:t>目中所列出的商务标书组成内容中，第（1）至第（13）项所有投标人均应提供，</w:t>
      </w:r>
      <w:r>
        <w:rPr>
          <w:rFonts w:hint="eastAsia" w:ascii="宋体" w:hAnsi="宋体" w:eastAsia="宋体" w:cs="宋体"/>
          <w:b/>
          <w:bCs/>
          <w:color w:val="auto"/>
          <w:spacing w:val="0"/>
          <w:sz w:val="24"/>
          <w:szCs w:val="24"/>
          <w:highlight w:val="none"/>
        </w:rPr>
        <w:t>但非联合体投标的，无需提供第（7）项内容。</w:t>
      </w:r>
    </w:p>
    <w:p w14:paraId="2F3F2186">
      <w:pPr>
        <w:keepNext w:val="0"/>
        <w:keepLines w:val="0"/>
        <w:pageBreakBefore w:val="0"/>
        <w:wordWrap w:val="0"/>
        <w:overflowPunct/>
        <w:topLinePunct w:val="0"/>
        <w:bidi w:val="0"/>
        <w:spacing w:before="199" w:line="360" w:lineRule="auto"/>
        <w:ind w:right="6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10.2.3 </w:t>
      </w:r>
      <w:r>
        <w:rPr>
          <w:rFonts w:hint="eastAsia" w:ascii="宋体" w:hAnsi="宋体" w:eastAsia="宋体" w:cs="宋体"/>
          <w:color w:val="auto"/>
          <w:spacing w:val="0"/>
          <w:sz w:val="24"/>
          <w:szCs w:val="24"/>
          <w:highlight w:val="none"/>
        </w:rPr>
        <w:t>商务标书的组成内容按本节第 10.2.1 目规定的顺序整理、编排后，逐页（页码起始从封面开始）连续标记页码。</w:t>
      </w:r>
    </w:p>
    <w:p w14:paraId="2120F2BD">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D4DCA8F">
      <w:pPr>
        <w:keepNext w:val="0"/>
        <w:keepLines w:val="0"/>
        <w:pageBreakBefore w:val="0"/>
        <w:wordWrap w:val="0"/>
        <w:overflowPunct/>
        <w:topLinePunct w:val="0"/>
        <w:bidi w:val="0"/>
        <w:spacing w:before="78" w:line="360" w:lineRule="auto"/>
        <w:ind w:left="496"/>
        <w:outlineLvl w:val="9"/>
        <w:rPr>
          <w:rFonts w:hint="eastAsia" w:ascii="宋体" w:hAnsi="宋体" w:eastAsia="宋体" w:cs="宋体"/>
          <w:color w:val="auto"/>
          <w:spacing w:val="0"/>
          <w:sz w:val="24"/>
          <w:szCs w:val="24"/>
          <w:highlight w:val="none"/>
        </w:rPr>
      </w:pPr>
      <w:bookmarkStart w:id="52" w:name="_Toc29370"/>
      <w:bookmarkStart w:id="53" w:name="_Toc10602"/>
      <w:r>
        <w:rPr>
          <w:rFonts w:hint="eastAsia" w:ascii="宋体" w:hAnsi="宋体" w:eastAsia="宋体" w:cs="宋体"/>
          <w:b/>
          <w:bCs/>
          <w:color w:val="auto"/>
          <w:spacing w:val="0"/>
          <w:sz w:val="24"/>
          <w:szCs w:val="24"/>
          <w:highlight w:val="none"/>
        </w:rPr>
        <w:t xml:space="preserve">10.3  </w:t>
      </w:r>
      <w:r>
        <w:rPr>
          <w:rFonts w:hint="eastAsia" w:ascii="宋体" w:hAnsi="宋体" w:eastAsia="宋体" w:cs="宋体"/>
          <w:color w:val="auto"/>
          <w:spacing w:val="0"/>
          <w:sz w:val="24"/>
          <w:szCs w:val="24"/>
          <w:highlight w:val="none"/>
        </w:rPr>
        <w:t>经济标书的编制要求</w:t>
      </w:r>
      <w:bookmarkEnd w:id="52"/>
      <w:bookmarkEnd w:id="53"/>
    </w:p>
    <w:p w14:paraId="1F78619A">
      <w:pPr>
        <w:keepNext w:val="0"/>
        <w:keepLines w:val="0"/>
        <w:pageBreakBefore w:val="0"/>
        <w:wordWrap w:val="0"/>
        <w:overflowPunct/>
        <w:topLinePunct w:val="0"/>
        <w:bidi w:val="0"/>
        <w:spacing w:before="154"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经济标书包括以下内容：</w:t>
      </w:r>
    </w:p>
    <w:p w14:paraId="57663477">
      <w:pPr>
        <w:keepNext w:val="0"/>
        <w:keepLines w:val="0"/>
        <w:pageBreakBefore w:val="0"/>
        <w:wordWrap w:val="0"/>
        <w:overflowPunct/>
        <w:topLinePunct w:val="0"/>
        <w:bidi w:val="0"/>
        <w:spacing w:before="156"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18A4AD47">
      <w:pPr>
        <w:keepNext w:val="0"/>
        <w:keepLines w:val="0"/>
        <w:pageBreakBefore w:val="0"/>
        <w:wordWrap w:val="0"/>
        <w:overflowPunct/>
        <w:topLinePunct w:val="0"/>
        <w:bidi w:val="0"/>
        <w:spacing w:before="153"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目录；</w:t>
      </w:r>
    </w:p>
    <w:p w14:paraId="74083071">
      <w:pPr>
        <w:keepNext w:val="0"/>
        <w:keepLines w:val="0"/>
        <w:pageBreakBefore w:val="0"/>
        <w:wordWrap w:val="0"/>
        <w:overflowPunct/>
        <w:topLinePunct w:val="0"/>
        <w:bidi w:val="0"/>
        <w:spacing w:before="150"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（3）《投标总价》；</w:t>
      </w:r>
    </w:p>
    <w:p w14:paraId="105877BB">
      <w:pPr>
        <w:keepNext w:val="0"/>
        <w:keepLines w:val="0"/>
        <w:pageBreakBefore w:val="0"/>
        <w:widowControl/>
        <w:kinsoku w:val="0"/>
        <w:wordWrap w:val="0"/>
        <w:overflowPunct/>
        <w:topLinePunct w:val="0"/>
        <w:autoSpaceDE w:val="0"/>
        <w:autoSpaceDN w:val="0"/>
        <w:bidi w:val="0"/>
        <w:adjustRightInd w:val="0"/>
        <w:snapToGrid w:val="0"/>
        <w:spacing w:before="155" w:line="360" w:lineRule="auto"/>
        <w:ind w:left="6"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说明：《投标总价》的格式按照《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）执行，并应满足以下要求：</w:t>
      </w:r>
    </w:p>
    <w:p w14:paraId="2569EC2C">
      <w:pPr>
        <w:keepNext w:val="0"/>
        <w:keepLines w:val="0"/>
        <w:pageBreakBefore w:val="0"/>
        <w:wordWrap w:val="0"/>
        <w:overflowPunct/>
        <w:topLinePunct w:val="0"/>
        <w:bidi w:val="0"/>
        <w:spacing w:before="150" w:line="360" w:lineRule="auto"/>
        <w:ind w:left="8"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．《投标总价扉页》后应附编制人的造价工程师注册证书彩色扫描件（须扫描至变更注册栏，</w:t>
      </w:r>
      <w:r>
        <w:rPr>
          <w:rFonts w:hint="eastAsia" w:ascii="宋体" w:hAnsi="宋体" w:eastAsia="宋体" w:cs="宋体"/>
          <w:b/>
          <w:bCs/>
          <w:color w:val="auto"/>
          <w:spacing w:val="0"/>
          <w:sz w:val="24"/>
          <w:szCs w:val="24"/>
          <w:highlight w:val="none"/>
        </w:rPr>
        <w:t>一级造价师或二级造价师均可提供电子证书</w:t>
      </w:r>
      <w:r>
        <w:rPr>
          <w:rFonts w:hint="eastAsia" w:ascii="宋体" w:hAnsi="宋体" w:eastAsia="宋体" w:cs="宋体"/>
          <w:color w:val="auto"/>
          <w:spacing w:val="0"/>
          <w:sz w:val="24"/>
          <w:szCs w:val="24"/>
          <w:highlight w:val="none"/>
        </w:rPr>
        <w:t>）；投标人委托造价咨询单位编制《投标总价》的，在该扉页“投标人”栏目加盖造价咨询人公章，并在该扉页后附造价咨询人的营业执照副本彩色扫描件。</w:t>
      </w:r>
    </w:p>
    <w:p w14:paraId="068BAFD3">
      <w:pPr>
        <w:keepNext w:val="0"/>
        <w:keepLines w:val="0"/>
        <w:pageBreakBefore w:val="0"/>
        <w:wordWrap w:val="0"/>
        <w:overflowPunct/>
        <w:topLinePunct w:val="0"/>
        <w:bidi w:val="0"/>
        <w:spacing w:before="119" w:line="360" w:lineRule="auto"/>
        <w:ind w:left="10" w:right="6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投标人认为有必要补充的其他资料（例如关于投标总价下浮率超过 15%的书面说明和佐证材料）。</w:t>
      </w:r>
    </w:p>
    <w:p w14:paraId="05D38EAE">
      <w:pPr>
        <w:keepNext w:val="0"/>
        <w:keepLines w:val="0"/>
        <w:pageBreakBefore w:val="0"/>
        <w:wordWrap w:val="0"/>
        <w:overflowPunct/>
        <w:topLinePunct w:val="0"/>
        <w:bidi w:val="0"/>
        <w:spacing w:before="99" w:line="360" w:lineRule="auto"/>
        <w:ind w:left="10" w:right="63"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10.3.2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10.3.1  </w:t>
      </w:r>
      <w:r>
        <w:rPr>
          <w:rFonts w:hint="eastAsia" w:ascii="宋体" w:hAnsi="宋体" w:eastAsia="宋体" w:cs="宋体"/>
          <w:color w:val="auto"/>
          <w:spacing w:val="0"/>
          <w:sz w:val="24"/>
          <w:szCs w:val="24"/>
          <w:highlight w:val="none"/>
        </w:rPr>
        <w:t>目中所列出的经济标书组成内容中，第（1）至第（3）项所有投标人均应提供。</w:t>
      </w:r>
    </w:p>
    <w:p w14:paraId="1592DD8B">
      <w:pPr>
        <w:keepNext w:val="0"/>
        <w:keepLines w:val="0"/>
        <w:pageBreakBefore w:val="0"/>
        <w:widowControl/>
        <w:kinsoku w:val="0"/>
        <w:wordWrap w:val="0"/>
        <w:overflowPunct/>
        <w:topLinePunct w:val="0"/>
        <w:autoSpaceDE w:val="0"/>
        <w:autoSpaceDN w:val="0"/>
        <w:bidi w:val="0"/>
        <w:adjustRightInd w:val="0"/>
        <w:snapToGrid w:val="0"/>
        <w:spacing w:before="155" w:line="360" w:lineRule="auto"/>
        <w:ind w:left="6" w:right="62"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10.3.3 </w:t>
      </w:r>
      <w:r>
        <w:rPr>
          <w:rFonts w:hint="eastAsia" w:ascii="宋体" w:hAnsi="宋体" w:eastAsia="宋体" w:cs="宋体"/>
          <w:color w:val="auto"/>
          <w:spacing w:val="0"/>
          <w:sz w:val="24"/>
          <w:szCs w:val="24"/>
          <w:highlight w:val="none"/>
        </w:rPr>
        <w:t>经济标书的组成内容按本节第 10.3.1 目规定的顺序整理、编排后，逐页（页码起始从封面开始）连续标记页码。</w:t>
      </w:r>
    </w:p>
    <w:p w14:paraId="3A6D334B">
      <w:pPr>
        <w:keepNext w:val="0"/>
        <w:keepLines w:val="0"/>
        <w:pageBreakBefore w:val="0"/>
        <w:wordWrap w:val="0"/>
        <w:overflowPunct/>
        <w:topLinePunct w:val="0"/>
        <w:bidi w:val="0"/>
        <w:spacing w:before="82" w:line="360" w:lineRule="auto"/>
        <w:ind w:left="496"/>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  </w:t>
      </w:r>
      <w:r>
        <w:rPr>
          <w:rFonts w:hint="eastAsia" w:ascii="宋体" w:hAnsi="宋体" w:eastAsia="宋体" w:cs="宋体"/>
          <w:color w:val="auto"/>
          <w:spacing w:val="0"/>
          <w:sz w:val="24"/>
          <w:szCs w:val="24"/>
          <w:highlight w:val="none"/>
        </w:rPr>
        <w:t>施工组织设计的编制要求</w:t>
      </w:r>
    </w:p>
    <w:p w14:paraId="7828F48B">
      <w:pPr>
        <w:keepNext w:val="0"/>
        <w:keepLines w:val="0"/>
        <w:pageBreakBefore w:val="0"/>
        <w:wordWrap w:val="0"/>
        <w:overflowPunct/>
        <w:topLinePunct w:val="0"/>
        <w:bidi w:val="0"/>
        <w:spacing w:before="151"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10.4.1 </w:t>
      </w:r>
      <w:r>
        <w:rPr>
          <w:rFonts w:hint="eastAsia" w:ascii="宋体" w:hAnsi="宋体" w:eastAsia="宋体" w:cs="宋体"/>
          <w:color w:val="auto"/>
          <w:spacing w:val="0"/>
          <w:sz w:val="24"/>
          <w:szCs w:val="24"/>
          <w:highlight w:val="none"/>
        </w:rPr>
        <w:t>施工组织设计的编制依据包括且不限于：</w:t>
      </w:r>
    </w:p>
    <w:p w14:paraId="69CA5D7C">
      <w:pPr>
        <w:keepNext w:val="0"/>
        <w:keepLines w:val="0"/>
        <w:pageBreakBefore w:val="0"/>
        <w:wordWrap w:val="0"/>
        <w:overflowPunct/>
        <w:topLinePunct w:val="0"/>
        <w:bidi w:val="0"/>
        <w:spacing w:before="156"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（1）招标文件及其答疑（或修改）公告；</w:t>
      </w:r>
    </w:p>
    <w:p w14:paraId="3D9B573B">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（2）施工图及相关资料；</w:t>
      </w:r>
    </w:p>
    <w:p w14:paraId="56E6D366">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（3）施工现场情况、工程特点；</w:t>
      </w:r>
    </w:p>
    <w:p w14:paraId="3FE9ED6F">
      <w:pPr>
        <w:keepNext w:val="0"/>
        <w:keepLines w:val="0"/>
        <w:pageBreakBefore w:val="0"/>
        <w:wordWrap w:val="0"/>
        <w:overflowPunct/>
        <w:topLinePunct w:val="0"/>
        <w:bidi w:val="0"/>
        <w:spacing w:before="78"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（4）相关法律、法规、规定；</w:t>
      </w:r>
    </w:p>
    <w:p w14:paraId="059FD045">
      <w:pPr>
        <w:keepNext w:val="0"/>
        <w:keepLines w:val="0"/>
        <w:pageBreakBefore w:val="0"/>
        <w:wordWrap w:val="0"/>
        <w:overflowPunct/>
        <w:topLinePunct w:val="0"/>
        <w:bidi w:val="0"/>
        <w:spacing w:before="153" w:line="360" w:lineRule="auto"/>
        <w:ind w:left="10" w:right="21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50B2B5BD">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（6）企业内部标准、工法。</w:t>
      </w:r>
    </w:p>
    <w:p w14:paraId="6608343E">
      <w:pPr>
        <w:keepNext w:val="0"/>
        <w:keepLines w:val="0"/>
        <w:pageBreakBefore w:val="0"/>
        <w:wordWrap w:val="0"/>
        <w:overflowPunct/>
        <w:topLinePunct w:val="0"/>
        <w:bidi w:val="0"/>
        <w:spacing w:before="153"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施工组织设计包括但不限于以下内容：</w:t>
      </w:r>
    </w:p>
    <w:p w14:paraId="11AC19C5">
      <w:pPr>
        <w:keepNext w:val="0"/>
        <w:keepLines w:val="0"/>
        <w:pageBreakBefore w:val="0"/>
        <w:wordWrap w:val="0"/>
        <w:overflowPunct/>
        <w:topLinePunct w:val="0"/>
        <w:bidi w:val="0"/>
        <w:spacing w:before="153"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（1）封面（格式一）；</w:t>
      </w:r>
    </w:p>
    <w:p w14:paraId="0D89566C">
      <w:pPr>
        <w:keepNext w:val="0"/>
        <w:keepLines w:val="0"/>
        <w:pageBreakBefore w:val="0"/>
        <w:wordWrap w:val="0"/>
        <w:overflowPunct/>
        <w:topLinePunct w:val="0"/>
        <w:bidi w:val="0"/>
        <w:spacing w:before="156"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（2）目录；</w:t>
      </w:r>
    </w:p>
    <w:p w14:paraId="42EF60D6">
      <w:pPr>
        <w:keepNext w:val="0"/>
        <w:keepLines w:val="0"/>
        <w:pageBreakBefore w:val="0"/>
        <w:wordWrap w:val="0"/>
        <w:overflowPunct/>
        <w:topLinePunct w:val="0"/>
        <w:bidi w:val="0"/>
        <w:spacing w:before="150"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（3）总体概述（包括施工程序总体设想及施工段划分等内容）；</w:t>
      </w:r>
    </w:p>
    <w:p w14:paraId="2188CD8A">
      <w:pPr>
        <w:keepNext w:val="0"/>
        <w:keepLines w:val="0"/>
        <w:pageBreakBefore w:val="0"/>
        <w:wordWrap w:val="0"/>
        <w:overflowPunct/>
        <w:topLinePunct w:val="0"/>
        <w:bidi w:val="0"/>
        <w:spacing w:before="154" w:line="360" w:lineRule="auto"/>
        <w:ind w:left="9" w:right="21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（4）施工总进度计划及保证措施（包括进度管理目标；以横道图或标明关键线路的网络进度计划；保障进度计划需要的人、材、机需求计划及保证措施；违约责任承诺等内容）；</w:t>
      </w:r>
    </w:p>
    <w:p w14:paraId="1FC69F82">
      <w:pPr>
        <w:keepNext w:val="0"/>
        <w:keepLines w:val="0"/>
        <w:pageBreakBefore w:val="0"/>
        <w:wordWrap w:val="0"/>
        <w:overflowPunct/>
        <w:topLinePunct w:val="0"/>
        <w:bidi w:val="0"/>
        <w:spacing w:before="153"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（5）质量保证措施（包括质量管理目标；相应保证措施；违约责任承诺等内容</w:t>
      </w:r>
      <w:r>
        <w:rPr>
          <w:rFonts w:hint="eastAsia" w:ascii="宋体" w:hAnsi="宋体" w:eastAsia="宋体" w:cs="宋体"/>
          <w:color w:val="auto"/>
          <w:spacing w:val="0"/>
          <w:w w:val="97"/>
          <w:sz w:val="24"/>
          <w:szCs w:val="24"/>
          <w:highlight w:val="none"/>
        </w:rPr>
        <w:t>）；</w:t>
      </w:r>
    </w:p>
    <w:p w14:paraId="69700B99">
      <w:pPr>
        <w:keepNext w:val="0"/>
        <w:keepLines w:val="0"/>
        <w:pageBreakBefore w:val="0"/>
        <w:widowControl/>
        <w:kinsoku w:val="0"/>
        <w:wordWrap w:val="0"/>
        <w:overflowPunct/>
        <w:topLinePunct w:val="0"/>
        <w:autoSpaceDE w:val="0"/>
        <w:autoSpaceDN w:val="0"/>
        <w:bidi w:val="0"/>
        <w:adjustRightInd w:val="0"/>
        <w:snapToGrid w:val="0"/>
        <w:spacing w:before="156" w:line="360" w:lineRule="auto"/>
        <w:ind w:left="11" w:right="210"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（6）施工技术措施（包括关键施工技术、工艺及工程项目实施的重点、难点分析和解决方案；新技术应用与承诺等内容）；</w:t>
      </w:r>
    </w:p>
    <w:p w14:paraId="4D11B874">
      <w:pPr>
        <w:keepNext w:val="0"/>
        <w:keepLines w:val="0"/>
        <w:pageBreakBefore w:val="0"/>
        <w:wordWrap w:val="0"/>
        <w:overflowPunct/>
        <w:topLinePunct w:val="0"/>
        <w:bidi w:val="0"/>
        <w:spacing w:before="118" w:line="360"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（7）绿色施工、安全防护、文明施工措施计划(应对建设单位组织的勘察设计等单位在施工招标文件中列出的危大工程清单(详见格式十三)进行投标文件回应，如有)；</w:t>
      </w:r>
    </w:p>
    <w:p w14:paraId="00EDD96D">
      <w:pPr>
        <w:keepNext w:val="0"/>
        <w:keepLines w:val="0"/>
        <w:pageBreakBefore w:val="0"/>
        <w:wordWrap w:val="0"/>
        <w:overflowPunct/>
        <w:topLinePunct w:val="0"/>
        <w:bidi w:val="0"/>
        <w:spacing w:before="118" w:line="360" w:lineRule="auto"/>
        <w:ind w:left="11" w:right="31"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（8）施工现场总平面布置（</w:t>
      </w:r>
      <w:bookmarkStart w:id="54" w:name="OLE_LINK8"/>
      <w:r>
        <w:rPr>
          <w:rFonts w:hint="eastAsia" w:ascii="宋体" w:hAnsi="宋体" w:eastAsia="宋体" w:cs="宋体"/>
          <w:color w:val="auto"/>
          <w:spacing w:val="0"/>
          <w:sz w:val="24"/>
          <w:szCs w:val="24"/>
          <w:highlight w:val="none"/>
        </w:rPr>
        <w:t>投标人应递交一份施工现场总平面布置图，绘出现场临时设施布置图表并附文字说明，说明临时设施、加工车间、现场办公、设备及仓储、供电、供水、卫生、生活、道路、消防等设施的情况和布置</w:t>
      </w:r>
      <w:bookmarkEnd w:id="54"/>
      <w:r>
        <w:rPr>
          <w:rFonts w:hint="eastAsia" w:ascii="宋体" w:hAnsi="宋体" w:eastAsia="宋体" w:cs="宋体"/>
          <w:color w:val="auto"/>
          <w:spacing w:val="0"/>
          <w:sz w:val="24"/>
          <w:szCs w:val="24"/>
          <w:highlight w:val="none"/>
        </w:rPr>
        <w:t>）；</w:t>
      </w:r>
    </w:p>
    <w:p w14:paraId="523DCF6A">
      <w:pPr>
        <w:keepNext w:val="0"/>
        <w:keepLines w:val="0"/>
        <w:pageBreakBefore w:val="0"/>
        <w:wordWrap w:val="0"/>
        <w:overflowPunct/>
        <w:topLinePunct w:val="0"/>
        <w:bidi w:val="0"/>
        <w:spacing w:before="155"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（9）项目管理机构。</w:t>
      </w:r>
    </w:p>
    <w:p w14:paraId="16991E29">
      <w:pPr>
        <w:keepNext w:val="0"/>
        <w:keepLines w:val="0"/>
        <w:pageBreakBefore w:val="0"/>
        <w:wordWrap w:val="0"/>
        <w:overflowPunct/>
        <w:topLinePunct w:val="0"/>
        <w:bidi w:val="0"/>
        <w:spacing w:before="154" w:line="360" w:lineRule="auto"/>
        <w:ind w:right="21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（10）投标人认为有必要补充的其他内容（例如对总包管理的认识以及对专业分包工程的管理、协调、配合、服务方案）。</w:t>
      </w:r>
    </w:p>
    <w:p w14:paraId="5EA512C0">
      <w:pPr>
        <w:keepNext w:val="0"/>
        <w:keepLines w:val="0"/>
        <w:pageBreakBefore w:val="0"/>
        <w:wordWrap w:val="0"/>
        <w:overflowPunct/>
        <w:topLinePunct w:val="0"/>
        <w:bidi w:val="0"/>
        <w:spacing w:before="152" w:line="360" w:lineRule="auto"/>
        <w:ind w:right="196"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10.4.3  </w:t>
      </w:r>
      <w:r>
        <w:rPr>
          <w:rFonts w:hint="eastAsia" w:ascii="宋体" w:hAnsi="宋体" w:eastAsia="宋体" w:cs="宋体"/>
          <w:color w:val="auto"/>
          <w:spacing w:val="0"/>
          <w:sz w:val="24"/>
          <w:szCs w:val="24"/>
          <w:highlight w:val="none"/>
        </w:rPr>
        <w:t xml:space="preserve">本节第 </w:t>
      </w:r>
      <w:r>
        <w:rPr>
          <w:rFonts w:hint="eastAsia" w:ascii="宋体" w:hAnsi="宋体" w:eastAsia="宋体" w:cs="宋体"/>
          <w:b/>
          <w:bCs/>
          <w:color w:val="auto"/>
          <w:spacing w:val="0"/>
          <w:sz w:val="24"/>
          <w:szCs w:val="24"/>
          <w:highlight w:val="none"/>
        </w:rPr>
        <w:t xml:space="preserve">10.4.2  </w:t>
      </w:r>
      <w:r>
        <w:rPr>
          <w:rFonts w:hint="eastAsia" w:ascii="宋体" w:hAnsi="宋体" w:eastAsia="宋体" w:cs="宋体"/>
          <w:color w:val="auto"/>
          <w:spacing w:val="0"/>
          <w:sz w:val="24"/>
          <w:szCs w:val="24"/>
          <w:highlight w:val="none"/>
        </w:rPr>
        <w:t>目中所列出的施工组织设计组成内容中，第（1）至第（9）项所有投标人均应提供。</w:t>
      </w:r>
    </w:p>
    <w:p w14:paraId="6B854B9F">
      <w:pPr>
        <w:keepNext w:val="0"/>
        <w:keepLines w:val="0"/>
        <w:pageBreakBefore w:val="0"/>
        <w:wordWrap w:val="0"/>
        <w:overflowPunct/>
        <w:topLinePunct w:val="0"/>
        <w:bidi w:val="0"/>
        <w:spacing w:before="157" w:line="360" w:lineRule="auto"/>
        <w:ind w:right="211"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10.4.4 </w:t>
      </w:r>
      <w:r>
        <w:rPr>
          <w:rFonts w:hint="eastAsia" w:ascii="宋体" w:hAnsi="宋体" w:eastAsia="宋体" w:cs="宋体"/>
          <w:color w:val="auto"/>
          <w:spacing w:val="0"/>
          <w:sz w:val="24"/>
          <w:szCs w:val="24"/>
          <w:highlight w:val="none"/>
        </w:rPr>
        <w:t>施工组织设计的组成内容按本节第 10.4.2 目规定的顺序整理、编排后，逐页（页码起始从封面开始）连续标记页码。</w:t>
      </w:r>
    </w:p>
    <w:p w14:paraId="7DA830C4">
      <w:pPr>
        <w:keepNext w:val="0"/>
        <w:keepLines w:val="0"/>
        <w:pageBreakBefore w:val="0"/>
        <w:wordWrap w:val="0"/>
        <w:overflowPunct/>
        <w:topLinePunct w:val="0"/>
        <w:bidi w:val="0"/>
        <w:spacing w:line="360" w:lineRule="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 xml:space="preserve">    </w:t>
      </w:r>
      <w:r>
        <w:rPr>
          <w:rFonts w:hint="eastAsia" w:ascii="宋体" w:hAnsi="宋体" w:eastAsia="宋体" w:cs="宋体"/>
          <w:b/>
          <w:bCs/>
          <w:color w:val="auto"/>
          <w:spacing w:val="0"/>
          <w:sz w:val="24"/>
          <w:szCs w:val="24"/>
          <w:highlight w:val="none"/>
        </w:rPr>
        <w:t>10.4.5</w:t>
      </w:r>
      <w:bookmarkStart w:id="55" w:name="OLE_LINK9"/>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施工组织设计的正文不得超过</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150</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页</w:t>
      </w:r>
      <w:r>
        <w:rPr>
          <w:rFonts w:hint="eastAsia" w:ascii="宋体" w:hAnsi="宋体" w:eastAsia="宋体" w:cs="宋体"/>
          <w:color w:val="auto"/>
          <w:spacing w:val="0"/>
          <w:sz w:val="24"/>
          <w:szCs w:val="24"/>
          <w:highlight w:val="none"/>
          <w:lang w:eastAsia="zh-CN"/>
        </w:rPr>
        <w:t>。</w:t>
      </w:r>
      <w:bookmarkEnd w:id="55"/>
      <w:bookmarkStart w:id="56" w:name="bookmark121"/>
      <w:bookmarkEnd w:id="56"/>
    </w:p>
    <w:p w14:paraId="756D668B">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both"/>
        <w:textAlignment w:val="baseline"/>
        <w:outlineLvl w:val="9"/>
        <w:rPr>
          <w:rFonts w:hint="eastAsia" w:ascii="宋体" w:hAnsi="宋体" w:eastAsia="宋体" w:cs="宋体"/>
          <w:b/>
          <w:bCs/>
          <w:snapToGrid w:val="0"/>
          <w:color w:val="auto"/>
          <w:kern w:val="0"/>
          <w:sz w:val="24"/>
          <w:szCs w:val="24"/>
          <w:highlight w:val="none"/>
          <w:lang w:val="en-US" w:eastAsia="zh-CN"/>
        </w:rPr>
      </w:pPr>
      <w:bookmarkStart w:id="57" w:name="_Toc21936"/>
      <w:r>
        <w:rPr>
          <w:rFonts w:hint="eastAsia" w:ascii="宋体" w:hAnsi="宋体" w:eastAsia="宋体" w:cs="宋体"/>
          <w:b/>
          <w:bCs/>
          <w:snapToGrid w:val="0"/>
          <w:color w:val="auto"/>
          <w:kern w:val="0"/>
          <w:sz w:val="24"/>
          <w:szCs w:val="24"/>
          <w:highlight w:val="none"/>
          <w:lang w:val="en-US" w:eastAsia="zh-CN"/>
        </w:rPr>
        <w:t>10.5定标文件的编制要求：</w:t>
      </w:r>
    </w:p>
    <w:p w14:paraId="419DC743">
      <w:pPr>
        <w:keepNext w:val="0"/>
        <w:keepLines w:val="0"/>
        <w:pageBreakBefore w:val="0"/>
        <w:wordWrap w:val="0"/>
        <w:overflowPunct/>
        <w:topLinePunct w:val="0"/>
        <w:bidi w:val="0"/>
        <w:spacing w:before="152" w:line="360" w:lineRule="auto"/>
        <w:ind w:right="196"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1</w:t>
      </w:r>
      <w:r>
        <w:rPr>
          <w:rFonts w:hint="eastAsia" w:ascii="宋体" w:hAnsi="宋体" w:eastAsia="宋体" w:cs="宋体"/>
          <w:color w:val="auto"/>
          <w:spacing w:val="0"/>
          <w:sz w:val="24"/>
          <w:szCs w:val="24"/>
          <w:highlight w:val="none"/>
          <w:lang w:val="en-US" w:eastAsia="zh-CN"/>
        </w:rPr>
        <w:t>0.5</w:t>
      </w:r>
      <w:r>
        <w:rPr>
          <w:rFonts w:hint="eastAsia" w:ascii="宋体" w:hAnsi="宋体" w:eastAsia="宋体" w:cs="宋体"/>
          <w:color w:val="auto"/>
          <w:spacing w:val="0"/>
          <w:sz w:val="24"/>
          <w:szCs w:val="24"/>
          <w:highlight w:val="none"/>
          <w:lang w:eastAsia="zh-CN"/>
        </w:rPr>
        <w:t xml:space="preserve">.1 </w:t>
      </w:r>
      <w:r>
        <w:rPr>
          <w:rFonts w:hint="eastAsia" w:ascii="宋体" w:hAnsi="宋体" w:eastAsia="宋体" w:cs="宋体"/>
          <w:color w:val="auto"/>
          <w:spacing w:val="0"/>
          <w:sz w:val="24"/>
          <w:szCs w:val="24"/>
          <w:highlight w:val="none"/>
          <w:lang w:val="en-US" w:eastAsia="zh-CN"/>
        </w:rPr>
        <w:t>定标文件</w:t>
      </w:r>
      <w:r>
        <w:rPr>
          <w:rFonts w:hint="eastAsia" w:ascii="宋体" w:hAnsi="宋体" w:eastAsia="宋体" w:cs="宋体"/>
          <w:color w:val="auto"/>
          <w:spacing w:val="0"/>
          <w:sz w:val="24"/>
          <w:szCs w:val="24"/>
          <w:highlight w:val="none"/>
          <w:lang w:eastAsia="zh-CN"/>
        </w:rPr>
        <w:t>包括以下内容：</w:t>
      </w:r>
    </w:p>
    <w:p w14:paraId="4AEDAF61">
      <w:pPr>
        <w:keepNext w:val="0"/>
        <w:keepLines w:val="0"/>
        <w:pageBreakBefore w:val="0"/>
        <w:wordWrap w:val="0"/>
        <w:overflowPunct/>
        <w:topLinePunct w:val="0"/>
        <w:bidi w:val="0"/>
        <w:spacing w:before="152" w:line="360" w:lineRule="auto"/>
        <w:ind w:right="196"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lang w:val="en-US" w:eastAsia="zh-CN"/>
        </w:rPr>
        <w:t>（1）封面（格式一）</w:t>
      </w:r>
    </w:p>
    <w:p w14:paraId="10A248F8">
      <w:pPr>
        <w:keepNext w:val="0"/>
        <w:keepLines w:val="0"/>
        <w:pageBreakBefore w:val="0"/>
        <w:wordWrap w:val="0"/>
        <w:overflowPunct/>
        <w:topLinePunct w:val="0"/>
        <w:bidi w:val="0"/>
        <w:spacing w:before="152" w:line="360" w:lineRule="auto"/>
        <w:ind w:right="196"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 定标因素评审资料（格式十六）</w:t>
      </w:r>
    </w:p>
    <w:p w14:paraId="3F8F4FAD">
      <w:pPr>
        <w:keepNext w:val="0"/>
        <w:keepLines w:val="0"/>
        <w:pageBreakBefore w:val="0"/>
        <w:wordWrap w:val="0"/>
        <w:overflowPunct/>
        <w:topLinePunct w:val="0"/>
        <w:bidi w:val="0"/>
        <w:spacing w:before="78" w:line="360" w:lineRule="auto"/>
        <w:ind w:left="496"/>
        <w:outlineLvl w:val="9"/>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lang w:eastAsia="zh-CN"/>
        </w:rPr>
        <w:t>1</w:t>
      </w:r>
      <w:r>
        <w:rPr>
          <w:rFonts w:hint="eastAsia" w:ascii="宋体" w:hAnsi="宋体" w:eastAsia="宋体" w:cs="宋体"/>
          <w:color w:val="auto"/>
          <w:spacing w:val="0"/>
          <w:sz w:val="24"/>
          <w:szCs w:val="24"/>
          <w:highlight w:val="none"/>
          <w:lang w:val="en-US" w:eastAsia="zh-CN"/>
        </w:rPr>
        <w:t>0.5</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 xml:space="preserve"> 本节第1</w:t>
      </w:r>
      <w:r>
        <w:rPr>
          <w:rFonts w:hint="eastAsia" w:ascii="宋体" w:hAnsi="宋体" w:eastAsia="宋体" w:cs="宋体"/>
          <w:color w:val="auto"/>
          <w:spacing w:val="0"/>
          <w:sz w:val="24"/>
          <w:szCs w:val="24"/>
          <w:highlight w:val="none"/>
          <w:lang w:val="en-US" w:eastAsia="zh-CN"/>
        </w:rPr>
        <w:t>0.5</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目中所列出的组成内容中，第（1）</w:t>
      </w:r>
      <w:r>
        <w:rPr>
          <w:rFonts w:hint="eastAsia" w:ascii="宋体" w:hAnsi="宋体" w:eastAsia="宋体" w:cs="宋体"/>
          <w:color w:val="auto"/>
          <w:spacing w:val="0"/>
          <w:sz w:val="24"/>
          <w:szCs w:val="24"/>
          <w:highlight w:val="none"/>
          <w:lang w:val="en-US" w:eastAsia="zh-CN"/>
        </w:rPr>
        <w:t>至第（2）</w:t>
      </w:r>
      <w:r>
        <w:rPr>
          <w:rFonts w:hint="eastAsia" w:ascii="宋体" w:hAnsi="宋体" w:eastAsia="宋体" w:cs="宋体"/>
          <w:color w:val="auto"/>
          <w:spacing w:val="0"/>
          <w:sz w:val="24"/>
          <w:szCs w:val="24"/>
          <w:highlight w:val="none"/>
          <w:lang w:eastAsia="zh-CN"/>
        </w:rPr>
        <w:t>项所有投标人均应提供。</w:t>
      </w:r>
    </w:p>
    <w:p w14:paraId="334D0149">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sz w:val="24"/>
          <w:szCs w:val="24"/>
          <w:highlight w:val="none"/>
        </w:rPr>
      </w:pPr>
      <w:bookmarkStart w:id="58" w:name="_Toc32246"/>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电子投标：</w:t>
      </w:r>
      <w:bookmarkEnd w:id="57"/>
      <w:bookmarkEnd w:id="58"/>
    </w:p>
    <w:p w14:paraId="2928C8B1">
      <w:pPr>
        <w:keepNext w:val="0"/>
        <w:keepLines w:val="0"/>
        <w:pageBreakBefore w:val="0"/>
        <w:wordWrap w:val="0"/>
        <w:overflowPunct/>
        <w:topLinePunct w:val="0"/>
        <w:bidi w:val="0"/>
        <w:spacing w:before="112" w:line="360" w:lineRule="auto"/>
        <w:ind w:left="10"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在建设工程交易系统上传加盖了电子印章的投标文件、录入相关信息及标书页码信息，</w:t>
      </w:r>
      <w:r>
        <w:rPr>
          <w:rFonts w:hint="eastAsia" w:ascii="宋体" w:hAnsi="宋体" w:eastAsia="宋体" w:cs="宋体"/>
          <w:b/>
          <w:bCs/>
          <w:color w:val="auto"/>
          <w:spacing w:val="0"/>
          <w:sz w:val="24"/>
          <w:szCs w:val="24"/>
          <w:highlight w:val="none"/>
        </w:rPr>
        <w:t>（页码起始从封面开始）</w:t>
      </w:r>
      <w:r>
        <w:rPr>
          <w:rFonts w:hint="eastAsia" w:ascii="宋体" w:hAnsi="宋体" w:eastAsia="宋体" w:cs="宋体"/>
          <w:color w:val="auto"/>
          <w:spacing w:val="0"/>
          <w:sz w:val="24"/>
          <w:szCs w:val="24"/>
          <w:highlight w:val="none"/>
        </w:rPr>
        <w:t>并提交投标标书。提交标书为已加密投标文件。具体操作参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1973AD4">
      <w:pPr>
        <w:keepNext w:val="0"/>
        <w:keepLines w:val="0"/>
        <w:pageBreakBefore w:val="0"/>
        <w:wordWrap w:val="0"/>
        <w:overflowPunct/>
        <w:topLinePunct w:val="0"/>
        <w:bidi w:val="0"/>
        <w:spacing w:before="115" w:line="360" w:lineRule="auto"/>
        <w:ind w:left="10" w:right="81"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5B82554">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before="78" w:line="360" w:lineRule="auto"/>
        <w:ind w:firstLine="482" w:firstLineChars="200"/>
        <w:textAlignment w:val="baseline"/>
        <w:outlineLvl w:val="2"/>
        <w:rPr>
          <w:rFonts w:hint="eastAsia" w:ascii="宋体" w:hAnsi="宋体" w:eastAsia="宋体" w:cs="宋体"/>
          <w:b/>
          <w:bCs/>
          <w:color w:val="auto"/>
          <w:spacing w:val="0"/>
          <w:sz w:val="24"/>
          <w:szCs w:val="24"/>
          <w:highlight w:val="none"/>
        </w:rPr>
      </w:pPr>
      <w:bookmarkStart w:id="59" w:name="_Toc28315"/>
      <w:r>
        <w:rPr>
          <w:rFonts w:hint="eastAsia" w:ascii="宋体" w:hAnsi="宋体" w:eastAsia="宋体" w:cs="宋体"/>
          <w:b/>
          <w:bCs/>
          <w:color w:val="auto"/>
          <w:spacing w:val="0"/>
          <w:sz w:val="24"/>
          <w:szCs w:val="24"/>
          <w:highlight w:val="none"/>
          <w:lang w:val="en-US" w:eastAsia="zh-CN"/>
        </w:rPr>
        <w:t>12.</w:t>
      </w:r>
      <w:r>
        <w:rPr>
          <w:rFonts w:hint="eastAsia" w:ascii="宋体" w:hAnsi="宋体" w:eastAsia="宋体" w:cs="宋体"/>
          <w:b/>
          <w:bCs/>
          <w:color w:val="auto"/>
          <w:spacing w:val="0"/>
          <w:w w:val="101"/>
          <w:sz w:val="24"/>
          <w:szCs w:val="24"/>
          <w:highlight w:val="none"/>
        </w:rPr>
        <w:t xml:space="preserve"> </w:t>
      </w:r>
      <w:bookmarkStart w:id="60" w:name="_Toc29834"/>
      <w:r>
        <w:rPr>
          <w:rFonts w:hint="eastAsia" w:ascii="宋体" w:hAnsi="宋体" w:eastAsia="宋体" w:cs="宋体"/>
          <w:b/>
          <w:bCs/>
          <w:color w:val="auto"/>
          <w:spacing w:val="0"/>
          <w:sz w:val="24"/>
          <w:szCs w:val="24"/>
          <w:highlight w:val="none"/>
        </w:rPr>
        <w:t>电子投标及投标解密失败及突发情况的补救方案</w:t>
      </w:r>
      <w:bookmarkEnd w:id="59"/>
      <w:bookmarkEnd w:id="60"/>
    </w:p>
    <w:p w14:paraId="656A950F">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12.1 </w:t>
      </w:r>
      <w:r>
        <w:rPr>
          <w:rFonts w:hint="eastAsia" w:ascii="宋体" w:hAnsi="宋体" w:eastAsia="宋体" w:cs="宋体"/>
          <w:color w:val="auto"/>
          <w:spacing w:val="0"/>
          <w:sz w:val="24"/>
          <w:szCs w:val="24"/>
          <w:highlight w:val="none"/>
        </w:rPr>
        <w:t>按照交易平台关于全流程电子化项目的相关指南进行操作。详见：全国公共资源交易平台（广东省 ·韶关市）（https://ygp.gdzwfw.gov.cn/ggzy-portal/#/440200/index）服务指南栏目发布的最新版操作指引。</w:t>
      </w:r>
    </w:p>
    <w:p w14:paraId="3E34A594">
      <w:pPr>
        <w:keepNext w:val="0"/>
        <w:keepLines w:val="0"/>
        <w:pageBreakBefore w:val="0"/>
        <w:widowControl/>
        <w:kinsoku w:val="0"/>
        <w:wordWrap w:val="0"/>
        <w:overflowPunct/>
        <w:topLinePunct w:val="0"/>
        <w:autoSpaceDE w:val="0"/>
        <w:autoSpaceDN w:val="0"/>
        <w:bidi w:val="0"/>
        <w:adjustRightInd w:val="0"/>
        <w:snapToGrid w:val="0"/>
        <w:spacing w:before="113" w:line="360" w:lineRule="auto"/>
        <w:ind w:left="49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  </w:t>
      </w:r>
      <w:r>
        <w:rPr>
          <w:rFonts w:hint="eastAsia" w:ascii="宋体" w:hAnsi="宋体" w:eastAsia="宋体" w:cs="宋体"/>
          <w:color w:val="auto"/>
          <w:spacing w:val="0"/>
          <w:sz w:val="24"/>
          <w:szCs w:val="24"/>
          <w:highlight w:val="none"/>
        </w:rPr>
        <w:t>补救方案：</w:t>
      </w:r>
    </w:p>
    <w:p w14:paraId="7A5C0062">
      <w:pPr>
        <w:keepNext w:val="0"/>
        <w:keepLines w:val="0"/>
        <w:pageBreakBefore w:val="0"/>
        <w:wordWrap w:val="0"/>
        <w:overflowPunct/>
        <w:topLinePunct w:val="0"/>
        <w:bidi w:val="0"/>
        <w:spacing w:before="115"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12.2.1  </w:t>
      </w:r>
      <w:r>
        <w:rPr>
          <w:rFonts w:hint="eastAsia" w:ascii="宋体" w:hAnsi="宋体" w:eastAsia="宋体" w:cs="宋体"/>
          <w:color w:val="auto"/>
          <w:spacing w:val="0"/>
          <w:sz w:val="24"/>
          <w:szCs w:val="24"/>
          <w:highlight w:val="none"/>
        </w:rPr>
        <w:t>投标文件解密失败的补救方案：</w:t>
      </w:r>
    </w:p>
    <w:p w14:paraId="2D1DE68F">
      <w:pPr>
        <w:keepNext w:val="0"/>
        <w:keepLines w:val="0"/>
        <w:pageBreakBefore w:val="0"/>
        <w:wordWrap w:val="0"/>
        <w:overflowPunct/>
        <w:topLinePunct w:val="0"/>
        <w:bidi w:val="0"/>
        <w:spacing w:before="115" w:line="360"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 30 分钟内）内</w:t>
      </w:r>
      <w:bookmarkStart w:id="61" w:name="bookmark122"/>
      <w:bookmarkEnd w:id="61"/>
      <w:r>
        <w:rPr>
          <w:rFonts w:hint="eastAsia" w:ascii="宋体" w:hAnsi="宋体" w:eastAsia="宋体" w:cs="宋体"/>
          <w:color w:val="auto"/>
          <w:spacing w:val="0"/>
          <w:sz w:val="24"/>
          <w:szCs w:val="24"/>
          <w:highlight w:val="none"/>
        </w:rPr>
        <w:t>重新提交投标文件继续开标程序。</w:t>
      </w:r>
    </w:p>
    <w:p w14:paraId="0F175F6A">
      <w:pPr>
        <w:keepNext w:val="0"/>
        <w:keepLines w:val="0"/>
        <w:pageBreakBefore w:val="0"/>
        <w:wordWrap w:val="0"/>
        <w:overflowPunct/>
        <w:topLinePunct w:val="0"/>
        <w:bidi w:val="0"/>
        <w:spacing w:before="114"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12.2.2  </w:t>
      </w:r>
      <w:r>
        <w:rPr>
          <w:rFonts w:hint="eastAsia" w:ascii="宋体" w:hAnsi="宋体" w:eastAsia="宋体" w:cs="宋体"/>
          <w:color w:val="auto"/>
          <w:spacing w:val="0"/>
          <w:sz w:val="24"/>
          <w:szCs w:val="24"/>
          <w:highlight w:val="none"/>
        </w:rPr>
        <w:t>评标时突发情况的补救方案</w:t>
      </w:r>
    </w:p>
    <w:p w14:paraId="5863CD1F">
      <w:pPr>
        <w:keepNext w:val="0"/>
        <w:keepLines w:val="0"/>
        <w:pageBreakBefore w:val="0"/>
        <w:wordWrap w:val="0"/>
        <w:overflowPunct/>
        <w:topLinePunct w:val="0"/>
        <w:bidi w:val="0"/>
        <w:spacing w:before="114" w:line="360"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在评标过程中，因主场或副场网络故障、电子设备或者评标系统故障，以及其他原因导致无法继续进行评标时，在 4 小时以内解除故障的可继续评标，超过 4 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58ACD5FB">
      <w:pPr>
        <w:keepNext w:val="0"/>
        <w:keepLines w:val="0"/>
        <w:pageBreakBefore w:val="0"/>
        <w:wordWrap w:val="0"/>
        <w:overflowPunct/>
        <w:topLinePunct w:val="0"/>
        <w:bidi w:val="0"/>
        <w:spacing w:before="69" w:line="360" w:lineRule="auto"/>
        <w:ind w:left="11" w:right="81"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12.2.3  </w:t>
      </w:r>
      <w:r>
        <w:rPr>
          <w:rFonts w:hint="eastAsia" w:ascii="宋体" w:hAnsi="宋体" w:eastAsia="宋体" w:cs="宋体"/>
          <w:color w:val="auto"/>
          <w:spacing w:val="0"/>
          <w:sz w:val="24"/>
          <w:szCs w:val="24"/>
          <w:highlight w:val="none"/>
        </w:rPr>
        <w:t>除发生上述情况外，开标评标均以投标人（联合体投标的，由联合体牵头人）通过交易平台网上递交的电子投标文件为准。</w:t>
      </w:r>
    </w:p>
    <w:p w14:paraId="5DCEDB99">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sz w:val="24"/>
          <w:szCs w:val="24"/>
          <w:highlight w:val="none"/>
        </w:rPr>
      </w:pPr>
      <w:bookmarkStart w:id="62" w:name="_Toc21165"/>
      <w:bookmarkStart w:id="63" w:name="_Toc27195"/>
      <w:r>
        <w:rPr>
          <w:rFonts w:hint="eastAsia" w:ascii="宋体" w:hAnsi="宋体" w:eastAsia="宋体" w:cs="宋体"/>
          <w:b/>
          <w:bCs/>
          <w:color w:val="auto"/>
          <w:spacing w:val="0"/>
          <w:sz w:val="24"/>
          <w:szCs w:val="24"/>
          <w:highlight w:val="none"/>
        </w:rPr>
        <w:t>13 ．投标文件的提交</w:t>
      </w:r>
      <w:bookmarkEnd w:id="62"/>
      <w:bookmarkEnd w:id="63"/>
    </w:p>
    <w:p w14:paraId="7068EE2E">
      <w:pPr>
        <w:keepNext w:val="0"/>
        <w:keepLines w:val="0"/>
        <w:pageBreakBefore w:val="0"/>
        <w:wordWrap w:val="0"/>
        <w:overflowPunct/>
        <w:topLinePunct w:val="0"/>
        <w:bidi w:val="0"/>
        <w:spacing w:before="123" w:line="360" w:lineRule="auto"/>
        <w:ind w:left="13" w:right="81" w:firstLine="48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13.1  </w:t>
      </w:r>
      <w:r>
        <w:rPr>
          <w:rFonts w:hint="eastAsia" w:ascii="宋体" w:hAnsi="宋体" w:eastAsia="宋体" w:cs="宋体"/>
          <w:color w:val="auto"/>
          <w:spacing w:val="0"/>
          <w:sz w:val="24"/>
          <w:szCs w:val="24"/>
          <w:highlight w:val="none"/>
        </w:rPr>
        <w:t>在投标文件提交截止时间前，投标人通过全国公共资源交易平台（广东省·韶关市）提交已加密投标文件。逾期提交的电子投标文件，全国公共资源交易平台（广东省 ·韶关市）将予以拒收。</w:t>
      </w:r>
    </w:p>
    <w:p w14:paraId="09924D0F">
      <w:pPr>
        <w:keepNext w:val="0"/>
        <w:keepLines w:val="0"/>
        <w:pageBreakBefore w:val="0"/>
        <w:wordWrap w:val="0"/>
        <w:overflowPunct/>
        <w:topLinePunct w:val="0"/>
        <w:bidi w:val="0"/>
        <w:spacing w:before="115"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13.2  </w:t>
      </w:r>
      <w:r>
        <w:rPr>
          <w:rFonts w:hint="eastAsia" w:ascii="宋体" w:hAnsi="宋体" w:eastAsia="宋体" w:cs="宋体"/>
          <w:color w:val="auto"/>
          <w:spacing w:val="0"/>
          <w:sz w:val="24"/>
          <w:szCs w:val="24"/>
          <w:highlight w:val="none"/>
        </w:rPr>
        <w:t>提交时间和地点：见本章第二节“重要事项时间地点一览表 ”</w:t>
      </w:r>
    </w:p>
    <w:p w14:paraId="683F40A3">
      <w:pPr>
        <w:keepNext w:val="0"/>
        <w:keepLines w:val="0"/>
        <w:pageBreakBefore w:val="0"/>
        <w:wordWrap w:val="0"/>
        <w:overflowPunct/>
        <w:topLinePunct w:val="0"/>
        <w:bidi w:val="0"/>
        <w:spacing w:before="113" w:line="360"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13.3  </w:t>
      </w:r>
      <w:r>
        <w:rPr>
          <w:rFonts w:hint="eastAsia" w:ascii="宋体" w:hAnsi="宋体" w:eastAsia="宋体" w:cs="宋体"/>
          <w:color w:val="auto"/>
          <w:spacing w:val="0"/>
          <w:sz w:val="24"/>
          <w:szCs w:val="24"/>
          <w:highlight w:val="none"/>
        </w:rPr>
        <w:t>递交时间和地点：投标人如有招标文件要求提交的用于评审的证书、证件、证明原件（附一式两份清单），由投标人法定代表人或其委托代理人在指定的时间和地点递交（见“重要事项时间地点一览表 ”）。</w:t>
      </w:r>
    </w:p>
    <w:p w14:paraId="1E722792">
      <w:pPr>
        <w:keepNext w:val="0"/>
        <w:keepLines w:val="0"/>
        <w:pageBreakBefore w:val="0"/>
        <w:wordWrap w:val="0"/>
        <w:overflowPunct/>
        <w:topLinePunct w:val="0"/>
        <w:bidi w:val="0"/>
        <w:spacing w:before="112" w:line="360"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13.4  </w:t>
      </w:r>
      <w:r>
        <w:rPr>
          <w:rFonts w:hint="eastAsia" w:ascii="宋体" w:hAnsi="宋体" w:eastAsia="宋体" w:cs="宋体"/>
          <w:color w:val="auto"/>
          <w:spacing w:val="0"/>
          <w:sz w:val="24"/>
          <w:szCs w:val="24"/>
          <w:highlight w:val="none"/>
        </w:rPr>
        <w:t>代理机构对因不可抗力事件造成的投标文件的损坏、丢失的，不承担责任。</w:t>
      </w:r>
    </w:p>
    <w:p w14:paraId="458845F2">
      <w:pPr>
        <w:keepNext w:val="0"/>
        <w:keepLines w:val="0"/>
        <w:pageBreakBefore w:val="0"/>
        <w:wordWrap w:val="0"/>
        <w:overflowPunct/>
        <w:topLinePunct w:val="0"/>
        <w:bidi w:val="0"/>
        <w:spacing w:before="116"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13.5  </w:t>
      </w:r>
      <w:r>
        <w:rPr>
          <w:rFonts w:hint="eastAsia" w:ascii="宋体" w:hAnsi="宋体" w:eastAsia="宋体" w:cs="宋体"/>
          <w:color w:val="auto"/>
          <w:spacing w:val="0"/>
          <w:sz w:val="24"/>
          <w:szCs w:val="24"/>
          <w:highlight w:val="none"/>
        </w:rPr>
        <w:t>出现下述情形之一，属于未成功提交投标文件，按无效投标处理：</w:t>
      </w:r>
    </w:p>
    <w:p w14:paraId="26FD4E45">
      <w:pPr>
        <w:keepNext w:val="0"/>
        <w:keepLines w:val="0"/>
        <w:pageBreakBefore w:val="0"/>
        <w:wordWrap w:val="0"/>
        <w:overflowPunct/>
        <w:topLinePunct w:val="0"/>
        <w:bidi w:val="0"/>
        <w:spacing w:before="115" w:line="36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（1）至提交投标文件截止时，投标文件未完整上传及提交标书；</w:t>
      </w:r>
    </w:p>
    <w:p w14:paraId="0801F50A">
      <w:pPr>
        <w:keepNext w:val="0"/>
        <w:keepLines w:val="0"/>
        <w:pageBreakBefore w:val="0"/>
        <w:wordWrap w:val="0"/>
        <w:overflowPunct/>
        <w:topLinePunct w:val="0"/>
        <w:bidi w:val="0"/>
        <w:spacing w:before="114" w:line="36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（2）解密失败且在规定时间内未重新提交投标文件的；</w:t>
      </w:r>
    </w:p>
    <w:p w14:paraId="04D5C6EB">
      <w:pPr>
        <w:keepNext w:val="0"/>
        <w:keepLines w:val="0"/>
        <w:pageBreakBefore w:val="0"/>
        <w:wordWrap w:val="0"/>
        <w:overflowPunct/>
        <w:topLinePunct w:val="0"/>
        <w:bidi w:val="0"/>
        <w:spacing w:before="115" w:line="360" w:lineRule="auto"/>
        <w:ind w:left="74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（3）投标文件损坏或格式不正确的；</w:t>
      </w:r>
    </w:p>
    <w:p w14:paraId="43D9083E">
      <w:pPr>
        <w:keepNext w:val="0"/>
        <w:keepLines w:val="0"/>
        <w:pageBreakBefore w:val="0"/>
        <w:wordWrap w:val="0"/>
        <w:overflowPunct/>
        <w:topLinePunct w:val="0"/>
        <w:bidi w:val="0"/>
        <w:spacing w:before="115"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13.6  </w:t>
      </w:r>
      <w:r>
        <w:rPr>
          <w:rFonts w:hint="eastAsia" w:ascii="宋体" w:hAnsi="宋体" w:eastAsia="宋体" w:cs="宋体"/>
          <w:color w:val="auto"/>
          <w:spacing w:val="0"/>
          <w:sz w:val="24"/>
          <w:szCs w:val="24"/>
          <w:highlight w:val="none"/>
        </w:rPr>
        <w:t>联合体投标的，由联合体牵头人按以上要求递交相关资料。</w:t>
      </w:r>
    </w:p>
    <w:p w14:paraId="7FCFB836">
      <w:pPr>
        <w:keepNext w:val="0"/>
        <w:keepLines w:val="0"/>
        <w:pageBreakBefore w:val="0"/>
        <w:widowControl/>
        <w:kinsoku w:val="0"/>
        <w:wordWrap w:val="0"/>
        <w:overflowPunct/>
        <w:topLinePunct w:val="0"/>
        <w:autoSpaceDE w:val="0"/>
        <w:autoSpaceDN w:val="0"/>
        <w:bidi w:val="0"/>
        <w:adjustRightInd w:val="0"/>
        <w:snapToGrid w:val="0"/>
        <w:spacing w:before="113" w:line="360" w:lineRule="auto"/>
        <w:ind w:left="11" w:right="23"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13.7  </w:t>
      </w:r>
      <w:r>
        <w:rPr>
          <w:rFonts w:hint="eastAsia" w:ascii="宋体" w:hAnsi="宋体" w:eastAsia="宋体" w:cs="宋体"/>
          <w:color w:val="auto"/>
          <w:spacing w:val="0"/>
          <w:sz w:val="24"/>
          <w:szCs w:val="24"/>
          <w:highlight w:val="none"/>
        </w:rPr>
        <w:t>招标人或其授权的招标代理机构核对、接收投标人递交的投标相关资料后，应向投标人出具标明签收人和签收时间的凭证，并妥善保管。</w:t>
      </w:r>
    </w:p>
    <w:p w14:paraId="465B9D6E">
      <w:pPr>
        <w:keepNext w:val="0"/>
        <w:keepLines w:val="0"/>
        <w:pageBreakBefore w:val="0"/>
        <w:wordWrap w:val="0"/>
        <w:overflowPunct/>
        <w:topLinePunct w:val="0"/>
        <w:bidi w:val="0"/>
        <w:spacing w:before="113" w:line="360" w:lineRule="auto"/>
        <w:ind w:left="9" w:right="24" w:firstLine="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13.8 </w:t>
      </w:r>
      <w:r>
        <w:rPr>
          <w:rFonts w:hint="eastAsia" w:ascii="宋体" w:hAnsi="宋体" w:eastAsia="宋体" w:cs="宋体"/>
          <w:color w:val="auto"/>
          <w:spacing w:val="0"/>
          <w:sz w:val="24"/>
          <w:szCs w:val="24"/>
          <w:highlight w:val="none"/>
        </w:rPr>
        <w:t xml:space="preserve"> 本次招标投标有效期为</w:t>
      </w:r>
      <w:r>
        <w:rPr>
          <w:rFonts w:hint="eastAsia" w:ascii="宋体" w:hAnsi="宋体" w:eastAsia="宋体" w:cs="宋体"/>
          <w:color w:val="auto"/>
          <w:spacing w:val="0"/>
          <w:sz w:val="24"/>
          <w:szCs w:val="24"/>
          <w:highlight w:val="none"/>
          <w:u w:val="single"/>
          <w:lang w:eastAsia="zh-CN"/>
        </w:rPr>
        <w:t>90</w:t>
      </w:r>
      <w:r>
        <w:rPr>
          <w:rFonts w:hint="eastAsia" w:ascii="宋体" w:hAnsi="宋体" w:eastAsia="宋体" w:cs="宋体"/>
          <w:color w:val="auto"/>
          <w:spacing w:val="0"/>
          <w:sz w:val="24"/>
          <w:szCs w:val="24"/>
          <w:highlight w:val="none"/>
        </w:rPr>
        <w:t>个日历天，投标有效期从提交投标文件的截止之日起计算。在此期间，投标人不得撤销或修改其投标文件，否则其投标保证不予退还。</w:t>
      </w:r>
    </w:p>
    <w:p w14:paraId="2CB00EB8">
      <w:pPr>
        <w:keepNext w:val="0"/>
        <w:keepLines w:val="0"/>
        <w:pageBreakBefore w:val="0"/>
        <w:wordWrap w:val="0"/>
        <w:overflowPunct/>
        <w:topLinePunct w:val="0"/>
        <w:bidi w:val="0"/>
        <w:spacing w:before="145" w:line="360" w:lineRule="auto"/>
        <w:ind w:left="496"/>
        <w:outlineLvl w:val="2"/>
        <w:rPr>
          <w:rFonts w:hint="eastAsia" w:ascii="宋体" w:hAnsi="宋体" w:eastAsia="宋体" w:cs="宋体"/>
          <w:color w:val="auto"/>
          <w:spacing w:val="0"/>
          <w:sz w:val="24"/>
          <w:szCs w:val="24"/>
          <w:highlight w:val="none"/>
        </w:rPr>
      </w:pPr>
      <w:bookmarkStart w:id="64" w:name="_Toc19179"/>
      <w:bookmarkStart w:id="65" w:name="_Toc22047"/>
      <w:r>
        <w:rPr>
          <w:rFonts w:hint="eastAsia" w:ascii="宋体" w:hAnsi="宋体" w:eastAsia="宋体" w:cs="宋体"/>
          <w:b/>
          <w:bCs/>
          <w:color w:val="auto"/>
          <w:spacing w:val="0"/>
          <w:sz w:val="24"/>
          <w:szCs w:val="24"/>
          <w:highlight w:val="none"/>
        </w:rPr>
        <w:t>14 ．开标</w:t>
      </w:r>
      <w:bookmarkEnd w:id="64"/>
      <w:bookmarkEnd w:id="65"/>
    </w:p>
    <w:p w14:paraId="034EB3D3">
      <w:pPr>
        <w:keepNext w:val="0"/>
        <w:keepLines w:val="0"/>
        <w:pageBreakBefore w:val="0"/>
        <w:wordWrap w:val="0"/>
        <w:overflowPunct/>
        <w:topLinePunct w:val="0"/>
        <w:bidi w:val="0"/>
        <w:spacing w:before="155" w:line="360" w:lineRule="auto"/>
        <w:ind w:left="10" w:right="81" w:firstLine="48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  </w:t>
      </w:r>
      <w:r>
        <w:rPr>
          <w:rFonts w:hint="eastAsia" w:ascii="宋体" w:hAnsi="宋体" w:eastAsia="宋体" w:cs="宋体"/>
          <w:color w:val="auto"/>
          <w:spacing w:val="0"/>
          <w:sz w:val="24"/>
          <w:szCs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w:t>
      </w:r>
      <w:bookmarkStart w:id="66" w:name="bookmark123"/>
      <w:bookmarkEnd w:id="66"/>
      <w:r>
        <w:rPr>
          <w:rFonts w:hint="eastAsia" w:ascii="宋体" w:hAnsi="宋体" w:eastAsia="宋体" w:cs="宋体"/>
          <w:color w:val="auto"/>
          <w:spacing w:val="0"/>
          <w:sz w:val="24"/>
          <w:szCs w:val="24"/>
          <w:highlight w:val="none"/>
        </w:rPr>
        <w:t>标的，视其默认开标结果，以及放弃在开标期间见证、监督、投诉、申辩的权利。</w:t>
      </w:r>
    </w:p>
    <w:p w14:paraId="05862D79">
      <w:pPr>
        <w:keepNext w:val="0"/>
        <w:keepLines w:val="0"/>
        <w:pageBreakBefore w:val="0"/>
        <w:wordWrap w:val="0"/>
        <w:overflowPunct/>
        <w:topLinePunct w:val="0"/>
        <w:bidi w:val="0"/>
        <w:spacing w:before="156"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14.1.1  </w:t>
      </w:r>
      <w:r>
        <w:rPr>
          <w:rFonts w:hint="eastAsia" w:ascii="宋体" w:hAnsi="宋体" w:eastAsia="宋体" w:cs="宋体"/>
          <w:color w:val="auto"/>
          <w:spacing w:val="0"/>
          <w:sz w:val="24"/>
          <w:szCs w:val="24"/>
          <w:highlight w:val="none"/>
        </w:rPr>
        <w:t>开标时间和地点：见本章第二节“重要事项时间地点一览表 ”。</w:t>
      </w:r>
    </w:p>
    <w:p w14:paraId="08F091B7">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11" w:firstLine="488"/>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14.1.2 </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开标前 24 小时，若建设工程交易系统显示缴纳投标保证（包括投标保证金、投标保证担保、投标保证保险）的投标人数量不足 3 个时，招标人将取消原定于次日召开的开标活动。投标人可在投标保证缴纳截止时间（见本章第二节“重要事项时间地点一览表 ”）至电子投标截止时间（见本章第二节“重要事项时间地点一览表 ”）期间登录全国公共资源交易平台（广东省·韶关市）（https://ygp.gdzwfw.gov.cn/ggzy-portal/#/440200/index）查询是否发布了取消开标活动的相关信息。</w:t>
      </w:r>
    </w:p>
    <w:p w14:paraId="55E539B0">
      <w:pPr>
        <w:keepNext w:val="0"/>
        <w:keepLines w:val="0"/>
        <w:pageBreakBefore w:val="0"/>
        <w:wordWrap w:val="0"/>
        <w:overflowPunct/>
        <w:topLinePunct w:val="0"/>
        <w:bidi w:val="0"/>
        <w:spacing w:before="159" w:line="360" w:lineRule="auto"/>
        <w:ind w:left="10" w:right="80"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14.1.3</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本项目实行全流程电子化招标投标，投标人在交易平台按要求上传加盖电子印章并经加密的电子投标文件，并在交易平台录入准确的页码信息即可完成在线投标</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A2CFB6D">
      <w:pPr>
        <w:keepNext w:val="0"/>
        <w:keepLines w:val="0"/>
        <w:pageBreakBefore w:val="0"/>
        <w:wordWrap w:val="0"/>
        <w:overflowPunct/>
        <w:topLinePunct w:val="0"/>
        <w:bidi w:val="0"/>
        <w:spacing w:before="152"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14.2  </w:t>
      </w:r>
      <w:r>
        <w:rPr>
          <w:rFonts w:hint="eastAsia" w:ascii="宋体" w:hAnsi="宋体" w:eastAsia="宋体" w:cs="宋体"/>
          <w:color w:val="auto"/>
          <w:spacing w:val="0"/>
          <w:sz w:val="24"/>
          <w:szCs w:val="24"/>
          <w:highlight w:val="none"/>
        </w:rPr>
        <w:t>开标程序</w:t>
      </w:r>
    </w:p>
    <w:p w14:paraId="48C37DE6">
      <w:pPr>
        <w:keepNext w:val="0"/>
        <w:keepLines w:val="0"/>
        <w:pageBreakBefore w:val="0"/>
        <w:wordWrap w:val="0"/>
        <w:overflowPunct/>
        <w:topLinePunct w:val="0"/>
        <w:bidi w:val="0"/>
        <w:spacing w:before="42" w:line="360" w:lineRule="auto"/>
        <w:ind w:left="501"/>
        <w:outlineLvl w:val="9"/>
        <w:rPr>
          <w:rFonts w:hint="eastAsia" w:ascii="宋体" w:hAnsi="宋体" w:eastAsia="宋体" w:cs="宋体"/>
          <w:color w:val="auto"/>
          <w:spacing w:val="0"/>
          <w:sz w:val="24"/>
          <w:szCs w:val="24"/>
          <w:highlight w:val="none"/>
        </w:rPr>
      </w:pPr>
      <w:bookmarkStart w:id="67" w:name="_Toc15587"/>
      <w:bookmarkStart w:id="68" w:name="_Toc8314"/>
      <w:bookmarkStart w:id="69" w:name="_Toc10685"/>
      <w:bookmarkStart w:id="70" w:name="_Toc10291"/>
      <w:r>
        <w:rPr>
          <w:rFonts w:hint="eastAsia" w:ascii="宋体" w:hAnsi="宋体" w:eastAsia="宋体" w:cs="宋体"/>
          <w:color w:val="auto"/>
          <w:spacing w:val="0"/>
          <w:sz w:val="24"/>
          <w:szCs w:val="24"/>
          <w:highlight w:val="none"/>
        </w:rPr>
        <w:t>（1）主持人（招标人代表或招标人授权的招标代理机构人员）宣读开标纪律。</w:t>
      </w:r>
      <w:bookmarkEnd w:id="67"/>
      <w:bookmarkEnd w:id="68"/>
      <w:bookmarkEnd w:id="69"/>
      <w:bookmarkEnd w:id="70"/>
    </w:p>
    <w:p w14:paraId="776645C0">
      <w:pPr>
        <w:keepNext w:val="0"/>
        <w:keepLines w:val="0"/>
        <w:pageBreakBefore w:val="0"/>
        <w:wordWrap w:val="0"/>
        <w:overflowPunct/>
        <w:topLinePunct w:val="0"/>
        <w:bidi w:val="0"/>
        <w:spacing w:before="181" w:line="360" w:lineRule="auto"/>
        <w:ind w:left="501"/>
        <w:outlineLvl w:val="9"/>
        <w:rPr>
          <w:rFonts w:hint="eastAsia" w:ascii="宋体" w:hAnsi="宋体" w:eastAsia="宋体" w:cs="宋体"/>
          <w:color w:val="auto"/>
          <w:spacing w:val="0"/>
          <w:sz w:val="24"/>
          <w:szCs w:val="24"/>
          <w:highlight w:val="none"/>
        </w:rPr>
      </w:pPr>
      <w:bookmarkStart w:id="71" w:name="_Toc20238"/>
      <w:bookmarkStart w:id="72" w:name="_Toc2011"/>
      <w:bookmarkStart w:id="73" w:name="_Toc16292"/>
      <w:bookmarkStart w:id="74" w:name="_Toc30853"/>
      <w:r>
        <w:rPr>
          <w:rFonts w:hint="eastAsia" w:ascii="宋体" w:hAnsi="宋体" w:eastAsia="宋体" w:cs="宋体"/>
          <w:color w:val="auto"/>
          <w:spacing w:val="0"/>
          <w:sz w:val="24"/>
          <w:szCs w:val="24"/>
          <w:highlight w:val="none"/>
        </w:rPr>
        <w:t>（2）主持人宣布唱标人、记录人、见证人、监督人等有关人员姓名。</w:t>
      </w:r>
      <w:bookmarkEnd w:id="71"/>
      <w:bookmarkEnd w:id="72"/>
      <w:bookmarkEnd w:id="73"/>
      <w:bookmarkEnd w:id="74"/>
    </w:p>
    <w:p w14:paraId="505384A6">
      <w:pPr>
        <w:keepNext w:val="0"/>
        <w:keepLines w:val="0"/>
        <w:pageBreakBefore w:val="0"/>
        <w:wordWrap w:val="0"/>
        <w:overflowPunct/>
        <w:topLinePunct w:val="0"/>
        <w:bidi w:val="0"/>
        <w:spacing w:before="183" w:line="360" w:lineRule="auto"/>
        <w:ind w:left="501"/>
        <w:outlineLvl w:val="9"/>
        <w:rPr>
          <w:rFonts w:hint="eastAsia" w:ascii="宋体" w:hAnsi="宋体" w:eastAsia="宋体" w:cs="宋体"/>
          <w:color w:val="auto"/>
          <w:spacing w:val="0"/>
          <w:sz w:val="24"/>
          <w:szCs w:val="24"/>
          <w:highlight w:val="none"/>
        </w:rPr>
      </w:pPr>
      <w:bookmarkStart w:id="75" w:name="_Toc17462"/>
      <w:bookmarkStart w:id="76" w:name="_Toc31716"/>
      <w:bookmarkStart w:id="77" w:name="_Toc26494"/>
      <w:bookmarkStart w:id="78" w:name="_Toc1974"/>
      <w:r>
        <w:rPr>
          <w:rFonts w:hint="eastAsia" w:ascii="宋体" w:hAnsi="宋体" w:eastAsia="宋体" w:cs="宋体"/>
          <w:color w:val="auto"/>
          <w:spacing w:val="0"/>
          <w:sz w:val="24"/>
          <w:szCs w:val="24"/>
          <w:highlight w:val="none"/>
        </w:rPr>
        <w:t>（3）唱标人公布在投标截止时间前进行投标文件的投标人数量和名称</w:t>
      </w:r>
      <w:bookmarkEnd w:id="75"/>
      <w:bookmarkEnd w:id="76"/>
      <w:bookmarkEnd w:id="77"/>
      <w:bookmarkEnd w:id="78"/>
    </w:p>
    <w:p w14:paraId="0C0A9C7B">
      <w:pPr>
        <w:keepNext w:val="0"/>
        <w:keepLines w:val="0"/>
        <w:pageBreakBefore w:val="0"/>
        <w:widowControl/>
        <w:kinsoku w:val="0"/>
        <w:wordWrap w:val="0"/>
        <w:overflowPunct/>
        <w:topLinePunct w:val="0"/>
        <w:autoSpaceDE w:val="0"/>
        <w:autoSpaceDN w:val="0"/>
        <w:bidi w:val="0"/>
        <w:adjustRightInd w:val="0"/>
        <w:snapToGrid w:val="0"/>
        <w:spacing w:before="181" w:line="360" w:lineRule="auto"/>
        <w:ind w:left="499"/>
        <w:textAlignment w:val="baseline"/>
        <w:outlineLvl w:val="9"/>
        <w:rPr>
          <w:rFonts w:hint="eastAsia" w:ascii="宋体" w:hAnsi="宋体" w:eastAsia="宋体" w:cs="宋体"/>
          <w:color w:val="auto"/>
          <w:spacing w:val="0"/>
          <w:sz w:val="24"/>
          <w:szCs w:val="24"/>
          <w:highlight w:val="none"/>
        </w:rPr>
      </w:pPr>
      <w:bookmarkStart w:id="79" w:name="_Toc15860"/>
      <w:bookmarkStart w:id="80" w:name="_Toc20559"/>
      <w:bookmarkStart w:id="81" w:name="_Toc27967"/>
      <w:bookmarkStart w:id="82" w:name="_Toc8179"/>
      <w:r>
        <w:rPr>
          <w:rFonts w:hint="eastAsia" w:ascii="宋体" w:hAnsi="宋体" w:eastAsia="宋体" w:cs="宋体"/>
          <w:color w:val="auto"/>
          <w:spacing w:val="0"/>
          <w:sz w:val="24"/>
          <w:szCs w:val="24"/>
          <w:highlight w:val="none"/>
        </w:rPr>
        <w:t>（4）招标代理机构会同交易场所工作人员对投标人的电子投标信息进行解密，</w:t>
      </w:r>
      <w:bookmarkEnd w:id="79"/>
      <w:bookmarkEnd w:id="80"/>
      <w:bookmarkEnd w:id="81"/>
      <w:bookmarkEnd w:id="82"/>
      <w:r>
        <w:rPr>
          <w:rFonts w:hint="eastAsia" w:ascii="宋体" w:hAnsi="宋体" w:eastAsia="宋体" w:cs="宋体"/>
          <w:color w:val="auto"/>
          <w:spacing w:val="0"/>
          <w:sz w:val="24"/>
          <w:szCs w:val="24"/>
          <w:highlight w:val="none"/>
        </w:rPr>
        <w:t>建设工程交易系统自动生成《投标保证缴纳情况表》和《开标一览表》。</w:t>
      </w:r>
    </w:p>
    <w:p w14:paraId="4F5D7C80">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b/>
          <w:bCs/>
          <w:color w:val="auto"/>
          <w:spacing w:val="0"/>
          <w:sz w:val="24"/>
          <w:szCs w:val="24"/>
          <w:highlight w:val="none"/>
        </w:rPr>
      </w:pPr>
      <w:bookmarkStart w:id="83" w:name="_Toc28812"/>
      <w:bookmarkStart w:id="84" w:name="_Toc2199"/>
      <w:bookmarkStart w:id="85" w:name="_Toc28266"/>
      <w:bookmarkStart w:id="86" w:name="_Toc26216"/>
      <w:r>
        <w:rPr>
          <w:rFonts w:hint="eastAsia" w:ascii="宋体" w:hAnsi="宋体" w:eastAsia="宋体" w:cs="宋体"/>
          <w:b/>
          <w:bCs/>
          <w:color w:val="auto"/>
          <w:spacing w:val="0"/>
          <w:sz w:val="24"/>
          <w:szCs w:val="24"/>
          <w:highlight w:val="none"/>
        </w:rPr>
        <w:t>温馨提示：因本项目实行全流程电子化招标投标，投标人无须进行现场签到，可</w:t>
      </w:r>
      <w:bookmarkEnd w:id="83"/>
      <w:bookmarkEnd w:id="84"/>
      <w:bookmarkEnd w:id="85"/>
      <w:r>
        <w:rPr>
          <w:rFonts w:hint="eastAsia" w:ascii="宋体" w:hAnsi="宋体" w:eastAsia="宋体" w:cs="宋体"/>
          <w:b/>
          <w:bCs/>
          <w:color w:val="auto"/>
          <w:spacing w:val="0"/>
          <w:sz w:val="24"/>
          <w:szCs w:val="24"/>
          <w:highlight w:val="none"/>
        </w:rPr>
        <w:t>登录交易平台观看开标实况、提出异议或进行澄清、确认等操作，对开标事项的异议未在开标期间提出的，招标</w:t>
      </w:r>
      <w:r>
        <w:rPr>
          <w:rFonts w:hint="eastAsia" w:ascii="宋体" w:hAnsi="宋体" w:eastAsia="宋体" w:cs="宋体"/>
          <w:b/>
          <w:bCs/>
          <w:color w:val="auto"/>
          <w:spacing w:val="0"/>
          <w:sz w:val="24"/>
          <w:szCs w:val="24"/>
          <w:highlight w:val="none"/>
          <w:lang w:eastAsia="zh-CN"/>
        </w:rPr>
        <w:t>人不</w:t>
      </w:r>
      <w:r>
        <w:rPr>
          <w:rFonts w:hint="eastAsia" w:ascii="宋体" w:hAnsi="宋体" w:eastAsia="宋体" w:cs="宋体"/>
          <w:b/>
          <w:bCs/>
          <w:color w:val="auto"/>
          <w:spacing w:val="0"/>
          <w:sz w:val="24"/>
          <w:szCs w:val="24"/>
          <w:highlight w:val="none"/>
        </w:rPr>
        <w:t>予受理。具体按招标文件和系统操作手册为准。</w:t>
      </w:r>
      <w:bookmarkEnd w:id="86"/>
    </w:p>
    <w:p w14:paraId="29DDC04A">
      <w:pPr>
        <w:keepNext w:val="0"/>
        <w:keepLines w:val="0"/>
        <w:pageBreakBefore w:val="0"/>
        <w:wordWrap w:val="0"/>
        <w:overflowPunct/>
        <w:topLinePunct w:val="0"/>
        <w:bidi w:val="0"/>
        <w:spacing w:before="182" w:line="360" w:lineRule="auto"/>
        <w:ind w:firstLine="482" w:firstLineChars="200"/>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14.3  </w:t>
      </w:r>
      <w:r>
        <w:rPr>
          <w:rFonts w:hint="eastAsia" w:ascii="宋体" w:hAnsi="宋体" w:eastAsia="宋体" w:cs="宋体"/>
          <w:color w:val="auto"/>
          <w:spacing w:val="0"/>
          <w:sz w:val="24"/>
          <w:szCs w:val="24"/>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1DB30EA2">
      <w:pPr>
        <w:keepNext w:val="0"/>
        <w:keepLines w:val="0"/>
        <w:pageBreakBefore w:val="0"/>
        <w:wordWrap w:val="0"/>
        <w:overflowPunct/>
        <w:topLinePunct w:val="0"/>
        <w:bidi w:val="0"/>
        <w:spacing w:before="155" w:line="360" w:lineRule="auto"/>
        <w:ind w:left="8" w:right="82"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14.4 </w:t>
      </w:r>
      <w:r>
        <w:rPr>
          <w:rFonts w:hint="eastAsia" w:ascii="宋体" w:hAnsi="宋体" w:eastAsia="宋体" w:cs="宋体"/>
          <w:color w:val="auto"/>
          <w:spacing w:val="0"/>
          <w:sz w:val="24"/>
          <w:szCs w:val="24"/>
          <w:highlight w:val="none"/>
        </w:rPr>
        <w:t>招标代理机构将资料原件（如有）、《开标一览表》以及其他有关资料移交评标委员会。</w:t>
      </w:r>
    </w:p>
    <w:p w14:paraId="2E809B78">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sz w:val="24"/>
          <w:szCs w:val="24"/>
          <w:highlight w:val="none"/>
        </w:rPr>
      </w:pPr>
      <w:bookmarkStart w:id="87" w:name="_Toc24966"/>
      <w:bookmarkStart w:id="88" w:name="_Toc961"/>
      <w:r>
        <w:rPr>
          <w:rFonts w:hint="eastAsia" w:ascii="宋体" w:hAnsi="宋体" w:eastAsia="宋体" w:cs="宋体"/>
          <w:b/>
          <w:bCs/>
          <w:color w:val="auto"/>
          <w:spacing w:val="0"/>
          <w:sz w:val="24"/>
          <w:szCs w:val="24"/>
          <w:highlight w:val="none"/>
        </w:rPr>
        <w:t>15 ．评标</w:t>
      </w:r>
      <w:bookmarkEnd w:id="87"/>
      <w:bookmarkEnd w:id="88"/>
    </w:p>
    <w:p w14:paraId="6B3E0F13">
      <w:pPr>
        <w:keepNext w:val="0"/>
        <w:keepLines w:val="0"/>
        <w:pageBreakBefore w:val="0"/>
        <w:wordWrap w:val="0"/>
        <w:overflowPunct/>
        <w:topLinePunct w:val="0"/>
        <w:bidi w:val="0"/>
        <w:spacing w:before="78" w:line="360" w:lineRule="auto"/>
        <w:ind w:left="8" w:right="65" w:firstLine="480"/>
        <w:rPr>
          <w:rFonts w:hint="eastAsia" w:ascii="宋体" w:hAnsi="宋体" w:eastAsia="宋体" w:cs="宋体"/>
          <w:color w:val="auto"/>
          <w:spacing w:val="0"/>
          <w:sz w:val="24"/>
          <w:szCs w:val="24"/>
          <w:highlight w:val="none"/>
        </w:rPr>
      </w:pPr>
      <w:bookmarkStart w:id="89" w:name="bookmark124"/>
      <w:bookmarkEnd w:id="89"/>
      <w:r>
        <w:rPr>
          <w:rFonts w:hint="eastAsia" w:ascii="宋体" w:hAnsi="宋体" w:eastAsia="宋体" w:cs="宋体"/>
          <w:color w:val="auto"/>
          <w:spacing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投标人评审综合总得分由高到低的原则,向招标人推荐已明确的定标候选人数量（不标明排序），并向招标人提交由全体评标委员会成员签字的评标报告。</w:t>
      </w:r>
    </w:p>
    <w:p w14:paraId="1AE0EC81">
      <w:pPr>
        <w:keepNext w:val="0"/>
        <w:keepLines w:val="0"/>
        <w:pageBreakBefore w:val="0"/>
        <w:wordWrap w:val="0"/>
        <w:overflowPunct/>
        <w:topLinePunct w:val="0"/>
        <w:bidi w:val="0"/>
        <w:spacing w:before="38"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  </w:t>
      </w:r>
      <w:r>
        <w:rPr>
          <w:rFonts w:hint="eastAsia" w:ascii="宋体" w:hAnsi="宋体" w:eastAsia="宋体" w:cs="宋体"/>
          <w:color w:val="auto"/>
          <w:spacing w:val="0"/>
          <w:sz w:val="24"/>
          <w:szCs w:val="24"/>
          <w:highlight w:val="none"/>
        </w:rPr>
        <w:t>评标委员会</w:t>
      </w:r>
    </w:p>
    <w:p w14:paraId="31B92F0C">
      <w:pPr>
        <w:keepNext w:val="0"/>
        <w:keepLines w:val="0"/>
        <w:pageBreakBefore w:val="0"/>
        <w:wordWrap w:val="0"/>
        <w:overflowPunct/>
        <w:topLinePunct w:val="0"/>
        <w:bidi w:val="0"/>
        <w:spacing w:before="155" w:line="360" w:lineRule="auto"/>
        <w:ind w:left="10" w:right="65" w:firstLine="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15.1.1 </w:t>
      </w:r>
      <w:r>
        <w:rPr>
          <w:rFonts w:hint="eastAsia" w:ascii="宋体" w:hAnsi="宋体" w:eastAsia="宋体" w:cs="宋体"/>
          <w:color w:val="auto"/>
          <w:spacing w:val="0"/>
          <w:sz w:val="24"/>
          <w:szCs w:val="24"/>
          <w:highlight w:val="none"/>
        </w:rPr>
        <w:t>评标委员会由</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人组成，其中招标人代表</w:t>
      </w:r>
      <w:r>
        <w:rPr>
          <w:rFonts w:hint="eastAsia" w:ascii="宋体" w:hAnsi="宋体" w:eastAsia="宋体" w:cs="宋体"/>
          <w:color w:val="auto"/>
          <w:spacing w:val="0"/>
          <w:sz w:val="24"/>
          <w:szCs w:val="24"/>
          <w:highlight w:val="none"/>
          <w:u w:val="single"/>
        </w:rPr>
        <w:t xml:space="preserve"> 0 </w:t>
      </w:r>
      <w:r>
        <w:rPr>
          <w:rFonts w:hint="eastAsia" w:ascii="宋体" w:hAnsi="宋体" w:eastAsia="宋体" w:cs="宋体"/>
          <w:color w:val="auto"/>
          <w:spacing w:val="0"/>
          <w:sz w:val="24"/>
          <w:szCs w:val="24"/>
          <w:highlight w:val="none"/>
        </w:rPr>
        <w:t>人，专家</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人。专家从</w:t>
      </w:r>
      <w:r>
        <w:rPr>
          <w:rFonts w:hint="eastAsia" w:ascii="宋体" w:hAnsi="宋体" w:eastAsia="宋体" w:cs="宋体"/>
          <w:color w:val="auto"/>
          <w:spacing w:val="0"/>
          <w:sz w:val="24"/>
          <w:szCs w:val="24"/>
          <w:highlight w:val="none"/>
          <w:u w:val="none"/>
        </w:rPr>
        <w:t>广东省综合评标评审专家库</w:t>
      </w:r>
      <w:r>
        <w:rPr>
          <w:rFonts w:hint="eastAsia" w:ascii="宋体" w:hAnsi="宋体" w:eastAsia="宋体" w:cs="宋体"/>
          <w:color w:val="auto"/>
          <w:spacing w:val="0"/>
          <w:sz w:val="24"/>
          <w:szCs w:val="24"/>
          <w:highlight w:val="none"/>
        </w:rPr>
        <w:t>中随机抽取，其中技术类专家</w:t>
      </w:r>
      <w:r>
        <w:rPr>
          <w:rFonts w:hint="eastAsia" w:ascii="宋体" w:hAnsi="宋体" w:eastAsia="宋体" w:cs="宋体"/>
          <w:color w:val="auto"/>
          <w:spacing w:val="0"/>
          <w:sz w:val="24"/>
          <w:szCs w:val="24"/>
          <w:highlight w:val="none"/>
          <w:u w:val="single"/>
        </w:rPr>
        <w:t xml:space="preserve"> 3 </w:t>
      </w:r>
      <w:r>
        <w:rPr>
          <w:rFonts w:hint="eastAsia" w:ascii="宋体" w:hAnsi="宋体" w:eastAsia="宋体" w:cs="宋体"/>
          <w:color w:val="auto"/>
          <w:spacing w:val="0"/>
          <w:sz w:val="24"/>
          <w:szCs w:val="24"/>
          <w:highlight w:val="none"/>
        </w:rPr>
        <w:t>人，经济类专家</w:t>
      </w:r>
      <w:r>
        <w:rPr>
          <w:rFonts w:hint="eastAsia" w:ascii="宋体" w:hAnsi="宋体" w:eastAsia="宋体" w:cs="宋体"/>
          <w:color w:val="auto"/>
          <w:spacing w:val="0"/>
          <w:sz w:val="24"/>
          <w:szCs w:val="24"/>
          <w:highlight w:val="none"/>
          <w:u w:val="single"/>
        </w:rPr>
        <w:t xml:space="preserve"> 2 </w:t>
      </w:r>
      <w:r>
        <w:rPr>
          <w:rFonts w:hint="eastAsia" w:ascii="宋体" w:hAnsi="宋体" w:eastAsia="宋体" w:cs="宋体"/>
          <w:color w:val="auto"/>
          <w:spacing w:val="0"/>
          <w:sz w:val="24"/>
          <w:szCs w:val="24"/>
          <w:highlight w:val="none"/>
        </w:rPr>
        <w:t>人。评标委员会设负责人，由评标委员会成员推举产生。评标委员会负责人与评标委员会的其他成员有同等的表决权。</w:t>
      </w:r>
    </w:p>
    <w:p w14:paraId="3773E95D">
      <w:pPr>
        <w:keepNext w:val="0"/>
        <w:keepLines w:val="0"/>
        <w:pageBreakBefore w:val="0"/>
        <w:wordWrap w:val="0"/>
        <w:overflowPunct/>
        <w:topLinePunct w:val="0"/>
        <w:bidi w:val="0"/>
        <w:spacing w:before="32" w:line="360" w:lineRule="auto"/>
        <w:ind w:left="13" w:right="7" w:firstLine="56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15.1.2  </w:t>
      </w:r>
      <w:r>
        <w:rPr>
          <w:rFonts w:hint="eastAsia" w:ascii="宋体" w:hAnsi="宋体" w:eastAsia="宋体" w:cs="宋体"/>
          <w:color w:val="auto"/>
          <w:spacing w:val="0"/>
          <w:sz w:val="24"/>
          <w:szCs w:val="24"/>
          <w:highlight w:val="none"/>
        </w:rPr>
        <w:t>评标委员会应认真、公正、诚实、廉洁地履行职责。有下列情形之一的，不得担任评标委员会成员：</w:t>
      </w:r>
    </w:p>
    <w:p w14:paraId="630ECC06">
      <w:pPr>
        <w:keepNext w:val="0"/>
        <w:keepLines w:val="0"/>
        <w:pageBreakBefore w:val="0"/>
        <w:wordWrap w:val="0"/>
        <w:overflowPunct/>
        <w:topLinePunct w:val="0"/>
        <w:bidi w:val="0"/>
        <w:spacing w:before="154"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（1）投标人或投标人主要负责人的近亲属；</w:t>
      </w:r>
    </w:p>
    <w:p w14:paraId="6812A920">
      <w:pPr>
        <w:keepNext w:val="0"/>
        <w:keepLines w:val="0"/>
        <w:pageBreakBefore w:val="0"/>
        <w:wordWrap w:val="0"/>
        <w:overflowPunct/>
        <w:topLinePunct w:val="0"/>
        <w:bidi w:val="0"/>
        <w:spacing w:before="153"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（2）项目主管部门或者行政监督部门的人员；</w:t>
      </w:r>
    </w:p>
    <w:p w14:paraId="4E3A1FF1">
      <w:pPr>
        <w:keepNext w:val="0"/>
        <w:keepLines w:val="0"/>
        <w:pageBreakBefore w:val="0"/>
        <w:wordWrap w:val="0"/>
        <w:overflowPunct/>
        <w:topLinePunct w:val="0"/>
        <w:bidi w:val="0"/>
        <w:spacing w:before="155"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（3）与投标人有经济利益关系，可能影响对投标公正评审的；</w:t>
      </w:r>
    </w:p>
    <w:p w14:paraId="6C955D4C">
      <w:pPr>
        <w:keepNext w:val="0"/>
        <w:keepLines w:val="0"/>
        <w:pageBreakBefore w:val="0"/>
        <w:wordWrap w:val="0"/>
        <w:overflowPunct/>
        <w:topLinePunct w:val="0"/>
        <w:bidi w:val="0"/>
        <w:spacing w:before="153" w:line="360" w:lineRule="auto"/>
        <w:ind w:left="8" w:right="65" w:firstLine="57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（4）曾因在招标、评标以及其他与招标投标有关活动中从事违法行为而受过行政处罚或刑事处罚的。</w:t>
      </w:r>
    </w:p>
    <w:p w14:paraId="3C4B0D01">
      <w:pPr>
        <w:keepNext w:val="0"/>
        <w:keepLines w:val="0"/>
        <w:pageBreakBefore w:val="0"/>
        <w:wordWrap w:val="0"/>
        <w:overflowPunct/>
        <w:topLinePunct w:val="0"/>
        <w:bidi w:val="0"/>
        <w:spacing w:before="155"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评标委员会成员有以上情形之一的，应主动提出回避。</w:t>
      </w:r>
    </w:p>
    <w:p w14:paraId="779D0486">
      <w:pPr>
        <w:keepNext w:val="0"/>
        <w:keepLines w:val="0"/>
        <w:pageBreakBefore w:val="0"/>
        <w:wordWrap w:val="0"/>
        <w:overflowPunct/>
        <w:topLinePunct w:val="0"/>
        <w:bidi w:val="0"/>
        <w:spacing w:before="154" w:line="360" w:lineRule="auto"/>
        <w:ind w:left="8" w:right="6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15.1.3  </w:t>
      </w:r>
      <w:r>
        <w:rPr>
          <w:rFonts w:hint="eastAsia" w:ascii="宋体" w:hAnsi="宋体" w:eastAsia="宋体" w:cs="宋体"/>
          <w:color w:val="auto"/>
          <w:spacing w:val="0"/>
          <w:sz w:val="24"/>
          <w:szCs w:val="24"/>
          <w:highlight w:val="none"/>
        </w:rPr>
        <w:t>评标全过程实行封闭式管理，在中标结果公布前，禁止评标委员会成员以任何方式私下接触投标人。</w:t>
      </w:r>
    </w:p>
    <w:p w14:paraId="4E1CA66A">
      <w:pPr>
        <w:keepNext w:val="0"/>
        <w:keepLines w:val="0"/>
        <w:pageBreakBefore w:val="0"/>
        <w:wordWrap w:val="0"/>
        <w:overflowPunct/>
        <w:topLinePunct w:val="0"/>
        <w:bidi w:val="0"/>
        <w:spacing w:before="157" w:line="360" w:lineRule="auto"/>
        <w:ind w:left="11" w:right="65" w:firstLine="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15.1.4  </w:t>
      </w:r>
      <w:r>
        <w:rPr>
          <w:rFonts w:hint="eastAsia" w:ascii="宋体" w:hAnsi="宋体" w:eastAsia="宋体" w:cs="宋体"/>
          <w:color w:val="auto"/>
          <w:spacing w:val="0"/>
          <w:sz w:val="24"/>
          <w:szCs w:val="24"/>
          <w:highlight w:val="none"/>
        </w:rPr>
        <w:t>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2761184C">
      <w:pPr>
        <w:keepNext w:val="0"/>
        <w:keepLines w:val="0"/>
        <w:pageBreakBefore w:val="0"/>
        <w:wordWrap w:val="0"/>
        <w:overflowPunct/>
        <w:topLinePunct w:val="0"/>
        <w:bidi w:val="0"/>
        <w:spacing w:before="156" w:line="360" w:lineRule="auto"/>
        <w:ind w:left="8" w:right="65" w:firstLine="56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15.1.5  </w:t>
      </w:r>
      <w:r>
        <w:rPr>
          <w:rFonts w:hint="eastAsia" w:ascii="宋体" w:hAnsi="宋体" w:eastAsia="宋体" w:cs="宋体"/>
          <w:color w:val="auto"/>
          <w:spacing w:val="0"/>
          <w:sz w:val="24"/>
          <w:szCs w:val="24"/>
          <w:highlight w:val="none"/>
        </w:rPr>
        <w:t>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3267A2AD">
      <w:pPr>
        <w:keepNext w:val="0"/>
        <w:keepLines w:val="0"/>
        <w:pageBreakBefore w:val="0"/>
        <w:wordWrap w:val="0"/>
        <w:overflowPunct/>
        <w:topLinePunct w:val="0"/>
        <w:bidi w:val="0"/>
        <w:spacing w:before="79" w:line="360" w:lineRule="auto"/>
        <w:ind w:left="5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15.2  </w:t>
      </w:r>
      <w:r>
        <w:rPr>
          <w:rFonts w:hint="eastAsia" w:ascii="宋体" w:hAnsi="宋体" w:eastAsia="宋体" w:cs="宋体"/>
          <w:color w:val="auto"/>
          <w:spacing w:val="0"/>
          <w:sz w:val="24"/>
          <w:szCs w:val="24"/>
          <w:highlight w:val="none"/>
        </w:rPr>
        <w:t>评标方法</w:t>
      </w:r>
    </w:p>
    <w:p w14:paraId="31CCE9AE">
      <w:pPr>
        <w:keepNext w:val="0"/>
        <w:keepLines w:val="0"/>
        <w:pageBreakBefore w:val="0"/>
        <w:wordWrap w:val="0"/>
        <w:overflowPunct/>
        <w:topLinePunct w:val="0"/>
        <w:bidi w:val="0"/>
        <w:spacing w:before="78" w:line="360" w:lineRule="auto"/>
        <w:ind w:left="231" w:right="181" w:firstLine="560"/>
        <w:rPr>
          <w:rFonts w:hint="eastAsia" w:ascii="宋体" w:hAnsi="宋体" w:eastAsia="宋体" w:cs="宋体"/>
          <w:color w:val="auto"/>
          <w:spacing w:val="0"/>
          <w:sz w:val="24"/>
          <w:szCs w:val="24"/>
          <w:highlight w:val="none"/>
        </w:rPr>
      </w:pPr>
      <w:bookmarkStart w:id="90" w:name="bookmark125"/>
      <w:bookmarkEnd w:id="90"/>
      <w:r>
        <w:rPr>
          <w:rFonts w:hint="eastAsia" w:ascii="宋体" w:hAnsi="宋体" w:eastAsia="宋体" w:cs="宋体"/>
          <w:color w:val="auto"/>
          <w:spacing w:val="0"/>
          <w:sz w:val="24"/>
          <w:szCs w:val="24"/>
          <w:highlight w:val="none"/>
        </w:rPr>
        <w:t>根据有关法律、法规的相关规定，结合本招标项目资金来源和规模特点，本次招标采用</w:t>
      </w:r>
      <w:r>
        <w:rPr>
          <w:rFonts w:hint="eastAsia" w:ascii="宋体" w:hAnsi="宋体" w:eastAsia="宋体" w:cs="宋体"/>
          <w:b/>
          <w:bCs/>
          <w:color w:val="auto"/>
          <w:spacing w:val="0"/>
          <w:sz w:val="24"/>
          <w:szCs w:val="24"/>
          <w:highlight w:val="none"/>
          <w:u w:val="single"/>
        </w:rPr>
        <w:t xml:space="preserve"> 综合评估法 </w:t>
      </w:r>
      <w:r>
        <w:rPr>
          <w:rFonts w:hint="eastAsia" w:ascii="宋体" w:hAnsi="宋体" w:eastAsia="宋体" w:cs="宋体"/>
          <w:color w:val="auto"/>
          <w:spacing w:val="0"/>
          <w:sz w:val="24"/>
          <w:szCs w:val="24"/>
          <w:highlight w:val="none"/>
          <w:u w:val="single"/>
        </w:rPr>
        <w:t>（</w:t>
      </w:r>
      <w:r>
        <w:rPr>
          <w:rFonts w:hint="eastAsia" w:ascii="宋体" w:hAnsi="宋体" w:eastAsia="宋体" w:cs="宋体"/>
          <w:color w:val="auto"/>
          <w:spacing w:val="0"/>
          <w:sz w:val="24"/>
          <w:szCs w:val="24"/>
          <w:highlight w:val="none"/>
        </w:rPr>
        <w:t>评标方法名称）进行评标。</w:t>
      </w:r>
    </w:p>
    <w:p w14:paraId="444FBDD2">
      <w:pPr>
        <w:keepNext w:val="0"/>
        <w:keepLines w:val="0"/>
        <w:pageBreakBefore w:val="0"/>
        <w:wordWrap w:val="0"/>
        <w:overflowPunct/>
        <w:topLinePunct w:val="0"/>
        <w:bidi w:val="0"/>
        <w:spacing w:before="154" w:line="360" w:lineRule="auto"/>
        <w:ind w:left="220" w:right="33" w:firstLine="49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15.3  </w:t>
      </w:r>
      <w:r>
        <w:rPr>
          <w:rFonts w:hint="eastAsia" w:ascii="宋体" w:hAnsi="宋体" w:eastAsia="宋体" w:cs="宋体"/>
          <w:color w:val="auto"/>
          <w:spacing w:val="0"/>
          <w:sz w:val="24"/>
          <w:szCs w:val="24"/>
          <w:highlight w:val="none"/>
        </w:rPr>
        <w:t>评审范围：评标委员会应对所有投标人的投标文件进行评审。</w:t>
      </w:r>
    </w:p>
    <w:p w14:paraId="0A158934">
      <w:pPr>
        <w:keepNext w:val="0"/>
        <w:keepLines w:val="0"/>
        <w:pageBreakBefore w:val="0"/>
        <w:wordWrap w:val="0"/>
        <w:overflowPunct/>
        <w:topLinePunct w:val="0"/>
        <w:bidi w:val="0"/>
        <w:spacing w:before="153" w:line="360" w:lineRule="auto"/>
        <w:ind w:left="71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  </w:t>
      </w:r>
      <w:r>
        <w:rPr>
          <w:rFonts w:hint="eastAsia" w:ascii="宋体" w:hAnsi="宋体" w:eastAsia="宋体" w:cs="宋体"/>
          <w:color w:val="auto"/>
          <w:spacing w:val="0"/>
          <w:sz w:val="24"/>
          <w:szCs w:val="24"/>
          <w:highlight w:val="none"/>
        </w:rPr>
        <w:t>初步评审阶段</w:t>
      </w:r>
    </w:p>
    <w:p w14:paraId="0814EC29">
      <w:pPr>
        <w:keepNext w:val="0"/>
        <w:keepLines w:val="0"/>
        <w:pageBreakBefore w:val="0"/>
        <w:wordWrap w:val="0"/>
        <w:overflowPunct/>
        <w:topLinePunct w:val="0"/>
        <w:bidi w:val="0"/>
        <w:spacing w:before="153" w:line="360" w:lineRule="auto"/>
        <w:ind w:left="70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初步评审阶段分为资格评审、形式评审和响应性评审三个环节。</w:t>
      </w:r>
    </w:p>
    <w:p w14:paraId="39AEA1BE">
      <w:pPr>
        <w:keepNext w:val="0"/>
        <w:keepLines w:val="0"/>
        <w:pageBreakBefore w:val="0"/>
        <w:wordWrap w:val="0"/>
        <w:overflowPunct/>
        <w:topLinePunct w:val="0"/>
        <w:bidi w:val="0"/>
        <w:spacing w:before="155" w:line="360" w:lineRule="auto"/>
        <w:ind w:left="719" w:right="5820" w:rightChars="0" w:hanging="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15.4.1 </w:t>
      </w:r>
      <w:r>
        <w:rPr>
          <w:rFonts w:hint="eastAsia" w:ascii="宋体" w:hAnsi="宋体" w:eastAsia="宋体" w:cs="宋体"/>
          <w:color w:val="auto"/>
          <w:spacing w:val="0"/>
          <w:sz w:val="24"/>
          <w:szCs w:val="24"/>
          <w:highlight w:val="none"/>
        </w:rPr>
        <w:t xml:space="preserve"> 资格评审环节 </w:t>
      </w:r>
    </w:p>
    <w:p w14:paraId="58B00498">
      <w:pPr>
        <w:keepNext w:val="0"/>
        <w:keepLines w:val="0"/>
        <w:pageBreakBefore w:val="0"/>
        <w:wordWrap w:val="0"/>
        <w:overflowPunct/>
        <w:topLinePunct w:val="0"/>
        <w:bidi w:val="0"/>
        <w:spacing w:before="155" w:line="360" w:lineRule="auto"/>
        <w:ind w:left="719" w:right="5820" w:rightChars="0" w:hanging="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资格评审事项包</w:t>
      </w:r>
      <w:r>
        <w:rPr>
          <w:rFonts w:hint="eastAsia" w:ascii="宋体" w:hAnsi="宋体" w:eastAsia="宋体" w:cs="宋体"/>
          <w:color w:val="auto"/>
          <w:spacing w:val="0"/>
          <w:sz w:val="24"/>
          <w:szCs w:val="24"/>
          <w:highlight w:val="none"/>
          <w:lang w:val="en-US" w:eastAsia="zh-CN"/>
        </w:rPr>
        <w:t>括</w:t>
      </w:r>
      <w:r>
        <w:rPr>
          <w:rFonts w:hint="eastAsia" w:ascii="宋体" w:hAnsi="宋体" w:eastAsia="宋体" w:cs="宋体"/>
          <w:color w:val="auto"/>
          <w:spacing w:val="0"/>
          <w:sz w:val="24"/>
          <w:szCs w:val="24"/>
          <w:highlight w:val="none"/>
        </w:rPr>
        <w:t>：</w:t>
      </w:r>
    </w:p>
    <w:p w14:paraId="3C2A7C1E">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375F7385">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（2）投标人名称是否与营业执照、资质证书、安全生产许可证一致。</w:t>
      </w:r>
    </w:p>
    <w:p w14:paraId="164D7887">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（3）投标人的资质是否符合招标文件规定；其营业执照、资质证书、安全生产许可证（含实时网页查询页，可参考网址 https://zlaq.mohurd.gov.cn/fwmh/bjxcjgl/fwm</w:t>
      </w:r>
      <w:bookmarkStart w:id="91" w:name="bookmark126"/>
      <w:bookmarkEnd w:id="91"/>
      <w:r>
        <w:rPr>
          <w:rFonts w:hint="eastAsia" w:ascii="宋体" w:hAnsi="宋体" w:eastAsia="宋体" w:cs="宋体"/>
          <w:color w:val="auto"/>
          <w:spacing w:val="0"/>
          <w:sz w:val="24"/>
          <w:szCs w:val="24"/>
          <w:highlight w:val="none"/>
        </w:rPr>
        <w:t>h/pages/construction_safety/qyaqscxkz/qyaqscxkz）是否合法、有效、准确。</w:t>
      </w:r>
    </w:p>
    <w:p w14:paraId="540CBBB1">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（4）《项目经理简历表》中拟派项目经理是否与《开标一览表》一致。</w:t>
      </w:r>
    </w:p>
    <w:p w14:paraId="6B9B0D89">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拟派项目经理、项目技术负责人、专职安全员的条件是否符合招标文件规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33FF0F7A">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12F54F61">
      <w:pPr>
        <w:keepNext w:val="0"/>
        <w:keepLines w:val="0"/>
        <w:pageBreakBefore w:val="0"/>
        <w:wordWrap w:val="0"/>
        <w:overflowPunct/>
        <w:topLinePunct w:val="0"/>
        <w:bidi w:val="0"/>
        <w:spacing w:before="152" w:line="360" w:lineRule="auto"/>
        <w:ind w:left="23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（7）投标人为外省建筑企业的，是否按规定在“进粤企业和人员诚信信息登记平台”录入企业及其拟派人员有关信息并通过数据规范检查。</w:t>
      </w:r>
    </w:p>
    <w:p w14:paraId="27E19AD3">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92" w:name="_Toc22778"/>
      <w:r>
        <w:rPr>
          <w:rFonts w:hint="eastAsia" w:ascii="宋体" w:hAnsi="宋体" w:eastAsia="宋体" w:cs="宋体"/>
          <w:b/>
          <w:bCs/>
          <w:color w:val="auto"/>
          <w:spacing w:val="0"/>
          <w:sz w:val="24"/>
          <w:szCs w:val="24"/>
          <w:highlight w:val="none"/>
        </w:rPr>
        <w:t xml:space="preserve">15.4.2 </w:t>
      </w:r>
      <w:r>
        <w:rPr>
          <w:rFonts w:hint="eastAsia" w:ascii="宋体" w:hAnsi="宋体" w:eastAsia="宋体" w:cs="宋体"/>
          <w:color w:val="auto"/>
          <w:spacing w:val="0"/>
          <w:sz w:val="24"/>
          <w:szCs w:val="24"/>
          <w:highlight w:val="none"/>
        </w:rPr>
        <w:t xml:space="preserve"> 形式评审环节</w:t>
      </w:r>
    </w:p>
    <w:p w14:paraId="72253524">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形式评审事</w:t>
      </w:r>
      <w:r>
        <w:rPr>
          <w:rFonts w:hint="eastAsia" w:ascii="宋体" w:hAnsi="宋体" w:eastAsia="宋体" w:cs="宋体"/>
          <w:color w:val="auto"/>
          <w:spacing w:val="0"/>
          <w:sz w:val="24"/>
          <w:szCs w:val="24"/>
          <w:highlight w:val="none"/>
          <w:lang w:eastAsia="zh-CN"/>
        </w:rPr>
        <w:t>项包括</w:t>
      </w:r>
      <w:bookmarkEnd w:id="92"/>
      <w:r>
        <w:rPr>
          <w:rFonts w:hint="eastAsia" w:ascii="宋体" w:hAnsi="宋体" w:eastAsia="宋体" w:cs="宋体"/>
          <w:color w:val="auto"/>
          <w:spacing w:val="0"/>
          <w:sz w:val="24"/>
          <w:szCs w:val="24"/>
          <w:highlight w:val="none"/>
          <w:lang w:eastAsia="zh-CN"/>
        </w:rPr>
        <w:t>：</w:t>
      </w:r>
    </w:p>
    <w:p w14:paraId="4EA57E30">
      <w:pPr>
        <w:keepNext w:val="0"/>
        <w:keepLines w:val="0"/>
        <w:pageBreakBefore w:val="0"/>
        <w:wordWrap w:val="0"/>
        <w:overflowPunct/>
        <w:topLinePunct w:val="0"/>
        <w:bidi w:val="0"/>
        <w:spacing w:before="40" w:line="360" w:lineRule="auto"/>
        <w:ind w:left="501"/>
        <w:outlineLvl w:val="9"/>
        <w:rPr>
          <w:rFonts w:hint="eastAsia" w:ascii="宋体" w:hAnsi="宋体" w:eastAsia="宋体" w:cs="宋体"/>
          <w:color w:val="auto"/>
          <w:spacing w:val="0"/>
          <w:sz w:val="24"/>
          <w:szCs w:val="24"/>
          <w:highlight w:val="none"/>
        </w:rPr>
      </w:pPr>
      <w:bookmarkStart w:id="93" w:name="_Toc23632"/>
      <w:bookmarkStart w:id="94" w:name="_Toc13304"/>
      <w:bookmarkStart w:id="95" w:name="_Toc4914"/>
      <w:bookmarkStart w:id="96" w:name="_Toc20481"/>
      <w:r>
        <w:rPr>
          <w:rFonts w:hint="eastAsia" w:ascii="宋体" w:hAnsi="宋体" w:eastAsia="宋体" w:cs="宋体"/>
          <w:color w:val="auto"/>
          <w:spacing w:val="0"/>
          <w:sz w:val="24"/>
          <w:szCs w:val="24"/>
          <w:highlight w:val="none"/>
        </w:rPr>
        <w:t>（1）各分册是否按招标文件规定加盖电子印章。</w:t>
      </w:r>
      <w:bookmarkEnd w:id="93"/>
      <w:bookmarkEnd w:id="94"/>
      <w:bookmarkEnd w:id="95"/>
      <w:bookmarkEnd w:id="96"/>
    </w:p>
    <w:p w14:paraId="1B27A302">
      <w:pPr>
        <w:keepNext w:val="0"/>
        <w:keepLines w:val="0"/>
        <w:pageBreakBefore w:val="0"/>
        <w:wordWrap w:val="0"/>
        <w:overflowPunct/>
        <w:topLinePunct w:val="0"/>
        <w:bidi w:val="0"/>
        <w:spacing w:before="15" w:line="360" w:lineRule="auto"/>
        <w:ind w:firstLine="480" w:firstLineChars="200"/>
        <w:outlineLvl w:val="9"/>
        <w:rPr>
          <w:rFonts w:hint="eastAsia" w:ascii="宋体" w:hAnsi="宋体" w:eastAsia="宋体" w:cs="宋体"/>
          <w:color w:val="auto"/>
          <w:spacing w:val="0"/>
          <w:sz w:val="24"/>
          <w:szCs w:val="24"/>
          <w:highlight w:val="none"/>
          <w:lang w:eastAsia="zh-CN"/>
        </w:rPr>
      </w:pPr>
      <w:bookmarkStart w:id="97" w:name="_Toc27432"/>
      <w:bookmarkStart w:id="98" w:name="_Toc28409"/>
      <w:bookmarkStart w:id="99" w:name="_Toc10806"/>
      <w:bookmarkStart w:id="100" w:name="_Toc12756"/>
      <w:r>
        <w:rPr>
          <w:rFonts w:hint="eastAsia" w:ascii="宋体" w:hAnsi="宋体" w:eastAsia="宋体" w:cs="宋体"/>
          <w:color w:val="auto"/>
          <w:spacing w:val="0"/>
          <w:sz w:val="24"/>
          <w:szCs w:val="24"/>
          <w:highlight w:val="none"/>
        </w:rPr>
        <w:t xml:space="preserve">（2）本节第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 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 xml:space="preserve"> 目中规定的“所有投标人均应提</w:t>
      </w:r>
      <w:bookmarkEnd w:id="97"/>
      <w:bookmarkEnd w:id="98"/>
      <w:bookmarkEnd w:id="99"/>
      <w:r>
        <w:rPr>
          <w:rFonts w:hint="eastAsia" w:ascii="宋体" w:hAnsi="宋体" w:eastAsia="宋体" w:cs="宋体"/>
          <w:color w:val="auto"/>
          <w:spacing w:val="0"/>
          <w:sz w:val="24"/>
          <w:szCs w:val="24"/>
          <w:highlight w:val="none"/>
        </w:rPr>
        <w:t>供 ”的组成内容（包括该组成内容的所附资料）是否完整、齐全</w:t>
      </w:r>
      <w:bookmarkEnd w:id="100"/>
      <w:r>
        <w:rPr>
          <w:rFonts w:hint="eastAsia" w:ascii="宋体" w:hAnsi="宋体" w:eastAsia="宋体" w:cs="宋体"/>
          <w:color w:val="auto"/>
          <w:spacing w:val="0"/>
          <w:sz w:val="24"/>
          <w:szCs w:val="24"/>
          <w:highlight w:val="none"/>
          <w:lang w:eastAsia="zh-CN"/>
        </w:rPr>
        <w:t>。</w:t>
      </w:r>
    </w:p>
    <w:p w14:paraId="5B0B29C4">
      <w:pPr>
        <w:keepNext w:val="0"/>
        <w:keepLines w:val="0"/>
        <w:pageBreakBefore w:val="0"/>
        <w:wordWrap w:val="0"/>
        <w:overflowPunct/>
        <w:topLinePunct w:val="0"/>
        <w:bidi w:val="0"/>
        <w:spacing w:before="15" w:line="360" w:lineRule="auto"/>
        <w:ind w:right="2" w:firstLine="482" w:firstLineChars="200"/>
        <w:jc w:val="both"/>
        <w:outlineLvl w:val="9"/>
        <w:rPr>
          <w:rFonts w:hint="eastAsia" w:ascii="宋体" w:hAnsi="宋体" w:eastAsia="宋体" w:cs="宋体"/>
          <w:color w:val="auto"/>
          <w:spacing w:val="0"/>
          <w:sz w:val="24"/>
          <w:szCs w:val="24"/>
          <w:highlight w:val="none"/>
        </w:rPr>
      </w:pPr>
      <w:bookmarkStart w:id="101" w:name="_Toc22562"/>
      <w:bookmarkStart w:id="102" w:name="_Toc22642"/>
      <w:bookmarkStart w:id="103" w:name="_Toc14202"/>
      <w:bookmarkStart w:id="104" w:name="_Toc16645"/>
      <w:r>
        <w:rPr>
          <w:rFonts w:hint="eastAsia" w:ascii="宋体" w:hAnsi="宋体" w:eastAsia="宋体" w:cs="宋体"/>
          <w:b/>
          <w:bCs/>
          <w:color w:val="auto"/>
          <w:spacing w:val="0"/>
          <w:sz w:val="24"/>
          <w:szCs w:val="24"/>
          <w:highlight w:val="none"/>
        </w:rPr>
        <w:t xml:space="preserve">15.4.3  </w:t>
      </w:r>
      <w:r>
        <w:rPr>
          <w:rFonts w:hint="eastAsia" w:ascii="宋体" w:hAnsi="宋体" w:eastAsia="宋体" w:cs="宋体"/>
          <w:color w:val="auto"/>
          <w:spacing w:val="0"/>
          <w:sz w:val="24"/>
          <w:szCs w:val="24"/>
          <w:highlight w:val="none"/>
        </w:rPr>
        <w:t xml:space="preserve">响应性评审环节 </w:t>
      </w:r>
    </w:p>
    <w:p w14:paraId="69F5E200">
      <w:pPr>
        <w:keepNext w:val="0"/>
        <w:keepLines w:val="0"/>
        <w:pageBreakBefore w:val="0"/>
        <w:wordWrap w:val="0"/>
        <w:overflowPunct/>
        <w:topLinePunct w:val="0"/>
        <w:bidi w:val="0"/>
        <w:spacing w:before="15" w:line="360" w:lineRule="auto"/>
        <w:ind w:right="2" w:firstLine="480" w:firstLineChars="200"/>
        <w:jc w:val="both"/>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响应性评审事</w:t>
      </w:r>
      <w:r>
        <w:rPr>
          <w:rFonts w:hint="eastAsia" w:ascii="宋体" w:hAnsi="宋体" w:eastAsia="宋体" w:cs="宋体"/>
          <w:color w:val="auto"/>
          <w:spacing w:val="0"/>
          <w:sz w:val="24"/>
          <w:szCs w:val="24"/>
          <w:highlight w:val="none"/>
          <w:lang w:eastAsia="zh-CN"/>
        </w:rPr>
        <w:t>项</w:t>
      </w:r>
      <w:r>
        <w:rPr>
          <w:rFonts w:hint="eastAsia" w:ascii="宋体" w:hAnsi="宋体" w:eastAsia="宋体" w:cs="宋体"/>
          <w:color w:val="auto"/>
          <w:spacing w:val="0"/>
          <w:sz w:val="24"/>
          <w:szCs w:val="24"/>
          <w:highlight w:val="none"/>
        </w:rPr>
        <w:t>包括：</w:t>
      </w:r>
      <w:bookmarkEnd w:id="101"/>
      <w:bookmarkEnd w:id="102"/>
      <w:bookmarkEnd w:id="103"/>
      <w:bookmarkEnd w:id="104"/>
    </w:p>
    <w:p w14:paraId="0A2173BC">
      <w:pPr>
        <w:keepNext w:val="0"/>
        <w:keepLines w:val="0"/>
        <w:pageBreakBefore w:val="0"/>
        <w:wordWrap w:val="0"/>
        <w:overflowPunct/>
        <w:topLinePunct w:val="0"/>
        <w:bidi w:val="0"/>
        <w:spacing w:before="155" w:line="360" w:lineRule="auto"/>
        <w:ind w:left="9"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（1）投标有效期、质量标准、工期等是否响应招标文件实质性要求；是否擅自修改、遗漏《投标函》《各项承诺一览表》的实质性内容。</w:t>
      </w:r>
    </w:p>
    <w:p w14:paraId="5225B394">
      <w:pPr>
        <w:keepNext w:val="0"/>
        <w:keepLines w:val="0"/>
        <w:pageBreakBefore w:val="0"/>
        <w:wordWrap w:val="0"/>
        <w:overflowPunct/>
        <w:topLinePunct w:val="0"/>
        <w:bidi w:val="0"/>
        <w:spacing w:before="152" w:line="360" w:lineRule="auto"/>
        <w:ind w:left="50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（2）编制《投标总价》的造价工程师，其注册证书是否合法、有效。</w:t>
      </w:r>
    </w:p>
    <w:p w14:paraId="407B50B8">
      <w:pPr>
        <w:keepNext w:val="0"/>
        <w:keepLines w:val="0"/>
        <w:pageBreakBefore w:val="0"/>
        <w:wordWrap w:val="0"/>
        <w:overflowPunct/>
        <w:topLinePunct w:val="0"/>
        <w:bidi w:val="0"/>
        <w:spacing w:before="158" w:line="360" w:lineRule="auto"/>
        <w:ind w:left="21" w:right="2"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（3）投标人委托造价咨询单位编制《投标总价》的，是否在《投标总价扉页》“投标人 ”栏目加盖造价咨询人公章；是否提供造价咨询人的营业执照副本彩色扫描件；</w:t>
      </w:r>
    </w:p>
    <w:p w14:paraId="33F4A496">
      <w:pPr>
        <w:keepNext w:val="0"/>
        <w:keepLines w:val="0"/>
        <w:pageBreakBefore w:val="0"/>
        <w:wordWrap w:val="0"/>
        <w:overflowPunct/>
        <w:topLinePunct w:val="0"/>
        <w:bidi w:val="0"/>
        <w:spacing w:before="158" w:line="360" w:lineRule="auto"/>
        <w:ind w:left="9" w:firstLine="49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（4）投标总价是否唯一；投标总价是否超出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是否达到最低要求；暂列金额、</w:t>
      </w:r>
      <w:r>
        <w:rPr>
          <w:rFonts w:hint="eastAsia" w:ascii="宋体" w:hAnsi="宋体" w:eastAsia="宋体" w:cs="宋体"/>
          <w:color w:val="auto"/>
          <w:spacing w:val="0"/>
          <w:sz w:val="24"/>
          <w:szCs w:val="24"/>
          <w:highlight w:val="none"/>
          <w:lang w:val="en-US" w:eastAsia="zh-CN"/>
        </w:rPr>
        <w:t>专业工程</w:t>
      </w:r>
      <w:r>
        <w:rPr>
          <w:rFonts w:hint="eastAsia" w:ascii="宋体" w:hAnsi="宋体" w:eastAsia="宋体" w:cs="宋体"/>
          <w:color w:val="auto"/>
          <w:spacing w:val="0"/>
          <w:sz w:val="24"/>
          <w:szCs w:val="24"/>
          <w:highlight w:val="none"/>
        </w:rPr>
        <w:t>暂估价是否按照招标工程量清单统一报价；投标人是否以低于成本的价格竞标。</w:t>
      </w:r>
    </w:p>
    <w:p w14:paraId="0FEFD797">
      <w:pPr>
        <w:keepNext w:val="0"/>
        <w:keepLines w:val="0"/>
        <w:pageBreakBefore w:val="0"/>
        <w:wordWrap w:val="0"/>
        <w:overflowPunct/>
        <w:topLinePunct w:val="0"/>
        <w:bidi w:val="0"/>
        <w:spacing w:before="38" w:line="360" w:lineRule="auto"/>
        <w:ind w:right="2" w:firstLine="482" w:firstLineChars="200"/>
        <w:jc w:val="both"/>
        <w:rPr>
          <w:rFonts w:hint="eastAsia" w:ascii="宋体" w:hAnsi="宋体" w:eastAsia="宋体" w:cs="宋体"/>
          <w:color w:val="auto"/>
          <w:spacing w:val="0"/>
          <w:position w:val="-8"/>
          <w:sz w:val="24"/>
          <w:szCs w:val="24"/>
          <w:highlight w:val="none"/>
        </w:rPr>
      </w:pPr>
      <w:r>
        <w:rPr>
          <w:rFonts w:hint="eastAsia" w:ascii="宋体" w:hAnsi="宋体" w:eastAsia="宋体" w:cs="宋体"/>
          <w:b/>
          <w:bCs/>
          <w:color w:val="auto"/>
          <w:spacing w:val="0"/>
          <w:sz w:val="24"/>
          <w:szCs w:val="24"/>
          <w:highlight w:val="none"/>
        </w:rPr>
        <w:t>注：如果某投标人的投标总价下浮率超过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15% ，又未提供相应书面说明和佐证</w:t>
      </w:r>
      <w:bookmarkStart w:id="105" w:name="bookmark127"/>
      <w:bookmarkEnd w:id="105"/>
      <w:r>
        <w:rPr>
          <w:rFonts w:hint="eastAsia" w:ascii="宋体" w:hAnsi="宋体" w:eastAsia="宋体" w:cs="宋体"/>
          <w:b/>
          <w:bCs/>
          <w:color w:val="auto"/>
          <w:spacing w:val="0"/>
          <w:sz w:val="24"/>
          <w:szCs w:val="24"/>
          <w:highlight w:val="none"/>
        </w:rPr>
        <w:t>材料或提供的书面说明和佐证材料不能令人信服的，评标委员会应认定其以低于成本的价格竞标，并否决其投标。评标委员会接受该投标人的投标总价而未否决其投标的，应在评标报告中说明判断理由。投标总价下浮率＝（1－投标总价÷</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）×100% 。</w:t>
      </w:r>
    </w:p>
    <w:p w14:paraId="2485C4DD">
      <w:pPr>
        <w:keepNext w:val="0"/>
        <w:keepLines w:val="0"/>
        <w:pageBreakBefore w:val="0"/>
        <w:wordWrap w:val="0"/>
        <w:overflowPunct/>
        <w:topLinePunct w:val="0"/>
        <w:bidi w:val="0"/>
        <w:spacing w:before="157" w:line="360" w:lineRule="auto"/>
        <w:ind w:left="11" w:right="114" w:firstLine="501" w:firstLineChars="20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（5）施工组织设计的质量、进度保障措施是否符合国家和省市现行有关规范、规定、标准，是否能实现工程质量、进度管理目标。</w:t>
      </w:r>
    </w:p>
    <w:p w14:paraId="27A6EA2D">
      <w:pPr>
        <w:keepNext w:val="0"/>
        <w:keepLines w:val="0"/>
        <w:pageBreakBefore w:val="0"/>
        <w:wordWrap w:val="0"/>
        <w:overflowPunct/>
        <w:topLinePunct w:val="0"/>
        <w:bidi w:val="0"/>
        <w:spacing w:before="82" w:line="360" w:lineRule="auto"/>
        <w:ind w:left="580"/>
        <w:outlineLvl w:val="9"/>
        <w:rPr>
          <w:rFonts w:hint="eastAsia" w:ascii="宋体" w:hAnsi="宋体" w:eastAsia="宋体" w:cs="宋体"/>
          <w:color w:val="auto"/>
          <w:spacing w:val="0"/>
          <w:sz w:val="24"/>
          <w:szCs w:val="24"/>
          <w:highlight w:val="none"/>
        </w:rPr>
      </w:pPr>
      <w:bookmarkStart w:id="106" w:name="_Toc15367"/>
      <w:bookmarkStart w:id="107" w:name="_Toc19814"/>
      <w:bookmarkStart w:id="108" w:name="_Toc32114"/>
      <w:bookmarkStart w:id="109" w:name="_Toc18204"/>
      <w:r>
        <w:rPr>
          <w:rFonts w:hint="eastAsia" w:ascii="宋体" w:hAnsi="宋体" w:eastAsia="宋体" w:cs="宋体"/>
          <w:b/>
          <w:bCs/>
          <w:color w:val="auto"/>
          <w:spacing w:val="0"/>
          <w:sz w:val="24"/>
          <w:szCs w:val="24"/>
          <w:highlight w:val="none"/>
        </w:rPr>
        <w:t xml:space="preserve">15.4.4  </w:t>
      </w:r>
      <w:r>
        <w:rPr>
          <w:rFonts w:hint="eastAsia" w:ascii="宋体" w:hAnsi="宋体" w:eastAsia="宋体" w:cs="宋体"/>
          <w:color w:val="auto"/>
          <w:spacing w:val="0"/>
          <w:sz w:val="24"/>
          <w:szCs w:val="24"/>
          <w:highlight w:val="none"/>
        </w:rPr>
        <w:t>否决投标说明</w:t>
      </w:r>
      <w:bookmarkEnd w:id="106"/>
      <w:bookmarkEnd w:id="107"/>
      <w:bookmarkEnd w:id="108"/>
      <w:bookmarkEnd w:id="109"/>
    </w:p>
    <w:p w14:paraId="71D5DBDC">
      <w:pPr>
        <w:keepNext w:val="0"/>
        <w:keepLines w:val="0"/>
        <w:pageBreakBefore w:val="0"/>
        <w:wordWrap w:val="0"/>
        <w:overflowPunct/>
        <w:topLinePunct w:val="0"/>
        <w:bidi w:val="0"/>
        <w:spacing w:before="152" w:line="360" w:lineRule="auto"/>
        <w:ind w:left="11" w:right="175" w:firstLine="5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初步评审阶段各个环节否决投标的全部条件，在本章第四节“否决投标条件”第</w:t>
      </w:r>
      <w:r>
        <w:rPr>
          <w:rFonts w:hint="eastAsia" w:ascii="宋体" w:hAnsi="宋体" w:eastAsia="宋体" w:cs="宋体"/>
          <w:b/>
          <w:bCs/>
          <w:color w:val="auto"/>
          <w:spacing w:val="0"/>
          <w:sz w:val="24"/>
          <w:szCs w:val="24"/>
          <w:highlight w:val="none"/>
        </w:rPr>
        <w:t xml:space="preserve">1 </w:t>
      </w:r>
      <w:r>
        <w:rPr>
          <w:rFonts w:hint="eastAsia" w:ascii="宋体" w:hAnsi="宋体" w:eastAsia="宋体" w:cs="宋体"/>
          <w:color w:val="auto"/>
          <w:spacing w:val="0"/>
          <w:sz w:val="24"/>
          <w:szCs w:val="24"/>
          <w:highlight w:val="none"/>
        </w:rPr>
        <w:t xml:space="preserve">条至第 </w:t>
      </w:r>
      <w:r>
        <w:rPr>
          <w:rFonts w:hint="eastAsia" w:ascii="宋体" w:hAnsi="宋体" w:eastAsia="宋体" w:cs="宋体"/>
          <w:b/>
          <w:bCs/>
          <w:color w:val="auto"/>
          <w:spacing w:val="0"/>
          <w:sz w:val="24"/>
          <w:szCs w:val="24"/>
          <w:highlight w:val="none"/>
        </w:rPr>
        <w:t xml:space="preserve">4 </w:t>
      </w:r>
      <w:r>
        <w:rPr>
          <w:rFonts w:hint="eastAsia" w:ascii="宋体" w:hAnsi="宋体" w:eastAsia="宋体" w:cs="宋体"/>
          <w:color w:val="auto"/>
          <w:spacing w:val="0"/>
          <w:sz w:val="24"/>
          <w:szCs w:val="24"/>
          <w:highlight w:val="none"/>
        </w:rPr>
        <w:t>条中集中列示。投标人有其中所列任何一种情形的，由评标委员会否决其投标。在初步评审阶段任何环节被否决的投标人，不进入下一环节（或阶段）评审。在初步评审阶段任何环节</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评标委员会经评审，认为所有投标都不符合招标文件要求的，可否决所有投标，项目的所有投标被否决的，招标人应依法重新组织招标。</w:t>
      </w:r>
    </w:p>
    <w:p w14:paraId="132A65C3">
      <w:pPr>
        <w:keepNext w:val="0"/>
        <w:keepLines w:val="0"/>
        <w:pageBreakBefore w:val="0"/>
        <w:wordWrap w:val="0"/>
        <w:overflowPunct/>
        <w:topLinePunct w:val="0"/>
        <w:bidi w:val="0"/>
        <w:spacing w:before="78" w:line="360" w:lineRule="auto"/>
        <w:ind w:left="5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drawing>
          <wp:anchor distT="0" distB="0" distL="114300" distR="114300" simplePos="0" relativeHeight="251663360"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31"/>
                    <a:stretch>
                      <a:fillRect/>
                    </a:stretch>
                  </pic:blipFill>
                  <pic:spPr>
                    <a:xfrm>
                      <a:off x="0" y="0"/>
                      <a:ext cx="6350" cy="279400"/>
                    </a:xfrm>
                    <a:prstGeom prst="rect">
                      <a:avLst/>
                    </a:prstGeom>
                    <a:noFill/>
                    <a:ln>
                      <a:noFill/>
                    </a:ln>
                  </pic:spPr>
                </pic:pic>
              </a:graphicData>
            </a:graphic>
          </wp:anchor>
        </w:drawing>
      </w:r>
      <w:bookmarkStart w:id="110" w:name="bookmark128"/>
      <w:bookmarkEnd w:id="110"/>
      <w:r>
        <w:rPr>
          <w:rFonts w:hint="eastAsia" w:ascii="宋体" w:hAnsi="宋体" w:eastAsia="宋体" w:cs="宋体"/>
          <w:b/>
          <w:bCs/>
          <w:color w:val="auto"/>
          <w:spacing w:val="0"/>
          <w:sz w:val="24"/>
          <w:szCs w:val="24"/>
          <w:highlight w:val="none"/>
        </w:rPr>
        <w:t xml:space="preserve">15.5  </w:t>
      </w:r>
      <w:r>
        <w:rPr>
          <w:rFonts w:hint="eastAsia" w:ascii="宋体" w:hAnsi="宋体" w:eastAsia="宋体" w:cs="宋体"/>
          <w:color w:val="auto"/>
          <w:spacing w:val="0"/>
          <w:sz w:val="24"/>
          <w:szCs w:val="24"/>
          <w:highlight w:val="none"/>
        </w:rPr>
        <w:t>详细评审阶段</w:t>
      </w:r>
    </w:p>
    <w:p w14:paraId="60660A02">
      <w:pPr>
        <w:keepNext w:val="0"/>
        <w:keepLines w:val="0"/>
        <w:pageBreakBefore w:val="0"/>
        <w:wordWrap w:val="0"/>
        <w:overflowPunct/>
        <w:topLinePunct w:val="0"/>
        <w:bidi w:val="0"/>
        <w:spacing w:before="81" w:line="360" w:lineRule="auto"/>
        <w:ind w:left="498"/>
        <w:outlineLvl w:val="9"/>
        <w:rPr>
          <w:rFonts w:hint="eastAsia" w:ascii="宋体" w:hAnsi="宋体" w:eastAsia="宋体" w:cs="宋体"/>
          <w:color w:val="auto"/>
          <w:spacing w:val="0"/>
          <w:sz w:val="24"/>
          <w:szCs w:val="24"/>
          <w:highlight w:val="none"/>
        </w:rPr>
      </w:pPr>
      <w:bookmarkStart w:id="111" w:name="_Toc4119"/>
      <w:bookmarkStart w:id="112" w:name="_Toc28572"/>
      <w:bookmarkStart w:id="113" w:name="_Toc10503"/>
      <w:bookmarkStart w:id="114" w:name="_Toc14991"/>
      <w:r>
        <w:rPr>
          <w:rFonts w:hint="eastAsia" w:ascii="宋体" w:hAnsi="宋体" w:eastAsia="宋体" w:cs="宋体"/>
          <w:b/>
          <w:bCs/>
          <w:color w:val="auto"/>
          <w:spacing w:val="0"/>
          <w:sz w:val="24"/>
          <w:szCs w:val="24"/>
          <w:highlight w:val="none"/>
        </w:rPr>
        <w:t xml:space="preserve">15.5.1  </w:t>
      </w:r>
      <w:r>
        <w:rPr>
          <w:rFonts w:hint="eastAsia" w:ascii="宋体" w:hAnsi="宋体" w:eastAsia="宋体" w:cs="宋体"/>
          <w:color w:val="auto"/>
          <w:spacing w:val="0"/>
          <w:sz w:val="24"/>
          <w:szCs w:val="24"/>
          <w:highlight w:val="none"/>
        </w:rPr>
        <w:t>“综合评估法 ”评审程序</w:t>
      </w:r>
      <w:bookmarkEnd w:id="111"/>
      <w:bookmarkEnd w:id="112"/>
      <w:bookmarkEnd w:id="113"/>
      <w:bookmarkEnd w:id="114"/>
    </w:p>
    <w:p w14:paraId="1C11D96B">
      <w:pPr>
        <w:keepNext w:val="0"/>
        <w:keepLines w:val="0"/>
        <w:pageBreakBefore w:val="0"/>
        <w:wordWrap w:val="0"/>
        <w:overflowPunct/>
        <w:topLinePunct w:val="0"/>
        <w:bidi w:val="0"/>
        <w:spacing w:before="152" w:line="360" w:lineRule="auto"/>
        <w:ind w:left="14" w:right="8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评审内容分为商务技术和投标报价两大部分。其中，商务技术合计满分</w:t>
      </w:r>
      <w:r>
        <w:rPr>
          <w:rFonts w:hint="eastAsia" w:ascii="宋体" w:hAnsi="宋体" w:eastAsia="宋体" w:cs="宋体"/>
          <w:color w:val="auto"/>
          <w:spacing w:val="0"/>
          <w:sz w:val="24"/>
          <w:szCs w:val="24"/>
          <w:highlight w:val="none"/>
          <w:lang w:eastAsia="zh-CN"/>
        </w:rPr>
        <w:t>100</w:t>
      </w:r>
      <w:r>
        <w:rPr>
          <w:rFonts w:hint="eastAsia" w:ascii="宋体" w:hAnsi="宋体" w:eastAsia="宋体" w:cs="宋体"/>
          <w:color w:val="auto"/>
          <w:spacing w:val="0"/>
          <w:sz w:val="24"/>
          <w:szCs w:val="24"/>
          <w:highlight w:val="none"/>
        </w:rPr>
        <w:t>分，权重为</w:t>
      </w:r>
      <w:r>
        <w:rPr>
          <w:rFonts w:hint="eastAsia" w:ascii="宋体" w:hAnsi="宋体" w:eastAsia="宋体" w:cs="宋体"/>
          <w:color w:val="auto"/>
          <w:spacing w:val="0"/>
          <w:sz w:val="24"/>
          <w:szCs w:val="24"/>
          <w:highlight w:val="none"/>
          <w:lang w:eastAsia="zh-CN"/>
        </w:rPr>
        <w:t>40</w:t>
      </w:r>
      <w:r>
        <w:rPr>
          <w:rFonts w:hint="eastAsia" w:ascii="宋体" w:hAnsi="宋体" w:eastAsia="宋体" w:cs="宋体"/>
          <w:color w:val="auto"/>
          <w:spacing w:val="0"/>
          <w:sz w:val="24"/>
          <w:szCs w:val="24"/>
          <w:highlight w:val="none"/>
        </w:rPr>
        <w:t>%；投标报价满分 100 分，权重为</w:t>
      </w:r>
      <w:r>
        <w:rPr>
          <w:rFonts w:hint="eastAsia" w:ascii="宋体" w:hAnsi="宋体" w:eastAsia="宋体" w:cs="宋体"/>
          <w:color w:val="auto"/>
          <w:spacing w:val="0"/>
          <w:sz w:val="24"/>
          <w:szCs w:val="24"/>
          <w:highlight w:val="none"/>
          <w:lang w:eastAsia="zh-CN"/>
        </w:rPr>
        <w:t>60</w:t>
      </w:r>
      <w:r>
        <w:rPr>
          <w:rFonts w:hint="eastAsia" w:ascii="宋体" w:hAnsi="宋体" w:eastAsia="宋体" w:cs="宋体"/>
          <w:color w:val="auto"/>
          <w:spacing w:val="0"/>
          <w:sz w:val="24"/>
          <w:szCs w:val="24"/>
          <w:highlight w:val="none"/>
        </w:rPr>
        <w:t>% 。两大部分权重之和应为 100%。</w:t>
      </w:r>
    </w:p>
    <w:p w14:paraId="3ABDDFFD">
      <w:pPr>
        <w:keepNext w:val="0"/>
        <w:keepLines w:val="0"/>
        <w:pageBreakBefore w:val="0"/>
        <w:wordWrap w:val="0"/>
        <w:overflowPunct/>
        <w:topLinePunct w:val="0"/>
        <w:bidi w:val="0"/>
        <w:spacing w:before="153" w:line="360" w:lineRule="auto"/>
        <w:ind w:left="14"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除特别注明外，综合得分以及商务技术得分、投标报价得分的中间过程计算值和最终值，均按“ 四舍五入 ”原则精确到两位小数。</w:t>
      </w:r>
    </w:p>
    <w:p w14:paraId="11F14EEB">
      <w:pPr>
        <w:keepNext w:val="0"/>
        <w:keepLines w:val="0"/>
        <w:pageBreakBefore w:val="0"/>
        <w:wordWrap w:val="0"/>
        <w:overflowPunct/>
        <w:topLinePunct w:val="0"/>
        <w:bidi w:val="0"/>
        <w:spacing w:before="38" w:line="360" w:lineRule="auto"/>
        <w:ind w:left="503"/>
        <w:outlineLvl w:val="9"/>
        <w:rPr>
          <w:rFonts w:hint="eastAsia" w:ascii="宋体" w:hAnsi="宋体" w:eastAsia="宋体" w:cs="宋体"/>
          <w:color w:val="auto"/>
          <w:spacing w:val="0"/>
          <w:sz w:val="24"/>
          <w:szCs w:val="24"/>
          <w:highlight w:val="none"/>
        </w:rPr>
      </w:pPr>
      <w:bookmarkStart w:id="115" w:name="_Toc10398"/>
      <w:bookmarkStart w:id="116" w:name="_Toc18029"/>
      <w:bookmarkStart w:id="117" w:name="_Toc17510"/>
      <w:bookmarkStart w:id="118" w:name="_Toc22949"/>
      <w:r>
        <w:rPr>
          <w:rFonts w:hint="eastAsia" w:ascii="宋体" w:hAnsi="宋体" w:eastAsia="宋体" w:cs="宋体"/>
          <w:color w:val="auto"/>
          <w:spacing w:val="0"/>
          <w:sz w:val="24"/>
          <w:szCs w:val="24"/>
          <w:highlight w:val="none"/>
        </w:rPr>
        <w:t>（1）商务技术得分 M</w:t>
      </w:r>
      <w:bookmarkEnd w:id="115"/>
      <w:bookmarkEnd w:id="116"/>
      <w:bookmarkEnd w:id="117"/>
      <w:bookmarkEnd w:id="118"/>
    </w:p>
    <w:p w14:paraId="7F4E18BB">
      <w:pPr>
        <w:keepNext w:val="0"/>
        <w:keepLines w:val="0"/>
        <w:pageBreakBefore w:val="0"/>
        <w:wordWrap w:val="0"/>
        <w:overflowPunct/>
        <w:topLinePunct w:val="0"/>
        <w:bidi w:val="0"/>
        <w:spacing w:before="153" w:line="360" w:lineRule="auto"/>
        <w:ind w:left="15" w:right="8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．评标委员会按照《综合评分表》商务部分指定的评分标准对各评分因素进行打分。各评分因素得分之和即为某投标人的商务得分 M</w:t>
      </w:r>
      <w:r>
        <w:rPr>
          <w:rFonts w:hint="eastAsia" w:ascii="宋体" w:hAnsi="宋体" w:eastAsia="宋体" w:cs="宋体"/>
          <w:color w:val="auto"/>
          <w:spacing w:val="0"/>
          <w:position w:val="-1"/>
          <w:sz w:val="24"/>
          <w:szCs w:val="24"/>
          <w:highlight w:val="none"/>
        </w:rPr>
        <w:t>1</w:t>
      </w:r>
      <w:r>
        <w:rPr>
          <w:rFonts w:hint="eastAsia" w:ascii="宋体" w:hAnsi="宋体" w:eastAsia="宋体" w:cs="宋体"/>
          <w:color w:val="auto"/>
          <w:spacing w:val="0"/>
          <w:sz w:val="24"/>
          <w:szCs w:val="24"/>
          <w:highlight w:val="none"/>
        </w:rPr>
        <w:t>。</w:t>
      </w:r>
    </w:p>
    <w:p w14:paraId="20931295">
      <w:pPr>
        <w:keepNext w:val="0"/>
        <w:keepLines w:val="0"/>
        <w:pageBreakBefore w:val="0"/>
        <w:wordWrap w:val="0"/>
        <w:overflowPunct/>
        <w:topLinePunct w:val="0"/>
        <w:bidi w:val="0"/>
        <w:spacing w:before="154" w:line="360" w:lineRule="auto"/>
        <w:ind w:left="12" w:right="8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评标委员会各成员独立按照《综合评分表》技术部分（施工组织设计）指定的评分标准对各评分因素进行打分，累加后得出技术评分。将评标委员会所有成员的技术评分去掉最高分和最低分后，取算术平均值，即为某投标人的技术得分 M</w:t>
      </w:r>
      <w:r>
        <w:rPr>
          <w:rFonts w:hint="eastAsia" w:ascii="宋体" w:hAnsi="宋体" w:eastAsia="宋体" w:cs="宋体"/>
          <w:color w:val="auto"/>
          <w:spacing w:val="0"/>
          <w:position w:val="-1"/>
          <w:sz w:val="24"/>
          <w:szCs w:val="24"/>
          <w:highlight w:val="none"/>
        </w:rPr>
        <w:t>2</w:t>
      </w:r>
      <w:r>
        <w:rPr>
          <w:rFonts w:hint="eastAsia" w:ascii="宋体" w:hAnsi="宋体" w:eastAsia="宋体" w:cs="宋体"/>
          <w:color w:val="auto"/>
          <w:spacing w:val="0"/>
          <w:sz w:val="24"/>
          <w:szCs w:val="24"/>
          <w:highlight w:val="none"/>
        </w:rPr>
        <w:t>。</w:t>
      </w:r>
    </w:p>
    <w:p w14:paraId="0C018EDE">
      <w:pPr>
        <w:keepNext w:val="0"/>
        <w:keepLines w:val="0"/>
        <w:pageBreakBefore w:val="0"/>
        <w:wordWrap w:val="0"/>
        <w:overflowPunct/>
        <w:topLinePunct w:val="0"/>
        <w:bidi w:val="0"/>
        <w:spacing w:before="155" w:line="360" w:lineRule="auto"/>
        <w:ind w:left="491"/>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c </w:t>
      </w:r>
      <w:r>
        <w:rPr>
          <w:rFonts w:hint="eastAsia" w:ascii="宋体" w:hAnsi="宋体" w:eastAsia="宋体" w:cs="宋体"/>
          <w:color w:val="auto"/>
          <w:spacing w:val="0"/>
          <w:sz w:val="24"/>
          <w:szCs w:val="24"/>
          <w:highlight w:val="none"/>
        </w:rPr>
        <w:t>．M ＝M</w:t>
      </w:r>
      <w:r>
        <w:rPr>
          <w:rFonts w:hint="eastAsia" w:ascii="宋体" w:hAnsi="宋体" w:eastAsia="宋体" w:cs="宋体"/>
          <w:color w:val="auto"/>
          <w:spacing w:val="0"/>
          <w:position w:val="-1"/>
          <w:sz w:val="24"/>
          <w:szCs w:val="24"/>
          <w:highlight w:val="none"/>
        </w:rPr>
        <w:t>1</w:t>
      </w:r>
      <w:r>
        <w:rPr>
          <w:rFonts w:hint="eastAsia" w:ascii="宋体" w:hAnsi="宋体" w:eastAsia="宋体" w:cs="宋体"/>
          <w:color w:val="auto"/>
          <w:spacing w:val="0"/>
          <w:sz w:val="24"/>
          <w:szCs w:val="24"/>
          <w:highlight w:val="none"/>
        </w:rPr>
        <w:t>＋M</w:t>
      </w:r>
      <w:r>
        <w:rPr>
          <w:rFonts w:hint="eastAsia" w:ascii="宋体" w:hAnsi="宋体" w:eastAsia="宋体" w:cs="宋体"/>
          <w:color w:val="auto"/>
          <w:spacing w:val="0"/>
          <w:position w:val="-1"/>
          <w:sz w:val="24"/>
          <w:szCs w:val="24"/>
          <w:highlight w:val="none"/>
        </w:rPr>
        <w:t>2</w:t>
      </w:r>
    </w:p>
    <w:p w14:paraId="277B94CD">
      <w:pPr>
        <w:keepNext w:val="0"/>
        <w:keepLines w:val="0"/>
        <w:pageBreakBefore w:val="0"/>
        <w:wordWrap w:val="0"/>
        <w:overflowPunct/>
        <w:topLinePunct w:val="0"/>
        <w:bidi w:val="0"/>
        <w:spacing w:before="139" w:line="360" w:lineRule="auto"/>
        <w:ind w:left="49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w:t>
      </w:r>
      <w:r>
        <w:rPr>
          <w:rFonts w:hint="eastAsia" w:ascii="宋体" w:hAnsi="宋体" w:eastAsia="宋体" w:cs="宋体"/>
          <w:color w:val="auto"/>
          <w:spacing w:val="0"/>
          <w:position w:val="-1"/>
          <w:sz w:val="24"/>
          <w:szCs w:val="24"/>
          <w:highlight w:val="none"/>
        </w:rPr>
        <w:t>1</w:t>
      </w:r>
      <w:r>
        <w:rPr>
          <w:rFonts w:hint="eastAsia" w:ascii="宋体" w:hAnsi="宋体" w:eastAsia="宋体" w:cs="宋体"/>
          <w:color w:val="auto"/>
          <w:spacing w:val="0"/>
          <w:w w:val="101"/>
          <w:position w:val="-1"/>
          <w:sz w:val="24"/>
          <w:szCs w:val="24"/>
          <w:highlight w:val="none"/>
        </w:rPr>
        <w:t xml:space="preserve"> </w:t>
      </w:r>
      <w:r>
        <w:rPr>
          <w:rFonts w:hint="eastAsia" w:ascii="宋体" w:hAnsi="宋体" w:eastAsia="宋体" w:cs="宋体"/>
          <w:color w:val="auto"/>
          <w:spacing w:val="0"/>
          <w:sz w:val="24"/>
          <w:szCs w:val="24"/>
          <w:highlight w:val="none"/>
        </w:rPr>
        <w:t>为某投标人的商务得分，M</w:t>
      </w:r>
      <w:r>
        <w:rPr>
          <w:rFonts w:hint="eastAsia" w:ascii="宋体" w:hAnsi="宋体" w:eastAsia="宋体" w:cs="宋体"/>
          <w:color w:val="auto"/>
          <w:spacing w:val="0"/>
          <w:position w:val="-1"/>
          <w:sz w:val="24"/>
          <w:szCs w:val="24"/>
          <w:highlight w:val="none"/>
        </w:rPr>
        <w:t xml:space="preserve">2 </w:t>
      </w:r>
      <w:r>
        <w:rPr>
          <w:rFonts w:hint="eastAsia" w:ascii="宋体" w:hAnsi="宋体" w:eastAsia="宋体" w:cs="宋体"/>
          <w:color w:val="auto"/>
          <w:spacing w:val="0"/>
          <w:sz w:val="24"/>
          <w:szCs w:val="24"/>
          <w:highlight w:val="none"/>
        </w:rPr>
        <w:t>为某投标人的技术得分。</w:t>
      </w:r>
    </w:p>
    <w:p w14:paraId="6B037580">
      <w:pPr>
        <w:keepNext w:val="0"/>
        <w:keepLines w:val="0"/>
        <w:pageBreakBefore w:val="0"/>
        <w:wordWrap w:val="0"/>
        <w:overflowPunct/>
        <w:topLinePunct w:val="0"/>
        <w:bidi w:val="0"/>
        <w:spacing w:before="153" w:line="360" w:lineRule="auto"/>
        <w:ind w:left="503"/>
        <w:outlineLvl w:val="9"/>
        <w:rPr>
          <w:rFonts w:hint="eastAsia" w:ascii="宋体" w:hAnsi="宋体" w:eastAsia="宋体" w:cs="宋体"/>
          <w:color w:val="auto"/>
          <w:spacing w:val="0"/>
          <w:sz w:val="24"/>
          <w:szCs w:val="24"/>
          <w:highlight w:val="none"/>
        </w:rPr>
      </w:pPr>
      <w:bookmarkStart w:id="119" w:name="_Toc14059"/>
      <w:bookmarkStart w:id="120" w:name="_Toc16136"/>
      <w:bookmarkStart w:id="121" w:name="_Toc27609"/>
      <w:bookmarkStart w:id="122" w:name="_Toc3958"/>
      <w:r>
        <w:rPr>
          <w:rFonts w:hint="eastAsia" w:ascii="宋体" w:hAnsi="宋体" w:eastAsia="宋体" w:cs="宋体"/>
          <w:color w:val="auto"/>
          <w:spacing w:val="0"/>
          <w:sz w:val="24"/>
          <w:szCs w:val="24"/>
          <w:highlight w:val="none"/>
        </w:rPr>
        <w:t>（2）投标报价得分 N</w:t>
      </w:r>
      <w:bookmarkEnd w:id="119"/>
      <w:bookmarkEnd w:id="120"/>
      <w:bookmarkEnd w:id="121"/>
      <w:bookmarkEnd w:id="122"/>
    </w:p>
    <w:p w14:paraId="1BB7535A">
      <w:pPr>
        <w:keepNext w:val="0"/>
        <w:keepLines w:val="0"/>
        <w:pageBreakBefore w:val="0"/>
        <w:wordWrap w:val="0"/>
        <w:overflowPunct/>
        <w:topLinePunct w:val="0"/>
        <w:bidi w:val="0"/>
        <w:spacing w:before="157" w:line="360" w:lineRule="auto"/>
        <w:ind w:firstLine="482"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．评标委员会按照《综合评分表》投标报价部分指定的方法计算评标基准价 D。</w:t>
      </w:r>
    </w:p>
    <w:p w14:paraId="58AA9DB6">
      <w:pPr>
        <w:keepNext w:val="0"/>
        <w:keepLines w:val="0"/>
        <w:pageBreakBefore w:val="0"/>
        <w:wordWrap w:val="0"/>
        <w:overflowPunct/>
        <w:topLinePunct w:val="0"/>
        <w:bidi w:val="0"/>
        <w:spacing w:before="155" w:line="360" w:lineRule="auto"/>
        <w:ind w:left="12" w:right="83"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b </w:t>
      </w:r>
      <w:r>
        <w:rPr>
          <w:rFonts w:hint="eastAsia" w:ascii="宋体" w:hAnsi="宋体" w:eastAsia="宋体" w:cs="宋体"/>
          <w:color w:val="auto"/>
          <w:spacing w:val="0"/>
          <w:sz w:val="24"/>
          <w:szCs w:val="24"/>
          <w:highlight w:val="none"/>
        </w:rPr>
        <w:t xml:space="preserve">．采用内插法计算某投标人的投标报价得分 N ，即当投标人的投标总价等于评标基准价时得 100 分，每高于评标基准价一个百分点扣 </w:t>
      </w:r>
      <w:r>
        <w:rPr>
          <w:rFonts w:hint="eastAsia" w:ascii="宋体" w:hAnsi="宋体" w:eastAsia="宋体" w:cs="宋体"/>
          <w:b/>
          <w:bCs/>
          <w:color w:val="auto"/>
          <w:spacing w:val="0"/>
          <w:sz w:val="24"/>
          <w:szCs w:val="24"/>
          <w:highlight w:val="none"/>
        </w:rPr>
        <w:t xml:space="preserve">1 分, </w:t>
      </w:r>
      <w:r>
        <w:rPr>
          <w:rFonts w:hint="eastAsia" w:ascii="宋体" w:hAnsi="宋体" w:eastAsia="宋体" w:cs="宋体"/>
          <w:color w:val="auto"/>
          <w:spacing w:val="0"/>
          <w:sz w:val="24"/>
          <w:szCs w:val="24"/>
          <w:highlight w:val="none"/>
        </w:rPr>
        <w:t xml:space="preserve">每低于评标基准价一个百分点扣 </w:t>
      </w:r>
      <w:r>
        <w:rPr>
          <w:rFonts w:hint="eastAsia" w:ascii="宋体" w:hAnsi="宋体" w:eastAsia="宋体" w:cs="宋体"/>
          <w:b/>
          <w:bCs/>
          <w:color w:val="auto"/>
          <w:spacing w:val="0"/>
          <w:sz w:val="24"/>
          <w:szCs w:val="24"/>
          <w:highlight w:val="none"/>
        </w:rPr>
        <w:t>0.5 分</w:t>
      </w:r>
      <w:r>
        <w:rPr>
          <w:rFonts w:hint="eastAsia" w:ascii="宋体" w:hAnsi="宋体" w:eastAsia="宋体" w:cs="宋体"/>
          <w:color w:val="auto"/>
          <w:spacing w:val="0"/>
          <w:sz w:val="24"/>
          <w:szCs w:val="24"/>
          <w:highlight w:val="none"/>
        </w:rPr>
        <w:t>，扣完为止。公式如下：</w:t>
      </w:r>
    </w:p>
    <w:p w14:paraId="232F1429">
      <w:pPr>
        <w:keepNext w:val="0"/>
        <w:keepLines w:val="0"/>
        <w:pageBreakBefore w:val="0"/>
        <w:wordWrap w:val="0"/>
        <w:overflowPunct/>
        <w:topLinePunct w:val="0"/>
        <w:bidi w:val="0"/>
        <w:spacing w:before="118" w:line="360" w:lineRule="auto"/>
        <w:ind w:left="24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N ＝100－（| Di－D | ÷D） × 100×E</w:t>
      </w:r>
    </w:p>
    <w:p w14:paraId="6B667673">
      <w:pPr>
        <w:keepNext w:val="0"/>
        <w:keepLines w:val="0"/>
        <w:pageBreakBefore w:val="0"/>
        <w:wordWrap w:val="0"/>
        <w:overflowPunct/>
        <w:topLinePunct w:val="0"/>
        <w:bidi w:val="0"/>
        <w:spacing w:before="106" w:line="360" w:lineRule="auto"/>
        <w:ind w:left="7" w:right="17"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式中：D 为评标基准价；Di为某投标人的投标总价；E 为扣分因子，当 Di＞D时，E ＝</w:t>
      </w:r>
      <w:r>
        <w:rPr>
          <w:rFonts w:hint="eastAsia" w:ascii="宋体" w:hAnsi="宋体" w:eastAsia="宋体" w:cs="宋体"/>
          <w:b/>
          <w:bCs/>
          <w:color w:val="auto"/>
          <w:spacing w:val="0"/>
          <w:sz w:val="24"/>
          <w:szCs w:val="24"/>
          <w:highlight w:val="none"/>
        </w:rPr>
        <w:t>1 ；</w:t>
      </w:r>
      <w:r>
        <w:rPr>
          <w:rFonts w:hint="eastAsia" w:ascii="宋体" w:hAnsi="宋体" w:eastAsia="宋体" w:cs="宋体"/>
          <w:color w:val="auto"/>
          <w:spacing w:val="0"/>
          <w:sz w:val="24"/>
          <w:szCs w:val="24"/>
          <w:highlight w:val="none"/>
        </w:rPr>
        <w:t>当 Di＜D</w:t>
      </w:r>
      <w:r>
        <w:rPr>
          <w:rFonts w:hint="eastAsia" w:ascii="宋体" w:hAnsi="宋体" w:eastAsia="宋体" w:cs="宋体"/>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时，E </w:t>
      </w:r>
      <w:r>
        <w:rPr>
          <w:rFonts w:hint="eastAsia" w:ascii="宋体" w:hAnsi="宋体" w:eastAsia="宋体" w:cs="宋体"/>
          <w:b/>
          <w:bCs/>
          <w:color w:val="auto"/>
          <w:spacing w:val="0"/>
          <w:sz w:val="24"/>
          <w:szCs w:val="24"/>
          <w:highlight w:val="none"/>
        </w:rPr>
        <w:t>＝0.5</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w:t>
      </w:r>
    </w:p>
    <w:p w14:paraId="6F340CA9">
      <w:pPr>
        <w:keepNext w:val="0"/>
        <w:keepLines w:val="0"/>
        <w:pageBreakBefore w:val="0"/>
        <w:wordWrap w:val="0"/>
        <w:overflowPunct/>
        <w:topLinePunct w:val="0"/>
        <w:bidi w:val="0"/>
        <w:spacing w:before="95" w:line="360" w:lineRule="auto"/>
        <w:ind w:left="503"/>
        <w:outlineLvl w:val="9"/>
        <w:rPr>
          <w:rFonts w:hint="eastAsia" w:ascii="宋体" w:hAnsi="宋体" w:eastAsia="宋体" w:cs="宋体"/>
          <w:color w:val="auto"/>
          <w:spacing w:val="0"/>
          <w:sz w:val="24"/>
          <w:szCs w:val="24"/>
          <w:highlight w:val="none"/>
        </w:rPr>
      </w:pPr>
      <w:bookmarkStart w:id="123" w:name="_Toc7915"/>
      <w:bookmarkStart w:id="124" w:name="_Toc4990"/>
      <w:bookmarkStart w:id="125" w:name="_Toc576"/>
      <w:bookmarkStart w:id="126" w:name="_Toc3861"/>
      <w:r>
        <w:rPr>
          <w:rFonts w:hint="eastAsia" w:ascii="宋体" w:hAnsi="宋体" w:eastAsia="宋体" w:cs="宋体"/>
          <w:color w:val="auto"/>
          <w:spacing w:val="0"/>
          <w:sz w:val="24"/>
          <w:szCs w:val="24"/>
          <w:highlight w:val="none"/>
        </w:rPr>
        <w:t>（3）综合得分</w:t>
      </w:r>
      <w:bookmarkEnd w:id="123"/>
      <w:bookmarkEnd w:id="124"/>
      <w:bookmarkEnd w:id="125"/>
      <w:bookmarkEnd w:id="126"/>
    </w:p>
    <w:p w14:paraId="50217631">
      <w:pPr>
        <w:keepNext w:val="0"/>
        <w:keepLines w:val="0"/>
        <w:pageBreakBefore w:val="0"/>
        <w:wordWrap w:val="0"/>
        <w:overflowPunct/>
        <w:topLinePunct w:val="0"/>
        <w:bidi w:val="0"/>
        <w:spacing w:before="153" w:line="36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综合得分换算为百分制，满分 100 分，公式如下：</w:t>
      </w:r>
    </w:p>
    <w:p w14:paraId="215CB6BC">
      <w:pPr>
        <w:keepNext w:val="0"/>
        <w:keepLines w:val="0"/>
        <w:pageBreakBefore w:val="0"/>
        <w:wordWrap w:val="0"/>
        <w:overflowPunct/>
        <w:topLinePunct w:val="0"/>
        <w:bidi w:val="0"/>
        <w:spacing w:before="155" w:line="360"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综合得分＝M÷商务技术合计满分×100×商务技术权重＋N×投标报价权重</w:t>
      </w:r>
    </w:p>
    <w:p w14:paraId="390CA99F">
      <w:pPr>
        <w:keepNext w:val="0"/>
        <w:keepLines w:val="0"/>
        <w:pageBreakBefore w:val="0"/>
        <w:wordWrap w:val="0"/>
        <w:overflowPunct/>
        <w:topLinePunct w:val="0"/>
        <w:bidi w:val="0"/>
        <w:spacing w:before="155" w:line="360" w:lineRule="auto"/>
        <w:ind w:left="496" w:right="532" w:hanging="3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式中：M 为商务技术得分，N 为投标报价得分。</w:t>
      </w:r>
    </w:p>
    <w:p w14:paraId="21FDBF10">
      <w:pPr>
        <w:keepNext w:val="0"/>
        <w:keepLines w:val="0"/>
        <w:pageBreakBefore w:val="0"/>
        <w:widowControl w:val="0"/>
        <w:numPr>
          <w:ilvl w:val="0"/>
          <w:numId w:val="0"/>
        </w:numPr>
        <w:kinsoku/>
        <w:wordWrap w:val="0"/>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napToGrid w:val="0"/>
          <w:color w:val="auto"/>
          <w:kern w:val="0"/>
          <w:sz w:val="24"/>
          <w:szCs w:val="24"/>
          <w:highlight w:val="none"/>
          <w:lang w:eastAsia="zh-CN"/>
        </w:rPr>
      </w:pPr>
      <w:r>
        <w:rPr>
          <w:rFonts w:hint="eastAsia" w:ascii="宋体" w:hAnsi="宋体" w:eastAsia="宋体" w:cs="宋体"/>
          <w:b w:val="0"/>
          <w:bCs w:val="0"/>
          <w:snapToGrid w:val="0"/>
          <w:color w:val="auto"/>
          <w:kern w:val="0"/>
          <w:sz w:val="24"/>
          <w:szCs w:val="24"/>
          <w:highlight w:val="none"/>
          <w:lang w:val="en-US" w:eastAsia="zh-CN" w:bidi="ar-SA"/>
        </w:rPr>
        <w:t>（4）</w:t>
      </w:r>
      <w:r>
        <w:rPr>
          <w:rFonts w:hint="eastAsia" w:ascii="宋体" w:hAnsi="宋体" w:eastAsia="宋体" w:cs="宋体"/>
          <w:b w:val="0"/>
          <w:bCs w:val="0"/>
          <w:snapToGrid w:val="0"/>
          <w:color w:val="auto"/>
          <w:kern w:val="0"/>
          <w:sz w:val="24"/>
          <w:szCs w:val="24"/>
          <w:highlight w:val="none"/>
          <w:lang w:eastAsia="zh-CN"/>
        </w:rPr>
        <w:t>评标委员会根据招标文件规定的评分细则，对招标文件中的各评审因素进行评审、比较、打分，将得分</w:t>
      </w:r>
      <w:r>
        <w:rPr>
          <w:rFonts w:hint="eastAsia" w:ascii="宋体" w:hAnsi="宋体" w:eastAsia="宋体" w:cs="宋体"/>
          <w:b/>
          <w:bCs/>
          <w:snapToGrid w:val="0"/>
          <w:color w:val="auto"/>
          <w:kern w:val="0"/>
          <w:sz w:val="24"/>
          <w:szCs w:val="24"/>
          <w:highlight w:val="none"/>
          <w:lang w:eastAsia="zh-CN"/>
        </w:rPr>
        <w:t>前5名不排序（按企业统一社会信用代码后4位大小排位）</w:t>
      </w:r>
      <w:r>
        <w:rPr>
          <w:rFonts w:hint="eastAsia" w:ascii="宋体" w:hAnsi="宋体" w:eastAsia="宋体" w:cs="宋体"/>
          <w:b w:val="0"/>
          <w:bCs w:val="0"/>
          <w:snapToGrid w:val="0"/>
          <w:color w:val="auto"/>
          <w:kern w:val="0"/>
          <w:sz w:val="24"/>
          <w:szCs w:val="24"/>
          <w:highlight w:val="none"/>
          <w:lang w:eastAsia="zh-CN"/>
        </w:rPr>
        <w:t>的投标人作为定标候选人推荐给招标人，并对</w:t>
      </w:r>
      <w:r>
        <w:rPr>
          <w:rFonts w:hint="eastAsia" w:ascii="宋体" w:hAnsi="宋体" w:eastAsia="宋体" w:cs="宋体"/>
          <w:b/>
          <w:bCs/>
          <w:snapToGrid w:val="0"/>
          <w:color w:val="auto"/>
          <w:kern w:val="0"/>
          <w:sz w:val="24"/>
          <w:szCs w:val="24"/>
          <w:highlight w:val="none"/>
          <w:lang w:eastAsia="zh-CN"/>
        </w:rPr>
        <w:t>每个定标候选人的优势、风险等评审情况进行说明</w:t>
      </w:r>
      <w:r>
        <w:rPr>
          <w:rFonts w:hint="eastAsia" w:ascii="宋体" w:hAnsi="宋体" w:eastAsia="宋体" w:cs="宋体"/>
          <w:b w:val="0"/>
          <w:bCs w:val="0"/>
          <w:snapToGrid w:val="0"/>
          <w:color w:val="auto"/>
          <w:kern w:val="0"/>
          <w:sz w:val="24"/>
          <w:szCs w:val="24"/>
          <w:highlight w:val="none"/>
          <w:lang w:eastAsia="zh-CN"/>
        </w:rPr>
        <w:t>。当投标人综合总得分相同时，以报价低为前；当投标人综合总得分相同且报价相同时，由评标委员会投票确定排前。</w:t>
      </w:r>
    </w:p>
    <w:p w14:paraId="7D5387EE">
      <w:pPr>
        <w:keepNext w:val="0"/>
        <w:keepLines w:val="0"/>
        <w:pageBreakBefore w:val="0"/>
        <w:widowControl/>
        <w:kinsoku w:val="0"/>
        <w:wordWrap w:val="0"/>
        <w:overflowPunct/>
        <w:topLinePunct w:val="0"/>
        <w:autoSpaceDE w:val="0"/>
        <w:autoSpaceDN w:val="0"/>
        <w:bidi w:val="0"/>
        <w:adjustRightInd w:val="0"/>
        <w:snapToGrid w:val="0"/>
        <w:spacing w:before="37" w:line="360" w:lineRule="auto"/>
        <w:ind w:firstLine="482" w:firstLineChars="200"/>
        <w:textAlignment w:val="baseline"/>
        <w:outlineLvl w:val="9"/>
        <w:rPr>
          <w:rFonts w:hint="eastAsia" w:ascii="宋体" w:hAnsi="宋体" w:eastAsia="宋体" w:cs="宋体"/>
          <w:color w:val="auto"/>
          <w:spacing w:val="0"/>
          <w:sz w:val="24"/>
          <w:szCs w:val="24"/>
          <w:highlight w:val="none"/>
        </w:rPr>
      </w:pPr>
      <w:r>
        <w:rPr>
          <w:rFonts w:hint="eastAsia" w:ascii="宋体" w:hAnsi="宋体" w:eastAsia="宋体" w:cs="宋体"/>
          <w:b/>
          <w:bCs/>
          <w:snapToGrid w:val="0"/>
          <w:color w:val="auto"/>
          <w:kern w:val="0"/>
          <w:sz w:val="24"/>
          <w:szCs w:val="24"/>
          <w:highlight w:val="none"/>
          <w:lang w:eastAsia="zh-CN"/>
        </w:rPr>
        <w:t>定标候选人得分只作为评标委员会的推荐依据，不作为定标委员会对中标候选人排序的依据。</w:t>
      </w:r>
      <w:r>
        <w:rPr>
          <w:rFonts w:hint="eastAsia" w:ascii="宋体" w:hAnsi="宋体" w:eastAsia="宋体" w:cs="宋体"/>
          <w:b/>
          <w:bCs/>
          <w:snapToGrid w:val="0"/>
          <w:color w:val="auto"/>
          <w:kern w:val="0"/>
          <w:sz w:val="24"/>
          <w:szCs w:val="24"/>
          <w:highlight w:val="none"/>
          <w:lang w:val="en-US" w:eastAsia="zh-CN"/>
        </w:rPr>
        <w:t>当有效投标人数量不足5名但满足法定要求时，所有通过评审的有效投标人均应作为定标候选人。</w:t>
      </w:r>
    </w:p>
    <w:p w14:paraId="22C172D9">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bookmarkStart w:id="127" w:name="_Toc16801"/>
      <w:bookmarkStart w:id="128" w:name="_Toc3020"/>
      <w:bookmarkStart w:id="129" w:name="_Toc17375"/>
      <w:r>
        <w:rPr>
          <w:rFonts w:hint="eastAsia" w:ascii="宋体" w:hAnsi="宋体" w:eastAsia="宋体" w:cs="宋体"/>
          <w:b/>
          <w:bCs/>
          <w:color w:val="auto"/>
          <w:spacing w:val="0"/>
          <w:sz w:val="24"/>
          <w:szCs w:val="24"/>
          <w:highlight w:val="none"/>
        </w:rPr>
        <w:br w:type="page"/>
      </w:r>
    </w:p>
    <w:p w14:paraId="042A8A28">
      <w:pPr>
        <w:keepNext w:val="0"/>
        <w:keepLines w:val="0"/>
        <w:pageBreakBefore w:val="0"/>
        <w:wordWrap w:val="0"/>
        <w:overflowPunct/>
        <w:topLinePunct w:val="0"/>
        <w:bidi w:val="0"/>
        <w:spacing w:before="98" w:line="360" w:lineRule="auto"/>
        <w:ind w:left="4248"/>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综合评分表</w:t>
      </w:r>
      <w:bookmarkEnd w:id="127"/>
      <w:bookmarkEnd w:id="128"/>
      <w:bookmarkEnd w:id="129"/>
    </w:p>
    <w:tbl>
      <w:tblPr>
        <w:tblStyle w:val="16"/>
        <w:tblW w:w="9905" w:type="dxa"/>
        <w:jc w:val="center"/>
        <w:tblLayout w:type="fixed"/>
        <w:tblCellMar>
          <w:top w:w="0" w:type="dxa"/>
          <w:left w:w="108" w:type="dxa"/>
          <w:bottom w:w="0" w:type="dxa"/>
          <w:right w:w="108" w:type="dxa"/>
        </w:tblCellMar>
      </w:tblPr>
      <w:tblGrid>
        <w:gridCol w:w="1192"/>
        <w:gridCol w:w="3321"/>
        <w:gridCol w:w="5392"/>
      </w:tblGrid>
      <w:tr w14:paraId="02CE9AD3">
        <w:tblPrEx>
          <w:tblCellMar>
            <w:top w:w="0" w:type="dxa"/>
            <w:left w:w="108" w:type="dxa"/>
            <w:bottom w:w="0" w:type="dxa"/>
            <w:right w:w="108" w:type="dxa"/>
          </w:tblCellMar>
        </w:tblPrEx>
        <w:trPr>
          <w:trHeight w:val="487" w:hRule="exact"/>
          <w:jc w:val="center"/>
        </w:trPr>
        <w:tc>
          <w:tcPr>
            <w:tcW w:w="9905"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74CF5E95">
            <w:pPr>
              <w:keepNext w:val="0"/>
              <w:keepLines w:val="0"/>
              <w:widowControl w:val="0"/>
              <w:suppressLineNumbers w:val="0"/>
              <w:tabs>
                <w:tab w:val="left" w:pos="1354"/>
                <w:tab w:val="left" w:pos="1459"/>
                <w:tab w:val="center" w:pos="3902"/>
                <w:tab w:val="right" w:pos="7805"/>
              </w:tabs>
              <w:kinsoku/>
              <w:wordWrap w:val="0"/>
              <w:autoSpaceDE/>
              <w:autoSpaceDN/>
              <w:adjustRightInd w:val="0"/>
              <w:snapToGrid w:val="0"/>
              <w:spacing w:before="0" w:beforeAutospacing="0" w:after="0" w:afterAutospacing="0" w:line="360" w:lineRule="auto"/>
              <w:ind w:left="0" w:leftChars="0" w:right="0" w:rightChars="0"/>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商务部分，满分：</w:t>
            </w:r>
            <w:r>
              <w:rPr>
                <w:rFonts w:hint="eastAsia" w:ascii="宋体" w:hAnsi="宋体" w:eastAsia="宋体" w:cs="宋体"/>
                <w:b/>
                <w:bCs/>
                <w:snapToGrid w:val="0"/>
                <w:color w:val="auto"/>
                <w:kern w:val="0"/>
                <w:sz w:val="24"/>
                <w:szCs w:val="24"/>
                <w:highlight w:val="none"/>
                <w:u w:val="single"/>
                <w:lang w:val="en-US" w:eastAsia="zh-CN" w:bidi="ar-SA"/>
              </w:rPr>
              <w:t xml:space="preserve"> 80 </w:t>
            </w:r>
            <w:r>
              <w:rPr>
                <w:rFonts w:hint="eastAsia" w:ascii="宋体" w:hAnsi="宋体" w:eastAsia="宋体" w:cs="宋体"/>
                <w:b/>
                <w:bCs/>
                <w:snapToGrid w:val="0"/>
                <w:color w:val="auto"/>
                <w:kern w:val="0"/>
                <w:sz w:val="24"/>
                <w:szCs w:val="24"/>
                <w:highlight w:val="none"/>
                <w:lang w:val="en-US" w:eastAsia="zh-CN" w:bidi="ar-SA"/>
              </w:rPr>
              <w:t>分。</w:t>
            </w:r>
          </w:p>
        </w:tc>
      </w:tr>
      <w:tr w14:paraId="77381F32">
        <w:tblPrEx>
          <w:tblCellMar>
            <w:top w:w="0" w:type="dxa"/>
            <w:left w:w="108" w:type="dxa"/>
            <w:bottom w:w="0" w:type="dxa"/>
            <w:right w:w="108" w:type="dxa"/>
          </w:tblCellMar>
        </w:tblPrEx>
        <w:trPr>
          <w:trHeight w:val="451" w:hRule="exac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2CF2BC81">
            <w:pPr>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评分因素</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1963EA59">
            <w:pPr>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评分标准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5492AAD3">
            <w:pPr>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360" w:lineRule="auto"/>
              <w:ind w:left="0" w:leftChars="0" w:right="0" w:rightChars="0"/>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备注</w:t>
            </w:r>
          </w:p>
        </w:tc>
      </w:tr>
      <w:tr w14:paraId="0CDB3074">
        <w:tblPrEx>
          <w:tblCellMar>
            <w:top w:w="0" w:type="dxa"/>
            <w:left w:w="108" w:type="dxa"/>
            <w:bottom w:w="0" w:type="dxa"/>
            <w:right w:w="108" w:type="dxa"/>
          </w:tblCellMar>
        </w:tblPrEx>
        <w:trPr>
          <w:trHeight w:val="4526"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7D8870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企业奖项</w:t>
            </w:r>
          </w:p>
          <w:p w14:paraId="16368F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eastAsia="zh-CN"/>
              </w:rPr>
              <w:t>（10分）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2693D7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企业近</w:t>
            </w:r>
            <w:r>
              <w:rPr>
                <w:rFonts w:hint="eastAsia" w:ascii="宋体" w:hAnsi="宋体" w:eastAsia="宋体" w:cs="宋体"/>
                <w:snapToGrid/>
                <w:color w:val="auto"/>
                <w:kern w:val="2"/>
                <w:sz w:val="24"/>
                <w:szCs w:val="24"/>
                <w:highlight w:val="none"/>
                <w:u w:val="single"/>
                <w:lang w:val="en-US" w:eastAsia="zh-CN"/>
              </w:rPr>
              <w:t>5</w:t>
            </w:r>
            <w:r>
              <w:rPr>
                <w:rFonts w:hint="eastAsia" w:ascii="宋体" w:hAnsi="宋体" w:eastAsia="宋体" w:cs="宋体"/>
                <w:snapToGrid/>
                <w:color w:val="auto"/>
                <w:kern w:val="2"/>
                <w:sz w:val="24"/>
                <w:szCs w:val="24"/>
                <w:highlight w:val="none"/>
                <w:lang w:eastAsia="zh-CN"/>
              </w:rPr>
              <w:t>年来（</w:t>
            </w:r>
            <w:r>
              <w:rPr>
                <w:rFonts w:hint="eastAsia" w:ascii="宋体" w:hAnsi="宋体" w:eastAsia="宋体" w:cs="宋体"/>
                <w:snapToGrid/>
                <w:color w:val="auto"/>
                <w:kern w:val="2"/>
                <w:sz w:val="24"/>
                <w:szCs w:val="24"/>
                <w:highlight w:val="none"/>
                <w:lang w:val="en-US" w:eastAsia="zh-CN"/>
              </w:rPr>
              <w:t>2021</w:t>
            </w:r>
            <w:r>
              <w:rPr>
                <w:rFonts w:hint="eastAsia" w:ascii="宋体" w:hAnsi="宋体" w:eastAsia="宋体" w:cs="宋体"/>
                <w:snapToGrid/>
                <w:color w:val="auto"/>
                <w:kern w:val="2"/>
                <w:sz w:val="24"/>
                <w:szCs w:val="24"/>
                <w:highlight w:val="none"/>
                <w:lang w:eastAsia="zh-CN"/>
              </w:rPr>
              <w:t>年</w:t>
            </w:r>
            <w:r>
              <w:rPr>
                <w:rFonts w:hint="eastAsia" w:ascii="宋体" w:hAnsi="宋体" w:eastAsia="宋体" w:cs="宋体"/>
                <w:snapToGrid/>
                <w:color w:val="auto"/>
                <w:kern w:val="2"/>
                <w:sz w:val="24"/>
                <w:szCs w:val="24"/>
                <w:highlight w:val="none"/>
                <w:lang w:val="en-US" w:eastAsia="zh-CN"/>
              </w:rPr>
              <w:t>1</w:t>
            </w:r>
            <w:r>
              <w:rPr>
                <w:rFonts w:hint="eastAsia" w:ascii="宋体" w:hAnsi="宋体" w:eastAsia="宋体" w:cs="宋体"/>
                <w:snapToGrid/>
                <w:color w:val="auto"/>
                <w:kern w:val="2"/>
                <w:sz w:val="24"/>
                <w:szCs w:val="24"/>
                <w:highlight w:val="none"/>
                <w:lang w:eastAsia="zh-CN"/>
              </w:rPr>
              <w:t>月1日至今）获得</w:t>
            </w:r>
            <w:r>
              <w:rPr>
                <w:rFonts w:hint="eastAsia" w:ascii="宋体" w:hAnsi="宋体" w:eastAsia="宋体" w:cs="宋体"/>
                <w:snapToGrid/>
                <w:color w:val="auto"/>
                <w:kern w:val="2"/>
                <w:sz w:val="24"/>
                <w:szCs w:val="24"/>
                <w:highlight w:val="none"/>
                <w:u w:val="single"/>
                <w:lang w:val="en-US" w:eastAsia="zh-CN"/>
              </w:rPr>
              <w:t xml:space="preserve"> 建筑或市政工程类 </w:t>
            </w:r>
            <w:r>
              <w:rPr>
                <w:rFonts w:hint="eastAsia" w:ascii="宋体" w:hAnsi="宋体" w:eastAsia="宋体" w:cs="宋体"/>
                <w:snapToGrid/>
                <w:color w:val="auto"/>
                <w:kern w:val="2"/>
                <w:sz w:val="24"/>
                <w:szCs w:val="24"/>
                <w:highlight w:val="none"/>
                <w:lang w:eastAsia="zh-CN"/>
              </w:rPr>
              <w:t>奖项情况：</w:t>
            </w:r>
          </w:p>
          <w:p w14:paraId="249C84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1</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获得国家级奖项的，每个得</w:t>
            </w:r>
            <w:r>
              <w:rPr>
                <w:rFonts w:hint="eastAsia" w:ascii="宋体" w:hAnsi="宋体" w:eastAsia="宋体" w:cs="宋体"/>
                <w:snapToGrid/>
                <w:color w:val="auto"/>
                <w:kern w:val="2"/>
                <w:sz w:val="24"/>
                <w:szCs w:val="24"/>
                <w:highlight w:val="none"/>
                <w:u w:val="single"/>
                <w:lang w:eastAsia="zh-CN"/>
              </w:rPr>
              <w:t>8</w:t>
            </w:r>
            <w:r>
              <w:rPr>
                <w:rFonts w:hint="eastAsia" w:ascii="宋体" w:hAnsi="宋体" w:eastAsia="宋体" w:cs="宋体"/>
                <w:snapToGrid/>
                <w:color w:val="auto"/>
                <w:kern w:val="2"/>
                <w:sz w:val="24"/>
                <w:szCs w:val="24"/>
                <w:highlight w:val="none"/>
                <w:lang w:eastAsia="zh-CN"/>
              </w:rPr>
              <w:t>分。</w:t>
            </w:r>
          </w:p>
          <w:p w14:paraId="3F0619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2</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获得省级奖项的，每个得</w:t>
            </w:r>
            <w:r>
              <w:rPr>
                <w:rFonts w:hint="eastAsia" w:ascii="宋体" w:hAnsi="宋体" w:eastAsia="宋体" w:cs="宋体"/>
                <w:snapToGrid/>
                <w:color w:val="auto"/>
                <w:kern w:val="2"/>
                <w:sz w:val="24"/>
                <w:szCs w:val="24"/>
                <w:highlight w:val="none"/>
                <w:u w:val="single"/>
                <w:lang w:val="en-US" w:eastAsia="zh-CN"/>
              </w:rPr>
              <w:t>5</w:t>
            </w:r>
            <w:r>
              <w:rPr>
                <w:rFonts w:hint="eastAsia" w:ascii="宋体" w:hAnsi="宋体" w:eastAsia="宋体" w:cs="宋体"/>
                <w:snapToGrid/>
                <w:color w:val="auto"/>
                <w:kern w:val="2"/>
                <w:sz w:val="24"/>
                <w:szCs w:val="24"/>
                <w:highlight w:val="none"/>
                <w:lang w:eastAsia="zh-CN"/>
              </w:rPr>
              <w:t>分。</w:t>
            </w:r>
          </w:p>
          <w:p w14:paraId="02E8E9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3</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获得地市级奖项的，每个得</w:t>
            </w:r>
            <w:r>
              <w:rPr>
                <w:rFonts w:hint="eastAsia" w:ascii="宋体" w:hAnsi="宋体" w:eastAsia="宋体" w:cs="宋体"/>
                <w:snapToGrid/>
                <w:color w:val="auto"/>
                <w:kern w:val="2"/>
                <w:sz w:val="24"/>
                <w:szCs w:val="24"/>
                <w:highlight w:val="none"/>
                <w:u w:val="single"/>
                <w:lang w:val="en-US" w:eastAsia="zh-CN"/>
              </w:rPr>
              <w:t>3</w:t>
            </w:r>
            <w:r>
              <w:rPr>
                <w:rFonts w:hint="eastAsia" w:ascii="宋体" w:hAnsi="宋体" w:eastAsia="宋体" w:cs="宋体"/>
                <w:snapToGrid/>
                <w:color w:val="auto"/>
                <w:kern w:val="2"/>
                <w:sz w:val="24"/>
                <w:szCs w:val="24"/>
                <w:highlight w:val="none"/>
                <w:lang w:eastAsia="zh-CN"/>
              </w:rPr>
              <w:t>分。</w:t>
            </w:r>
          </w:p>
          <w:p w14:paraId="679E1A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4．以上奖项均未获得的，不予计分。</w:t>
            </w:r>
          </w:p>
          <w:p w14:paraId="705CE7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eastAsia="zh-CN"/>
              </w:rPr>
              <w:t>5</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本项最高得10分。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342361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1</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允许投标人提交多个业绩，但同一业绩只按最高级别奖项计分一次。</w:t>
            </w:r>
          </w:p>
          <w:p w14:paraId="3F38B2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2</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需附有关奖项证明彩色扫描件，</w:t>
            </w:r>
            <w:r>
              <w:rPr>
                <w:rFonts w:hint="eastAsia" w:ascii="宋体" w:hAnsi="宋体" w:eastAsia="宋体" w:cs="宋体"/>
                <w:b/>
                <w:bCs/>
                <w:snapToGrid/>
                <w:color w:val="auto"/>
                <w:kern w:val="2"/>
                <w:sz w:val="24"/>
                <w:szCs w:val="24"/>
                <w:highlight w:val="none"/>
                <w:lang w:val="en-US" w:eastAsia="zh-CN"/>
              </w:rPr>
              <w:t>同时提供原件供核对（奖项如电子证书的除外）</w:t>
            </w:r>
            <w:r>
              <w:rPr>
                <w:rFonts w:hint="eastAsia" w:ascii="宋体" w:hAnsi="宋体" w:eastAsia="宋体" w:cs="宋体"/>
                <w:b/>
                <w:bCs/>
                <w:snapToGrid/>
                <w:color w:val="auto"/>
                <w:kern w:val="2"/>
                <w:sz w:val="24"/>
                <w:szCs w:val="24"/>
                <w:highlight w:val="none"/>
                <w:lang w:eastAsia="zh-CN"/>
              </w:rPr>
              <w:t>。</w:t>
            </w:r>
          </w:p>
          <w:p w14:paraId="35F373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3</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颁发机构限定以下范围：</w:t>
            </w:r>
          </w:p>
          <w:p w14:paraId="4AA52F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①国家级奖项：国务院、住建部、中国建筑业协会、中国建筑安全协会；（相关协会需经民政部门备案）</w:t>
            </w:r>
          </w:p>
          <w:p w14:paraId="706A8C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②省级奖项：省级人民政府、省级建设行政主管部门、省级建筑业协会、省级建筑安全协会；（相关协会需经民政部门备案）</w:t>
            </w:r>
          </w:p>
          <w:p w14:paraId="561EA6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③地市级奖项：地市级人民政府、地市级建设行政主管部门、地市级建筑协会、地市级建筑安全协会。（相关协会需经民政部门备案）</w:t>
            </w:r>
          </w:p>
          <w:p w14:paraId="3F866B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4</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获奖时间以奖项证明的落款日期为准。</w:t>
            </w:r>
          </w:p>
          <w:p w14:paraId="1292FA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5</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任一奖项有以下情形之一的，该奖项视为无效，不予计分：</w:t>
            </w:r>
          </w:p>
          <w:p w14:paraId="3E347A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 xml:space="preserve">①未提供奖项原件的； </w:t>
            </w:r>
          </w:p>
          <w:p w14:paraId="49688F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 xml:space="preserve">②奖项不属于指定类别的； </w:t>
            </w:r>
          </w:p>
          <w:p w14:paraId="2509E4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 xml:space="preserve">③颁发机构不符合要求的； </w:t>
            </w:r>
          </w:p>
          <w:p w14:paraId="367620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④获奖时间不符合要求的。</w:t>
            </w:r>
          </w:p>
          <w:p w14:paraId="47A0A3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i w:val="0"/>
                <w:iCs w:val="0"/>
                <w:snapToGrid w:val="0"/>
                <w:color w:val="auto"/>
                <w:kern w:val="0"/>
                <w:sz w:val="24"/>
                <w:szCs w:val="24"/>
                <w:highlight w:val="none"/>
                <w:lang w:eastAsia="zh-CN"/>
              </w:rPr>
            </w:pPr>
            <w:r>
              <w:rPr>
                <w:rFonts w:hint="eastAsia" w:ascii="宋体" w:hAnsi="宋体" w:eastAsia="宋体" w:cs="宋体"/>
                <w:b/>
                <w:bCs/>
                <w:snapToGrid/>
                <w:color w:val="auto"/>
                <w:kern w:val="2"/>
                <w:sz w:val="24"/>
                <w:szCs w:val="24"/>
                <w:highlight w:val="none"/>
                <w:lang w:val="en-US" w:eastAsia="zh-CN"/>
              </w:rPr>
              <w:t>说明：以上所称“要求”均指本表评分标准及备注的要求，下同。</w:t>
            </w:r>
          </w:p>
        </w:tc>
      </w:tr>
      <w:tr w14:paraId="08A705C5">
        <w:tblPrEx>
          <w:tblCellMar>
            <w:top w:w="0" w:type="dxa"/>
            <w:left w:w="108" w:type="dxa"/>
            <w:bottom w:w="0" w:type="dxa"/>
            <w:right w:w="108" w:type="dxa"/>
          </w:tblCellMar>
        </w:tblPrEx>
        <w:trPr>
          <w:trHeight w:val="9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3BD3A0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项目经理</w:t>
            </w:r>
          </w:p>
          <w:p w14:paraId="16FA33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综合素质</w:t>
            </w:r>
          </w:p>
          <w:p w14:paraId="6CCC1C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eastAsia="zh-CN"/>
              </w:rPr>
              <w:t>（10分）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6A3C65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项目经理工程类技术职称情况：</w:t>
            </w:r>
          </w:p>
          <w:p w14:paraId="4E8EFC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val="en-US" w:eastAsia="zh-CN"/>
              </w:rPr>
              <w:t>1.</w:t>
            </w:r>
            <w:r>
              <w:rPr>
                <w:rFonts w:hint="eastAsia" w:ascii="宋体" w:hAnsi="宋体" w:eastAsia="宋体" w:cs="宋体"/>
                <w:snapToGrid/>
                <w:color w:val="auto"/>
                <w:kern w:val="2"/>
                <w:sz w:val="24"/>
                <w:szCs w:val="24"/>
                <w:highlight w:val="none"/>
                <w:lang w:eastAsia="zh-CN"/>
              </w:rPr>
              <w:t>具备</w:t>
            </w:r>
            <w:r>
              <w:rPr>
                <w:rFonts w:hint="eastAsia" w:ascii="宋体" w:hAnsi="宋体" w:eastAsia="宋体" w:cs="宋体"/>
                <w:snapToGrid/>
                <w:color w:val="auto"/>
                <w:kern w:val="2"/>
                <w:sz w:val="24"/>
                <w:szCs w:val="24"/>
                <w:highlight w:val="none"/>
                <w:lang w:val="en-US" w:eastAsia="zh-CN"/>
              </w:rPr>
              <w:t>助理</w:t>
            </w:r>
            <w:r>
              <w:rPr>
                <w:rFonts w:hint="eastAsia" w:ascii="宋体" w:hAnsi="宋体" w:eastAsia="宋体" w:cs="宋体"/>
                <w:snapToGrid/>
                <w:color w:val="auto"/>
                <w:kern w:val="2"/>
                <w:sz w:val="24"/>
                <w:szCs w:val="24"/>
                <w:highlight w:val="none"/>
                <w:lang w:eastAsia="zh-CN"/>
              </w:rPr>
              <w:t>工程师或以上职称的，得</w:t>
            </w:r>
            <w:r>
              <w:rPr>
                <w:rFonts w:hint="eastAsia" w:ascii="宋体" w:hAnsi="宋体" w:eastAsia="宋体" w:cs="宋体"/>
                <w:snapToGrid/>
                <w:color w:val="auto"/>
                <w:kern w:val="2"/>
                <w:sz w:val="24"/>
                <w:szCs w:val="24"/>
                <w:highlight w:val="none"/>
                <w:u w:val="single"/>
                <w:lang w:eastAsia="zh-CN"/>
              </w:rPr>
              <w:t>10</w:t>
            </w:r>
            <w:r>
              <w:rPr>
                <w:rFonts w:hint="eastAsia" w:ascii="宋体" w:hAnsi="宋体" w:eastAsia="宋体" w:cs="宋体"/>
                <w:snapToGrid/>
                <w:color w:val="auto"/>
                <w:kern w:val="2"/>
                <w:sz w:val="24"/>
                <w:szCs w:val="24"/>
                <w:highlight w:val="none"/>
                <w:lang w:eastAsia="zh-CN"/>
              </w:rPr>
              <w:t>分。</w:t>
            </w:r>
          </w:p>
          <w:p w14:paraId="66A868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val="en-US" w:eastAsia="zh-CN"/>
              </w:rPr>
              <w:t>2.</w:t>
            </w:r>
            <w:r>
              <w:rPr>
                <w:rFonts w:hint="eastAsia" w:ascii="宋体" w:hAnsi="宋体" w:eastAsia="宋体" w:cs="宋体"/>
                <w:snapToGrid/>
                <w:color w:val="auto"/>
                <w:kern w:val="2"/>
                <w:sz w:val="24"/>
                <w:szCs w:val="24"/>
                <w:highlight w:val="none"/>
                <w:lang w:eastAsia="zh-CN"/>
              </w:rPr>
              <w:t>具备</w:t>
            </w:r>
            <w:r>
              <w:rPr>
                <w:rFonts w:hint="eastAsia" w:ascii="宋体" w:hAnsi="宋体" w:eastAsia="宋体" w:cs="宋体"/>
                <w:snapToGrid/>
                <w:color w:val="auto"/>
                <w:kern w:val="2"/>
                <w:sz w:val="24"/>
                <w:szCs w:val="24"/>
                <w:highlight w:val="none"/>
                <w:lang w:val="en-US" w:eastAsia="zh-CN"/>
              </w:rPr>
              <w:t>技术员</w:t>
            </w:r>
            <w:r>
              <w:rPr>
                <w:rFonts w:hint="eastAsia" w:ascii="宋体" w:hAnsi="宋体" w:eastAsia="宋体" w:cs="宋体"/>
                <w:snapToGrid/>
                <w:color w:val="auto"/>
                <w:kern w:val="2"/>
                <w:sz w:val="24"/>
                <w:szCs w:val="24"/>
                <w:highlight w:val="none"/>
                <w:lang w:eastAsia="zh-CN"/>
              </w:rPr>
              <w:t>职称的，得</w:t>
            </w:r>
            <w:r>
              <w:rPr>
                <w:rFonts w:hint="eastAsia" w:ascii="宋体" w:hAnsi="宋体" w:eastAsia="宋体" w:cs="宋体"/>
                <w:snapToGrid/>
                <w:color w:val="auto"/>
                <w:kern w:val="2"/>
                <w:sz w:val="24"/>
                <w:szCs w:val="24"/>
                <w:highlight w:val="none"/>
                <w:u w:val="single"/>
                <w:lang w:eastAsia="zh-CN"/>
              </w:rPr>
              <w:t>5</w:t>
            </w:r>
            <w:r>
              <w:rPr>
                <w:rFonts w:hint="eastAsia" w:ascii="宋体" w:hAnsi="宋体" w:eastAsia="宋体" w:cs="宋体"/>
                <w:snapToGrid/>
                <w:color w:val="auto"/>
                <w:kern w:val="2"/>
                <w:sz w:val="24"/>
                <w:szCs w:val="24"/>
                <w:highlight w:val="none"/>
                <w:lang w:eastAsia="zh-CN"/>
              </w:rPr>
              <w:t>分。</w:t>
            </w:r>
          </w:p>
          <w:p w14:paraId="097DC5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val="en-US" w:eastAsia="zh-CN"/>
              </w:rPr>
              <w:t>3.</w:t>
            </w:r>
            <w:r>
              <w:rPr>
                <w:rFonts w:hint="eastAsia" w:ascii="宋体" w:hAnsi="宋体" w:eastAsia="宋体" w:cs="宋体"/>
                <w:snapToGrid/>
                <w:color w:val="auto"/>
                <w:kern w:val="2"/>
                <w:sz w:val="24"/>
                <w:szCs w:val="24"/>
                <w:highlight w:val="none"/>
                <w:lang w:eastAsia="zh-CN"/>
              </w:rPr>
              <w:t>不具备以上职称的，或未提供职称证原件的，不予计分。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33F97F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eastAsia="zh-CN"/>
              </w:rPr>
              <w:t>需附职称证彩色扫描件</w:t>
            </w:r>
            <w:r>
              <w:rPr>
                <w:rFonts w:hint="eastAsia" w:ascii="宋体" w:hAnsi="宋体" w:eastAsia="宋体" w:cs="宋体"/>
                <w:b/>
                <w:bCs/>
                <w:snapToGrid/>
                <w:color w:val="auto"/>
                <w:kern w:val="2"/>
                <w:sz w:val="24"/>
                <w:szCs w:val="24"/>
                <w:highlight w:val="none"/>
                <w:lang w:eastAsia="zh-CN"/>
              </w:rPr>
              <w:t>，同时提供原件供核对（职称证为电子证书打印件的除外）</w:t>
            </w:r>
          </w:p>
        </w:tc>
      </w:tr>
      <w:tr w14:paraId="668646CA">
        <w:tblPrEx>
          <w:tblCellMar>
            <w:top w:w="0" w:type="dxa"/>
            <w:left w:w="108" w:type="dxa"/>
            <w:bottom w:w="0" w:type="dxa"/>
            <w:right w:w="108" w:type="dxa"/>
          </w:tblCellMar>
        </w:tblPrEx>
        <w:trPr>
          <w:trHeight w:val="615"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64A5E9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企业业绩</w:t>
            </w:r>
          </w:p>
          <w:p w14:paraId="7059A6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lang w:val="en-US" w:eastAsia="zh-CN"/>
              </w:rPr>
              <w:t>10</w:t>
            </w:r>
            <w:r>
              <w:rPr>
                <w:rFonts w:hint="eastAsia" w:ascii="宋体" w:hAnsi="宋体" w:eastAsia="宋体" w:cs="宋体"/>
                <w:snapToGrid/>
                <w:color w:val="auto"/>
                <w:kern w:val="2"/>
                <w:sz w:val="24"/>
                <w:szCs w:val="24"/>
                <w:highlight w:val="none"/>
                <w:lang w:eastAsia="zh-CN"/>
              </w:rPr>
              <w:t>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17A4C5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企业近</w:t>
            </w:r>
            <w:r>
              <w:rPr>
                <w:rFonts w:hint="eastAsia" w:ascii="宋体" w:hAnsi="宋体" w:eastAsia="宋体" w:cs="宋体"/>
                <w:snapToGrid/>
                <w:color w:val="auto"/>
                <w:kern w:val="2"/>
                <w:sz w:val="24"/>
                <w:szCs w:val="24"/>
                <w:highlight w:val="none"/>
                <w:u w:val="single"/>
                <w:lang w:val="en-US" w:eastAsia="zh-CN"/>
              </w:rPr>
              <w:t>5</w:t>
            </w:r>
            <w:r>
              <w:rPr>
                <w:rFonts w:hint="eastAsia" w:ascii="宋体" w:hAnsi="宋体" w:eastAsia="宋体" w:cs="宋体"/>
                <w:snapToGrid/>
                <w:color w:val="auto"/>
                <w:kern w:val="2"/>
                <w:sz w:val="24"/>
                <w:szCs w:val="24"/>
                <w:highlight w:val="none"/>
                <w:lang w:eastAsia="zh-CN"/>
              </w:rPr>
              <w:t>年来（</w:t>
            </w:r>
            <w:r>
              <w:rPr>
                <w:rFonts w:hint="eastAsia" w:ascii="宋体" w:hAnsi="宋体" w:eastAsia="宋体" w:cs="宋体"/>
                <w:snapToGrid/>
                <w:color w:val="auto"/>
                <w:kern w:val="2"/>
                <w:sz w:val="24"/>
                <w:szCs w:val="24"/>
                <w:highlight w:val="none"/>
                <w:lang w:val="en-US" w:eastAsia="zh-CN"/>
              </w:rPr>
              <w:t>2021</w:t>
            </w:r>
            <w:r>
              <w:rPr>
                <w:rFonts w:hint="eastAsia" w:ascii="宋体" w:hAnsi="宋体" w:eastAsia="宋体" w:cs="宋体"/>
                <w:snapToGrid/>
                <w:color w:val="auto"/>
                <w:kern w:val="2"/>
                <w:sz w:val="24"/>
                <w:szCs w:val="24"/>
                <w:highlight w:val="none"/>
                <w:lang w:eastAsia="zh-CN"/>
              </w:rPr>
              <w:t>年</w:t>
            </w:r>
            <w:r>
              <w:rPr>
                <w:rFonts w:hint="eastAsia" w:ascii="宋体" w:hAnsi="宋体" w:eastAsia="宋体" w:cs="宋体"/>
                <w:snapToGrid/>
                <w:color w:val="auto"/>
                <w:kern w:val="2"/>
                <w:sz w:val="24"/>
                <w:szCs w:val="24"/>
                <w:highlight w:val="none"/>
                <w:lang w:val="en-US" w:eastAsia="zh-CN"/>
              </w:rPr>
              <w:t>1</w:t>
            </w:r>
            <w:r>
              <w:rPr>
                <w:rFonts w:hint="eastAsia" w:ascii="宋体" w:hAnsi="宋体" w:eastAsia="宋体" w:cs="宋体"/>
                <w:snapToGrid/>
                <w:color w:val="auto"/>
                <w:kern w:val="2"/>
                <w:sz w:val="24"/>
                <w:szCs w:val="24"/>
                <w:highlight w:val="none"/>
                <w:lang w:eastAsia="zh-CN"/>
              </w:rPr>
              <w:t>月1日至今）业绩情况：</w:t>
            </w:r>
          </w:p>
          <w:p w14:paraId="71E542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1</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u w:val="single"/>
                <w:lang w:eastAsia="zh-CN"/>
              </w:rPr>
              <w:t>承接</w:t>
            </w:r>
            <w:r>
              <w:rPr>
                <w:rFonts w:hint="eastAsia" w:ascii="宋体" w:hAnsi="宋体" w:eastAsia="宋体" w:cs="宋体"/>
                <w:snapToGrid/>
                <w:color w:val="auto"/>
                <w:kern w:val="2"/>
                <w:sz w:val="24"/>
                <w:szCs w:val="24"/>
                <w:highlight w:val="none"/>
                <w:lang w:eastAsia="zh-CN"/>
              </w:rPr>
              <w:t>过类似工程的，每个得</w:t>
            </w:r>
            <w:r>
              <w:rPr>
                <w:rFonts w:hint="eastAsia" w:ascii="宋体" w:hAnsi="宋体" w:eastAsia="宋体" w:cs="宋体"/>
                <w:snapToGrid/>
                <w:color w:val="auto"/>
                <w:kern w:val="2"/>
                <w:sz w:val="24"/>
                <w:szCs w:val="24"/>
                <w:highlight w:val="none"/>
                <w:u w:val="single"/>
                <w:lang w:eastAsia="zh-CN"/>
              </w:rPr>
              <w:t>5</w:t>
            </w:r>
            <w:r>
              <w:rPr>
                <w:rFonts w:hint="eastAsia" w:ascii="宋体" w:hAnsi="宋体" w:eastAsia="宋体" w:cs="宋体"/>
                <w:snapToGrid/>
                <w:color w:val="auto"/>
                <w:kern w:val="2"/>
                <w:sz w:val="24"/>
                <w:szCs w:val="24"/>
                <w:highlight w:val="none"/>
                <w:lang w:eastAsia="zh-CN"/>
              </w:rPr>
              <w:t>分。</w:t>
            </w:r>
          </w:p>
          <w:p w14:paraId="68E41B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2</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未</w:t>
            </w:r>
            <w:r>
              <w:rPr>
                <w:rFonts w:hint="eastAsia" w:ascii="宋体" w:hAnsi="宋体" w:eastAsia="宋体" w:cs="宋体"/>
                <w:snapToGrid/>
                <w:color w:val="auto"/>
                <w:kern w:val="2"/>
                <w:sz w:val="24"/>
                <w:szCs w:val="24"/>
                <w:highlight w:val="none"/>
                <w:u w:val="single"/>
                <w:lang w:eastAsia="zh-CN"/>
              </w:rPr>
              <w:t>承接</w:t>
            </w:r>
            <w:r>
              <w:rPr>
                <w:rFonts w:hint="eastAsia" w:ascii="宋体" w:hAnsi="宋体" w:eastAsia="宋体" w:cs="宋体"/>
                <w:snapToGrid/>
                <w:color w:val="auto"/>
                <w:kern w:val="2"/>
                <w:sz w:val="24"/>
                <w:szCs w:val="24"/>
                <w:highlight w:val="none"/>
                <w:lang w:eastAsia="zh-CN"/>
              </w:rPr>
              <w:t>过类似工程的，不予计分。</w:t>
            </w:r>
          </w:p>
          <w:p w14:paraId="7A026D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eastAsia="zh-CN"/>
              </w:rPr>
              <w:t>3</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本项最高得</w:t>
            </w:r>
            <w:r>
              <w:rPr>
                <w:rFonts w:hint="eastAsia" w:ascii="宋体" w:hAnsi="宋体" w:eastAsia="宋体" w:cs="宋体"/>
                <w:snapToGrid/>
                <w:color w:val="auto"/>
                <w:kern w:val="2"/>
                <w:sz w:val="24"/>
                <w:szCs w:val="24"/>
                <w:highlight w:val="none"/>
                <w:lang w:val="en-US" w:eastAsia="zh-CN"/>
              </w:rPr>
              <w:t>10</w:t>
            </w:r>
            <w:r>
              <w:rPr>
                <w:rFonts w:hint="eastAsia" w:ascii="宋体" w:hAnsi="宋体" w:eastAsia="宋体" w:cs="宋体"/>
                <w:snapToGrid/>
                <w:color w:val="auto"/>
                <w:kern w:val="2"/>
                <w:sz w:val="24"/>
                <w:szCs w:val="24"/>
                <w:highlight w:val="none"/>
                <w:lang w:eastAsia="zh-CN"/>
              </w:rPr>
              <w:t>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1E44DC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1</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类似工程指：类似工程指：</w:t>
            </w:r>
            <w:r>
              <w:rPr>
                <w:rFonts w:hint="eastAsia" w:ascii="宋体" w:hAnsi="宋体" w:eastAsia="宋体" w:cs="宋体"/>
                <w:snapToGrid/>
                <w:color w:val="auto"/>
                <w:kern w:val="2"/>
                <w:sz w:val="24"/>
                <w:szCs w:val="24"/>
                <w:highlight w:val="none"/>
                <w:u w:val="single"/>
                <w:lang w:val="en-US" w:eastAsia="zh-CN"/>
              </w:rPr>
              <w:t>建筑或市政</w:t>
            </w:r>
            <w:r>
              <w:rPr>
                <w:rFonts w:hint="eastAsia" w:ascii="宋体" w:hAnsi="宋体" w:eastAsia="宋体" w:cs="宋体"/>
                <w:snapToGrid/>
                <w:color w:val="auto"/>
                <w:kern w:val="2"/>
                <w:sz w:val="24"/>
                <w:szCs w:val="24"/>
                <w:highlight w:val="none"/>
                <w:u w:val="single"/>
                <w:lang w:eastAsia="zh-CN"/>
              </w:rPr>
              <w:t>工程</w:t>
            </w:r>
            <w:r>
              <w:rPr>
                <w:rFonts w:hint="eastAsia" w:ascii="宋体" w:hAnsi="宋体" w:eastAsia="宋体" w:cs="宋体"/>
                <w:snapToGrid/>
                <w:color w:val="auto"/>
                <w:kern w:val="2"/>
                <w:sz w:val="24"/>
                <w:szCs w:val="24"/>
                <w:highlight w:val="none"/>
                <w:lang w:eastAsia="zh-CN"/>
              </w:rPr>
              <w:t>施工总承包工程或</w:t>
            </w:r>
            <w:r>
              <w:rPr>
                <w:rFonts w:hint="eastAsia" w:ascii="宋体" w:hAnsi="宋体" w:eastAsia="宋体" w:cs="宋体"/>
                <w:snapToGrid/>
                <w:color w:val="auto"/>
                <w:kern w:val="2"/>
                <w:sz w:val="24"/>
                <w:szCs w:val="24"/>
                <w:highlight w:val="none"/>
                <w:u w:val="single"/>
                <w:lang w:val="en-US" w:eastAsia="zh-CN"/>
              </w:rPr>
              <w:t>建筑或市政</w:t>
            </w:r>
            <w:r>
              <w:rPr>
                <w:rFonts w:hint="eastAsia" w:ascii="宋体" w:hAnsi="宋体" w:eastAsia="宋体" w:cs="宋体"/>
                <w:snapToGrid/>
                <w:color w:val="auto"/>
                <w:kern w:val="2"/>
                <w:sz w:val="24"/>
                <w:szCs w:val="24"/>
                <w:highlight w:val="none"/>
                <w:lang w:eastAsia="zh-CN"/>
              </w:rPr>
              <w:t>设计、施工总承包工程或</w:t>
            </w:r>
            <w:r>
              <w:rPr>
                <w:rFonts w:hint="eastAsia" w:ascii="宋体" w:hAnsi="宋体" w:eastAsia="宋体" w:cs="宋体"/>
                <w:snapToGrid/>
                <w:color w:val="auto"/>
                <w:kern w:val="2"/>
                <w:sz w:val="24"/>
                <w:szCs w:val="24"/>
                <w:highlight w:val="none"/>
                <w:u w:val="single"/>
                <w:lang w:val="en-US" w:eastAsia="zh-CN"/>
              </w:rPr>
              <w:t>建筑或市政</w:t>
            </w:r>
            <w:r>
              <w:rPr>
                <w:rFonts w:hint="eastAsia" w:ascii="宋体" w:hAnsi="宋体" w:eastAsia="宋体" w:cs="宋体"/>
                <w:snapToGrid/>
                <w:color w:val="auto"/>
                <w:kern w:val="2"/>
                <w:sz w:val="24"/>
                <w:szCs w:val="24"/>
                <w:highlight w:val="none"/>
                <w:lang w:eastAsia="zh-CN"/>
              </w:rPr>
              <w:t>勘察、设计、施工总承包工程。</w:t>
            </w:r>
          </w:p>
          <w:p w14:paraId="7161DA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2</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需附有关业绩（仅限于以施工总承包单位身份参建的项目）合同协议书彩色扫描件，</w:t>
            </w:r>
            <w:r>
              <w:rPr>
                <w:rFonts w:hint="eastAsia" w:ascii="宋体" w:hAnsi="宋体" w:eastAsia="宋体" w:cs="宋体"/>
                <w:b/>
                <w:bCs/>
                <w:snapToGrid/>
                <w:color w:val="auto"/>
                <w:kern w:val="2"/>
                <w:sz w:val="24"/>
                <w:szCs w:val="24"/>
                <w:highlight w:val="none"/>
                <w:lang w:eastAsia="zh-CN"/>
              </w:rPr>
              <w:t>同时提供原件供核对。</w:t>
            </w:r>
          </w:p>
          <w:p w14:paraId="00C071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3</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业绩时间以合同协议书日期为准。</w:t>
            </w:r>
          </w:p>
          <w:p w14:paraId="158F62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4</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任一业绩有以下情形之一的，该业绩视为无效，不予计分：</w:t>
            </w:r>
          </w:p>
          <w:p w14:paraId="5EAC5B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①未提供</w:t>
            </w:r>
            <w:r>
              <w:rPr>
                <w:rFonts w:hint="eastAsia" w:ascii="宋体" w:hAnsi="宋体" w:eastAsia="宋体" w:cs="宋体"/>
                <w:snapToGrid/>
                <w:color w:val="auto"/>
                <w:kern w:val="2"/>
                <w:sz w:val="24"/>
                <w:szCs w:val="24"/>
                <w:highlight w:val="none"/>
                <w:lang w:val="en-US" w:eastAsia="zh-CN"/>
              </w:rPr>
              <w:t>合同</w:t>
            </w:r>
            <w:r>
              <w:rPr>
                <w:rFonts w:hint="eastAsia" w:ascii="宋体" w:hAnsi="宋体" w:eastAsia="宋体" w:cs="宋体"/>
                <w:snapToGrid/>
                <w:color w:val="auto"/>
                <w:kern w:val="2"/>
                <w:sz w:val="24"/>
                <w:szCs w:val="24"/>
                <w:highlight w:val="none"/>
                <w:lang w:eastAsia="zh-CN"/>
              </w:rPr>
              <w:t>原件的；</w:t>
            </w:r>
          </w:p>
          <w:p w14:paraId="6BCE7C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val="en-US" w:eastAsia="zh-CN"/>
              </w:rPr>
              <w:t>②</w:t>
            </w:r>
            <w:r>
              <w:rPr>
                <w:rFonts w:hint="eastAsia" w:ascii="宋体" w:hAnsi="宋体" w:eastAsia="宋体" w:cs="宋体"/>
                <w:snapToGrid/>
                <w:color w:val="auto"/>
                <w:kern w:val="2"/>
                <w:sz w:val="24"/>
                <w:szCs w:val="24"/>
                <w:highlight w:val="none"/>
                <w:lang w:eastAsia="zh-CN"/>
              </w:rPr>
              <w:t>业绩不属于类似工程的；</w:t>
            </w:r>
          </w:p>
          <w:p w14:paraId="10AD34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③不是以指定身份参建的；</w:t>
            </w:r>
          </w:p>
          <w:p w14:paraId="1EF87E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rPr>
              <w:t>④</w:t>
            </w:r>
            <w:r>
              <w:rPr>
                <w:rFonts w:hint="eastAsia" w:ascii="宋体" w:hAnsi="宋体" w:eastAsia="宋体" w:cs="宋体"/>
                <w:snapToGrid/>
                <w:color w:val="auto"/>
                <w:kern w:val="2"/>
                <w:sz w:val="24"/>
                <w:szCs w:val="24"/>
                <w:highlight w:val="none"/>
                <w:lang w:eastAsia="zh-CN"/>
              </w:rPr>
              <w:t>业绩时间不符合要求的。</w:t>
            </w:r>
          </w:p>
        </w:tc>
      </w:tr>
      <w:tr w14:paraId="16967508">
        <w:tblPrEx>
          <w:tblCellMar>
            <w:top w:w="0" w:type="dxa"/>
            <w:left w:w="108" w:type="dxa"/>
            <w:bottom w:w="0" w:type="dxa"/>
            <w:right w:w="108" w:type="dxa"/>
          </w:tblCellMar>
        </w:tblPrEx>
        <w:trPr>
          <w:trHeight w:val="2151"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7B9950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企业银行</w:t>
            </w:r>
          </w:p>
          <w:p w14:paraId="6E68A6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资信评级</w:t>
            </w:r>
          </w:p>
          <w:p w14:paraId="4B1BC7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lang w:val="en-US" w:eastAsia="zh-CN"/>
              </w:rPr>
              <w:t>5</w:t>
            </w:r>
            <w:r>
              <w:rPr>
                <w:rFonts w:hint="eastAsia" w:ascii="宋体" w:hAnsi="宋体" w:eastAsia="宋体" w:cs="宋体"/>
                <w:snapToGrid/>
                <w:color w:val="auto"/>
                <w:kern w:val="2"/>
                <w:sz w:val="24"/>
                <w:szCs w:val="24"/>
                <w:highlight w:val="none"/>
                <w:lang w:eastAsia="zh-CN"/>
              </w:rPr>
              <w:t>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1EC109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1</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银行资信评级AAA的，得</w:t>
            </w:r>
            <w:r>
              <w:rPr>
                <w:rFonts w:hint="eastAsia" w:ascii="宋体" w:hAnsi="宋体" w:eastAsia="宋体" w:cs="宋体"/>
                <w:snapToGrid/>
                <w:color w:val="auto"/>
                <w:kern w:val="2"/>
                <w:sz w:val="24"/>
                <w:szCs w:val="24"/>
                <w:highlight w:val="none"/>
                <w:u w:val="single"/>
                <w:lang w:val="en-US" w:eastAsia="zh-CN"/>
              </w:rPr>
              <w:t>5</w:t>
            </w:r>
            <w:r>
              <w:rPr>
                <w:rFonts w:hint="eastAsia" w:ascii="宋体" w:hAnsi="宋体" w:eastAsia="宋体" w:cs="宋体"/>
                <w:snapToGrid/>
                <w:color w:val="auto"/>
                <w:kern w:val="2"/>
                <w:sz w:val="24"/>
                <w:szCs w:val="24"/>
                <w:highlight w:val="none"/>
                <w:u w:val="none"/>
                <w:lang w:eastAsia="zh-CN"/>
              </w:rPr>
              <w:t>分</w:t>
            </w:r>
            <w:r>
              <w:rPr>
                <w:rFonts w:hint="eastAsia" w:ascii="宋体" w:hAnsi="宋体" w:eastAsia="宋体" w:cs="宋体"/>
                <w:snapToGrid/>
                <w:color w:val="auto"/>
                <w:kern w:val="2"/>
                <w:sz w:val="24"/>
                <w:szCs w:val="24"/>
                <w:highlight w:val="none"/>
                <w:lang w:eastAsia="zh-CN"/>
              </w:rPr>
              <w:t>；</w:t>
            </w:r>
          </w:p>
          <w:p w14:paraId="474F38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2</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银行资信评级AA（含AA＋、AA－）的，得</w:t>
            </w:r>
            <w:r>
              <w:rPr>
                <w:rFonts w:hint="eastAsia" w:ascii="宋体" w:hAnsi="宋体" w:eastAsia="宋体" w:cs="宋体"/>
                <w:snapToGrid/>
                <w:color w:val="auto"/>
                <w:kern w:val="2"/>
                <w:sz w:val="24"/>
                <w:szCs w:val="24"/>
                <w:highlight w:val="none"/>
                <w:u w:val="single"/>
                <w:lang w:val="en-US" w:eastAsia="zh-CN"/>
              </w:rPr>
              <w:t>3</w:t>
            </w:r>
            <w:r>
              <w:rPr>
                <w:rFonts w:hint="eastAsia" w:ascii="宋体" w:hAnsi="宋体" w:eastAsia="宋体" w:cs="宋体"/>
                <w:snapToGrid/>
                <w:color w:val="auto"/>
                <w:kern w:val="2"/>
                <w:sz w:val="24"/>
                <w:szCs w:val="24"/>
                <w:highlight w:val="none"/>
                <w:lang w:eastAsia="zh-CN"/>
              </w:rPr>
              <w:t>分。</w:t>
            </w:r>
          </w:p>
          <w:p w14:paraId="00DB44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3</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银行资信评级A（含A＋、A－）的，得</w:t>
            </w:r>
            <w:r>
              <w:rPr>
                <w:rFonts w:hint="eastAsia" w:ascii="宋体" w:hAnsi="宋体" w:eastAsia="宋体" w:cs="宋体"/>
                <w:snapToGrid/>
                <w:color w:val="auto"/>
                <w:kern w:val="2"/>
                <w:sz w:val="24"/>
                <w:szCs w:val="24"/>
                <w:highlight w:val="none"/>
                <w:u w:val="single"/>
                <w:lang w:val="en-US" w:eastAsia="zh-CN"/>
              </w:rPr>
              <w:t>1</w:t>
            </w:r>
            <w:r>
              <w:rPr>
                <w:rFonts w:hint="eastAsia" w:ascii="宋体" w:hAnsi="宋体" w:eastAsia="宋体" w:cs="宋体"/>
                <w:snapToGrid/>
                <w:color w:val="auto"/>
                <w:kern w:val="2"/>
                <w:sz w:val="24"/>
                <w:szCs w:val="24"/>
                <w:highlight w:val="none"/>
                <w:lang w:eastAsia="zh-CN"/>
              </w:rPr>
              <w:t>分。</w:t>
            </w:r>
          </w:p>
          <w:p w14:paraId="61C518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4"/>
                <w:szCs w:val="24"/>
                <w:highlight w:val="none"/>
                <w:u w:val="none"/>
                <w:lang w:val="en-US" w:eastAsia="zh-CN" w:bidi="ar-SA"/>
              </w:rPr>
            </w:pPr>
            <w:r>
              <w:rPr>
                <w:rFonts w:hint="eastAsia" w:ascii="宋体" w:hAnsi="宋体" w:eastAsia="宋体" w:cs="宋体"/>
                <w:snapToGrid/>
                <w:color w:val="auto"/>
                <w:kern w:val="2"/>
                <w:sz w:val="24"/>
                <w:szCs w:val="24"/>
                <w:highlight w:val="none"/>
                <w:lang w:eastAsia="zh-CN"/>
              </w:rPr>
              <w:t>4</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未获得过以上评级的，或评级证书（证明）无效的，不予计分。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29F0CA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1</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需附在有效期内的资信评级证书（证明）彩色扫描件，</w:t>
            </w:r>
            <w:r>
              <w:rPr>
                <w:rFonts w:hint="eastAsia" w:ascii="宋体" w:hAnsi="宋体" w:eastAsia="宋体" w:cs="宋体"/>
                <w:b/>
                <w:bCs/>
                <w:snapToGrid/>
                <w:color w:val="auto"/>
                <w:kern w:val="2"/>
                <w:sz w:val="24"/>
                <w:szCs w:val="24"/>
                <w:highlight w:val="none"/>
                <w:lang w:eastAsia="zh-CN"/>
              </w:rPr>
              <w:t>同时提供原件供核对。</w:t>
            </w:r>
          </w:p>
          <w:p w14:paraId="5DE3F8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2</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评级证书（证明）须由</w:t>
            </w:r>
            <w:r>
              <w:rPr>
                <w:rFonts w:hint="eastAsia" w:ascii="宋体" w:hAnsi="宋体" w:eastAsia="宋体" w:cs="宋体"/>
                <w:snapToGrid/>
                <w:color w:val="auto"/>
                <w:kern w:val="2"/>
                <w:sz w:val="24"/>
                <w:szCs w:val="24"/>
                <w:highlight w:val="none"/>
                <w:u w:val="single"/>
                <w:lang w:val="en-US" w:eastAsia="zh-CN"/>
              </w:rPr>
              <w:t>企业基本账户开户银行 / 市级或以上金融机构</w:t>
            </w:r>
            <w:r>
              <w:rPr>
                <w:rFonts w:hint="eastAsia" w:ascii="宋体" w:hAnsi="宋体" w:eastAsia="宋体" w:cs="宋体"/>
                <w:snapToGrid/>
                <w:color w:val="auto"/>
                <w:kern w:val="2"/>
                <w:sz w:val="24"/>
                <w:szCs w:val="24"/>
                <w:highlight w:val="none"/>
                <w:lang w:eastAsia="zh-CN"/>
              </w:rPr>
              <w:t>出具。</w:t>
            </w:r>
          </w:p>
          <w:p w14:paraId="0DBC0B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3</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评级证书（证明）有以下情形之一的，视为无效：</w:t>
            </w:r>
          </w:p>
          <w:p w14:paraId="1420D6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①未提供评级证书（证明）原件的；</w:t>
            </w:r>
          </w:p>
          <w:p w14:paraId="1162B2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②评级证书（证明）不在有效期内的；</w:t>
            </w:r>
          </w:p>
          <w:p w14:paraId="3B8EB3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color w:val="auto"/>
                <w:kern w:val="0"/>
                <w:sz w:val="24"/>
                <w:szCs w:val="24"/>
                <w:highlight w:val="none"/>
                <w:u w:val="none"/>
                <w:lang w:val="en-US" w:eastAsia="zh-CN" w:bidi="ar-SA"/>
              </w:rPr>
            </w:pPr>
            <w:r>
              <w:rPr>
                <w:rFonts w:hint="eastAsia" w:ascii="宋体" w:hAnsi="宋体" w:eastAsia="宋体" w:cs="宋体"/>
                <w:snapToGrid/>
                <w:color w:val="auto"/>
                <w:kern w:val="2"/>
                <w:sz w:val="24"/>
                <w:szCs w:val="24"/>
                <w:highlight w:val="none"/>
                <w:lang w:eastAsia="zh-CN"/>
              </w:rPr>
              <w:t>③出具机构不符合要求的。</w:t>
            </w:r>
          </w:p>
        </w:tc>
      </w:tr>
      <w:tr w14:paraId="217B1136">
        <w:tblPrEx>
          <w:tblCellMar>
            <w:top w:w="0" w:type="dxa"/>
            <w:left w:w="108" w:type="dxa"/>
            <w:bottom w:w="0" w:type="dxa"/>
            <w:right w:w="108" w:type="dxa"/>
          </w:tblCellMar>
        </w:tblPrEx>
        <w:trPr>
          <w:trHeight w:val="162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260626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企业管理</w:t>
            </w:r>
          </w:p>
          <w:p w14:paraId="5ABEA2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体系认证</w:t>
            </w:r>
          </w:p>
          <w:p w14:paraId="5FF308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lang w:val="en-US" w:eastAsia="zh-CN"/>
              </w:rPr>
              <w:t>6</w:t>
            </w:r>
            <w:r>
              <w:rPr>
                <w:rFonts w:hint="eastAsia" w:ascii="宋体" w:hAnsi="宋体" w:eastAsia="宋体" w:cs="宋体"/>
                <w:snapToGrid/>
                <w:color w:val="auto"/>
                <w:kern w:val="2"/>
                <w:sz w:val="24"/>
                <w:szCs w:val="24"/>
                <w:highlight w:val="none"/>
                <w:lang w:eastAsia="zh-CN"/>
              </w:rPr>
              <w:t>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06CB3EC5">
            <w:pPr>
              <w:keepNext w:val="0"/>
              <w:keepLines w:val="0"/>
              <w:pageBreakBefore w:val="0"/>
              <w:widowControl w:val="0"/>
              <w:numPr>
                <w:ilvl w:val="0"/>
                <w:numId w:val="0"/>
              </w:numPr>
              <w:kinsoku/>
              <w:wordWrap/>
              <w:overflowPunct/>
              <w:topLinePunct w:val="0"/>
              <w:autoSpaceDE/>
              <w:autoSpaceDN/>
              <w:bidi w:val="0"/>
              <w:adjustRightInd/>
              <w:snapToGrid/>
              <w:spacing w:before="65" w:line="360" w:lineRule="auto"/>
              <w:ind w:right="105" w:rightChars="0"/>
              <w:jc w:val="both"/>
              <w:textAlignment w:val="auto"/>
              <w:rPr>
                <w:rFonts w:hint="eastAsia" w:ascii="宋体" w:hAnsi="宋体" w:eastAsia="宋体" w:cs="宋体"/>
                <w:snapToGrid w:val="0"/>
                <w:color w:val="auto"/>
                <w:kern w:val="2"/>
                <w:sz w:val="24"/>
                <w:szCs w:val="24"/>
                <w:highlight w:val="none"/>
                <w:lang w:val="en-US" w:eastAsia="en-US" w:bidi="ar-SA"/>
              </w:rPr>
            </w:pPr>
            <w:r>
              <w:rPr>
                <w:rFonts w:hint="eastAsia" w:ascii="宋体" w:hAnsi="宋体" w:eastAsia="宋体" w:cs="宋体"/>
                <w:snapToGrid w:val="0"/>
                <w:color w:val="auto"/>
                <w:kern w:val="2"/>
                <w:sz w:val="24"/>
                <w:szCs w:val="24"/>
                <w:highlight w:val="none"/>
                <w:lang w:val="en-US" w:eastAsia="en-US" w:bidi="ar-SA"/>
              </w:rPr>
              <w:t xml:space="preserve">1.质量管理体系认证、职业健康安 全管理体系认证、环境管理体系认证中，每获得 1 项认证得 </w:t>
            </w:r>
            <w:r>
              <w:rPr>
                <w:rFonts w:hint="eastAsia" w:ascii="宋体" w:hAnsi="宋体" w:eastAsia="宋体" w:cs="宋体"/>
                <w:snapToGrid w:val="0"/>
                <w:color w:val="auto"/>
                <w:kern w:val="2"/>
                <w:sz w:val="24"/>
                <w:szCs w:val="24"/>
                <w:highlight w:val="none"/>
                <w:lang w:val="en-US" w:eastAsia="zh-CN" w:bidi="ar-SA"/>
              </w:rPr>
              <w:t>2</w:t>
            </w:r>
            <w:r>
              <w:rPr>
                <w:rFonts w:hint="eastAsia" w:ascii="宋体" w:hAnsi="宋体" w:eastAsia="宋体" w:cs="宋体"/>
                <w:snapToGrid w:val="0"/>
                <w:color w:val="auto"/>
                <w:kern w:val="2"/>
                <w:sz w:val="24"/>
                <w:szCs w:val="24"/>
                <w:highlight w:val="none"/>
                <w:lang w:val="en-US" w:eastAsia="en-US" w:bidi="ar-SA"/>
              </w:rPr>
              <w:t>分，最高得</w:t>
            </w:r>
            <w:r>
              <w:rPr>
                <w:rFonts w:hint="eastAsia" w:ascii="宋体" w:hAnsi="宋体" w:eastAsia="宋体" w:cs="宋体"/>
                <w:snapToGrid w:val="0"/>
                <w:color w:val="auto"/>
                <w:kern w:val="2"/>
                <w:sz w:val="24"/>
                <w:szCs w:val="24"/>
                <w:highlight w:val="none"/>
                <w:lang w:val="en-US" w:eastAsia="zh-CN" w:bidi="ar-SA"/>
              </w:rPr>
              <w:t>6</w:t>
            </w:r>
            <w:r>
              <w:rPr>
                <w:rFonts w:hint="eastAsia" w:ascii="宋体" w:hAnsi="宋体" w:eastAsia="宋体" w:cs="宋体"/>
                <w:snapToGrid w:val="0"/>
                <w:color w:val="auto"/>
                <w:kern w:val="2"/>
                <w:sz w:val="24"/>
                <w:szCs w:val="24"/>
                <w:highlight w:val="none"/>
                <w:lang w:val="en-US" w:eastAsia="en-US" w:bidi="ar-SA"/>
              </w:rPr>
              <w:t xml:space="preserve"> 分。</w:t>
            </w:r>
          </w:p>
          <w:p w14:paraId="78C8B63C">
            <w:pPr>
              <w:keepNext w:val="0"/>
              <w:keepLines w:val="0"/>
              <w:pageBreakBefore w:val="0"/>
              <w:widowControl w:val="0"/>
              <w:numPr>
                <w:ilvl w:val="0"/>
                <w:numId w:val="0"/>
              </w:numPr>
              <w:kinsoku/>
              <w:wordWrap/>
              <w:overflowPunct/>
              <w:topLinePunct w:val="0"/>
              <w:autoSpaceDE/>
              <w:autoSpaceDN/>
              <w:bidi w:val="0"/>
              <w:adjustRightInd/>
              <w:snapToGrid/>
              <w:spacing w:before="65" w:line="360" w:lineRule="auto"/>
              <w:ind w:left="0" w:leftChars="0" w:right="105" w:rightChars="0" w:firstLine="0" w:firstLineChars="0"/>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2"/>
                <w:sz w:val="24"/>
                <w:szCs w:val="24"/>
                <w:highlight w:val="none"/>
                <w:lang w:val="en-US" w:eastAsia="en-US" w:bidi="ar-SA"/>
              </w:rPr>
              <w:t>2</w:t>
            </w:r>
            <w:r>
              <w:rPr>
                <w:rFonts w:hint="eastAsia" w:ascii="宋体" w:hAnsi="宋体" w:eastAsia="宋体" w:cs="宋体"/>
                <w:snapToGrid w:val="0"/>
                <w:color w:val="auto"/>
                <w:kern w:val="2"/>
                <w:sz w:val="24"/>
                <w:szCs w:val="24"/>
                <w:highlight w:val="none"/>
                <w:lang w:val="en-US" w:eastAsia="zh-CN" w:bidi="ar-SA"/>
              </w:rPr>
              <w:t>.</w:t>
            </w:r>
            <w:r>
              <w:rPr>
                <w:rFonts w:hint="eastAsia" w:ascii="宋体" w:hAnsi="宋体" w:eastAsia="宋体" w:cs="宋体"/>
                <w:snapToGrid w:val="0"/>
                <w:color w:val="auto"/>
                <w:kern w:val="2"/>
                <w:sz w:val="24"/>
                <w:szCs w:val="24"/>
                <w:highlight w:val="none"/>
                <w:lang w:val="en-US" w:eastAsia="en-US" w:bidi="ar-SA"/>
              </w:rPr>
              <w:t>未获得以上认证的，不予计分。</w:t>
            </w:r>
          </w:p>
        </w:tc>
        <w:tc>
          <w:tcPr>
            <w:tcW w:w="5392" w:type="dxa"/>
            <w:tcBorders>
              <w:top w:val="single" w:color="auto" w:sz="4" w:space="0"/>
              <w:left w:val="single" w:color="auto" w:sz="4" w:space="0"/>
              <w:bottom w:val="single" w:color="auto" w:sz="4" w:space="0"/>
              <w:right w:val="single" w:color="auto" w:sz="4" w:space="0"/>
            </w:tcBorders>
            <w:noWrap w:val="0"/>
            <w:vAlign w:val="top"/>
          </w:tcPr>
          <w:p w14:paraId="31F5DC40">
            <w:pPr>
              <w:keepNext w:val="0"/>
              <w:keepLines w:val="0"/>
              <w:pageBreakBefore w:val="0"/>
              <w:widowControl w:val="0"/>
              <w:kinsoku/>
              <w:wordWrap/>
              <w:overflowPunct/>
              <w:topLinePunct w:val="0"/>
              <w:autoSpaceDE/>
              <w:autoSpaceDN/>
              <w:bidi w:val="0"/>
              <w:adjustRightInd/>
              <w:snapToGrid/>
              <w:spacing w:line="360" w:lineRule="auto"/>
              <w:ind w:left="123" w:right="37" w:firstLine="6"/>
              <w:jc w:val="both"/>
              <w:textAlignment w:val="auto"/>
              <w:rPr>
                <w:rFonts w:hint="eastAsia" w:ascii="宋体" w:hAnsi="宋体" w:eastAsia="宋体" w:cs="宋体"/>
                <w:snapToGrid w:val="0"/>
                <w:color w:val="auto"/>
                <w:kern w:val="2"/>
                <w:sz w:val="24"/>
                <w:szCs w:val="24"/>
                <w:highlight w:val="none"/>
                <w:lang w:val="en-US" w:eastAsia="en-US" w:bidi="ar-SA"/>
              </w:rPr>
            </w:pPr>
            <w:r>
              <w:rPr>
                <w:rFonts w:hint="eastAsia" w:ascii="宋体" w:hAnsi="宋体" w:eastAsia="宋体" w:cs="宋体"/>
                <w:snapToGrid w:val="0"/>
                <w:color w:val="auto"/>
                <w:kern w:val="2"/>
                <w:sz w:val="24"/>
                <w:szCs w:val="24"/>
                <w:highlight w:val="none"/>
                <w:lang w:val="en-US" w:eastAsia="en-US" w:bidi="ar-SA"/>
              </w:rPr>
              <w:t>1</w:t>
            </w:r>
            <w:r>
              <w:rPr>
                <w:rFonts w:hint="eastAsia" w:ascii="宋体" w:hAnsi="宋体" w:eastAsia="宋体" w:cs="宋体"/>
                <w:snapToGrid w:val="0"/>
                <w:color w:val="auto"/>
                <w:kern w:val="2"/>
                <w:sz w:val="24"/>
                <w:szCs w:val="24"/>
                <w:highlight w:val="none"/>
                <w:lang w:val="en-US" w:eastAsia="zh-CN" w:bidi="ar-SA"/>
              </w:rPr>
              <w:t>.</w:t>
            </w:r>
            <w:r>
              <w:rPr>
                <w:rFonts w:hint="eastAsia" w:ascii="宋体" w:hAnsi="宋体" w:eastAsia="宋体" w:cs="宋体"/>
                <w:snapToGrid w:val="0"/>
                <w:color w:val="auto"/>
                <w:kern w:val="2"/>
                <w:sz w:val="24"/>
                <w:szCs w:val="24"/>
                <w:highlight w:val="none"/>
                <w:lang w:val="en-US" w:eastAsia="en-US" w:bidi="ar-SA"/>
              </w:rPr>
              <w:t>需附在有效期内的认证证书彩色扫描件</w:t>
            </w:r>
            <w:r>
              <w:rPr>
                <w:rFonts w:hint="eastAsia" w:ascii="宋体" w:hAnsi="宋体" w:eastAsia="宋体" w:cs="宋体"/>
                <w:snapToGrid w:val="0"/>
                <w:color w:val="auto"/>
                <w:kern w:val="2"/>
                <w:sz w:val="24"/>
                <w:szCs w:val="24"/>
                <w:highlight w:val="none"/>
                <w:lang w:val="en-US" w:eastAsia="zh-CN" w:bidi="ar-SA"/>
              </w:rPr>
              <w:t>，</w:t>
            </w:r>
            <w:r>
              <w:rPr>
                <w:rFonts w:hint="eastAsia" w:ascii="宋体" w:hAnsi="宋体" w:eastAsia="宋体" w:cs="宋体"/>
                <w:b/>
                <w:bCs/>
                <w:snapToGrid w:val="0"/>
                <w:color w:val="auto"/>
                <w:kern w:val="2"/>
                <w:sz w:val="24"/>
                <w:szCs w:val="24"/>
                <w:highlight w:val="none"/>
                <w:lang w:val="en-US" w:eastAsia="zh-CN" w:bidi="ar-SA"/>
              </w:rPr>
              <w:t>同时提供原件供核对（证书为电子证书的除外）</w:t>
            </w:r>
            <w:r>
              <w:rPr>
                <w:rFonts w:hint="eastAsia" w:ascii="宋体" w:hAnsi="宋体" w:eastAsia="宋体" w:cs="宋体"/>
                <w:snapToGrid w:val="0"/>
                <w:color w:val="auto"/>
                <w:kern w:val="2"/>
                <w:sz w:val="24"/>
                <w:szCs w:val="24"/>
                <w:highlight w:val="none"/>
                <w:lang w:val="en-US" w:eastAsia="en-US" w:bidi="ar-SA"/>
              </w:rPr>
              <w:t>。</w:t>
            </w:r>
          </w:p>
          <w:p w14:paraId="16261AA9">
            <w:pPr>
              <w:keepNext w:val="0"/>
              <w:keepLines w:val="0"/>
              <w:pageBreakBefore w:val="0"/>
              <w:widowControl w:val="0"/>
              <w:kinsoku/>
              <w:wordWrap/>
              <w:overflowPunct/>
              <w:topLinePunct w:val="0"/>
              <w:autoSpaceDE/>
              <w:autoSpaceDN/>
              <w:bidi w:val="0"/>
              <w:adjustRightInd/>
              <w:snapToGrid/>
              <w:spacing w:line="360" w:lineRule="auto"/>
              <w:ind w:left="116" w:right="109" w:hanging="7"/>
              <w:jc w:val="both"/>
              <w:textAlignment w:val="auto"/>
              <w:rPr>
                <w:rFonts w:hint="eastAsia" w:ascii="宋体" w:hAnsi="宋体" w:eastAsia="宋体" w:cs="宋体"/>
                <w:snapToGrid w:val="0"/>
                <w:color w:val="auto"/>
                <w:kern w:val="2"/>
                <w:sz w:val="24"/>
                <w:szCs w:val="24"/>
                <w:highlight w:val="none"/>
                <w:lang w:val="en-US" w:eastAsia="en-US" w:bidi="ar-SA"/>
              </w:rPr>
            </w:pPr>
            <w:r>
              <w:rPr>
                <w:rFonts w:hint="eastAsia" w:ascii="宋体" w:hAnsi="宋体" w:eastAsia="宋体" w:cs="宋体"/>
                <w:snapToGrid w:val="0"/>
                <w:color w:val="auto"/>
                <w:kern w:val="2"/>
                <w:sz w:val="24"/>
                <w:szCs w:val="24"/>
                <w:highlight w:val="none"/>
                <w:lang w:val="en-US" w:eastAsia="zh-CN" w:bidi="ar-SA"/>
              </w:rPr>
              <w:t>2.</w:t>
            </w:r>
            <w:r>
              <w:rPr>
                <w:rFonts w:hint="eastAsia" w:ascii="宋体" w:hAnsi="宋体" w:eastAsia="宋体" w:cs="宋体"/>
                <w:snapToGrid w:val="0"/>
                <w:color w:val="auto"/>
                <w:kern w:val="2"/>
                <w:sz w:val="24"/>
                <w:szCs w:val="24"/>
                <w:highlight w:val="none"/>
                <w:lang w:val="en-US" w:eastAsia="en-US" w:bidi="ar-SA"/>
              </w:rPr>
              <w:t>任一认证证书有以下情形之一的，该认证证书视为无效，不予计分：</w:t>
            </w:r>
          </w:p>
          <w:p w14:paraId="66A0945B">
            <w:pPr>
              <w:keepNext w:val="0"/>
              <w:keepLines w:val="0"/>
              <w:pageBreakBefore w:val="0"/>
              <w:widowControl w:val="0"/>
              <w:kinsoku/>
              <w:wordWrap/>
              <w:overflowPunct/>
              <w:topLinePunct w:val="0"/>
              <w:autoSpaceDE/>
              <w:autoSpaceDN/>
              <w:bidi w:val="0"/>
              <w:adjustRightInd/>
              <w:snapToGrid/>
              <w:spacing w:line="360" w:lineRule="auto"/>
              <w:ind w:left="116" w:leftChars="0" w:right="109" w:rightChars="0" w:hanging="7" w:firstLineChars="0"/>
              <w:jc w:val="both"/>
              <w:textAlignment w:val="auto"/>
              <w:rPr>
                <w:rFonts w:hint="eastAsia" w:ascii="宋体" w:hAnsi="宋体" w:eastAsia="宋体" w:cs="宋体"/>
                <w:b w:val="0"/>
                <w:bCs w:val="0"/>
                <w:snapToGrid/>
                <w:color w:val="auto"/>
                <w:kern w:val="0"/>
                <w:sz w:val="24"/>
                <w:szCs w:val="24"/>
                <w:highlight w:val="none"/>
                <w:lang w:val="en-US" w:eastAsia="zh-CN" w:bidi="ar"/>
              </w:rPr>
            </w:pPr>
            <w:r>
              <w:rPr>
                <w:rFonts w:hint="eastAsia" w:ascii="宋体" w:hAnsi="宋体" w:eastAsia="宋体" w:cs="宋体"/>
                <w:b w:val="0"/>
                <w:bCs w:val="0"/>
                <w:snapToGrid/>
                <w:color w:val="auto"/>
                <w:kern w:val="0"/>
                <w:sz w:val="24"/>
                <w:szCs w:val="24"/>
                <w:highlight w:val="none"/>
                <w:lang w:val="en-US" w:eastAsia="zh-CN" w:bidi="ar"/>
              </w:rPr>
              <w:t>①未提供认证证书原件的；</w:t>
            </w:r>
          </w:p>
          <w:p w14:paraId="4C5DA69E">
            <w:pPr>
              <w:keepNext w:val="0"/>
              <w:keepLines w:val="0"/>
              <w:pageBreakBefore w:val="0"/>
              <w:widowControl w:val="0"/>
              <w:kinsoku/>
              <w:wordWrap/>
              <w:overflowPunct/>
              <w:topLinePunct w:val="0"/>
              <w:autoSpaceDE/>
              <w:autoSpaceDN/>
              <w:bidi w:val="0"/>
              <w:adjustRightInd/>
              <w:snapToGrid/>
              <w:spacing w:line="360" w:lineRule="auto"/>
              <w:ind w:left="116" w:leftChars="0" w:right="109" w:rightChars="0" w:hanging="7" w:firstLineChars="0"/>
              <w:jc w:val="both"/>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color w:val="auto"/>
                <w:kern w:val="0"/>
                <w:sz w:val="24"/>
                <w:szCs w:val="24"/>
                <w:highlight w:val="none"/>
                <w:lang w:val="en-US" w:eastAsia="zh-CN" w:bidi="ar"/>
              </w:rPr>
              <w:t>②认证证书不在有效期内的。</w:t>
            </w:r>
          </w:p>
        </w:tc>
      </w:tr>
      <w:tr w14:paraId="28C3E331">
        <w:tblPrEx>
          <w:tblCellMar>
            <w:top w:w="0" w:type="dxa"/>
            <w:left w:w="108" w:type="dxa"/>
            <w:bottom w:w="0" w:type="dxa"/>
            <w:right w:w="108" w:type="dxa"/>
          </w:tblCellMar>
        </w:tblPrEx>
        <w:trPr>
          <w:trHeight w:val="277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353DED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企业</w:t>
            </w:r>
          </w:p>
          <w:p w14:paraId="582497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财务状况</w:t>
            </w:r>
          </w:p>
          <w:p w14:paraId="712E80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eastAsia="zh-CN"/>
              </w:rPr>
              <w:t>（</w:t>
            </w:r>
            <w:r>
              <w:rPr>
                <w:rFonts w:hint="eastAsia" w:ascii="宋体" w:hAnsi="宋体" w:eastAsia="宋体" w:cs="宋体"/>
                <w:snapToGrid/>
                <w:color w:val="auto"/>
                <w:kern w:val="2"/>
                <w:sz w:val="24"/>
                <w:szCs w:val="24"/>
                <w:highlight w:val="none"/>
                <w:lang w:val="en-US" w:eastAsia="zh-CN"/>
              </w:rPr>
              <w:t>9</w:t>
            </w:r>
            <w:r>
              <w:rPr>
                <w:rFonts w:hint="eastAsia" w:ascii="宋体" w:hAnsi="宋体" w:eastAsia="宋体" w:cs="宋体"/>
                <w:snapToGrid/>
                <w:color w:val="auto"/>
                <w:kern w:val="2"/>
                <w:sz w:val="24"/>
                <w:szCs w:val="24"/>
                <w:highlight w:val="none"/>
                <w:lang w:eastAsia="zh-CN"/>
              </w:rPr>
              <w:t>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6BE729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val="en-US" w:eastAsia="zh-CN"/>
              </w:rPr>
              <w:t>1.</w:t>
            </w:r>
            <w:r>
              <w:rPr>
                <w:rFonts w:hint="eastAsia" w:ascii="宋体" w:hAnsi="宋体" w:eastAsia="宋体" w:cs="宋体"/>
                <w:snapToGrid/>
                <w:color w:val="auto"/>
                <w:kern w:val="2"/>
                <w:sz w:val="24"/>
                <w:szCs w:val="24"/>
                <w:highlight w:val="none"/>
                <w:lang w:eastAsia="zh-CN"/>
              </w:rPr>
              <w:t>提供不少于</w:t>
            </w:r>
            <w:r>
              <w:rPr>
                <w:rFonts w:hint="eastAsia" w:ascii="宋体" w:hAnsi="宋体" w:eastAsia="宋体" w:cs="宋体"/>
                <w:snapToGrid/>
                <w:color w:val="auto"/>
                <w:kern w:val="2"/>
                <w:sz w:val="24"/>
                <w:szCs w:val="24"/>
                <w:highlight w:val="none"/>
                <w:u w:val="single"/>
                <w:lang w:val="en-US" w:eastAsia="zh-CN"/>
              </w:rPr>
              <w:t>300</w:t>
            </w:r>
            <w:r>
              <w:rPr>
                <w:rFonts w:hint="eastAsia" w:ascii="宋体" w:hAnsi="宋体" w:eastAsia="宋体" w:cs="宋体"/>
                <w:snapToGrid/>
                <w:color w:val="auto"/>
                <w:kern w:val="2"/>
                <w:sz w:val="24"/>
                <w:szCs w:val="24"/>
                <w:highlight w:val="none"/>
                <w:u w:val="single"/>
                <w:lang w:eastAsia="zh-CN"/>
              </w:rPr>
              <w:t>万元</w:t>
            </w:r>
            <w:r>
              <w:rPr>
                <w:rFonts w:hint="eastAsia" w:ascii="宋体" w:hAnsi="宋体" w:eastAsia="宋体" w:cs="宋体"/>
                <w:snapToGrid/>
                <w:color w:val="auto"/>
                <w:kern w:val="2"/>
                <w:sz w:val="24"/>
                <w:szCs w:val="24"/>
                <w:highlight w:val="none"/>
                <w:lang w:eastAsia="zh-CN"/>
              </w:rPr>
              <w:t>银行授信证明的，得</w:t>
            </w:r>
            <w:r>
              <w:rPr>
                <w:rFonts w:hint="eastAsia" w:ascii="宋体" w:hAnsi="宋体" w:eastAsia="宋体" w:cs="宋体"/>
                <w:snapToGrid/>
                <w:color w:val="auto"/>
                <w:kern w:val="2"/>
                <w:sz w:val="24"/>
                <w:szCs w:val="24"/>
                <w:highlight w:val="none"/>
                <w:u w:val="single"/>
                <w:lang w:val="en-US" w:eastAsia="zh-CN"/>
              </w:rPr>
              <w:t>5</w:t>
            </w:r>
            <w:r>
              <w:rPr>
                <w:rFonts w:hint="eastAsia" w:ascii="宋体" w:hAnsi="宋体" w:eastAsia="宋体" w:cs="宋体"/>
                <w:snapToGrid/>
                <w:color w:val="auto"/>
                <w:kern w:val="2"/>
                <w:sz w:val="24"/>
                <w:szCs w:val="24"/>
                <w:highlight w:val="none"/>
                <w:lang w:eastAsia="zh-CN"/>
              </w:rPr>
              <w:t>分。</w:t>
            </w:r>
          </w:p>
          <w:p w14:paraId="5127F2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color w:val="auto"/>
                <w:kern w:val="2"/>
                <w:sz w:val="24"/>
                <w:szCs w:val="24"/>
                <w:highlight w:val="none"/>
                <w:lang w:eastAsia="zh-CN"/>
              </w:rPr>
              <w:t>2</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提供投标人基本账户在本项目招标公告发布之日起至投标截止时间期间出现过至少连续3日不少于</w:t>
            </w:r>
            <w:r>
              <w:rPr>
                <w:rFonts w:hint="eastAsia" w:ascii="宋体" w:hAnsi="宋体" w:eastAsia="宋体" w:cs="宋体"/>
                <w:snapToGrid/>
                <w:color w:val="auto"/>
                <w:kern w:val="2"/>
                <w:sz w:val="24"/>
                <w:szCs w:val="24"/>
                <w:highlight w:val="none"/>
                <w:u w:val="single"/>
                <w:lang w:val="en-US" w:eastAsia="zh-CN"/>
              </w:rPr>
              <w:t>300万</w:t>
            </w:r>
            <w:r>
              <w:rPr>
                <w:rFonts w:hint="eastAsia" w:ascii="宋体" w:hAnsi="宋体" w:eastAsia="宋体" w:cs="宋体"/>
                <w:snapToGrid/>
                <w:color w:val="auto"/>
                <w:kern w:val="2"/>
                <w:sz w:val="24"/>
                <w:szCs w:val="24"/>
                <w:highlight w:val="none"/>
                <w:u w:val="single"/>
                <w:lang w:eastAsia="zh-CN"/>
              </w:rPr>
              <w:t>元</w:t>
            </w:r>
            <w:r>
              <w:rPr>
                <w:rFonts w:hint="eastAsia" w:ascii="宋体" w:hAnsi="宋体" w:eastAsia="宋体" w:cs="宋体"/>
                <w:snapToGrid/>
                <w:color w:val="auto"/>
                <w:kern w:val="2"/>
                <w:sz w:val="24"/>
                <w:szCs w:val="24"/>
                <w:highlight w:val="none"/>
                <w:lang w:eastAsia="zh-CN"/>
              </w:rPr>
              <w:t>存款余额资金流水证明的，得</w:t>
            </w:r>
            <w:r>
              <w:rPr>
                <w:rFonts w:hint="eastAsia" w:ascii="宋体" w:hAnsi="宋体" w:eastAsia="宋体" w:cs="宋体"/>
                <w:snapToGrid/>
                <w:color w:val="auto"/>
                <w:kern w:val="2"/>
                <w:sz w:val="24"/>
                <w:szCs w:val="24"/>
                <w:highlight w:val="none"/>
                <w:u w:val="single"/>
                <w:lang w:val="en-US" w:eastAsia="zh-CN"/>
              </w:rPr>
              <w:t>4</w:t>
            </w:r>
            <w:r>
              <w:rPr>
                <w:rFonts w:hint="eastAsia" w:ascii="宋体" w:hAnsi="宋体" w:eastAsia="宋体" w:cs="宋体"/>
                <w:snapToGrid/>
                <w:color w:val="auto"/>
                <w:kern w:val="2"/>
                <w:sz w:val="24"/>
                <w:szCs w:val="24"/>
                <w:highlight w:val="none"/>
                <w:lang w:eastAsia="zh-CN"/>
              </w:rPr>
              <w:t>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7D7523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1</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需附在有效期内的有关证明电子扫描件，</w:t>
            </w:r>
            <w:r>
              <w:rPr>
                <w:rFonts w:hint="eastAsia" w:ascii="宋体" w:hAnsi="宋体" w:eastAsia="宋体" w:cs="宋体"/>
                <w:b/>
                <w:bCs/>
                <w:snapToGrid/>
                <w:color w:val="auto"/>
                <w:kern w:val="2"/>
                <w:sz w:val="24"/>
                <w:szCs w:val="24"/>
                <w:highlight w:val="none"/>
                <w:lang w:eastAsia="zh-CN"/>
              </w:rPr>
              <w:t>同时提供</w:t>
            </w:r>
            <w:r>
              <w:rPr>
                <w:rFonts w:hint="eastAsia" w:ascii="宋体" w:hAnsi="宋体" w:eastAsia="宋体" w:cs="宋体"/>
                <w:b/>
                <w:bCs/>
                <w:snapToGrid/>
                <w:color w:val="auto"/>
                <w:kern w:val="2"/>
                <w:sz w:val="24"/>
                <w:szCs w:val="24"/>
                <w:highlight w:val="none"/>
                <w:lang w:val="en-US" w:eastAsia="zh-CN"/>
              </w:rPr>
              <w:t>授信证明</w:t>
            </w:r>
            <w:r>
              <w:rPr>
                <w:rFonts w:hint="eastAsia" w:ascii="宋体" w:hAnsi="宋体" w:eastAsia="宋体" w:cs="宋体"/>
                <w:b/>
                <w:bCs/>
                <w:snapToGrid/>
                <w:color w:val="auto"/>
                <w:kern w:val="2"/>
                <w:sz w:val="24"/>
                <w:szCs w:val="24"/>
                <w:highlight w:val="none"/>
                <w:lang w:eastAsia="zh-CN"/>
              </w:rPr>
              <w:t>原件供核对</w:t>
            </w:r>
            <w:r>
              <w:rPr>
                <w:rFonts w:hint="eastAsia" w:ascii="宋体" w:hAnsi="宋体" w:eastAsia="宋体" w:cs="宋体"/>
                <w:snapToGrid/>
                <w:color w:val="auto"/>
                <w:kern w:val="2"/>
                <w:sz w:val="24"/>
                <w:szCs w:val="24"/>
                <w:highlight w:val="none"/>
                <w:lang w:eastAsia="zh-CN"/>
              </w:rPr>
              <w:t>。</w:t>
            </w:r>
          </w:p>
          <w:p w14:paraId="0B8698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2</w:t>
            </w:r>
            <w:r>
              <w:rPr>
                <w:rFonts w:hint="eastAsia" w:ascii="宋体" w:hAnsi="宋体" w:eastAsia="宋体" w:cs="宋体"/>
                <w:snapToGrid/>
                <w:color w:val="auto"/>
                <w:kern w:val="2"/>
                <w:sz w:val="24"/>
                <w:szCs w:val="24"/>
                <w:highlight w:val="none"/>
                <w:lang w:val="en-US" w:eastAsia="zh-CN"/>
              </w:rPr>
              <w:t>.</w:t>
            </w:r>
            <w:r>
              <w:rPr>
                <w:rFonts w:hint="eastAsia" w:ascii="宋体" w:hAnsi="宋体" w:eastAsia="宋体" w:cs="宋体"/>
                <w:snapToGrid/>
                <w:color w:val="auto"/>
                <w:kern w:val="2"/>
                <w:sz w:val="24"/>
                <w:szCs w:val="24"/>
                <w:highlight w:val="none"/>
                <w:lang w:eastAsia="zh-CN"/>
              </w:rPr>
              <w:t>银行授信证明有以下情形之一的，视为无效，不予计分：</w:t>
            </w:r>
          </w:p>
          <w:p w14:paraId="36329D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①未提供授信证明原件的；</w:t>
            </w:r>
          </w:p>
          <w:p w14:paraId="5FAD41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②授信证明不在有效期内的；</w:t>
            </w:r>
          </w:p>
          <w:p w14:paraId="380D26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③授信额度不符合要求的；</w:t>
            </w:r>
          </w:p>
          <w:p w14:paraId="1BD51A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3．存款余额资金流水证明有以下情形之一的，视为无效，不予计分：</w:t>
            </w:r>
          </w:p>
          <w:p w14:paraId="1916EF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①存款账户不是基本账户的；</w:t>
            </w:r>
          </w:p>
          <w:p w14:paraId="31115A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②存款时间不符合要求的；</w:t>
            </w:r>
          </w:p>
          <w:p w14:paraId="2AE8D7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eastAsia="zh-CN"/>
              </w:rPr>
              <w:t>③存款额度不符合要求的。</w:t>
            </w:r>
          </w:p>
        </w:tc>
      </w:tr>
      <w:tr w14:paraId="6572F7AE">
        <w:tblPrEx>
          <w:tblCellMar>
            <w:top w:w="0" w:type="dxa"/>
            <w:left w:w="108" w:type="dxa"/>
            <w:bottom w:w="0" w:type="dxa"/>
            <w:right w:w="108" w:type="dxa"/>
          </w:tblCellMar>
        </w:tblPrEx>
        <w:trPr>
          <w:trHeight w:val="966" w:hRule="atLeast"/>
          <w:jc w:val="center"/>
        </w:trPr>
        <w:tc>
          <w:tcPr>
            <w:tcW w:w="1192" w:type="dxa"/>
            <w:vMerge w:val="restart"/>
            <w:tcBorders>
              <w:top w:val="single" w:color="auto" w:sz="4" w:space="0"/>
              <w:left w:val="single" w:color="auto" w:sz="4" w:space="0"/>
              <w:bottom w:val="single" w:color="auto" w:sz="4" w:space="0"/>
              <w:right w:val="single" w:color="auto" w:sz="4" w:space="0"/>
            </w:tcBorders>
            <w:noWrap w:val="0"/>
            <w:vAlign w:val="center"/>
          </w:tcPr>
          <w:p w14:paraId="55E4DA3D">
            <w:pPr>
              <w:pStyle w:val="46"/>
              <w:keepNext w:val="0"/>
              <w:keepLines w:val="0"/>
              <w:pageBreakBefore w:val="0"/>
              <w:widowControl w:val="0"/>
              <w:kinsoku/>
              <w:wordWrap/>
              <w:overflowPunct/>
              <w:topLinePunct w:val="0"/>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val="0"/>
                <w:bCs w:val="0"/>
                <w:snapToGrid w:val="0"/>
                <w:color w:val="auto"/>
                <w:kern w:val="0"/>
                <w:sz w:val="24"/>
                <w:szCs w:val="24"/>
                <w:highlight w:val="none"/>
                <w:lang w:val="en-US" w:eastAsia="zh-CN" w:bidi="ar-SA"/>
              </w:rPr>
              <w:t>招标人自选项</w:t>
            </w:r>
            <w:r>
              <w:rPr>
                <w:rFonts w:hint="eastAsia" w:ascii="宋体" w:hAnsi="宋体" w:eastAsia="宋体" w:cs="宋体"/>
                <w:b w:val="0"/>
                <w:bCs w:val="0"/>
                <w:color w:val="auto"/>
                <w:kern w:val="0"/>
                <w:sz w:val="24"/>
                <w:szCs w:val="24"/>
                <w:highlight w:val="none"/>
                <w:lang w:val="en-US" w:eastAsia="zh-CN" w:bidi="ar"/>
              </w:rPr>
              <w:t>（30分）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7801BC5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0" w:firstLineChars="0"/>
              <w:jc w:val="both"/>
              <w:textAlignment w:val="auto"/>
              <w:outlineLvl w:val="3"/>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企业近5年来（2021年度至今）连续三年或以上获得省级或以上商业联合会颁发的诚信兴商企业证书的得6分，本项最高得6分。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44C6A342">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证书由省级或以上商业联合会（相关协会需经民政部门备案）颁发，须提供有关证书彩色扫描件，</w:t>
            </w:r>
            <w:r>
              <w:rPr>
                <w:rFonts w:hint="eastAsia" w:ascii="宋体" w:hAnsi="宋体" w:eastAsia="宋体" w:cs="宋体"/>
                <w:b/>
                <w:bCs/>
                <w:snapToGrid/>
                <w:color w:val="auto"/>
                <w:kern w:val="2"/>
                <w:sz w:val="24"/>
                <w:szCs w:val="24"/>
                <w:highlight w:val="none"/>
                <w:lang w:val="en-US" w:eastAsia="zh-CN"/>
              </w:rPr>
              <w:t>同时提供原件供核对（证书为电子证书的除外）</w:t>
            </w:r>
            <w:r>
              <w:rPr>
                <w:rFonts w:hint="eastAsia" w:ascii="宋体" w:hAnsi="宋体" w:eastAsia="宋体" w:cs="宋体"/>
                <w:snapToGrid/>
                <w:color w:val="auto"/>
                <w:kern w:val="2"/>
                <w:sz w:val="24"/>
                <w:szCs w:val="24"/>
                <w:highlight w:val="none"/>
                <w:lang w:val="en-US" w:eastAsia="zh-CN"/>
              </w:rPr>
              <w:t>。</w:t>
            </w:r>
          </w:p>
          <w:p w14:paraId="1256828F">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color w:val="auto"/>
                <w:kern w:val="2"/>
                <w:sz w:val="24"/>
                <w:szCs w:val="24"/>
                <w:highlight w:val="none"/>
                <w:lang w:val="en-US" w:eastAsia="zh-CN"/>
              </w:rPr>
              <w:t>颁发机构不符合要求的，或未提供原件核对的，不予得分。</w:t>
            </w:r>
          </w:p>
        </w:tc>
      </w:tr>
      <w:tr w14:paraId="79B5668F">
        <w:tblPrEx>
          <w:tblCellMar>
            <w:top w:w="0" w:type="dxa"/>
            <w:left w:w="108" w:type="dxa"/>
            <w:bottom w:w="0" w:type="dxa"/>
            <w:right w:w="108" w:type="dxa"/>
          </w:tblCellMar>
        </w:tblPrEx>
        <w:trPr>
          <w:trHeight w:val="90" w:hRule="atLeast"/>
          <w:jc w:val="center"/>
        </w:trPr>
        <w:tc>
          <w:tcPr>
            <w:tcW w:w="1192" w:type="dxa"/>
            <w:vMerge w:val="continue"/>
            <w:tcBorders>
              <w:top w:val="single" w:color="auto" w:sz="4" w:space="0"/>
              <w:left w:val="single" w:color="auto" w:sz="4" w:space="0"/>
              <w:bottom w:val="single" w:color="auto" w:sz="4" w:space="0"/>
              <w:right w:val="single" w:color="auto" w:sz="4" w:space="0"/>
            </w:tcBorders>
            <w:noWrap w:val="0"/>
            <w:vAlign w:val="center"/>
          </w:tcPr>
          <w:p w14:paraId="42E0ED07">
            <w:pPr>
              <w:pStyle w:val="46"/>
              <w:keepNext w:val="0"/>
              <w:keepLines w:val="0"/>
              <w:pageBreakBefore w:val="0"/>
              <w:widowControl w:val="0"/>
              <w:kinsoku/>
              <w:wordWrap/>
              <w:overflowPunct/>
              <w:topLinePunct w:val="0"/>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rPr>
            </w:pPr>
          </w:p>
        </w:tc>
        <w:tc>
          <w:tcPr>
            <w:tcW w:w="3321" w:type="dxa"/>
            <w:tcBorders>
              <w:top w:val="single" w:color="auto" w:sz="4" w:space="0"/>
              <w:left w:val="single" w:color="auto" w:sz="4" w:space="0"/>
              <w:bottom w:val="single" w:color="auto" w:sz="4" w:space="0"/>
              <w:right w:val="single" w:color="auto" w:sz="4" w:space="0"/>
            </w:tcBorders>
            <w:noWrap w:val="0"/>
            <w:vAlign w:val="center"/>
          </w:tcPr>
          <w:p w14:paraId="40C7B99D">
            <w:pPr>
              <w:keepNext w:val="0"/>
              <w:keepLines w:val="0"/>
              <w:pageBreakBefore w:val="0"/>
              <w:widowControl w:val="0"/>
              <w:kinsoku/>
              <w:wordWrap/>
              <w:overflowPunct/>
              <w:topLinePunct w:val="0"/>
              <w:bidi w:val="0"/>
              <w:adjustRightInd/>
              <w:snapToGrid/>
              <w:spacing w:after="0" w:afterLines="0" w:line="360" w:lineRule="auto"/>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企业近5年来（2021年1月1日至今）获得过国级“AAA级信用企业”</w:t>
            </w:r>
            <w:r>
              <w:rPr>
                <w:rFonts w:hint="eastAsia" w:ascii="宋体" w:hAnsi="宋体" w:eastAsia="宋体" w:cs="宋体"/>
                <w:snapToGrid w:val="0"/>
                <w:color w:val="auto"/>
                <w:kern w:val="2"/>
                <w:sz w:val="24"/>
                <w:szCs w:val="24"/>
                <w:highlight w:val="none"/>
                <w:lang w:val="en-US" w:eastAsia="zh-CN" w:bidi="ar-SA"/>
              </w:rPr>
              <w:t>称号的得2分，</w:t>
            </w:r>
            <w:r>
              <w:rPr>
                <w:rFonts w:hint="eastAsia" w:ascii="宋体" w:hAnsi="宋体" w:eastAsia="宋体" w:cs="宋体"/>
                <w:color w:val="auto"/>
                <w:kern w:val="2"/>
                <w:sz w:val="24"/>
                <w:szCs w:val="24"/>
                <w:highlight w:val="none"/>
                <w:lang w:val="en-US" w:eastAsia="zh-CN" w:bidi="ar-SA"/>
              </w:rPr>
              <w:t>超过1年的每增加1年加2分。本项最高得6分。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319262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1．需附相关证书原件彩色扫描件，</w:t>
            </w:r>
            <w:r>
              <w:rPr>
                <w:rFonts w:hint="eastAsia" w:ascii="宋体" w:hAnsi="宋体" w:eastAsia="宋体" w:cs="宋体"/>
                <w:b/>
                <w:bCs/>
                <w:snapToGrid/>
                <w:color w:val="auto"/>
                <w:kern w:val="2"/>
                <w:sz w:val="24"/>
                <w:szCs w:val="24"/>
                <w:highlight w:val="none"/>
                <w:lang w:val="en-US" w:eastAsia="zh-CN"/>
              </w:rPr>
              <w:t>同时提供原件供核对（证书为电子证书的除外）</w:t>
            </w:r>
            <w:r>
              <w:rPr>
                <w:rFonts w:hint="eastAsia" w:ascii="宋体" w:hAnsi="宋体" w:eastAsia="宋体" w:cs="宋体"/>
                <w:snapToGrid/>
                <w:color w:val="auto"/>
                <w:kern w:val="2"/>
                <w:sz w:val="24"/>
                <w:szCs w:val="24"/>
                <w:highlight w:val="none"/>
                <w:lang w:val="en-US" w:eastAsia="zh-CN"/>
              </w:rPr>
              <w:t>。</w:t>
            </w:r>
          </w:p>
          <w:p w14:paraId="59E4B6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2．证书须由</w:t>
            </w:r>
            <w:r>
              <w:rPr>
                <w:rFonts w:hint="eastAsia" w:ascii="宋体" w:hAnsi="宋体" w:eastAsia="宋体" w:cs="宋体"/>
                <w:b w:val="0"/>
                <w:bCs w:val="0"/>
                <w:snapToGrid/>
                <w:color w:val="auto"/>
                <w:kern w:val="2"/>
                <w:sz w:val="24"/>
                <w:szCs w:val="24"/>
                <w:highlight w:val="none"/>
                <w:lang w:val="en-US" w:eastAsia="zh-CN"/>
              </w:rPr>
              <w:t>中国企业联合会和中国企业家协会</w:t>
            </w:r>
            <w:r>
              <w:rPr>
                <w:rFonts w:hint="eastAsia" w:ascii="宋体" w:hAnsi="宋体" w:eastAsia="宋体" w:cs="宋体"/>
                <w:snapToGrid/>
                <w:color w:val="auto"/>
                <w:kern w:val="2"/>
                <w:sz w:val="24"/>
                <w:szCs w:val="24"/>
                <w:highlight w:val="none"/>
                <w:lang w:val="en-US" w:eastAsia="zh-CN"/>
              </w:rPr>
              <w:t>同时颁发（相关协会需经民政部门备案），时间从颁发日期起计算为准。</w:t>
            </w:r>
          </w:p>
          <w:p w14:paraId="0B1843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rPr>
              <w:t>3．颁发机构、获奖时间不符合评分标准和备注规定的，或未提供原件核对的，不予得分。</w:t>
            </w:r>
          </w:p>
        </w:tc>
      </w:tr>
      <w:tr w14:paraId="5EF4FD0B">
        <w:tblPrEx>
          <w:tblCellMar>
            <w:top w:w="0" w:type="dxa"/>
            <w:left w:w="108" w:type="dxa"/>
            <w:bottom w:w="0" w:type="dxa"/>
            <w:right w:w="108" w:type="dxa"/>
          </w:tblCellMar>
        </w:tblPrEx>
        <w:trPr>
          <w:trHeight w:val="809" w:hRule="atLeast"/>
          <w:jc w:val="center"/>
        </w:trPr>
        <w:tc>
          <w:tcPr>
            <w:tcW w:w="1192" w:type="dxa"/>
            <w:vMerge w:val="continue"/>
            <w:tcBorders>
              <w:top w:val="single" w:color="auto" w:sz="4" w:space="0"/>
              <w:left w:val="single" w:color="auto" w:sz="4" w:space="0"/>
              <w:bottom w:val="single" w:color="auto" w:sz="4" w:space="0"/>
              <w:right w:val="single" w:color="auto" w:sz="4" w:space="0"/>
            </w:tcBorders>
            <w:noWrap w:val="0"/>
            <w:vAlign w:val="center"/>
          </w:tcPr>
          <w:p w14:paraId="79E5CEFD">
            <w:pPr>
              <w:pStyle w:val="46"/>
              <w:keepNext w:val="0"/>
              <w:keepLines w:val="0"/>
              <w:pageBreakBefore w:val="0"/>
              <w:widowControl w:val="0"/>
              <w:kinsoku/>
              <w:wordWrap/>
              <w:overflowPunct/>
              <w:topLinePunct w:val="0"/>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rPr>
            </w:pPr>
          </w:p>
        </w:tc>
        <w:tc>
          <w:tcPr>
            <w:tcW w:w="3321" w:type="dxa"/>
            <w:tcBorders>
              <w:top w:val="single" w:color="auto" w:sz="4" w:space="0"/>
              <w:left w:val="single" w:color="auto" w:sz="4" w:space="0"/>
              <w:bottom w:val="single" w:color="auto" w:sz="4" w:space="0"/>
              <w:right w:val="single" w:color="auto" w:sz="4" w:space="0"/>
            </w:tcBorders>
            <w:noWrap w:val="0"/>
            <w:vAlign w:val="center"/>
          </w:tcPr>
          <w:p w14:paraId="5642753E">
            <w:pPr>
              <w:pStyle w:val="9"/>
              <w:keepNext w:val="0"/>
              <w:keepLines w:val="0"/>
              <w:pageBreakBefore w:val="0"/>
              <w:widowControl w:val="0"/>
              <w:kinsoku/>
              <w:wordWrap/>
              <w:overflowPunct/>
              <w:topLinePunct w:val="0"/>
              <w:bidi w:val="0"/>
              <w:adjustRightInd/>
              <w:snapToGrid/>
              <w:spacing w:line="360" w:lineRule="auto"/>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2"/>
                <w:sz w:val="24"/>
                <w:szCs w:val="24"/>
                <w:highlight w:val="none"/>
                <w:lang w:val="en-US" w:eastAsia="zh-CN" w:bidi="ar-SA"/>
              </w:rPr>
              <w:t>企业连续7年或7年以上（含7年）获得纳税信用A级纳税人的，得6分；(其中必须有2025年度)，本项最高得6分。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466DFB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1.必须提供企业纳税信用A级纳税人证明材料（或证书）彩色扫描件</w:t>
            </w:r>
            <w:r>
              <w:rPr>
                <w:rFonts w:hint="eastAsia" w:ascii="宋体" w:hAnsi="宋体" w:eastAsia="宋体" w:cs="宋体"/>
                <w:snapToGrid/>
                <w:color w:val="auto"/>
                <w:kern w:val="2"/>
                <w:sz w:val="24"/>
                <w:szCs w:val="24"/>
                <w:highlight w:val="none"/>
                <w:lang w:val="en-US" w:eastAsia="zh-CN"/>
              </w:rPr>
              <w:t>及国家税务总局网上查询截图</w:t>
            </w:r>
            <w:r>
              <w:rPr>
                <w:rFonts w:hint="eastAsia" w:ascii="宋体" w:hAnsi="宋体" w:eastAsia="宋体" w:cs="宋体"/>
                <w:snapToGrid/>
                <w:color w:val="auto"/>
                <w:kern w:val="2"/>
                <w:sz w:val="24"/>
                <w:szCs w:val="24"/>
                <w:highlight w:val="none"/>
                <w:lang w:eastAsia="zh-CN"/>
              </w:rPr>
              <w:t>，否则不得分。</w:t>
            </w:r>
          </w:p>
          <w:p w14:paraId="65E69F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color w:val="auto"/>
                <w:kern w:val="2"/>
                <w:sz w:val="24"/>
                <w:szCs w:val="24"/>
                <w:highlight w:val="none"/>
                <w:lang w:eastAsia="zh-CN"/>
              </w:rPr>
              <w:t>2.只计算投标人自身（不计算投标人的分公司、子公司及分支机构）。</w:t>
            </w:r>
          </w:p>
        </w:tc>
      </w:tr>
      <w:tr w14:paraId="26C6B56D">
        <w:tblPrEx>
          <w:tblCellMar>
            <w:top w:w="0" w:type="dxa"/>
            <w:left w:w="108" w:type="dxa"/>
            <w:bottom w:w="0" w:type="dxa"/>
            <w:right w:w="108" w:type="dxa"/>
          </w:tblCellMar>
        </w:tblPrEx>
        <w:trPr>
          <w:trHeight w:val="1448" w:hRule="atLeast"/>
          <w:jc w:val="center"/>
        </w:trPr>
        <w:tc>
          <w:tcPr>
            <w:tcW w:w="1192" w:type="dxa"/>
            <w:vMerge w:val="continue"/>
            <w:tcBorders>
              <w:top w:val="single" w:color="auto" w:sz="4" w:space="0"/>
              <w:left w:val="single" w:color="auto" w:sz="4" w:space="0"/>
              <w:bottom w:val="single" w:color="auto" w:sz="4" w:space="0"/>
              <w:right w:val="single" w:color="auto" w:sz="4" w:space="0"/>
            </w:tcBorders>
            <w:noWrap w:val="0"/>
            <w:vAlign w:val="center"/>
          </w:tcPr>
          <w:p w14:paraId="2A302D8D">
            <w:pPr>
              <w:pStyle w:val="46"/>
              <w:keepNext w:val="0"/>
              <w:keepLines w:val="0"/>
              <w:pageBreakBefore w:val="0"/>
              <w:widowControl w:val="0"/>
              <w:kinsoku/>
              <w:wordWrap/>
              <w:overflowPunct/>
              <w:topLinePunct w:val="0"/>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rPr>
            </w:pPr>
          </w:p>
        </w:tc>
        <w:tc>
          <w:tcPr>
            <w:tcW w:w="3321" w:type="dxa"/>
            <w:tcBorders>
              <w:top w:val="single" w:color="auto" w:sz="4" w:space="0"/>
              <w:left w:val="single" w:color="auto" w:sz="4" w:space="0"/>
              <w:bottom w:val="single" w:color="auto" w:sz="4" w:space="0"/>
              <w:right w:val="single" w:color="auto" w:sz="4" w:space="0"/>
            </w:tcBorders>
            <w:noWrap w:val="0"/>
            <w:vAlign w:val="center"/>
          </w:tcPr>
          <w:p w14:paraId="704117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企业近5年来（2021年1月1日至今）连续三年以上（含三年）获得地级市及以上建筑协会颁发的“优秀典型施工企业”证书的，得6分，本项最高可得6分。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38024A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1.需提供证书彩色扫描件,</w:t>
            </w:r>
            <w:r>
              <w:rPr>
                <w:rFonts w:hint="eastAsia" w:ascii="宋体" w:hAnsi="宋体" w:eastAsia="宋体" w:cs="宋体"/>
                <w:b/>
                <w:bCs/>
                <w:snapToGrid/>
                <w:color w:val="auto"/>
                <w:kern w:val="2"/>
                <w:sz w:val="24"/>
                <w:szCs w:val="24"/>
                <w:highlight w:val="none"/>
                <w:lang w:val="en-US" w:eastAsia="zh-CN" w:bidi="ar-SA"/>
              </w:rPr>
              <w:t>同时提供原件供核对（证书为电子证书的除外）</w:t>
            </w:r>
            <w:r>
              <w:rPr>
                <w:rFonts w:hint="eastAsia" w:ascii="宋体" w:hAnsi="宋体" w:eastAsia="宋体" w:cs="宋体"/>
                <w:snapToGrid/>
                <w:color w:val="auto"/>
                <w:kern w:val="2"/>
                <w:sz w:val="24"/>
                <w:szCs w:val="24"/>
                <w:highlight w:val="none"/>
                <w:lang w:val="en-US" w:eastAsia="zh-CN" w:bidi="ar-SA"/>
              </w:rPr>
              <w:t>。</w:t>
            </w:r>
          </w:p>
          <w:p w14:paraId="7B7666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2.需提供地级市及以上相关政府部门或地级市及以上建筑协会网站截图打印页,否则不得分。（相关协会需经民政部门备案）</w:t>
            </w:r>
          </w:p>
          <w:p w14:paraId="7CBB59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3．颁发机构、获奖时间不符合评分标准和备注规定的，或未提供原件核对的，不予得分。</w:t>
            </w:r>
          </w:p>
        </w:tc>
      </w:tr>
      <w:tr w14:paraId="0C4048C2">
        <w:tblPrEx>
          <w:tblCellMar>
            <w:top w:w="0" w:type="dxa"/>
            <w:left w:w="108" w:type="dxa"/>
            <w:bottom w:w="0" w:type="dxa"/>
            <w:right w:w="108" w:type="dxa"/>
          </w:tblCellMar>
        </w:tblPrEx>
        <w:trPr>
          <w:trHeight w:val="1185" w:hRule="atLeast"/>
          <w:jc w:val="center"/>
        </w:trPr>
        <w:tc>
          <w:tcPr>
            <w:tcW w:w="1192" w:type="dxa"/>
            <w:vMerge w:val="continue"/>
            <w:tcBorders>
              <w:top w:val="single" w:color="auto" w:sz="4" w:space="0"/>
              <w:left w:val="single" w:color="auto" w:sz="4" w:space="0"/>
              <w:bottom w:val="single" w:color="auto" w:sz="4" w:space="0"/>
              <w:right w:val="single" w:color="auto" w:sz="4" w:space="0"/>
            </w:tcBorders>
            <w:noWrap w:val="0"/>
            <w:vAlign w:val="center"/>
          </w:tcPr>
          <w:p w14:paraId="14403883">
            <w:pPr>
              <w:pStyle w:val="46"/>
              <w:keepNext w:val="0"/>
              <w:keepLines w:val="0"/>
              <w:pageBreakBefore w:val="0"/>
              <w:widowControl w:val="0"/>
              <w:kinsoku/>
              <w:wordWrap/>
              <w:overflowPunct/>
              <w:topLinePunct w:val="0"/>
              <w:bidi w:val="0"/>
              <w:adjustRightInd/>
              <w:snapToGrid/>
              <w:spacing w:line="360" w:lineRule="auto"/>
              <w:jc w:val="center"/>
              <w:textAlignment w:val="auto"/>
              <w:rPr>
                <w:rFonts w:hint="eastAsia" w:ascii="宋体" w:hAnsi="宋体" w:eastAsia="宋体" w:cs="宋体"/>
                <w:snapToGrid w:val="0"/>
                <w:color w:val="auto"/>
                <w:kern w:val="0"/>
                <w:sz w:val="24"/>
                <w:szCs w:val="24"/>
                <w:highlight w:val="none"/>
              </w:rPr>
            </w:pPr>
          </w:p>
        </w:tc>
        <w:tc>
          <w:tcPr>
            <w:tcW w:w="3321" w:type="dxa"/>
            <w:tcBorders>
              <w:top w:val="single" w:color="auto" w:sz="4" w:space="0"/>
              <w:left w:val="single" w:color="auto" w:sz="4" w:space="0"/>
              <w:bottom w:val="single" w:color="auto" w:sz="4" w:space="0"/>
              <w:right w:val="single" w:color="auto" w:sz="4" w:space="0"/>
            </w:tcBorders>
            <w:noWrap w:val="0"/>
            <w:vAlign w:val="center"/>
          </w:tcPr>
          <w:p w14:paraId="678EE1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0"/>
                <w:sz w:val="24"/>
                <w:szCs w:val="24"/>
                <w:highlight w:val="none"/>
                <w:lang w:eastAsia="zh-CN"/>
              </w:rPr>
            </w:pPr>
            <w:r>
              <w:rPr>
                <w:rFonts w:hint="eastAsia" w:ascii="宋体" w:hAnsi="宋体" w:eastAsia="宋体" w:cs="宋体"/>
                <w:snapToGrid/>
                <w:color w:val="auto"/>
                <w:kern w:val="2"/>
                <w:sz w:val="24"/>
                <w:szCs w:val="24"/>
                <w:highlight w:val="none"/>
                <w:lang w:val="en-US" w:eastAsia="zh-CN" w:bidi="ar-SA"/>
              </w:rPr>
              <w:t>企业近5年来（2021年1月1日至今）获得过“用户满意企业”的，得6分，本项最高可得6分。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27B7C1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1．需附证书彩色扫描件及相关网页截图及网址供查询，</w:t>
            </w:r>
            <w:r>
              <w:rPr>
                <w:rFonts w:hint="eastAsia" w:ascii="宋体" w:hAnsi="宋体" w:eastAsia="宋体" w:cs="宋体"/>
                <w:b/>
                <w:bCs/>
                <w:snapToGrid/>
                <w:color w:val="auto"/>
                <w:kern w:val="2"/>
                <w:sz w:val="24"/>
                <w:szCs w:val="24"/>
                <w:highlight w:val="none"/>
                <w:lang w:val="en-US" w:eastAsia="zh-CN" w:bidi="ar-SA"/>
              </w:rPr>
              <w:t>同时提供原件供核对（证书为电子证书的除外）</w:t>
            </w:r>
            <w:r>
              <w:rPr>
                <w:rFonts w:hint="eastAsia" w:ascii="宋体" w:hAnsi="宋体" w:eastAsia="宋体" w:cs="宋体"/>
                <w:snapToGrid/>
                <w:color w:val="auto"/>
                <w:kern w:val="2"/>
                <w:sz w:val="24"/>
                <w:szCs w:val="24"/>
                <w:highlight w:val="none"/>
                <w:lang w:val="en-US" w:eastAsia="zh-CN" w:bidi="ar-SA"/>
              </w:rPr>
              <w:t>。</w:t>
            </w:r>
          </w:p>
          <w:p w14:paraId="6F0C13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2．证书须由省级/国级质量协会颁发。（相关协会需经民政部门备案）</w:t>
            </w:r>
          </w:p>
          <w:p w14:paraId="7EBCAF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color w:val="auto"/>
                <w:kern w:val="2"/>
                <w:sz w:val="24"/>
                <w:szCs w:val="24"/>
                <w:highlight w:val="none"/>
                <w:lang w:val="en-US" w:eastAsia="zh-CN" w:bidi="ar-SA"/>
              </w:rPr>
              <w:t>3．颁发机构、获奖时间不符合规定的，或未提供原件核对的，不予得分。</w:t>
            </w:r>
          </w:p>
        </w:tc>
      </w:tr>
      <w:tr w14:paraId="186B9A94">
        <w:tblPrEx>
          <w:tblCellMar>
            <w:top w:w="0" w:type="dxa"/>
            <w:left w:w="108" w:type="dxa"/>
            <w:bottom w:w="0" w:type="dxa"/>
            <w:right w:w="108" w:type="dxa"/>
          </w:tblCellMar>
        </w:tblPrEx>
        <w:trPr>
          <w:trHeight w:val="440" w:hRule="exact"/>
          <w:jc w:val="center"/>
        </w:trPr>
        <w:tc>
          <w:tcPr>
            <w:tcW w:w="9905"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43C5204F">
            <w:pPr>
              <w:keepNext w:val="0"/>
              <w:keepLines w:val="0"/>
              <w:pageBreakBefore w:val="0"/>
              <w:widowControl w:val="0"/>
              <w:suppressLineNumbers w:val="0"/>
              <w:kinsoku/>
              <w:overflowPunct/>
              <w:topLinePunct w:val="0"/>
              <w:autoSpaceDE/>
              <w:autoSpaceDN/>
              <w:bidi w:val="0"/>
              <w:adjustRightInd w:val="0"/>
              <w:snapToGrid/>
              <w:spacing w:before="0" w:beforeAutospacing="0" w:afterAutospacing="0" w:line="360" w:lineRule="auto"/>
              <w:ind w:left="0" w:right="0"/>
              <w:jc w:val="left"/>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b/>
                <w:bCs/>
                <w:snapToGrid/>
                <w:color w:val="auto"/>
                <w:kern w:val="0"/>
                <w:sz w:val="24"/>
                <w:szCs w:val="24"/>
                <w:highlight w:val="none"/>
                <w:lang w:val="en-US" w:eastAsia="zh-CN" w:bidi="ar-SA"/>
              </w:rPr>
              <w:t>技术部分（施工组织设计），满分：20分。</w:t>
            </w:r>
          </w:p>
        </w:tc>
      </w:tr>
      <w:tr w14:paraId="7066A3FE">
        <w:tblPrEx>
          <w:tblCellMar>
            <w:top w:w="0" w:type="dxa"/>
            <w:left w:w="108" w:type="dxa"/>
            <w:bottom w:w="0" w:type="dxa"/>
            <w:right w:w="108" w:type="dxa"/>
          </w:tblCellMar>
        </w:tblPrEx>
        <w:trPr>
          <w:trHeight w:val="518" w:hRule="exac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124C234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360" w:lineRule="auto"/>
              <w:ind w:left="0" w:right="0"/>
              <w:jc w:val="center"/>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评分因素</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3FD4562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360" w:lineRule="auto"/>
              <w:ind w:left="0" w:right="0"/>
              <w:jc w:val="center"/>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评分标准</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3DF17E9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360" w:lineRule="auto"/>
              <w:ind w:left="0" w:right="0"/>
              <w:jc w:val="center"/>
              <w:textAlignment w:val="auto"/>
              <w:rPr>
                <w:rFonts w:hint="eastAsia" w:ascii="宋体" w:hAnsi="宋体" w:eastAsia="宋体" w:cs="宋体"/>
                <w:snapToGrid/>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备注</w:t>
            </w:r>
          </w:p>
        </w:tc>
      </w:tr>
      <w:tr w14:paraId="37DDD79D">
        <w:tblPrEx>
          <w:tblCellMar>
            <w:top w:w="0" w:type="dxa"/>
            <w:left w:w="108" w:type="dxa"/>
            <w:bottom w:w="0" w:type="dxa"/>
            <w:right w:w="108" w:type="dxa"/>
          </w:tblCellMar>
        </w:tblPrEx>
        <w:trPr>
          <w:trHeight w:val="2112"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36BC20C9">
            <w:pPr>
              <w:pStyle w:val="33"/>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总体概述</w:t>
            </w:r>
          </w:p>
          <w:p w14:paraId="1E4251D7">
            <w:pPr>
              <w:keepNext w:val="0"/>
              <w:keepLines w:val="0"/>
              <w:pageBreakBefore w:val="0"/>
              <w:widowControl w:val="0"/>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17661BDC">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34C6B12B">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5F63B9CE">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1B4901E7">
            <w:pPr>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【差】得该项因素分的60%～70%（含60%）。</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1FAE8C3D">
            <w:pPr>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6331021E">
            <w:pPr>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【良】对项目总体有一定认识，表述清晰、完整，措施具体有效；施工段划分呼应总体表述，划分清晰，符合规范要求。</w:t>
            </w:r>
          </w:p>
          <w:p w14:paraId="6F4AD2C8">
            <w:pPr>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【中】对项目总体有认识，有一定的措施但部分不具体；施工段划分较合理，符合规范要求。</w:t>
            </w:r>
          </w:p>
          <w:p w14:paraId="7426F425">
            <w:pPr>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【差】对项目认识不足，表述不清晰，措施不具体；施工段划分不合理。</w:t>
            </w:r>
          </w:p>
        </w:tc>
      </w:tr>
      <w:tr w14:paraId="1819A1AB">
        <w:tblPrEx>
          <w:tblCellMar>
            <w:top w:w="0" w:type="dxa"/>
            <w:left w:w="108" w:type="dxa"/>
            <w:bottom w:w="0" w:type="dxa"/>
            <w:right w:w="108" w:type="dxa"/>
          </w:tblCellMar>
        </w:tblPrEx>
        <w:trPr>
          <w:trHeight w:val="3303"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07FAA3B9">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施工总进</w:t>
            </w:r>
          </w:p>
          <w:p w14:paraId="763D91EC">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度计划及</w:t>
            </w:r>
          </w:p>
          <w:p w14:paraId="0D3CA4F7">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保证措施</w:t>
            </w:r>
          </w:p>
          <w:p w14:paraId="15B89C5B">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（3分）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0F79C5F0">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2C57E48">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0A40FCE">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79D5EFF8">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12EA723B">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48DC0633">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5894848C">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14:paraId="66E7B642">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【差】关键线路不准确，计划编制不合理。关键节点的控制不可行。人、材、机需求和进场计划与进度计划不相呼应，不能满足施工需要</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没有违约责任承诺。</w:t>
            </w:r>
          </w:p>
        </w:tc>
      </w:tr>
      <w:tr w14:paraId="33540C34">
        <w:tblPrEx>
          <w:tblCellMar>
            <w:top w:w="0" w:type="dxa"/>
            <w:left w:w="108" w:type="dxa"/>
            <w:bottom w:w="0" w:type="dxa"/>
            <w:right w:w="108" w:type="dxa"/>
          </w:tblCellMar>
        </w:tblPrEx>
        <w:trPr>
          <w:trHeight w:val="695"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28E4C47C">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w:t>
            </w:r>
          </w:p>
          <w:p w14:paraId="1D466941">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保证措施</w:t>
            </w:r>
          </w:p>
          <w:p w14:paraId="03FF5E41">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（3分）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2F9A8F51">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5EFF95E6">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3A0F71F1">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19E8FACC">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10BF6589">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【优】应用新技术、新工艺、新材料、新设备，针对项目实际提出先进、可行、具体的保证措施。超过招标文件的质量要求。</w:t>
            </w:r>
          </w:p>
          <w:p w14:paraId="7A0BAE34">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【良】针对项目实际提出先进、可行、具体的保证措施。满足招标文件的质量要求。</w:t>
            </w:r>
          </w:p>
          <w:p w14:paraId="45BF8539">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【中】具体措施可行。满足招标文件的质量要求。</w:t>
            </w:r>
          </w:p>
          <w:p w14:paraId="1B6D6E3F">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【差】措施不可行，没有质量违约责任承诺。</w:t>
            </w:r>
          </w:p>
        </w:tc>
      </w:tr>
      <w:tr w14:paraId="7A5442A2">
        <w:tblPrEx>
          <w:tblCellMar>
            <w:top w:w="0" w:type="dxa"/>
            <w:left w:w="108" w:type="dxa"/>
            <w:bottom w:w="0" w:type="dxa"/>
            <w:right w:w="108" w:type="dxa"/>
          </w:tblCellMar>
        </w:tblPrEx>
        <w:trPr>
          <w:trHeight w:val="109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2DD96778">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w:t>
            </w:r>
          </w:p>
          <w:p w14:paraId="275AEBCF">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技术措施</w:t>
            </w:r>
          </w:p>
          <w:p w14:paraId="4187F8F3">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（3分）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1E072E3B">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E7D8E46">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6DC0952B">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558B41CE">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05B6D62E">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5D7483E2">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358FB7D2">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4FA6372C">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【差】对项目关键技术有表述，对重点、难点有建议，解决方案不可行。采用的新技术针对性不强或验证材料不可靠，对节约投资、工期没有具体收益。无违约责任承诺。</w:t>
            </w:r>
          </w:p>
        </w:tc>
      </w:tr>
      <w:tr w14:paraId="6A2D6916">
        <w:tblPrEx>
          <w:tblCellMar>
            <w:top w:w="0" w:type="dxa"/>
            <w:left w:w="108" w:type="dxa"/>
            <w:bottom w:w="0" w:type="dxa"/>
            <w:right w:w="108" w:type="dxa"/>
          </w:tblCellMar>
        </w:tblPrEx>
        <w:trPr>
          <w:trHeight w:val="160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7B7C3486">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绿色施工、安全防护、文明施工措施计划</w:t>
            </w:r>
          </w:p>
          <w:p w14:paraId="38C04843">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（3分）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561D4200">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0C42BE6A">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81F9495">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48E4AEA4">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40B8C678">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【优】针对项目实际情况，有先进、具体、完整、可行的措施，采用规范准确、清晰。</w:t>
            </w:r>
          </w:p>
          <w:p w14:paraId="724EA733">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【良】针对项目实际情况，有合理的措施且具体、完整，采用规范准确。</w:t>
            </w:r>
          </w:p>
          <w:p w14:paraId="64BB7471">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【中】有基本合理的措施，采用规范准确。</w:t>
            </w:r>
          </w:p>
          <w:p w14:paraId="5154B984">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【差】措施不力，采用规范不正确。</w:t>
            </w:r>
          </w:p>
        </w:tc>
      </w:tr>
      <w:tr w14:paraId="0BCAB58A">
        <w:tblPrEx>
          <w:tblCellMar>
            <w:top w:w="0" w:type="dxa"/>
            <w:left w:w="108" w:type="dxa"/>
            <w:bottom w:w="0" w:type="dxa"/>
            <w:right w:w="108" w:type="dxa"/>
          </w:tblCellMar>
        </w:tblPrEx>
        <w:trPr>
          <w:trHeight w:val="1026"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46CD9E66">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施工平面</w:t>
            </w:r>
          </w:p>
          <w:p w14:paraId="60EAFE13">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布置和临时设施布置</w:t>
            </w:r>
          </w:p>
          <w:p w14:paraId="3E7ED214">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（2分）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7ED6DBA1">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542CFF4D">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3DC746F8">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693FAAF7">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38AC4303">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【优】总体布置有针对性、合理，较好满足施工需要，符合绿色施工、安全防护、文明施工要求。</w:t>
            </w:r>
          </w:p>
          <w:p w14:paraId="06A77E0B">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【良】总体布置合理，能满足施工需要，基本符合绿色施工、安全防护、文明施工要求。</w:t>
            </w:r>
          </w:p>
          <w:p w14:paraId="54F4E7F3">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【中】总体布置基本合理，基本满足施工需要。</w:t>
            </w:r>
          </w:p>
          <w:p w14:paraId="12020395">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【差】总体布置不合理，不符合绿色施工、安全防护、文明施工要求。</w:t>
            </w:r>
          </w:p>
        </w:tc>
      </w:tr>
      <w:tr w14:paraId="63D2968C">
        <w:tblPrEx>
          <w:tblCellMar>
            <w:top w:w="0" w:type="dxa"/>
            <w:left w:w="108" w:type="dxa"/>
            <w:bottom w:w="0" w:type="dxa"/>
            <w:right w:w="108" w:type="dxa"/>
          </w:tblCellMar>
        </w:tblPrEx>
        <w:trPr>
          <w:trHeight w:val="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03404499">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w:t>
            </w:r>
          </w:p>
          <w:p w14:paraId="31FBA573">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管理机构</w:t>
            </w:r>
          </w:p>
          <w:p w14:paraId="660998BF">
            <w:pPr>
              <w:pStyle w:val="3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（3分）</w:t>
            </w:r>
          </w:p>
        </w:tc>
        <w:tc>
          <w:tcPr>
            <w:tcW w:w="3321" w:type="dxa"/>
            <w:tcBorders>
              <w:top w:val="single" w:color="auto" w:sz="4" w:space="0"/>
              <w:left w:val="single" w:color="auto" w:sz="4" w:space="0"/>
              <w:bottom w:val="single" w:color="auto" w:sz="4" w:space="0"/>
              <w:right w:val="single" w:color="auto" w:sz="4" w:space="0"/>
            </w:tcBorders>
            <w:noWrap w:val="0"/>
            <w:vAlign w:val="center"/>
          </w:tcPr>
          <w:p w14:paraId="7330BAEA">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【优】得该项因素分的90%～100%（含90%）；</w:t>
            </w:r>
          </w:p>
          <w:p w14:paraId="46E435E4">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【良】得该项因素分的80%～90%（含80%）；</w:t>
            </w:r>
          </w:p>
          <w:p w14:paraId="2DA8A033">
            <w:pPr>
              <w:pStyle w:val="34"/>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【中】得该项因素分的70%～80%（含70%）；</w:t>
            </w:r>
          </w:p>
          <w:p w14:paraId="58B341DE">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【差】得该项因素分的60%～70%（含60%）。</w:t>
            </w:r>
          </w:p>
        </w:tc>
        <w:tc>
          <w:tcPr>
            <w:tcW w:w="5392" w:type="dxa"/>
            <w:tcBorders>
              <w:top w:val="single" w:color="auto" w:sz="4" w:space="0"/>
              <w:left w:val="single" w:color="auto" w:sz="4" w:space="0"/>
              <w:bottom w:val="single" w:color="auto" w:sz="4" w:space="0"/>
              <w:right w:val="single" w:color="auto" w:sz="4" w:space="0"/>
            </w:tcBorders>
            <w:noWrap w:val="0"/>
            <w:vAlign w:val="center"/>
          </w:tcPr>
          <w:p w14:paraId="5A28BB16">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优】组织机构形式合理，有完善的指挥系统，生产及质量、绿色施工、安全、文明施工、创优达标监控系统、联络协调系统，项目管理人员内高级职称人员20%（含20%）以上、中级职称人员及以上职称60%（含60%）以上。</w:t>
            </w:r>
          </w:p>
          <w:p w14:paraId="0ABB1531">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良】组织机构形式合理，指挥系统，生产及质量、绿色施工、安全、文明施工、创优达标监控系统、联络协调系统齐全，项目管理人员内高级职称人员15%～20%（含15%）、中级职称人员及以上职称50%～60%（含50%）。</w:t>
            </w:r>
          </w:p>
          <w:p w14:paraId="52095452">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中】组织机构形式基本合理，有指挥系统，生产及质量、绿色施工、安全、文明施工、创优达标监控系统、联络协调系统，项目管理人员内高级职称人员10%～15%（含10%）、中级职称人员及以上职称40%～50%（含40%）。</w:t>
            </w:r>
          </w:p>
          <w:p w14:paraId="3DB8FC87">
            <w:pPr>
              <w:pStyle w:val="3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【差】组织机构形式合理，指挥系统，生产及质量、绿色施工、安全、文明施工、创优达标监控系统、联络协调系统不齐全，项目管理人员内高级职称人员10%以下、中级职称人员及以上职称40%以下。</w:t>
            </w:r>
          </w:p>
        </w:tc>
      </w:tr>
      <w:tr w14:paraId="09380821">
        <w:tblPrEx>
          <w:tblCellMar>
            <w:top w:w="0" w:type="dxa"/>
            <w:left w:w="108" w:type="dxa"/>
            <w:bottom w:w="0" w:type="dxa"/>
            <w:right w:w="108" w:type="dxa"/>
          </w:tblCellMar>
        </w:tblPrEx>
        <w:trPr>
          <w:trHeight w:val="554" w:hRule="exact"/>
          <w:jc w:val="center"/>
        </w:trPr>
        <w:tc>
          <w:tcPr>
            <w:tcW w:w="9905"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6DFBE0">
            <w:pPr>
              <w:keepNext w:val="0"/>
              <w:keepLines w:val="0"/>
              <w:widowControl w:val="0"/>
              <w:suppressLineNumbers w:val="0"/>
              <w:kinsoku/>
              <w:autoSpaceDE/>
              <w:autoSpaceDN/>
              <w:adjustRightInd w:val="0"/>
              <w:snapToGrid/>
              <w:spacing w:before="0" w:beforeAutospacing="0" w:after="0" w:afterAutospacing="0" w:line="360" w:lineRule="auto"/>
              <w:ind w:left="0" w:right="0"/>
              <w:jc w:val="left"/>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b/>
                <w:bCs/>
                <w:snapToGrid/>
                <w:color w:val="auto"/>
                <w:kern w:val="0"/>
                <w:sz w:val="24"/>
                <w:szCs w:val="24"/>
                <w:highlight w:val="none"/>
                <w:lang w:val="en-US" w:eastAsia="zh-CN" w:bidi="ar-SA"/>
              </w:rPr>
              <w:t>投标报价部分，满分：100分。</w:t>
            </w:r>
          </w:p>
        </w:tc>
      </w:tr>
      <w:tr w14:paraId="063EA05E">
        <w:tblPrEx>
          <w:tblCellMar>
            <w:top w:w="0" w:type="dxa"/>
            <w:left w:w="108" w:type="dxa"/>
            <w:bottom w:w="0" w:type="dxa"/>
            <w:right w:w="108" w:type="dxa"/>
          </w:tblCellMar>
        </w:tblPrEx>
        <w:trPr>
          <w:trHeight w:val="494" w:hRule="exac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02644B0B">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评分事项</w:t>
            </w:r>
          </w:p>
        </w:tc>
        <w:tc>
          <w:tcPr>
            <w:tcW w:w="8713" w:type="dxa"/>
            <w:gridSpan w:val="2"/>
            <w:tcBorders>
              <w:top w:val="single" w:color="auto" w:sz="4" w:space="0"/>
              <w:left w:val="single" w:color="auto" w:sz="4" w:space="0"/>
              <w:bottom w:val="single" w:color="auto" w:sz="4" w:space="0"/>
              <w:right w:val="single" w:color="auto" w:sz="4" w:space="0"/>
            </w:tcBorders>
            <w:noWrap w:val="0"/>
            <w:vAlign w:val="center"/>
          </w:tcPr>
          <w:p w14:paraId="27871977">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评分方法</w:t>
            </w:r>
          </w:p>
        </w:tc>
      </w:tr>
      <w:tr w14:paraId="4CB6CB66">
        <w:tblPrEx>
          <w:tblCellMar>
            <w:top w:w="0" w:type="dxa"/>
            <w:left w:w="108" w:type="dxa"/>
            <w:bottom w:w="0" w:type="dxa"/>
            <w:right w:w="108" w:type="dxa"/>
          </w:tblCellMar>
        </w:tblPrEx>
        <w:trPr>
          <w:trHeight w:val="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791824F7">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评标基准价D</w:t>
            </w:r>
          </w:p>
        </w:tc>
        <w:tc>
          <w:tcPr>
            <w:tcW w:w="8713" w:type="dxa"/>
            <w:gridSpan w:val="2"/>
            <w:tcBorders>
              <w:top w:val="single" w:color="auto" w:sz="4" w:space="0"/>
              <w:left w:val="single" w:color="auto" w:sz="4" w:space="0"/>
              <w:bottom w:val="single" w:color="auto" w:sz="4" w:space="0"/>
              <w:right w:val="single" w:color="auto" w:sz="4" w:space="0"/>
            </w:tcBorders>
            <w:noWrap w:val="0"/>
            <w:vAlign w:val="center"/>
          </w:tcPr>
          <w:p w14:paraId="1B69C40D">
            <w:pPr>
              <w:keepNext w:val="0"/>
              <w:keepLines w:val="0"/>
              <w:widowControl/>
              <w:numPr>
                <w:ilvl w:val="0"/>
                <w:numId w:val="2"/>
              </w:numPr>
              <w:suppressLineNumbers w:val="0"/>
              <w:kinsoku/>
              <w:autoSpaceDE/>
              <w:autoSpaceDN/>
              <w:adjustRightInd/>
              <w:snapToGrid/>
              <w:spacing w:line="360" w:lineRule="auto"/>
              <w:jc w:val="left"/>
              <w:textAlignment w:val="auto"/>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0"/>
                <w:sz w:val="24"/>
                <w:szCs w:val="24"/>
                <w:highlight w:val="none"/>
                <w:lang w:val="en-US" w:eastAsia="zh-CN" w:bidi="ar-SA"/>
              </w:rPr>
              <w:t>确定</w:t>
            </w:r>
            <w:r>
              <w:rPr>
                <w:rFonts w:hint="eastAsia" w:ascii="宋体" w:hAnsi="宋体" w:eastAsia="宋体" w:cs="宋体"/>
                <w:b/>
                <w:bCs/>
                <w:snapToGrid/>
                <w:color w:val="auto"/>
                <w:kern w:val="0"/>
                <w:sz w:val="24"/>
                <w:szCs w:val="24"/>
                <w:highlight w:val="none"/>
                <w:lang w:val="en-US" w:eastAsia="zh-CN" w:bidi="ar-SA"/>
              </w:rPr>
              <w:t>最高投标限价</w:t>
            </w:r>
            <w:r>
              <w:rPr>
                <w:rFonts w:hint="eastAsia" w:ascii="宋体" w:hAnsi="宋体" w:eastAsia="宋体" w:cs="宋体"/>
                <w:snapToGrid/>
                <w:color w:val="auto"/>
                <w:kern w:val="0"/>
                <w:sz w:val="24"/>
                <w:szCs w:val="24"/>
                <w:highlight w:val="none"/>
                <w:lang w:val="en-US" w:eastAsia="zh-CN" w:bidi="ar-SA"/>
              </w:rPr>
              <w:t>下浮系数n：用1～21号球分别代表一个下浮系数，由评委代表从这21个号码中随机抽取</w:t>
            </w:r>
            <w:r>
              <w:rPr>
                <w:rFonts w:hint="eastAsia" w:ascii="宋体" w:hAnsi="宋体" w:eastAsia="宋体" w:cs="宋体"/>
                <w:snapToGrid/>
                <w:color w:val="auto"/>
                <w:kern w:val="0"/>
                <w:sz w:val="24"/>
                <w:szCs w:val="24"/>
                <w:highlight w:val="none"/>
                <w:u w:val="single"/>
                <w:lang w:val="en-US" w:eastAsia="zh-CN" w:bidi="ar-SA"/>
              </w:rPr>
              <w:t xml:space="preserve"> 3 </w:t>
            </w:r>
            <w:r>
              <w:rPr>
                <w:rFonts w:hint="eastAsia" w:ascii="宋体" w:hAnsi="宋体" w:eastAsia="宋体" w:cs="宋体"/>
                <w:snapToGrid/>
                <w:color w:val="auto"/>
                <w:kern w:val="0"/>
                <w:sz w:val="24"/>
                <w:szCs w:val="24"/>
                <w:highlight w:val="none"/>
                <w:lang w:val="en-US" w:eastAsia="zh-CN" w:bidi="ar-SA"/>
              </w:rPr>
              <w:t>次，每次抽取1个号码，抽出的号球不参与下次抽取。所抽取的3个号码对应下浮系数的算术平均值作为</w:t>
            </w:r>
            <w:r>
              <w:rPr>
                <w:rFonts w:hint="eastAsia" w:ascii="宋体" w:hAnsi="宋体" w:eastAsia="宋体" w:cs="宋体"/>
                <w:b/>
                <w:bCs/>
                <w:snapToGrid/>
                <w:color w:val="auto"/>
                <w:kern w:val="0"/>
                <w:sz w:val="24"/>
                <w:szCs w:val="24"/>
                <w:highlight w:val="none"/>
                <w:lang w:val="en-US" w:eastAsia="zh-CN" w:bidi="ar-SA"/>
              </w:rPr>
              <w:t>最高投标限价</w:t>
            </w:r>
            <w:r>
              <w:rPr>
                <w:rFonts w:hint="eastAsia" w:ascii="宋体" w:hAnsi="宋体" w:eastAsia="宋体" w:cs="宋体"/>
                <w:snapToGrid/>
                <w:color w:val="auto"/>
                <w:kern w:val="0"/>
                <w:sz w:val="24"/>
                <w:szCs w:val="24"/>
                <w:highlight w:val="none"/>
                <w:lang w:val="en-US" w:eastAsia="zh-CN" w:bidi="ar-SA"/>
              </w:rPr>
              <w:t>下浮系数n。具体号码对应的下浮系数见下表。</w:t>
            </w:r>
          </w:p>
          <w:tbl>
            <w:tblPr>
              <w:tblStyle w:val="16"/>
              <w:tblW w:w="0" w:type="auto"/>
              <w:tblInd w:w="113" w:type="dxa"/>
              <w:tblLayout w:type="fixed"/>
              <w:tblCellMar>
                <w:top w:w="0" w:type="dxa"/>
                <w:left w:w="108" w:type="dxa"/>
                <w:bottom w:w="0" w:type="dxa"/>
                <w:right w:w="108" w:type="dxa"/>
              </w:tblCellMar>
            </w:tblPr>
            <w:tblGrid>
              <w:gridCol w:w="1725"/>
              <w:gridCol w:w="735"/>
              <w:gridCol w:w="902"/>
              <w:gridCol w:w="940"/>
              <w:gridCol w:w="922"/>
              <w:gridCol w:w="959"/>
              <w:gridCol w:w="901"/>
              <w:gridCol w:w="890"/>
            </w:tblGrid>
            <w:tr w14:paraId="50D6A15E">
              <w:tblPrEx>
                <w:tblCellMar>
                  <w:top w:w="0" w:type="dxa"/>
                  <w:left w:w="108" w:type="dxa"/>
                  <w:bottom w:w="0" w:type="dxa"/>
                  <w:right w:w="108" w:type="dxa"/>
                </w:tblCellMar>
              </w:tblPrEx>
              <w:trPr>
                <w:trHeight w:val="285"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0CA0C6E">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b/>
                      <w:bCs/>
                      <w:snapToGrid/>
                      <w:color w:val="auto"/>
                      <w:kern w:val="0"/>
                      <w:sz w:val="24"/>
                      <w:szCs w:val="24"/>
                      <w:highlight w:val="none"/>
                      <w:lang w:val="en-US" w:eastAsia="zh-CN" w:bidi="ar-SA"/>
                    </w:rPr>
                  </w:pPr>
                  <w:r>
                    <w:rPr>
                      <w:rFonts w:hint="eastAsia" w:ascii="宋体" w:hAnsi="宋体" w:eastAsia="宋体" w:cs="宋体"/>
                      <w:b/>
                      <w:bCs/>
                      <w:snapToGrid/>
                      <w:color w:val="auto"/>
                      <w:kern w:val="0"/>
                      <w:sz w:val="24"/>
                      <w:szCs w:val="24"/>
                      <w:highlight w:val="none"/>
                      <w:lang w:val="en-US" w:eastAsia="zh-CN" w:bidi="ar-SA"/>
                    </w:rPr>
                    <w:t>号球</w:t>
                  </w:r>
                </w:p>
              </w:tc>
              <w:tc>
                <w:tcPr>
                  <w:tcW w:w="73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FF8F14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w:t>
                  </w:r>
                </w:p>
              </w:tc>
              <w:tc>
                <w:tcPr>
                  <w:tcW w:w="90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28B1A5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2</w:t>
                  </w:r>
                </w:p>
              </w:tc>
              <w:tc>
                <w:tcPr>
                  <w:tcW w:w="9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EAFCE5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3</w:t>
                  </w:r>
                </w:p>
              </w:tc>
              <w:tc>
                <w:tcPr>
                  <w:tcW w:w="92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6339C2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4</w:t>
                  </w:r>
                </w:p>
              </w:tc>
              <w:tc>
                <w:tcPr>
                  <w:tcW w:w="95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6EEC76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5</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904CF6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6</w:t>
                  </w:r>
                </w:p>
              </w:tc>
              <w:tc>
                <w:tcPr>
                  <w:tcW w:w="89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CBAA4D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7</w:t>
                  </w:r>
                </w:p>
              </w:tc>
            </w:tr>
            <w:tr w14:paraId="394404EB">
              <w:tblPrEx>
                <w:tblCellMar>
                  <w:top w:w="0" w:type="dxa"/>
                  <w:left w:w="108" w:type="dxa"/>
                  <w:bottom w:w="0" w:type="dxa"/>
                  <w:right w:w="108" w:type="dxa"/>
                </w:tblCellMar>
              </w:tblPrEx>
              <w:trPr>
                <w:trHeight w:val="347" w:hRule="atLeast"/>
              </w:trPr>
              <w:tc>
                <w:tcPr>
                  <w:tcW w:w="1725" w:type="dxa"/>
                  <w:tcBorders>
                    <w:top w:val="single" w:color="000000" w:sz="4" w:space="0"/>
                    <w:left w:val="single" w:color="000000" w:sz="4" w:space="0"/>
                    <w:bottom w:val="single" w:color="000000" w:sz="4" w:space="0"/>
                    <w:right w:val="single" w:color="000000" w:sz="4" w:space="0"/>
                  </w:tcBorders>
                  <w:noWrap w:val="0"/>
                  <w:vAlign w:val="center"/>
                </w:tcPr>
                <w:p w14:paraId="2BBF3991">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b/>
                      <w:bCs/>
                      <w:snapToGrid/>
                      <w:color w:val="auto"/>
                      <w:kern w:val="0"/>
                      <w:sz w:val="24"/>
                      <w:szCs w:val="24"/>
                      <w:highlight w:val="none"/>
                      <w:lang w:val="en-US" w:eastAsia="zh-CN" w:bidi="ar-SA"/>
                    </w:rPr>
                  </w:pPr>
                  <w:r>
                    <w:rPr>
                      <w:rFonts w:hint="eastAsia" w:ascii="宋体" w:hAnsi="宋体" w:eastAsia="宋体" w:cs="宋体"/>
                      <w:b/>
                      <w:bCs/>
                      <w:snapToGrid/>
                      <w:color w:val="auto"/>
                      <w:kern w:val="0"/>
                      <w:sz w:val="24"/>
                      <w:szCs w:val="24"/>
                      <w:highlight w:val="none"/>
                      <w:lang w:val="en-US" w:eastAsia="zh-CN" w:bidi="ar-SA"/>
                    </w:rPr>
                    <w:t>下浮系数（%）</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F5A99D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1.0</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50A4394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1.1</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0F41148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494E426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1.3</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13A75A2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1.4</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16AF295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1.5</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14:paraId="17E9A7C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1.6</w:t>
                  </w:r>
                </w:p>
              </w:tc>
            </w:tr>
            <w:tr w14:paraId="7B6D4DE7">
              <w:tblPrEx>
                <w:tblCellMar>
                  <w:top w:w="0" w:type="dxa"/>
                  <w:left w:w="108" w:type="dxa"/>
                  <w:bottom w:w="0" w:type="dxa"/>
                  <w:right w:w="108" w:type="dxa"/>
                </w:tblCellMar>
              </w:tblPrEx>
              <w:trPr>
                <w:trHeight w:val="313"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C3A20C5">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b/>
                      <w:bCs/>
                      <w:snapToGrid/>
                      <w:color w:val="auto"/>
                      <w:kern w:val="0"/>
                      <w:sz w:val="24"/>
                      <w:szCs w:val="24"/>
                      <w:highlight w:val="none"/>
                      <w:lang w:val="en-US" w:eastAsia="zh-CN" w:bidi="ar-SA"/>
                    </w:rPr>
                  </w:pPr>
                  <w:r>
                    <w:rPr>
                      <w:rFonts w:hint="eastAsia" w:ascii="宋体" w:hAnsi="宋体" w:eastAsia="宋体" w:cs="宋体"/>
                      <w:b/>
                      <w:bCs/>
                      <w:snapToGrid/>
                      <w:color w:val="auto"/>
                      <w:kern w:val="0"/>
                      <w:sz w:val="24"/>
                      <w:szCs w:val="24"/>
                      <w:highlight w:val="none"/>
                      <w:lang w:val="en-US" w:eastAsia="zh-CN" w:bidi="ar-SA"/>
                    </w:rPr>
                    <w:t>号球</w:t>
                  </w:r>
                </w:p>
              </w:tc>
              <w:tc>
                <w:tcPr>
                  <w:tcW w:w="73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10B716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8</w:t>
                  </w:r>
                </w:p>
              </w:tc>
              <w:tc>
                <w:tcPr>
                  <w:tcW w:w="90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DD2235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9</w:t>
                  </w:r>
                </w:p>
              </w:tc>
              <w:tc>
                <w:tcPr>
                  <w:tcW w:w="9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DD0D06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10</w:t>
                  </w:r>
                </w:p>
              </w:tc>
              <w:tc>
                <w:tcPr>
                  <w:tcW w:w="92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2DC2F3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11</w:t>
                  </w:r>
                </w:p>
              </w:tc>
              <w:tc>
                <w:tcPr>
                  <w:tcW w:w="95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EE8564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12</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5782594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13</w:t>
                  </w:r>
                </w:p>
              </w:tc>
              <w:tc>
                <w:tcPr>
                  <w:tcW w:w="89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030535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14</w:t>
                  </w:r>
                </w:p>
              </w:tc>
            </w:tr>
            <w:tr w14:paraId="39BC924D">
              <w:tblPrEx>
                <w:tblCellMar>
                  <w:top w:w="0" w:type="dxa"/>
                  <w:left w:w="108" w:type="dxa"/>
                  <w:bottom w:w="0" w:type="dxa"/>
                  <w:right w:w="108" w:type="dxa"/>
                </w:tblCellMar>
              </w:tblPrEx>
              <w:trPr>
                <w:trHeight w:val="313" w:hRule="atLeast"/>
              </w:trPr>
              <w:tc>
                <w:tcPr>
                  <w:tcW w:w="1725" w:type="dxa"/>
                  <w:tcBorders>
                    <w:top w:val="single" w:color="000000" w:sz="4" w:space="0"/>
                    <w:left w:val="single" w:color="000000" w:sz="4" w:space="0"/>
                    <w:bottom w:val="single" w:color="000000" w:sz="4" w:space="0"/>
                    <w:right w:val="single" w:color="000000" w:sz="4" w:space="0"/>
                  </w:tcBorders>
                  <w:noWrap w:val="0"/>
                  <w:vAlign w:val="center"/>
                </w:tcPr>
                <w:p w14:paraId="0B9E7219">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b/>
                      <w:bCs/>
                      <w:snapToGrid/>
                      <w:color w:val="auto"/>
                      <w:kern w:val="0"/>
                      <w:sz w:val="24"/>
                      <w:szCs w:val="24"/>
                      <w:highlight w:val="none"/>
                      <w:lang w:val="en-US" w:eastAsia="zh-CN" w:bidi="ar-SA"/>
                    </w:rPr>
                  </w:pPr>
                  <w:r>
                    <w:rPr>
                      <w:rFonts w:hint="eastAsia" w:ascii="宋体" w:hAnsi="宋体" w:eastAsia="宋体" w:cs="宋体"/>
                      <w:b/>
                      <w:bCs/>
                      <w:snapToGrid/>
                      <w:color w:val="auto"/>
                      <w:kern w:val="0"/>
                      <w:sz w:val="24"/>
                      <w:szCs w:val="24"/>
                      <w:highlight w:val="none"/>
                      <w:lang w:val="en-US" w:eastAsia="zh-CN" w:bidi="ar-SA"/>
                    </w:rPr>
                    <w:t>下浮系数（%）</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95B911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1.7</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4334C5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1.8</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08497A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1.9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222065E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2.0</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883C84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2.1</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4227A79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2.2</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14:paraId="2E41271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2.3</w:t>
                  </w:r>
                </w:p>
              </w:tc>
            </w:tr>
            <w:tr w14:paraId="0C7C8B34">
              <w:tblPrEx>
                <w:tblCellMar>
                  <w:top w:w="0" w:type="dxa"/>
                  <w:left w:w="108" w:type="dxa"/>
                  <w:bottom w:w="0" w:type="dxa"/>
                  <w:right w:w="108" w:type="dxa"/>
                </w:tblCellMar>
              </w:tblPrEx>
              <w:trPr>
                <w:trHeight w:val="288"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058014E">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b/>
                      <w:bCs/>
                      <w:snapToGrid/>
                      <w:color w:val="auto"/>
                      <w:kern w:val="0"/>
                      <w:sz w:val="24"/>
                      <w:szCs w:val="24"/>
                      <w:highlight w:val="none"/>
                      <w:lang w:val="en-US" w:eastAsia="zh-CN" w:bidi="ar-SA"/>
                    </w:rPr>
                  </w:pPr>
                  <w:r>
                    <w:rPr>
                      <w:rFonts w:hint="eastAsia" w:ascii="宋体" w:hAnsi="宋体" w:eastAsia="宋体" w:cs="宋体"/>
                      <w:b/>
                      <w:bCs/>
                      <w:snapToGrid/>
                      <w:color w:val="auto"/>
                      <w:kern w:val="0"/>
                      <w:sz w:val="24"/>
                      <w:szCs w:val="24"/>
                      <w:highlight w:val="none"/>
                      <w:lang w:val="en-US" w:eastAsia="zh-CN" w:bidi="ar-SA"/>
                    </w:rPr>
                    <w:t>号球</w:t>
                  </w:r>
                </w:p>
              </w:tc>
              <w:tc>
                <w:tcPr>
                  <w:tcW w:w="73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AD195A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15</w:t>
                  </w:r>
                </w:p>
              </w:tc>
              <w:tc>
                <w:tcPr>
                  <w:tcW w:w="90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2698C9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16</w:t>
                  </w:r>
                </w:p>
              </w:tc>
              <w:tc>
                <w:tcPr>
                  <w:tcW w:w="9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E537B4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17</w:t>
                  </w:r>
                </w:p>
              </w:tc>
              <w:tc>
                <w:tcPr>
                  <w:tcW w:w="92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5443A2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18</w:t>
                  </w:r>
                </w:p>
              </w:tc>
              <w:tc>
                <w:tcPr>
                  <w:tcW w:w="95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7C78E4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19</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B6B34D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20</w:t>
                  </w:r>
                </w:p>
              </w:tc>
              <w:tc>
                <w:tcPr>
                  <w:tcW w:w="89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B2F7A0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21</w:t>
                  </w:r>
                </w:p>
              </w:tc>
            </w:tr>
            <w:tr w14:paraId="13FA098B">
              <w:tblPrEx>
                <w:tblCellMar>
                  <w:top w:w="0" w:type="dxa"/>
                  <w:left w:w="108" w:type="dxa"/>
                  <w:bottom w:w="0" w:type="dxa"/>
                  <w:right w:w="108" w:type="dxa"/>
                </w:tblCellMar>
              </w:tblPrEx>
              <w:trPr>
                <w:trHeight w:val="385" w:hRule="atLeast"/>
              </w:trPr>
              <w:tc>
                <w:tcPr>
                  <w:tcW w:w="1725" w:type="dxa"/>
                  <w:tcBorders>
                    <w:top w:val="single" w:color="000000" w:sz="4" w:space="0"/>
                    <w:left w:val="single" w:color="000000" w:sz="4" w:space="0"/>
                    <w:bottom w:val="single" w:color="000000" w:sz="4" w:space="0"/>
                    <w:right w:val="single" w:color="000000" w:sz="4" w:space="0"/>
                  </w:tcBorders>
                  <w:noWrap w:val="0"/>
                  <w:vAlign w:val="center"/>
                </w:tcPr>
                <w:p w14:paraId="66973DAE">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b/>
                      <w:bCs/>
                      <w:snapToGrid/>
                      <w:color w:val="auto"/>
                      <w:kern w:val="0"/>
                      <w:sz w:val="24"/>
                      <w:szCs w:val="24"/>
                      <w:highlight w:val="none"/>
                      <w:lang w:val="en-US" w:eastAsia="zh-CN" w:bidi="ar-SA"/>
                    </w:rPr>
                  </w:pPr>
                  <w:r>
                    <w:rPr>
                      <w:rFonts w:hint="eastAsia" w:ascii="宋体" w:hAnsi="宋体" w:eastAsia="宋体" w:cs="宋体"/>
                      <w:b/>
                      <w:bCs/>
                      <w:snapToGrid/>
                      <w:color w:val="auto"/>
                      <w:kern w:val="0"/>
                      <w:sz w:val="24"/>
                      <w:szCs w:val="24"/>
                      <w:highlight w:val="none"/>
                      <w:lang w:val="en-US" w:eastAsia="zh-CN" w:bidi="ar-SA"/>
                    </w:rPr>
                    <w:t>下浮系数（%）</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06859D4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2.4</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1169300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2.5</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4C579E7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5247D7C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2.7</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268F04C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2.8</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48BFF3F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2.9</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14:paraId="648FD1D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val="0"/>
                      <w:color w:val="auto"/>
                      <w:kern w:val="0"/>
                      <w:sz w:val="24"/>
                      <w:szCs w:val="24"/>
                      <w:highlight w:val="none"/>
                      <w:lang w:eastAsia="zh-CN"/>
                    </w:rPr>
                    <w:t>3.0</w:t>
                  </w:r>
                </w:p>
              </w:tc>
            </w:tr>
          </w:tbl>
          <w:p w14:paraId="6F31A3A8">
            <w:pPr>
              <w:keepNext w:val="0"/>
              <w:keepLines w:val="0"/>
              <w:widowControl w:val="0"/>
              <w:suppressLineNumbers w:val="0"/>
              <w:kinsoku/>
              <w:autoSpaceDE/>
              <w:autoSpaceDN/>
              <w:adjustRightInd w:val="0"/>
              <w:snapToGrid/>
              <w:spacing w:before="0" w:beforeAutospacing="0" w:after="0" w:afterAutospacing="0" w:line="360" w:lineRule="auto"/>
              <w:ind w:left="0" w:right="0" w:firstLine="480" w:firstLineChars="200"/>
              <w:jc w:val="left"/>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（2）评标基准价D＝</w:t>
            </w:r>
            <w:r>
              <w:rPr>
                <w:rFonts w:hint="eastAsia" w:ascii="宋体" w:hAnsi="宋体" w:eastAsia="宋体" w:cs="宋体"/>
                <w:b/>
                <w:bCs/>
                <w:snapToGrid/>
                <w:color w:val="auto"/>
                <w:kern w:val="0"/>
                <w:sz w:val="24"/>
                <w:szCs w:val="24"/>
                <w:highlight w:val="none"/>
                <w:lang w:val="en-US" w:eastAsia="zh-CN" w:bidi="ar-SA"/>
              </w:rPr>
              <w:t>最高投标限价</w:t>
            </w:r>
            <w:r>
              <w:rPr>
                <w:rFonts w:hint="eastAsia" w:ascii="宋体" w:hAnsi="宋体" w:eastAsia="宋体" w:cs="宋体"/>
                <w:snapToGrid/>
                <w:color w:val="auto"/>
                <w:kern w:val="0"/>
                <w:sz w:val="24"/>
                <w:szCs w:val="24"/>
                <w:highlight w:val="none"/>
                <w:lang w:val="en-US" w:eastAsia="zh-CN" w:bidi="ar-SA"/>
              </w:rPr>
              <w:t>×（1－n）</w:t>
            </w:r>
          </w:p>
        </w:tc>
      </w:tr>
      <w:tr w14:paraId="2312BD84">
        <w:tblPrEx>
          <w:tblCellMar>
            <w:top w:w="0" w:type="dxa"/>
            <w:left w:w="108" w:type="dxa"/>
            <w:bottom w:w="0" w:type="dxa"/>
            <w:right w:w="108" w:type="dxa"/>
          </w:tblCellMar>
        </w:tblPrEx>
        <w:trPr>
          <w:trHeight w:val="1904"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3651C5F4">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投标报价</w:t>
            </w:r>
          </w:p>
          <w:p w14:paraId="1F85388C">
            <w:pPr>
              <w:keepNext w:val="0"/>
              <w:keepLines w:val="0"/>
              <w:widowControl w:val="0"/>
              <w:suppressLineNumbers w:val="0"/>
              <w:kinsoku/>
              <w:autoSpaceDE/>
              <w:autoSpaceDN/>
              <w:adjustRightInd w:val="0"/>
              <w:snapToGrid/>
              <w:spacing w:before="0" w:beforeAutospacing="0" w:after="0" w:afterAutospacing="0" w:line="360" w:lineRule="auto"/>
              <w:ind w:left="0" w:right="0"/>
              <w:jc w:val="center"/>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得分N</w:t>
            </w:r>
          </w:p>
        </w:tc>
        <w:tc>
          <w:tcPr>
            <w:tcW w:w="8713" w:type="dxa"/>
            <w:gridSpan w:val="2"/>
            <w:tcBorders>
              <w:top w:val="single" w:color="auto" w:sz="4" w:space="0"/>
              <w:left w:val="single" w:color="auto" w:sz="4" w:space="0"/>
              <w:bottom w:val="single" w:color="auto" w:sz="4" w:space="0"/>
              <w:right w:val="single" w:color="auto" w:sz="4" w:space="0"/>
            </w:tcBorders>
            <w:noWrap w:val="0"/>
            <w:vAlign w:val="center"/>
          </w:tcPr>
          <w:p w14:paraId="13A6ED34">
            <w:pPr>
              <w:keepNext w:val="0"/>
              <w:keepLines w:val="0"/>
              <w:widowControl w:val="0"/>
              <w:suppressLineNumbers w:val="0"/>
              <w:kinsoku/>
              <w:autoSpaceDE/>
              <w:autoSpaceDN/>
              <w:adjustRightInd w:val="0"/>
              <w:snapToGrid/>
              <w:spacing w:before="0" w:beforeAutospacing="0" w:after="0" w:afterAutospacing="0" w:line="360" w:lineRule="auto"/>
              <w:ind w:left="0" w:right="0" w:firstLine="480" w:firstLineChars="200"/>
              <w:jc w:val="left"/>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采用内插法计算某投标人的投标报价得分N，即当投标人的投标总价等于评标基准价时得100分，每高于评标基准价一个百分点扣1分, 每低于评标基准价一个百分点扣0.5分，扣完为止。公式如下：</w:t>
            </w:r>
          </w:p>
          <w:p w14:paraId="66598F39">
            <w:pPr>
              <w:keepNext w:val="0"/>
              <w:keepLines w:val="0"/>
              <w:widowControl w:val="0"/>
              <w:suppressLineNumbers w:val="0"/>
              <w:kinsoku/>
              <w:autoSpaceDE/>
              <w:autoSpaceDN/>
              <w:adjustRightInd w:val="0"/>
              <w:snapToGrid/>
              <w:spacing w:before="0" w:beforeAutospacing="0" w:after="0" w:afterAutospacing="0" w:line="360" w:lineRule="auto"/>
              <w:ind w:left="0" w:right="0" w:firstLine="480" w:firstLineChars="200"/>
              <w:jc w:val="left"/>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N＝100－（| Di－D | ÷D）×100×E</w:t>
            </w:r>
          </w:p>
          <w:p w14:paraId="5E62C30D">
            <w:pPr>
              <w:keepNext w:val="0"/>
              <w:keepLines w:val="0"/>
              <w:widowControl w:val="0"/>
              <w:suppressLineNumbers w:val="0"/>
              <w:kinsoku/>
              <w:autoSpaceDE/>
              <w:autoSpaceDN/>
              <w:adjustRightInd w:val="0"/>
              <w:snapToGrid/>
              <w:spacing w:before="0" w:beforeAutospacing="0" w:after="0" w:afterAutospacing="0" w:line="360" w:lineRule="auto"/>
              <w:ind w:left="0" w:right="0" w:firstLine="480" w:firstLineChars="200"/>
              <w:jc w:val="left"/>
              <w:textAlignment w:val="baseline"/>
              <w:rPr>
                <w:rFonts w:hint="eastAsia" w:ascii="宋体" w:hAnsi="宋体" w:eastAsia="宋体" w:cs="宋体"/>
                <w:snapToGrid/>
                <w:color w:val="auto"/>
                <w:kern w:val="0"/>
                <w:sz w:val="24"/>
                <w:szCs w:val="24"/>
                <w:highlight w:val="none"/>
                <w:lang w:val="en-US" w:eastAsia="zh-CN" w:bidi="ar-SA"/>
              </w:rPr>
            </w:pPr>
            <w:r>
              <w:rPr>
                <w:rFonts w:hint="eastAsia" w:ascii="宋体" w:hAnsi="宋体" w:eastAsia="宋体" w:cs="宋体"/>
                <w:snapToGrid/>
                <w:color w:val="auto"/>
                <w:kern w:val="0"/>
                <w:sz w:val="24"/>
                <w:szCs w:val="24"/>
                <w:highlight w:val="none"/>
                <w:lang w:val="en-US" w:eastAsia="zh-CN" w:bidi="ar-SA"/>
              </w:rPr>
              <w:t>式中：D为评标基准价；Di为某投标人的投标总价；E为扣分因子，当Di＞D时，E＝1 ；当Di＜D时，E＝0.5。</w:t>
            </w:r>
          </w:p>
        </w:tc>
      </w:tr>
    </w:tbl>
    <w:p w14:paraId="0EA6B71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p>
    <w:p w14:paraId="7E473B8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rPr>
      </w:pPr>
    </w:p>
    <w:p w14:paraId="4A7BEF82">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bookmarkStart w:id="130" w:name="_Toc5769"/>
      <w:bookmarkStart w:id="131" w:name="_Toc9725"/>
      <w:bookmarkStart w:id="132" w:name="_Toc31744"/>
      <w:bookmarkStart w:id="133" w:name="_Toc17436"/>
      <w:r>
        <w:rPr>
          <w:rFonts w:hint="eastAsia" w:ascii="宋体" w:hAnsi="宋体" w:eastAsia="宋体" w:cs="宋体"/>
          <w:b/>
          <w:bCs/>
          <w:color w:val="auto"/>
          <w:spacing w:val="0"/>
          <w:sz w:val="24"/>
          <w:szCs w:val="24"/>
          <w:highlight w:val="none"/>
        </w:rPr>
        <w:br w:type="page"/>
      </w:r>
    </w:p>
    <w:p w14:paraId="3E3DF6AC">
      <w:pPr>
        <w:keepNext w:val="0"/>
        <w:keepLines w:val="0"/>
        <w:pageBreakBefore w:val="0"/>
        <w:wordWrap w:val="0"/>
        <w:overflowPunct/>
        <w:topLinePunct w:val="0"/>
        <w:bidi w:val="0"/>
        <w:spacing w:before="155" w:line="360" w:lineRule="auto"/>
        <w:ind w:firstLine="482" w:firstLineChars="200"/>
        <w:outlineLvl w:val="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15.5.2  </w:t>
      </w:r>
      <w:r>
        <w:rPr>
          <w:rFonts w:hint="eastAsia" w:ascii="宋体" w:hAnsi="宋体" w:eastAsia="宋体" w:cs="宋体"/>
          <w:color w:val="auto"/>
          <w:spacing w:val="0"/>
          <w:sz w:val="24"/>
          <w:szCs w:val="24"/>
          <w:highlight w:val="none"/>
        </w:rPr>
        <w:t>否决投标说明</w:t>
      </w:r>
      <w:bookmarkEnd w:id="130"/>
      <w:bookmarkEnd w:id="131"/>
      <w:bookmarkEnd w:id="132"/>
      <w:bookmarkEnd w:id="133"/>
    </w:p>
    <w:p w14:paraId="7A2EE53E">
      <w:pPr>
        <w:keepNext w:val="0"/>
        <w:keepLines w:val="0"/>
        <w:pageBreakBefore w:val="0"/>
        <w:wordWrap w:val="0"/>
        <w:overflowPunct/>
        <w:topLinePunct w:val="0"/>
        <w:bidi w:val="0"/>
        <w:spacing w:before="150" w:line="360" w:lineRule="auto"/>
        <w:ind w:left="10" w:right="195" w:firstLine="5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详细评审阶段否决投标的全部条件，在本章第四节“否决投标条件”第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3E787E43">
      <w:pPr>
        <w:keepNext w:val="0"/>
        <w:keepLines w:val="0"/>
        <w:pageBreakBefore w:val="0"/>
        <w:wordWrap w:val="0"/>
        <w:overflowPunct/>
        <w:topLinePunct w:val="0"/>
        <w:bidi w:val="0"/>
        <w:spacing w:before="59" w:line="360" w:lineRule="auto"/>
        <w:ind w:left="10" w:right="195"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温馨提示</w:t>
      </w:r>
      <w:r>
        <w:rPr>
          <w:rFonts w:hint="eastAsia" w:ascii="宋体" w:hAnsi="宋体" w:eastAsia="宋体" w:cs="宋体"/>
          <w:b/>
          <w:bCs/>
          <w:color w:val="auto"/>
          <w:spacing w:val="0"/>
          <w:sz w:val="24"/>
          <w:szCs w:val="24"/>
          <w:highlight w:val="none"/>
        </w:rPr>
        <w:t>：投标人在详细评审阶段根据评分方法提供的佐证材料，其合法性、有效性和准确性不符合要求的，有关量化因素（或评分因素）的折算、调整（或评分）按相应量化标准（或评分标准）处理，但不否决投标。</w:t>
      </w:r>
    </w:p>
    <w:p w14:paraId="236714FC">
      <w:pPr>
        <w:keepNext w:val="0"/>
        <w:keepLines w:val="0"/>
        <w:pageBreakBefore w:val="0"/>
        <w:wordWrap w:val="0"/>
        <w:overflowPunct/>
        <w:topLinePunct w:val="0"/>
        <w:bidi w:val="0"/>
        <w:spacing w:before="78" w:line="360" w:lineRule="auto"/>
        <w:ind w:left="496"/>
        <w:outlineLvl w:val="2"/>
        <w:rPr>
          <w:rFonts w:hint="eastAsia" w:ascii="宋体" w:hAnsi="宋体" w:eastAsia="宋体" w:cs="宋体"/>
          <w:color w:val="auto"/>
          <w:spacing w:val="0"/>
          <w:sz w:val="24"/>
          <w:szCs w:val="24"/>
          <w:highlight w:val="none"/>
        </w:rPr>
      </w:pPr>
      <w:bookmarkStart w:id="134" w:name="bookmark137"/>
      <w:bookmarkEnd w:id="134"/>
      <w:bookmarkStart w:id="135" w:name="_Toc16384"/>
      <w:bookmarkStart w:id="136" w:name="_Toc18006"/>
      <w:bookmarkStart w:id="137" w:name="_Toc6562"/>
      <w:r>
        <w:rPr>
          <w:rFonts w:hint="eastAsia" w:ascii="宋体" w:hAnsi="宋体" w:eastAsia="宋体" w:cs="宋体"/>
          <w:b/>
          <w:bCs/>
          <w:color w:val="auto"/>
          <w:spacing w:val="0"/>
          <w:sz w:val="24"/>
          <w:szCs w:val="24"/>
          <w:highlight w:val="none"/>
        </w:rPr>
        <w:t>16 ．</w:t>
      </w:r>
      <w:bookmarkEnd w:id="135"/>
      <w:r>
        <w:rPr>
          <w:rFonts w:hint="eastAsia" w:ascii="宋体" w:hAnsi="宋体" w:eastAsia="宋体" w:cs="宋体"/>
          <w:b/>
          <w:bCs/>
          <w:color w:val="auto"/>
          <w:spacing w:val="0"/>
          <w:sz w:val="24"/>
          <w:szCs w:val="24"/>
          <w:highlight w:val="none"/>
          <w:lang w:eastAsia="zh-CN"/>
        </w:rPr>
        <w:t>评标结果公示</w:t>
      </w:r>
      <w:bookmarkEnd w:id="136"/>
      <w:bookmarkEnd w:id="137"/>
    </w:p>
    <w:p w14:paraId="36E0651D">
      <w:pPr>
        <w:keepNext w:val="0"/>
        <w:keepLines w:val="0"/>
        <w:pageBreakBefore w:val="0"/>
        <w:wordWrap w:val="0"/>
        <w:overflowPunct/>
        <w:topLinePunct w:val="0"/>
        <w:bidi w:val="0"/>
        <w:spacing w:before="135" w:line="360"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16.1  </w:t>
      </w:r>
      <w:r>
        <w:rPr>
          <w:rFonts w:hint="eastAsia" w:ascii="宋体" w:hAnsi="宋体" w:eastAsia="宋体" w:cs="宋体"/>
          <w:color w:val="auto"/>
          <w:spacing w:val="0"/>
          <w:sz w:val="24"/>
          <w:szCs w:val="24"/>
          <w:highlight w:val="none"/>
        </w:rPr>
        <w:t>评标委员会按照投标人评审综合总得分由高到低的原则,向招标人推荐已明确的定标候选人数量（不标明排序）。评标委员会推荐定标候选人后，招标人应于评标会结束后3个</w:t>
      </w:r>
      <w:r>
        <w:rPr>
          <w:rFonts w:hint="eastAsia" w:ascii="宋体" w:hAnsi="宋体" w:eastAsia="宋体" w:cs="宋体"/>
          <w:color w:val="auto"/>
          <w:spacing w:val="0"/>
          <w:sz w:val="24"/>
          <w:szCs w:val="24"/>
          <w:highlight w:val="none"/>
          <w:lang w:val="en-US" w:eastAsia="zh-CN"/>
        </w:rPr>
        <w:t>日历天</w:t>
      </w:r>
      <w:r>
        <w:rPr>
          <w:rFonts w:hint="eastAsia" w:ascii="宋体" w:hAnsi="宋体" w:eastAsia="宋体" w:cs="宋体"/>
          <w:color w:val="auto"/>
          <w:spacing w:val="0"/>
          <w:sz w:val="24"/>
          <w:szCs w:val="24"/>
          <w:highlight w:val="none"/>
        </w:rPr>
        <w:t>内将定标候选人和评标情况在广东省招标投标监管网和全国公共资源交易平台（广东省·韶关市）上公示，公示时间不少于3个</w:t>
      </w:r>
      <w:r>
        <w:rPr>
          <w:rFonts w:hint="eastAsia" w:ascii="宋体" w:hAnsi="宋体" w:eastAsia="宋体" w:cs="宋体"/>
          <w:color w:val="auto"/>
          <w:spacing w:val="0"/>
          <w:sz w:val="24"/>
          <w:szCs w:val="24"/>
          <w:highlight w:val="none"/>
          <w:lang w:val="en-US" w:eastAsia="zh-CN"/>
        </w:rPr>
        <w:t>日历天</w:t>
      </w:r>
      <w:r>
        <w:rPr>
          <w:rFonts w:hint="eastAsia" w:ascii="宋体" w:hAnsi="宋体" w:eastAsia="宋体" w:cs="宋体"/>
          <w:color w:val="auto"/>
          <w:spacing w:val="0"/>
          <w:sz w:val="24"/>
          <w:szCs w:val="24"/>
          <w:highlight w:val="none"/>
        </w:rPr>
        <w:t>。公示主要内容包括：</w:t>
      </w:r>
    </w:p>
    <w:p w14:paraId="4A1D4141">
      <w:pPr>
        <w:keepNext w:val="0"/>
        <w:keepLines w:val="0"/>
        <w:pageBreakBefore w:val="0"/>
        <w:wordWrap w:val="0"/>
        <w:overflowPunct/>
        <w:topLinePunct w:val="0"/>
        <w:bidi w:val="0"/>
        <w:spacing w:before="135" w:line="360"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（1）定标候选人名称、投标报价、业绩奖项、质量、工期、拟派驻招标项目管理机构人员信息等；</w:t>
      </w:r>
    </w:p>
    <w:p w14:paraId="44CAB5F6">
      <w:pPr>
        <w:keepNext w:val="0"/>
        <w:keepLines w:val="0"/>
        <w:pageBreakBefore w:val="0"/>
        <w:wordWrap w:val="0"/>
        <w:overflowPunct/>
        <w:topLinePunct w:val="0"/>
        <w:bidi w:val="0"/>
        <w:spacing w:before="135" w:line="360" w:lineRule="auto"/>
        <w:ind w:left="479" w:leftChars="228" w:right="105" w:firstLine="0" w:firstLine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（2）定标候选人按照招标文件要求承诺的项目负责人姓名及相关证书名称和编号；（3）响应招标文件要求的资格能力条件；</w:t>
      </w:r>
    </w:p>
    <w:p w14:paraId="0308086C">
      <w:pPr>
        <w:keepNext w:val="0"/>
        <w:keepLines w:val="0"/>
        <w:pageBreakBefore w:val="0"/>
        <w:wordWrap w:val="0"/>
        <w:overflowPunct/>
        <w:topLinePunct w:val="0"/>
        <w:bidi w:val="0"/>
        <w:spacing w:before="135" w:line="360" w:lineRule="auto"/>
        <w:ind w:left="479" w:leftChars="228" w:right="105" w:firstLine="0" w:firstLine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（4）提出异议的渠道和方式；</w:t>
      </w:r>
    </w:p>
    <w:p w14:paraId="0F8E2045">
      <w:pPr>
        <w:keepNext w:val="0"/>
        <w:keepLines w:val="0"/>
        <w:pageBreakBefore w:val="0"/>
        <w:wordWrap w:val="0"/>
        <w:overflowPunct/>
        <w:topLinePunct w:val="0"/>
        <w:bidi w:val="0"/>
        <w:spacing w:before="135" w:line="360" w:lineRule="auto"/>
        <w:ind w:left="0" w:leftChars="0" w:right="105" w:firstLine="480" w:firstLineChars="2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（5）评标专家代码（评标专家姓名可用代码进行标示，如专家一、专家二等）及其对应的具体评标意见（含对否决投标人相关意见等）以及评标报告；</w:t>
      </w:r>
    </w:p>
    <w:p w14:paraId="6DCA342C">
      <w:pPr>
        <w:keepNext w:val="0"/>
        <w:keepLines w:val="0"/>
        <w:pageBreakBefore w:val="0"/>
        <w:wordWrap w:val="0"/>
        <w:overflowPunct/>
        <w:topLinePunct w:val="0"/>
        <w:bidi w:val="0"/>
        <w:spacing w:before="135" w:line="360" w:lineRule="auto"/>
        <w:ind w:left="479" w:leftChars="228" w:right="105" w:firstLine="0" w:firstLine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（6）投标文件；</w:t>
      </w:r>
    </w:p>
    <w:p w14:paraId="7A14EF34">
      <w:pPr>
        <w:keepNext w:val="0"/>
        <w:keepLines w:val="0"/>
        <w:pageBreakBefore w:val="0"/>
        <w:wordWrap w:val="0"/>
        <w:overflowPunct/>
        <w:topLinePunct w:val="0"/>
        <w:bidi w:val="0"/>
        <w:spacing w:before="135" w:line="360" w:lineRule="auto"/>
        <w:ind w:left="479" w:leftChars="228" w:right="105" w:firstLine="0" w:firstLineChars="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（7）招标文件确认公示的其他内容。</w:t>
      </w:r>
    </w:p>
    <w:p w14:paraId="266A4FA3">
      <w:pPr>
        <w:keepNext w:val="0"/>
        <w:keepLines w:val="0"/>
        <w:pageBreakBefore w:val="0"/>
        <w:wordWrap w:val="0"/>
        <w:overflowPunct/>
        <w:topLinePunct w:val="0"/>
        <w:bidi w:val="0"/>
        <w:spacing w:before="135" w:line="360" w:lineRule="auto"/>
        <w:ind w:left="2" w:right="105" w:firstLine="494"/>
        <w:jc w:val="both"/>
        <w:rPr>
          <w:rFonts w:hint="eastAsia" w:ascii="宋体" w:hAnsi="宋体" w:eastAsia="宋体" w:cs="宋体"/>
          <w:color w:val="auto"/>
          <w:spacing w:val="0"/>
          <w:sz w:val="24"/>
          <w:szCs w:val="24"/>
          <w:highlight w:val="none"/>
        </w:rPr>
      </w:pPr>
      <w:r>
        <w:rPr>
          <w:rFonts w:hint="eastAsia" w:ascii="宋体" w:hAnsi="宋体" w:eastAsia="宋体" w:cs="宋体"/>
          <w:b/>
          <w:bCs/>
          <w:snapToGrid w:val="0"/>
          <w:color w:val="auto"/>
          <w:spacing w:val="0"/>
          <w:sz w:val="24"/>
          <w:szCs w:val="24"/>
          <w:highlight w:val="none"/>
          <w:lang w:val="en-US" w:eastAsia="zh-CN" w:bidi="ar-SA"/>
        </w:rPr>
        <w:t>16.2</w:t>
      </w:r>
      <w:r>
        <w:rPr>
          <w:rFonts w:hint="eastAsia" w:ascii="宋体" w:hAnsi="宋体" w:eastAsia="宋体" w:cs="宋体"/>
          <w:snapToGrid w:val="0"/>
          <w:color w:val="auto"/>
          <w:spacing w:val="0"/>
          <w:sz w:val="24"/>
          <w:szCs w:val="24"/>
          <w:highlight w:val="none"/>
          <w:lang w:val="en-US" w:eastAsia="zh-CN" w:bidi="ar-SA"/>
        </w:rPr>
        <w:t xml:space="preserve"> 投标人或其他利害关系人对定标候选人有异议的，应当在公示期内提出。异议及投诉处理，严格按照招标投标有关法律法规及《韶关市工程建设项目招标投标活动异议和投诉处理办法》的规定执行。招标人及其评标委员会发现招标投标活动存在违反法律法规规定的，由招标人向有关监管部门投诉。</w:t>
      </w:r>
    </w:p>
    <w:p w14:paraId="0F1389C7">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41EC22B">
      <w:pPr>
        <w:pStyle w:val="26"/>
        <w:spacing w:line="360" w:lineRule="auto"/>
        <w:rPr>
          <w:rFonts w:hint="eastAsia" w:ascii="宋体" w:hAnsi="宋体" w:eastAsia="宋体" w:cs="宋体"/>
          <w:color w:val="auto"/>
          <w:sz w:val="24"/>
          <w:szCs w:val="24"/>
          <w:highlight w:val="none"/>
        </w:rPr>
        <w:sectPr>
          <w:headerReference r:id="rId11" w:type="default"/>
          <w:footerReference r:id="rId12" w:type="default"/>
          <w:pgSz w:w="11906" w:h="16839"/>
          <w:pgMar w:top="1440" w:right="1253" w:bottom="1440" w:left="1253" w:header="0" w:footer="1020" w:gutter="0"/>
          <w:pgBorders>
            <w:top w:val="none" w:sz="0" w:space="0"/>
            <w:left w:val="none" w:sz="0" w:space="0"/>
            <w:bottom w:val="none" w:sz="0" w:space="0"/>
            <w:right w:val="none" w:sz="0" w:space="0"/>
          </w:pgBorders>
          <w:pgNumType w:fmt="decimal"/>
          <w:cols w:space="720" w:num="1"/>
          <w:rtlGutter w:val="0"/>
          <w:docGrid w:linePitch="0" w:charSpace="0"/>
        </w:sectPr>
      </w:pPr>
    </w:p>
    <w:p w14:paraId="4598D3DD">
      <w:pPr>
        <w:keepNext w:val="0"/>
        <w:keepLines w:val="0"/>
        <w:pageBreakBefore w:val="0"/>
        <w:wordWrap w:val="0"/>
        <w:overflowPunct/>
        <w:topLinePunct w:val="0"/>
        <w:bidi w:val="0"/>
        <w:spacing w:before="78" w:line="360" w:lineRule="auto"/>
        <w:ind w:left="9"/>
        <w:jc w:val="center"/>
        <w:outlineLvl w:val="1"/>
        <w:rPr>
          <w:rFonts w:hint="eastAsia" w:ascii="宋体" w:hAnsi="宋体" w:eastAsia="宋体" w:cs="宋体"/>
          <w:color w:val="auto"/>
          <w:spacing w:val="0"/>
          <w:sz w:val="24"/>
          <w:szCs w:val="24"/>
          <w:highlight w:val="none"/>
        </w:rPr>
      </w:pPr>
      <w:bookmarkStart w:id="138" w:name="bookmark138"/>
      <w:bookmarkEnd w:id="138"/>
      <w:bookmarkStart w:id="139" w:name="_Toc20403"/>
      <w:r>
        <w:rPr>
          <w:rFonts w:hint="eastAsia" w:ascii="宋体" w:hAnsi="宋体" w:eastAsia="宋体" w:cs="宋体"/>
          <w:b/>
          <w:bCs/>
          <w:color w:val="auto"/>
          <w:spacing w:val="0"/>
          <w:sz w:val="24"/>
          <w:szCs w:val="24"/>
          <w:highlight w:val="none"/>
        </w:rPr>
        <w:t>第四节</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否决投标条件</w:t>
      </w:r>
      <w:bookmarkEnd w:id="139"/>
    </w:p>
    <w:p w14:paraId="46F7EEA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02D2B7C">
      <w:pPr>
        <w:keepNext w:val="0"/>
        <w:keepLines w:val="0"/>
        <w:pageBreakBefore w:val="0"/>
        <w:wordWrap w:val="0"/>
        <w:overflowPunct/>
        <w:topLinePunct w:val="0"/>
        <w:bidi w:val="0"/>
        <w:spacing w:before="78" w:line="360" w:lineRule="auto"/>
        <w:ind w:left="10" w:right="65"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本节所集中列示的否决投标条件，是本章第三节“投标人须知正文 ”的组成部分，是对本章第三节所规定的否决投标条件的总结和补充。</w:t>
      </w:r>
      <w:r>
        <w:rPr>
          <w:rFonts w:hint="eastAsia" w:ascii="宋体" w:hAnsi="宋体" w:eastAsia="宋体" w:cs="宋体"/>
          <w:b/>
          <w:bCs/>
          <w:color w:val="auto"/>
          <w:spacing w:val="0"/>
          <w:sz w:val="24"/>
          <w:szCs w:val="24"/>
          <w:highlight w:val="none"/>
        </w:rPr>
        <w:t>投标人未有列入本节情形的，评标时一律不得否决其投标。</w:t>
      </w:r>
      <w:r>
        <w:rPr>
          <w:rFonts w:hint="eastAsia" w:ascii="宋体" w:hAnsi="宋体" w:eastAsia="宋体" w:cs="宋体"/>
          <w:color w:val="auto"/>
          <w:spacing w:val="0"/>
          <w:sz w:val="24"/>
          <w:szCs w:val="24"/>
          <w:highlight w:val="none"/>
        </w:rPr>
        <w:t>本节所称“规定 ”均指招标文件的规定。</w:t>
      </w:r>
    </w:p>
    <w:p w14:paraId="112C2E94">
      <w:pPr>
        <w:keepNext w:val="0"/>
        <w:keepLines w:val="0"/>
        <w:pageBreakBefore w:val="0"/>
        <w:wordWrap w:val="0"/>
        <w:overflowPunct/>
        <w:topLinePunct w:val="0"/>
        <w:bidi w:val="0"/>
        <w:spacing w:before="34" w:line="360" w:lineRule="auto"/>
        <w:ind w:left="495"/>
        <w:outlineLvl w:val="2"/>
        <w:rPr>
          <w:rFonts w:hint="eastAsia" w:ascii="宋体" w:hAnsi="宋体" w:eastAsia="宋体" w:cs="宋体"/>
          <w:color w:val="auto"/>
          <w:spacing w:val="0"/>
          <w:sz w:val="24"/>
          <w:szCs w:val="24"/>
          <w:highlight w:val="none"/>
        </w:rPr>
      </w:pPr>
      <w:bookmarkStart w:id="140" w:name="_Toc23494"/>
      <w:r>
        <w:rPr>
          <w:rFonts w:hint="eastAsia" w:ascii="宋体" w:hAnsi="宋体" w:eastAsia="宋体" w:cs="宋体"/>
          <w:b/>
          <w:bCs/>
          <w:color w:val="auto"/>
          <w:spacing w:val="0"/>
          <w:sz w:val="24"/>
          <w:szCs w:val="24"/>
          <w:highlight w:val="none"/>
        </w:rPr>
        <w:t>1 ．资格评审环节</w:t>
      </w:r>
      <w:bookmarkEnd w:id="140"/>
    </w:p>
    <w:p w14:paraId="74FEF03C">
      <w:pPr>
        <w:keepNext w:val="0"/>
        <w:keepLines w:val="0"/>
        <w:pageBreakBefore w:val="0"/>
        <w:wordWrap w:val="0"/>
        <w:overflowPunct/>
        <w:topLinePunct w:val="0"/>
        <w:bidi w:val="0"/>
        <w:spacing w:before="152" w:line="360" w:lineRule="auto"/>
        <w:ind w:left="13" w:right="65"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投标人有下列情形之一的，评标委员会应否决其投标。被否决的投标人，不进入形式评审环节。</w:t>
      </w:r>
    </w:p>
    <w:p w14:paraId="45FE5554">
      <w:pPr>
        <w:keepNext w:val="0"/>
        <w:keepLines w:val="0"/>
        <w:pageBreakBefore w:val="0"/>
        <w:wordWrap w:val="0"/>
        <w:overflowPunct/>
        <w:topLinePunct w:val="0"/>
        <w:bidi w:val="0"/>
        <w:spacing w:before="32" w:line="36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（1）有本章第三节第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条“禁止投标条款 ”规定的任何一种情形；</w:t>
      </w:r>
    </w:p>
    <w:p w14:paraId="03414978">
      <w:pPr>
        <w:keepNext w:val="0"/>
        <w:keepLines w:val="0"/>
        <w:pageBreakBefore w:val="0"/>
        <w:wordWrap w:val="0"/>
        <w:overflowPunct/>
        <w:topLinePunct w:val="0"/>
        <w:bidi w:val="0"/>
        <w:spacing w:before="154" w:line="360" w:lineRule="auto"/>
        <w:ind w:left="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（2）投标人资质不符合规定的；</w:t>
      </w:r>
    </w:p>
    <w:p w14:paraId="32EED32B">
      <w:pPr>
        <w:keepNext w:val="0"/>
        <w:keepLines w:val="0"/>
        <w:pageBreakBefore w:val="0"/>
        <w:wordWrap w:val="0"/>
        <w:overflowPunct/>
        <w:topLinePunct w:val="0"/>
        <w:bidi w:val="0"/>
        <w:spacing w:before="153" w:line="360" w:lineRule="auto"/>
        <w:ind w:right="57" w:firstLine="5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0F2A74BC">
      <w:pPr>
        <w:keepNext w:val="0"/>
        <w:keepLines w:val="0"/>
        <w:pageBreakBefore w:val="0"/>
        <w:wordWrap w:val="0"/>
        <w:overflowPunct/>
        <w:topLinePunct w:val="0"/>
        <w:bidi w:val="0"/>
        <w:spacing w:before="153" w:line="360" w:lineRule="auto"/>
        <w:ind w:left="9" w:right="66"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43462506">
      <w:pPr>
        <w:keepNext w:val="0"/>
        <w:keepLines w:val="0"/>
        <w:pageBreakBefore w:val="0"/>
        <w:wordWrap w:val="0"/>
        <w:overflowPunct/>
        <w:topLinePunct w:val="0"/>
        <w:bidi w:val="0"/>
        <w:spacing w:before="32" w:line="360" w:lineRule="auto"/>
        <w:ind w:left="10" w:right="65" w:firstLine="49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（4）拟派项目经理、项目技术负责人、专职安全员的条件不符合规定的；拟派专职安全员数量不符合规定的；项目技术负责人未在投标文件《项目技术负责人简历表》中签</w:t>
      </w:r>
      <w:r>
        <w:rPr>
          <w:rFonts w:hint="eastAsia" w:ascii="宋体" w:hAnsi="宋体" w:eastAsia="宋体" w:cs="宋体"/>
          <w:color w:val="auto"/>
          <w:spacing w:val="0"/>
          <w:sz w:val="24"/>
          <w:szCs w:val="24"/>
          <w:highlight w:val="none"/>
          <w:lang w:eastAsia="zh-CN"/>
        </w:rPr>
        <w:t>字确认。</w:t>
      </w:r>
    </w:p>
    <w:p w14:paraId="1444556B">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温馨提示：建造师打印电子证书后，应在个人签名处手写本人签名，未手写签名或与签名图像笔迹不一致的，该电子证书无效。</w:t>
      </w:r>
    </w:p>
    <w:p w14:paraId="4C6FF416">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w:t>
      </w:r>
      <w:r>
        <w:rPr>
          <w:rFonts w:hint="eastAsia" w:ascii="宋体" w:hAnsi="宋体" w:eastAsia="宋体" w:cs="宋体"/>
          <w:b/>
          <w:bCs/>
          <w:color w:val="auto"/>
          <w:spacing w:val="0"/>
          <w:sz w:val="24"/>
          <w:szCs w:val="24"/>
          <w:highlight w:val="none"/>
        </w:rPr>
        <w:t>建造师注册证书不在使用有效期内的</w:t>
      </w:r>
      <w:r>
        <w:rPr>
          <w:rFonts w:hint="eastAsia" w:ascii="宋体" w:hAnsi="宋体" w:eastAsia="宋体" w:cs="宋体"/>
          <w:color w:val="auto"/>
          <w:spacing w:val="0"/>
          <w:sz w:val="24"/>
          <w:szCs w:val="24"/>
          <w:highlight w:val="none"/>
        </w:rPr>
        <w:t>）；擅自修改、遗漏《项目经理任职声明》实质性内容的；</w:t>
      </w:r>
    </w:p>
    <w:p w14:paraId="798C8207">
      <w:pPr>
        <w:keepNext w:val="0"/>
        <w:keepLines w:val="0"/>
        <w:pageBreakBefore w:val="0"/>
        <w:wordWrap w:val="0"/>
        <w:overflowPunct/>
        <w:topLinePunct w:val="0"/>
        <w:bidi w:val="0"/>
        <w:spacing w:before="1" w:line="360" w:lineRule="auto"/>
        <w:ind w:left="28" w:right="66" w:firstLine="462"/>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注：投标人已经工商变更，但其员工执业资格注册证书的注册单位名称未完成变更的，不得否决其投标。</w:t>
      </w:r>
    </w:p>
    <w:p w14:paraId="4F7B3592">
      <w:pPr>
        <w:keepNext w:val="0"/>
        <w:keepLines w:val="0"/>
        <w:pageBreakBefore w:val="0"/>
        <w:wordWrap w:val="0"/>
        <w:overflowPunct/>
        <w:topLinePunct w:val="0"/>
        <w:bidi w:val="0"/>
        <w:spacing w:before="153" w:line="360" w:lineRule="auto"/>
        <w:ind w:left="9" w:right="66" w:firstLine="480"/>
        <w:jc w:val="both"/>
        <w:rPr>
          <w:rFonts w:hint="eastAsia" w:ascii="宋体" w:hAnsi="宋体" w:eastAsia="宋体" w:cs="宋体"/>
          <w:b/>
          <w:bCs/>
          <w:color w:val="auto"/>
          <w:spacing w:val="0"/>
          <w:sz w:val="24"/>
          <w:szCs w:val="24"/>
          <w:highlight w:val="none"/>
        </w:rPr>
      </w:pPr>
      <w:bookmarkStart w:id="141" w:name="OLE_LINK27"/>
      <w:r>
        <w:rPr>
          <w:rFonts w:hint="eastAsia" w:ascii="宋体" w:hAnsi="宋体" w:eastAsia="宋体" w:cs="宋体"/>
          <w:b/>
          <w:bCs/>
          <w:color w:val="auto"/>
          <w:spacing w:val="0"/>
          <w:sz w:val="24"/>
          <w:szCs w:val="24"/>
          <w:highlight w:val="none"/>
        </w:rPr>
        <w:t>鉴于目前继续教育开展的实际情况，建筑和市政工程施工现场专业人员（例如：施</w:t>
      </w:r>
      <w:bookmarkStart w:id="142" w:name="bookmark139"/>
      <w:bookmarkEnd w:id="142"/>
      <w:r>
        <w:rPr>
          <w:rFonts w:hint="eastAsia" w:ascii="宋体" w:hAnsi="宋体" w:eastAsia="宋体" w:cs="宋体"/>
          <w:b/>
          <w:bCs/>
          <w:color w:val="auto"/>
          <w:spacing w:val="0"/>
          <w:sz w:val="24"/>
          <w:szCs w:val="24"/>
          <w:highlight w:val="none"/>
        </w:rPr>
        <w:t>工员、质量员、材料员、资料员）的岗位证书或培训证书不审查其证书的有效期。</w:t>
      </w:r>
      <w:bookmarkEnd w:id="141"/>
    </w:p>
    <w:p w14:paraId="0F791476">
      <w:pPr>
        <w:keepNext w:val="0"/>
        <w:keepLines w:val="0"/>
        <w:pageBreakBefore w:val="0"/>
        <w:wordWrap w:val="0"/>
        <w:overflowPunct/>
        <w:topLinePunct w:val="0"/>
        <w:bidi w:val="0"/>
        <w:spacing w:before="146" w:line="360" w:lineRule="auto"/>
        <w:ind w:left="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（6）招标文件规定不接受联合体投标，但以联合体投标的；</w:t>
      </w:r>
    </w:p>
    <w:p w14:paraId="1E3DF654">
      <w:pPr>
        <w:keepNext w:val="0"/>
        <w:keepLines w:val="0"/>
        <w:pageBreakBefore w:val="0"/>
        <w:wordWrap w:val="0"/>
        <w:overflowPunct/>
        <w:topLinePunct w:val="0"/>
        <w:bidi w:val="0"/>
        <w:spacing w:before="154" w:line="360" w:lineRule="auto"/>
        <w:ind w:left="477"/>
        <w:outlineLvl w:val="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（7）投标人为外省建筑企业，但未提供“进粤企业和人员诚信信息登记平台 ”企业和拟派人员信息情况打印页或网页截图的。</w:t>
      </w:r>
    </w:p>
    <w:p w14:paraId="4A7BFED6">
      <w:pPr>
        <w:keepNext w:val="0"/>
        <w:keepLines w:val="0"/>
        <w:pageBreakBefore w:val="0"/>
        <w:wordWrap w:val="0"/>
        <w:overflowPunct/>
        <w:topLinePunct w:val="0"/>
        <w:bidi w:val="0"/>
        <w:spacing w:before="154" w:line="360" w:lineRule="auto"/>
        <w:ind w:left="477"/>
        <w:outlineLvl w:val="2"/>
        <w:rPr>
          <w:rFonts w:hint="eastAsia" w:ascii="宋体" w:hAnsi="宋体" w:eastAsia="宋体" w:cs="宋体"/>
          <w:color w:val="auto"/>
          <w:spacing w:val="0"/>
          <w:sz w:val="24"/>
          <w:szCs w:val="24"/>
          <w:highlight w:val="none"/>
        </w:rPr>
      </w:pPr>
      <w:bookmarkStart w:id="143" w:name="_Toc4204"/>
      <w:r>
        <w:rPr>
          <w:rFonts w:hint="eastAsia" w:ascii="宋体" w:hAnsi="宋体" w:eastAsia="宋体" w:cs="宋体"/>
          <w:b/>
          <w:bCs/>
          <w:color w:val="auto"/>
          <w:spacing w:val="0"/>
          <w:sz w:val="24"/>
          <w:szCs w:val="24"/>
          <w:highlight w:val="none"/>
        </w:rPr>
        <w:t>2 ．形式评审环节</w:t>
      </w:r>
      <w:bookmarkEnd w:id="143"/>
    </w:p>
    <w:p w14:paraId="33654F10">
      <w:pPr>
        <w:keepNext w:val="0"/>
        <w:keepLines w:val="0"/>
        <w:pageBreakBefore w:val="0"/>
        <w:wordWrap w:val="0"/>
        <w:overflowPunct/>
        <w:topLinePunct w:val="0"/>
        <w:bidi w:val="0"/>
        <w:spacing w:before="151" w:line="360" w:lineRule="auto"/>
        <w:ind w:right="200" w:firstLine="48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投标人有下列情形之一的，评标委员会应否决其投标。被否决的投标人，不进入响应性评审环节。</w:t>
      </w:r>
    </w:p>
    <w:p w14:paraId="4BAC9BEA">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（1）各分册没按招标文件规定加盖电子印章；</w:t>
      </w:r>
    </w:p>
    <w:p w14:paraId="6E2B21D1">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（2）本章第三节第 </w:t>
      </w:r>
      <w:r>
        <w:rPr>
          <w:rFonts w:hint="eastAsia" w:ascii="宋体" w:hAnsi="宋体" w:eastAsia="宋体" w:cs="宋体"/>
          <w:b/>
          <w:bCs/>
          <w:color w:val="auto"/>
          <w:spacing w:val="0"/>
          <w:sz w:val="24"/>
          <w:szCs w:val="24"/>
          <w:highlight w:val="none"/>
        </w:rPr>
        <w:t>10.2.2</w:t>
      </w:r>
      <w:r>
        <w:rPr>
          <w:rFonts w:hint="eastAsia" w:ascii="宋体" w:hAnsi="宋体" w:eastAsia="宋体" w:cs="宋体"/>
          <w:color w:val="auto"/>
          <w:spacing w:val="0"/>
          <w:sz w:val="24"/>
          <w:szCs w:val="24"/>
          <w:highlight w:val="none"/>
        </w:rPr>
        <w:t xml:space="preserve">目、第 </w:t>
      </w:r>
      <w:r>
        <w:rPr>
          <w:rFonts w:hint="eastAsia" w:ascii="宋体" w:hAnsi="宋体" w:eastAsia="宋体" w:cs="宋体"/>
          <w:b/>
          <w:bCs/>
          <w:color w:val="auto"/>
          <w:spacing w:val="0"/>
          <w:sz w:val="24"/>
          <w:szCs w:val="24"/>
          <w:highlight w:val="none"/>
        </w:rPr>
        <w:t>10.3.2</w:t>
      </w:r>
      <w:r>
        <w:rPr>
          <w:rFonts w:hint="eastAsia" w:ascii="宋体" w:hAnsi="宋体" w:eastAsia="宋体" w:cs="宋体"/>
          <w:color w:val="auto"/>
          <w:spacing w:val="0"/>
          <w:sz w:val="24"/>
          <w:szCs w:val="24"/>
          <w:highlight w:val="none"/>
        </w:rPr>
        <w:t xml:space="preserve">目、第 </w:t>
      </w:r>
      <w:r>
        <w:rPr>
          <w:rFonts w:hint="eastAsia" w:ascii="宋体" w:hAnsi="宋体" w:eastAsia="宋体" w:cs="宋体"/>
          <w:b/>
          <w:bCs/>
          <w:color w:val="auto"/>
          <w:spacing w:val="0"/>
          <w:sz w:val="24"/>
          <w:szCs w:val="24"/>
          <w:highlight w:val="none"/>
        </w:rPr>
        <w:t>10.4.3</w:t>
      </w:r>
      <w:r>
        <w:rPr>
          <w:rFonts w:hint="eastAsia" w:ascii="宋体" w:hAnsi="宋体" w:eastAsia="宋体" w:cs="宋体"/>
          <w:color w:val="auto"/>
          <w:spacing w:val="0"/>
          <w:sz w:val="24"/>
          <w:szCs w:val="24"/>
          <w:highlight w:val="none"/>
        </w:rPr>
        <w:t>目中规定的“所有投标人均应提供 ”的组成内容（包括该组成内容的所附资料）中，任何一项有缺漏的；</w:t>
      </w:r>
    </w:p>
    <w:p w14:paraId="36D3CEC6">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关键字迹模糊、无法辨认，且该种过错将导致评标委员会无法判断投标文件是否响应招标文件实质性要求的；有涂改、行间插字或删除，但未加盖单位章或由投标人的法定代表人或其委托代理人签字确认的；</w:t>
      </w:r>
    </w:p>
    <w:p w14:paraId="5FFF89B9">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（4）投标文件未按规定签字、盖章的。</w:t>
      </w:r>
    </w:p>
    <w:p w14:paraId="1C64F3A3">
      <w:pPr>
        <w:keepNext w:val="0"/>
        <w:keepLines w:val="0"/>
        <w:pageBreakBefore w:val="0"/>
        <w:wordWrap w:val="0"/>
        <w:overflowPunct/>
        <w:topLinePunct w:val="0"/>
        <w:bidi w:val="0"/>
        <w:spacing w:before="227" w:line="360" w:lineRule="auto"/>
        <w:ind w:left="475"/>
        <w:outlineLvl w:val="2"/>
        <w:rPr>
          <w:rFonts w:hint="eastAsia" w:ascii="宋体" w:hAnsi="宋体" w:eastAsia="宋体" w:cs="宋体"/>
          <w:color w:val="auto"/>
          <w:spacing w:val="0"/>
          <w:sz w:val="24"/>
          <w:szCs w:val="24"/>
          <w:highlight w:val="none"/>
        </w:rPr>
      </w:pPr>
      <w:bookmarkStart w:id="144" w:name="_Toc31944"/>
      <w:r>
        <w:rPr>
          <w:rFonts w:hint="eastAsia" w:ascii="宋体" w:hAnsi="宋体" w:eastAsia="宋体" w:cs="宋体"/>
          <w:b/>
          <w:bCs/>
          <w:color w:val="auto"/>
          <w:spacing w:val="0"/>
          <w:sz w:val="24"/>
          <w:szCs w:val="24"/>
          <w:highlight w:val="none"/>
        </w:rPr>
        <w:t>3 ．响应性评审环节</w:t>
      </w:r>
      <w:bookmarkEnd w:id="144"/>
    </w:p>
    <w:p w14:paraId="023371C4">
      <w:pPr>
        <w:keepNext w:val="0"/>
        <w:keepLines w:val="0"/>
        <w:pageBreakBefore w:val="0"/>
        <w:wordWrap w:val="0"/>
        <w:overflowPunct/>
        <w:topLinePunct w:val="0"/>
        <w:bidi w:val="0"/>
        <w:spacing w:before="151" w:line="360" w:lineRule="auto"/>
        <w:ind w:left="1" w:right="200"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投标人有下列情形之一的，评标委员会应否决其投标。被否决的投标人，不进入详细评审阶段。</w:t>
      </w:r>
    </w:p>
    <w:p w14:paraId="039432FC">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（1）承诺的投标有效期短于规定的；质量标准低于规定的；工期超出规定的；擅自修改、遗漏《投标函》《各项承诺一览表》实质性内容的；</w:t>
      </w:r>
    </w:p>
    <w:p w14:paraId="3A9ED79E">
      <w:pPr>
        <w:keepNext w:val="0"/>
        <w:keepLines w:val="0"/>
        <w:pageBreakBefore w:val="0"/>
        <w:wordWrap w:val="0"/>
        <w:overflowPunct/>
        <w:topLinePunct w:val="0"/>
        <w:bidi w:val="0"/>
        <w:spacing w:before="34" w:line="360" w:lineRule="auto"/>
        <w:ind w:left="8" w:right="65" w:firstLine="49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（2）编制《投标总价》的造价工程师，其注册证书不是</w:t>
      </w:r>
      <w:r>
        <w:rPr>
          <w:rFonts w:hint="eastAsia" w:ascii="宋体" w:hAnsi="宋体" w:eastAsia="宋体" w:cs="宋体"/>
          <w:b/>
          <w:bCs/>
          <w:color w:val="auto"/>
          <w:spacing w:val="0"/>
          <w:sz w:val="24"/>
          <w:szCs w:val="24"/>
          <w:highlight w:val="none"/>
        </w:rPr>
        <w:t>住建部门</w:t>
      </w:r>
      <w:r>
        <w:rPr>
          <w:rFonts w:hint="eastAsia" w:ascii="宋体" w:hAnsi="宋体" w:eastAsia="宋体" w:cs="宋体"/>
          <w:color w:val="auto"/>
          <w:spacing w:val="0"/>
          <w:sz w:val="24"/>
          <w:szCs w:val="24"/>
          <w:highlight w:val="none"/>
        </w:rPr>
        <w:t>颁发的；其注册单位与投标人（或造价咨询人）不一致的；其注册证书不在有效期内的。</w:t>
      </w:r>
    </w:p>
    <w:p w14:paraId="7EBE7469">
      <w:pPr>
        <w:keepNext w:val="0"/>
        <w:keepLines w:val="0"/>
        <w:pageBreakBefore w:val="0"/>
        <w:wordWrap w:val="0"/>
        <w:overflowPunct/>
        <w:topLinePunct w:val="0"/>
        <w:bidi w:val="0"/>
        <w:spacing w:before="156" w:line="360" w:lineRule="auto"/>
        <w:ind w:right="200" w:firstLine="480"/>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注：投标人（或造价咨询人）已经工商变更，但其员工的执业资格注册证书的注册单位名称未完成变更的，不得否决其投标。</w:t>
      </w:r>
    </w:p>
    <w:p w14:paraId="70E2ADFC">
      <w:pPr>
        <w:keepNext w:val="0"/>
        <w:keepLines w:val="0"/>
        <w:pageBreakBefore w:val="0"/>
        <w:wordWrap w:val="0"/>
        <w:overflowPunct/>
        <w:topLinePunct w:val="0"/>
        <w:bidi w:val="0"/>
        <w:spacing w:before="78" w:line="360" w:lineRule="auto"/>
        <w:ind w:left="2" w:right="81"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（3）投标人委托造价咨询单位编制《投标总价》，但未在《投标总价扉页》“投标人”栏目加盖造价咨询人公章的；未提供造价咨询人的营业执照副本彩色扫描件；</w:t>
      </w:r>
    </w:p>
    <w:p w14:paraId="05BC2C53">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（4）出现两个或两个以上投标总价的（同一个投标总价大、小写不一致的除外）；投标总价超出</w:t>
      </w:r>
      <w:r>
        <w:rPr>
          <w:rFonts w:hint="eastAsia" w:ascii="宋体" w:hAnsi="宋体" w:eastAsia="宋体" w:cs="宋体"/>
          <w:b/>
          <w:bCs/>
          <w:color w:val="auto"/>
          <w:spacing w:val="0"/>
          <w:sz w:val="24"/>
          <w:szCs w:val="24"/>
          <w:highlight w:val="none"/>
          <w:lang w:val="en-US" w:eastAsia="zh-CN"/>
        </w:rPr>
        <w:t>最高投标限价</w:t>
      </w:r>
      <w:r>
        <w:rPr>
          <w:rFonts w:hint="eastAsia" w:ascii="宋体" w:hAnsi="宋体" w:eastAsia="宋体" w:cs="宋体"/>
          <w:color w:val="auto"/>
          <w:spacing w:val="0"/>
          <w:sz w:val="24"/>
          <w:szCs w:val="24"/>
          <w:highlight w:val="none"/>
        </w:rPr>
        <w:t>的；</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少于规定的；暂列金额、</w:t>
      </w:r>
      <w:r>
        <w:rPr>
          <w:rFonts w:hint="eastAsia" w:ascii="宋体" w:hAnsi="宋体" w:eastAsia="宋体" w:cs="宋体"/>
          <w:color w:val="auto"/>
          <w:spacing w:val="0"/>
          <w:sz w:val="24"/>
          <w:szCs w:val="24"/>
          <w:highlight w:val="none"/>
          <w:lang w:val="en-US" w:eastAsia="zh-CN"/>
        </w:rPr>
        <w:t>专业工程</w:t>
      </w:r>
      <w:r>
        <w:rPr>
          <w:rFonts w:hint="eastAsia" w:ascii="宋体" w:hAnsi="宋体" w:eastAsia="宋体" w:cs="宋体"/>
          <w:color w:val="auto"/>
          <w:spacing w:val="0"/>
          <w:sz w:val="24"/>
          <w:szCs w:val="24"/>
          <w:highlight w:val="none"/>
        </w:rPr>
        <w:t>暂估价未按照招标工程量清单统一报价的；投标总价下浮率超过 15%，又未提供相应书面说明和佐证材料或提供的书面说明和佐证材料不能令人信服，被评标委员会认定以低于成本报价竞标的；擅自修改、增减招标工程量清单项目（包括措施项目）的；</w:t>
      </w:r>
    </w:p>
    <w:p w14:paraId="62906720">
      <w:pPr>
        <w:keepNext w:val="0"/>
        <w:keepLines w:val="0"/>
        <w:pageBreakBefore w:val="0"/>
        <w:wordWrap w:val="0"/>
        <w:overflowPunct/>
        <w:topLinePunct w:val="0"/>
        <w:bidi w:val="0"/>
        <w:spacing w:before="156" w:line="360" w:lineRule="auto"/>
        <w:ind w:right="8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（5）在施工组织设计评审中，评标委员会认定质量、进度保障措施与国家和省市现行有关规范、规定、标准有重大偏差，</w:t>
      </w:r>
      <w:r>
        <w:rPr>
          <w:rFonts w:hint="eastAsia" w:ascii="宋体" w:hAnsi="宋体" w:eastAsia="宋体" w:cs="宋体"/>
          <w:b/>
          <w:bCs/>
          <w:color w:val="auto"/>
          <w:spacing w:val="0"/>
          <w:sz w:val="24"/>
          <w:szCs w:val="24"/>
          <w:highlight w:val="none"/>
        </w:rPr>
        <w:t>且该种过错将导致工程质量、进度管理目标无法实现的</w:t>
      </w:r>
      <w:r>
        <w:rPr>
          <w:rFonts w:hint="eastAsia" w:ascii="宋体" w:hAnsi="宋体" w:eastAsia="宋体" w:cs="宋体"/>
          <w:color w:val="auto"/>
          <w:spacing w:val="0"/>
          <w:sz w:val="24"/>
          <w:szCs w:val="24"/>
          <w:highlight w:val="none"/>
        </w:rPr>
        <w:t>。</w:t>
      </w:r>
    </w:p>
    <w:p w14:paraId="0DBFDD7A">
      <w:pPr>
        <w:keepNext w:val="0"/>
        <w:keepLines w:val="0"/>
        <w:pageBreakBefore w:val="0"/>
        <w:wordWrap w:val="0"/>
        <w:overflowPunct/>
        <w:topLinePunct w:val="0"/>
        <w:bidi w:val="0"/>
        <w:spacing w:before="151" w:line="360" w:lineRule="auto"/>
        <w:ind w:left="476"/>
        <w:outlineLvl w:val="2"/>
        <w:rPr>
          <w:rFonts w:hint="eastAsia" w:ascii="宋体" w:hAnsi="宋体" w:eastAsia="宋体" w:cs="宋体"/>
          <w:color w:val="auto"/>
          <w:spacing w:val="0"/>
          <w:sz w:val="24"/>
          <w:szCs w:val="24"/>
          <w:highlight w:val="none"/>
        </w:rPr>
      </w:pPr>
      <w:bookmarkStart w:id="145" w:name="_Toc6649"/>
      <w:r>
        <w:rPr>
          <w:rFonts w:hint="eastAsia" w:ascii="宋体" w:hAnsi="宋体" w:eastAsia="宋体" w:cs="宋体"/>
          <w:b/>
          <w:bCs/>
          <w:color w:val="auto"/>
          <w:spacing w:val="0"/>
          <w:sz w:val="24"/>
          <w:szCs w:val="24"/>
          <w:highlight w:val="none"/>
        </w:rPr>
        <w:t>4 ．其他</w:t>
      </w:r>
      <w:bookmarkEnd w:id="145"/>
    </w:p>
    <w:p w14:paraId="1DB8C9BB">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在任何评标环节（或阶段），投标人有下列情形之一的，评标委员会应否决其投标。 被否决的投标人，不进入下一环节（或阶段）。</w:t>
      </w:r>
    </w:p>
    <w:p w14:paraId="0CA58726">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（1）不按评标委员会要求澄清、说明或补正的；</w:t>
      </w:r>
    </w:p>
    <w:p w14:paraId="0D1C3C0F">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（2）有下列情形之一，被评标委员会认定属于串通投标的：</w:t>
      </w:r>
    </w:p>
    <w:p w14:paraId="66C929C2">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①不同投标人的投标文件两处以上（含两处）错、漏一致；</w:t>
      </w:r>
    </w:p>
    <w:p w14:paraId="6D5FB77A">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②不同投标人的投标总价相近且各分项报价、综合单价分析表内容混乱不能相互对应、乱调乱压或乱抬的，而在询标时没有合理的解释或者不能提供计算依据和报价依据；</w:t>
      </w:r>
    </w:p>
    <w:p w14:paraId="22325080">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③不同投标人的投标各项报价存在异常一致或者呈规律性变化；</w:t>
      </w:r>
    </w:p>
    <w:p w14:paraId="36C4CB17">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④不同投标人的投标文件由同一单位或者同一个人编制；</w:t>
      </w:r>
    </w:p>
    <w:p w14:paraId="1A519F59">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⑤不同投标人的投标文件中投标资料（包括电子资料）相互混装或项目班子成员出现同一人；</w:t>
      </w:r>
    </w:p>
    <w:p w14:paraId="2D971149">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⑥不同投标人的投标文件由同一电脑编制或同一台附属设备打印，或投标报价用同一个预算编制软件密码锁制作或出自同一电子文档；</w:t>
      </w:r>
    </w:p>
    <w:p w14:paraId="3D4E49BC">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⑦不同投标人的投标保证由同一企业或同一账户资金缴纳；</w:t>
      </w:r>
    </w:p>
    <w:p w14:paraId="16BEF131">
      <w:pPr>
        <w:keepNext w:val="0"/>
        <w:keepLines w:val="0"/>
        <w:pageBreakBefore w:val="0"/>
        <w:wordWrap w:val="0"/>
        <w:overflowPunct/>
        <w:topLinePunct w:val="0"/>
        <w:bidi w:val="0"/>
        <w:spacing w:before="151" w:line="360" w:lineRule="auto"/>
        <w:ind w:right="21" w:firstLine="49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⑧不同投标人委托同一个人或注册在同一家企业的注册人员或同一家企业为其投标提供投标咨询、商务报价、技术咨询（招标项目本身要求采用专有技术的除外）等服务。</w:t>
      </w:r>
    </w:p>
    <w:p w14:paraId="72728FDA">
      <w:pPr>
        <w:pStyle w:val="2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51E5D4B">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1CBB9E2">
      <w:pPr>
        <w:tabs>
          <w:tab w:val="left" w:pos="885"/>
        </w:tabs>
        <w:kinsoku/>
        <w:autoSpaceDE/>
        <w:autoSpaceDN/>
        <w:adjustRightInd/>
        <w:snapToGrid w:val="0"/>
        <w:spacing w:line="360" w:lineRule="auto"/>
        <w:jc w:val="both"/>
        <w:outlineLvl w:val="1"/>
        <w:rPr>
          <w:rStyle w:val="28"/>
          <w:rFonts w:hint="eastAsia" w:ascii="宋体" w:hAnsi="宋体" w:eastAsia="宋体" w:cs="宋体"/>
          <w:b/>
          <w:bCs/>
          <w:snapToGrid/>
          <w:color w:val="auto"/>
          <w:kern w:val="2"/>
          <w:sz w:val="24"/>
          <w:szCs w:val="24"/>
          <w:highlight w:val="none"/>
          <w:lang w:val="en-US" w:eastAsia="zh-CN"/>
        </w:rPr>
      </w:pPr>
      <w:bookmarkStart w:id="146" w:name="bookmark57"/>
      <w:bookmarkEnd w:id="146"/>
      <w:bookmarkStart w:id="147" w:name="_Toc22536"/>
      <w:bookmarkStart w:id="148" w:name="_Toc28716"/>
      <w:r>
        <w:rPr>
          <w:rStyle w:val="28"/>
          <w:rFonts w:hint="eastAsia" w:ascii="宋体" w:hAnsi="宋体" w:eastAsia="宋体" w:cs="宋体"/>
          <w:b/>
          <w:bCs/>
          <w:snapToGrid/>
          <w:color w:val="auto"/>
          <w:kern w:val="2"/>
          <w:sz w:val="24"/>
          <w:szCs w:val="24"/>
          <w:highlight w:val="none"/>
          <w:lang w:eastAsia="zh-CN"/>
        </w:rPr>
        <w:t>第</w:t>
      </w:r>
      <w:r>
        <w:rPr>
          <w:rStyle w:val="28"/>
          <w:rFonts w:hint="eastAsia" w:ascii="宋体" w:hAnsi="宋体" w:eastAsia="宋体" w:cs="宋体"/>
          <w:b/>
          <w:bCs/>
          <w:snapToGrid/>
          <w:color w:val="auto"/>
          <w:kern w:val="2"/>
          <w:sz w:val="24"/>
          <w:szCs w:val="24"/>
          <w:highlight w:val="none"/>
          <w:lang w:val="en-US" w:eastAsia="zh-CN"/>
        </w:rPr>
        <w:t>五</w:t>
      </w:r>
      <w:r>
        <w:rPr>
          <w:rStyle w:val="28"/>
          <w:rFonts w:hint="eastAsia" w:ascii="宋体" w:hAnsi="宋体" w:eastAsia="宋体" w:cs="宋体"/>
          <w:b/>
          <w:bCs/>
          <w:snapToGrid/>
          <w:color w:val="auto"/>
          <w:kern w:val="2"/>
          <w:sz w:val="24"/>
          <w:szCs w:val="24"/>
          <w:highlight w:val="none"/>
          <w:lang w:eastAsia="zh-CN"/>
        </w:rPr>
        <w:t>节 定标规定</w:t>
      </w:r>
      <w:r>
        <w:rPr>
          <w:rStyle w:val="28"/>
          <w:rFonts w:hint="eastAsia" w:ascii="宋体" w:hAnsi="宋体" w:eastAsia="宋体" w:cs="宋体"/>
          <w:b/>
          <w:bCs/>
          <w:snapToGrid/>
          <w:color w:val="auto"/>
          <w:kern w:val="2"/>
          <w:sz w:val="24"/>
          <w:szCs w:val="24"/>
          <w:highlight w:val="none"/>
          <w:lang w:val="en-US" w:eastAsia="zh-CN"/>
        </w:rPr>
        <w:t>及细则（本项目采用票决数量法定标）</w:t>
      </w:r>
      <w:bookmarkEnd w:id="147"/>
      <w:bookmarkEnd w:id="148"/>
    </w:p>
    <w:p w14:paraId="5B875869">
      <w:pPr>
        <w:kinsoku/>
        <w:autoSpaceDE/>
        <w:autoSpaceDN/>
        <w:adjustRightInd/>
        <w:snapToGrid/>
        <w:spacing w:line="360" w:lineRule="auto"/>
        <w:ind w:firstLine="482" w:firstLineChars="200"/>
        <w:jc w:val="both"/>
        <w:rPr>
          <w:rStyle w:val="28"/>
          <w:rFonts w:hint="eastAsia" w:ascii="宋体" w:hAnsi="宋体" w:eastAsia="宋体" w:cs="宋体"/>
          <w:b/>
          <w:bCs/>
          <w:snapToGrid/>
          <w:color w:val="auto"/>
          <w:kern w:val="0"/>
          <w:sz w:val="24"/>
          <w:szCs w:val="24"/>
          <w:highlight w:val="none"/>
          <w:lang w:eastAsia="zh-CN"/>
        </w:rPr>
      </w:pPr>
      <w:r>
        <w:rPr>
          <w:rStyle w:val="28"/>
          <w:rFonts w:hint="eastAsia" w:ascii="宋体" w:hAnsi="宋体" w:eastAsia="宋体" w:cs="宋体"/>
          <w:b/>
          <w:bCs/>
          <w:snapToGrid/>
          <w:color w:val="auto"/>
          <w:kern w:val="0"/>
          <w:sz w:val="24"/>
          <w:szCs w:val="24"/>
          <w:highlight w:val="none"/>
          <w:lang w:val="en-US" w:eastAsia="zh-CN"/>
        </w:rPr>
        <w:t>1.</w:t>
      </w:r>
      <w:r>
        <w:rPr>
          <w:rStyle w:val="28"/>
          <w:rFonts w:hint="eastAsia" w:ascii="宋体" w:hAnsi="宋体" w:eastAsia="宋体" w:cs="宋体"/>
          <w:b/>
          <w:bCs/>
          <w:snapToGrid/>
          <w:color w:val="auto"/>
          <w:kern w:val="0"/>
          <w:sz w:val="24"/>
          <w:szCs w:val="24"/>
          <w:highlight w:val="none"/>
          <w:lang w:eastAsia="zh-CN"/>
        </w:rPr>
        <w:t>确定定标时间</w:t>
      </w:r>
    </w:p>
    <w:p w14:paraId="49CC2337">
      <w:pPr>
        <w:kinsoku/>
        <w:autoSpaceDE/>
        <w:autoSpaceDN/>
        <w:adjustRightInd/>
        <w:snapToGrid/>
        <w:spacing w:line="360" w:lineRule="auto"/>
        <w:ind w:firstLine="480" w:firstLineChars="200"/>
        <w:jc w:val="both"/>
        <w:rPr>
          <w:rStyle w:val="28"/>
          <w:rFonts w:hint="eastAsia" w:ascii="宋体" w:hAnsi="宋体" w:eastAsia="宋体" w:cs="宋体"/>
          <w:snapToGrid/>
          <w:color w:val="auto"/>
          <w:kern w:val="0"/>
          <w:sz w:val="24"/>
          <w:szCs w:val="24"/>
          <w:highlight w:val="none"/>
          <w:lang w:eastAsia="zh-CN"/>
        </w:rPr>
      </w:pPr>
      <w:r>
        <w:rPr>
          <w:rStyle w:val="28"/>
          <w:rFonts w:hint="eastAsia" w:ascii="宋体" w:hAnsi="宋体" w:eastAsia="宋体" w:cs="宋体"/>
          <w:snapToGrid/>
          <w:color w:val="auto"/>
          <w:kern w:val="0"/>
          <w:sz w:val="24"/>
          <w:szCs w:val="24"/>
          <w:highlight w:val="none"/>
          <w:lang w:eastAsia="zh-CN"/>
        </w:rPr>
        <w:t>招标人应自</w:t>
      </w:r>
      <w:r>
        <w:rPr>
          <w:rStyle w:val="28"/>
          <w:rFonts w:hint="eastAsia" w:ascii="宋体" w:hAnsi="宋体" w:eastAsia="宋体" w:cs="宋体"/>
          <w:snapToGrid/>
          <w:color w:val="auto"/>
          <w:kern w:val="0"/>
          <w:sz w:val="24"/>
          <w:szCs w:val="24"/>
          <w:highlight w:val="none"/>
          <w:lang w:val="en-US" w:eastAsia="zh-CN"/>
        </w:rPr>
        <w:t>定标候选人</w:t>
      </w:r>
      <w:r>
        <w:rPr>
          <w:rStyle w:val="28"/>
          <w:rFonts w:hint="eastAsia" w:ascii="宋体" w:hAnsi="宋体" w:eastAsia="宋体" w:cs="宋体"/>
          <w:snapToGrid/>
          <w:color w:val="auto"/>
          <w:kern w:val="0"/>
          <w:sz w:val="24"/>
          <w:szCs w:val="24"/>
          <w:highlight w:val="none"/>
          <w:lang w:eastAsia="zh-CN"/>
        </w:rPr>
        <w:t>公示期满后</w:t>
      </w:r>
      <w:r>
        <w:rPr>
          <w:rStyle w:val="28"/>
          <w:rFonts w:hint="eastAsia" w:ascii="宋体" w:hAnsi="宋体" w:eastAsia="宋体" w:cs="宋体"/>
          <w:snapToGrid/>
          <w:color w:val="auto"/>
          <w:kern w:val="0"/>
          <w:sz w:val="24"/>
          <w:szCs w:val="24"/>
          <w:highlight w:val="none"/>
          <w:lang w:val="en-US" w:eastAsia="zh-CN"/>
        </w:rPr>
        <w:t>5</w:t>
      </w:r>
      <w:r>
        <w:rPr>
          <w:rStyle w:val="28"/>
          <w:rFonts w:hint="eastAsia" w:ascii="宋体" w:hAnsi="宋体" w:eastAsia="宋体" w:cs="宋体"/>
          <w:snapToGrid/>
          <w:color w:val="auto"/>
          <w:kern w:val="0"/>
          <w:sz w:val="24"/>
          <w:szCs w:val="24"/>
          <w:highlight w:val="none"/>
          <w:lang w:eastAsia="zh-CN"/>
        </w:rPr>
        <w:t>个工作日内进入</w:t>
      </w:r>
      <w:r>
        <w:rPr>
          <w:rStyle w:val="28"/>
          <w:rFonts w:hint="eastAsia" w:ascii="宋体" w:hAnsi="宋体" w:eastAsia="宋体" w:cs="宋体"/>
          <w:snapToGrid/>
          <w:color w:val="auto"/>
          <w:kern w:val="0"/>
          <w:sz w:val="24"/>
          <w:szCs w:val="24"/>
          <w:highlight w:val="none"/>
          <w:lang w:val="en-US" w:eastAsia="zh-CN"/>
        </w:rPr>
        <w:t>韶关市</w:t>
      </w:r>
      <w:r>
        <w:rPr>
          <w:rStyle w:val="28"/>
          <w:rFonts w:hint="eastAsia" w:ascii="宋体" w:hAnsi="宋体" w:eastAsia="宋体" w:cs="宋体"/>
          <w:snapToGrid/>
          <w:color w:val="auto"/>
          <w:kern w:val="0"/>
          <w:sz w:val="24"/>
          <w:szCs w:val="24"/>
          <w:highlight w:val="none"/>
          <w:lang w:eastAsia="zh-CN"/>
        </w:rPr>
        <w:t>公共资源交易</w:t>
      </w:r>
      <w:r>
        <w:rPr>
          <w:rStyle w:val="28"/>
          <w:rFonts w:hint="eastAsia" w:ascii="宋体" w:hAnsi="宋体" w:eastAsia="宋体" w:cs="宋体"/>
          <w:snapToGrid/>
          <w:color w:val="auto"/>
          <w:kern w:val="0"/>
          <w:sz w:val="24"/>
          <w:szCs w:val="24"/>
          <w:highlight w:val="none"/>
          <w:lang w:val="en-US" w:eastAsia="zh-CN"/>
        </w:rPr>
        <w:t>中心</w:t>
      </w:r>
      <w:r>
        <w:rPr>
          <w:rStyle w:val="28"/>
          <w:rFonts w:hint="eastAsia" w:ascii="宋体" w:hAnsi="宋体" w:eastAsia="宋体" w:cs="宋体"/>
          <w:snapToGrid/>
          <w:color w:val="auto"/>
          <w:kern w:val="0"/>
          <w:sz w:val="24"/>
          <w:szCs w:val="24"/>
          <w:highlight w:val="none"/>
          <w:lang w:eastAsia="zh-CN"/>
        </w:rPr>
        <w:t>进行定标。定标会议全过程录音录像。招标人需要延期定标的，应通过</w:t>
      </w:r>
      <w:r>
        <w:rPr>
          <w:rStyle w:val="28"/>
          <w:rFonts w:hint="eastAsia" w:ascii="宋体" w:hAnsi="宋体" w:eastAsia="宋体" w:cs="宋体"/>
          <w:snapToGrid/>
          <w:color w:val="auto"/>
          <w:kern w:val="0"/>
          <w:sz w:val="24"/>
          <w:szCs w:val="24"/>
          <w:highlight w:val="none"/>
          <w:lang w:val="en-US" w:eastAsia="zh-CN"/>
        </w:rPr>
        <w:t>广东省招标投标监管网和全国公共资源交易平台（广东省·韶关市）</w:t>
      </w:r>
      <w:r>
        <w:rPr>
          <w:rStyle w:val="28"/>
          <w:rFonts w:hint="eastAsia" w:ascii="宋体" w:hAnsi="宋体" w:eastAsia="宋体" w:cs="宋体"/>
          <w:snapToGrid/>
          <w:color w:val="auto"/>
          <w:kern w:val="0"/>
          <w:sz w:val="24"/>
          <w:szCs w:val="24"/>
          <w:highlight w:val="none"/>
          <w:lang w:eastAsia="zh-CN"/>
        </w:rPr>
        <w:t>公布延期原因和定标时间。</w:t>
      </w:r>
    </w:p>
    <w:p w14:paraId="6CEED4FC">
      <w:pPr>
        <w:kinsoku/>
        <w:autoSpaceDE/>
        <w:autoSpaceDN/>
        <w:adjustRightInd/>
        <w:snapToGrid/>
        <w:spacing w:line="360" w:lineRule="auto"/>
        <w:ind w:firstLine="482" w:firstLineChars="200"/>
        <w:jc w:val="both"/>
        <w:rPr>
          <w:rStyle w:val="28"/>
          <w:rFonts w:hint="eastAsia" w:ascii="宋体" w:hAnsi="宋体" w:eastAsia="宋体" w:cs="宋体"/>
          <w:b/>
          <w:bCs/>
          <w:snapToGrid/>
          <w:color w:val="auto"/>
          <w:kern w:val="0"/>
          <w:sz w:val="24"/>
          <w:szCs w:val="24"/>
          <w:highlight w:val="none"/>
          <w:lang w:eastAsia="zh-CN"/>
        </w:rPr>
      </w:pPr>
      <w:r>
        <w:rPr>
          <w:rStyle w:val="28"/>
          <w:rFonts w:hint="eastAsia" w:ascii="宋体" w:hAnsi="宋体" w:eastAsia="宋体" w:cs="宋体"/>
          <w:b/>
          <w:bCs/>
          <w:snapToGrid/>
          <w:color w:val="auto"/>
          <w:kern w:val="0"/>
          <w:sz w:val="24"/>
          <w:szCs w:val="24"/>
          <w:highlight w:val="none"/>
          <w:lang w:val="en-US" w:eastAsia="zh-CN"/>
        </w:rPr>
        <w:t>2</w:t>
      </w:r>
      <w:r>
        <w:rPr>
          <w:rStyle w:val="28"/>
          <w:rFonts w:hint="eastAsia" w:ascii="宋体" w:hAnsi="宋体" w:eastAsia="宋体" w:cs="宋体"/>
          <w:b/>
          <w:bCs/>
          <w:snapToGrid/>
          <w:color w:val="auto"/>
          <w:kern w:val="0"/>
          <w:sz w:val="24"/>
          <w:szCs w:val="24"/>
          <w:highlight w:val="none"/>
          <w:lang w:eastAsia="zh-CN"/>
        </w:rPr>
        <w:t>.定标委员会</w:t>
      </w:r>
    </w:p>
    <w:p w14:paraId="1EE09482">
      <w:pPr>
        <w:kinsoku/>
        <w:autoSpaceDE/>
        <w:autoSpaceDN/>
        <w:adjustRightInd/>
        <w:snapToGrid/>
        <w:spacing w:line="360" w:lineRule="auto"/>
        <w:ind w:firstLine="480" w:firstLineChars="200"/>
        <w:jc w:val="both"/>
        <w:rPr>
          <w:rStyle w:val="28"/>
          <w:rFonts w:hint="eastAsia" w:ascii="宋体" w:hAnsi="宋体" w:eastAsia="宋体" w:cs="宋体"/>
          <w:snapToGrid/>
          <w:color w:val="auto"/>
          <w:kern w:val="0"/>
          <w:sz w:val="24"/>
          <w:szCs w:val="24"/>
          <w:highlight w:val="none"/>
          <w:lang w:val="en-US" w:eastAsia="zh-CN"/>
        </w:rPr>
      </w:pPr>
      <w:r>
        <w:rPr>
          <w:rStyle w:val="28"/>
          <w:rFonts w:hint="eastAsia" w:ascii="宋体" w:hAnsi="宋体" w:eastAsia="宋体" w:cs="宋体"/>
          <w:snapToGrid/>
          <w:color w:val="auto"/>
          <w:kern w:val="0"/>
          <w:sz w:val="24"/>
          <w:szCs w:val="24"/>
          <w:highlight w:val="none"/>
          <w:lang w:val="en-US" w:eastAsia="zh-CN"/>
        </w:rPr>
        <w:t>2.1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定标委员会成员数量为7人及以上单数，成员数量应在招标文件中明确。专家人数原则上不超过2人。定标委员会成员数量在本投标人须知前附表中约定。</w:t>
      </w:r>
    </w:p>
    <w:p w14:paraId="406A2FF4">
      <w:pPr>
        <w:kinsoku/>
        <w:autoSpaceDE/>
        <w:autoSpaceDN/>
        <w:adjustRightInd/>
        <w:snapToGrid/>
        <w:spacing w:line="360" w:lineRule="auto"/>
        <w:ind w:firstLine="480" w:firstLineChars="200"/>
        <w:jc w:val="both"/>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09FC277C">
      <w:pPr>
        <w:kinsoku/>
        <w:autoSpaceDE/>
        <w:autoSpaceDN/>
        <w:adjustRightInd/>
        <w:snapToGrid/>
        <w:spacing w:line="360" w:lineRule="auto"/>
        <w:ind w:firstLine="480" w:firstLineChars="200"/>
        <w:jc w:val="both"/>
        <w:rPr>
          <w:rFonts w:hint="eastAsia" w:ascii="宋体" w:hAnsi="宋体" w:eastAsia="宋体" w:cs="宋体"/>
          <w:snapToGrid/>
          <w:color w:val="auto"/>
          <w:kern w:val="2"/>
          <w:sz w:val="24"/>
          <w:szCs w:val="24"/>
          <w:highlight w:val="none"/>
          <w:lang w:val="en-US" w:eastAsia="zh-CN"/>
        </w:rPr>
      </w:pPr>
      <w:r>
        <w:rPr>
          <w:rStyle w:val="28"/>
          <w:rFonts w:hint="eastAsia" w:ascii="宋体" w:hAnsi="宋体" w:eastAsia="宋体" w:cs="宋体"/>
          <w:snapToGrid/>
          <w:color w:val="auto"/>
          <w:kern w:val="0"/>
          <w:sz w:val="24"/>
          <w:szCs w:val="24"/>
          <w:highlight w:val="none"/>
          <w:lang w:val="en-US" w:eastAsia="zh-CN"/>
        </w:rPr>
        <w:t>2</w:t>
      </w:r>
      <w:r>
        <w:rPr>
          <w:rStyle w:val="28"/>
          <w:rFonts w:hint="eastAsia" w:ascii="宋体" w:hAnsi="宋体" w:eastAsia="宋体" w:cs="宋体"/>
          <w:snapToGrid/>
          <w:color w:val="auto"/>
          <w:kern w:val="0"/>
          <w:sz w:val="24"/>
          <w:szCs w:val="24"/>
          <w:highlight w:val="none"/>
          <w:lang w:eastAsia="zh-CN"/>
        </w:rPr>
        <w:t>.</w:t>
      </w:r>
      <w:r>
        <w:rPr>
          <w:rStyle w:val="28"/>
          <w:rFonts w:hint="eastAsia" w:ascii="宋体" w:hAnsi="宋体" w:eastAsia="宋体" w:cs="宋体"/>
          <w:snapToGrid/>
          <w:color w:val="auto"/>
          <w:kern w:val="0"/>
          <w:sz w:val="24"/>
          <w:szCs w:val="24"/>
          <w:highlight w:val="none"/>
          <w:lang w:val="en-US" w:eastAsia="zh-CN"/>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0C86C24B">
      <w:pPr>
        <w:kinsoku/>
        <w:autoSpaceDE/>
        <w:autoSpaceDN/>
        <w:adjustRightInd/>
        <w:snapToGrid/>
        <w:spacing w:line="360" w:lineRule="auto"/>
        <w:ind w:firstLine="482" w:firstLineChars="200"/>
        <w:jc w:val="both"/>
        <w:rPr>
          <w:rStyle w:val="28"/>
          <w:rFonts w:hint="eastAsia" w:ascii="宋体" w:hAnsi="宋体" w:eastAsia="宋体" w:cs="宋体"/>
          <w:b/>
          <w:bCs/>
          <w:snapToGrid/>
          <w:color w:val="auto"/>
          <w:kern w:val="0"/>
          <w:sz w:val="24"/>
          <w:szCs w:val="24"/>
          <w:highlight w:val="none"/>
          <w:lang w:val="en-US" w:eastAsia="zh-CN"/>
        </w:rPr>
      </w:pPr>
      <w:r>
        <w:rPr>
          <w:rStyle w:val="28"/>
          <w:rFonts w:hint="eastAsia" w:ascii="宋体" w:hAnsi="宋体" w:eastAsia="宋体" w:cs="宋体"/>
          <w:b/>
          <w:bCs/>
          <w:snapToGrid/>
          <w:color w:val="auto"/>
          <w:kern w:val="0"/>
          <w:sz w:val="24"/>
          <w:szCs w:val="24"/>
          <w:highlight w:val="none"/>
          <w:lang w:val="en-US" w:eastAsia="zh-CN"/>
        </w:rPr>
        <w:t>3</w:t>
      </w:r>
      <w:r>
        <w:rPr>
          <w:rStyle w:val="28"/>
          <w:rFonts w:hint="eastAsia" w:ascii="宋体" w:hAnsi="宋体" w:eastAsia="宋体" w:cs="宋体"/>
          <w:b/>
          <w:bCs/>
          <w:snapToGrid/>
          <w:color w:val="auto"/>
          <w:kern w:val="0"/>
          <w:sz w:val="24"/>
          <w:szCs w:val="24"/>
          <w:highlight w:val="none"/>
          <w:lang w:eastAsia="zh-CN"/>
        </w:rPr>
        <w:t>.</w:t>
      </w:r>
      <w:r>
        <w:rPr>
          <w:rStyle w:val="28"/>
          <w:rFonts w:hint="eastAsia" w:ascii="宋体" w:hAnsi="宋体" w:eastAsia="宋体" w:cs="宋体"/>
          <w:b/>
          <w:bCs/>
          <w:snapToGrid/>
          <w:color w:val="auto"/>
          <w:kern w:val="0"/>
          <w:sz w:val="24"/>
          <w:szCs w:val="24"/>
          <w:highlight w:val="none"/>
          <w:lang w:val="en-US" w:eastAsia="zh-CN"/>
        </w:rPr>
        <w:t>组建招标监督小组</w:t>
      </w:r>
    </w:p>
    <w:p w14:paraId="23CCA432">
      <w:pPr>
        <w:kinsoku/>
        <w:autoSpaceDE/>
        <w:autoSpaceDN/>
        <w:adjustRightInd/>
        <w:snapToGrid/>
        <w:spacing w:line="360" w:lineRule="auto"/>
        <w:ind w:firstLine="480" w:firstLineChars="200"/>
        <w:jc w:val="both"/>
        <w:rPr>
          <w:rStyle w:val="28"/>
          <w:rFonts w:hint="eastAsia" w:ascii="宋体" w:hAnsi="宋体" w:eastAsia="宋体" w:cs="宋体"/>
          <w:snapToGrid/>
          <w:color w:val="auto"/>
          <w:kern w:val="0"/>
          <w:sz w:val="24"/>
          <w:szCs w:val="24"/>
          <w:highlight w:val="none"/>
          <w:lang w:val="en-US" w:eastAsia="zh-CN"/>
        </w:rPr>
      </w:pPr>
      <w:r>
        <w:rPr>
          <w:rStyle w:val="28"/>
          <w:rFonts w:hint="eastAsia" w:ascii="宋体" w:hAnsi="宋体" w:eastAsia="宋体" w:cs="宋体"/>
          <w:snapToGrid/>
          <w:color w:val="auto"/>
          <w:kern w:val="0"/>
          <w:sz w:val="24"/>
          <w:szCs w:val="24"/>
          <w:highlight w:val="none"/>
          <w:lang w:val="en-US" w:eastAsia="zh-CN"/>
        </w:rPr>
        <w:t>招标人应及时组建招标监督小组，招标监督小组原则上由不少于 3 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的职责是对定标委员会的组建、定标过程及招标人在定标前的清标环节和对定标候选人的考察等进行全程监督，确保定标过程公正、公平。发现异常情况及时提醒、进行纠正，但不得就定标涉及的实质内容发表意见或者参与定标讨论。</w:t>
      </w:r>
    </w:p>
    <w:p w14:paraId="7165900B">
      <w:pPr>
        <w:kinsoku/>
        <w:autoSpaceDE/>
        <w:autoSpaceDN/>
        <w:adjustRightInd/>
        <w:snapToGrid/>
        <w:spacing w:line="360" w:lineRule="auto"/>
        <w:ind w:firstLine="482" w:firstLineChars="200"/>
        <w:jc w:val="left"/>
        <w:rPr>
          <w:rStyle w:val="28"/>
          <w:rFonts w:hint="eastAsia" w:ascii="宋体" w:hAnsi="宋体" w:eastAsia="宋体" w:cs="宋体"/>
          <w:b/>
          <w:bCs/>
          <w:snapToGrid/>
          <w:color w:val="auto"/>
          <w:kern w:val="0"/>
          <w:sz w:val="24"/>
          <w:szCs w:val="24"/>
          <w:highlight w:val="none"/>
          <w:lang w:eastAsia="zh-CN"/>
        </w:rPr>
      </w:pPr>
      <w:r>
        <w:rPr>
          <w:rStyle w:val="28"/>
          <w:rFonts w:hint="eastAsia" w:ascii="宋体" w:hAnsi="宋体" w:eastAsia="宋体" w:cs="宋体"/>
          <w:b/>
          <w:bCs/>
          <w:snapToGrid/>
          <w:color w:val="auto"/>
          <w:kern w:val="0"/>
          <w:sz w:val="24"/>
          <w:szCs w:val="24"/>
          <w:highlight w:val="none"/>
          <w:lang w:val="en-US" w:eastAsia="zh-CN"/>
        </w:rPr>
        <w:t>4</w:t>
      </w:r>
      <w:r>
        <w:rPr>
          <w:rStyle w:val="28"/>
          <w:rFonts w:hint="eastAsia" w:ascii="宋体" w:hAnsi="宋体" w:eastAsia="宋体" w:cs="宋体"/>
          <w:b/>
          <w:bCs/>
          <w:snapToGrid/>
          <w:color w:val="auto"/>
          <w:kern w:val="0"/>
          <w:sz w:val="24"/>
          <w:szCs w:val="24"/>
          <w:highlight w:val="none"/>
          <w:lang w:eastAsia="zh-CN"/>
        </w:rPr>
        <w:t>.定标办法</w:t>
      </w:r>
    </w:p>
    <w:p w14:paraId="375D6E12">
      <w:pPr>
        <w:kinsoku/>
        <w:autoSpaceDE/>
        <w:autoSpaceDN/>
        <w:adjustRightInd/>
        <w:snapToGrid/>
        <w:spacing w:line="360" w:lineRule="auto"/>
        <w:ind w:firstLine="480" w:firstLineChars="200"/>
        <w:jc w:val="both"/>
        <w:rPr>
          <w:rStyle w:val="28"/>
          <w:rFonts w:hint="eastAsia" w:ascii="宋体" w:hAnsi="宋体" w:eastAsia="宋体" w:cs="宋体"/>
          <w:snapToGrid/>
          <w:color w:val="auto"/>
          <w:kern w:val="0"/>
          <w:sz w:val="24"/>
          <w:szCs w:val="24"/>
          <w:highlight w:val="none"/>
          <w:lang w:val="en-US" w:eastAsia="zh-CN"/>
        </w:rPr>
      </w:pPr>
      <w:r>
        <w:rPr>
          <w:rStyle w:val="28"/>
          <w:rFonts w:hint="eastAsia" w:ascii="宋体" w:hAnsi="宋体" w:eastAsia="宋体" w:cs="宋体"/>
          <w:snapToGrid/>
          <w:color w:val="auto"/>
          <w:kern w:val="0"/>
          <w:sz w:val="24"/>
          <w:szCs w:val="24"/>
          <w:highlight w:val="none"/>
          <w:lang w:val="en-US" w:eastAsia="zh-CN"/>
        </w:rPr>
        <w:t>定标办法由招标人按本投标人须知前附表的规定确定（只能选定其中一种定标办法）。</w:t>
      </w:r>
    </w:p>
    <w:p w14:paraId="2AF86B54">
      <w:pPr>
        <w:kinsoku/>
        <w:autoSpaceDE/>
        <w:autoSpaceDN/>
        <w:adjustRightInd/>
        <w:snapToGrid/>
        <w:spacing w:line="360" w:lineRule="auto"/>
        <w:ind w:firstLine="482" w:firstLineChars="200"/>
        <w:jc w:val="both"/>
        <w:rPr>
          <w:rFonts w:hint="eastAsia" w:ascii="宋体" w:hAnsi="宋体" w:eastAsia="宋体" w:cs="宋体"/>
          <w:snapToGrid/>
          <w:color w:val="auto"/>
          <w:kern w:val="2"/>
          <w:sz w:val="24"/>
          <w:szCs w:val="24"/>
          <w:highlight w:val="none"/>
          <w:lang w:eastAsia="zh-CN"/>
        </w:rPr>
      </w:pPr>
      <w:bookmarkStart w:id="149" w:name="OLE_LINK3"/>
      <w:r>
        <w:rPr>
          <w:rFonts w:hint="eastAsia" w:ascii="宋体" w:hAnsi="宋体" w:eastAsia="宋体" w:cs="宋体"/>
          <w:b/>
          <w:bCs/>
          <w:snapToGrid/>
          <w:color w:val="auto"/>
          <w:kern w:val="2"/>
          <w:sz w:val="24"/>
          <w:szCs w:val="24"/>
          <w:highlight w:val="none"/>
          <w:lang w:val="en-US" w:eastAsia="zh-CN"/>
        </w:rPr>
        <w:t>本项目</w:t>
      </w:r>
      <w:bookmarkEnd w:id="149"/>
      <w:r>
        <w:rPr>
          <w:rFonts w:hint="eastAsia" w:ascii="宋体" w:hAnsi="宋体" w:eastAsia="宋体" w:cs="宋体"/>
          <w:b/>
          <w:bCs/>
          <w:snapToGrid/>
          <w:color w:val="auto"/>
          <w:kern w:val="2"/>
          <w:sz w:val="24"/>
          <w:szCs w:val="24"/>
          <w:highlight w:val="none"/>
          <w:lang w:val="en-US" w:eastAsia="zh-CN"/>
        </w:rPr>
        <w:t>采用票决数量法定标。</w:t>
      </w:r>
    </w:p>
    <w:p w14:paraId="65386231">
      <w:pPr>
        <w:kinsoku/>
        <w:autoSpaceDE/>
        <w:autoSpaceDN/>
        <w:adjustRightInd/>
        <w:snapToGrid/>
        <w:spacing w:line="360" w:lineRule="auto"/>
        <w:ind w:firstLine="482" w:firstLineChars="200"/>
        <w:jc w:val="both"/>
        <w:rPr>
          <w:rStyle w:val="28"/>
          <w:rFonts w:hint="eastAsia" w:ascii="宋体" w:hAnsi="宋体" w:eastAsia="宋体" w:cs="宋体"/>
          <w:b/>
          <w:bCs/>
          <w:snapToGrid/>
          <w:color w:val="auto"/>
          <w:kern w:val="0"/>
          <w:sz w:val="24"/>
          <w:szCs w:val="24"/>
          <w:highlight w:val="none"/>
          <w:lang w:val="en-US" w:eastAsia="zh-CN"/>
        </w:rPr>
      </w:pPr>
      <w:r>
        <w:rPr>
          <w:rStyle w:val="28"/>
          <w:rFonts w:hint="eastAsia" w:ascii="宋体" w:hAnsi="宋体" w:eastAsia="宋体" w:cs="宋体"/>
          <w:b/>
          <w:bCs/>
          <w:snapToGrid/>
          <w:color w:val="auto"/>
          <w:kern w:val="0"/>
          <w:sz w:val="24"/>
          <w:szCs w:val="24"/>
          <w:highlight w:val="none"/>
          <w:lang w:val="en-US" w:eastAsia="zh-CN"/>
        </w:rPr>
        <w:t>5.定标细则</w:t>
      </w:r>
    </w:p>
    <w:p w14:paraId="7CE9102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5.1票决数量法程序</w:t>
      </w:r>
    </w:p>
    <w:p w14:paraId="2DCC38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napToGrid/>
          <w:color w:val="auto"/>
          <w:kern w:val="2"/>
          <w:sz w:val="24"/>
          <w:szCs w:val="24"/>
          <w:highlight w:val="none"/>
          <w:u w:val="none"/>
          <w:lang w:val="en-US" w:eastAsia="zh-CN"/>
        </w:rPr>
      </w:pPr>
      <w:r>
        <w:rPr>
          <w:rFonts w:hint="eastAsia" w:ascii="宋体" w:hAnsi="宋体" w:eastAsia="宋体" w:cs="宋体"/>
          <w:b w:val="0"/>
          <w:i w:val="0"/>
          <w:snapToGrid/>
          <w:color w:val="auto"/>
          <w:kern w:val="2"/>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snapToGrid/>
          <w:color w:val="auto"/>
          <w:kern w:val="2"/>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kern w:val="2"/>
          <w:sz w:val="24"/>
          <w:szCs w:val="24"/>
          <w:highlight w:val="none"/>
          <w:u w:val="none"/>
          <w:shd w:val="clear" w:color="auto" w:fill="FFFFFF"/>
          <w:lang w:val="en-US" w:eastAsia="zh-CN"/>
        </w:rPr>
        <w:t>根据</w:t>
      </w:r>
      <w:r>
        <w:rPr>
          <w:rFonts w:hint="eastAsia" w:ascii="宋体" w:hAnsi="宋体" w:eastAsia="宋体" w:cs="宋体"/>
          <w:b w:val="0"/>
          <w:i w:val="0"/>
          <w:snapToGrid/>
          <w:color w:val="auto"/>
          <w:kern w:val="2"/>
          <w:sz w:val="24"/>
          <w:szCs w:val="24"/>
          <w:highlight w:val="none"/>
          <w:u w:val="none"/>
          <w:shd w:val="clear" w:color="auto" w:fill="FFFFFF"/>
          <w:lang w:eastAsia="zh-CN"/>
        </w:rPr>
        <w:t>票决</w:t>
      </w:r>
      <w:r>
        <w:rPr>
          <w:rFonts w:hint="eastAsia" w:ascii="宋体" w:hAnsi="宋体" w:eastAsia="宋体" w:cs="宋体"/>
          <w:b w:val="0"/>
          <w:i w:val="0"/>
          <w:snapToGrid/>
          <w:color w:val="auto"/>
          <w:kern w:val="2"/>
          <w:sz w:val="24"/>
          <w:szCs w:val="24"/>
          <w:highlight w:val="none"/>
          <w:u w:val="none"/>
          <w:shd w:val="clear" w:color="auto" w:fill="FFFFFF"/>
          <w:lang w:val="en-US" w:eastAsia="zh-CN"/>
        </w:rPr>
        <w:t>数量</w:t>
      </w:r>
      <w:r>
        <w:rPr>
          <w:rFonts w:hint="eastAsia" w:ascii="宋体" w:hAnsi="宋体" w:eastAsia="宋体" w:cs="宋体"/>
          <w:b w:val="0"/>
          <w:i w:val="0"/>
          <w:snapToGrid/>
          <w:color w:val="auto"/>
          <w:kern w:val="2"/>
          <w:sz w:val="24"/>
          <w:szCs w:val="24"/>
          <w:highlight w:val="none"/>
          <w:u w:val="none"/>
          <w:shd w:val="clear" w:color="auto" w:fill="FFFFFF"/>
          <w:lang w:eastAsia="zh-CN"/>
        </w:rPr>
        <w:t>排名确定中标候选人</w:t>
      </w:r>
      <w:r>
        <w:rPr>
          <w:rFonts w:hint="eastAsia" w:ascii="宋体" w:hAnsi="宋体" w:eastAsia="宋体" w:cs="宋体"/>
          <w:b w:val="0"/>
          <w:i w:val="0"/>
          <w:snapToGrid/>
          <w:color w:val="auto"/>
          <w:kern w:val="2"/>
          <w:sz w:val="24"/>
          <w:szCs w:val="24"/>
          <w:highlight w:val="none"/>
          <w:u w:val="none"/>
          <w:shd w:val="clear" w:color="auto" w:fill="FFFFFF"/>
          <w:lang w:val="en-US" w:eastAsia="zh-CN"/>
        </w:rPr>
        <w:t>的</w:t>
      </w:r>
      <w:r>
        <w:rPr>
          <w:rFonts w:hint="eastAsia" w:ascii="宋体" w:hAnsi="宋体" w:eastAsia="宋体" w:cs="宋体"/>
          <w:b w:val="0"/>
          <w:i w:val="0"/>
          <w:snapToGrid/>
          <w:color w:val="auto"/>
          <w:kern w:val="2"/>
          <w:sz w:val="24"/>
          <w:szCs w:val="24"/>
          <w:highlight w:val="none"/>
          <w:u w:val="none"/>
          <w:shd w:val="clear" w:color="auto" w:fill="FFFFFF"/>
          <w:lang w:eastAsia="zh-CN"/>
        </w:rPr>
        <w:t>排序。即各定标委员会成员对定标候选人进行投票，按得票高低推荐排序的前三名中标候选人。</w:t>
      </w:r>
      <w:r>
        <w:rPr>
          <w:rFonts w:hint="eastAsia" w:ascii="宋体" w:hAnsi="宋体" w:eastAsia="宋体" w:cs="宋体"/>
          <w:snapToGrid/>
          <w:color w:val="auto"/>
          <w:kern w:val="2"/>
          <w:sz w:val="24"/>
          <w:szCs w:val="24"/>
          <w:highlight w:val="none"/>
          <w:u w:val="none"/>
          <w:lang w:val="en-US" w:eastAsia="zh-CN"/>
        </w:rPr>
        <w:t>若第一轮投票中前三名中标候选人有</w:t>
      </w:r>
      <w:r>
        <w:rPr>
          <w:rFonts w:hint="eastAsia" w:ascii="宋体" w:hAnsi="宋体" w:eastAsia="宋体" w:cs="宋体"/>
          <w:snapToGrid/>
          <w:color w:val="auto"/>
          <w:kern w:val="2"/>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snapToGrid/>
          <w:color w:val="auto"/>
          <w:kern w:val="2"/>
          <w:sz w:val="24"/>
          <w:szCs w:val="24"/>
          <w:highlight w:val="none"/>
          <w:u w:val="none"/>
          <w:lang w:val="en-US" w:eastAsia="zh-CN"/>
        </w:rPr>
        <w:t>直至决出排序的前三名中标候选人。若定标候选人中没有符合评审要求的三名中标候选人，则宣告本次招标失败。</w:t>
      </w:r>
    </w:p>
    <w:p w14:paraId="7313CBF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i w:val="0"/>
          <w:snapToGrid/>
          <w:color w:val="auto"/>
          <w:kern w:val="2"/>
          <w:sz w:val="24"/>
          <w:szCs w:val="24"/>
          <w:highlight w:val="none"/>
          <w:u w:val="none"/>
          <w:shd w:val="clear" w:color="auto" w:fill="FFFFFF"/>
          <w:lang w:eastAsia="zh-CN"/>
        </w:rPr>
        <w:t>票决采用</w:t>
      </w:r>
      <w:r>
        <w:rPr>
          <w:rFonts w:hint="eastAsia" w:ascii="宋体" w:hAnsi="宋体" w:eastAsia="宋体" w:cs="宋体"/>
          <w:b/>
          <w:bCs/>
          <w:i w:val="0"/>
          <w:snapToGrid/>
          <w:color w:val="auto"/>
          <w:kern w:val="2"/>
          <w:sz w:val="24"/>
          <w:szCs w:val="24"/>
          <w:highlight w:val="none"/>
          <w:u w:val="none"/>
          <w:shd w:val="clear" w:color="auto" w:fill="FFFFFF"/>
          <w:lang w:eastAsia="zh-CN"/>
        </w:rPr>
        <w:t>记名方式</w:t>
      </w:r>
      <w:r>
        <w:rPr>
          <w:rFonts w:hint="eastAsia" w:ascii="宋体" w:hAnsi="宋体" w:eastAsia="宋体" w:cs="宋体"/>
          <w:b w:val="0"/>
          <w:i w:val="0"/>
          <w:snapToGrid/>
          <w:color w:val="auto"/>
          <w:kern w:val="2"/>
          <w:sz w:val="24"/>
          <w:szCs w:val="24"/>
          <w:highlight w:val="none"/>
          <w:u w:val="none"/>
          <w:shd w:val="clear" w:color="auto" w:fill="FFFFFF"/>
          <w:lang w:eastAsia="zh-CN"/>
        </w:rPr>
        <w:t>并注明</w:t>
      </w:r>
      <w:r>
        <w:rPr>
          <w:rFonts w:hint="eastAsia" w:ascii="宋体" w:hAnsi="宋体" w:eastAsia="宋体" w:cs="宋体"/>
          <w:b/>
          <w:bCs/>
          <w:i w:val="0"/>
          <w:snapToGrid/>
          <w:color w:val="auto"/>
          <w:kern w:val="2"/>
          <w:sz w:val="24"/>
          <w:szCs w:val="24"/>
          <w:highlight w:val="none"/>
          <w:u w:val="none"/>
          <w:shd w:val="clear" w:color="auto" w:fill="FFFFFF"/>
          <w:lang w:eastAsia="zh-CN"/>
        </w:rPr>
        <w:t>投票理由</w:t>
      </w:r>
      <w:r>
        <w:rPr>
          <w:rFonts w:hint="eastAsia" w:ascii="宋体" w:hAnsi="宋体" w:eastAsia="宋体" w:cs="宋体"/>
          <w:b w:val="0"/>
          <w:i w:val="0"/>
          <w:snapToGrid/>
          <w:color w:val="auto"/>
          <w:kern w:val="2"/>
          <w:sz w:val="24"/>
          <w:szCs w:val="24"/>
          <w:highlight w:val="none"/>
          <w:u w:val="none"/>
          <w:shd w:val="clear" w:color="auto" w:fill="FFFFFF"/>
          <w:lang w:eastAsia="zh-CN"/>
        </w:rPr>
        <w:t>。</w:t>
      </w:r>
    </w:p>
    <w:p w14:paraId="325447A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kern w:val="2"/>
          <w:sz w:val="24"/>
          <w:szCs w:val="24"/>
          <w:highlight w:val="none"/>
          <w:u w:val="none"/>
          <w:shd w:val="clear" w:color="auto" w:fill="FFFFFF"/>
          <w:lang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5.1.1.</w:t>
      </w:r>
      <w:r>
        <w:rPr>
          <w:rFonts w:hint="eastAsia" w:ascii="宋体" w:hAnsi="宋体" w:eastAsia="宋体" w:cs="宋体"/>
          <w:b/>
          <w:bCs/>
          <w:snapToGrid/>
          <w:color w:val="auto"/>
          <w:kern w:val="2"/>
          <w:sz w:val="24"/>
          <w:szCs w:val="24"/>
          <w:highlight w:val="none"/>
          <w:u w:val="none"/>
          <w:shd w:val="clear" w:color="auto" w:fill="FFFFFF"/>
          <w:lang w:eastAsia="zh-CN"/>
        </w:rPr>
        <w:t>项目情况介绍</w:t>
      </w:r>
    </w:p>
    <w:p w14:paraId="669C01C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eastAsia="zh-CN"/>
        </w:rPr>
      </w:pPr>
      <w:r>
        <w:rPr>
          <w:rFonts w:hint="eastAsia" w:ascii="宋体" w:hAnsi="宋体" w:eastAsia="宋体" w:cs="宋体"/>
          <w:b w:val="0"/>
          <w:bCs w:val="0"/>
          <w:snapToGrid/>
          <w:color w:val="auto"/>
          <w:spacing w:val="0"/>
          <w:kern w:val="2"/>
          <w:position w:val="0"/>
          <w:sz w:val="24"/>
          <w:szCs w:val="24"/>
          <w:highlight w:val="none"/>
          <w:u w:val="none" w:color="auto"/>
          <w:lang w:eastAsia="zh-CN"/>
        </w:rPr>
        <w:t>招标人代表介绍项目的概况及招标要求，以及定标方法与定标工作规则，不得发表具有倾向性的言论。</w:t>
      </w:r>
    </w:p>
    <w:p w14:paraId="466A7AC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spacing w:val="0"/>
          <w:kern w:val="2"/>
          <w:position w:val="0"/>
          <w:sz w:val="24"/>
          <w:szCs w:val="24"/>
          <w:highlight w:val="none"/>
          <w:u w:val="none" w:color="auto"/>
          <w:lang w:val="en-US" w:eastAsia="zh-CN"/>
        </w:rPr>
      </w:pPr>
      <w:r>
        <w:rPr>
          <w:rFonts w:hint="eastAsia" w:ascii="宋体" w:hAnsi="宋体" w:eastAsia="宋体" w:cs="宋体"/>
          <w:b/>
          <w:bCs/>
          <w:snapToGrid/>
          <w:color w:val="auto"/>
          <w:spacing w:val="0"/>
          <w:kern w:val="2"/>
          <w:position w:val="0"/>
          <w:sz w:val="24"/>
          <w:szCs w:val="24"/>
          <w:highlight w:val="none"/>
          <w:u w:val="none" w:color="auto"/>
          <w:lang w:val="en-US" w:eastAsia="zh-CN"/>
        </w:rPr>
        <w:t>5.1.2.</w:t>
      </w:r>
      <w:r>
        <w:rPr>
          <w:rFonts w:hint="eastAsia" w:ascii="宋体" w:hAnsi="宋体" w:eastAsia="宋体" w:cs="宋体"/>
          <w:b/>
          <w:bCs/>
          <w:snapToGrid/>
          <w:color w:val="auto"/>
          <w:kern w:val="2"/>
          <w:sz w:val="24"/>
          <w:szCs w:val="24"/>
          <w:highlight w:val="none"/>
          <w:u w:val="none"/>
          <w:shd w:val="clear" w:color="auto" w:fill="FFFFFF"/>
          <w:lang w:eastAsia="zh-CN"/>
        </w:rPr>
        <w:t>审阅定标资料</w:t>
      </w:r>
    </w:p>
    <w:p w14:paraId="786F17D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eastAsia="zh-CN"/>
        </w:rPr>
      </w:pPr>
      <w:r>
        <w:rPr>
          <w:rFonts w:hint="eastAsia" w:ascii="宋体" w:hAnsi="宋体" w:eastAsia="宋体" w:cs="宋体"/>
          <w:b w:val="0"/>
          <w:bCs w:val="0"/>
          <w:snapToGrid/>
          <w:color w:val="auto"/>
          <w:spacing w:val="0"/>
          <w:kern w:val="2"/>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聚焦于项目需求与候选人能力的匹配度</w:t>
      </w:r>
      <w:r>
        <w:rPr>
          <w:rFonts w:hint="eastAsia" w:ascii="宋体" w:hAnsi="宋体" w:eastAsia="宋体" w:cs="宋体"/>
          <w:snapToGrid/>
          <w:color w:val="auto"/>
          <w:kern w:val="2"/>
          <w:sz w:val="24"/>
          <w:szCs w:val="24"/>
          <w:highlight w:val="none"/>
          <w:u w:val="none"/>
          <w:shd w:val="clear" w:color="auto" w:fill="FFFFFF"/>
          <w:lang w:eastAsia="zh-CN"/>
        </w:rPr>
        <w:t>。</w:t>
      </w:r>
    </w:p>
    <w:p w14:paraId="4638C29A">
      <w:pPr>
        <w:keepNext w:val="0"/>
        <w:keepLines w:val="0"/>
        <w:pageBreakBefore w:val="0"/>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0" w:right="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
        </w:rPr>
      </w:pPr>
      <w:r>
        <w:rPr>
          <w:rFonts w:hint="eastAsia" w:ascii="宋体" w:hAnsi="宋体" w:eastAsia="宋体" w:cs="宋体"/>
          <w:b/>
          <w:bCs/>
          <w:color w:val="auto"/>
          <w:spacing w:val="0"/>
          <w:kern w:val="0"/>
          <w:position w:val="0"/>
          <w:sz w:val="24"/>
          <w:szCs w:val="24"/>
          <w:highlight w:val="none"/>
          <w:u w:val="none" w:color="auto"/>
          <w:lang w:val="en-US" w:eastAsia="zh-CN" w:bidi="ar"/>
        </w:rPr>
        <w:t>5.1.3.</w:t>
      </w:r>
      <w:r>
        <w:rPr>
          <w:rFonts w:hint="eastAsia" w:ascii="宋体" w:hAnsi="宋体" w:eastAsia="宋体" w:cs="宋体"/>
          <w:b/>
          <w:bCs/>
          <w:color w:val="auto"/>
          <w:kern w:val="0"/>
          <w:sz w:val="24"/>
          <w:szCs w:val="24"/>
          <w:highlight w:val="none"/>
          <w:u w:val="none"/>
          <w:shd w:val="clear" w:color="auto" w:fill="FFFFFF"/>
          <w:lang w:val="en-US" w:eastAsia="zh-CN" w:bidi="ar"/>
        </w:rPr>
        <w:t>疑问澄清</w:t>
      </w:r>
    </w:p>
    <w:p w14:paraId="0E5CD6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snapToGrid/>
          <w:color w:val="auto"/>
          <w:kern w:val="2"/>
          <w:sz w:val="24"/>
          <w:szCs w:val="24"/>
          <w:highlight w:val="none"/>
          <w:u w:val="none"/>
          <w:shd w:val="clear" w:color="auto" w:fill="FFFFFF"/>
          <w:lang w:eastAsia="zh-CN"/>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7DD58D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kern w:val="0"/>
          <w:sz w:val="24"/>
          <w:szCs w:val="24"/>
          <w:highlight w:val="none"/>
          <w:u w:val="none"/>
          <w:shd w:val="clear" w:color="auto" w:fill="FFFFFF"/>
          <w:lang w:val="en-US" w:eastAsia="zh-CN" w:bidi="ar-SA"/>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5.1.4.投票，收票，点票和汇总</w:t>
      </w:r>
    </w:p>
    <w:p w14:paraId="7F54900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bCs w:val="0"/>
          <w:snapToGrid/>
          <w:color w:val="auto"/>
          <w:spacing w:val="0"/>
          <w:kern w:val="2"/>
          <w:position w:val="0"/>
          <w:sz w:val="24"/>
          <w:szCs w:val="24"/>
          <w:highlight w:val="none"/>
          <w:u w:val="none" w:color="auto"/>
          <w:lang w:eastAsia="zh-CN"/>
        </w:rPr>
        <w:t>定标委员会成员按照</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票决数量法</w:t>
      </w:r>
      <w:r>
        <w:rPr>
          <w:rFonts w:hint="eastAsia" w:ascii="宋体" w:hAnsi="宋体" w:eastAsia="宋体" w:cs="宋体"/>
          <w:b w:val="0"/>
          <w:bCs w:val="0"/>
          <w:snapToGrid/>
          <w:color w:val="auto"/>
          <w:spacing w:val="0"/>
          <w:kern w:val="2"/>
          <w:position w:val="0"/>
          <w:sz w:val="24"/>
          <w:szCs w:val="24"/>
          <w:highlight w:val="none"/>
          <w:u w:val="none" w:color="auto"/>
          <w:lang w:eastAsia="zh-CN"/>
        </w:rPr>
        <w:t>定标</w:t>
      </w:r>
      <w:r>
        <w:rPr>
          <w:rFonts w:hint="eastAsia" w:ascii="宋体" w:hAnsi="宋体" w:eastAsia="宋体" w:cs="宋体"/>
          <w:b w:val="0"/>
          <w:bCs w:val="0"/>
          <w:snapToGrid/>
          <w:color w:val="auto"/>
          <w:spacing w:val="0"/>
          <w:kern w:val="2"/>
          <w:position w:val="0"/>
          <w:sz w:val="24"/>
          <w:szCs w:val="24"/>
          <w:highlight w:val="none"/>
          <w:u w:val="none" w:color="auto"/>
          <w:lang w:val="en-US" w:eastAsia="zh-CN"/>
        </w:rPr>
        <w:t>办</w:t>
      </w:r>
      <w:r>
        <w:rPr>
          <w:rFonts w:hint="eastAsia" w:ascii="宋体" w:hAnsi="宋体" w:eastAsia="宋体" w:cs="宋体"/>
          <w:b w:val="0"/>
          <w:bCs w:val="0"/>
          <w:snapToGrid/>
          <w:color w:val="auto"/>
          <w:spacing w:val="0"/>
          <w:kern w:val="2"/>
          <w:position w:val="0"/>
          <w:sz w:val="24"/>
          <w:szCs w:val="24"/>
          <w:highlight w:val="none"/>
          <w:u w:val="none" w:color="auto"/>
          <w:lang w:eastAsia="zh-CN"/>
        </w:rPr>
        <w:t>法程序，根据公平、公正、择优原则，独立完成票决后，统一由定标工作人员收集、清点，并对票数进行汇总排名。得票相同且影响中标候选人排序确定的，可由定标委员会对总票数相同的单位进行再次票决确定排序。</w:t>
      </w:r>
    </w:p>
    <w:p w14:paraId="0869BC2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snapToGrid/>
          <w:color w:val="auto"/>
          <w:kern w:val="2"/>
          <w:sz w:val="24"/>
          <w:szCs w:val="24"/>
          <w:highlight w:val="none"/>
          <w:lang w:eastAsia="zh-CN"/>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5.1.5.公布结果和出具定标报告</w:t>
      </w:r>
    </w:p>
    <w:p w14:paraId="1D8B8B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spacing w:val="0"/>
          <w:kern w:val="2"/>
          <w:position w:val="0"/>
          <w:sz w:val="24"/>
          <w:szCs w:val="24"/>
          <w:highlight w:val="none"/>
          <w:u w:val="none" w:color="auto"/>
          <w:lang w:val="en-US" w:eastAsia="zh-CN"/>
        </w:rPr>
      </w:pPr>
      <w:r>
        <w:rPr>
          <w:rFonts w:hint="eastAsia" w:ascii="宋体" w:hAnsi="宋体" w:eastAsia="宋体" w:cs="宋体"/>
          <w:b w:val="0"/>
          <w:bCs/>
          <w:snapToGrid/>
          <w:color w:val="auto"/>
          <w:kern w:val="2"/>
          <w:sz w:val="24"/>
          <w:szCs w:val="24"/>
          <w:highlight w:val="none"/>
          <w:lang w:eastAsia="zh-CN"/>
        </w:rPr>
        <w:t>点票工作完成后，定标委员会组长汇总定标结果，编制定标报告，确定中标候选人，全体成员签名。</w:t>
      </w:r>
    </w:p>
    <w:p w14:paraId="54D4983D">
      <w:pPr>
        <w:keepNext w:val="0"/>
        <w:keepLines w:val="0"/>
        <w:pageBreakBefore w:val="0"/>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420" w:leftChars="200" w:right="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
        </w:rPr>
      </w:pPr>
      <w:r>
        <w:rPr>
          <w:rFonts w:hint="eastAsia" w:ascii="宋体" w:hAnsi="宋体" w:eastAsia="宋体" w:cs="宋体"/>
          <w:b/>
          <w:bCs/>
          <w:color w:val="auto"/>
          <w:spacing w:val="0"/>
          <w:kern w:val="0"/>
          <w:position w:val="0"/>
          <w:sz w:val="24"/>
          <w:szCs w:val="24"/>
          <w:highlight w:val="none"/>
          <w:u w:val="none" w:color="auto"/>
          <w:lang w:val="en-US" w:eastAsia="zh-CN" w:bidi="ar"/>
        </w:rPr>
        <w:t>5.1.6.</w:t>
      </w:r>
      <w:r>
        <w:rPr>
          <w:rFonts w:hint="eastAsia" w:ascii="宋体" w:hAnsi="宋体" w:eastAsia="宋体" w:cs="宋体"/>
          <w:b/>
          <w:bCs/>
          <w:color w:val="auto"/>
          <w:kern w:val="0"/>
          <w:sz w:val="24"/>
          <w:szCs w:val="24"/>
          <w:highlight w:val="none"/>
          <w:u w:val="none"/>
          <w:shd w:val="clear" w:color="auto" w:fill="FFFFFF"/>
          <w:lang w:val="en-US" w:eastAsia="zh-CN" w:bidi="ar"/>
        </w:rPr>
        <w:t>全程监督</w:t>
      </w:r>
    </w:p>
    <w:p w14:paraId="14B5573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snapToGrid/>
          <w:color w:val="auto"/>
          <w:kern w:val="2"/>
          <w:sz w:val="24"/>
          <w:szCs w:val="24"/>
          <w:highlight w:val="none"/>
          <w:lang w:eastAsia="zh-CN"/>
        </w:rPr>
      </w:pPr>
      <w:r>
        <w:rPr>
          <w:rFonts w:hint="eastAsia" w:ascii="宋体" w:hAnsi="宋体" w:eastAsia="宋体" w:cs="宋体"/>
          <w:b w:val="0"/>
          <w:bCs/>
          <w:snapToGrid/>
          <w:color w:val="auto"/>
          <w:kern w:val="2"/>
          <w:sz w:val="24"/>
          <w:szCs w:val="24"/>
          <w:highlight w:val="none"/>
          <w:lang w:eastAsia="zh-CN"/>
        </w:rPr>
        <w:t>招标监督小组对</w:t>
      </w:r>
      <w:r>
        <w:rPr>
          <w:rFonts w:hint="eastAsia" w:ascii="宋体" w:hAnsi="宋体" w:eastAsia="宋体" w:cs="宋体"/>
          <w:b w:val="0"/>
          <w:bCs/>
          <w:snapToGrid/>
          <w:color w:val="auto"/>
          <w:kern w:val="2"/>
          <w:sz w:val="24"/>
          <w:szCs w:val="24"/>
          <w:highlight w:val="none"/>
          <w:lang w:val="en-US" w:eastAsia="zh-CN"/>
        </w:rPr>
        <w:t>定标会议</w:t>
      </w:r>
      <w:r>
        <w:rPr>
          <w:rFonts w:hint="eastAsia" w:ascii="宋体" w:hAnsi="宋体" w:eastAsia="宋体" w:cs="宋体"/>
          <w:b w:val="0"/>
          <w:bCs/>
          <w:snapToGrid/>
          <w:color w:val="auto"/>
          <w:kern w:val="2"/>
          <w:sz w:val="24"/>
          <w:szCs w:val="24"/>
          <w:highlight w:val="none"/>
          <w:lang w:eastAsia="zh-CN"/>
        </w:rPr>
        <w:t>的全过程进行监督，确保程序合规、记录完整，结论形成过程公正、透明。</w:t>
      </w:r>
    </w:p>
    <w:p w14:paraId="4FEAB52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5.2定标因素</w:t>
      </w:r>
    </w:p>
    <w:p w14:paraId="3F3400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（一）拟派团队管理能力与水平（履约能力）</w:t>
      </w:r>
    </w:p>
    <w:p w14:paraId="3A44F85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相对标准：拟派团队管理能力与水平（履约能力）强的定标候选人优于拟派团队管理能力与水平（履约能力）一般的定标候选人。</w:t>
      </w:r>
    </w:p>
    <w:p w14:paraId="18A77B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（二）企业信誉</w:t>
      </w:r>
    </w:p>
    <w:p w14:paraId="74FE6D6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相对标准：企业信誉评价好的定标候选人优于企业信誉评价一般的定标候选人。</w:t>
      </w:r>
    </w:p>
    <w:p w14:paraId="62CCD7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（三）评标报告</w:t>
      </w:r>
    </w:p>
    <w:p w14:paraId="49299D7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527214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（四）农民工工资保障情况</w:t>
      </w:r>
    </w:p>
    <w:p w14:paraId="73C287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相对标准：农民工工资保障情况好的定标候选人优于农民工工资保障情况差的定标候选人（结合定标候选人提交的证明材料和招标人查询的材料进行评审）。</w:t>
      </w:r>
    </w:p>
    <w:p w14:paraId="377D3A7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kern w:val="0"/>
          <w:sz w:val="24"/>
          <w:szCs w:val="24"/>
          <w:highlight w:val="none"/>
          <w:u w:val="none"/>
          <w:shd w:val="clear" w:color="auto" w:fill="FFFFFF"/>
          <w:lang w:val="en-US" w:eastAsia="zh-CN" w:bidi="ar-SA"/>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6.定标结果公示</w:t>
      </w:r>
    </w:p>
    <w:p w14:paraId="1908F2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8"/>
          <w:rFonts w:hint="eastAsia" w:ascii="宋体" w:hAnsi="宋体" w:eastAsia="宋体" w:cs="宋体"/>
          <w:snapToGrid/>
          <w:color w:val="auto"/>
          <w:kern w:val="0"/>
          <w:sz w:val="24"/>
          <w:szCs w:val="24"/>
          <w:highlight w:val="none"/>
          <w:lang w:val="en-US" w:eastAsia="zh-CN"/>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定标委员会完成定标</w:t>
      </w:r>
      <w:r>
        <w:rPr>
          <w:rStyle w:val="28"/>
          <w:rFonts w:hint="eastAsia" w:ascii="宋体" w:hAnsi="宋体" w:eastAsia="宋体" w:cs="宋体"/>
          <w:b w:val="0"/>
          <w:bCs w:val="0"/>
          <w:snapToGrid/>
          <w:color w:val="auto"/>
          <w:kern w:val="0"/>
          <w:sz w:val="24"/>
          <w:szCs w:val="24"/>
          <w:highlight w:val="none"/>
          <w:lang w:val="en-US" w:eastAsia="zh-CN"/>
        </w:rPr>
        <w:t>后</w:t>
      </w:r>
      <w:r>
        <w:rPr>
          <w:rStyle w:val="28"/>
          <w:rFonts w:hint="eastAsia" w:ascii="宋体" w:hAnsi="宋体" w:eastAsia="宋体" w:cs="宋体"/>
          <w:snapToGrid/>
          <w:color w:val="auto"/>
          <w:kern w:val="0"/>
          <w:sz w:val="24"/>
          <w:szCs w:val="24"/>
          <w:highlight w:val="none"/>
          <w:lang w:val="en-US" w:eastAsia="zh-CN"/>
        </w:rPr>
        <w:t>，招标人应当自收到定标报告之日起3个日历天内将中标候选人和定标情况在广东省招标投标监管网和全国公共资源交易平台（广东省·韶关市）上公示，公示时间不少于3个日历天。公示主要内容包括：定标报告（定标成员信息除外）、中标候选人名单、投标报价和拟投入本项目的项目负责人、技术负责人及各专业负责人（如有）等内容。</w:t>
      </w:r>
    </w:p>
    <w:p w14:paraId="56C01E05">
      <w:pPr>
        <w:tabs>
          <w:tab w:val="left" w:pos="885"/>
        </w:tabs>
        <w:kinsoku/>
        <w:autoSpaceDE/>
        <w:autoSpaceDN/>
        <w:adjustRightInd/>
        <w:snapToGrid w:val="0"/>
        <w:spacing w:line="360" w:lineRule="auto"/>
        <w:jc w:val="both"/>
        <w:outlineLvl w:val="9"/>
        <w:rPr>
          <w:rStyle w:val="28"/>
          <w:rFonts w:hint="eastAsia" w:ascii="宋体" w:hAnsi="宋体" w:eastAsia="宋体" w:cs="宋体"/>
          <w:b/>
          <w:bCs/>
          <w:snapToGrid/>
          <w:color w:val="auto"/>
          <w:kern w:val="2"/>
          <w:sz w:val="24"/>
          <w:szCs w:val="24"/>
          <w:highlight w:val="none"/>
          <w:lang w:eastAsia="zh-CN"/>
        </w:rPr>
      </w:pPr>
      <w:bookmarkStart w:id="150" w:name="_Toc209"/>
      <w:bookmarkStart w:id="151" w:name="_Toc13023"/>
    </w:p>
    <w:p w14:paraId="09A07B38">
      <w:pPr>
        <w:tabs>
          <w:tab w:val="left" w:pos="885"/>
        </w:tabs>
        <w:kinsoku/>
        <w:autoSpaceDE/>
        <w:autoSpaceDN/>
        <w:adjustRightInd/>
        <w:snapToGrid w:val="0"/>
        <w:spacing w:line="360" w:lineRule="auto"/>
        <w:jc w:val="both"/>
        <w:outlineLvl w:val="1"/>
        <w:rPr>
          <w:rStyle w:val="28"/>
          <w:rFonts w:hint="eastAsia" w:ascii="宋体" w:hAnsi="宋体" w:eastAsia="宋体" w:cs="宋体"/>
          <w:b/>
          <w:bCs/>
          <w:snapToGrid/>
          <w:color w:val="auto"/>
          <w:kern w:val="2"/>
          <w:sz w:val="24"/>
          <w:szCs w:val="24"/>
          <w:highlight w:val="none"/>
          <w:lang w:val="en-US" w:eastAsia="zh-CN"/>
        </w:rPr>
      </w:pPr>
      <w:bookmarkStart w:id="152" w:name="_Toc26531"/>
      <w:r>
        <w:rPr>
          <w:rStyle w:val="28"/>
          <w:rFonts w:hint="eastAsia" w:ascii="宋体" w:hAnsi="宋体" w:eastAsia="宋体" w:cs="宋体"/>
          <w:b/>
          <w:bCs/>
          <w:snapToGrid/>
          <w:color w:val="auto"/>
          <w:kern w:val="2"/>
          <w:sz w:val="24"/>
          <w:szCs w:val="24"/>
          <w:highlight w:val="none"/>
          <w:lang w:eastAsia="zh-CN"/>
        </w:rPr>
        <w:t>第</w:t>
      </w:r>
      <w:r>
        <w:rPr>
          <w:rStyle w:val="28"/>
          <w:rFonts w:hint="eastAsia" w:ascii="宋体" w:hAnsi="宋体" w:eastAsia="宋体" w:cs="宋体"/>
          <w:b/>
          <w:bCs/>
          <w:snapToGrid/>
          <w:color w:val="auto"/>
          <w:kern w:val="2"/>
          <w:sz w:val="24"/>
          <w:szCs w:val="24"/>
          <w:highlight w:val="none"/>
          <w:lang w:val="en-US" w:eastAsia="zh-CN"/>
        </w:rPr>
        <w:t>六</w:t>
      </w:r>
      <w:r>
        <w:rPr>
          <w:rStyle w:val="28"/>
          <w:rFonts w:hint="eastAsia" w:ascii="宋体" w:hAnsi="宋体" w:eastAsia="宋体" w:cs="宋体"/>
          <w:b/>
          <w:bCs/>
          <w:snapToGrid/>
          <w:color w:val="auto"/>
          <w:kern w:val="2"/>
          <w:sz w:val="24"/>
          <w:szCs w:val="24"/>
          <w:highlight w:val="none"/>
          <w:lang w:eastAsia="zh-CN"/>
        </w:rPr>
        <w:t>节 中标确认</w:t>
      </w:r>
      <w:bookmarkEnd w:id="150"/>
      <w:bookmarkEnd w:id="151"/>
      <w:bookmarkEnd w:id="152"/>
    </w:p>
    <w:p w14:paraId="4CEA487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snapToGrid/>
          <w:color w:val="auto"/>
          <w:kern w:val="0"/>
          <w:sz w:val="24"/>
          <w:szCs w:val="24"/>
          <w:highlight w:val="none"/>
          <w:u w:val="none"/>
          <w:shd w:val="clear" w:color="auto" w:fill="FFFFFF"/>
          <w:lang w:val="en-US" w:eastAsia="zh-CN" w:bidi="ar-SA"/>
        </w:rPr>
      </w:pPr>
      <w:r>
        <w:rPr>
          <w:rFonts w:hint="eastAsia" w:ascii="宋体" w:hAnsi="宋体" w:eastAsia="宋体" w:cs="宋体"/>
          <w:b/>
          <w:bCs/>
          <w:snapToGrid/>
          <w:color w:val="auto"/>
          <w:kern w:val="0"/>
          <w:sz w:val="24"/>
          <w:szCs w:val="24"/>
          <w:highlight w:val="none"/>
          <w:u w:val="none"/>
          <w:shd w:val="clear" w:color="auto" w:fill="FFFFFF"/>
          <w:lang w:val="en-US" w:eastAsia="zh-CN" w:bidi="ar-SA"/>
        </w:rPr>
        <w:t>1.中标人确定</w:t>
      </w:r>
    </w:p>
    <w:p w14:paraId="52C9AF2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1.1 中标人确定。定标结果公示期满无异议的，招标人确认排名第一的中标候选人为中标人，中标人的投标报价即为中标价。</w:t>
      </w:r>
    </w:p>
    <w:p w14:paraId="1AEC508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1.2 中标人确定后，招标人应当在中标人确定之日起七日内向中标人发出中标通知书并将中标结果通知其他投标人。</w:t>
      </w:r>
      <w:r>
        <w:rPr>
          <w:rFonts w:hint="eastAsia" w:ascii="宋体" w:hAnsi="宋体" w:eastAsia="宋体" w:cs="宋体"/>
          <w:snapToGrid w:val="0"/>
          <w:color w:val="auto"/>
          <w:kern w:val="0"/>
          <w:sz w:val="24"/>
          <w:szCs w:val="24"/>
          <w:highlight w:val="none"/>
          <w:lang w:eastAsia="zh-CN"/>
        </w:rPr>
        <w:t>在中标通知书发出后</w:t>
      </w:r>
      <w:r>
        <w:rPr>
          <w:rFonts w:hint="eastAsia" w:ascii="宋体" w:hAnsi="宋体" w:eastAsia="宋体" w:cs="宋体"/>
          <w:snapToGrid w:val="0"/>
          <w:color w:val="auto"/>
          <w:kern w:val="0"/>
          <w:sz w:val="24"/>
          <w:szCs w:val="24"/>
          <w:highlight w:val="none"/>
          <w:lang w:val="en-US" w:eastAsia="zh-CN"/>
        </w:rPr>
        <w:t>五日</w:t>
      </w:r>
      <w:r>
        <w:rPr>
          <w:rFonts w:hint="eastAsia" w:ascii="宋体" w:hAnsi="宋体" w:eastAsia="宋体" w:cs="宋体"/>
          <w:snapToGrid w:val="0"/>
          <w:color w:val="auto"/>
          <w:kern w:val="0"/>
          <w:sz w:val="24"/>
          <w:szCs w:val="24"/>
          <w:highlight w:val="none"/>
          <w:lang w:eastAsia="zh-CN"/>
        </w:rPr>
        <w:t>内，将投标保证金及银行同期存款利息退回中标候选人以外的投标人，在书面合同订立之日起五日内将投标保证金及银行同期存款利息退回中标人和其他中标候选人。</w:t>
      </w:r>
      <w:r>
        <w:rPr>
          <w:rFonts w:hint="eastAsia" w:ascii="宋体" w:hAnsi="宋体" w:eastAsia="宋体" w:cs="宋体"/>
          <w:b/>
          <w:bCs/>
          <w:snapToGrid w:val="0"/>
          <w:color w:val="auto"/>
          <w:kern w:val="0"/>
          <w:sz w:val="24"/>
          <w:szCs w:val="24"/>
          <w:highlight w:val="none"/>
          <w:lang w:eastAsia="zh-CN"/>
        </w:rPr>
        <w:t>（</w:t>
      </w:r>
      <w:r>
        <w:rPr>
          <w:rFonts w:hint="eastAsia" w:ascii="宋体" w:hAnsi="宋体" w:eastAsia="宋体" w:cs="宋体"/>
          <w:b/>
          <w:bCs/>
          <w:snapToGrid w:val="0"/>
          <w:color w:val="auto"/>
          <w:kern w:val="0"/>
          <w:sz w:val="24"/>
          <w:szCs w:val="24"/>
          <w:highlight w:val="none"/>
          <w:lang w:val="en-US" w:eastAsia="zh-CN"/>
        </w:rPr>
        <w:t>具体投标保证金退回按韶关市公共资源交易中心相应规定操作</w:t>
      </w:r>
      <w:r>
        <w:rPr>
          <w:rFonts w:hint="eastAsia" w:ascii="宋体" w:hAnsi="宋体" w:eastAsia="宋体" w:cs="宋体"/>
          <w:b/>
          <w:bCs/>
          <w:snapToGrid w:val="0"/>
          <w:color w:val="auto"/>
          <w:kern w:val="0"/>
          <w:sz w:val="24"/>
          <w:szCs w:val="24"/>
          <w:highlight w:val="none"/>
          <w:lang w:eastAsia="zh-CN"/>
        </w:rPr>
        <w:t>）</w:t>
      </w:r>
    </w:p>
    <w:p w14:paraId="2996DA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1.3 中标通知书发出后15日内，招标人应将中标结果在广东省招标投标监管网、全国公共资源交易平台（广东省·韶关市）进行公示。招标人应当自确定中标人之日起15日内，向有关招标管理部门提交招标投标情况的书面报告。</w:t>
      </w:r>
    </w:p>
    <w:p w14:paraId="42754806">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snapToGrid/>
          <w:color w:val="auto"/>
          <w:kern w:val="2"/>
          <w:sz w:val="24"/>
          <w:szCs w:val="24"/>
          <w:highlight w:val="none"/>
          <w:lang w:eastAsia="zh-CN"/>
        </w:rPr>
      </w:pPr>
      <w:r>
        <w:rPr>
          <w:rFonts w:hint="eastAsia" w:ascii="宋体" w:hAnsi="宋体" w:eastAsia="宋体" w:cs="宋体"/>
          <w:b/>
          <w:bCs/>
          <w:snapToGrid/>
          <w:color w:val="auto"/>
          <w:kern w:val="2"/>
          <w:sz w:val="24"/>
          <w:szCs w:val="24"/>
          <w:highlight w:val="none"/>
          <w:lang w:val="en-US" w:eastAsia="zh-CN"/>
        </w:rPr>
        <w:t>2</w:t>
      </w:r>
      <w:r>
        <w:rPr>
          <w:rFonts w:hint="eastAsia" w:ascii="宋体" w:hAnsi="宋体" w:eastAsia="宋体" w:cs="宋体"/>
          <w:b/>
          <w:bCs/>
          <w:snapToGrid/>
          <w:color w:val="auto"/>
          <w:kern w:val="2"/>
          <w:sz w:val="24"/>
          <w:szCs w:val="24"/>
          <w:highlight w:val="none"/>
          <w:lang w:eastAsia="zh-CN"/>
        </w:rPr>
        <w:t>.异议和投诉</w:t>
      </w:r>
    </w:p>
    <w:p w14:paraId="18457C2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2.1 投标人或者其他利害关系人对招标项目的评标和定标结果有异议的，应当在定标候选人和中标候选人公示期间按规定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4638B37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2.2在定标候选人和中标候选人公示期间有关评审结果的异议成立的，招标人原则上应当组织原评标委员会和原定标委员会对有关的问题予以纠正，问题纠正后再公示定标候选人和中标候选人。</w:t>
      </w:r>
    </w:p>
    <w:p w14:paraId="5AEF184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向有关招标管理部门投诉。投诉应当有明确的请求和必要的证明材料。招标管理部门应当自收到投诉之日起30个工作日内作出书面处理决定。</w:t>
      </w:r>
    </w:p>
    <w:p w14:paraId="46E487BC">
      <w:pPr>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bidi w:val="0"/>
        <w:adjustRightInd/>
        <w:snapToGrid/>
        <w:spacing w:before="0" w:beforeLines="0" w:beforeAutospacing="0" w:after="0" w:afterLines="0" w:afterAutospacing="0" w:line="360" w:lineRule="auto"/>
        <w:ind w:left="0" w:leftChars="0" w:right="0" w:firstLine="482" w:firstLineChars="200"/>
        <w:jc w:val="both"/>
        <w:textAlignment w:val="auto"/>
        <w:outlineLvl w:val="9"/>
        <w:rPr>
          <w:rFonts w:hint="eastAsia" w:ascii="宋体" w:hAnsi="宋体" w:eastAsia="宋体" w:cs="宋体"/>
          <w:b/>
          <w:bCs/>
          <w:i/>
          <w:color w:val="auto"/>
          <w:kern w:val="0"/>
          <w:sz w:val="24"/>
          <w:szCs w:val="24"/>
          <w:highlight w:val="none"/>
          <w:lang w:val="en-US" w:eastAsia="zh-CN" w:bidi="ar"/>
        </w:rPr>
      </w:pPr>
      <w:bookmarkStart w:id="153" w:name="_Toc236550039"/>
      <w:r>
        <w:rPr>
          <w:rStyle w:val="21"/>
          <w:rFonts w:hint="eastAsia" w:ascii="宋体" w:hAnsi="宋体" w:eastAsia="宋体" w:cs="宋体"/>
          <w:b/>
          <w:bCs/>
          <w:i w:val="0"/>
          <w:color w:val="auto"/>
          <w:kern w:val="2"/>
          <w:sz w:val="24"/>
          <w:szCs w:val="24"/>
          <w:highlight w:val="none"/>
          <w:lang w:val="en-US" w:eastAsia="zh-CN" w:bidi="ar-SA"/>
        </w:rPr>
        <w:t>3．废除授标</w:t>
      </w:r>
      <w:bookmarkEnd w:id="153"/>
      <w:r>
        <w:rPr>
          <w:rStyle w:val="21"/>
          <w:rFonts w:hint="eastAsia" w:ascii="宋体" w:hAnsi="宋体" w:eastAsia="宋体" w:cs="宋体"/>
          <w:b/>
          <w:bCs/>
          <w:i w:val="0"/>
          <w:color w:val="auto"/>
          <w:kern w:val="2"/>
          <w:sz w:val="24"/>
          <w:szCs w:val="24"/>
          <w:highlight w:val="none"/>
          <w:lang w:val="en-US" w:eastAsia="zh-CN" w:bidi="ar-SA"/>
        </w:rPr>
        <w:t>及授标</w:t>
      </w:r>
    </w:p>
    <w:p w14:paraId="052289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4B7A9CD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（1）以他人名义投标或者以其他方式弄虚作假骗取中标的；</w:t>
      </w:r>
    </w:p>
    <w:p w14:paraId="138834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（2）与其他投标人串通投标或以行贿的手段谋取中标的；</w:t>
      </w:r>
    </w:p>
    <w:p w14:paraId="518C90A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5D02D9C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573568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（5）因中标人过错而未能按照规定与招标人签订工程承包合同或中标人因不可抗力提出不能履行合同的；</w:t>
      </w:r>
    </w:p>
    <w:p w14:paraId="034597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（6）因中标人过错而未能按照招标文件要求向招标人提交履约担保的；</w:t>
      </w:r>
    </w:p>
    <w:p w14:paraId="39E3E24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B1F375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496E3E5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6E84A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（10）招标文件明确规定可以废除授标的其他情形。</w:t>
      </w:r>
    </w:p>
    <w:p w14:paraId="718AB06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757EF37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3.3 招标人有下列情形之一的，应依法承担相应的责任：</w:t>
      </w:r>
    </w:p>
    <w:p w14:paraId="3238B11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（1）无正当理由不发出中标通知书的；</w:t>
      </w:r>
    </w:p>
    <w:p w14:paraId="66685B4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（2）招标人不按照规定确定中标人的；</w:t>
      </w:r>
    </w:p>
    <w:p w14:paraId="5893B80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（3）中标通知书发出后无正当理由改变中标结果的；</w:t>
      </w:r>
    </w:p>
    <w:p w14:paraId="2480657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（4）无正当理由不与中标人签订工程承包合同的；</w:t>
      </w:r>
    </w:p>
    <w:p w14:paraId="0D2085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snapToGrid/>
          <w:color w:val="auto"/>
          <w:kern w:val="0"/>
          <w:sz w:val="24"/>
          <w:szCs w:val="24"/>
          <w:highlight w:val="none"/>
          <w:u w:val="none"/>
          <w:shd w:val="clear" w:color="auto" w:fill="FFFFFF"/>
          <w:lang w:val="en-US" w:eastAsia="zh-CN" w:bidi="ar-SA"/>
        </w:rPr>
      </w:pPr>
      <w:r>
        <w:rPr>
          <w:rFonts w:hint="eastAsia" w:ascii="宋体" w:hAnsi="宋体" w:eastAsia="宋体" w:cs="宋体"/>
          <w:b w:val="0"/>
          <w:bCs w:val="0"/>
          <w:snapToGrid/>
          <w:color w:val="auto"/>
          <w:kern w:val="0"/>
          <w:sz w:val="24"/>
          <w:szCs w:val="24"/>
          <w:highlight w:val="none"/>
          <w:u w:val="none"/>
          <w:shd w:val="clear" w:color="auto" w:fill="FFFFFF"/>
          <w:lang w:val="en-US" w:eastAsia="zh-CN" w:bidi="ar-SA"/>
        </w:rPr>
        <w:t>（5）在签订工程承包合同时向中标人提出附加条件或者更改合同实质性内容的。</w:t>
      </w:r>
    </w:p>
    <w:p w14:paraId="27460F48">
      <w:pPr>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5FFFBA50">
      <w:pPr>
        <w:keepNext w:val="0"/>
        <w:keepLines w:val="0"/>
        <w:pageBreakBefore w:val="0"/>
        <w:wordWrap w:val="0"/>
        <w:overflowPunct/>
        <w:topLinePunct w:val="0"/>
        <w:bidi w:val="0"/>
        <w:spacing w:before="78" w:line="360" w:lineRule="auto"/>
        <w:ind w:left="3525"/>
        <w:outlineLvl w:val="0"/>
        <w:rPr>
          <w:rFonts w:hint="eastAsia" w:ascii="宋体" w:hAnsi="宋体" w:eastAsia="宋体" w:cs="宋体"/>
          <w:color w:val="auto"/>
          <w:spacing w:val="0"/>
          <w:sz w:val="24"/>
          <w:szCs w:val="24"/>
          <w:highlight w:val="none"/>
        </w:rPr>
      </w:pPr>
      <w:bookmarkStart w:id="154" w:name="_Toc31598"/>
      <w:r>
        <w:rPr>
          <w:rFonts w:hint="eastAsia" w:ascii="宋体" w:hAnsi="宋体" w:eastAsia="宋体" w:cs="宋体"/>
          <w:b/>
          <w:bCs/>
          <w:color w:val="auto"/>
          <w:spacing w:val="0"/>
          <w:sz w:val="24"/>
          <w:szCs w:val="24"/>
          <w:highlight w:val="none"/>
        </w:rPr>
        <w:t>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bookmarkEnd w:id="154"/>
    </w:p>
    <w:p w14:paraId="3C63E460">
      <w:pPr>
        <w:keepNext w:val="0"/>
        <w:keepLines w:val="0"/>
        <w:pageBreakBefore w:val="0"/>
        <w:wordWrap w:val="0"/>
        <w:overflowPunct/>
        <w:topLinePunct w:val="0"/>
        <w:bidi w:val="0"/>
        <w:spacing w:before="78" w:line="360" w:lineRule="auto"/>
        <w:ind w:left="582"/>
        <w:outlineLvl w:val="2"/>
        <w:rPr>
          <w:rFonts w:hint="eastAsia" w:ascii="宋体" w:hAnsi="宋体" w:eastAsia="宋体" w:cs="宋体"/>
          <w:color w:val="auto"/>
          <w:spacing w:val="0"/>
          <w:sz w:val="24"/>
          <w:szCs w:val="24"/>
          <w:highlight w:val="none"/>
        </w:rPr>
      </w:pPr>
      <w:bookmarkStart w:id="155" w:name="_Toc22638"/>
      <w:r>
        <w:rPr>
          <w:rFonts w:hint="eastAsia" w:ascii="宋体" w:hAnsi="宋体" w:eastAsia="宋体" w:cs="宋体"/>
          <w:b/>
          <w:bCs/>
          <w:color w:val="auto"/>
          <w:spacing w:val="0"/>
          <w:sz w:val="24"/>
          <w:szCs w:val="24"/>
          <w:highlight w:val="none"/>
        </w:rPr>
        <w:t>1 ．中标通知书</w:t>
      </w:r>
      <w:bookmarkEnd w:id="155"/>
    </w:p>
    <w:p w14:paraId="33680385">
      <w:pPr>
        <w:keepNext w:val="0"/>
        <w:keepLines w:val="0"/>
        <w:pageBreakBefore w:val="0"/>
        <w:wordWrap w:val="0"/>
        <w:overflowPunct/>
        <w:topLinePunct w:val="0"/>
        <w:bidi w:val="0"/>
        <w:spacing w:before="152" w:line="360" w:lineRule="auto"/>
        <w:ind w:left="17" w:firstLine="55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招标人确定第一中标候选人为中标人，并在中标人确定之日起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0E2EC4A2">
      <w:pPr>
        <w:keepNext w:val="0"/>
        <w:keepLines w:val="0"/>
        <w:pageBreakBefore w:val="0"/>
        <w:wordWrap w:val="0"/>
        <w:overflowPunct/>
        <w:topLinePunct w:val="0"/>
        <w:bidi w:val="0"/>
        <w:spacing w:before="78" w:line="360" w:lineRule="auto"/>
        <w:ind w:left="572"/>
        <w:outlineLvl w:val="2"/>
        <w:rPr>
          <w:rFonts w:hint="eastAsia" w:ascii="宋体" w:hAnsi="宋体" w:eastAsia="宋体" w:cs="宋体"/>
          <w:color w:val="auto"/>
          <w:spacing w:val="0"/>
          <w:sz w:val="24"/>
          <w:szCs w:val="24"/>
          <w:highlight w:val="none"/>
        </w:rPr>
      </w:pPr>
      <w:bookmarkStart w:id="156" w:name="_Toc6074"/>
      <w:r>
        <w:rPr>
          <w:rFonts w:hint="eastAsia" w:ascii="宋体" w:hAnsi="宋体" w:eastAsia="宋体" w:cs="宋体"/>
          <w:b/>
          <w:bCs/>
          <w:color w:val="auto"/>
          <w:spacing w:val="0"/>
          <w:sz w:val="24"/>
          <w:szCs w:val="24"/>
          <w:highlight w:val="none"/>
        </w:rPr>
        <w:t>2 ．中标结果公示</w:t>
      </w:r>
      <w:bookmarkEnd w:id="156"/>
    </w:p>
    <w:p w14:paraId="6D402282">
      <w:pPr>
        <w:keepNext w:val="0"/>
        <w:keepLines w:val="0"/>
        <w:pageBreakBefore w:val="0"/>
        <w:wordWrap w:val="0"/>
        <w:overflowPunct/>
        <w:topLinePunct w:val="0"/>
        <w:bidi w:val="0"/>
        <w:spacing w:before="115" w:line="360" w:lineRule="auto"/>
        <w:ind w:left="2" w:right="203" w:firstLine="595"/>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中标通知书发出后 15</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日内，招标人应将中标结果在广东省招标投标监管网（http://zbtb.gd.gov.cn）、全国公共资源交易平台（广东省·韶关市）（https://ygp.gdzwfw.gov.cn/ggzy-portal/#/440200/index）进行公示。</w:t>
      </w:r>
    </w:p>
    <w:p w14:paraId="2C95E54C">
      <w:pPr>
        <w:keepNext w:val="0"/>
        <w:keepLines w:val="0"/>
        <w:pageBreakBefore w:val="0"/>
        <w:wordWrap w:val="0"/>
        <w:overflowPunct/>
        <w:topLinePunct w:val="0"/>
        <w:bidi w:val="0"/>
        <w:spacing w:before="79" w:line="360" w:lineRule="auto"/>
        <w:ind w:left="570"/>
        <w:outlineLvl w:val="2"/>
        <w:rPr>
          <w:rFonts w:hint="eastAsia" w:ascii="宋体" w:hAnsi="宋体" w:eastAsia="宋体" w:cs="宋体"/>
          <w:color w:val="auto"/>
          <w:spacing w:val="0"/>
          <w:sz w:val="24"/>
          <w:szCs w:val="24"/>
          <w:highlight w:val="none"/>
        </w:rPr>
      </w:pPr>
      <w:bookmarkStart w:id="157" w:name="_Toc14494"/>
      <w:r>
        <w:rPr>
          <w:rFonts w:hint="eastAsia" w:ascii="宋体" w:hAnsi="宋体" w:eastAsia="宋体" w:cs="宋体"/>
          <w:b/>
          <w:bCs/>
          <w:color w:val="auto"/>
          <w:spacing w:val="0"/>
          <w:sz w:val="24"/>
          <w:szCs w:val="24"/>
          <w:highlight w:val="none"/>
        </w:rPr>
        <w:t>3 ．履约保证</w:t>
      </w:r>
      <w:bookmarkEnd w:id="157"/>
    </w:p>
    <w:p w14:paraId="677C4C26">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firstLine="482"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3.1  </w:t>
      </w:r>
      <w:r>
        <w:rPr>
          <w:rFonts w:hint="eastAsia" w:ascii="宋体" w:hAnsi="宋体" w:eastAsia="宋体" w:cs="宋体"/>
          <w:color w:val="auto"/>
          <w:spacing w:val="0"/>
          <w:sz w:val="24"/>
          <w:szCs w:val="24"/>
          <w:highlight w:val="none"/>
        </w:rPr>
        <w:t>中标人须在领取中标通知书之日起</w:t>
      </w:r>
      <w:r>
        <w:rPr>
          <w:rFonts w:hint="eastAsia" w:ascii="宋体" w:hAnsi="宋体" w:eastAsia="宋体" w:cs="宋体"/>
          <w:color w:val="auto"/>
          <w:spacing w:val="0"/>
          <w:sz w:val="24"/>
          <w:szCs w:val="24"/>
          <w:highlight w:val="none"/>
          <w:u w:val="single"/>
          <w:lang w:val="en-US" w:eastAsia="zh-CN"/>
        </w:rPr>
        <w:t xml:space="preserve"> 10 </w:t>
      </w:r>
      <w:r>
        <w:rPr>
          <w:rFonts w:hint="eastAsia" w:ascii="宋体" w:hAnsi="宋体" w:eastAsia="宋体" w:cs="宋体"/>
          <w:color w:val="auto"/>
          <w:spacing w:val="0"/>
          <w:sz w:val="24"/>
          <w:szCs w:val="24"/>
          <w:highlight w:val="none"/>
        </w:rPr>
        <w:t>个工作日内、签订合同前向招标人提交金额</w:t>
      </w:r>
      <w:r>
        <w:rPr>
          <w:rFonts w:hint="eastAsia" w:ascii="宋体" w:hAnsi="宋体" w:eastAsia="宋体" w:cs="宋体"/>
          <w:color w:val="auto"/>
          <w:spacing w:val="0"/>
          <w:position w:val="2"/>
          <w:sz w:val="24"/>
          <w:szCs w:val="24"/>
          <w:highlight w:val="none"/>
        </w:rPr>
        <w:t>为中标价</w:t>
      </w:r>
      <w:r>
        <w:rPr>
          <w:rFonts w:hint="eastAsia" w:ascii="宋体" w:hAnsi="宋体" w:eastAsia="宋体" w:cs="宋体"/>
          <w:color w:val="auto"/>
          <w:spacing w:val="0"/>
          <w:position w:val="2"/>
          <w:sz w:val="24"/>
          <w:szCs w:val="24"/>
          <w:highlight w:val="none"/>
          <w:u w:val="single"/>
          <w:lang w:val="en-US" w:eastAsia="zh-CN"/>
        </w:rPr>
        <w:t xml:space="preserve"> 5</w:t>
      </w:r>
      <w:r>
        <w:rPr>
          <w:rFonts w:hint="eastAsia" w:ascii="宋体" w:hAnsi="宋体" w:eastAsia="宋体" w:cs="宋体"/>
          <w:color w:val="auto"/>
          <w:spacing w:val="0"/>
          <w:position w:val="2"/>
          <w:sz w:val="24"/>
          <w:szCs w:val="24"/>
          <w:highlight w:val="none"/>
          <w:u w:val="single"/>
        </w:rPr>
        <w:t xml:space="preserve">%  </w:t>
      </w:r>
      <w:r>
        <w:rPr>
          <w:rFonts w:hint="eastAsia" w:ascii="宋体" w:hAnsi="宋体" w:eastAsia="宋体" w:cs="宋体"/>
          <w:color w:val="auto"/>
          <w:spacing w:val="0"/>
          <w:position w:val="2"/>
          <w:sz w:val="24"/>
          <w:szCs w:val="24"/>
          <w:highlight w:val="none"/>
        </w:rPr>
        <w:t>的履约保证。联合体中标的，由联合体牵头人提交。</w:t>
      </w:r>
    </w:p>
    <w:p w14:paraId="49B5F994">
      <w:pPr>
        <w:keepNext w:val="0"/>
        <w:keepLines w:val="0"/>
        <w:pageBreakBefore w:val="0"/>
        <w:wordWrap w:val="0"/>
        <w:overflowPunct/>
        <w:topLinePunct w:val="0"/>
        <w:bidi w:val="0"/>
        <w:spacing w:before="89" w:line="360"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3.2</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0"/>
          <w:sz w:val="24"/>
          <w:szCs w:val="24"/>
          <w:highlight w:val="none"/>
        </w:rPr>
        <w:t>。商业保函、银行保函或保险合同（或保险单）的有效期应当自合同生效之日起至项目通过竣工验收之日后 28 天止。</w:t>
      </w:r>
    </w:p>
    <w:p w14:paraId="0431B761">
      <w:pPr>
        <w:keepNext w:val="0"/>
        <w:keepLines w:val="0"/>
        <w:pageBreakBefore w:val="0"/>
        <w:wordWrap w:val="0"/>
        <w:overflowPunct/>
        <w:topLinePunct w:val="0"/>
        <w:bidi w:val="0"/>
        <w:spacing w:line="360" w:lineRule="auto"/>
        <w:ind w:firstLine="562"/>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1AD60AEA">
      <w:pPr>
        <w:keepNext w:val="0"/>
        <w:keepLines w:val="0"/>
        <w:pageBreakBefore w:val="0"/>
        <w:wordWrap w:val="0"/>
        <w:overflowPunct/>
        <w:topLinePunct w:val="0"/>
        <w:bidi w:val="0"/>
        <w:spacing w:before="145" w:line="360" w:lineRule="auto"/>
        <w:ind w:left="12" w:right="108"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3.3  </w:t>
      </w:r>
      <w:r>
        <w:rPr>
          <w:rFonts w:hint="eastAsia" w:ascii="宋体" w:hAnsi="宋体" w:eastAsia="宋体" w:cs="宋体"/>
          <w:color w:val="auto"/>
          <w:spacing w:val="0"/>
          <w:sz w:val="24"/>
          <w:szCs w:val="24"/>
          <w:highlight w:val="none"/>
        </w:rPr>
        <w:t>中标人在领取中标通知书之日起 10 个工作日内仍未提交履约保证的，招标人发出第一次提醒函；在领取中标通知书之日起 15 个工作日内仍未提交的，招标人发出第二次提醒函；在领取中标通知书之日起 20个工作日内仍未提交的，视其放弃中标。并由招标人通报建设行政管理部门。如采用商业保函、银行保函或保险合同方式缴纳履约保证金，在保函或保险合同到期前一个月，中标人须主动办理续期手续或提交新的商业保函、银行保函或保险合同。</w:t>
      </w:r>
    </w:p>
    <w:p w14:paraId="439D8102">
      <w:pPr>
        <w:keepNext w:val="0"/>
        <w:keepLines w:val="0"/>
        <w:pageBreakBefore w:val="0"/>
        <w:wordWrap w:val="0"/>
        <w:overflowPunct/>
        <w:topLinePunct w:val="0"/>
        <w:bidi w:val="0"/>
        <w:spacing w:before="152" w:line="360" w:lineRule="auto"/>
        <w:ind w:left="12" w:right="108"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3.4  </w:t>
      </w:r>
      <w:r>
        <w:rPr>
          <w:rFonts w:hint="eastAsia" w:ascii="宋体" w:hAnsi="宋体" w:eastAsia="宋体" w:cs="宋体"/>
          <w:color w:val="auto"/>
          <w:spacing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05A3F90E">
      <w:pPr>
        <w:keepNext w:val="0"/>
        <w:keepLines w:val="0"/>
        <w:pageBreakBefore w:val="0"/>
        <w:wordWrap w:val="0"/>
        <w:overflowPunct/>
        <w:topLinePunct w:val="0"/>
        <w:bidi w:val="0"/>
        <w:spacing w:before="154" w:line="360" w:lineRule="auto"/>
        <w:ind w:left="48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3.5  </w:t>
      </w:r>
      <w:r>
        <w:rPr>
          <w:rFonts w:hint="eastAsia" w:ascii="宋体" w:hAnsi="宋体" w:eastAsia="宋体" w:cs="宋体"/>
          <w:color w:val="auto"/>
          <w:spacing w:val="0"/>
          <w:sz w:val="24"/>
          <w:szCs w:val="24"/>
          <w:highlight w:val="none"/>
        </w:rPr>
        <w:t>项目通过竣工验收之日后 28 天内，发包人将履约保证退还给承包人。</w:t>
      </w:r>
    </w:p>
    <w:p w14:paraId="13852EB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2841E06">
      <w:pPr>
        <w:keepNext w:val="0"/>
        <w:keepLines w:val="0"/>
        <w:pageBreakBefore w:val="0"/>
        <w:wordWrap w:val="0"/>
        <w:overflowPunct/>
        <w:topLinePunct w:val="0"/>
        <w:bidi w:val="0"/>
        <w:spacing w:before="78" w:line="360" w:lineRule="auto"/>
        <w:ind w:left="488"/>
        <w:outlineLvl w:val="2"/>
        <w:rPr>
          <w:rFonts w:hint="eastAsia" w:ascii="宋体" w:hAnsi="宋体" w:eastAsia="宋体" w:cs="宋体"/>
          <w:color w:val="auto"/>
          <w:spacing w:val="0"/>
          <w:sz w:val="24"/>
          <w:szCs w:val="24"/>
          <w:highlight w:val="none"/>
        </w:rPr>
      </w:pPr>
      <w:bookmarkStart w:id="158" w:name="_Toc21637"/>
      <w:r>
        <w:rPr>
          <w:rFonts w:hint="eastAsia" w:ascii="宋体" w:hAnsi="宋体" w:eastAsia="宋体" w:cs="宋体"/>
          <w:b/>
          <w:bCs/>
          <w:color w:val="auto"/>
          <w:spacing w:val="0"/>
          <w:sz w:val="24"/>
          <w:szCs w:val="24"/>
          <w:highlight w:val="none"/>
        </w:rPr>
        <w:t>4 ．合同订立</w:t>
      </w:r>
      <w:bookmarkEnd w:id="158"/>
    </w:p>
    <w:p w14:paraId="60A8639F">
      <w:pPr>
        <w:keepNext w:val="0"/>
        <w:keepLines w:val="0"/>
        <w:pageBreakBefore w:val="0"/>
        <w:widowControl/>
        <w:kinsoku w:val="0"/>
        <w:wordWrap w:val="0"/>
        <w:overflowPunct/>
        <w:topLinePunct w:val="0"/>
        <w:autoSpaceDE w:val="0"/>
        <w:autoSpaceDN w:val="0"/>
        <w:bidi w:val="0"/>
        <w:adjustRightInd w:val="0"/>
        <w:snapToGrid w:val="0"/>
        <w:spacing w:before="150" w:line="360" w:lineRule="auto"/>
        <w:ind w:left="11" w:right="108"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4.1  </w:t>
      </w:r>
      <w:r>
        <w:rPr>
          <w:rFonts w:hint="eastAsia" w:ascii="宋体" w:hAnsi="宋体" w:eastAsia="宋体" w:cs="宋体"/>
          <w:color w:val="auto"/>
          <w:spacing w:val="0"/>
          <w:sz w:val="24"/>
          <w:szCs w:val="24"/>
          <w:highlight w:val="none"/>
        </w:rPr>
        <w:t>招标人应当自中标通知书发出之日起</w:t>
      </w:r>
      <w:r>
        <w:rPr>
          <w:rFonts w:hint="eastAsia" w:ascii="宋体" w:hAnsi="宋体" w:eastAsia="宋体" w:cs="宋体"/>
          <w:color w:val="auto"/>
          <w:spacing w:val="0"/>
          <w:sz w:val="24"/>
          <w:szCs w:val="24"/>
          <w:highlight w:val="none"/>
          <w:u w:val="single"/>
          <w:lang w:val="en-US" w:eastAsia="zh-CN"/>
        </w:rPr>
        <w:t xml:space="preserve"> 三十 </w:t>
      </w:r>
      <w:r>
        <w:rPr>
          <w:rFonts w:hint="eastAsia" w:ascii="宋体" w:hAnsi="宋体" w:eastAsia="宋体" w:cs="宋体"/>
          <w:color w:val="auto"/>
          <w:spacing w:val="0"/>
          <w:sz w:val="24"/>
          <w:szCs w:val="24"/>
          <w:highlight w:val="none"/>
        </w:rPr>
        <w:t>日内，按照招标文件、中标人的投标文件与中标人订立书面合同。</w:t>
      </w:r>
    </w:p>
    <w:p w14:paraId="44F9543E">
      <w:pPr>
        <w:keepNext w:val="0"/>
        <w:keepLines w:val="0"/>
        <w:pageBreakBefore w:val="0"/>
        <w:wordWrap w:val="0"/>
        <w:overflowPunct/>
        <w:topLinePunct w:val="0"/>
        <w:bidi w:val="0"/>
        <w:spacing w:before="156"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  </w:t>
      </w:r>
      <w:r>
        <w:rPr>
          <w:rFonts w:hint="eastAsia" w:ascii="宋体" w:hAnsi="宋体" w:eastAsia="宋体" w:cs="宋体"/>
          <w:color w:val="auto"/>
          <w:spacing w:val="0"/>
          <w:sz w:val="24"/>
          <w:szCs w:val="24"/>
          <w:highlight w:val="none"/>
        </w:rPr>
        <w:t>不正常报价的梳理和确认</w:t>
      </w:r>
    </w:p>
    <w:p w14:paraId="416E0180">
      <w:pPr>
        <w:keepNext w:val="0"/>
        <w:keepLines w:val="0"/>
        <w:pageBreakBefore w:val="0"/>
        <w:wordWrap w:val="0"/>
        <w:overflowPunct/>
        <w:topLinePunct w:val="0"/>
        <w:bidi w:val="0"/>
        <w:spacing w:before="154" w:line="360" w:lineRule="auto"/>
        <w:ind w:left="14" w:right="64"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4.2.1 合同订立期间，在不改变中标人的投标总价的前提下，招标人应对中标人的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0"/>
          <w:sz w:val="24"/>
          <w:szCs w:val="24"/>
          <w:highlight w:val="none"/>
        </w:rPr>
        <w:t>招标人不具备以上能力的，可授权编制本项目</w:t>
      </w:r>
      <w:r>
        <w:rPr>
          <w:rFonts w:hint="eastAsia" w:ascii="宋体" w:hAnsi="宋体" w:eastAsia="宋体" w:cs="宋体"/>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的造价咨询单位实施。</w:t>
      </w:r>
    </w:p>
    <w:p w14:paraId="0BF121F6">
      <w:pPr>
        <w:keepNext w:val="0"/>
        <w:keepLines w:val="0"/>
        <w:pageBreakBefore w:val="0"/>
        <w:wordWrap w:val="0"/>
        <w:overflowPunct/>
        <w:topLinePunct w:val="0"/>
        <w:bidi w:val="0"/>
        <w:spacing w:before="121" w:line="360" w:lineRule="auto"/>
        <w:ind w:left="14" w:right="65" w:firstLine="47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4.2.2  </w:t>
      </w:r>
      <w:r>
        <w:rPr>
          <w:rFonts w:hint="eastAsia" w:ascii="宋体" w:hAnsi="宋体" w:eastAsia="宋体" w:cs="宋体"/>
          <w:color w:val="auto"/>
          <w:spacing w:val="0"/>
          <w:sz w:val="24"/>
          <w:szCs w:val="24"/>
          <w:highlight w:val="none"/>
        </w:rPr>
        <w:t>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0D1041E0">
      <w:pPr>
        <w:keepNext w:val="0"/>
        <w:keepLines w:val="0"/>
        <w:pageBreakBefore w:val="0"/>
        <w:wordWrap w:val="0"/>
        <w:overflowPunct/>
        <w:topLinePunct w:val="0"/>
        <w:bidi w:val="0"/>
        <w:spacing w:before="157" w:line="360" w:lineRule="auto"/>
        <w:ind w:left="12" w:right="66"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4.2.3  </w:t>
      </w:r>
      <w:r>
        <w:rPr>
          <w:rFonts w:hint="eastAsia" w:ascii="宋体" w:hAnsi="宋体" w:eastAsia="宋体" w:cs="宋体"/>
          <w:color w:val="auto"/>
          <w:spacing w:val="0"/>
          <w:sz w:val="24"/>
          <w:szCs w:val="24"/>
          <w:highlight w:val="none"/>
        </w:rPr>
        <w:t>错漏项的认定。中标人已标价工程量清单中，任一清单项目未填报价格或价格为零的，视为错漏项。</w:t>
      </w:r>
    </w:p>
    <w:p w14:paraId="3A357F91">
      <w:pPr>
        <w:keepNext w:val="0"/>
        <w:keepLines w:val="0"/>
        <w:pageBreakBefore w:val="0"/>
        <w:wordWrap w:val="0"/>
        <w:overflowPunct/>
        <w:topLinePunct w:val="0"/>
        <w:bidi w:val="0"/>
        <w:spacing w:before="121" w:line="360" w:lineRule="auto"/>
        <w:ind w:firstLine="482" w:firstLineChars="2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4.2.4  </w:t>
      </w:r>
      <w:r>
        <w:rPr>
          <w:rFonts w:hint="eastAsia" w:ascii="宋体" w:hAnsi="宋体" w:eastAsia="宋体" w:cs="宋体"/>
          <w:color w:val="auto"/>
          <w:spacing w:val="0"/>
          <w:sz w:val="24"/>
          <w:szCs w:val="24"/>
          <w:highlight w:val="none"/>
        </w:rPr>
        <w:t>不平衡报价的认定。经修正算术性错误后的中标人已标价工程量清单中，</w:t>
      </w:r>
      <w:r>
        <w:rPr>
          <w:rFonts w:hint="eastAsia" w:ascii="宋体" w:hAnsi="宋体" w:eastAsia="宋体" w:cs="宋体"/>
          <w:color w:val="auto"/>
          <w:spacing w:val="0"/>
          <w:sz w:val="24"/>
          <w:szCs w:val="24"/>
          <w:highlight w:val="none"/>
          <w:u w:val="single"/>
        </w:rPr>
        <w:t>对于投标报价中综合单价相对</w:t>
      </w:r>
      <w:r>
        <w:rPr>
          <w:rFonts w:hint="eastAsia" w:ascii="宋体" w:hAnsi="宋体" w:eastAsia="宋体" w:cs="宋体"/>
          <w:color w:val="auto"/>
          <w:spacing w:val="0"/>
          <w:sz w:val="24"/>
          <w:szCs w:val="24"/>
          <w:highlight w:val="none"/>
          <w:u w:val="single"/>
          <w:lang w:eastAsia="zh-CN"/>
        </w:rPr>
        <w:t>最高投标限价</w:t>
      </w:r>
      <w:r>
        <w:rPr>
          <w:rFonts w:hint="eastAsia" w:ascii="宋体" w:hAnsi="宋体" w:eastAsia="宋体" w:cs="宋体"/>
          <w:color w:val="auto"/>
          <w:spacing w:val="0"/>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0"/>
          <w:sz w:val="24"/>
          <w:szCs w:val="24"/>
          <w:highlight w:val="none"/>
          <w:u w:val="none"/>
        </w:rPr>
        <w:t>的清单项目</w:t>
      </w:r>
      <w:r>
        <w:rPr>
          <w:rFonts w:hint="eastAsia" w:ascii="宋体" w:hAnsi="宋体" w:eastAsia="宋体" w:cs="宋体"/>
          <w:color w:val="auto"/>
          <w:spacing w:val="0"/>
          <w:sz w:val="24"/>
          <w:szCs w:val="24"/>
          <w:highlight w:val="none"/>
        </w:rPr>
        <w:t>，视为不平衡报价项目。</w:t>
      </w:r>
    </w:p>
    <w:p w14:paraId="59BB732F">
      <w:pPr>
        <w:keepNext w:val="0"/>
        <w:keepLines w:val="0"/>
        <w:pageBreakBefore w:val="0"/>
        <w:wordWrap w:val="0"/>
        <w:overflowPunct/>
        <w:topLinePunct w:val="0"/>
        <w:bidi w:val="0"/>
        <w:spacing w:before="146" w:line="360" w:lineRule="auto"/>
        <w:ind w:left="10" w:right="65" w:firstLine="478"/>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4.2.5 </w:t>
      </w:r>
      <w:r>
        <w:rPr>
          <w:rFonts w:hint="eastAsia" w:ascii="宋体" w:hAnsi="宋体" w:eastAsia="宋体" w:cs="宋体"/>
          <w:color w:val="auto"/>
          <w:spacing w:val="0"/>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1B35F881">
      <w:pPr>
        <w:keepNext w:val="0"/>
        <w:keepLines w:val="0"/>
        <w:pageBreakBefore w:val="0"/>
        <w:wordWrap w:val="0"/>
        <w:overflowPunct/>
        <w:topLinePunct w:val="0"/>
        <w:bidi w:val="0"/>
        <w:spacing w:before="34" w:line="360" w:lineRule="auto"/>
        <w:ind w:left="12" w:right="65"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4.2.6 合同履行过程中，被认定为错漏项的清单项目，结算时按照第三章“拟签订合同的主要条款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”规定处理。</w:t>
      </w:r>
    </w:p>
    <w:p w14:paraId="0A0FE849">
      <w:pPr>
        <w:keepNext w:val="0"/>
        <w:keepLines w:val="0"/>
        <w:pageBreakBefore w:val="0"/>
        <w:wordWrap w:val="0"/>
        <w:overflowPunct/>
        <w:topLinePunct w:val="0"/>
        <w:bidi w:val="0"/>
        <w:spacing w:before="33" w:line="360" w:lineRule="auto"/>
        <w:ind w:left="12" w:right="38" w:firstLine="476"/>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”有关规定调整合同价款。</w:t>
      </w:r>
    </w:p>
    <w:p w14:paraId="4C2BA967">
      <w:pPr>
        <w:keepNext w:val="0"/>
        <w:keepLines w:val="0"/>
        <w:pageBreakBefore w:val="0"/>
        <w:wordWrap w:val="0"/>
        <w:overflowPunct/>
        <w:topLinePunct w:val="0"/>
        <w:bidi w:val="0"/>
        <w:spacing w:before="87"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4.3  </w:t>
      </w:r>
      <w:r>
        <w:rPr>
          <w:rFonts w:hint="eastAsia" w:ascii="宋体" w:hAnsi="宋体" w:eastAsia="宋体" w:cs="宋体"/>
          <w:color w:val="auto"/>
          <w:spacing w:val="0"/>
          <w:sz w:val="24"/>
          <w:szCs w:val="24"/>
          <w:highlight w:val="none"/>
        </w:rPr>
        <w:t>本招标项目合同计价方式为：</w:t>
      </w:r>
      <w:r>
        <w:rPr>
          <w:rFonts w:hint="eastAsia" w:ascii="宋体" w:hAnsi="宋体" w:eastAsia="宋体" w:cs="宋体"/>
          <w:color w:val="auto"/>
          <w:spacing w:val="0"/>
          <w:sz w:val="24"/>
          <w:szCs w:val="24"/>
          <w:highlight w:val="none"/>
          <w:u w:val="single"/>
        </w:rPr>
        <w:t xml:space="preserve"> 单价 </w:t>
      </w:r>
      <w:r>
        <w:rPr>
          <w:rFonts w:hint="eastAsia" w:ascii="宋体" w:hAnsi="宋体" w:eastAsia="宋体" w:cs="宋体"/>
          <w:color w:val="auto"/>
          <w:spacing w:val="0"/>
          <w:sz w:val="24"/>
          <w:szCs w:val="24"/>
          <w:highlight w:val="none"/>
        </w:rPr>
        <w:t>合同。</w:t>
      </w:r>
    </w:p>
    <w:p w14:paraId="7AD8D0F4">
      <w:pPr>
        <w:keepNext w:val="0"/>
        <w:keepLines w:val="0"/>
        <w:pageBreakBefore w:val="0"/>
        <w:wordWrap w:val="0"/>
        <w:overflowPunct/>
        <w:topLinePunct w:val="0"/>
        <w:bidi w:val="0"/>
        <w:spacing w:before="120" w:line="360" w:lineRule="auto"/>
        <w:ind w:left="11" w:right="28"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4.4  </w:t>
      </w:r>
      <w:r>
        <w:rPr>
          <w:rFonts w:hint="eastAsia" w:ascii="宋体" w:hAnsi="宋体" w:eastAsia="宋体" w:cs="宋体"/>
          <w:color w:val="auto"/>
          <w:spacing w:val="0"/>
          <w:sz w:val="24"/>
          <w:szCs w:val="24"/>
          <w:highlight w:val="none"/>
        </w:rPr>
        <w:t>合同的标的、质量、履行期限条款和合同的价款、单价、比例条款等主要条款，应当与招标文件、中标人的投标文件的内容一致。中标人在签订合同时不得向招标人提出附加条件。</w:t>
      </w:r>
    </w:p>
    <w:p w14:paraId="77C16957">
      <w:pPr>
        <w:keepNext w:val="0"/>
        <w:keepLines w:val="0"/>
        <w:pageBreakBefore w:val="0"/>
        <w:wordWrap w:val="0"/>
        <w:overflowPunct/>
        <w:topLinePunct w:val="0"/>
        <w:bidi w:val="0"/>
        <w:spacing w:before="150" w:line="360"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4.5  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3235BDE2">
      <w:pPr>
        <w:keepNext w:val="0"/>
        <w:keepLines w:val="0"/>
        <w:pageBreakBefore w:val="0"/>
        <w:wordWrap w:val="0"/>
        <w:overflowPunct/>
        <w:topLinePunct w:val="0"/>
        <w:bidi w:val="0"/>
        <w:spacing w:before="150" w:line="360"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4.6  在书面合同订立之日起 2 个工作日内，由中标人或招标代理机构将合同上传至建设工程交易系统，并发起退还投标保证的申请。韶关市公共资源交易中心在收到申请之日起 3 个工作日内，将投标保证金（或银行保函）退还给中标人和其他中标候选人。</w:t>
      </w:r>
    </w:p>
    <w:p w14:paraId="1D51752E">
      <w:pPr>
        <w:keepNext w:val="0"/>
        <w:keepLines w:val="0"/>
        <w:pageBreakBefore w:val="0"/>
        <w:wordWrap w:val="0"/>
        <w:overflowPunct/>
        <w:topLinePunct w:val="0"/>
        <w:bidi w:val="0"/>
        <w:spacing w:before="78" w:line="360" w:lineRule="auto"/>
        <w:ind w:left="489"/>
        <w:outlineLvl w:val="2"/>
        <w:rPr>
          <w:rFonts w:hint="eastAsia" w:ascii="宋体" w:hAnsi="宋体" w:eastAsia="宋体" w:cs="宋体"/>
          <w:color w:val="auto"/>
          <w:spacing w:val="0"/>
          <w:sz w:val="24"/>
          <w:szCs w:val="24"/>
          <w:highlight w:val="none"/>
        </w:rPr>
      </w:pPr>
      <w:bookmarkStart w:id="159" w:name="_Toc29769"/>
      <w:r>
        <w:rPr>
          <w:rFonts w:hint="eastAsia" w:ascii="宋体" w:hAnsi="宋体" w:eastAsia="宋体" w:cs="宋体"/>
          <w:b/>
          <w:bCs/>
          <w:color w:val="auto"/>
          <w:spacing w:val="0"/>
          <w:sz w:val="24"/>
          <w:szCs w:val="24"/>
          <w:highlight w:val="none"/>
        </w:rPr>
        <w:t>5 ．放弃中标的处理</w:t>
      </w:r>
      <w:bookmarkEnd w:id="159"/>
    </w:p>
    <w:p w14:paraId="18C72D34">
      <w:pPr>
        <w:keepNext w:val="0"/>
        <w:keepLines w:val="0"/>
        <w:pageBreakBefore w:val="0"/>
        <w:wordWrap w:val="0"/>
        <w:overflowPunct/>
        <w:topLinePunct w:val="0"/>
        <w:bidi w:val="0"/>
        <w:spacing w:before="150" w:line="360" w:lineRule="auto"/>
        <w:ind w:left="12" w:right="91"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5.1</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中标人无正当理由放弃中标的，取消其中标资格，其投标保证不予退还，给招标人造成的损失超过投标保证金额的，弃标人还应当对超过部分予以赔偿。招标人可按照</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标委员会提交的中标候选人名单排序依次确定其他中标候选人为中标人，如果招标人认为其他中标候选人的条件明显不利于招标人的，也可以重新招标。因此种情况造成 招标人重新招标的，招标人可不接受该弃标人再次投标。同时，</w:t>
      </w:r>
      <w:r>
        <w:rPr>
          <w:rFonts w:hint="eastAsia" w:ascii="宋体" w:hAnsi="宋体" w:eastAsia="宋体" w:cs="宋体"/>
          <w:b/>
          <w:bCs/>
          <w:color w:val="auto"/>
          <w:spacing w:val="0"/>
          <w:sz w:val="24"/>
          <w:szCs w:val="24"/>
          <w:highlight w:val="none"/>
        </w:rPr>
        <w:t>招标人应将该弃标人的失信行为向行政监督部门报告。</w:t>
      </w:r>
    </w:p>
    <w:p w14:paraId="0C97F14D">
      <w:pPr>
        <w:keepNext w:val="0"/>
        <w:keepLines w:val="0"/>
        <w:pageBreakBefore w:val="0"/>
        <w:wordWrap w:val="0"/>
        <w:overflowPunct/>
        <w:topLinePunct w:val="0"/>
        <w:bidi w:val="0"/>
        <w:spacing w:before="79" w:line="360" w:lineRule="auto"/>
        <w:ind w:left="10" w:right="91"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5.2  </w:t>
      </w:r>
      <w:r>
        <w:rPr>
          <w:rFonts w:hint="eastAsia" w:ascii="宋体" w:hAnsi="宋体" w:eastAsia="宋体" w:cs="宋体"/>
          <w:color w:val="auto"/>
          <w:spacing w:val="0"/>
          <w:sz w:val="24"/>
          <w:szCs w:val="24"/>
          <w:highlight w:val="none"/>
        </w:rPr>
        <w:t>中标人因不可抗力提出不能履行合同的，须在领取中标通知书之日起 10 天内提供有关证明文件或资料，其投标保证予以退还，招标人可按照</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标委员会提出的中标候选人名单排序依次确定其他中标候选人为中标人。如果招标人认为其他中标候选人的条</w:t>
      </w:r>
      <w:bookmarkStart w:id="160" w:name="bookmark84"/>
      <w:bookmarkEnd w:id="160"/>
      <w:r>
        <w:rPr>
          <w:rFonts w:hint="eastAsia" w:ascii="宋体" w:hAnsi="宋体" w:eastAsia="宋体" w:cs="宋体"/>
          <w:color w:val="auto"/>
          <w:spacing w:val="0"/>
          <w:sz w:val="24"/>
          <w:szCs w:val="24"/>
          <w:highlight w:val="none"/>
        </w:rPr>
        <w:t>件明显不利于招标人的，也可以重新招标。</w:t>
      </w:r>
    </w:p>
    <w:p w14:paraId="5D2715B3">
      <w:pPr>
        <w:pStyle w:val="15"/>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D167E59">
      <w:pPr>
        <w:pStyle w:val="15"/>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622B001">
      <w:pPr>
        <w:keepNext w:val="0"/>
        <w:keepLines w:val="0"/>
        <w:pageBreakBefore w:val="0"/>
        <w:wordWrap w:val="0"/>
        <w:overflowPunct/>
        <w:topLinePunct w:val="0"/>
        <w:bidi w:val="0"/>
        <w:spacing w:before="78" w:line="360" w:lineRule="auto"/>
        <w:ind w:left="2923"/>
        <w:outlineLvl w:val="0"/>
        <w:rPr>
          <w:rFonts w:hint="eastAsia" w:ascii="宋体" w:hAnsi="宋体" w:eastAsia="宋体" w:cs="宋体"/>
          <w:color w:val="auto"/>
          <w:spacing w:val="0"/>
          <w:sz w:val="24"/>
          <w:szCs w:val="24"/>
          <w:highlight w:val="none"/>
        </w:rPr>
      </w:pPr>
      <w:bookmarkStart w:id="161" w:name="bookmark86"/>
      <w:bookmarkEnd w:id="161"/>
      <w:bookmarkStart w:id="162" w:name="_Toc11521"/>
      <w:r>
        <w:rPr>
          <w:rFonts w:hint="eastAsia" w:ascii="宋体" w:hAnsi="宋体" w:eastAsia="宋体" w:cs="宋体"/>
          <w:b/>
          <w:bCs/>
          <w:color w:val="auto"/>
          <w:spacing w:val="0"/>
          <w:sz w:val="24"/>
          <w:szCs w:val="24"/>
          <w:highlight w:val="none"/>
        </w:rPr>
        <w:t>第三章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拟签订合同的主要条款</w:t>
      </w:r>
      <w:bookmarkEnd w:id="162"/>
    </w:p>
    <w:p w14:paraId="0B04D162">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B37012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F61A5A1">
      <w:pPr>
        <w:keepNext w:val="0"/>
        <w:keepLines w:val="0"/>
        <w:pageBreakBefore w:val="0"/>
        <w:wordWrap w:val="0"/>
        <w:overflowPunct/>
        <w:topLinePunct w:val="0"/>
        <w:bidi w:val="0"/>
        <w:spacing w:before="78" w:line="360" w:lineRule="auto"/>
        <w:ind w:left="498"/>
        <w:outlineLvl w:val="2"/>
        <w:rPr>
          <w:rFonts w:hint="eastAsia" w:ascii="宋体" w:hAnsi="宋体" w:eastAsia="宋体" w:cs="宋体"/>
          <w:color w:val="auto"/>
          <w:spacing w:val="0"/>
          <w:sz w:val="24"/>
          <w:szCs w:val="24"/>
          <w:highlight w:val="none"/>
        </w:rPr>
      </w:pPr>
      <w:bookmarkStart w:id="163" w:name="_Toc9089"/>
      <w:r>
        <w:rPr>
          <w:rFonts w:hint="eastAsia" w:ascii="宋体" w:hAnsi="宋体" w:eastAsia="宋体" w:cs="宋体"/>
          <w:b/>
          <w:bCs/>
          <w:color w:val="auto"/>
          <w:spacing w:val="0"/>
          <w:sz w:val="24"/>
          <w:szCs w:val="24"/>
          <w:highlight w:val="none"/>
        </w:rPr>
        <w:t>1 ．工程承包方式</w:t>
      </w:r>
      <w:bookmarkEnd w:id="163"/>
    </w:p>
    <w:p w14:paraId="68DBE4BA">
      <w:pPr>
        <w:keepNext w:val="0"/>
        <w:keepLines w:val="0"/>
        <w:pageBreakBefore w:val="0"/>
        <w:wordWrap w:val="0"/>
        <w:overflowPunct/>
        <w:topLinePunct w:val="0"/>
        <w:bidi w:val="0"/>
        <w:spacing w:before="153" w:line="360" w:lineRule="auto"/>
        <w:ind w:left="11" w:right="295" w:firstLine="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  </w:t>
      </w:r>
      <w:r>
        <w:rPr>
          <w:rFonts w:hint="eastAsia" w:ascii="宋体" w:hAnsi="宋体" w:eastAsia="宋体" w:cs="宋体"/>
          <w:color w:val="auto"/>
          <w:spacing w:val="0"/>
          <w:sz w:val="24"/>
          <w:szCs w:val="24"/>
          <w:highlight w:val="none"/>
        </w:rPr>
        <w:t>承包人以中标价按包工包料、包质量、包安全包文明施工、包工期方式总承包施工，不允许转包和违法分包，如果确需分包须与发包人协商，在得到发包人和监理单位同意后报建设行政主管部门备案。</w:t>
      </w:r>
    </w:p>
    <w:p w14:paraId="1A7AD95C">
      <w:pPr>
        <w:keepNext w:val="0"/>
        <w:keepLines w:val="0"/>
        <w:pageBreakBefore w:val="0"/>
        <w:wordWrap w:val="0"/>
        <w:overflowPunct/>
        <w:topLinePunct w:val="0"/>
        <w:bidi w:val="0"/>
        <w:spacing w:before="153"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1.1.1  </w:t>
      </w:r>
      <w:r>
        <w:rPr>
          <w:rFonts w:hint="eastAsia" w:ascii="宋体" w:hAnsi="宋体" w:eastAsia="宋体" w:cs="宋体"/>
          <w:color w:val="auto"/>
          <w:spacing w:val="0"/>
          <w:sz w:val="24"/>
          <w:szCs w:val="24"/>
          <w:highlight w:val="none"/>
        </w:rPr>
        <w:t>包工包料：材料符合招标文件要求并报验使用；办理用工保险。</w:t>
      </w:r>
    </w:p>
    <w:p w14:paraId="6D255FC4">
      <w:pPr>
        <w:keepNext w:val="0"/>
        <w:keepLines w:val="0"/>
        <w:pageBreakBefore w:val="0"/>
        <w:wordWrap w:val="0"/>
        <w:overflowPunct/>
        <w:topLinePunct w:val="0"/>
        <w:bidi w:val="0"/>
        <w:spacing w:before="156"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1.1.2  </w:t>
      </w:r>
      <w:r>
        <w:rPr>
          <w:rFonts w:hint="eastAsia" w:ascii="宋体" w:hAnsi="宋体" w:eastAsia="宋体" w:cs="宋体"/>
          <w:color w:val="auto"/>
          <w:spacing w:val="0"/>
          <w:sz w:val="24"/>
          <w:szCs w:val="24"/>
          <w:highlight w:val="none"/>
        </w:rPr>
        <w:t>包质量：符合招标文件要求。</w:t>
      </w:r>
    </w:p>
    <w:p w14:paraId="7B161543">
      <w:pPr>
        <w:keepNext w:val="0"/>
        <w:keepLines w:val="0"/>
        <w:pageBreakBefore w:val="0"/>
        <w:wordWrap w:val="0"/>
        <w:overflowPunct/>
        <w:topLinePunct w:val="0"/>
        <w:bidi w:val="0"/>
        <w:spacing w:before="153"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1.1.3  </w:t>
      </w:r>
      <w:r>
        <w:rPr>
          <w:rFonts w:hint="eastAsia" w:ascii="宋体" w:hAnsi="宋体" w:eastAsia="宋体" w:cs="宋体"/>
          <w:color w:val="auto"/>
          <w:spacing w:val="0"/>
          <w:sz w:val="24"/>
          <w:szCs w:val="24"/>
          <w:highlight w:val="none"/>
        </w:rPr>
        <w:t>包安全包文明施工：符合招标文件要求。</w:t>
      </w:r>
    </w:p>
    <w:p w14:paraId="41E26BE4">
      <w:pPr>
        <w:keepNext w:val="0"/>
        <w:keepLines w:val="0"/>
        <w:pageBreakBefore w:val="0"/>
        <w:wordWrap w:val="0"/>
        <w:overflowPunct/>
        <w:topLinePunct w:val="0"/>
        <w:bidi w:val="0"/>
        <w:spacing w:before="154" w:line="360" w:lineRule="auto"/>
        <w:ind w:left="58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1.1.4  </w:t>
      </w:r>
      <w:r>
        <w:rPr>
          <w:rFonts w:hint="eastAsia" w:ascii="宋体" w:hAnsi="宋体" w:eastAsia="宋体" w:cs="宋体"/>
          <w:color w:val="auto"/>
          <w:spacing w:val="0"/>
          <w:sz w:val="24"/>
          <w:szCs w:val="24"/>
          <w:highlight w:val="none"/>
        </w:rPr>
        <w:t>包工期：本招标项目施工必须在招标工期内完成。</w:t>
      </w:r>
    </w:p>
    <w:p w14:paraId="5E683A9A">
      <w:pPr>
        <w:keepNext w:val="0"/>
        <w:keepLines w:val="0"/>
        <w:pageBreakBefore w:val="0"/>
        <w:wordWrap w:val="0"/>
        <w:overflowPunct/>
        <w:topLinePunct w:val="0"/>
        <w:bidi w:val="0"/>
        <w:spacing w:before="78" w:line="360" w:lineRule="auto"/>
        <w:ind w:left="488"/>
        <w:outlineLvl w:val="2"/>
        <w:rPr>
          <w:rFonts w:hint="eastAsia" w:ascii="宋体" w:hAnsi="宋体" w:eastAsia="宋体" w:cs="宋体"/>
          <w:color w:val="auto"/>
          <w:spacing w:val="0"/>
          <w:sz w:val="24"/>
          <w:szCs w:val="24"/>
          <w:highlight w:val="none"/>
        </w:rPr>
      </w:pPr>
      <w:bookmarkStart w:id="164" w:name="bookmark88"/>
      <w:bookmarkEnd w:id="164"/>
      <w:bookmarkStart w:id="165" w:name="_Toc25591"/>
      <w:r>
        <w:rPr>
          <w:rFonts w:hint="eastAsia" w:ascii="宋体" w:hAnsi="宋体" w:eastAsia="宋体" w:cs="宋体"/>
          <w:b/>
          <w:bCs/>
          <w:color w:val="auto"/>
          <w:spacing w:val="0"/>
          <w:sz w:val="24"/>
          <w:szCs w:val="24"/>
          <w:highlight w:val="none"/>
        </w:rPr>
        <w:t>2 ．工程结算原则</w:t>
      </w:r>
      <w:bookmarkEnd w:id="165"/>
    </w:p>
    <w:p w14:paraId="047D1E9F">
      <w:pPr>
        <w:keepNext w:val="0"/>
        <w:keepLines w:val="0"/>
        <w:pageBreakBefore w:val="0"/>
        <w:wordWrap w:val="0"/>
        <w:overflowPunct/>
        <w:topLinePunct w:val="0"/>
        <w:bidi w:val="0"/>
        <w:spacing w:before="153"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承包人的投标总价为中标价，即为签约合同价。</w:t>
      </w:r>
    </w:p>
    <w:p w14:paraId="7FAD113F">
      <w:pPr>
        <w:keepNext w:val="0"/>
        <w:keepLines w:val="0"/>
        <w:pageBreakBefore w:val="0"/>
        <w:wordWrap w:val="0"/>
        <w:overflowPunct/>
        <w:topLinePunct w:val="0"/>
        <w:bidi w:val="0"/>
        <w:spacing w:before="155" w:line="360" w:lineRule="auto"/>
        <w:ind w:left="12" w:right="231"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招标工程量清单标明的工程量是投标人投标报价的共同基础，竣工结算的工程量按</w:t>
      </w:r>
      <w:bookmarkStart w:id="166" w:name="OLE_LINK28"/>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）对工程计量的规定进行计量，必须以承包人完成合同工程应予计量的工程量确定。施</w:t>
      </w:r>
      <w:bookmarkEnd w:id="166"/>
      <w:r>
        <w:rPr>
          <w:rFonts w:hint="eastAsia" w:ascii="宋体" w:hAnsi="宋体" w:eastAsia="宋体" w:cs="宋体"/>
          <w:color w:val="auto"/>
          <w:spacing w:val="0"/>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0EBA0169">
      <w:pPr>
        <w:keepNext w:val="0"/>
        <w:keepLines w:val="0"/>
        <w:pageBreakBefore w:val="0"/>
        <w:wordWrap w:val="0"/>
        <w:overflowPunct/>
        <w:topLinePunct w:val="0"/>
        <w:bidi w:val="0"/>
        <w:spacing w:before="38" w:line="360" w:lineRule="auto"/>
        <w:ind w:left="12" w:right="183" w:firstLine="47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  </w:t>
      </w:r>
      <w:r>
        <w:rPr>
          <w:rFonts w:hint="eastAsia" w:ascii="宋体" w:hAnsi="宋体" w:eastAsia="宋体" w:cs="宋体"/>
          <w:color w:val="auto"/>
          <w:spacing w:val="0"/>
          <w:sz w:val="24"/>
          <w:szCs w:val="24"/>
          <w:highlight w:val="none"/>
        </w:rPr>
        <w:t>施工合同履行期间，若出现下列情形的，发、承包双方应当按照以下规定调整合同价款：</w:t>
      </w:r>
    </w:p>
    <w:p w14:paraId="28C07B92">
      <w:pPr>
        <w:keepNext w:val="0"/>
        <w:keepLines w:val="0"/>
        <w:pageBreakBefore w:val="0"/>
        <w:wordWrap w:val="0"/>
        <w:overflowPunct/>
        <w:topLinePunct w:val="0"/>
        <w:bidi w:val="0"/>
        <w:spacing w:before="227"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2.3.1  </w:t>
      </w:r>
      <w:r>
        <w:rPr>
          <w:rFonts w:hint="eastAsia" w:ascii="宋体" w:hAnsi="宋体" w:eastAsia="宋体" w:cs="宋体"/>
          <w:color w:val="auto"/>
          <w:spacing w:val="0"/>
          <w:sz w:val="24"/>
          <w:szCs w:val="24"/>
          <w:highlight w:val="none"/>
        </w:rPr>
        <w:t>法律法规变化</w:t>
      </w:r>
    </w:p>
    <w:p w14:paraId="6BF5F2D0">
      <w:pPr>
        <w:keepNext w:val="0"/>
        <w:keepLines w:val="0"/>
        <w:pageBreakBefore w:val="0"/>
        <w:wordWrap w:val="0"/>
        <w:overflowPunct/>
        <w:topLinePunct w:val="0"/>
        <w:bidi w:val="0"/>
        <w:spacing w:before="156" w:line="360"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"2.3.1.1"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color w:val="auto"/>
          <w:spacing w:val="0"/>
          <w:sz w:val="24"/>
          <w:szCs w:val="24"/>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3215BC69">
      <w:pPr>
        <w:keepNext w:val="0"/>
        <w:keepLines w:val="0"/>
        <w:pageBreakBefore w:val="0"/>
        <w:wordWrap w:val="0"/>
        <w:overflowPunct/>
        <w:topLinePunct w:val="0"/>
        <w:bidi w:val="0"/>
        <w:spacing w:before="157" w:line="360" w:lineRule="auto"/>
        <w:ind w:left="12" w:right="183" w:firstLine="47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注：本招标文件所称“基准日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”，均指投标文件递交截止时间（见第一章第二节“重要事项时间地点一览表</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”）前</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28 天。</w:t>
      </w:r>
    </w:p>
    <w:p w14:paraId="5B8E95D2">
      <w:pPr>
        <w:keepNext w:val="0"/>
        <w:keepLines w:val="0"/>
        <w:pageBreakBefore w:val="0"/>
        <w:wordWrap w:val="0"/>
        <w:overflowPunct/>
        <w:topLinePunct w:val="0"/>
        <w:bidi w:val="0"/>
        <w:spacing w:before="33" w:line="360" w:lineRule="auto"/>
        <w:ind w:left="11"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"2.3.1.2"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2.3.1.2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因承包人原因导致工程延误，本章第 </w:t>
      </w:r>
      <w:r>
        <w:rPr>
          <w:rFonts w:hint="eastAsia" w:ascii="宋体" w:hAnsi="宋体" w:eastAsia="宋体" w:cs="宋体"/>
          <w:b/>
          <w:bCs/>
          <w:color w:val="auto"/>
          <w:spacing w:val="0"/>
          <w:sz w:val="24"/>
          <w:szCs w:val="24"/>
          <w:highlight w:val="none"/>
        </w:rPr>
        <w:t xml:space="preserve">2.3.1.1 </w:t>
      </w:r>
      <w:r>
        <w:rPr>
          <w:rFonts w:hint="eastAsia" w:ascii="宋体" w:hAnsi="宋体" w:eastAsia="宋体" w:cs="宋体"/>
          <w:color w:val="auto"/>
          <w:spacing w:val="0"/>
          <w:sz w:val="24"/>
          <w:szCs w:val="24"/>
          <w:highlight w:val="none"/>
        </w:rPr>
        <w:t>子目中的法定机构根据国家法律法规变化发布新规的时间在合同工程原定竣工时间之后的，合同价款调增的不予调整，合同价款调减的予以调整。</w:t>
      </w:r>
    </w:p>
    <w:p w14:paraId="231CEC4D">
      <w:pPr>
        <w:keepNext w:val="0"/>
        <w:keepLines w:val="0"/>
        <w:pageBreakBefore w:val="0"/>
        <w:wordWrap w:val="0"/>
        <w:overflowPunct/>
        <w:topLinePunct w:val="0"/>
        <w:bidi w:val="0"/>
        <w:spacing w:before="155" w:line="360" w:lineRule="auto"/>
        <w:ind w:left="48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2.3.2  </w:t>
      </w:r>
      <w:r>
        <w:rPr>
          <w:rFonts w:hint="eastAsia" w:ascii="宋体" w:hAnsi="宋体" w:eastAsia="宋体" w:cs="宋体"/>
          <w:color w:val="auto"/>
          <w:spacing w:val="0"/>
          <w:sz w:val="24"/>
          <w:szCs w:val="24"/>
          <w:highlight w:val="none"/>
        </w:rPr>
        <w:t>工程量偏差或变化</w:t>
      </w:r>
    </w:p>
    <w:p w14:paraId="655704F0">
      <w:pPr>
        <w:keepNext w:val="0"/>
        <w:keepLines w:val="0"/>
        <w:pageBreakBefore w:val="0"/>
        <w:wordWrap w:val="0"/>
        <w:overflowPunct/>
        <w:topLinePunct w:val="0"/>
        <w:bidi w:val="0"/>
        <w:spacing w:before="158" w:line="360" w:lineRule="auto"/>
        <w:ind w:left="10" w:right="183"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"2.3.2.1"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2.3.2.1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合同履行期间，当应予计算的实际工程量与招标工程量清单出现偏差或因工程变更引起已标价工程量清单项目的工程数量发生变化时，工程量偏差或变化在 15%以内（含 15%）的，其综合单价不予调整；工程量偏差或变化超过 15%的，按照以下规定调整：</w:t>
      </w:r>
    </w:p>
    <w:p w14:paraId="6F1EA887">
      <w:pPr>
        <w:keepNext w:val="0"/>
        <w:keepLines w:val="0"/>
        <w:pageBreakBefore w:val="0"/>
        <w:wordWrap w:val="0"/>
        <w:overflowPunct/>
        <w:topLinePunct w:val="0"/>
        <w:bidi w:val="0"/>
        <w:spacing w:before="78" w:line="360" w:lineRule="auto"/>
        <w:ind w:left="12" w:firstLine="478"/>
        <w:jc w:val="both"/>
        <w:rPr>
          <w:rFonts w:hint="eastAsia" w:ascii="宋体" w:hAnsi="宋体" w:eastAsia="宋体" w:cs="宋体"/>
          <w:color w:val="auto"/>
          <w:spacing w:val="0"/>
          <w:sz w:val="24"/>
          <w:szCs w:val="24"/>
          <w:highlight w:val="none"/>
        </w:rPr>
      </w:pPr>
      <w:bookmarkStart w:id="167" w:name="bookmark142"/>
      <w:bookmarkEnd w:id="167"/>
      <w:r>
        <w:rPr>
          <w:rFonts w:hint="eastAsia" w:ascii="宋体" w:hAnsi="宋体" w:eastAsia="宋体" w:cs="宋体"/>
          <w:color w:val="auto"/>
          <w:spacing w:val="0"/>
          <w:sz w:val="24"/>
          <w:szCs w:val="24"/>
          <w:highlight w:val="none"/>
        </w:rPr>
        <w:t>对于合理报价的清单项目，当工程量增加超过 15%时，增加部分的工程量的综合单价以投标报价《分部分项工程和单价措施项目清单与计价表》中综合单价为基价调低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p>
    <w:p w14:paraId="19CF62EE">
      <w:pPr>
        <w:keepNext w:val="0"/>
        <w:keepLines w:val="0"/>
        <w:pageBreakBefore w:val="0"/>
        <w:wordWrap w:val="0"/>
        <w:overflowPunct/>
        <w:topLinePunct w:val="0"/>
        <w:bidi w:val="0"/>
        <w:spacing w:before="97" w:line="360" w:lineRule="auto"/>
        <w:ind w:left="13" w:right="179"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对于按照第二章“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条被认定为不平衡报价的清单项目，其综合单价按照以下方法调整：</w:t>
      </w:r>
    </w:p>
    <w:p w14:paraId="25F45A58">
      <w:pPr>
        <w:keepNext w:val="0"/>
        <w:keepLines w:val="0"/>
        <w:pageBreakBefore w:val="0"/>
        <w:wordWrap w:val="0"/>
        <w:overflowPunct/>
        <w:topLinePunct w:val="0"/>
        <w:bidi w:val="0"/>
        <w:spacing w:before="97" w:line="360" w:lineRule="auto"/>
        <w:ind w:left="13" w:right="179" w:firstLine="477"/>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以</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中《分部分项工程和单价措施项目清单与计价表》子目相对应综合单价×（1-中标下浮率）。</w:t>
      </w:r>
    </w:p>
    <w:p w14:paraId="3E1FC9C8">
      <w:pPr>
        <w:keepNext w:val="0"/>
        <w:keepLines w:val="0"/>
        <w:pageBreakBefore w:val="0"/>
        <w:wordWrap w:val="0"/>
        <w:overflowPunct/>
        <w:topLinePunct w:val="0"/>
        <w:bidi w:val="0"/>
        <w:spacing w:before="97" w:line="360" w:lineRule="auto"/>
        <w:ind w:left="13" w:right="179" w:firstLine="477"/>
        <w:rPr>
          <w:rFonts w:hint="eastAsia" w:ascii="宋体" w:hAnsi="宋体" w:eastAsia="宋体" w:cs="宋体"/>
          <w:b/>
          <w:bCs/>
          <w:color w:val="auto"/>
          <w:spacing w:val="0"/>
          <w:sz w:val="24"/>
          <w:szCs w:val="24"/>
          <w:highlight w:val="none"/>
        </w:rPr>
      </w:pPr>
      <w:bookmarkStart w:id="168" w:name="_Toc18478"/>
      <w:bookmarkStart w:id="169" w:name="_Toc12035"/>
      <w:bookmarkStart w:id="170" w:name="_Toc30068"/>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w:t>
      </w:r>
      <w:bookmarkEnd w:id="168"/>
      <w:bookmarkEnd w:id="169"/>
      <w:bookmarkStart w:id="171" w:name="_Toc15512"/>
      <w:bookmarkStart w:id="172" w:name="_Toc13602"/>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最高投标限价安全生产措施费</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 ×100%</w:t>
      </w:r>
      <w:bookmarkEnd w:id="170"/>
      <w:bookmarkEnd w:id="171"/>
      <w:bookmarkEnd w:id="172"/>
    </w:p>
    <w:p w14:paraId="5F716669">
      <w:pPr>
        <w:keepNext w:val="0"/>
        <w:keepLines w:val="0"/>
        <w:pageBreakBefore w:val="0"/>
        <w:wordWrap w:val="0"/>
        <w:overflowPunct/>
        <w:topLinePunct w:val="0"/>
        <w:bidi w:val="0"/>
        <w:spacing w:before="123" w:line="360" w:lineRule="auto"/>
        <w:ind w:left="10" w:right="116" w:firstLine="48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2C74F04F">
      <w:pPr>
        <w:keepNext w:val="0"/>
        <w:keepLines w:val="0"/>
        <w:pageBreakBefore w:val="0"/>
        <w:wordWrap w:val="0"/>
        <w:overflowPunct/>
        <w:topLinePunct w:val="0"/>
        <w:bidi w:val="0"/>
        <w:spacing w:before="129" w:line="360" w:lineRule="auto"/>
        <w:ind w:left="12" w:right="17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"2.3.2.2"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2.3.2.2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如果工程量出现本章第 </w:t>
      </w:r>
      <w:r>
        <w:rPr>
          <w:rFonts w:hint="eastAsia" w:ascii="宋体" w:hAnsi="宋体" w:eastAsia="宋体" w:cs="宋体"/>
          <w:b/>
          <w:bCs/>
          <w:color w:val="auto"/>
          <w:spacing w:val="0"/>
          <w:sz w:val="24"/>
          <w:szCs w:val="24"/>
          <w:highlight w:val="none"/>
        </w:rPr>
        <w:t xml:space="preserve">2.3.2.1 </w:t>
      </w:r>
      <w:r>
        <w:rPr>
          <w:rFonts w:hint="eastAsia" w:ascii="宋体" w:hAnsi="宋体" w:eastAsia="宋体" w:cs="宋体"/>
          <w:color w:val="auto"/>
          <w:spacing w:val="0"/>
          <w:sz w:val="24"/>
          <w:szCs w:val="24"/>
          <w:highlight w:val="none"/>
        </w:rPr>
        <w:t>子目的变化，且该变化引起相关措施项目相应发生变化时，按系数或单一总价方式计价的，工程量增加的措施项目费调增，工程量减少的措施项目费调减。</w:t>
      </w:r>
    </w:p>
    <w:p w14:paraId="3DB00805">
      <w:pPr>
        <w:keepNext w:val="0"/>
        <w:keepLines w:val="0"/>
        <w:pageBreakBefore w:val="0"/>
        <w:wordWrap w:val="0"/>
        <w:overflowPunct/>
        <w:topLinePunct w:val="0"/>
        <w:bidi w:val="0"/>
        <w:spacing w:before="154" w:line="360" w:lineRule="auto"/>
        <w:ind w:left="488"/>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工程变更</w:t>
      </w:r>
    </w:p>
    <w:p w14:paraId="23DCAF42">
      <w:pPr>
        <w:keepNext w:val="0"/>
        <w:keepLines w:val="0"/>
        <w:pageBreakBefore w:val="0"/>
        <w:wordWrap w:val="0"/>
        <w:overflowPunct/>
        <w:topLinePunct w:val="0"/>
        <w:bidi w:val="0"/>
        <w:spacing w:before="153" w:line="360" w:lineRule="auto"/>
        <w:ind w:left="19" w:right="179" w:firstLine="4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"2.3.3.1"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2.3.3.1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合同履行期间，因工程变更引起已标价工程量清单项目发生变化时，按照以下规定调整：</w:t>
      </w:r>
    </w:p>
    <w:p w14:paraId="187CDAE7">
      <w:pPr>
        <w:keepNext w:val="0"/>
        <w:keepLines w:val="0"/>
        <w:pageBreakBefore w:val="0"/>
        <w:numPr>
          <w:ilvl w:val="0"/>
          <w:numId w:val="3"/>
        </w:numPr>
        <w:wordWrap w:val="0"/>
        <w:overflowPunct/>
        <w:topLinePunct w:val="0"/>
        <w:bidi w:val="0"/>
        <w:spacing w:before="78" w:line="360" w:lineRule="auto"/>
        <w:ind w:firstLine="240" w:firstLineChars="100"/>
        <w:rPr>
          <w:rFonts w:hint="eastAsia" w:ascii="宋体" w:hAnsi="宋体" w:eastAsia="宋体" w:cs="宋体"/>
          <w:b/>
          <w:bCs/>
          <w:color w:val="auto"/>
          <w:spacing w:val="0"/>
          <w:sz w:val="24"/>
          <w:szCs w:val="24"/>
          <w:highlight w:val="none"/>
        </w:rPr>
      </w:pPr>
      <w:r>
        <w:rPr>
          <w:rFonts w:hint="eastAsia" w:ascii="宋体" w:hAnsi="宋体" w:eastAsia="宋体" w:cs="宋体"/>
          <w:color w:val="auto"/>
          <w:spacing w:val="0"/>
          <w:sz w:val="24"/>
          <w:szCs w:val="24"/>
          <w:highlight w:val="none"/>
        </w:rPr>
        <w:t>已标价工程量清单中有适用于变更工程项目的，采用该项目的单价。</w:t>
      </w:r>
      <w:r>
        <w:rPr>
          <w:rFonts w:hint="eastAsia" w:ascii="宋体" w:hAnsi="宋体" w:eastAsia="宋体" w:cs="宋体"/>
          <w:b/>
          <w:bCs/>
          <w:color w:val="auto"/>
          <w:spacing w:val="0"/>
          <w:sz w:val="24"/>
          <w:szCs w:val="24"/>
          <w:highlight w:val="none"/>
        </w:rPr>
        <w:t>但如果</w:t>
      </w:r>
      <w:bookmarkStart w:id="173" w:name="bookmark143"/>
      <w:bookmarkEnd w:id="173"/>
      <w:r>
        <w:rPr>
          <w:rFonts w:hint="eastAsia" w:ascii="宋体" w:hAnsi="宋体" w:eastAsia="宋体" w:cs="宋体"/>
          <w:b/>
          <w:bCs/>
          <w:color w:val="auto"/>
          <w:spacing w:val="0"/>
          <w:sz w:val="24"/>
          <w:szCs w:val="24"/>
          <w:highlight w:val="none"/>
        </w:rPr>
        <w:t>被采用的项目属于按照第二章“中标人须知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 条被认定为不平衡报价的清单项目，变更工程项目的单价按照本章 2.3.2.1 的方法调整。】</w:t>
      </w:r>
    </w:p>
    <w:p w14:paraId="7205A22D">
      <w:pPr>
        <w:keepNext w:val="0"/>
        <w:keepLines w:val="0"/>
        <w:pageBreakBefore w:val="0"/>
        <w:numPr>
          <w:ilvl w:val="0"/>
          <w:numId w:val="0"/>
        </w:numPr>
        <w:wordWrap w:val="0"/>
        <w:overflowPunct/>
        <w:topLinePunct w:val="0"/>
        <w:bidi w:val="0"/>
        <w:spacing w:before="78"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已标价工程量清单中没有适用但有类似于变更工程项目的，可在合理范围内参照类似项目的单价。</w:t>
      </w:r>
      <w:r>
        <w:rPr>
          <w:rFonts w:hint="eastAsia" w:ascii="宋体" w:hAnsi="宋体" w:eastAsia="宋体" w:cs="宋体"/>
          <w:b/>
          <w:bCs/>
          <w:color w:val="auto"/>
          <w:spacing w:val="0"/>
          <w:sz w:val="24"/>
          <w:szCs w:val="24"/>
          <w:highlight w:val="none"/>
        </w:rPr>
        <w:t>但如果被参考的类似项目属于按照第二章“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中标人须知</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”第</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4.2条被认定为不平衡报价的清单项目，变更工程项目的单价按照本章2.3.2.1 的方法调整。</w:t>
      </w:r>
    </w:p>
    <w:p w14:paraId="314A12AB">
      <w:pPr>
        <w:keepNext w:val="0"/>
        <w:keepLines w:val="0"/>
        <w:pageBreakBefore w:val="0"/>
        <w:numPr>
          <w:ilvl w:val="0"/>
          <w:numId w:val="0"/>
        </w:numPr>
        <w:wordWrap w:val="0"/>
        <w:overflowPunct/>
        <w:topLinePunct w:val="0"/>
        <w:bidi w:val="0"/>
        <w:spacing w:before="38" w:line="360" w:lineRule="auto"/>
        <w:ind w:right="81" w:rightChars="0" w:firstLine="240" w:firstLineChars="1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3BB23C34">
      <w:pPr>
        <w:keepNext w:val="0"/>
        <w:keepLines w:val="0"/>
        <w:pageBreakBefore w:val="0"/>
        <w:wordWrap w:val="0"/>
        <w:overflowPunct/>
        <w:topLinePunct w:val="0"/>
        <w:bidi w:val="0"/>
        <w:spacing w:before="126" w:line="360" w:lineRule="auto"/>
        <w:ind w:left="29" w:right="21" w:firstLine="50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中标下浮率=[1-（中标价-中标</w:t>
      </w:r>
      <w:r>
        <w:rPr>
          <w:rFonts w:hint="eastAsia" w:ascii="宋体" w:hAnsi="宋体" w:eastAsia="宋体" w:cs="宋体"/>
          <w:b/>
          <w:bCs/>
          <w:color w:val="auto"/>
          <w:spacing w:val="0"/>
          <w:sz w:val="24"/>
          <w:szCs w:val="24"/>
          <w:highlight w:val="none"/>
          <w:lang w:eastAsia="zh-CN"/>
        </w:rPr>
        <w:t>安全生产措施费</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w:t>
      </w:r>
      <w:r>
        <w:rPr>
          <w:rFonts w:hint="eastAsia" w:ascii="宋体" w:hAnsi="宋体" w:eastAsia="宋体" w:cs="宋体"/>
          <w:b/>
          <w:bCs/>
          <w:color w:val="auto"/>
          <w:spacing w:val="0"/>
          <w:sz w:val="24"/>
          <w:szCs w:val="24"/>
          <w:highlight w:val="none"/>
          <w:lang w:eastAsia="zh-CN"/>
        </w:rPr>
        <w:t>最高投标限价</w:t>
      </w:r>
      <w:r>
        <w:rPr>
          <w:rFonts w:hint="eastAsia" w:ascii="宋体" w:hAnsi="宋体" w:eastAsia="宋体" w:cs="宋体"/>
          <w:b/>
          <w:bCs/>
          <w:color w:val="auto"/>
          <w:spacing w:val="0"/>
          <w:sz w:val="24"/>
          <w:szCs w:val="24"/>
          <w:highlight w:val="none"/>
        </w:rPr>
        <w:t>-</w:t>
      </w:r>
      <w:r>
        <w:rPr>
          <w:rFonts w:hint="eastAsia" w:ascii="宋体" w:hAnsi="宋体" w:eastAsia="宋体" w:cs="宋体"/>
          <w:b/>
          <w:bCs/>
          <w:color w:val="auto"/>
          <w:spacing w:val="0"/>
          <w:sz w:val="24"/>
          <w:szCs w:val="24"/>
          <w:highlight w:val="none"/>
          <w:lang w:eastAsia="zh-CN"/>
        </w:rPr>
        <w:t>最高投标限价安全生产措施费</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×100%</w:t>
      </w:r>
    </w:p>
    <w:p w14:paraId="132C32ED">
      <w:pPr>
        <w:keepNext w:val="0"/>
        <w:keepLines w:val="0"/>
        <w:pageBreakBefore w:val="0"/>
        <w:wordWrap w:val="0"/>
        <w:overflowPunct/>
        <w:topLinePunct w:val="0"/>
        <w:bidi w:val="0"/>
        <w:spacing w:before="145" w:line="360" w:lineRule="auto"/>
        <w:ind w:right="81" w:firstLine="240" w:firstLineChars="100"/>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4</w:t>
      </w:r>
      <w:r>
        <w:rPr>
          <w:rFonts w:hint="eastAsia" w:ascii="宋体" w:hAnsi="宋体" w:eastAsia="宋体" w:cs="宋体"/>
          <w:color w:val="auto"/>
          <w:spacing w:val="0"/>
          <w:sz w:val="24"/>
          <w:szCs w:val="24"/>
          <w:highlight w:val="none"/>
          <w:lang w:eastAsia="zh-CN"/>
        </w:rPr>
        <w:t>）</w:t>
      </w:r>
      <w:r>
        <w:rPr>
          <w:rFonts w:hint="eastAsia" w:ascii="宋体" w:hAnsi="宋体" w:eastAsia="宋体" w:cs="宋体"/>
          <w:snapToGrid w:val="0"/>
          <w:color w:val="auto"/>
          <w:spacing w:val="0"/>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7485EB42">
      <w:pPr>
        <w:keepNext w:val="0"/>
        <w:keepLines w:val="0"/>
        <w:pageBreakBefore w:val="0"/>
        <w:wordWrap w:val="0"/>
        <w:overflowPunct/>
        <w:topLinePunct w:val="0"/>
        <w:bidi w:val="0"/>
        <w:spacing w:before="156" w:line="360"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"2.3.3.2"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2.3.3.2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48DB76F2">
      <w:pPr>
        <w:keepNext w:val="0"/>
        <w:keepLines w:val="0"/>
        <w:pageBreakBefore w:val="0"/>
        <w:wordWrap w:val="0"/>
        <w:overflowPunct/>
        <w:topLinePunct w:val="0"/>
        <w:bidi w:val="0"/>
        <w:spacing w:before="152" w:line="360" w:lineRule="auto"/>
        <w:ind w:left="4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应按照实际发生变化的措施项目计算。</w:t>
      </w:r>
    </w:p>
    <w:p w14:paraId="3430AEEE">
      <w:pPr>
        <w:keepNext w:val="0"/>
        <w:keepLines w:val="0"/>
        <w:pageBreakBefore w:val="0"/>
        <w:wordWrap w:val="0"/>
        <w:overflowPunct/>
        <w:topLinePunct w:val="0"/>
        <w:bidi w:val="0"/>
        <w:spacing w:before="156" w:line="360" w:lineRule="auto"/>
        <w:ind w:left="7" w:right="81"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（2）采用单价计算的措施项目费，应按照实际发生变化的措施项目，按本章第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w:t>
      </w:r>
    </w:p>
    <w:p w14:paraId="49A98A6F">
      <w:pPr>
        <w:keepNext w:val="0"/>
        <w:keepLines w:val="0"/>
        <w:pageBreakBefore w:val="0"/>
        <w:wordWrap w:val="0"/>
        <w:overflowPunct/>
        <w:topLinePunct w:val="0"/>
        <w:bidi w:val="0"/>
        <w:spacing w:before="154" w:line="360" w:lineRule="auto"/>
        <w:ind w:left="8" w:right="81" w:firstLine="49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（3）按总价或系数计算的措施项目费，应按照实际发生变化的措施项目费调整并考虑中标下浮率因素，即调整金额＝按照实际变化调整后的金额×（1-中标下浮率）。</w:t>
      </w:r>
    </w:p>
    <w:p w14:paraId="78BE891C">
      <w:pPr>
        <w:keepNext w:val="0"/>
        <w:keepLines w:val="0"/>
        <w:pageBreakBefore w:val="0"/>
        <w:wordWrap w:val="0"/>
        <w:overflowPunct/>
        <w:topLinePunct w:val="0"/>
        <w:bidi w:val="0"/>
        <w:spacing w:before="157" w:line="360" w:lineRule="auto"/>
        <w:ind w:left="21" w:right="81" w:firstLine="47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如果承包人未事先将拟实施的方案提交发包人确认，视为工程变更不引起措施项目费的调整或承包人放弃调整措施项目费的权利。</w:t>
      </w:r>
    </w:p>
    <w:p w14:paraId="2ECDD016">
      <w:pPr>
        <w:keepNext w:val="0"/>
        <w:keepLines w:val="0"/>
        <w:pageBreakBefore w:val="0"/>
        <w:wordWrap w:val="0"/>
        <w:overflowPunct/>
        <w:topLinePunct w:val="0"/>
        <w:bidi w:val="0"/>
        <w:spacing w:before="35" w:line="360" w:lineRule="auto"/>
        <w:ind w:right="81"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"2.3.3.3"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2.3.3.3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4E492982">
      <w:pPr>
        <w:keepNext w:val="0"/>
        <w:keepLines w:val="0"/>
        <w:pageBreakBefore w:val="0"/>
        <w:wordWrap w:val="0"/>
        <w:overflowPunct/>
        <w:topLinePunct w:val="0"/>
        <w:bidi w:val="0"/>
        <w:spacing w:before="155" w:line="36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2.3.4  </w:t>
      </w:r>
      <w:r>
        <w:rPr>
          <w:rFonts w:hint="eastAsia" w:ascii="宋体" w:hAnsi="宋体" w:eastAsia="宋体" w:cs="宋体"/>
          <w:color w:val="auto"/>
          <w:spacing w:val="0"/>
          <w:sz w:val="24"/>
          <w:szCs w:val="24"/>
          <w:highlight w:val="none"/>
        </w:rPr>
        <w:t>项目特征不符</w:t>
      </w:r>
    </w:p>
    <w:p w14:paraId="7DBF02D2">
      <w:pPr>
        <w:keepNext w:val="0"/>
        <w:keepLines w:val="0"/>
        <w:pageBreakBefore w:val="0"/>
        <w:wordWrap w:val="0"/>
        <w:overflowPunct/>
        <w:topLinePunct w:val="0"/>
        <w:bidi w:val="0"/>
        <w:spacing w:before="78" w:line="360" w:lineRule="auto"/>
        <w:ind w:left="8" w:right="108" w:firstLine="480"/>
        <w:jc w:val="both"/>
        <w:rPr>
          <w:rFonts w:hint="eastAsia" w:ascii="宋体" w:hAnsi="宋体" w:eastAsia="宋体" w:cs="宋体"/>
          <w:color w:val="auto"/>
          <w:spacing w:val="0"/>
          <w:sz w:val="24"/>
          <w:szCs w:val="24"/>
          <w:highlight w:val="none"/>
        </w:rPr>
      </w:pPr>
      <w:bookmarkStart w:id="174" w:name="bookmark144"/>
      <w:bookmarkEnd w:id="174"/>
      <w:r>
        <w:rPr>
          <w:rFonts w:hint="eastAsia" w:ascii="宋体" w:hAnsi="宋体" w:eastAsia="宋体" w:cs="宋体"/>
          <w:color w:val="auto"/>
          <w:spacing w:val="0"/>
          <w:sz w:val="24"/>
          <w:szCs w:val="24"/>
          <w:highlight w:val="none"/>
        </w:rPr>
        <w:t xml:space="preserve">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 </w:t>
      </w:r>
      <w:r>
        <w:rPr>
          <w:rFonts w:hint="eastAsia" w:ascii="宋体" w:hAnsi="宋体" w:eastAsia="宋体" w:cs="宋体"/>
          <w:b/>
          <w:bCs/>
          <w:color w:val="auto"/>
          <w:spacing w:val="0"/>
          <w:sz w:val="24"/>
          <w:szCs w:val="24"/>
          <w:highlight w:val="none"/>
        </w:rPr>
        <w:t xml:space="preserve">2.3.3 </w:t>
      </w:r>
      <w:r>
        <w:rPr>
          <w:rFonts w:hint="eastAsia" w:ascii="宋体" w:hAnsi="宋体" w:eastAsia="宋体" w:cs="宋体"/>
          <w:color w:val="auto"/>
          <w:spacing w:val="0"/>
          <w:sz w:val="24"/>
          <w:szCs w:val="24"/>
          <w:highlight w:val="none"/>
        </w:rPr>
        <w:t>目相关条款的规定重新确定相应工程量清单项目的综合单价，并调整合同价款。</w:t>
      </w:r>
    </w:p>
    <w:p w14:paraId="197538B0">
      <w:pPr>
        <w:keepNext w:val="0"/>
        <w:keepLines w:val="0"/>
        <w:pageBreakBefore w:val="0"/>
        <w:wordWrap w:val="0"/>
        <w:overflowPunct/>
        <w:topLinePunct w:val="0"/>
        <w:bidi w:val="0"/>
        <w:spacing w:before="38" w:line="360"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2.3.5  </w:t>
      </w:r>
      <w:r>
        <w:rPr>
          <w:rFonts w:hint="eastAsia" w:ascii="宋体" w:hAnsi="宋体" w:eastAsia="宋体" w:cs="宋体"/>
          <w:color w:val="auto"/>
          <w:spacing w:val="0"/>
          <w:sz w:val="24"/>
          <w:szCs w:val="24"/>
          <w:highlight w:val="none"/>
        </w:rPr>
        <w:t>招标工程量清单缺项</w:t>
      </w:r>
    </w:p>
    <w:p w14:paraId="5867B021">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left="9" w:right="56" w:firstLine="47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"2.3.5.1"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2.3.5.1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合同履行期间，由于招标工程量清单中缺项，新增分部分项工程清单项目，应按照本章第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子目的规定确定单价，并调整合同价款。</w:t>
      </w:r>
    </w:p>
    <w:p w14:paraId="789762A4">
      <w:pPr>
        <w:keepNext w:val="0"/>
        <w:keepLines w:val="0"/>
        <w:pageBreakBefore w:val="0"/>
        <w:widowControl/>
        <w:kinsoku w:val="0"/>
        <w:wordWrap w:val="0"/>
        <w:overflowPunct/>
        <w:topLinePunct w:val="0"/>
        <w:autoSpaceDE w:val="0"/>
        <w:autoSpaceDN w:val="0"/>
        <w:bidi w:val="0"/>
        <w:adjustRightInd w:val="0"/>
        <w:snapToGrid w:val="0"/>
        <w:spacing w:before="157" w:line="360" w:lineRule="auto"/>
        <w:ind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"2.3.5.2"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2.3.5.2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新增分部分项工程清单项目后，引起措施项目发生变化的，应按照本章第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子目的规定，在承包人提交的实施方案被发包人批准后调整合同价款。</w:t>
      </w:r>
    </w:p>
    <w:p w14:paraId="64483C48">
      <w:pPr>
        <w:keepNext w:val="0"/>
        <w:keepLines w:val="0"/>
        <w:pageBreakBefore w:val="0"/>
        <w:widowControl/>
        <w:kinsoku w:val="0"/>
        <w:wordWrap w:val="0"/>
        <w:overflowPunct/>
        <w:topLinePunct w:val="0"/>
        <w:autoSpaceDE w:val="0"/>
        <w:autoSpaceDN w:val="0"/>
        <w:bidi w:val="0"/>
        <w:adjustRightInd w:val="0"/>
        <w:snapToGrid w:val="0"/>
        <w:spacing w:before="156" w:line="360" w:lineRule="auto"/>
        <w:ind w:left="11" w:right="108" w:firstLine="47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"2.3.5.3"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2.3.5.3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 xml:space="preserve">由于招标工程量清单中措施项目缺项，承包人应将新增措施项目实施方案提交发包人批准后，按照本章第 </w:t>
      </w:r>
      <w:r>
        <w:rPr>
          <w:rFonts w:hint="eastAsia" w:ascii="宋体" w:hAnsi="宋体" w:eastAsia="宋体" w:cs="宋体"/>
          <w:b/>
          <w:bCs/>
          <w:color w:val="auto"/>
          <w:spacing w:val="0"/>
          <w:sz w:val="24"/>
          <w:szCs w:val="24"/>
          <w:highlight w:val="none"/>
        </w:rPr>
        <w:t xml:space="preserve">2.3.3.1 </w:t>
      </w:r>
      <w:r>
        <w:rPr>
          <w:rFonts w:hint="eastAsia" w:ascii="宋体" w:hAnsi="宋体" w:eastAsia="宋体" w:cs="宋体"/>
          <w:color w:val="auto"/>
          <w:spacing w:val="0"/>
          <w:sz w:val="24"/>
          <w:szCs w:val="24"/>
          <w:highlight w:val="none"/>
        </w:rPr>
        <w:t xml:space="preserve">子目、第 </w:t>
      </w:r>
      <w:r>
        <w:rPr>
          <w:rFonts w:hint="eastAsia" w:ascii="宋体" w:hAnsi="宋体" w:eastAsia="宋体" w:cs="宋体"/>
          <w:b/>
          <w:bCs/>
          <w:color w:val="auto"/>
          <w:spacing w:val="0"/>
          <w:sz w:val="24"/>
          <w:szCs w:val="24"/>
          <w:highlight w:val="none"/>
        </w:rPr>
        <w:t xml:space="preserve">2.3.3.2 </w:t>
      </w:r>
      <w:r>
        <w:rPr>
          <w:rFonts w:hint="eastAsia" w:ascii="宋体" w:hAnsi="宋体" w:eastAsia="宋体" w:cs="宋体"/>
          <w:color w:val="auto"/>
          <w:spacing w:val="0"/>
          <w:sz w:val="24"/>
          <w:szCs w:val="24"/>
          <w:highlight w:val="none"/>
        </w:rPr>
        <w:t>子目的规定调整合同价款。</w:t>
      </w:r>
    </w:p>
    <w:p w14:paraId="08FB5658">
      <w:pPr>
        <w:keepNext w:val="0"/>
        <w:keepLines w:val="0"/>
        <w:pageBreakBefore w:val="0"/>
        <w:wordWrap w:val="0"/>
        <w:overflowPunct/>
        <w:topLinePunct w:val="0"/>
        <w:bidi w:val="0"/>
        <w:spacing w:before="154" w:line="360" w:lineRule="auto"/>
        <w:ind w:left="48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2.3.6  </w:t>
      </w:r>
      <w:r>
        <w:rPr>
          <w:rFonts w:hint="eastAsia" w:ascii="宋体" w:hAnsi="宋体" w:eastAsia="宋体" w:cs="宋体"/>
          <w:color w:val="auto"/>
          <w:spacing w:val="0"/>
          <w:sz w:val="24"/>
          <w:szCs w:val="24"/>
          <w:highlight w:val="none"/>
        </w:rPr>
        <w:t>物价变化</w:t>
      </w:r>
    </w:p>
    <w:p w14:paraId="7D525C3E">
      <w:pPr>
        <w:keepNext w:val="0"/>
        <w:keepLines w:val="0"/>
        <w:pageBreakBefore w:val="0"/>
        <w:wordWrap w:val="0"/>
        <w:overflowPunct/>
        <w:topLinePunct w:val="0"/>
        <w:bidi w:val="0"/>
        <w:spacing w:before="156" w:line="360" w:lineRule="auto"/>
        <w:ind w:left="8" w:right="108"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"2.3.6.1"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合同履行期间，项目所在地工程造价管理机构发布的动态人工调整系数发生变化时，如果承包人投标报价中人工费（以下简称“ 中标人工费 ”）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6A69C7F8">
      <w:pPr>
        <w:keepNext w:val="0"/>
        <w:keepLines w:val="0"/>
        <w:pageBreakBefore w:val="0"/>
        <w:wordWrap w:val="0"/>
        <w:overflowPunct/>
        <w:topLinePunct w:val="0"/>
        <w:bidi w:val="0"/>
        <w:spacing w:before="153" w:line="360" w:lineRule="auto"/>
        <w:ind w:left="49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结算人工费＝中标人工费×F</w:t>
      </w:r>
      <w:r>
        <w:rPr>
          <w:rFonts w:hint="eastAsia" w:ascii="宋体" w:hAnsi="宋体" w:eastAsia="宋体" w:cs="宋体"/>
          <w:color w:val="auto"/>
          <w:spacing w:val="0"/>
          <w:position w:val="-1"/>
          <w:sz w:val="24"/>
          <w:szCs w:val="24"/>
          <w:highlight w:val="none"/>
        </w:rPr>
        <w:t>1</w:t>
      </w:r>
    </w:p>
    <w:p w14:paraId="381BBD03">
      <w:pPr>
        <w:keepNext w:val="0"/>
        <w:keepLines w:val="0"/>
        <w:pageBreakBefore w:val="0"/>
        <w:wordWrap w:val="0"/>
        <w:overflowPunct/>
        <w:topLinePunct w:val="0"/>
        <w:bidi w:val="0"/>
        <w:spacing w:before="152"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式中，F</w:t>
      </w:r>
      <w:r>
        <w:rPr>
          <w:rFonts w:hint="eastAsia" w:ascii="宋体" w:hAnsi="宋体" w:eastAsia="宋体" w:cs="宋体"/>
          <w:color w:val="auto"/>
          <w:spacing w:val="0"/>
          <w:position w:val="-1"/>
          <w:sz w:val="24"/>
          <w:szCs w:val="24"/>
          <w:highlight w:val="none"/>
        </w:rPr>
        <w:t>1</w:t>
      </w:r>
      <w:r>
        <w:rPr>
          <w:rFonts w:hint="eastAsia" w:ascii="宋体" w:hAnsi="宋体" w:eastAsia="宋体" w:cs="宋体"/>
          <w:color w:val="auto"/>
          <w:spacing w:val="0"/>
          <w:w w:val="101"/>
          <w:position w:val="-1"/>
          <w:sz w:val="24"/>
          <w:szCs w:val="24"/>
          <w:highlight w:val="none"/>
        </w:rPr>
        <w:t xml:space="preserve"> </w:t>
      </w:r>
      <w:r>
        <w:rPr>
          <w:rFonts w:hint="eastAsia" w:ascii="宋体" w:hAnsi="宋体" w:eastAsia="宋体" w:cs="宋体"/>
          <w:color w:val="auto"/>
          <w:spacing w:val="0"/>
          <w:sz w:val="24"/>
          <w:szCs w:val="24"/>
          <w:highlight w:val="none"/>
        </w:rPr>
        <w:t>为施工当月项目所在地工程造价管理机构发布的动态人工调整系数。</w:t>
      </w:r>
    </w:p>
    <w:p w14:paraId="4F9CF534">
      <w:pPr>
        <w:keepNext w:val="0"/>
        <w:keepLines w:val="0"/>
        <w:pageBreakBefore w:val="0"/>
        <w:wordWrap w:val="0"/>
        <w:overflowPunct/>
        <w:topLinePunct w:val="0"/>
        <w:bidi w:val="0"/>
        <w:spacing w:before="119" w:line="360" w:lineRule="auto"/>
        <w:ind w:left="1" w:right="108" w:firstLine="483"/>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fldChar w:fldCharType="begin"/>
      </w:r>
      <w:r>
        <w:rPr>
          <w:rFonts w:hint="eastAsia" w:ascii="宋体" w:hAnsi="宋体" w:eastAsia="宋体" w:cs="宋体"/>
          <w:b/>
          <w:bCs/>
          <w:color w:val="auto"/>
          <w:spacing w:val="0"/>
          <w:sz w:val="24"/>
          <w:szCs w:val="24"/>
          <w:highlight w:val="none"/>
        </w:rPr>
        <w:instrText xml:space="preserve"> HYPERLINK "2.3.6.2" </w:instrText>
      </w:r>
      <w:r>
        <w:rPr>
          <w:rFonts w:hint="eastAsia" w:ascii="宋体" w:hAnsi="宋体" w:eastAsia="宋体" w:cs="宋体"/>
          <w:b/>
          <w:bCs/>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本招标项目约定，材料、工程设备单价涨跌风险幅度值 A 为</w:t>
      </w:r>
      <w:r>
        <w:rPr>
          <w:rFonts w:hint="eastAsia" w:ascii="宋体" w:hAnsi="宋体" w:eastAsia="宋体" w:cs="宋体"/>
          <w:color w:val="auto"/>
          <w:spacing w:val="0"/>
          <w:sz w:val="24"/>
          <w:szCs w:val="24"/>
          <w:highlight w:val="none"/>
          <w:u w:val="single"/>
        </w:rPr>
        <w:t xml:space="preserve">  5%   </w:t>
      </w:r>
      <w:r>
        <w:rPr>
          <w:rFonts w:hint="eastAsia" w:ascii="宋体" w:hAnsi="宋体" w:eastAsia="宋体" w:cs="宋体"/>
          <w:color w:val="auto"/>
          <w:spacing w:val="0"/>
          <w:sz w:val="24"/>
          <w:szCs w:val="24"/>
          <w:highlight w:val="none"/>
        </w:rPr>
        <w:t>。合同履行期间，当《承包人提供主要材料和工程设备一览表》（详见招标工程量清单）中的材料、工程设备单价涨跌幅度等于或低于 A 值时，该材料、工程设备单价不予调整；超过A 值时，其超过部分可以调整。相关费用按有关规定进行相应调整。</w:t>
      </w:r>
    </w:p>
    <w:p w14:paraId="62EE16C1">
      <w:pPr>
        <w:keepNext w:val="0"/>
        <w:keepLines w:val="0"/>
        <w:pageBreakBefore w:val="0"/>
        <w:wordWrap w:val="0"/>
        <w:overflowPunct/>
        <w:topLinePunct w:val="0"/>
        <w:bidi w:val="0"/>
        <w:spacing w:before="126" w:line="360" w:lineRule="auto"/>
        <w:ind w:left="11" w:right="108" w:firstLine="477"/>
        <w:jc w:val="both"/>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a ．如果承包人投标报价中材料、工程设备单价（以下简称“ 中标单价”）低于基准日当月项目所在地工程造价管理机构发布的对应材料、工程设备单价（以下简称“基准单价 ”），该材料、工程设备的结算单价调整公式为：</w:t>
      </w:r>
    </w:p>
    <w:p w14:paraId="15C1572F">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a．涨价时，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5" DrawAspect="Content" ObjectID="_1468075725" r:id="rId32">
            <o:LockedField>false</o:LockedField>
          </o:OLEObject>
        </w:object>
      </w:r>
    </w:p>
    <w:p w14:paraId="5FEA2B94">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6" DrawAspect="Content" ObjectID="_1468075726" r:id="rId34">
            <o:LockedField>false</o:LockedField>
          </o:OLEObject>
        </w:object>
      </w:r>
    </w:p>
    <w:p w14:paraId="47954818">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lang w:eastAsia="zh-CN"/>
        </w:rPr>
        <w:t>如果中标单价高于基准单价，该材料、工程设备的结算单价调整公式为：</w:t>
      </w:r>
    </w:p>
    <w:p w14:paraId="75BCCAF3">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27" DrawAspect="Content" ObjectID="_1468075727" r:id="rId36">
            <o:LockedField>false</o:LockedField>
          </o:OLEObject>
        </w:object>
      </w:r>
    </w:p>
    <w:p w14:paraId="416D8DFC">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28" DrawAspect="Content" ObjectID="_1468075728" r:id="rId38">
            <o:LockedField>false</o:LockedField>
          </o:OLEObject>
        </w:object>
      </w:r>
    </w:p>
    <w:p w14:paraId="77565896">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lang w:eastAsia="zh-CN"/>
        </w:rPr>
        <w:t>如果中标单价等于基准单价，该材料、工程设备的结算单价调整公式为：</w:t>
      </w:r>
    </w:p>
    <w:p w14:paraId="4FFC8AE1">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29" DrawAspect="Content" ObjectID="_1468075729" r:id="rId40">
            <o:LockedField>false</o:LockedField>
          </o:OLEObject>
        </w:object>
      </w:r>
    </w:p>
    <w:p w14:paraId="4903428A">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0" DrawAspect="Content" ObjectID="_1468075730" r:id="rId42">
            <o:LockedField>false</o:LockedField>
          </o:OLEObject>
        </w:object>
      </w:r>
    </w:p>
    <w:p w14:paraId="40B2A737">
      <w:pPr>
        <w:keepNext w:val="0"/>
        <w:keepLines w:val="0"/>
        <w:pageBreakBefore w:val="0"/>
        <w:wordWrap w:val="0"/>
        <w:overflowPunct/>
        <w:topLinePunct w:val="0"/>
        <w:bidi w:val="0"/>
        <w:spacing w:before="78" w:line="360" w:lineRule="auto"/>
        <w:ind w:left="330"/>
        <w:rPr>
          <w:rFonts w:hint="eastAsia" w:ascii="宋体" w:hAnsi="宋体" w:eastAsia="宋体" w:cs="宋体"/>
          <w:color w:val="auto"/>
          <w:spacing w:val="0"/>
          <w:sz w:val="24"/>
          <w:szCs w:val="24"/>
          <w:highlight w:val="none"/>
        </w:rPr>
      </w:pPr>
    </w:p>
    <w:p w14:paraId="0EFBDC2C">
      <w:pPr>
        <w:keepNext w:val="0"/>
        <w:keepLines w:val="0"/>
        <w:pageBreakBefore w:val="0"/>
        <w:wordWrap w:val="0"/>
        <w:overflowPunct/>
        <w:topLinePunct w:val="0"/>
        <w:bidi w:val="0"/>
        <w:spacing w:before="78" w:line="360" w:lineRule="auto"/>
        <w:ind w:right="59" w:firstLine="50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24"/>
          <w:szCs w:val="24"/>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24"/>
          <w:szCs w:val="24"/>
          <w:highlight w:val="none"/>
        </w:rPr>
        <w:t>0</w:t>
      </w:r>
      <w:r>
        <w:rPr>
          <w:rFonts w:hint="eastAsia" w:ascii="宋体" w:hAnsi="宋体" w:eastAsia="宋体" w:cs="宋体"/>
          <w:color w:val="auto"/>
          <w:spacing w:val="0"/>
          <w:w w:val="101"/>
          <w:position w:val="-1"/>
          <w:sz w:val="24"/>
          <w:szCs w:val="24"/>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24"/>
          <w:szCs w:val="24"/>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为施工当月项目所在地工程造价管理机构发布的材料、工程设备单价；A 为合同约定的材料、工程设备单价涨跌风险幅度值。</w:t>
      </w:r>
    </w:p>
    <w:p w14:paraId="6F9801F9">
      <w:pPr>
        <w:keepNext w:val="0"/>
        <w:keepLines w:val="0"/>
        <w:pageBreakBefore w:val="0"/>
        <w:wordWrap w:val="0"/>
        <w:overflowPunct/>
        <w:topLinePunct w:val="0"/>
        <w:bidi w:val="0"/>
        <w:spacing w:before="33" w:line="360" w:lineRule="auto"/>
        <w:ind w:right="59"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"2.3.6.3"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2.3.6.3</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合同履行期间，当《发包人提供材料和工程设备一览表》（详见招标工程量清单）中的材料、工程设备单价发生变化时，由发包人按照实际变化调整，并列入合同价款。</w:t>
      </w:r>
    </w:p>
    <w:p w14:paraId="6F47D427">
      <w:pPr>
        <w:keepNext w:val="0"/>
        <w:keepLines w:val="0"/>
        <w:pageBreakBefore w:val="0"/>
        <w:wordWrap w:val="0"/>
        <w:overflowPunct/>
        <w:topLinePunct w:val="0"/>
        <w:bidi w:val="0"/>
        <w:spacing w:before="121" w:line="360" w:lineRule="auto"/>
        <w:ind w:firstLine="47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"2.3.6.4"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2.3.6.4</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本招标项目约定，施工机具台班单价涨跌风险幅度值 B 为</w:t>
      </w:r>
      <w:r>
        <w:rPr>
          <w:rFonts w:hint="eastAsia" w:ascii="宋体" w:hAnsi="宋体" w:eastAsia="宋体" w:cs="宋体"/>
          <w:color w:val="auto"/>
          <w:spacing w:val="0"/>
          <w:sz w:val="24"/>
          <w:szCs w:val="24"/>
          <w:highlight w:val="none"/>
          <w:u w:val="single"/>
        </w:rPr>
        <w:t xml:space="preserve">  10%  </w:t>
      </w:r>
      <w:r>
        <w:rPr>
          <w:rFonts w:hint="eastAsia" w:ascii="宋体" w:hAnsi="宋体" w:eastAsia="宋体" w:cs="宋体"/>
          <w:color w:val="auto"/>
          <w:spacing w:val="0"/>
          <w:sz w:val="24"/>
          <w:szCs w:val="24"/>
          <w:highlight w:val="none"/>
        </w:rPr>
        <w:t>。合同履行期间，当施工机具台班单价涨跌幅度等于或低于 B 值时，该施工机具台班单价不予调整；超过 B 值时，其超过部分可以调整。相关费用按有关规定进行相应调整。</w:t>
      </w:r>
    </w:p>
    <w:p w14:paraId="120353C6">
      <w:pPr>
        <w:keepNext w:val="0"/>
        <w:keepLines w:val="0"/>
        <w:pageBreakBefore w:val="0"/>
        <w:wordWrap w:val="0"/>
        <w:overflowPunct/>
        <w:topLinePunct w:val="0"/>
        <w:bidi w:val="0"/>
        <w:spacing w:before="153" w:line="360" w:lineRule="auto"/>
        <w:ind w:left="42" w:right="59" w:firstLine="44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a </w:t>
      </w:r>
      <w:r>
        <w:rPr>
          <w:rFonts w:hint="eastAsia" w:ascii="宋体" w:hAnsi="宋体" w:eastAsia="宋体" w:cs="宋体"/>
          <w:color w:val="auto"/>
          <w:spacing w:val="0"/>
          <w:sz w:val="24"/>
          <w:szCs w:val="24"/>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0DF11097">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1" o:spt="75" type="#_x0000_t75" style="height:33.95pt;width:200.95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1" DrawAspect="Content" ObjectID="_1468075731" r:id="rId44">
            <o:LockedField>false</o:LockedField>
          </o:OLEObject>
        </w:object>
      </w:r>
    </w:p>
    <w:p w14:paraId="183065CE">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2" o:spt="75" type="#_x0000_t75" style="height:33.95pt;width:198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2" DrawAspect="Content" ObjectID="_1468075732" r:id="rId46">
            <o:LockedField>false</o:LockedField>
          </o:OLEObject>
        </w:object>
      </w:r>
    </w:p>
    <w:p w14:paraId="2B2919C1">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b</w:t>
      </w:r>
      <w:r>
        <w:rPr>
          <w:rFonts w:hint="eastAsia" w:ascii="宋体" w:hAnsi="宋体" w:eastAsia="宋体" w:cs="宋体"/>
          <w:snapToGrid w:val="0"/>
          <w:color w:val="auto"/>
          <w:spacing w:val="0"/>
          <w:kern w:val="0"/>
          <w:sz w:val="24"/>
          <w:szCs w:val="24"/>
          <w:highlight w:val="none"/>
        </w:rPr>
        <w:t>．如果中标单价高于基准单价，该施工机具台班的结算单价调整公式为：</w:t>
      </w:r>
    </w:p>
    <w:p w14:paraId="0B4D8697">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3" o:spt="75" type="#_x0000_t75" style="height:33.95pt;width:198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3" DrawAspect="Content" ObjectID="_1468075733" r:id="rId48">
            <o:LockedField>false</o:LockedField>
          </o:OLEObject>
        </w:object>
      </w:r>
    </w:p>
    <w:p w14:paraId="3F7BD139">
      <w:pPr>
        <w:keepNext w:val="0"/>
        <w:keepLines w:val="0"/>
        <w:pageBreakBefore w:val="0"/>
        <w:wordWrap w:val="0"/>
        <w:overflowPunct/>
        <w:topLinePunct w:val="0"/>
        <w:bidi w:val="0"/>
        <w:adjustRightIn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4" o:spt="75" type="#_x0000_t75" style="height:33.95pt;width:200.95pt;" o:ole="t" filled="f" o:preferrelative="t" stroked="f" coordsize="21600,21600">
            <v:path/>
            <v:fill on="f" focussize="0,0"/>
            <v:stroke on="f"/>
            <v:imagedata r:id="rId51" embosscolor="#FFFFFF" o:title=""/>
            <o:lock v:ext="edit" grouping="f" rotation="f" text="f" aspectratio="t"/>
            <w10:wrap type="none"/>
            <w10:anchorlock/>
          </v:shape>
          <o:OLEObject Type="Embed" ProgID="Equation.KSEE3" ShapeID="_x0000_i1034" DrawAspect="Content" ObjectID="_1468075734" r:id="rId50">
            <o:LockedField>false</o:LockedField>
          </o:OLEObject>
        </w:object>
      </w:r>
    </w:p>
    <w:p w14:paraId="62112DB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spacing w:val="0"/>
          <w:kern w:val="0"/>
          <w:sz w:val="24"/>
          <w:szCs w:val="24"/>
          <w:highlight w:val="none"/>
        </w:rPr>
        <w:t>c</w:t>
      </w:r>
      <w:r>
        <w:rPr>
          <w:rFonts w:hint="eastAsia" w:ascii="宋体" w:hAnsi="宋体" w:eastAsia="宋体" w:cs="宋体"/>
          <w:snapToGrid w:val="0"/>
          <w:color w:val="auto"/>
          <w:spacing w:val="0"/>
          <w:kern w:val="0"/>
          <w:sz w:val="24"/>
          <w:szCs w:val="24"/>
          <w:highlight w:val="none"/>
        </w:rPr>
        <w:t>．如果中标单价等于基准单价，该施工机具台班的结算单价调整公式为：</w:t>
      </w:r>
    </w:p>
    <w:p w14:paraId="68970ACC">
      <w:pPr>
        <w:keepNext w:val="0"/>
        <w:keepLines w:val="0"/>
        <w:pageBreakBefore w:val="0"/>
        <w:wordWrap w:val="0"/>
        <w:overflowPunct/>
        <w:topLinePunct w:val="0"/>
        <w:bidi w:val="0"/>
        <w:adjustRightInd w:val="0"/>
        <w:snapToGrid w:val="0"/>
        <w:spacing w:before="360" w:beforeLines="150" w:after="240" w:afterLines="100" w:line="360" w:lineRule="auto"/>
        <w:ind w:firstLine="480" w:firstLineChars="200"/>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35" o:spt="75" type="#_x0000_t75" style="height:33.95pt;width:200.95pt;" o:ole="t" filled="f" o:preferrelative="t" stroked="f" coordsize="21600,21600">
            <v:path/>
            <v:fill on="f" focussize="0,0"/>
            <v:stroke on="f"/>
            <v:imagedata r:id="rId53" embosscolor="#FFFFFF" o:title=""/>
            <o:lock v:ext="edit" grouping="f" rotation="f" text="f" aspectratio="t"/>
            <w10:wrap type="none"/>
            <w10:anchorlock/>
          </v:shape>
          <o:OLEObject Type="Embed" ProgID="Equation.KSEE3" ShapeID="_x0000_i1035" DrawAspect="Content" ObjectID="_1468075735" r:id="rId52">
            <o:LockedField>false</o:LockedField>
          </o:OLEObject>
        </w:object>
      </w:r>
    </w:p>
    <w:p w14:paraId="121158F2">
      <w:pPr>
        <w:keepNext w:val="0"/>
        <w:keepLines w:val="0"/>
        <w:pageBreakBefore w:val="0"/>
        <w:wordWrap w:val="0"/>
        <w:overflowPunct/>
        <w:topLinePunct w:val="0"/>
        <w:bidi w:val="0"/>
        <w:spacing w:before="79" w:line="360" w:lineRule="auto"/>
        <w:ind w:left="11" w:right="65" w:firstLine="504"/>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6" o:spt="75" type="#_x0000_t75" style="height:33.95pt;width:200.95pt;" o:ole="t" filled="f" o:preferrelative="t" stroked="f" coordsize="21600,21600">
            <v:path/>
            <v:fill on="f" focussize="0,0"/>
            <v:stroke on="f"/>
            <v:imagedata r:id="rId55" embosscolor="#FFFFFF" o:title=""/>
            <o:lock v:ext="edit" grouping="f" rotation="f" text="f" aspectratio="t"/>
            <w10:wrap type="none"/>
            <w10:anchorlock/>
          </v:shape>
          <o:OLEObject Type="Embed" ProgID="Equation.KSEE3" ShapeID="_x0000_i1036" DrawAspect="Content" ObjectID="_1468075736" r:id="rId54">
            <o:LockedField>false</o:LockedField>
          </o:OLEObject>
        </w:object>
      </w:r>
    </w:p>
    <w:p w14:paraId="1258EA6F">
      <w:pPr>
        <w:keepNext w:val="0"/>
        <w:keepLines w:val="0"/>
        <w:pageBreakBefore w:val="0"/>
        <w:wordWrap w:val="0"/>
        <w:overflowPunct/>
        <w:topLinePunct w:val="0"/>
        <w:bidi w:val="0"/>
        <w:spacing w:before="79" w:line="360" w:lineRule="auto"/>
        <w:ind w:left="11" w:right="65" w:firstLine="5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以上公式中，F</w:t>
      </w:r>
      <w:r>
        <w:rPr>
          <w:rFonts w:hint="eastAsia" w:ascii="宋体" w:hAnsi="宋体" w:eastAsia="宋体" w:cs="宋体"/>
          <w:color w:val="auto"/>
          <w:spacing w:val="0"/>
          <w:position w:val="-1"/>
          <w:sz w:val="24"/>
          <w:szCs w:val="24"/>
          <w:highlight w:val="none"/>
        </w:rPr>
        <w:t xml:space="preserve">1 </w:t>
      </w:r>
      <w:r>
        <w:rPr>
          <w:rFonts w:hint="eastAsia" w:ascii="宋体" w:hAnsi="宋体" w:eastAsia="宋体" w:cs="宋体"/>
          <w:color w:val="auto"/>
          <w:spacing w:val="0"/>
          <w:sz w:val="24"/>
          <w:szCs w:val="24"/>
          <w:highlight w:val="none"/>
        </w:rPr>
        <w:t>为中标单价；F</w:t>
      </w:r>
      <w:r>
        <w:rPr>
          <w:rFonts w:hint="eastAsia" w:ascii="宋体" w:hAnsi="宋体" w:eastAsia="宋体" w:cs="宋体"/>
          <w:color w:val="auto"/>
          <w:spacing w:val="0"/>
          <w:position w:val="-1"/>
          <w:sz w:val="24"/>
          <w:szCs w:val="24"/>
          <w:highlight w:val="none"/>
        </w:rPr>
        <w:t>0</w:t>
      </w:r>
      <w:r>
        <w:rPr>
          <w:rFonts w:hint="eastAsia" w:ascii="宋体" w:hAnsi="宋体" w:eastAsia="宋体" w:cs="宋体"/>
          <w:color w:val="auto"/>
          <w:spacing w:val="0"/>
          <w:w w:val="101"/>
          <w:position w:val="-1"/>
          <w:sz w:val="24"/>
          <w:szCs w:val="24"/>
          <w:highlight w:val="none"/>
        </w:rPr>
        <w:t xml:space="preserve"> </w:t>
      </w:r>
      <w:r>
        <w:rPr>
          <w:rFonts w:hint="eastAsia" w:ascii="宋体" w:hAnsi="宋体" w:eastAsia="宋体" w:cs="宋体"/>
          <w:color w:val="auto"/>
          <w:spacing w:val="0"/>
          <w:sz w:val="24"/>
          <w:szCs w:val="24"/>
          <w:highlight w:val="none"/>
        </w:rPr>
        <w:t>为基准单价；F</w:t>
      </w:r>
      <w:r>
        <w:rPr>
          <w:rFonts w:hint="eastAsia" w:ascii="宋体" w:hAnsi="宋体" w:eastAsia="宋体" w:cs="宋体"/>
          <w:color w:val="auto"/>
          <w:spacing w:val="0"/>
          <w:position w:val="-1"/>
          <w:sz w:val="24"/>
          <w:szCs w:val="24"/>
          <w:highlight w:val="none"/>
        </w:rPr>
        <w:t xml:space="preserve">2 </w:t>
      </w:r>
      <w:r>
        <w:rPr>
          <w:rFonts w:hint="eastAsia" w:ascii="宋体" w:hAnsi="宋体" w:eastAsia="宋体" w:cs="宋体"/>
          <w:color w:val="auto"/>
          <w:spacing w:val="0"/>
          <w:sz w:val="24"/>
          <w:szCs w:val="24"/>
          <w:highlight w:val="none"/>
        </w:rPr>
        <w:t>为施工当月项目所在地工程造价管理机构发布的施工机具台班单价；B 为合同约定的施工机具台班单价涨跌风险幅度值。</w:t>
      </w:r>
    </w:p>
    <w:p w14:paraId="08F7A996">
      <w:pPr>
        <w:keepNext w:val="0"/>
        <w:keepLines w:val="0"/>
        <w:pageBreakBefore w:val="0"/>
        <w:wordWrap w:val="0"/>
        <w:overflowPunct/>
        <w:topLinePunct w:val="0"/>
        <w:bidi w:val="0"/>
        <w:spacing w:before="39" w:line="360" w:lineRule="auto"/>
        <w:ind w:left="48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2.3.7  </w:t>
      </w:r>
      <w:r>
        <w:rPr>
          <w:rFonts w:hint="eastAsia" w:ascii="宋体" w:hAnsi="宋体" w:eastAsia="宋体" w:cs="宋体"/>
          <w:color w:val="auto"/>
          <w:spacing w:val="0"/>
          <w:sz w:val="24"/>
          <w:szCs w:val="24"/>
          <w:highlight w:val="none"/>
        </w:rPr>
        <w:t>暂估价和暂列金额</w:t>
      </w:r>
    </w:p>
    <w:p w14:paraId="55F5A879">
      <w:pPr>
        <w:keepNext w:val="0"/>
        <w:keepLines w:val="0"/>
        <w:pageBreakBefore w:val="0"/>
        <w:wordWrap w:val="0"/>
        <w:overflowPunct/>
        <w:topLinePunct w:val="0"/>
        <w:bidi w:val="0"/>
        <w:spacing w:before="154" w:line="360" w:lineRule="auto"/>
        <w:ind w:left="7" w:right="57" w:firstLine="477"/>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"2.3.7.1"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2.3.7.1</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snapToGrid w:val="0"/>
          <w:color w:val="auto"/>
          <w:spacing w:val="0"/>
          <w:kern w:val="0"/>
          <w:sz w:val="24"/>
          <w:szCs w:val="24"/>
          <w:highlight w:val="none"/>
          <w:lang w:val="en-US" w:eastAsia="zh-CN"/>
        </w:rPr>
        <w:t>专业工程</w:t>
      </w:r>
      <w:r>
        <w:rPr>
          <w:rFonts w:hint="eastAsia" w:ascii="宋体" w:hAnsi="宋体" w:eastAsia="宋体" w:cs="宋体"/>
          <w:snapToGrid w:val="0"/>
          <w:color w:val="auto"/>
          <w:spacing w:val="0"/>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spacing w:val="0"/>
          <w:kern w:val="0"/>
          <w:sz w:val="24"/>
          <w:szCs w:val="24"/>
          <w:highlight w:val="none"/>
          <w:lang w:eastAsia="zh-CN"/>
        </w:rPr>
        <w:t>8.5</w:t>
      </w:r>
      <w:r>
        <w:rPr>
          <w:rFonts w:hint="eastAsia" w:ascii="宋体" w:hAnsi="宋体" w:eastAsia="宋体" w:cs="宋体"/>
          <w:snapToGrid w:val="0"/>
          <w:color w:val="auto"/>
          <w:spacing w:val="0"/>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5732179">
      <w:pPr>
        <w:keepNext w:val="0"/>
        <w:keepLines w:val="0"/>
        <w:pageBreakBefore w:val="0"/>
        <w:wordWrap w:val="0"/>
        <w:overflowPunct/>
        <w:topLinePunct w:val="0"/>
        <w:bidi w:val="0"/>
        <w:spacing w:before="153" w:line="360"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fldChar w:fldCharType="begin"/>
      </w:r>
      <w:r>
        <w:rPr>
          <w:rFonts w:hint="eastAsia" w:ascii="宋体" w:hAnsi="宋体" w:eastAsia="宋体" w:cs="宋体"/>
          <w:color w:val="auto"/>
          <w:spacing w:val="0"/>
          <w:sz w:val="24"/>
          <w:szCs w:val="24"/>
          <w:highlight w:val="none"/>
        </w:rPr>
        <w:instrText xml:space="preserve"> HYPERLINK "2.3.7.2" </w:instrText>
      </w:r>
      <w:r>
        <w:rPr>
          <w:rFonts w:hint="eastAsia" w:ascii="宋体" w:hAnsi="宋体" w:eastAsia="宋体" w:cs="宋体"/>
          <w:color w:val="auto"/>
          <w:spacing w:val="0"/>
          <w:sz w:val="24"/>
          <w:szCs w:val="24"/>
          <w:highlight w:val="none"/>
        </w:rPr>
        <w:fldChar w:fldCharType="separate"/>
      </w:r>
      <w:r>
        <w:rPr>
          <w:rFonts w:hint="eastAsia" w:ascii="宋体" w:hAnsi="宋体" w:eastAsia="宋体" w:cs="宋体"/>
          <w:b/>
          <w:bCs/>
          <w:color w:val="auto"/>
          <w:spacing w:val="0"/>
          <w:sz w:val="24"/>
          <w:szCs w:val="24"/>
          <w:highlight w:val="none"/>
        </w:rPr>
        <w:t>2.3.7.2</w:t>
      </w:r>
      <w:r>
        <w:rPr>
          <w:rFonts w:hint="eastAsia" w:ascii="宋体" w:hAnsi="宋体" w:eastAsia="宋体" w:cs="宋体"/>
          <w:b/>
          <w:bCs/>
          <w:color w:val="auto"/>
          <w:spacing w:val="0"/>
          <w:sz w:val="24"/>
          <w:szCs w:val="24"/>
          <w:highlight w:val="none"/>
        </w:rPr>
        <w:fldChar w:fldCharType="end"/>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 xml:space="preserve">暂列金额由发包人掌握和使用。暂列金额项目若有发生，按第一章第三节“投标人须知正文 ”第 </w:t>
      </w:r>
      <w:r>
        <w:rPr>
          <w:rFonts w:hint="eastAsia" w:ascii="宋体" w:hAnsi="宋体" w:eastAsia="宋体" w:cs="宋体"/>
          <w:b/>
          <w:bCs/>
          <w:color w:val="auto"/>
          <w:spacing w:val="0"/>
          <w:sz w:val="24"/>
          <w:szCs w:val="24"/>
          <w:highlight w:val="none"/>
        </w:rPr>
        <w:t xml:space="preserve">8.6 </w:t>
      </w:r>
      <w:r>
        <w:rPr>
          <w:rFonts w:hint="eastAsia" w:ascii="宋体" w:hAnsi="宋体" w:eastAsia="宋体" w:cs="宋体"/>
          <w:color w:val="auto"/>
          <w:spacing w:val="0"/>
          <w:sz w:val="24"/>
          <w:szCs w:val="24"/>
          <w:highlight w:val="none"/>
        </w:rPr>
        <w:t>条的规定确定材料供应商（或工程设备供应商、服务供应商）后，材料（或工程设备、服务）的合同价款从暂列金额中支付。暂列金额扣除已发生的暂列 金额项目合同价款、已发生的合同约定调整因素出现时的调整价款、已发生的索赔以及现场签证确认等的费用后，余额（若有）归发包人所有。</w:t>
      </w:r>
    </w:p>
    <w:p w14:paraId="1E315064">
      <w:pPr>
        <w:keepNext w:val="0"/>
        <w:keepLines w:val="0"/>
        <w:pageBreakBefore w:val="0"/>
        <w:wordWrap w:val="0"/>
        <w:overflowPunct/>
        <w:topLinePunct w:val="0"/>
        <w:bidi w:val="0"/>
        <w:spacing w:before="153" w:line="360"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2.3.8</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预算包干费按照分部分项的人工费与施工机具费之和及投标费率计取。本招标项目的预算包干内容包括：施工雨水、污水的排除；因地形影响造成的场内料具二次运输；20米高以下的工程用水加压措施；施工材料堆放场地的整理；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00D8F120">
      <w:pPr>
        <w:keepNext w:val="0"/>
        <w:keepLines w:val="0"/>
        <w:pageBreakBefore w:val="0"/>
        <w:wordWrap w:val="0"/>
        <w:overflowPunct/>
        <w:topLinePunct w:val="0"/>
        <w:bidi w:val="0"/>
        <w:spacing w:before="153" w:line="360" w:lineRule="auto"/>
        <w:ind w:left="8" w:right="2"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2.3.</w:t>
      </w:r>
      <w:r>
        <w:rPr>
          <w:rFonts w:hint="eastAsia" w:ascii="宋体" w:hAnsi="宋体" w:eastAsia="宋体" w:cs="宋体"/>
          <w:b/>
          <w:bCs/>
          <w:color w:val="auto"/>
          <w:spacing w:val="0"/>
          <w:sz w:val="24"/>
          <w:szCs w:val="24"/>
          <w:highlight w:val="none"/>
          <w:lang w:val="en-US" w:eastAsia="zh-CN"/>
        </w:rPr>
        <w:t>9</w:t>
      </w:r>
      <w:r>
        <w:rPr>
          <w:rFonts w:hint="eastAsia" w:ascii="宋体" w:hAnsi="宋体" w:eastAsia="宋体" w:cs="宋体"/>
          <w:b/>
          <w:bCs/>
          <w:color w:val="auto"/>
          <w:spacing w:val="0"/>
          <w:sz w:val="24"/>
          <w:szCs w:val="24"/>
          <w:highlight w:val="none"/>
        </w:rPr>
        <w:t xml:space="preserve"> </w:t>
      </w:r>
      <w:r>
        <w:rPr>
          <w:rFonts w:hint="eastAsia" w:ascii="宋体" w:hAnsi="宋体" w:eastAsia="宋体" w:cs="宋体"/>
          <w:color w:val="auto"/>
          <w:spacing w:val="0"/>
          <w:sz w:val="24"/>
          <w:szCs w:val="24"/>
          <w:highlight w:val="none"/>
        </w:rPr>
        <w:t>其余事项（如不可抗力、索赔、现场签证等）的调整原则按照《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）有关规定执行。</w:t>
      </w:r>
    </w:p>
    <w:p w14:paraId="0C5E03A8">
      <w:pPr>
        <w:keepNext w:val="0"/>
        <w:keepLines w:val="0"/>
        <w:pageBreakBefore w:val="0"/>
        <w:wordWrap w:val="0"/>
        <w:overflowPunct/>
        <w:topLinePunct w:val="0"/>
        <w:bidi w:val="0"/>
        <w:spacing w:before="156" w:line="360" w:lineRule="auto"/>
        <w:ind w:left="12" w:right="65" w:firstLine="55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凡将引起合同价款调增的事项，承包人必须于拟实施 14 天前，将详细的报价书（含拟实施项目名称、变更部位、理由、预计造价等）报监理单位审核和发包人批准后方可实施。</w:t>
      </w:r>
    </w:p>
    <w:p w14:paraId="7E55A3E2">
      <w:pPr>
        <w:keepNext w:val="0"/>
        <w:keepLines w:val="0"/>
        <w:pageBreakBefore w:val="0"/>
        <w:wordWrap w:val="0"/>
        <w:overflowPunct/>
        <w:topLinePunct w:val="0"/>
        <w:bidi w:val="0"/>
        <w:spacing w:before="153" w:line="360" w:lineRule="auto"/>
        <w:ind w:left="9" w:right="102" w:firstLine="477"/>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2.5 </w:t>
      </w:r>
      <w:r>
        <w:rPr>
          <w:rFonts w:hint="eastAsia" w:ascii="宋体" w:hAnsi="宋体" w:eastAsia="宋体" w:cs="宋体"/>
          <w:color w:val="auto"/>
          <w:spacing w:val="0"/>
          <w:sz w:val="24"/>
          <w:szCs w:val="24"/>
          <w:highlight w:val="none"/>
        </w:rPr>
        <w:t>承包人不得以不完全了解现场情况为理由，提出额外付款或延长工期等要求。 对此类要求，发包人不作任何考虑及答复。</w:t>
      </w:r>
    </w:p>
    <w:p w14:paraId="50E281B0">
      <w:pPr>
        <w:keepNext w:val="0"/>
        <w:keepLines w:val="0"/>
        <w:pageBreakBefore w:val="0"/>
        <w:wordWrap w:val="0"/>
        <w:overflowPunct/>
        <w:topLinePunct w:val="0"/>
        <w:bidi w:val="0"/>
        <w:spacing w:before="154" w:line="360" w:lineRule="auto"/>
        <w:ind w:left="10" w:right="63" w:firstLine="476"/>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2.6 </w:t>
      </w:r>
      <w:r>
        <w:rPr>
          <w:rFonts w:hint="eastAsia" w:ascii="宋体" w:hAnsi="宋体" w:eastAsia="宋体" w:cs="宋体"/>
          <w:color w:val="auto"/>
          <w:spacing w:val="0"/>
          <w:sz w:val="24"/>
          <w:szCs w:val="24"/>
          <w:highlight w:val="none"/>
        </w:rPr>
        <w:t>承包人已标价工程量清单中漏报、错报或少报的清单项目，其价格均视为已经包含在其它清单项目中，竣工结算时不得重新组价和调整。</w:t>
      </w:r>
    </w:p>
    <w:p w14:paraId="75BC7B06">
      <w:pPr>
        <w:keepNext w:val="0"/>
        <w:keepLines w:val="0"/>
        <w:pageBreakBefore w:val="0"/>
        <w:wordWrap w:val="0"/>
        <w:overflowPunct/>
        <w:topLinePunct w:val="0"/>
        <w:bidi w:val="0"/>
        <w:spacing w:before="155" w:line="360" w:lineRule="auto"/>
        <w:ind w:left="12" w:right="65"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2.7  </w:t>
      </w:r>
      <w:r>
        <w:rPr>
          <w:rFonts w:hint="eastAsia" w:ascii="宋体" w:hAnsi="宋体" w:eastAsia="宋体" w:cs="宋体"/>
          <w:color w:val="auto"/>
          <w:spacing w:val="0"/>
          <w:sz w:val="24"/>
          <w:szCs w:val="24"/>
          <w:highlight w:val="none"/>
        </w:rPr>
        <w:t>项目完工后，发、承包双方和受其委托具备相应资质的工程造价咨询单位必须按照《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）和国家、省、市的有关规定办理竣工结算。</w:t>
      </w:r>
    </w:p>
    <w:p w14:paraId="18501ACB">
      <w:pPr>
        <w:keepNext w:val="0"/>
        <w:keepLines w:val="0"/>
        <w:pageBreakBefore w:val="0"/>
        <w:wordWrap w:val="0"/>
        <w:overflowPunct/>
        <w:topLinePunct w:val="0"/>
        <w:bidi w:val="0"/>
        <w:spacing w:before="152" w:line="360"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2.8  </w:t>
      </w:r>
      <w:r>
        <w:rPr>
          <w:rFonts w:hint="eastAsia" w:ascii="宋体" w:hAnsi="宋体" w:eastAsia="宋体" w:cs="宋体"/>
          <w:color w:val="auto"/>
          <w:spacing w:val="0"/>
          <w:sz w:val="24"/>
          <w:szCs w:val="24"/>
          <w:highlight w:val="none"/>
        </w:rPr>
        <w:t>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 加的费用和（或）工期延误由承包人承担。</w:t>
      </w:r>
    </w:p>
    <w:p w14:paraId="32105AE6">
      <w:pPr>
        <w:keepNext w:val="0"/>
        <w:keepLines w:val="0"/>
        <w:pageBreakBefore w:val="0"/>
        <w:wordWrap w:val="0"/>
        <w:overflowPunct/>
        <w:topLinePunct w:val="0"/>
        <w:bidi w:val="0"/>
        <w:spacing w:before="152" w:line="360" w:lineRule="auto"/>
        <w:ind w:left="8" w:right="38" w:firstLine="55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2.9 </w:t>
      </w:r>
      <w:r>
        <w:rPr>
          <w:rFonts w:hint="eastAsia" w:ascii="宋体" w:hAnsi="宋体" w:eastAsia="宋体" w:cs="宋体"/>
          <w:color w:val="auto"/>
          <w:spacing w:val="0"/>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 的，则采用厂商报价或市场询价等方式取得有合法依据的市场价格，报发包人确认。</w:t>
      </w:r>
    </w:p>
    <w:p w14:paraId="1C684DEC">
      <w:pPr>
        <w:pStyle w:val="37"/>
        <w:keepNext w:val="0"/>
        <w:keepLines w:val="0"/>
        <w:pageBreakBefore w:val="0"/>
        <w:wordWrap w:val="0"/>
        <w:overflowPunct/>
        <w:topLinePunct w:val="0"/>
        <w:bidi w:val="0"/>
        <w:snapToGrid w:val="0"/>
        <w:spacing w:line="360" w:lineRule="auto"/>
        <w:ind w:firstLine="480"/>
        <w:jc w:val="both"/>
        <w:outlineLvl w:val="2"/>
        <w:rPr>
          <w:rStyle w:val="28"/>
          <w:rFonts w:hint="eastAsia" w:ascii="宋体" w:hAnsi="宋体" w:eastAsia="宋体" w:cs="宋体"/>
          <w:b/>
          <w:bCs/>
          <w:color w:val="auto"/>
          <w:spacing w:val="0"/>
          <w:sz w:val="24"/>
          <w:szCs w:val="24"/>
          <w:highlight w:val="none"/>
        </w:rPr>
      </w:pPr>
      <w:bookmarkStart w:id="175" w:name="_Toc1816"/>
      <w:bookmarkStart w:id="176" w:name="_Toc25828"/>
      <w:r>
        <w:rPr>
          <w:rStyle w:val="28"/>
          <w:rFonts w:hint="eastAsia" w:ascii="宋体" w:hAnsi="宋体" w:eastAsia="宋体" w:cs="宋体"/>
          <w:b/>
          <w:bCs/>
          <w:color w:val="auto"/>
          <w:spacing w:val="0"/>
          <w:sz w:val="24"/>
          <w:szCs w:val="24"/>
          <w:highlight w:val="none"/>
        </w:rPr>
        <w:t>3. 工程付款办法</w:t>
      </w:r>
      <w:bookmarkEnd w:id="175"/>
      <w:bookmarkEnd w:id="176"/>
    </w:p>
    <w:p w14:paraId="6E914D7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3.1</w:t>
      </w:r>
      <w:r>
        <w:rPr>
          <w:rFonts w:hint="eastAsia" w:ascii="宋体" w:hAnsi="宋体" w:eastAsia="宋体" w:cs="宋体"/>
          <w:snapToGrid w:val="0"/>
          <w:color w:val="auto"/>
          <w:spacing w:val="0"/>
          <w:kern w:val="0"/>
          <w:sz w:val="24"/>
          <w:szCs w:val="24"/>
          <w:highlight w:val="none"/>
          <w:lang w:eastAsia="zh-CN"/>
        </w:rPr>
        <w:t xml:space="preserve"> 本工程 </w:t>
      </w:r>
      <w:r>
        <w:rPr>
          <w:rFonts w:hint="eastAsia" w:ascii="宋体" w:hAnsi="宋体" w:eastAsia="宋体" w:cs="宋体"/>
          <w:b/>
          <w:bCs/>
          <w:snapToGrid w:val="0"/>
          <w:color w:val="auto"/>
          <w:spacing w:val="0"/>
          <w:kern w:val="0"/>
          <w:sz w:val="24"/>
          <w:szCs w:val="24"/>
          <w:highlight w:val="none"/>
          <w:u w:val="single"/>
          <w:lang w:eastAsia="zh-CN"/>
        </w:rPr>
        <w:t>支付</w:t>
      </w:r>
      <w:r>
        <w:rPr>
          <w:rFonts w:hint="eastAsia" w:ascii="宋体" w:hAnsi="宋体" w:eastAsia="宋体" w:cs="宋体"/>
          <w:snapToGrid w:val="0"/>
          <w:color w:val="auto"/>
          <w:spacing w:val="0"/>
          <w:kern w:val="0"/>
          <w:sz w:val="24"/>
          <w:szCs w:val="24"/>
          <w:highlight w:val="none"/>
          <w:lang w:eastAsia="zh-CN"/>
        </w:rPr>
        <w:t xml:space="preserve"> 施工预付款。</w:t>
      </w:r>
      <w:r>
        <w:rPr>
          <w:rFonts w:hint="eastAsia" w:ascii="宋体" w:hAnsi="宋体" w:eastAsia="宋体" w:cs="宋体"/>
          <w:color w:val="auto"/>
          <w:sz w:val="24"/>
          <w:szCs w:val="24"/>
          <w:highlight w:val="none"/>
        </w:rPr>
        <w:commentReference w:id="0"/>
      </w:r>
    </w:p>
    <w:p w14:paraId="41FC373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3.2</w:t>
      </w:r>
      <w:r>
        <w:rPr>
          <w:rFonts w:hint="eastAsia" w:ascii="宋体" w:hAnsi="宋体" w:eastAsia="宋体" w:cs="宋体"/>
          <w:snapToGrid w:val="0"/>
          <w:color w:val="auto"/>
          <w:spacing w:val="0"/>
          <w:kern w:val="0"/>
          <w:sz w:val="24"/>
          <w:szCs w:val="24"/>
          <w:highlight w:val="none"/>
          <w:lang w:eastAsia="zh-CN"/>
        </w:rPr>
        <w:t xml:space="preserve"> 施工预付款必须专用于合同工程，并按以下原则支付和抵扣：</w:t>
      </w:r>
    </w:p>
    <w:p w14:paraId="634D67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val="en-US" w:eastAsia="zh-CN"/>
        </w:rPr>
      </w:pPr>
      <w:r>
        <w:rPr>
          <w:rFonts w:hint="eastAsia" w:ascii="宋体" w:hAnsi="宋体" w:eastAsia="宋体" w:cs="宋体"/>
          <w:b/>
          <w:bCs/>
          <w:snapToGrid w:val="0"/>
          <w:color w:val="auto"/>
          <w:spacing w:val="0"/>
          <w:kern w:val="0"/>
          <w:sz w:val="24"/>
          <w:szCs w:val="24"/>
          <w:highlight w:val="none"/>
          <w:lang w:eastAsia="zh-CN"/>
        </w:rPr>
        <w:t>3.2.1</w:t>
      </w:r>
      <w:r>
        <w:rPr>
          <w:rFonts w:hint="eastAsia" w:ascii="宋体" w:hAnsi="宋体" w:eastAsia="宋体" w:cs="宋体"/>
          <w:snapToGrid w:val="0"/>
          <w:color w:val="auto"/>
          <w:spacing w:val="0"/>
          <w:kern w:val="0"/>
          <w:sz w:val="24"/>
          <w:szCs w:val="24"/>
          <w:highlight w:val="none"/>
          <w:lang w:eastAsia="zh-CN"/>
        </w:rPr>
        <w:t xml:space="preserve"> 施工预付款支付比例为：按施工合同价扣除“暂列金额、专业工程暂估价、</w:t>
      </w:r>
      <w:r>
        <w:rPr>
          <w:rFonts w:hint="eastAsia" w:ascii="宋体" w:hAnsi="宋体" w:eastAsia="宋体" w:cs="宋体"/>
          <w:snapToGrid w:val="0"/>
          <w:color w:val="auto"/>
          <w:spacing w:val="0"/>
          <w:kern w:val="0"/>
          <w:sz w:val="24"/>
          <w:szCs w:val="24"/>
          <w:highlight w:val="none"/>
          <w:lang w:val="en-US" w:eastAsia="zh-CN"/>
        </w:rPr>
        <w:t>安全生产措施费</w:t>
      </w:r>
      <w:r>
        <w:rPr>
          <w:rFonts w:hint="eastAsia" w:ascii="宋体" w:hAnsi="宋体" w:eastAsia="宋体" w:cs="宋体"/>
          <w:snapToGrid w:val="0"/>
          <w:color w:val="auto"/>
          <w:spacing w:val="0"/>
          <w:kern w:val="0"/>
          <w:sz w:val="24"/>
          <w:szCs w:val="24"/>
          <w:highlight w:val="none"/>
          <w:lang w:eastAsia="zh-CN"/>
        </w:rPr>
        <w:t>”后 30% 支付，其中施工合同价(暂列金额、专业工程暂估价、</w:t>
      </w:r>
      <w:r>
        <w:rPr>
          <w:rFonts w:hint="eastAsia" w:ascii="宋体" w:hAnsi="宋体" w:eastAsia="宋体" w:cs="宋体"/>
          <w:snapToGrid w:val="0"/>
          <w:color w:val="auto"/>
          <w:spacing w:val="0"/>
          <w:kern w:val="0"/>
          <w:sz w:val="24"/>
          <w:szCs w:val="24"/>
          <w:highlight w:val="none"/>
          <w:lang w:val="en-US" w:eastAsia="zh-CN"/>
        </w:rPr>
        <w:t>安全生产措施费除外</w:t>
      </w:r>
      <w:r>
        <w:rPr>
          <w:rFonts w:hint="eastAsia" w:ascii="宋体" w:hAnsi="宋体" w:eastAsia="宋体" w:cs="宋体"/>
          <w:snapToGrid w:val="0"/>
          <w:color w:val="auto"/>
          <w:spacing w:val="0"/>
          <w:kern w:val="0"/>
          <w:sz w:val="24"/>
          <w:szCs w:val="24"/>
          <w:highlight w:val="none"/>
          <w:lang w:eastAsia="zh-CN"/>
        </w:rPr>
        <w:t>)5%直接拨付至农民工工资专用账户且</w:t>
      </w:r>
      <w:r>
        <w:rPr>
          <w:rFonts w:hint="eastAsia" w:ascii="宋体" w:hAnsi="宋体" w:eastAsia="宋体" w:cs="宋体"/>
          <w:snapToGrid w:val="0"/>
          <w:color w:val="auto"/>
          <w:spacing w:val="0"/>
          <w:kern w:val="0"/>
          <w:sz w:val="24"/>
          <w:szCs w:val="24"/>
          <w:highlight w:val="none"/>
          <w:lang w:val="en-US" w:eastAsia="zh-CN"/>
        </w:rPr>
        <w:t>应留存至最后一期支付进度款时全额扣回。</w:t>
      </w:r>
    </w:p>
    <w:p w14:paraId="7C9E1FA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3.2.2</w:t>
      </w:r>
      <w:r>
        <w:rPr>
          <w:rFonts w:hint="eastAsia" w:ascii="宋体" w:hAnsi="宋体" w:eastAsia="宋体" w:cs="宋体"/>
          <w:snapToGrid w:val="0"/>
          <w:color w:val="auto"/>
          <w:spacing w:val="0"/>
          <w:kern w:val="0"/>
          <w:sz w:val="24"/>
          <w:szCs w:val="24"/>
          <w:highlight w:val="none"/>
          <w:lang w:eastAsia="zh-CN"/>
        </w:rPr>
        <w:t xml:space="preserve"> 本招标项目 </w:t>
      </w:r>
      <w:r>
        <w:rPr>
          <w:rFonts w:hint="eastAsia" w:ascii="宋体" w:hAnsi="宋体" w:eastAsia="宋体" w:cs="宋体"/>
          <w:b/>
          <w:bCs/>
          <w:snapToGrid w:val="0"/>
          <w:color w:val="auto"/>
          <w:spacing w:val="0"/>
          <w:kern w:val="0"/>
          <w:sz w:val="24"/>
          <w:szCs w:val="24"/>
          <w:highlight w:val="none"/>
          <w:u w:val="single"/>
          <w:lang w:eastAsia="zh-CN"/>
        </w:rPr>
        <w:t>要求</w:t>
      </w:r>
      <w:r>
        <w:rPr>
          <w:rFonts w:hint="eastAsia" w:ascii="宋体" w:hAnsi="宋体" w:eastAsia="宋体" w:cs="宋体"/>
          <w:snapToGrid w:val="0"/>
          <w:color w:val="auto"/>
          <w:spacing w:val="0"/>
          <w:kern w:val="0"/>
          <w:sz w:val="24"/>
          <w:szCs w:val="24"/>
          <w:highlight w:val="none"/>
          <w:lang w:eastAsia="zh-CN"/>
        </w:rPr>
        <w:t xml:space="preserve"> 承包人提供与预付款等额的预付款保函。</w:t>
      </w:r>
    </w:p>
    <w:p w14:paraId="68943F4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3.2.3</w:t>
      </w:r>
      <w:r>
        <w:rPr>
          <w:rFonts w:hint="eastAsia" w:ascii="宋体" w:hAnsi="宋体" w:eastAsia="宋体" w:cs="宋体"/>
          <w:snapToGrid w:val="0"/>
          <w:color w:val="auto"/>
          <w:spacing w:val="0"/>
          <w:kern w:val="0"/>
          <w:sz w:val="24"/>
          <w:szCs w:val="24"/>
          <w:highlight w:val="none"/>
          <w:lang w:eastAsia="zh-CN"/>
        </w:rPr>
        <w:t xml:space="preserve"> 承包人应在签订合同后，</w:t>
      </w:r>
      <w:r>
        <w:rPr>
          <w:rFonts w:hint="eastAsia" w:ascii="宋体" w:hAnsi="宋体" w:eastAsia="宋体" w:cs="宋体"/>
          <w:b/>
          <w:bCs/>
          <w:snapToGrid w:val="0"/>
          <w:color w:val="auto"/>
          <w:spacing w:val="0"/>
          <w:kern w:val="0"/>
          <w:sz w:val="24"/>
          <w:szCs w:val="24"/>
          <w:highlight w:val="none"/>
          <w:lang w:eastAsia="zh-CN"/>
        </w:rPr>
        <w:t>在提供符合要求的预付款保函或预付款保险</w:t>
      </w:r>
      <w:r>
        <w:rPr>
          <w:rFonts w:hint="eastAsia" w:ascii="宋体" w:hAnsi="宋体" w:eastAsia="宋体" w:cs="宋体"/>
          <w:snapToGrid w:val="0"/>
          <w:color w:val="auto"/>
          <w:spacing w:val="0"/>
          <w:kern w:val="0"/>
          <w:sz w:val="24"/>
          <w:szCs w:val="24"/>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spacing w:val="0"/>
          <w:kern w:val="0"/>
          <w:sz w:val="24"/>
          <w:szCs w:val="24"/>
          <w:highlight w:val="none"/>
          <w:lang w:val="en-US" w:eastAsia="zh-CN"/>
        </w:rPr>
        <w:t>7</w:t>
      </w:r>
      <w:r>
        <w:rPr>
          <w:rFonts w:hint="eastAsia" w:ascii="宋体" w:hAnsi="宋体" w:eastAsia="宋体" w:cs="宋体"/>
          <w:snapToGrid w:val="0"/>
          <w:color w:val="auto"/>
          <w:spacing w:val="0"/>
          <w:kern w:val="0"/>
          <w:sz w:val="24"/>
          <w:szCs w:val="24"/>
          <w:highlight w:val="none"/>
          <w:lang w:eastAsia="zh-CN"/>
        </w:rPr>
        <w:t>天内进行核实后向承包人发出预付款支付证书，并在签发支付证书后的</w:t>
      </w:r>
      <w:r>
        <w:rPr>
          <w:rFonts w:hint="eastAsia" w:ascii="宋体" w:hAnsi="宋体" w:eastAsia="宋体" w:cs="宋体"/>
          <w:snapToGrid w:val="0"/>
          <w:color w:val="auto"/>
          <w:spacing w:val="0"/>
          <w:kern w:val="0"/>
          <w:sz w:val="24"/>
          <w:szCs w:val="24"/>
          <w:highlight w:val="none"/>
          <w:lang w:val="en-US" w:eastAsia="zh-CN"/>
        </w:rPr>
        <w:t>7</w:t>
      </w:r>
      <w:r>
        <w:rPr>
          <w:rFonts w:hint="eastAsia" w:ascii="宋体" w:hAnsi="宋体" w:eastAsia="宋体" w:cs="宋体"/>
          <w:snapToGrid w:val="0"/>
          <w:color w:val="auto"/>
          <w:spacing w:val="0"/>
          <w:kern w:val="0"/>
          <w:sz w:val="24"/>
          <w:szCs w:val="24"/>
          <w:highlight w:val="none"/>
          <w:lang w:eastAsia="zh-CN"/>
        </w:rPr>
        <w:t>天内向承包人支付预付款。凡未签订合同或不具备施工条件的工程，发包人不得预付工程款。</w:t>
      </w:r>
    </w:p>
    <w:p w14:paraId="3236D67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3.2.</w:t>
      </w:r>
      <w:r>
        <w:rPr>
          <w:rFonts w:hint="eastAsia" w:ascii="宋体" w:hAnsi="宋体" w:eastAsia="宋体" w:cs="宋体"/>
          <w:b/>
          <w:bCs/>
          <w:snapToGrid w:val="0"/>
          <w:color w:val="auto"/>
          <w:spacing w:val="0"/>
          <w:kern w:val="0"/>
          <w:sz w:val="24"/>
          <w:szCs w:val="24"/>
          <w:highlight w:val="none"/>
          <w:lang w:val="en-US" w:eastAsia="zh-CN"/>
        </w:rPr>
        <w:t>4</w:t>
      </w:r>
      <w:r>
        <w:rPr>
          <w:rFonts w:hint="eastAsia" w:ascii="宋体" w:hAnsi="宋体" w:eastAsia="宋体" w:cs="宋体"/>
          <w:snapToGrid w:val="0"/>
          <w:color w:val="auto"/>
          <w:spacing w:val="0"/>
          <w:kern w:val="0"/>
          <w:sz w:val="24"/>
          <w:szCs w:val="24"/>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4ED67E5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val="en-US" w:eastAsia="zh-CN"/>
        </w:rPr>
        <w:t>3.2.5</w:t>
      </w:r>
      <w:r>
        <w:rPr>
          <w:rFonts w:hint="eastAsia" w:ascii="宋体" w:hAnsi="宋体" w:eastAsia="宋体" w:cs="宋体"/>
          <w:snapToGrid w:val="0"/>
          <w:color w:val="auto"/>
          <w:spacing w:val="0"/>
          <w:kern w:val="0"/>
          <w:sz w:val="24"/>
          <w:szCs w:val="24"/>
          <w:highlight w:val="none"/>
          <w:lang w:val="en-US" w:eastAsia="zh-CN"/>
        </w:rPr>
        <w:t xml:space="preserve"> 从进度款中按50%的比例同步扣回预付款。预付款在首次申请进度款时开始扣回，直至全部扣完终止。</w:t>
      </w:r>
    </w:p>
    <w:p w14:paraId="5532E8B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3.3</w:t>
      </w:r>
      <w:r>
        <w:rPr>
          <w:rFonts w:hint="eastAsia" w:ascii="宋体" w:hAnsi="宋体" w:eastAsia="宋体" w:cs="宋体"/>
          <w:snapToGrid w:val="0"/>
          <w:color w:val="auto"/>
          <w:spacing w:val="0"/>
          <w:kern w:val="0"/>
          <w:sz w:val="24"/>
          <w:szCs w:val="24"/>
          <w:highlight w:val="none"/>
          <w:lang w:eastAsia="zh-CN"/>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38CC6A3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3.4</w:t>
      </w:r>
      <w:r>
        <w:rPr>
          <w:rFonts w:hint="eastAsia" w:ascii="宋体" w:hAnsi="宋体" w:eastAsia="宋体" w:cs="宋体"/>
          <w:snapToGrid w:val="0"/>
          <w:color w:val="auto"/>
          <w:spacing w:val="0"/>
          <w:kern w:val="0"/>
          <w:sz w:val="24"/>
          <w:szCs w:val="24"/>
          <w:highlight w:val="none"/>
          <w:lang w:eastAsia="zh-CN"/>
        </w:rPr>
        <w:t xml:space="preserve"> 每月的工程进度款按工程实际完成工程量的 </w:t>
      </w:r>
      <w:r>
        <w:rPr>
          <w:rFonts w:hint="eastAsia" w:ascii="宋体" w:hAnsi="宋体" w:eastAsia="宋体" w:cs="宋体"/>
          <w:snapToGrid w:val="0"/>
          <w:color w:val="auto"/>
          <w:spacing w:val="0"/>
          <w:kern w:val="0"/>
          <w:sz w:val="24"/>
          <w:szCs w:val="24"/>
          <w:highlight w:val="none"/>
          <w:u w:val="single"/>
          <w:lang w:val="en-US" w:eastAsia="zh-CN"/>
        </w:rPr>
        <w:t>8</w:t>
      </w:r>
      <w:r>
        <w:rPr>
          <w:rFonts w:hint="eastAsia" w:ascii="宋体" w:hAnsi="宋体" w:eastAsia="宋体" w:cs="宋体"/>
          <w:snapToGrid w:val="0"/>
          <w:color w:val="auto"/>
          <w:spacing w:val="0"/>
          <w:kern w:val="0"/>
          <w:sz w:val="24"/>
          <w:szCs w:val="24"/>
          <w:highlight w:val="none"/>
          <w:u w:val="single"/>
          <w:lang w:eastAsia="zh-CN"/>
        </w:rPr>
        <w:t>0</w:t>
      </w:r>
      <w:r>
        <w:rPr>
          <w:rFonts w:hint="eastAsia" w:ascii="宋体" w:hAnsi="宋体" w:eastAsia="宋体" w:cs="宋体"/>
          <w:snapToGrid w:val="0"/>
          <w:color w:val="auto"/>
          <w:spacing w:val="0"/>
          <w:kern w:val="0"/>
          <w:sz w:val="24"/>
          <w:szCs w:val="24"/>
          <w:highlight w:val="none"/>
          <w:lang w:eastAsia="zh-CN"/>
        </w:rPr>
        <w:t>% 申请支付，工程进度款中的作业工人工资款项由发包人单独足额拨付到承包人的工资专户。要严格审核工程进度款。要求施工单位严格按照实际工程量编制进度款申请，确保数据真实、完整；要求监理单位（全过程造价咨询单位）对工程量清单、进度匹配性进行核验，须优先100%足额核算保障农民工工资，签署书面审核意见和建议拨付进度款和工人工资金额。同时，各单位要对申报材料及监理审核结果进行最终确认，确保拨付金额符合合同约定，农民工工资每月足额拨付，并确保在项目结算前农民工工资不拖欠。</w:t>
      </w:r>
    </w:p>
    <w:p w14:paraId="37B10F3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w:t>
      </w:r>
      <w:r>
        <w:rPr>
          <w:rFonts w:hint="eastAsia" w:ascii="宋体" w:hAnsi="宋体" w:eastAsia="宋体" w:cs="宋体"/>
          <w:b/>
          <w:bCs/>
          <w:snapToGrid w:val="0"/>
          <w:color w:val="auto"/>
          <w:spacing w:val="0"/>
          <w:kern w:val="0"/>
          <w:sz w:val="24"/>
          <w:szCs w:val="24"/>
          <w:highlight w:val="none"/>
          <w:lang w:val="en-US" w:eastAsia="zh-CN"/>
        </w:rPr>
        <w:t>5</w:t>
      </w:r>
      <w:r>
        <w:rPr>
          <w:rFonts w:hint="eastAsia" w:ascii="宋体" w:hAnsi="宋体" w:eastAsia="宋体" w:cs="宋体"/>
          <w:snapToGrid w:val="0"/>
          <w:color w:val="auto"/>
          <w:spacing w:val="0"/>
          <w:kern w:val="0"/>
          <w:sz w:val="24"/>
          <w:szCs w:val="24"/>
          <w:highlight w:val="none"/>
          <w:lang w:eastAsia="zh-CN"/>
        </w:rPr>
        <w:t xml:space="preserve"> 措施项目费中的“安全生产措施费拨付按照《建设工程工程量清单计价标准》（GB/T50500一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中请，项目预付安全生产措施费总额的50%，其余部分应按照提前安排的原则进行分解，并与工程进度款同期支付。发承包双方在计算应付工程进度款时，预付款</w:t>
      </w:r>
      <w:r>
        <w:rPr>
          <w:rFonts w:hint="eastAsia" w:ascii="宋体" w:hAnsi="宋体" w:eastAsia="宋体" w:cs="宋体"/>
          <w:snapToGrid w:val="0"/>
          <w:color w:val="auto"/>
          <w:spacing w:val="0"/>
          <w:kern w:val="0"/>
          <w:sz w:val="24"/>
          <w:szCs w:val="24"/>
          <w:highlight w:val="none"/>
          <w:lang w:val="en-US" w:eastAsia="zh-CN"/>
        </w:rPr>
        <w:t>中</w:t>
      </w:r>
      <w:r>
        <w:rPr>
          <w:rFonts w:hint="eastAsia" w:ascii="宋体" w:hAnsi="宋体" w:eastAsia="宋体" w:cs="宋体"/>
          <w:snapToGrid w:val="0"/>
          <w:color w:val="auto"/>
          <w:spacing w:val="0"/>
          <w:kern w:val="0"/>
          <w:sz w:val="24"/>
          <w:szCs w:val="24"/>
          <w:highlight w:val="none"/>
          <w:lang w:eastAsia="zh-CN"/>
        </w:rPr>
        <w:t>不扣回安全生产措施费。安全生产措施费必须专款专用，并由发包人单独拨付到承包人的建设工程安全生产措施费专用账户。</w:t>
      </w:r>
    </w:p>
    <w:p w14:paraId="6B34D5E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w:t>
      </w:r>
      <w:r>
        <w:rPr>
          <w:rFonts w:hint="eastAsia" w:ascii="宋体" w:hAnsi="宋体" w:eastAsia="宋体" w:cs="宋体"/>
          <w:b/>
          <w:bCs/>
          <w:snapToGrid w:val="0"/>
          <w:color w:val="auto"/>
          <w:spacing w:val="0"/>
          <w:kern w:val="0"/>
          <w:sz w:val="24"/>
          <w:szCs w:val="24"/>
          <w:highlight w:val="none"/>
          <w:lang w:val="en-US" w:eastAsia="zh-CN"/>
        </w:rPr>
        <w:t>6</w:t>
      </w:r>
      <w:r>
        <w:rPr>
          <w:rFonts w:hint="eastAsia" w:ascii="宋体" w:hAnsi="宋体" w:eastAsia="宋体" w:cs="宋体"/>
          <w:snapToGrid w:val="0"/>
          <w:color w:val="auto"/>
          <w:spacing w:val="0"/>
          <w:kern w:val="0"/>
          <w:sz w:val="24"/>
          <w:szCs w:val="24"/>
          <w:highlight w:val="none"/>
          <w:lang w:eastAsia="zh-CN"/>
        </w:rPr>
        <w:t xml:space="preserve"> 变更工程造价必须经监理单位核实，并经发包人核定后方可支付。</w:t>
      </w:r>
    </w:p>
    <w:p w14:paraId="0820561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w:t>
      </w:r>
      <w:r>
        <w:rPr>
          <w:rFonts w:hint="eastAsia" w:ascii="宋体" w:hAnsi="宋体" w:eastAsia="宋体" w:cs="宋体"/>
          <w:b/>
          <w:bCs/>
          <w:snapToGrid w:val="0"/>
          <w:color w:val="auto"/>
          <w:spacing w:val="0"/>
          <w:kern w:val="0"/>
          <w:sz w:val="24"/>
          <w:szCs w:val="24"/>
          <w:highlight w:val="none"/>
          <w:lang w:val="en-US" w:eastAsia="zh-CN"/>
        </w:rPr>
        <w:t>7</w:t>
      </w:r>
      <w:r>
        <w:rPr>
          <w:rFonts w:hint="eastAsia" w:ascii="宋体" w:hAnsi="宋体" w:eastAsia="宋体" w:cs="宋体"/>
          <w:snapToGrid w:val="0"/>
          <w:color w:val="auto"/>
          <w:spacing w:val="0"/>
          <w:kern w:val="0"/>
          <w:sz w:val="24"/>
          <w:szCs w:val="24"/>
          <w:highlight w:val="none"/>
          <w:lang w:eastAsia="zh-CN"/>
        </w:rPr>
        <w:t xml:space="preserve"> 工程款（预付款+累计支付进度款）支付至合同价款的80%时停止支付。结算审核完成后，</w:t>
      </w:r>
      <w:r>
        <w:rPr>
          <w:rFonts w:hint="eastAsia" w:ascii="宋体" w:hAnsi="宋体" w:eastAsia="宋体" w:cs="宋体"/>
          <w:snapToGrid w:val="0"/>
          <w:color w:val="auto"/>
          <w:spacing w:val="0"/>
          <w:kern w:val="0"/>
          <w:sz w:val="24"/>
          <w:szCs w:val="24"/>
          <w:highlight w:val="none"/>
          <w:lang w:val="en-US" w:eastAsia="zh-CN"/>
        </w:rPr>
        <w:t>于次月</w:t>
      </w:r>
      <w:r>
        <w:rPr>
          <w:rFonts w:hint="eastAsia" w:ascii="宋体" w:hAnsi="宋体" w:eastAsia="宋体" w:cs="宋体"/>
          <w:snapToGrid w:val="0"/>
          <w:color w:val="auto"/>
          <w:spacing w:val="0"/>
          <w:kern w:val="0"/>
          <w:sz w:val="24"/>
          <w:szCs w:val="24"/>
          <w:highlight w:val="none"/>
          <w:lang w:eastAsia="zh-CN"/>
        </w:rPr>
        <w:t>支付至</w:t>
      </w:r>
      <w:r>
        <w:rPr>
          <w:rFonts w:hint="eastAsia" w:ascii="宋体" w:hAnsi="宋体" w:eastAsia="宋体" w:cs="宋体"/>
          <w:snapToGrid w:val="0"/>
          <w:color w:val="auto"/>
          <w:spacing w:val="0"/>
          <w:kern w:val="0"/>
          <w:sz w:val="24"/>
          <w:szCs w:val="24"/>
          <w:highlight w:val="none"/>
          <w:lang w:val="en-US" w:eastAsia="zh-CN"/>
        </w:rPr>
        <w:t>审定合同总价</w:t>
      </w:r>
      <w:r>
        <w:rPr>
          <w:rFonts w:hint="eastAsia" w:ascii="宋体" w:hAnsi="宋体" w:eastAsia="宋体" w:cs="宋体"/>
          <w:snapToGrid w:val="0"/>
          <w:color w:val="auto"/>
          <w:spacing w:val="0"/>
          <w:kern w:val="0"/>
          <w:sz w:val="24"/>
          <w:szCs w:val="24"/>
          <w:highlight w:val="none"/>
          <w:lang w:eastAsia="zh-CN"/>
        </w:rPr>
        <w:t>的</w:t>
      </w:r>
      <w:r>
        <w:rPr>
          <w:rFonts w:hint="eastAsia" w:ascii="宋体" w:hAnsi="宋体" w:eastAsia="宋体" w:cs="宋体"/>
          <w:snapToGrid w:val="0"/>
          <w:color w:val="auto"/>
          <w:spacing w:val="0"/>
          <w:kern w:val="0"/>
          <w:sz w:val="24"/>
          <w:szCs w:val="24"/>
          <w:highlight w:val="none"/>
          <w:u w:val="single"/>
          <w:lang w:eastAsia="zh-CN"/>
        </w:rPr>
        <w:t>97</w:t>
      </w:r>
      <w:r>
        <w:rPr>
          <w:rFonts w:hint="eastAsia" w:ascii="宋体" w:hAnsi="宋体" w:eastAsia="宋体" w:cs="宋体"/>
          <w:snapToGrid w:val="0"/>
          <w:color w:val="auto"/>
          <w:spacing w:val="0"/>
          <w:kern w:val="0"/>
          <w:sz w:val="24"/>
          <w:szCs w:val="24"/>
          <w:highlight w:val="none"/>
          <w:lang w:eastAsia="zh-CN"/>
        </w:rPr>
        <w:t>%，剩余3%为</w:t>
      </w:r>
      <w:r>
        <w:rPr>
          <w:rFonts w:hint="eastAsia" w:ascii="宋体" w:hAnsi="宋体" w:eastAsia="宋体" w:cs="宋体"/>
          <w:snapToGrid w:val="0"/>
          <w:color w:val="auto"/>
          <w:spacing w:val="0"/>
          <w:kern w:val="0"/>
          <w:sz w:val="24"/>
          <w:szCs w:val="24"/>
          <w:highlight w:val="none"/>
          <w:lang w:val="en-US" w:eastAsia="zh-CN"/>
        </w:rPr>
        <w:t>工程</w:t>
      </w:r>
      <w:r>
        <w:rPr>
          <w:rFonts w:hint="eastAsia" w:ascii="宋体" w:hAnsi="宋体" w:eastAsia="宋体" w:cs="宋体"/>
          <w:snapToGrid w:val="0"/>
          <w:color w:val="auto"/>
          <w:spacing w:val="0"/>
          <w:kern w:val="0"/>
          <w:sz w:val="24"/>
          <w:szCs w:val="24"/>
          <w:highlight w:val="none"/>
          <w:lang w:eastAsia="zh-CN"/>
        </w:rPr>
        <w:t>质量保证金，</w:t>
      </w:r>
      <w:r>
        <w:rPr>
          <w:rFonts w:hint="eastAsia" w:ascii="宋体" w:hAnsi="宋体" w:eastAsia="宋体" w:cs="宋体"/>
          <w:snapToGrid w:val="0"/>
          <w:color w:val="auto"/>
          <w:spacing w:val="0"/>
          <w:kern w:val="0"/>
          <w:sz w:val="24"/>
          <w:szCs w:val="24"/>
          <w:highlight w:val="none"/>
          <w:lang w:val="en-US" w:eastAsia="zh-CN"/>
        </w:rPr>
        <w:t>根据《建设工程质量保证金管理办法》等有关规定，承包人可以银行保函或保险替代质量保证金，承包人提交了等额质量保证担保或质量保证保险的，于次月一次性结清合同结算价格。</w:t>
      </w:r>
    </w:p>
    <w:p w14:paraId="79AB6B7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w:t>
      </w:r>
      <w:r>
        <w:rPr>
          <w:rFonts w:hint="eastAsia" w:ascii="宋体" w:hAnsi="宋体" w:eastAsia="宋体" w:cs="宋体"/>
          <w:b/>
          <w:bCs/>
          <w:snapToGrid w:val="0"/>
          <w:color w:val="auto"/>
          <w:spacing w:val="0"/>
          <w:kern w:val="0"/>
          <w:sz w:val="24"/>
          <w:szCs w:val="24"/>
          <w:highlight w:val="none"/>
          <w:lang w:val="en-US" w:eastAsia="zh-CN"/>
        </w:rPr>
        <w:t>8</w:t>
      </w:r>
      <w:r>
        <w:rPr>
          <w:rFonts w:hint="eastAsia" w:ascii="宋体" w:hAnsi="宋体" w:eastAsia="宋体" w:cs="宋体"/>
          <w:snapToGrid w:val="0"/>
          <w:color w:val="auto"/>
          <w:spacing w:val="0"/>
          <w:kern w:val="0"/>
          <w:sz w:val="24"/>
          <w:szCs w:val="24"/>
          <w:highlight w:val="none"/>
          <w:lang w:eastAsia="zh-CN"/>
        </w:rPr>
        <w:t>本招标项目缺陷责任期为</w:t>
      </w:r>
      <w:r>
        <w:rPr>
          <w:rFonts w:hint="eastAsia" w:ascii="宋体" w:hAnsi="宋体" w:eastAsia="宋体" w:cs="宋体"/>
          <w:snapToGrid w:val="0"/>
          <w:color w:val="auto"/>
          <w:spacing w:val="0"/>
          <w:kern w:val="0"/>
          <w:sz w:val="24"/>
          <w:szCs w:val="24"/>
          <w:highlight w:val="none"/>
          <w:u w:val="single"/>
          <w:lang w:val="en-US" w:eastAsia="zh-CN"/>
        </w:rPr>
        <w:t>2</w:t>
      </w:r>
      <w:r>
        <w:rPr>
          <w:rFonts w:hint="eastAsia" w:ascii="宋体" w:hAnsi="宋体" w:eastAsia="宋体" w:cs="宋体"/>
          <w:snapToGrid w:val="0"/>
          <w:color w:val="auto"/>
          <w:spacing w:val="0"/>
          <w:kern w:val="0"/>
          <w:sz w:val="24"/>
          <w:szCs w:val="24"/>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spacing w:val="0"/>
          <w:kern w:val="0"/>
          <w:sz w:val="24"/>
          <w:szCs w:val="24"/>
          <w:highlight w:val="none"/>
          <w:u w:val="single"/>
          <w:lang w:eastAsia="zh-CN"/>
        </w:rPr>
        <w:t>14</w:t>
      </w:r>
      <w:r>
        <w:rPr>
          <w:rFonts w:hint="eastAsia" w:ascii="宋体" w:hAnsi="宋体" w:eastAsia="宋体" w:cs="宋体"/>
          <w:snapToGrid w:val="0"/>
          <w:color w:val="auto"/>
          <w:spacing w:val="0"/>
          <w:kern w:val="0"/>
          <w:sz w:val="24"/>
          <w:szCs w:val="24"/>
          <w:highlight w:val="none"/>
          <w:lang w:eastAsia="zh-CN"/>
        </w:rPr>
        <w:t>天内会同承包人进行核实。经双方核实且均无异议后，发包人在核实之日起</w:t>
      </w:r>
      <w:r>
        <w:rPr>
          <w:rFonts w:hint="eastAsia" w:ascii="宋体" w:hAnsi="宋体" w:eastAsia="宋体" w:cs="宋体"/>
          <w:snapToGrid w:val="0"/>
          <w:color w:val="auto"/>
          <w:spacing w:val="0"/>
          <w:kern w:val="0"/>
          <w:sz w:val="24"/>
          <w:szCs w:val="24"/>
          <w:highlight w:val="none"/>
          <w:u w:val="single"/>
          <w:lang w:eastAsia="zh-CN"/>
        </w:rPr>
        <w:t xml:space="preserve"> 14 </w:t>
      </w:r>
      <w:r>
        <w:rPr>
          <w:rFonts w:hint="eastAsia" w:ascii="宋体" w:hAnsi="宋体" w:eastAsia="宋体" w:cs="宋体"/>
          <w:snapToGrid w:val="0"/>
          <w:color w:val="auto"/>
          <w:spacing w:val="0"/>
          <w:kern w:val="0"/>
          <w:sz w:val="24"/>
          <w:szCs w:val="24"/>
          <w:highlight w:val="none"/>
          <w:lang w:eastAsia="zh-CN"/>
        </w:rPr>
        <w:t>天内将应返保证金（或银行保函）退还承包人。</w:t>
      </w:r>
    </w:p>
    <w:p w14:paraId="5F97EA0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b/>
          <w:bCs/>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3.9</w:t>
      </w:r>
      <w:r>
        <w:rPr>
          <w:rFonts w:hint="eastAsia" w:ascii="宋体" w:hAnsi="宋体" w:eastAsia="宋体" w:cs="宋体"/>
          <w:snapToGrid w:val="0"/>
          <w:color w:val="auto"/>
          <w:spacing w:val="0"/>
          <w:kern w:val="0"/>
          <w:sz w:val="24"/>
          <w:szCs w:val="24"/>
          <w:highlight w:val="none"/>
          <w:lang w:eastAsia="zh-CN"/>
        </w:rPr>
        <w:t xml:space="preserve"> </w:t>
      </w:r>
      <w:r>
        <w:rPr>
          <w:rFonts w:hint="eastAsia" w:ascii="宋体" w:hAnsi="宋体" w:eastAsia="宋体" w:cs="宋体"/>
          <w:b/>
          <w:bCs/>
          <w:snapToGrid w:val="0"/>
          <w:color w:val="auto"/>
          <w:spacing w:val="0"/>
          <w:kern w:val="0"/>
          <w:sz w:val="24"/>
          <w:szCs w:val="24"/>
          <w:highlight w:val="none"/>
          <w:lang w:eastAsia="zh-CN"/>
        </w:rPr>
        <w:t>发包人每次支付工程款前，承包人均应提供有效的增值税专用发票。如果承包人无法提供符合要求的发票，由此造成的相应损失由承包人承担。</w:t>
      </w:r>
    </w:p>
    <w:p w14:paraId="5FDBA55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lang w:eastAsia="zh-CN"/>
        </w:rPr>
      </w:pPr>
      <w:r>
        <w:rPr>
          <w:rFonts w:hint="eastAsia" w:ascii="宋体" w:hAnsi="宋体" w:eastAsia="宋体" w:cs="宋体"/>
          <w:b/>
          <w:bCs/>
          <w:snapToGrid w:val="0"/>
          <w:color w:val="auto"/>
          <w:spacing w:val="0"/>
          <w:kern w:val="0"/>
          <w:sz w:val="24"/>
          <w:szCs w:val="24"/>
          <w:highlight w:val="none"/>
          <w:lang w:eastAsia="zh-CN"/>
        </w:rPr>
        <w:t>3.</w:t>
      </w:r>
      <w:r>
        <w:rPr>
          <w:rFonts w:hint="eastAsia" w:ascii="宋体" w:hAnsi="宋体" w:eastAsia="宋体" w:cs="宋体"/>
          <w:b/>
          <w:bCs/>
          <w:snapToGrid w:val="0"/>
          <w:color w:val="auto"/>
          <w:spacing w:val="0"/>
          <w:kern w:val="0"/>
          <w:sz w:val="24"/>
          <w:szCs w:val="24"/>
          <w:highlight w:val="none"/>
          <w:lang w:val="en-US" w:eastAsia="zh-CN"/>
        </w:rPr>
        <w:t>10</w:t>
      </w:r>
      <w:r>
        <w:rPr>
          <w:rFonts w:hint="eastAsia" w:ascii="宋体" w:hAnsi="宋体" w:eastAsia="宋体" w:cs="宋体"/>
          <w:snapToGrid w:val="0"/>
          <w:color w:val="auto"/>
          <w:spacing w:val="0"/>
          <w:kern w:val="0"/>
          <w:sz w:val="24"/>
          <w:szCs w:val="24"/>
          <w:highlight w:val="none"/>
          <w:lang w:eastAsia="zh-CN"/>
        </w:rPr>
        <w:t>暂列金额支付方式：</w:t>
      </w:r>
      <w:r>
        <w:rPr>
          <w:rFonts w:hint="eastAsia" w:ascii="宋体" w:hAnsi="宋体" w:eastAsia="宋体" w:cs="宋体"/>
          <w:snapToGrid w:val="0"/>
          <w:color w:val="auto"/>
          <w:spacing w:val="0"/>
          <w:kern w:val="0"/>
          <w:sz w:val="24"/>
          <w:szCs w:val="24"/>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确认后支付至该部分实际完成工程量的（80％），其余部分待结算完成审核后支付至 97%，剩余 3%为工程质量保修金。</w:t>
      </w:r>
    </w:p>
    <w:p w14:paraId="4273771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napToGrid w:val="0"/>
          <w:color w:val="auto"/>
          <w:spacing w:val="0"/>
          <w:kern w:val="0"/>
          <w:sz w:val="24"/>
          <w:szCs w:val="24"/>
          <w:highlight w:val="none"/>
          <w:u w:val="single"/>
          <w:lang w:eastAsia="zh-CN"/>
        </w:rPr>
      </w:pPr>
      <w:r>
        <w:rPr>
          <w:rFonts w:hint="eastAsia" w:ascii="宋体" w:hAnsi="宋体" w:eastAsia="宋体" w:cs="宋体"/>
          <w:b/>
          <w:bCs/>
          <w:snapToGrid w:val="0"/>
          <w:color w:val="auto"/>
          <w:spacing w:val="0"/>
          <w:kern w:val="0"/>
          <w:sz w:val="24"/>
          <w:szCs w:val="24"/>
          <w:highlight w:val="none"/>
          <w:lang w:eastAsia="zh-CN"/>
        </w:rPr>
        <w:t>3.11</w:t>
      </w:r>
      <w:r>
        <w:rPr>
          <w:rFonts w:hint="eastAsia" w:ascii="宋体" w:hAnsi="宋体" w:eastAsia="宋体" w:cs="宋体"/>
          <w:snapToGrid w:val="0"/>
          <w:color w:val="auto"/>
          <w:spacing w:val="0"/>
          <w:kern w:val="0"/>
          <w:sz w:val="24"/>
          <w:szCs w:val="24"/>
          <w:highlight w:val="none"/>
          <w:lang w:eastAsia="zh-CN"/>
        </w:rPr>
        <w:t xml:space="preserve"> 材料暂估价、专业工程暂估价支付方式：</w:t>
      </w:r>
      <w:r>
        <w:rPr>
          <w:rFonts w:hint="eastAsia" w:ascii="宋体" w:hAnsi="宋体" w:eastAsia="宋体" w:cs="宋体"/>
          <w:snapToGrid w:val="0"/>
          <w:color w:val="auto"/>
          <w:spacing w:val="0"/>
          <w:kern w:val="0"/>
          <w:sz w:val="24"/>
          <w:szCs w:val="24"/>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w:t>
      </w:r>
      <w:r>
        <w:rPr>
          <w:rFonts w:hint="eastAsia" w:ascii="宋体" w:hAnsi="宋体" w:eastAsia="宋体" w:cs="宋体"/>
          <w:snapToGrid w:val="0"/>
          <w:color w:val="auto"/>
          <w:spacing w:val="0"/>
          <w:kern w:val="0"/>
          <w:sz w:val="24"/>
          <w:szCs w:val="24"/>
          <w:highlight w:val="none"/>
          <w:u w:val="single"/>
          <w:lang w:val="en-US" w:eastAsia="zh-CN"/>
        </w:rPr>
        <w:t>14天内</w:t>
      </w:r>
      <w:r>
        <w:rPr>
          <w:rFonts w:hint="eastAsia" w:ascii="宋体" w:hAnsi="宋体" w:eastAsia="宋体" w:cs="宋体"/>
          <w:snapToGrid w:val="0"/>
          <w:color w:val="auto"/>
          <w:spacing w:val="0"/>
          <w:kern w:val="0"/>
          <w:sz w:val="24"/>
          <w:szCs w:val="24"/>
          <w:highlight w:val="none"/>
          <w:u w:val="single"/>
          <w:lang w:eastAsia="zh-CN"/>
        </w:rPr>
        <w:t>支付至8</w:t>
      </w:r>
      <w:r>
        <w:rPr>
          <w:rFonts w:hint="eastAsia" w:ascii="宋体" w:hAnsi="宋体" w:eastAsia="宋体" w:cs="宋体"/>
          <w:snapToGrid w:val="0"/>
          <w:color w:val="auto"/>
          <w:spacing w:val="0"/>
          <w:kern w:val="0"/>
          <w:sz w:val="24"/>
          <w:szCs w:val="24"/>
          <w:highlight w:val="none"/>
          <w:u w:val="single"/>
          <w:lang w:val="en-US" w:eastAsia="zh-CN"/>
        </w:rPr>
        <w:t>0</w:t>
      </w:r>
      <w:r>
        <w:rPr>
          <w:rFonts w:hint="eastAsia" w:ascii="宋体" w:hAnsi="宋体" w:eastAsia="宋体" w:cs="宋体"/>
          <w:snapToGrid w:val="0"/>
          <w:color w:val="auto"/>
          <w:spacing w:val="0"/>
          <w:kern w:val="0"/>
          <w:sz w:val="24"/>
          <w:szCs w:val="24"/>
          <w:highlight w:val="none"/>
          <w:u w:val="single"/>
          <w:lang w:eastAsia="zh-CN"/>
        </w:rPr>
        <w:t>%，剩余部分结算完成后支付至审定造价的97%，剩余3%为工程质量保修金。</w:t>
      </w:r>
    </w:p>
    <w:p w14:paraId="1B4A6494">
      <w:pPr>
        <w:keepNext w:val="0"/>
        <w:keepLines w:val="0"/>
        <w:pageBreakBefore w:val="0"/>
        <w:wordWrap w:val="0"/>
        <w:overflowPunct/>
        <w:topLinePunct w:val="0"/>
        <w:bidi w:val="0"/>
        <w:spacing w:before="154" w:line="360" w:lineRule="auto"/>
        <w:ind w:left="486"/>
        <w:outlineLvl w:val="2"/>
        <w:rPr>
          <w:rFonts w:hint="eastAsia" w:ascii="宋体" w:hAnsi="宋体" w:eastAsia="宋体" w:cs="宋体"/>
          <w:b/>
          <w:bCs/>
          <w:color w:val="auto"/>
          <w:spacing w:val="0"/>
          <w:sz w:val="24"/>
          <w:szCs w:val="24"/>
          <w:highlight w:val="none"/>
        </w:rPr>
      </w:pPr>
      <w:bookmarkStart w:id="177" w:name="_Toc20640"/>
      <w:r>
        <w:rPr>
          <w:rFonts w:hint="eastAsia" w:ascii="宋体" w:hAnsi="宋体" w:eastAsia="宋体" w:cs="宋体"/>
          <w:b/>
          <w:bCs/>
          <w:color w:val="auto"/>
          <w:spacing w:val="0"/>
          <w:sz w:val="24"/>
          <w:szCs w:val="24"/>
          <w:highlight w:val="none"/>
        </w:rPr>
        <w:t>4 ．其他专用合同条款</w:t>
      </w:r>
      <w:bookmarkEnd w:id="177"/>
    </w:p>
    <w:p w14:paraId="51069F9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 </w:t>
      </w:r>
      <w:r>
        <w:rPr>
          <w:rFonts w:hint="eastAsia" w:ascii="宋体" w:hAnsi="宋体" w:eastAsia="宋体" w:cs="宋体"/>
          <w:bCs/>
          <w:snapToGrid w:val="0"/>
          <w:color w:val="auto"/>
          <w:spacing w:val="0"/>
          <w:kern w:val="0"/>
          <w:sz w:val="24"/>
          <w:szCs w:val="24"/>
          <w:highlight w:val="none"/>
          <w:lang w:val="en-US" w:eastAsia="zh-CN"/>
        </w:rPr>
        <w:t xml:space="preserve">专业工程分包 </w:t>
      </w:r>
    </w:p>
    <w:p w14:paraId="71E5A23E">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0D298AF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w:t>
      </w:r>
      <w:r>
        <w:rPr>
          <w:rFonts w:hint="eastAsia" w:ascii="宋体" w:hAnsi="宋体" w:eastAsia="宋体" w:cs="宋体"/>
          <w:bCs/>
          <w:snapToGrid w:val="0"/>
          <w:color w:val="auto"/>
          <w:spacing w:val="0"/>
          <w:kern w:val="0"/>
          <w:sz w:val="24"/>
          <w:szCs w:val="24"/>
          <w:highlight w:val="none"/>
          <w:lang w:val="en-US" w:eastAsia="zh-CN"/>
        </w:rPr>
        <w:t xml:space="preserve"> 工人工资支付专用账户 </w:t>
      </w:r>
    </w:p>
    <w:p w14:paraId="2454931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733DDD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64D1C6EB">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按韶关市人力资源和社会保障局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6F4D018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4564E298">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4.2.3 </w:t>
      </w:r>
      <w:r>
        <w:rPr>
          <w:rFonts w:hint="eastAsia" w:ascii="宋体" w:hAnsi="宋体" w:eastAsia="宋体" w:cs="宋体"/>
          <w:bCs/>
          <w:snapToGrid w:val="0"/>
          <w:color w:val="auto"/>
          <w:spacing w:val="0"/>
          <w:kern w:val="0"/>
          <w:sz w:val="24"/>
          <w:szCs w:val="24"/>
          <w:highlight w:val="none"/>
          <w:lang w:val="en-US" w:eastAsia="zh-CN"/>
        </w:rPr>
        <w:t xml:space="preserve">承包人应在工资专户开立后 2 个工作日内，将开户银行及其账号、开户协议等资料提交给发包人。 </w:t>
      </w:r>
    </w:p>
    <w:p w14:paraId="0F3EA377">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（1）用人单位应当在建设项目动工前，在建设项目所在地商业银行设立工人工资支付专用账户。 </w:t>
      </w:r>
    </w:p>
    <w:p w14:paraId="776A9988">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（2）用人单位应当在用工之日起 15 日内为每一位工人办理个人银行账户。</w:t>
      </w:r>
    </w:p>
    <w:p w14:paraId="630E1A6B">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493CA8AC">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4）用人单位应当按照“及时支付，按实结算”的原则，在规定日期前通过银行工人工资支付专用账户将工人工资直接支付到工人的个人银行账户，并按月将工人工资支付明细表报施工总承包单位和建设单位备案。</w:t>
      </w:r>
    </w:p>
    <w:p w14:paraId="2E48CB0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35366B38">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4B5D41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4.3</w:t>
      </w:r>
      <w:r>
        <w:rPr>
          <w:rFonts w:hint="eastAsia" w:ascii="宋体" w:hAnsi="宋体" w:eastAsia="宋体" w:cs="宋体"/>
          <w:bCs/>
          <w:snapToGrid w:val="0"/>
          <w:color w:val="auto"/>
          <w:spacing w:val="0"/>
          <w:kern w:val="0"/>
          <w:sz w:val="24"/>
          <w:szCs w:val="24"/>
          <w:highlight w:val="none"/>
          <w:lang w:val="en-US" w:eastAsia="zh-CN"/>
        </w:rPr>
        <w:t xml:space="preserve"> 诚信登记 </w:t>
      </w:r>
    </w:p>
    <w:p w14:paraId="6076B96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1254AFF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w:t>
      </w:r>
      <w:r>
        <w:rPr>
          <w:rFonts w:hint="eastAsia" w:ascii="宋体" w:hAnsi="宋体" w:eastAsia="宋体" w:cs="宋体"/>
          <w:bCs/>
          <w:snapToGrid w:val="0"/>
          <w:color w:val="auto"/>
          <w:spacing w:val="0"/>
          <w:kern w:val="0"/>
          <w:sz w:val="24"/>
          <w:szCs w:val="24"/>
          <w:highlight w:val="none"/>
          <w:lang w:val="en-US" w:eastAsia="zh-CN"/>
        </w:rPr>
        <w:t xml:space="preserve"> 工期进度 </w:t>
      </w:r>
    </w:p>
    <w:p w14:paraId="50B1FB1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4.4.1</w:t>
      </w:r>
      <w:r>
        <w:rPr>
          <w:rFonts w:hint="eastAsia" w:ascii="宋体" w:hAnsi="宋体" w:eastAsia="宋体" w:cs="宋体"/>
          <w:bCs/>
          <w:snapToGrid w:val="0"/>
          <w:color w:val="auto"/>
          <w:spacing w:val="0"/>
          <w:kern w:val="0"/>
          <w:sz w:val="24"/>
          <w:szCs w:val="24"/>
          <w:highlight w:val="none"/>
          <w:lang w:val="en-US" w:eastAsia="zh-CN"/>
        </w:rPr>
        <w:t xml:space="preserve"> 本招标项目施工标准工期为</w:t>
      </w:r>
      <w:r>
        <w:rPr>
          <w:rFonts w:hint="eastAsia" w:ascii="宋体" w:hAnsi="宋体" w:eastAsia="宋体" w:cs="宋体"/>
          <w:bCs/>
          <w:snapToGrid w:val="0"/>
          <w:color w:val="auto"/>
          <w:spacing w:val="0"/>
          <w:kern w:val="0"/>
          <w:sz w:val="24"/>
          <w:szCs w:val="24"/>
          <w:highlight w:val="none"/>
          <w:u w:val="single"/>
          <w:lang w:val="en-US" w:eastAsia="zh-CN"/>
        </w:rPr>
        <w:t>90</w:t>
      </w:r>
      <w:r>
        <w:rPr>
          <w:rFonts w:hint="eastAsia" w:ascii="宋体" w:hAnsi="宋体" w:eastAsia="宋体" w:cs="宋体"/>
          <w:bCs/>
          <w:snapToGrid w:val="0"/>
          <w:color w:val="auto"/>
          <w:spacing w:val="0"/>
          <w:kern w:val="0"/>
          <w:sz w:val="24"/>
          <w:szCs w:val="24"/>
          <w:highlight w:val="none"/>
          <w:lang w:val="en-US" w:eastAsia="zh-CN"/>
        </w:rPr>
        <w:t>个日历天，招标工期为</w:t>
      </w:r>
      <w:r>
        <w:rPr>
          <w:rFonts w:hint="eastAsia" w:ascii="宋体" w:hAnsi="宋体" w:eastAsia="宋体" w:cs="宋体"/>
          <w:bCs/>
          <w:snapToGrid w:val="0"/>
          <w:color w:val="auto"/>
          <w:spacing w:val="0"/>
          <w:kern w:val="0"/>
          <w:sz w:val="24"/>
          <w:szCs w:val="24"/>
          <w:highlight w:val="none"/>
          <w:u w:val="single"/>
          <w:lang w:val="en-US" w:eastAsia="zh-CN"/>
        </w:rPr>
        <w:t>90</w:t>
      </w:r>
      <w:r>
        <w:rPr>
          <w:rFonts w:hint="eastAsia" w:ascii="宋体" w:hAnsi="宋体" w:eastAsia="宋体" w:cs="宋体"/>
          <w:bCs/>
          <w:snapToGrid w:val="0"/>
          <w:color w:val="auto"/>
          <w:spacing w:val="0"/>
          <w:kern w:val="0"/>
          <w:sz w:val="24"/>
          <w:szCs w:val="24"/>
          <w:highlight w:val="none"/>
          <w:lang w:val="en-US" w:eastAsia="zh-CN"/>
        </w:rPr>
        <w:t xml:space="preserve">个日历天，承包人必须在招标工期内完成招标范围内的全部内容。 </w:t>
      </w:r>
    </w:p>
    <w:p w14:paraId="3937827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4.4.2</w:t>
      </w:r>
      <w:r>
        <w:rPr>
          <w:rFonts w:hint="eastAsia" w:ascii="宋体" w:hAnsi="宋体" w:eastAsia="宋体" w:cs="宋体"/>
          <w:bCs/>
          <w:snapToGrid w:val="0"/>
          <w:color w:val="auto"/>
          <w:spacing w:val="0"/>
          <w:kern w:val="0"/>
          <w:sz w:val="24"/>
          <w:szCs w:val="24"/>
          <w:highlight w:val="none"/>
          <w:lang w:val="en-US" w:eastAsia="zh-CN"/>
        </w:rPr>
        <w:t xml:space="preserve"> 施工工期从承包人收到监理单位签发的开工令之日起计，至竣工验收合格之日止。</w:t>
      </w:r>
    </w:p>
    <w:p w14:paraId="48D28B1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4.4.3</w:t>
      </w:r>
      <w:r>
        <w:rPr>
          <w:rFonts w:hint="eastAsia" w:ascii="宋体" w:hAnsi="宋体" w:eastAsia="宋体" w:cs="宋体"/>
          <w:bCs/>
          <w:snapToGrid w:val="0"/>
          <w:color w:val="auto"/>
          <w:spacing w:val="0"/>
          <w:kern w:val="0"/>
          <w:sz w:val="24"/>
          <w:szCs w:val="24"/>
          <w:highlight w:val="none"/>
          <w:lang w:val="en-US" w:eastAsia="zh-CN"/>
        </w:rPr>
        <w:t xml:space="preserve"> 工期奖罚 </w:t>
      </w:r>
    </w:p>
    <w:p w14:paraId="046DC92A">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□竣工验收合格交付使用每提前</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天竣工；奖</w:t>
      </w:r>
      <w:r>
        <w:rPr>
          <w:rFonts w:hint="eastAsia" w:ascii="宋体" w:hAnsi="宋体" w:eastAsia="宋体" w:cs="宋体"/>
          <w:bCs/>
          <w:snapToGrid w:val="0"/>
          <w:color w:val="auto"/>
          <w:spacing w:val="0"/>
          <w:kern w:val="0"/>
          <w:sz w:val="24"/>
          <w:szCs w:val="24"/>
          <w:highlight w:val="none"/>
          <w:u w:val="single"/>
          <w:lang w:val="en-US" w:eastAsia="zh-CN"/>
        </w:rPr>
        <w:t xml:space="preserve">/ </w:t>
      </w:r>
      <w:r>
        <w:rPr>
          <w:rFonts w:hint="eastAsia" w:ascii="宋体" w:hAnsi="宋体" w:eastAsia="宋体" w:cs="宋体"/>
          <w:bCs/>
          <w:snapToGrid w:val="0"/>
          <w:color w:val="auto"/>
          <w:spacing w:val="0"/>
          <w:kern w:val="0"/>
          <w:sz w:val="24"/>
          <w:szCs w:val="24"/>
          <w:highlight w:val="none"/>
          <w:lang w:val="en-US" w:eastAsia="zh-CN"/>
        </w:rPr>
        <w:t>元，奖励金额不超过合同价款的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65E4E594">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元。 </w:t>
      </w:r>
    </w:p>
    <w:p w14:paraId="74F80B1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□按施工合同期约定,因承包人原因延误工期</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天内不处罚， 自第壹天起每延误</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天竣工,罚元。处罚金额不超过合同价款的</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%（一般为 2%～5%）且不超过万元，累计延误工期达到</w:t>
      </w:r>
      <w:r>
        <w:rPr>
          <w:rFonts w:hint="eastAsia" w:ascii="宋体" w:hAnsi="宋体" w:eastAsia="宋体" w:cs="宋体"/>
          <w:bCs/>
          <w:snapToGrid w:val="0"/>
          <w:color w:val="auto"/>
          <w:spacing w:val="0"/>
          <w:kern w:val="0"/>
          <w:sz w:val="24"/>
          <w:szCs w:val="24"/>
          <w:highlight w:val="none"/>
          <w:u w:val="single"/>
          <w:lang w:val="en-US" w:eastAsia="zh-CN"/>
        </w:rPr>
        <w:t>/</w:t>
      </w:r>
      <w:r>
        <w:rPr>
          <w:rFonts w:hint="eastAsia" w:ascii="宋体" w:hAnsi="宋体" w:eastAsia="宋体" w:cs="宋体"/>
          <w:bCs/>
          <w:snapToGrid w:val="0"/>
          <w:color w:val="auto"/>
          <w:spacing w:val="0"/>
          <w:kern w:val="0"/>
          <w:sz w:val="24"/>
          <w:szCs w:val="24"/>
          <w:highlight w:val="none"/>
          <w:lang w:val="en-US" w:eastAsia="zh-CN"/>
        </w:rPr>
        <w:t xml:space="preserve">天，报请建设行政主管部门作不良行为记录，非承包方原因或不可抗力造成延误的除外。 </w:t>
      </w:r>
    </w:p>
    <w:p w14:paraId="7091C39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3965E8AD">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B12986D">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（3）承包人在进场后7天内提交施工进度计划，并注明主要施工节点时间，送监理单位及发包人审核后，作为工期考核的阶段性指标。</w:t>
      </w:r>
    </w:p>
    <w:p w14:paraId="28565A0C">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w:t>
      </w:r>
      <w:r>
        <w:rPr>
          <w:rFonts w:hint="eastAsia" w:ascii="宋体" w:hAnsi="宋体" w:eastAsia="宋体" w:cs="宋体"/>
          <w:bCs/>
          <w:snapToGrid w:val="0"/>
          <w:color w:val="auto"/>
          <w:spacing w:val="0"/>
          <w:kern w:val="0"/>
          <w:sz w:val="24"/>
          <w:szCs w:val="24"/>
          <w:highlight w:val="none"/>
          <w:lang w:val="en-US" w:eastAsia="zh-CN"/>
        </w:rPr>
        <w:t xml:space="preserve"> 项目管理机构 </w:t>
      </w:r>
    </w:p>
    <w:p w14:paraId="27CA87AC">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4.5.1</w:t>
      </w:r>
      <w:r>
        <w:rPr>
          <w:rFonts w:hint="eastAsia" w:ascii="宋体" w:hAnsi="宋体" w:eastAsia="宋体" w:cs="宋体"/>
          <w:bCs/>
          <w:snapToGrid w:val="0"/>
          <w:color w:val="auto"/>
          <w:spacing w:val="0"/>
          <w:kern w:val="0"/>
          <w:sz w:val="24"/>
          <w:szCs w:val="24"/>
          <w:highlight w:val="none"/>
          <w:lang w:val="en-US" w:eastAsia="zh-CN"/>
        </w:rPr>
        <w:t xml:space="preserve"> 承包人派驻的项目管理班子成员必须为其投标文件确定的人员，否则发包人有权终止合同。 </w:t>
      </w:r>
    </w:p>
    <w:p w14:paraId="155CBDD6">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4.5.2</w:t>
      </w:r>
      <w:r>
        <w:rPr>
          <w:rFonts w:hint="eastAsia" w:ascii="宋体" w:hAnsi="宋体" w:eastAsia="宋体" w:cs="宋体"/>
          <w:bCs/>
          <w:snapToGrid w:val="0"/>
          <w:color w:val="auto"/>
          <w:spacing w:val="0"/>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0AE1D1C1">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w:t>
      </w:r>
      <w:r>
        <w:rPr>
          <w:rFonts w:hint="eastAsia" w:ascii="宋体" w:hAnsi="宋体" w:eastAsia="宋体" w:cs="宋体"/>
          <w:bCs/>
          <w:snapToGrid w:val="0"/>
          <w:color w:val="auto"/>
          <w:spacing w:val="0"/>
          <w:kern w:val="0"/>
          <w:sz w:val="24"/>
          <w:szCs w:val="24"/>
          <w:highlight w:val="none"/>
          <w:lang w:val="en-US" w:eastAsia="zh-CN"/>
        </w:rPr>
        <w:t xml:space="preserve"> 现场管理 </w:t>
      </w:r>
    </w:p>
    <w:p w14:paraId="75752DF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4.6.1</w:t>
      </w:r>
      <w:r>
        <w:rPr>
          <w:rFonts w:hint="eastAsia" w:ascii="宋体" w:hAnsi="宋体" w:eastAsia="宋体" w:cs="宋体"/>
          <w:bCs/>
          <w:snapToGrid w:val="0"/>
          <w:color w:val="auto"/>
          <w:spacing w:val="0"/>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63E3D6BC">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4.6.2</w:t>
      </w:r>
      <w:r>
        <w:rPr>
          <w:rFonts w:hint="eastAsia" w:ascii="宋体" w:hAnsi="宋体" w:eastAsia="宋体" w:cs="宋体"/>
          <w:bCs/>
          <w:snapToGrid w:val="0"/>
          <w:color w:val="auto"/>
          <w:spacing w:val="0"/>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w:t>
      </w:r>
    </w:p>
    <w:p w14:paraId="36093A8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4.6.3</w:t>
      </w:r>
      <w:r>
        <w:rPr>
          <w:rFonts w:hint="eastAsia" w:ascii="宋体" w:hAnsi="宋体" w:eastAsia="宋体" w:cs="宋体"/>
          <w:bCs/>
          <w:snapToGrid w:val="0"/>
          <w:color w:val="auto"/>
          <w:spacing w:val="0"/>
          <w:kern w:val="0"/>
          <w:sz w:val="24"/>
          <w:szCs w:val="24"/>
          <w:highlight w:val="none"/>
          <w:lang w:val="en-US" w:eastAsia="zh-CN"/>
        </w:rPr>
        <w:t xml:space="preserve"> 为保证施工现场的环境卫生，承包人在本招标项目施工过程中，所有的车辆必须按发包人规定的行车路线行驶。 </w:t>
      </w:r>
    </w:p>
    <w:p w14:paraId="18513EF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4.7</w:t>
      </w:r>
      <w:r>
        <w:rPr>
          <w:rFonts w:hint="eastAsia" w:ascii="宋体" w:hAnsi="宋体" w:eastAsia="宋体" w:cs="宋体"/>
          <w:bCs/>
          <w:snapToGrid w:val="0"/>
          <w:color w:val="auto"/>
          <w:spacing w:val="0"/>
          <w:kern w:val="0"/>
          <w:sz w:val="24"/>
          <w:szCs w:val="24"/>
          <w:highlight w:val="none"/>
          <w:lang w:val="en-US" w:eastAsia="zh-CN"/>
        </w:rPr>
        <w:t xml:space="preserve"> 监督实施 </w:t>
      </w:r>
    </w:p>
    <w:p w14:paraId="11B9958F">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1E497966">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4.8</w:t>
      </w:r>
      <w:r>
        <w:rPr>
          <w:rFonts w:hint="eastAsia" w:ascii="宋体" w:hAnsi="宋体" w:eastAsia="宋体" w:cs="宋体"/>
          <w:bCs/>
          <w:snapToGrid w:val="0"/>
          <w:color w:val="auto"/>
          <w:spacing w:val="0"/>
          <w:kern w:val="0"/>
          <w:sz w:val="24"/>
          <w:szCs w:val="24"/>
          <w:highlight w:val="none"/>
          <w:lang w:val="en-US" w:eastAsia="zh-CN"/>
        </w:rPr>
        <w:t xml:space="preserve"> 主材的采购和使用 </w:t>
      </w:r>
    </w:p>
    <w:p w14:paraId="45CFC6FF">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637CD19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4.9 </w:t>
      </w:r>
      <w:r>
        <w:rPr>
          <w:rFonts w:hint="eastAsia" w:ascii="宋体" w:hAnsi="宋体" w:eastAsia="宋体" w:cs="宋体"/>
          <w:bCs/>
          <w:snapToGrid w:val="0"/>
          <w:color w:val="auto"/>
          <w:spacing w:val="0"/>
          <w:kern w:val="0"/>
          <w:sz w:val="24"/>
          <w:szCs w:val="24"/>
          <w:highlight w:val="none"/>
          <w:lang w:val="en-US" w:eastAsia="zh-CN"/>
        </w:rPr>
        <w:t xml:space="preserve">竣工资料移交 </w:t>
      </w:r>
    </w:p>
    <w:p w14:paraId="5E7CD976">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4941230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w:t>
      </w:r>
      <w:r>
        <w:rPr>
          <w:rFonts w:hint="eastAsia" w:ascii="宋体" w:hAnsi="宋体" w:eastAsia="宋体" w:cs="宋体"/>
          <w:bCs/>
          <w:snapToGrid w:val="0"/>
          <w:color w:val="auto"/>
          <w:spacing w:val="0"/>
          <w:kern w:val="0"/>
          <w:sz w:val="24"/>
          <w:szCs w:val="24"/>
          <w:highlight w:val="none"/>
          <w:lang w:val="en-US" w:eastAsia="zh-CN"/>
        </w:rPr>
        <w:t xml:space="preserve"> 质量保证</w:t>
      </w:r>
    </w:p>
    <w:p w14:paraId="7C977E2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4.10.1</w:t>
      </w:r>
      <w:r>
        <w:rPr>
          <w:rFonts w:hint="eastAsia" w:ascii="宋体" w:hAnsi="宋体" w:eastAsia="宋体" w:cs="宋体"/>
          <w:bCs/>
          <w:snapToGrid w:val="0"/>
          <w:color w:val="auto"/>
          <w:spacing w:val="0"/>
          <w:kern w:val="0"/>
          <w:sz w:val="24"/>
          <w:szCs w:val="24"/>
          <w:highlight w:val="none"/>
          <w:lang w:val="en-US" w:eastAsia="zh-CN"/>
        </w:rPr>
        <w:t xml:space="preserve"> 本招标项目缺陷责任期为</w:t>
      </w:r>
      <w:r>
        <w:rPr>
          <w:rFonts w:hint="eastAsia" w:ascii="宋体" w:hAnsi="宋体" w:eastAsia="宋体" w:cs="宋体"/>
          <w:bCs/>
          <w:snapToGrid w:val="0"/>
          <w:color w:val="auto"/>
          <w:spacing w:val="0"/>
          <w:kern w:val="0"/>
          <w:sz w:val="24"/>
          <w:szCs w:val="24"/>
          <w:highlight w:val="none"/>
          <w:u w:val="single"/>
          <w:lang w:val="en-US" w:eastAsia="zh-CN"/>
        </w:rPr>
        <w:t>1</w:t>
      </w:r>
      <w:r>
        <w:rPr>
          <w:rFonts w:hint="eastAsia" w:ascii="宋体" w:hAnsi="宋体" w:eastAsia="宋体" w:cs="宋体"/>
          <w:bCs/>
          <w:snapToGrid w:val="0"/>
          <w:color w:val="auto"/>
          <w:spacing w:val="0"/>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spacing w:val="0"/>
          <w:kern w:val="0"/>
          <w:sz w:val="24"/>
          <w:szCs w:val="24"/>
          <w:highlight w:val="none"/>
          <w:u w:val="single"/>
          <w:lang w:val="en-US" w:eastAsia="zh-CN"/>
        </w:rPr>
        <w:t>3%</w:t>
      </w:r>
      <w:r>
        <w:rPr>
          <w:rFonts w:hint="eastAsia" w:ascii="宋体" w:hAnsi="宋体" w:eastAsia="宋体" w:cs="宋体"/>
          <w:bCs/>
          <w:snapToGrid w:val="0"/>
          <w:color w:val="auto"/>
          <w:spacing w:val="0"/>
          <w:kern w:val="0"/>
          <w:sz w:val="24"/>
          <w:szCs w:val="24"/>
          <w:highlight w:val="none"/>
          <w:lang w:val="en-US" w:eastAsia="zh-CN"/>
        </w:rPr>
        <w:t xml:space="preserve">的质量保证。 </w:t>
      </w:r>
    </w:p>
    <w:p w14:paraId="7A2DA1C6">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4.10.2</w:t>
      </w:r>
      <w:r>
        <w:rPr>
          <w:rFonts w:hint="eastAsia" w:ascii="宋体" w:hAnsi="宋体" w:eastAsia="宋体" w:cs="宋体"/>
          <w:bCs/>
          <w:snapToGrid w:val="0"/>
          <w:color w:val="auto"/>
          <w:spacing w:val="0"/>
          <w:kern w:val="0"/>
          <w:sz w:val="24"/>
          <w:szCs w:val="24"/>
          <w:highlight w:val="none"/>
          <w:lang w:val="en-US" w:eastAsia="zh-CN"/>
        </w:rPr>
        <w:t xml:space="preserve"> 质量保证的形式包括质量保证金、质量保证担保、质量保证保险三种，由承包人自主选择。 </w:t>
      </w:r>
    </w:p>
    <w:p w14:paraId="5014A831">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（1）采用质量保证金形式的，在结清审定总造价时一次性扣留相应金额作为质量保证金。</w:t>
      </w:r>
    </w:p>
    <w:p w14:paraId="0CE411C4">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00FA11C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4.10.3</w:t>
      </w:r>
      <w:r>
        <w:rPr>
          <w:rFonts w:hint="eastAsia" w:ascii="宋体" w:hAnsi="宋体" w:eastAsia="宋体" w:cs="宋体"/>
          <w:bCs/>
          <w:snapToGrid w:val="0"/>
          <w:color w:val="auto"/>
          <w:spacing w:val="0"/>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215343EA">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由他人原因造成的缺陷，发包人负责组织维修，承包人不承担费用，且发包人不得从质量保证中扣除费用。 </w:t>
      </w:r>
    </w:p>
    <w:p w14:paraId="7C6CD6D1">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4.10.4</w:t>
      </w:r>
      <w:r>
        <w:rPr>
          <w:rFonts w:hint="eastAsia" w:ascii="宋体" w:hAnsi="宋体" w:eastAsia="宋体" w:cs="宋体"/>
          <w:bCs/>
          <w:snapToGrid w:val="0"/>
          <w:color w:val="auto"/>
          <w:spacing w:val="0"/>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2102D96B">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4.11</w:t>
      </w:r>
      <w:r>
        <w:rPr>
          <w:rFonts w:hint="eastAsia" w:ascii="宋体" w:hAnsi="宋体" w:eastAsia="宋体" w:cs="宋体"/>
          <w:bCs/>
          <w:snapToGrid w:val="0"/>
          <w:color w:val="auto"/>
          <w:spacing w:val="0"/>
          <w:kern w:val="0"/>
          <w:sz w:val="24"/>
          <w:szCs w:val="24"/>
          <w:highlight w:val="none"/>
          <w:lang w:val="en-US" w:eastAsia="zh-CN"/>
        </w:rPr>
        <w:t xml:space="preserve"> 不良行为处理 </w:t>
      </w:r>
    </w:p>
    <w:p w14:paraId="043D6EC9">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承包人及其有关人员有下列行为之一的，发包人应及时向建设行政主管部门报告。除按照有关法律、法规进行处罚外，不良行为将计入企业及有关个人诚信档案，并在韶关市住房和城乡建设管理局网站公示。 </w:t>
      </w:r>
    </w:p>
    <w:p w14:paraId="67A4E90D">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（1）转包、违法分包或违反投标承诺分包工程的； </w:t>
      </w:r>
    </w:p>
    <w:p w14:paraId="01E2E653">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4FF9DCC5">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（3）投标文件确定的大型机械设备没有进入施工现场的； </w:t>
      </w:r>
    </w:p>
    <w:p w14:paraId="2C56F212">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（4）与建设单位、监理单位串通，签认虚假工程量或工程造价的； </w:t>
      </w:r>
    </w:p>
    <w:p w14:paraId="32D0DD6E">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（5）项目经理施工现场管理不到位的； </w:t>
      </w:r>
    </w:p>
    <w:p w14:paraId="01C481BC">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（6）项目经理在非本人资格证书注册单位从事工程项目施工管理的； </w:t>
      </w:r>
    </w:p>
    <w:p w14:paraId="6E3D80EF">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（7）项目经理同时承担超过一项工程项目的； </w:t>
      </w:r>
    </w:p>
    <w:p w14:paraId="7A86FACA">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（8）违反有关法律、法规、规章规定的其它行为。 </w:t>
      </w:r>
    </w:p>
    <w:p w14:paraId="2E40166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4.12 </w:t>
      </w:r>
      <w:r>
        <w:rPr>
          <w:rFonts w:hint="eastAsia" w:ascii="宋体" w:hAnsi="宋体" w:eastAsia="宋体" w:cs="宋体"/>
          <w:bCs/>
          <w:snapToGrid w:val="0"/>
          <w:color w:val="auto"/>
          <w:spacing w:val="0"/>
          <w:kern w:val="0"/>
          <w:sz w:val="24"/>
          <w:szCs w:val="24"/>
          <w:highlight w:val="none"/>
          <w:lang w:val="en-US" w:eastAsia="zh-CN"/>
        </w:rPr>
        <w:t xml:space="preserve">信用评价条款内容 </w:t>
      </w:r>
    </w:p>
    <w:p w14:paraId="00CEB1A4">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7742348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4.13</w:t>
      </w:r>
      <w:r>
        <w:rPr>
          <w:rFonts w:hint="eastAsia" w:ascii="宋体" w:hAnsi="宋体" w:eastAsia="宋体" w:cs="宋体"/>
          <w:bCs/>
          <w:snapToGrid w:val="0"/>
          <w:color w:val="auto"/>
          <w:spacing w:val="0"/>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9E4D296">
      <w:pPr>
        <w:keepNext w:val="0"/>
        <w:keepLines w:val="0"/>
        <w:pageBreakBefore w:val="0"/>
        <w:wordWrap w:val="0"/>
        <w:overflowPunct/>
        <w:topLinePunct w:val="0"/>
        <w:bidi w:val="0"/>
        <w:adjustRightInd w:val="0"/>
        <w:snapToGrid w:val="0"/>
        <w:spacing w:line="360" w:lineRule="auto"/>
        <w:ind w:firstLine="480"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Cs/>
          <w:snapToGrid w:val="0"/>
          <w:color w:val="auto"/>
          <w:spacing w:val="0"/>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4C50EB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4.14</w:t>
      </w:r>
      <w:r>
        <w:rPr>
          <w:rFonts w:hint="eastAsia" w:ascii="宋体" w:hAnsi="宋体" w:eastAsia="宋体" w:cs="宋体"/>
          <w:bCs/>
          <w:snapToGrid w:val="0"/>
          <w:color w:val="auto"/>
          <w:spacing w:val="0"/>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155F342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4.15</w:t>
      </w:r>
      <w:r>
        <w:rPr>
          <w:rFonts w:hint="eastAsia" w:ascii="宋体" w:hAnsi="宋体" w:eastAsia="宋体" w:cs="宋体"/>
          <w:bCs/>
          <w:snapToGrid w:val="0"/>
          <w:color w:val="auto"/>
          <w:spacing w:val="0"/>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spacing w:val="0"/>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spacing w:val="0"/>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30E88A48">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 xml:space="preserve">4.16 </w:t>
      </w:r>
      <w:r>
        <w:rPr>
          <w:rFonts w:hint="eastAsia" w:ascii="宋体" w:hAnsi="宋体" w:eastAsia="宋体" w:cs="宋体"/>
          <w:bCs/>
          <w:snapToGrid w:val="0"/>
          <w:color w:val="auto"/>
          <w:spacing w:val="0"/>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34A348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4.17</w:t>
      </w:r>
      <w:r>
        <w:rPr>
          <w:rFonts w:hint="eastAsia" w:ascii="宋体" w:hAnsi="宋体" w:eastAsia="宋体" w:cs="宋体"/>
          <w:bCs/>
          <w:snapToGrid w:val="0"/>
          <w:color w:val="auto"/>
          <w:spacing w:val="0"/>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 </w:t>
      </w:r>
    </w:p>
    <w:p w14:paraId="3EA232A4">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4.18</w:t>
      </w:r>
      <w:r>
        <w:rPr>
          <w:rFonts w:hint="eastAsia" w:ascii="宋体" w:hAnsi="宋体" w:eastAsia="宋体" w:cs="宋体"/>
          <w:bCs/>
          <w:snapToGrid w:val="0"/>
          <w:color w:val="auto"/>
          <w:spacing w:val="0"/>
          <w:kern w:val="0"/>
          <w:sz w:val="24"/>
          <w:szCs w:val="24"/>
          <w:highlight w:val="none"/>
          <w:lang w:val="en-US" w:eastAsia="zh-CN"/>
        </w:rPr>
        <w:t xml:space="preserve"> 承包人中标后必须按规定及时缴交工人工资保证金、环保噪声排污费等。 </w:t>
      </w:r>
    </w:p>
    <w:p w14:paraId="232F19CC">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4.19</w:t>
      </w:r>
      <w:r>
        <w:rPr>
          <w:rFonts w:hint="eastAsia" w:ascii="宋体" w:hAnsi="宋体" w:eastAsia="宋体" w:cs="宋体"/>
          <w:bCs/>
          <w:snapToGrid w:val="0"/>
          <w:color w:val="auto"/>
          <w:spacing w:val="0"/>
          <w:kern w:val="0"/>
          <w:sz w:val="24"/>
          <w:szCs w:val="24"/>
          <w:highlight w:val="none"/>
          <w:lang w:val="en-US" w:eastAsia="zh-CN"/>
        </w:rPr>
        <w:t xml:space="preserve"> 工程质量保修期按《中华人民共和国建筑法》、《建设工程质量管理条例》等相关规定实施。 </w:t>
      </w:r>
    </w:p>
    <w:p w14:paraId="794DBDF2">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4.20</w:t>
      </w:r>
      <w:r>
        <w:rPr>
          <w:rFonts w:hint="eastAsia" w:ascii="宋体" w:hAnsi="宋体" w:eastAsia="宋体" w:cs="宋体"/>
          <w:bCs/>
          <w:snapToGrid w:val="0"/>
          <w:color w:val="auto"/>
          <w:spacing w:val="0"/>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0657C355">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4.21</w:t>
      </w:r>
      <w:r>
        <w:rPr>
          <w:rFonts w:hint="eastAsia" w:ascii="宋体" w:hAnsi="宋体" w:eastAsia="宋体" w:cs="宋体"/>
          <w:bCs/>
          <w:snapToGrid w:val="0"/>
          <w:color w:val="auto"/>
          <w:spacing w:val="0"/>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1605F613">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rPr>
      </w:pPr>
      <w:r>
        <w:rPr>
          <w:rFonts w:hint="eastAsia" w:ascii="宋体" w:hAnsi="宋体" w:eastAsia="宋体" w:cs="宋体"/>
          <w:b/>
          <w:bCs w:val="0"/>
          <w:snapToGrid w:val="0"/>
          <w:color w:val="auto"/>
          <w:spacing w:val="0"/>
          <w:kern w:val="0"/>
          <w:sz w:val="24"/>
          <w:szCs w:val="24"/>
          <w:highlight w:val="none"/>
          <w:lang w:val="en-US" w:eastAsia="zh-CN"/>
        </w:rPr>
        <w:t>4.22</w:t>
      </w:r>
      <w:r>
        <w:rPr>
          <w:rFonts w:hint="eastAsia" w:ascii="宋体" w:hAnsi="宋体" w:eastAsia="宋体" w:cs="宋体"/>
          <w:bCs/>
          <w:snapToGrid w:val="0"/>
          <w:color w:val="auto"/>
          <w:spacing w:val="0"/>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7F42F4AA">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4.23</w:t>
      </w:r>
      <w:r>
        <w:rPr>
          <w:rFonts w:hint="eastAsia" w:ascii="宋体" w:hAnsi="宋体" w:eastAsia="宋体" w:cs="宋体"/>
          <w:bCs/>
          <w:snapToGrid w:val="0"/>
          <w:color w:val="auto"/>
          <w:spacing w:val="0"/>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6E4D0758">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w:t>
      </w:r>
      <w:r>
        <w:rPr>
          <w:rFonts w:hint="eastAsia" w:ascii="宋体" w:hAnsi="宋体" w:eastAsia="宋体" w:cs="宋体"/>
          <w:bCs/>
          <w:snapToGrid w:val="0"/>
          <w:color w:val="auto"/>
          <w:spacing w:val="0"/>
          <w:kern w:val="0"/>
          <w:sz w:val="24"/>
          <w:szCs w:val="24"/>
          <w:highlight w:val="none"/>
          <w:lang w:val="en-US" w:eastAsia="zh-CN"/>
        </w:rPr>
        <w:t xml:space="preserve"> 质量违约</w:t>
      </w:r>
    </w:p>
    <w:p w14:paraId="3501D77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w:t>
      </w:r>
      <w:r>
        <w:rPr>
          <w:rFonts w:hint="eastAsia" w:ascii="宋体" w:hAnsi="宋体" w:eastAsia="宋体" w:cs="宋体"/>
          <w:bCs/>
          <w:snapToGrid w:val="0"/>
          <w:color w:val="auto"/>
          <w:spacing w:val="0"/>
          <w:kern w:val="0"/>
          <w:sz w:val="24"/>
          <w:szCs w:val="24"/>
          <w:highlight w:val="none"/>
          <w:lang w:val="en-US" w:eastAsia="zh-CN"/>
        </w:rPr>
        <w:t xml:space="preserve">材料违约处理：若发现材料不符合国家标准或发包人在技术规范中规定的标准， </w:t>
      </w:r>
    </w:p>
    <w:p w14:paraId="3A33DEBF">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视为承包人违约，按现行《建设工程质量管理条例》处理。 </w:t>
      </w:r>
    </w:p>
    <w:p w14:paraId="172C2EA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4.24.1.1</w:t>
      </w:r>
      <w:r>
        <w:rPr>
          <w:rFonts w:hint="eastAsia" w:ascii="宋体" w:hAnsi="宋体" w:eastAsia="宋体" w:cs="宋体"/>
          <w:bCs/>
          <w:snapToGrid w:val="0"/>
          <w:color w:val="auto"/>
          <w:spacing w:val="0"/>
          <w:kern w:val="0"/>
          <w:sz w:val="24"/>
          <w:szCs w:val="24"/>
          <w:highlight w:val="none"/>
          <w:lang w:val="en-US" w:eastAsia="zh-CN"/>
        </w:rPr>
        <w:t xml:space="preserve"> 成品采购项目在采购前，承包人必须先行书面征求监理人、发包人的同意并 </w:t>
      </w:r>
    </w:p>
    <w:p w14:paraId="0FE498C6">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 xml:space="preserve">一起看样定版后方能实施。未经监理人、发包人同意擅自先行采购和实施的，否则因不符 </w:t>
      </w:r>
    </w:p>
    <w:p w14:paraId="78BCD3A2">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Cs/>
          <w:snapToGrid w:val="0"/>
          <w:color w:val="auto"/>
          <w:spacing w:val="0"/>
          <w:kern w:val="0"/>
          <w:sz w:val="24"/>
          <w:szCs w:val="24"/>
          <w:highlight w:val="none"/>
          <w:lang w:val="en-US" w:eastAsia="zh-CN"/>
        </w:rPr>
      </w:pPr>
      <w:r>
        <w:rPr>
          <w:rFonts w:hint="eastAsia" w:ascii="宋体" w:hAnsi="宋体" w:eastAsia="宋体" w:cs="宋体"/>
          <w:bCs/>
          <w:snapToGrid w:val="0"/>
          <w:color w:val="auto"/>
          <w:spacing w:val="0"/>
          <w:kern w:val="0"/>
          <w:sz w:val="24"/>
          <w:szCs w:val="24"/>
          <w:highlight w:val="none"/>
          <w:lang w:val="en-US" w:eastAsia="zh-CN"/>
        </w:rPr>
        <w:t>合设计要求返工造成的费用由承包人承担。</w:t>
      </w:r>
    </w:p>
    <w:p w14:paraId="77B7961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w:t>
      </w:r>
      <w:r>
        <w:rPr>
          <w:rFonts w:hint="eastAsia" w:ascii="宋体" w:hAnsi="宋体" w:eastAsia="宋体" w:cs="宋体"/>
          <w:b w:val="0"/>
          <w:bCs/>
          <w:snapToGrid w:val="0"/>
          <w:color w:val="auto"/>
          <w:spacing w:val="0"/>
          <w:kern w:val="0"/>
          <w:sz w:val="24"/>
          <w:szCs w:val="24"/>
          <w:highlight w:val="none"/>
          <w:lang w:val="en-US" w:eastAsia="zh-CN"/>
        </w:rPr>
        <w:t xml:space="preserve">工程质量违约： </w:t>
      </w:r>
    </w:p>
    <w:p w14:paraId="433283B4">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4.24.2.1</w:t>
      </w:r>
      <w:r>
        <w:rPr>
          <w:rFonts w:hint="eastAsia" w:ascii="宋体" w:hAnsi="宋体" w:eastAsia="宋体" w:cs="宋体"/>
          <w:b w:val="0"/>
          <w:bCs/>
          <w:snapToGrid w:val="0"/>
          <w:color w:val="auto"/>
          <w:spacing w:val="0"/>
          <w:kern w:val="0"/>
          <w:sz w:val="24"/>
          <w:szCs w:val="24"/>
          <w:highlight w:val="none"/>
          <w:lang w:val="en-US" w:eastAsia="zh-CN"/>
        </w:rPr>
        <w:t xml:space="preserve"> 在施工过程中经监理单位日常巡查或抽检发现未达到合格标准，责令承包人进 </w:t>
      </w:r>
    </w:p>
    <w:p w14:paraId="12C6716D">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行整改，如未按规定时间进行整改或整改不到位的，每次按 5000 元缴纳违约金给发包人，在进度款或结算款中一并扣除。 </w:t>
      </w:r>
    </w:p>
    <w:p w14:paraId="5755758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4.24.2.2</w:t>
      </w:r>
      <w:r>
        <w:rPr>
          <w:rFonts w:hint="eastAsia" w:ascii="宋体" w:hAnsi="宋体" w:eastAsia="宋体" w:cs="宋体"/>
          <w:b w:val="0"/>
          <w:bCs/>
          <w:snapToGrid w:val="0"/>
          <w:color w:val="auto"/>
          <w:spacing w:val="0"/>
          <w:kern w:val="0"/>
          <w:sz w:val="24"/>
          <w:szCs w:val="24"/>
          <w:highlight w:val="none"/>
          <w:lang w:val="en-US" w:eastAsia="zh-CN"/>
        </w:rPr>
        <w:t xml:space="preserve"> 工程质量标准须达到国家验收合格标准。如未达到合格标准，除无偿返工至合 </w:t>
      </w:r>
    </w:p>
    <w:p w14:paraId="2A82A30B">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格外，还要按合同价款的 1%向招标人支付质量违约金，工期不予顺延。 </w:t>
      </w:r>
    </w:p>
    <w:p w14:paraId="44A72C4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w:t>
      </w:r>
      <w:r>
        <w:rPr>
          <w:rFonts w:hint="eastAsia" w:ascii="宋体" w:hAnsi="宋体" w:eastAsia="宋体" w:cs="宋体"/>
          <w:b w:val="0"/>
          <w:bCs/>
          <w:snapToGrid w:val="0"/>
          <w:color w:val="auto"/>
          <w:spacing w:val="0"/>
          <w:kern w:val="0"/>
          <w:sz w:val="24"/>
          <w:szCs w:val="24"/>
          <w:highlight w:val="none"/>
          <w:lang w:val="en-US" w:eastAsia="zh-CN"/>
        </w:rPr>
        <w:t xml:space="preserve"> 重大责任事故违约 </w:t>
      </w:r>
    </w:p>
    <w:p w14:paraId="7EC71D9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4.25.1</w:t>
      </w:r>
      <w:r>
        <w:rPr>
          <w:rFonts w:hint="eastAsia" w:ascii="宋体" w:hAnsi="宋体" w:eastAsia="宋体" w:cs="宋体"/>
          <w:b w:val="0"/>
          <w:bCs/>
          <w:snapToGrid w:val="0"/>
          <w:color w:val="auto"/>
          <w:spacing w:val="0"/>
          <w:kern w:val="0"/>
          <w:sz w:val="24"/>
          <w:szCs w:val="24"/>
          <w:highlight w:val="none"/>
          <w:lang w:val="en-US" w:eastAsia="zh-CN"/>
        </w:rPr>
        <w:t xml:space="preserve"> 承包人因违反国家安全质量法规及合同有关条款约定,出现火灾、坍塌、人员重 </w:t>
      </w:r>
    </w:p>
    <w:p w14:paraId="3E6F36F7">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伤、死亡等重大责任事故,则承包人应承担全部损失,并按相关法规接受行政处罚；如造成发 </w:t>
      </w:r>
    </w:p>
    <w:p w14:paraId="105736B3">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包人及对第三人利益的损害,该等损害赔偿责任均由承包人承担。 </w:t>
      </w:r>
    </w:p>
    <w:p w14:paraId="5C6E18CD">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w:t>
      </w:r>
      <w:r>
        <w:rPr>
          <w:rFonts w:hint="eastAsia" w:ascii="宋体" w:hAnsi="宋体" w:eastAsia="宋体" w:cs="宋体"/>
          <w:b w:val="0"/>
          <w:bCs/>
          <w:snapToGrid w:val="0"/>
          <w:color w:val="auto"/>
          <w:spacing w:val="0"/>
          <w:kern w:val="0"/>
          <w:sz w:val="24"/>
          <w:szCs w:val="24"/>
          <w:highlight w:val="none"/>
          <w:lang w:val="en-US" w:eastAsia="zh-CN"/>
        </w:rPr>
        <w:t xml:space="preserve"> 用工违约 </w:t>
      </w:r>
    </w:p>
    <w:p w14:paraId="244A204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4.26.1</w:t>
      </w:r>
      <w:r>
        <w:rPr>
          <w:rFonts w:hint="eastAsia" w:ascii="宋体" w:hAnsi="宋体" w:eastAsia="宋体" w:cs="宋体"/>
          <w:b w:val="0"/>
          <w:bCs/>
          <w:snapToGrid w:val="0"/>
          <w:color w:val="auto"/>
          <w:spacing w:val="0"/>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B19D6EE">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扣农民工工资总金额 2 倍的标准向发包人缴纳惩罚性违约金。 </w:t>
      </w:r>
    </w:p>
    <w:p w14:paraId="7980D17E">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w:t>
      </w:r>
      <w:r>
        <w:rPr>
          <w:rFonts w:hint="eastAsia" w:ascii="宋体" w:hAnsi="宋体" w:eastAsia="宋体" w:cs="宋体"/>
          <w:b w:val="0"/>
          <w:bCs/>
          <w:snapToGrid w:val="0"/>
          <w:color w:val="auto"/>
          <w:spacing w:val="0"/>
          <w:kern w:val="0"/>
          <w:sz w:val="24"/>
          <w:szCs w:val="24"/>
          <w:highlight w:val="none"/>
          <w:lang w:val="en-US" w:eastAsia="zh-CN"/>
        </w:rPr>
        <w:t xml:space="preserve"> 安全文明施工违约 </w:t>
      </w:r>
    </w:p>
    <w:p w14:paraId="58B06849">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4.27.1</w:t>
      </w:r>
      <w:r>
        <w:rPr>
          <w:rFonts w:hint="eastAsia" w:ascii="宋体" w:hAnsi="宋体" w:eastAsia="宋体" w:cs="宋体"/>
          <w:b w:val="0"/>
          <w:bCs/>
          <w:snapToGrid w:val="0"/>
          <w:color w:val="auto"/>
          <w:spacing w:val="0"/>
          <w:kern w:val="0"/>
          <w:sz w:val="24"/>
          <w:szCs w:val="24"/>
          <w:highlight w:val="none"/>
          <w:lang w:val="en-US" w:eastAsia="zh-CN"/>
        </w:rPr>
        <w:t xml:space="preserve"> 如承包人违反国家、广东省、发包人及合同关于安全文明施工的规定，但尚未造 </w:t>
      </w:r>
    </w:p>
    <w:p w14:paraId="0E250BDA">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成安全责任事故，承包人应及时改正行为并赔偿相关方的损失，如未及时整改,针对每一违约 </w:t>
      </w:r>
    </w:p>
    <w:p w14:paraId="4F637481">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行为每持续一天应缴纳违约金 1000.00 元。</w:t>
      </w:r>
    </w:p>
    <w:p w14:paraId="5152D74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4.27.2</w:t>
      </w:r>
      <w:r>
        <w:rPr>
          <w:rFonts w:hint="eastAsia" w:ascii="宋体" w:hAnsi="宋体" w:eastAsia="宋体" w:cs="宋体"/>
          <w:b w:val="0"/>
          <w:bCs/>
          <w:snapToGrid w:val="0"/>
          <w:color w:val="auto"/>
          <w:spacing w:val="0"/>
          <w:kern w:val="0"/>
          <w:sz w:val="24"/>
          <w:szCs w:val="24"/>
          <w:highlight w:val="none"/>
          <w:lang w:val="en-US" w:eastAsia="zh-CN"/>
        </w:rPr>
        <w:t xml:space="preserve"> 承包人必须接受发包人及监理单位组织的安全、文明施工的检查，检查中的不合 </w:t>
      </w:r>
    </w:p>
    <w:p w14:paraId="48A3EC33">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格项目、安全隐患必须在规定的时间内整改完成，否则每拖延一天处以 2000.00元人民币违约金，直至整改合格。 </w:t>
      </w:r>
    </w:p>
    <w:p w14:paraId="1D39E82F">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4.28</w:t>
      </w:r>
      <w:r>
        <w:rPr>
          <w:rFonts w:hint="eastAsia" w:ascii="宋体" w:hAnsi="宋体" w:eastAsia="宋体" w:cs="宋体"/>
          <w:b w:val="0"/>
          <w:bCs/>
          <w:snapToGrid w:val="0"/>
          <w:color w:val="auto"/>
          <w:spacing w:val="0"/>
          <w:kern w:val="0"/>
          <w:sz w:val="24"/>
          <w:szCs w:val="24"/>
          <w:highlight w:val="none"/>
          <w:lang w:val="en-US" w:eastAsia="zh-CN"/>
        </w:rPr>
        <w:t xml:space="preserve"> 其他违约 </w:t>
      </w:r>
    </w:p>
    <w:p w14:paraId="338BE054">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4.28.1</w:t>
      </w:r>
      <w:r>
        <w:rPr>
          <w:rFonts w:hint="eastAsia" w:ascii="宋体" w:hAnsi="宋体" w:eastAsia="宋体" w:cs="宋体"/>
          <w:b w:val="0"/>
          <w:bCs/>
          <w:snapToGrid w:val="0"/>
          <w:color w:val="auto"/>
          <w:spacing w:val="0"/>
          <w:kern w:val="0"/>
          <w:sz w:val="24"/>
          <w:szCs w:val="24"/>
          <w:highlight w:val="none"/>
          <w:lang w:val="en-US" w:eastAsia="zh-CN"/>
        </w:rPr>
        <w:t xml:space="preserve"> 承包人安排在施工场地的主要管理人员（主要指项目经理、项目技术负责人和专 </w:t>
      </w:r>
    </w:p>
    <w:p w14:paraId="7093E00C">
      <w:pPr>
        <w:keepNext w:val="0"/>
        <w:keepLines w:val="0"/>
        <w:pageBreakBefore w:val="0"/>
        <w:wordWrap w:val="0"/>
        <w:overflowPunct/>
        <w:topLinePunct w:val="0"/>
        <w:bidi w:val="0"/>
        <w:adjustRightInd w:val="0"/>
        <w:snapToGrid w:val="0"/>
        <w:spacing w:line="360" w:lineRule="auto"/>
        <w:ind w:left="0" w:leftChars="0" w:firstLine="0" w:firstLineChars="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val="0"/>
          <w:bCs/>
          <w:snapToGrid w:val="0"/>
          <w:color w:val="auto"/>
          <w:spacing w:val="0"/>
          <w:kern w:val="0"/>
          <w:sz w:val="24"/>
          <w:szCs w:val="24"/>
          <w:highlight w:val="none"/>
          <w:lang w:val="en-US" w:eastAsia="zh-CN"/>
        </w:rPr>
        <w:t xml:space="preserve">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 </w:t>
      </w:r>
    </w:p>
    <w:p w14:paraId="06E8294D">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4.28.2</w:t>
      </w:r>
      <w:r>
        <w:rPr>
          <w:rFonts w:hint="eastAsia" w:ascii="宋体" w:hAnsi="宋体" w:eastAsia="宋体" w:cs="宋体"/>
          <w:b w:val="0"/>
          <w:bCs/>
          <w:snapToGrid w:val="0"/>
          <w:color w:val="auto"/>
          <w:spacing w:val="0"/>
          <w:kern w:val="0"/>
          <w:sz w:val="24"/>
          <w:szCs w:val="24"/>
          <w:highlight w:val="none"/>
          <w:lang w:val="en-US" w:eastAsia="zh-CN"/>
        </w:rPr>
        <w:t xml:space="preserve"> 中标人施工资料必须与形象进度同步。 </w:t>
      </w:r>
    </w:p>
    <w:p w14:paraId="0E435855">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val="0"/>
          <w:bCs/>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4.28.3</w:t>
      </w:r>
      <w:r>
        <w:rPr>
          <w:rFonts w:hint="eastAsia" w:ascii="宋体" w:hAnsi="宋体" w:eastAsia="宋体" w:cs="宋体"/>
          <w:b w:val="0"/>
          <w:bCs/>
          <w:snapToGrid w:val="0"/>
          <w:color w:val="auto"/>
          <w:spacing w:val="0"/>
          <w:kern w:val="0"/>
          <w:sz w:val="24"/>
          <w:szCs w:val="24"/>
          <w:highlight w:val="none"/>
          <w:lang w:val="en-US" w:eastAsia="zh-CN"/>
        </w:rPr>
        <w:t xml:space="preserve"> 承包人没有正当合理的理由中途退场，可扣除承包人已递交的所有履约风险保证 </w:t>
      </w:r>
    </w:p>
    <w:p w14:paraId="7B1DB3D2">
      <w:pPr>
        <w:keepNext w:val="0"/>
        <w:keepLines w:val="0"/>
        <w:pageBreakBefore w:val="0"/>
        <w:wordWrap w:val="0"/>
        <w:overflowPunct/>
        <w:topLinePunct w:val="0"/>
        <w:bidi w:val="0"/>
        <w:adjustRightInd w:val="0"/>
        <w:snapToGrid w:val="0"/>
        <w:spacing w:line="360" w:lineRule="auto"/>
        <w:rPr>
          <w:rFonts w:hint="eastAsia" w:ascii="宋体" w:hAnsi="宋体" w:eastAsia="宋体" w:cs="宋体"/>
          <w:bCs/>
          <w:snapToGrid w:val="0"/>
          <w:color w:val="auto"/>
          <w:spacing w:val="0"/>
          <w:kern w:val="0"/>
          <w:sz w:val="24"/>
          <w:szCs w:val="24"/>
          <w:highlight w:val="none"/>
          <w:lang w:val="en-US" w:eastAsia="zh-CN" w:bidi="ar-SA"/>
        </w:rPr>
      </w:pPr>
      <w:r>
        <w:rPr>
          <w:rFonts w:hint="eastAsia" w:ascii="宋体" w:hAnsi="宋体" w:eastAsia="宋体" w:cs="宋体"/>
          <w:b w:val="0"/>
          <w:bCs/>
          <w:snapToGrid w:val="0"/>
          <w:color w:val="auto"/>
          <w:spacing w:val="0"/>
          <w:kern w:val="0"/>
          <w:sz w:val="24"/>
          <w:szCs w:val="24"/>
          <w:highlight w:val="none"/>
          <w:lang w:val="en-US" w:eastAsia="zh-CN"/>
        </w:rPr>
        <w:t>金。承包人因上述违约行为而须缴纳的违约金在工程进度款中或结算时一并扣除。</w:t>
      </w:r>
    </w:p>
    <w:p w14:paraId="22A28A70">
      <w:pPr>
        <w:keepNext w:val="0"/>
        <w:keepLines w:val="0"/>
        <w:pageBreakBefore w:val="0"/>
        <w:wordWrap w:val="0"/>
        <w:overflowPunct/>
        <w:topLinePunct w:val="0"/>
        <w:bidi w:val="0"/>
        <w:adjustRightInd w:val="0"/>
        <w:snapToGrid w:val="0"/>
        <w:spacing w:line="360" w:lineRule="auto"/>
        <w:ind w:firstLine="482" w:firstLineChars="200"/>
        <w:rPr>
          <w:rFonts w:hint="eastAsia" w:ascii="宋体" w:hAnsi="宋体" w:eastAsia="宋体" w:cs="宋体"/>
          <w:b/>
          <w:bCs w:val="0"/>
          <w:snapToGrid w:val="0"/>
          <w:color w:val="auto"/>
          <w:spacing w:val="0"/>
          <w:kern w:val="0"/>
          <w:sz w:val="24"/>
          <w:szCs w:val="24"/>
          <w:highlight w:val="none"/>
          <w:lang w:val="en-US" w:eastAsia="zh-CN"/>
        </w:rPr>
      </w:pPr>
      <w:r>
        <w:rPr>
          <w:rFonts w:hint="eastAsia" w:ascii="宋体" w:hAnsi="宋体" w:eastAsia="宋体" w:cs="宋体"/>
          <w:b/>
          <w:bCs w:val="0"/>
          <w:snapToGrid w:val="0"/>
          <w:color w:val="auto"/>
          <w:spacing w:val="0"/>
          <w:kern w:val="0"/>
          <w:sz w:val="24"/>
          <w:szCs w:val="24"/>
          <w:highlight w:val="none"/>
          <w:lang w:val="en-US" w:eastAsia="zh-CN"/>
        </w:rPr>
        <w:t>5.其他合同条款由招标人与中标人自行协商约定</w:t>
      </w:r>
    </w:p>
    <w:p w14:paraId="76E3D22A">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592C9070">
      <w:pPr>
        <w:keepNext w:val="0"/>
        <w:keepLines w:val="0"/>
        <w:pageBreakBefore w:val="0"/>
        <w:wordWrap w:val="0"/>
        <w:overflowPunct/>
        <w:topLinePunct w:val="0"/>
        <w:bidi w:val="0"/>
        <w:spacing w:before="78" w:line="360" w:lineRule="auto"/>
        <w:ind w:left="3273"/>
        <w:outlineLvl w:val="0"/>
        <w:rPr>
          <w:rFonts w:hint="eastAsia" w:ascii="宋体" w:hAnsi="宋体" w:eastAsia="宋体" w:cs="宋体"/>
          <w:color w:val="auto"/>
          <w:spacing w:val="0"/>
          <w:sz w:val="24"/>
          <w:szCs w:val="24"/>
          <w:highlight w:val="none"/>
        </w:rPr>
      </w:pPr>
      <w:bookmarkStart w:id="178" w:name="_Toc24977"/>
      <w:r>
        <w:rPr>
          <w:rFonts w:hint="eastAsia" w:ascii="宋体" w:hAnsi="宋体" w:eastAsia="宋体" w:cs="宋体"/>
          <w:b/>
          <w:bCs/>
          <w:color w:val="auto"/>
          <w:spacing w:val="0"/>
          <w:sz w:val="24"/>
          <w:szCs w:val="24"/>
          <w:highlight w:val="none"/>
        </w:rPr>
        <w:t>第四章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技术要求</w:t>
      </w:r>
      <w:bookmarkEnd w:id="178"/>
    </w:p>
    <w:p w14:paraId="3E6A87FB">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9F1228B">
      <w:pPr>
        <w:keepNext w:val="0"/>
        <w:keepLines w:val="0"/>
        <w:pageBreakBefore w:val="0"/>
        <w:wordWrap w:val="0"/>
        <w:overflowPunct/>
        <w:topLinePunct w:val="0"/>
        <w:bidi w:val="0"/>
        <w:spacing w:before="78" w:line="360" w:lineRule="auto"/>
        <w:ind w:left="125"/>
        <w:outlineLvl w:val="2"/>
        <w:rPr>
          <w:rFonts w:hint="eastAsia" w:ascii="宋体" w:hAnsi="宋体" w:eastAsia="宋体" w:cs="宋体"/>
          <w:color w:val="auto"/>
          <w:spacing w:val="0"/>
          <w:sz w:val="24"/>
          <w:szCs w:val="24"/>
          <w:highlight w:val="none"/>
        </w:rPr>
      </w:pPr>
      <w:bookmarkStart w:id="179" w:name="_Toc4930"/>
      <w:bookmarkStart w:id="180" w:name="_Toc10155"/>
      <w:r>
        <w:rPr>
          <w:rFonts w:hint="eastAsia" w:ascii="宋体" w:hAnsi="宋体" w:eastAsia="宋体" w:cs="宋体"/>
          <w:b/>
          <w:bCs/>
          <w:color w:val="auto"/>
          <w:spacing w:val="0"/>
          <w:sz w:val="24"/>
          <w:szCs w:val="24"/>
          <w:highlight w:val="none"/>
        </w:rPr>
        <w:t>1 ．房屋建筑工程建设项目</w:t>
      </w:r>
      <w:bookmarkEnd w:id="179"/>
      <w:bookmarkEnd w:id="180"/>
    </w:p>
    <w:p w14:paraId="0CE4FE26">
      <w:pPr>
        <w:keepNext w:val="0"/>
        <w:keepLines w:val="0"/>
        <w:pageBreakBefore w:val="0"/>
        <w:wordWrap w:val="0"/>
        <w:overflowPunct/>
        <w:topLinePunct w:val="0"/>
        <w:bidi w:val="0"/>
        <w:spacing w:before="152" w:line="36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房屋建筑工程建设项目必须执行的现行技术规范，包括且不限于：</w:t>
      </w:r>
    </w:p>
    <w:p w14:paraId="2E913A2A">
      <w:pPr>
        <w:keepNext w:val="0"/>
        <w:keepLines w:val="0"/>
        <w:pageBreakBefore w:val="0"/>
        <w:wordWrap w:val="0"/>
        <w:overflowPunct/>
        <w:topLinePunct w:val="0"/>
        <w:bidi w:val="0"/>
        <w:spacing w:before="155"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（1）《建筑工程施工质量验收统一标准》；</w:t>
      </w:r>
    </w:p>
    <w:p w14:paraId="21289F3F">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（2）《建筑地基基础工程施工质量验收规范》；</w:t>
      </w:r>
    </w:p>
    <w:p w14:paraId="21379855">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（3）《砌体工程施工质量验收规范》；</w:t>
      </w:r>
    </w:p>
    <w:p w14:paraId="191C91D8">
      <w:pPr>
        <w:keepNext w:val="0"/>
        <w:keepLines w:val="0"/>
        <w:pageBreakBefore w:val="0"/>
        <w:wordWrap w:val="0"/>
        <w:overflowPunct/>
        <w:topLinePunct w:val="0"/>
        <w:bidi w:val="0"/>
        <w:spacing w:before="155"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（4）《混凝土结构工程施工质量验收规范》；</w:t>
      </w:r>
    </w:p>
    <w:p w14:paraId="3087379D">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（5）《屋面工程质量验收规范》；</w:t>
      </w:r>
    </w:p>
    <w:p w14:paraId="3B431104">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（6）《地下防水工程质量验收规范》；</w:t>
      </w:r>
    </w:p>
    <w:p w14:paraId="47AE272D">
      <w:pPr>
        <w:keepNext w:val="0"/>
        <w:keepLines w:val="0"/>
        <w:pageBreakBefore w:val="0"/>
        <w:wordWrap w:val="0"/>
        <w:overflowPunct/>
        <w:topLinePunct w:val="0"/>
        <w:bidi w:val="0"/>
        <w:spacing w:before="156"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（7）《建筑地面工程施工质量验收规范》；</w:t>
      </w:r>
    </w:p>
    <w:p w14:paraId="76A79CB0">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（8）《建筑装饰装修工程施工质量验收规范》；</w:t>
      </w:r>
    </w:p>
    <w:p w14:paraId="7E836C74">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（9）《建筑给排水及采暖工程施工质量验收规范》；</w:t>
      </w:r>
    </w:p>
    <w:p w14:paraId="27101421">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（10）《建筑电气工程施工质量验收规范》；</w:t>
      </w:r>
    </w:p>
    <w:p w14:paraId="64136A99">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（11）《住建部绿色建筑评价标准》；</w:t>
      </w:r>
    </w:p>
    <w:p w14:paraId="394AE18E">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（12）《建筑节能与可再生能源利用通用规范》（GB55015-2021）；</w:t>
      </w:r>
    </w:p>
    <w:p w14:paraId="5F96829D">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（13）《建筑环境通用规范》；</w:t>
      </w:r>
    </w:p>
    <w:p w14:paraId="0198E858">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bookmarkStart w:id="181" w:name="_Toc16294"/>
      <w:bookmarkStart w:id="182" w:name="_Toc12084"/>
      <w:r>
        <w:rPr>
          <w:rFonts w:hint="eastAsia" w:ascii="宋体" w:hAnsi="宋体" w:eastAsia="宋体" w:cs="宋体"/>
          <w:color w:val="auto"/>
          <w:spacing w:val="0"/>
          <w:sz w:val="24"/>
          <w:szCs w:val="24"/>
          <w:highlight w:val="none"/>
        </w:rPr>
        <w:t>（14）《建筑与市政工程无障碍通用规范》 GB 55019-2021；</w:t>
      </w:r>
      <w:bookmarkEnd w:id="181"/>
      <w:bookmarkEnd w:id="182"/>
    </w:p>
    <w:p w14:paraId="208415E7">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bookmarkStart w:id="183" w:name="_Toc15158"/>
      <w:bookmarkStart w:id="184" w:name="_Toc1177"/>
      <w:r>
        <w:rPr>
          <w:rFonts w:hint="eastAsia" w:ascii="宋体" w:hAnsi="宋体" w:eastAsia="宋体" w:cs="宋体"/>
          <w:color w:val="auto"/>
          <w:spacing w:val="0"/>
          <w:sz w:val="24"/>
          <w:szCs w:val="24"/>
          <w:highlight w:val="none"/>
        </w:rPr>
        <w:t>（15）《建筑防火通用规范》GB 55037-2022;</w:t>
      </w:r>
      <w:bookmarkEnd w:id="183"/>
      <w:bookmarkEnd w:id="184"/>
    </w:p>
    <w:p w14:paraId="3CAEBDB1">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bookmarkStart w:id="185" w:name="_Toc24233"/>
      <w:bookmarkStart w:id="186" w:name="_Toc2461"/>
      <w:r>
        <w:rPr>
          <w:rFonts w:hint="eastAsia" w:ascii="宋体" w:hAnsi="宋体" w:eastAsia="宋体" w:cs="宋体"/>
          <w:color w:val="auto"/>
          <w:spacing w:val="0"/>
          <w:sz w:val="24"/>
          <w:szCs w:val="24"/>
          <w:highlight w:val="none"/>
        </w:rPr>
        <w:t>（16）《建筑与市政工程抗震通用规范》GB55002-2001;</w:t>
      </w:r>
      <w:bookmarkEnd w:id="185"/>
      <w:bookmarkEnd w:id="186"/>
    </w:p>
    <w:p w14:paraId="685DD796">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bookmarkStart w:id="187" w:name="_Toc8109"/>
      <w:bookmarkStart w:id="188" w:name="_Toc5777"/>
      <w:r>
        <w:rPr>
          <w:rFonts w:hint="eastAsia" w:ascii="宋体" w:hAnsi="宋体" w:eastAsia="宋体" w:cs="宋体"/>
          <w:color w:val="auto"/>
          <w:spacing w:val="0"/>
          <w:sz w:val="24"/>
          <w:szCs w:val="24"/>
          <w:highlight w:val="none"/>
        </w:rPr>
        <w:t>（17）《建筑与市政地基基础通用规范》GB55003-2001;</w:t>
      </w:r>
      <w:bookmarkEnd w:id="187"/>
      <w:bookmarkEnd w:id="188"/>
    </w:p>
    <w:p w14:paraId="00DBFC09">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（18）《广东省住房和城乡建设厅绿色施工导则》；</w:t>
      </w:r>
    </w:p>
    <w:p w14:paraId="5D7737AC">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（19）《广东省建筑工程绿色施工评价标准》；</w:t>
      </w:r>
    </w:p>
    <w:p w14:paraId="5CD8C62F">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（20）《广东省建筑节能与绿色建筑工程施工质量验收规范》</w:t>
      </w:r>
    </w:p>
    <w:p w14:paraId="067E85AF">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（21）其他现行国家、广东省关于房建工程的施工及验收规范、定额、规程、标准。</w:t>
      </w:r>
    </w:p>
    <w:p w14:paraId="36B34C1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5E00F81">
      <w:pPr>
        <w:keepNext w:val="0"/>
        <w:keepLines w:val="0"/>
        <w:pageBreakBefore w:val="0"/>
        <w:wordWrap w:val="0"/>
        <w:overflowPunct/>
        <w:topLinePunct w:val="0"/>
        <w:bidi w:val="0"/>
        <w:spacing w:before="78" w:line="360" w:lineRule="auto"/>
        <w:ind w:left="115"/>
        <w:outlineLvl w:val="2"/>
        <w:rPr>
          <w:rFonts w:hint="eastAsia" w:ascii="宋体" w:hAnsi="宋体" w:eastAsia="宋体" w:cs="宋体"/>
          <w:color w:val="auto"/>
          <w:spacing w:val="0"/>
          <w:sz w:val="24"/>
          <w:szCs w:val="24"/>
          <w:highlight w:val="none"/>
        </w:rPr>
      </w:pPr>
      <w:bookmarkStart w:id="189" w:name="_Toc28110"/>
      <w:bookmarkStart w:id="190" w:name="_Toc15652"/>
      <w:r>
        <w:rPr>
          <w:rFonts w:hint="eastAsia" w:ascii="宋体" w:hAnsi="宋体" w:eastAsia="宋体" w:cs="宋体"/>
          <w:b/>
          <w:bCs/>
          <w:color w:val="auto"/>
          <w:spacing w:val="0"/>
          <w:sz w:val="24"/>
          <w:szCs w:val="24"/>
          <w:highlight w:val="none"/>
        </w:rPr>
        <w:t>2 ．市政基础设施工程建设项目</w:t>
      </w:r>
      <w:bookmarkEnd w:id="189"/>
      <w:bookmarkEnd w:id="190"/>
    </w:p>
    <w:p w14:paraId="1DE67B68">
      <w:pPr>
        <w:keepNext w:val="0"/>
        <w:keepLines w:val="0"/>
        <w:pageBreakBefore w:val="0"/>
        <w:wordWrap w:val="0"/>
        <w:overflowPunct/>
        <w:topLinePunct w:val="0"/>
        <w:bidi w:val="0"/>
        <w:spacing w:before="154" w:line="360" w:lineRule="auto"/>
        <w:ind w:left="1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市政基础设施工程建设项目必须执行的现行技术规范，包括且不限于：</w:t>
      </w:r>
    </w:p>
    <w:p w14:paraId="7EF67537">
      <w:pPr>
        <w:keepNext w:val="0"/>
        <w:keepLines w:val="0"/>
        <w:pageBreakBefore w:val="0"/>
        <w:wordWrap w:val="0"/>
        <w:overflowPunct/>
        <w:topLinePunct w:val="0"/>
        <w:bidi w:val="0"/>
        <w:spacing w:before="155"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（1）《公路路基施工技术规范》；</w:t>
      </w:r>
    </w:p>
    <w:p w14:paraId="0FD09BDA">
      <w:pPr>
        <w:keepNext w:val="0"/>
        <w:keepLines w:val="0"/>
        <w:pageBreakBefore w:val="0"/>
        <w:wordWrap w:val="0"/>
        <w:overflowPunct/>
        <w:topLinePunct w:val="0"/>
        <w:bidi w:val="0"/>
        <w:spacing w:before="153"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（2）《市政道路工程质量检验评定标准》；</w:t>
      </w:r>
    </w:p>
    <w:p w14:paraId="5E4C6C0A">
      <w:pPr>
        <w:keepNext w:val="0"/>
        <w:keepLines w:val="0"/>
        <w:pageBreakBefore w:val="0"/>
        <w:wordWrap w:val="0"/>
        <w:overflowPunct/>
        <w:topLinePunct w:val="0"/>
        <w:bidi w:val="0"/>
        <w:spacing w:before="154" w:line="360" w:lineRule="auto"/>
        <w:ind w:left="13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（3）《市政排水管渠工程质量检验评定标准》；</w:t>
      </w:r>
    </w:p>
    <w:p w14:paraId="5FFAA5AA">
      <w:pPr>
        <w:keepNext w:val="0"/>
        <w:keepLines w:val="0"/>
        <w:pageBreakBefore w:val="0"/>
        <w:widowControl w:val="0"/>
        <w:kinsoku w:val="0"/>
        <w:wordWrap w:val="0"/>
        <w:overflowPunct/>
        <w:topLinePunct w:val="0"/>
        <w:autoSpaceDE w:val="0"/>
        <w:autoSpaceDN w:val="0"/>
        <w:bidi w:val="0"/>
        <w:adjustRightInd w:val="0"/>
        <w:snapToGrid w:val="0"/>
        <w:spacing w:before="155" w:line="360" w:lineRule="auto"/>
        <w:ind w:left="13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（4）《给水排水管道工程施工及验收规范》；</w:t>
      </w:r>
    </w:p>
    <w:p w14:paraId="5C80DC30">
      <w:pPr>
        <w:keepNext w:val="0"/>
        <w:keepLines w:val="0"/>
        <w:pageBreakBefore w:val="0"/>
        <w:widowControl w:val="0"/>
        <w:kinsoku w:val="0"/>
        <w:wordWrap w:val="0"/>
        <w:overflowPunct/>
        <w:topLinePunct w:val="0"/>
        <w:autoSpaceDE w:val="0"/>
        <w:autoSpaceDN w:val="0"/>
        <w:bidi w:val="0"/>
        <w:adjustRightInd w:val="0"/>
        <w:snapToGrid w:val="0"/>
        <w:spacing w:before="78"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（5）《城市道路路基工程施工及验收规范》；</w:t>
      </w:r>
    </w:p>
    <w:p w14:paraId="3DE05869">
      <w:pPr>
        <w:keepNext w:val="0"/>
        <w:keepLines w:val="0"/>
        <w:pageBreakBefore w:val="0"/>
        <w:widowControl w:val="0"/>
        <w:kinsoku w:val="0"/>
        <w:wordWrap w:val="0"/>
        <w:overflowPunct/>
        <w:topLinePunct w:val="0"/>
        <w:autoSpaceDE w:val="0"/>
        <w:autoSpaceDN w:val="0"/>
        <w:bidi w:val="0"/>
        <w:adjustRightInd w:val="0"/>
        <w:snapToGrid w:val="0"/>
        <w:spacing w:before="155"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（6）《水泥砼路面施工及验收规范》；</w:t>
      </w:r>
    </w:p>
    <w:p w14:paraId="2D0FA851">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（7）《公路水泥砼路面施工技术规范》；</w:t>
      </w:r>
    </w:p>
    <w:p w14:paraId="3DDEEDA6">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（8）《埋地硬聚氯乙烯排水管道工程技术规程》；</w:t>
      </w:r>
    </w:p>
    <w:p w14:paraId="0C40551B">
      <w:pPr>
        <w:keepNext w:val="0"/>
        <w:keepLines w:val="0"/>
        <w:pageBreakBefore w:val="0"/>
        <w:widowControl w:val="0"/>
        <w:kinsoku w:val="0"/>
        <w:wordWrap w:val="0"/>
        <w:overflowPunct/>
        <w:topLinePunct w:val="0"/>
        <w:autoSpaceDE w:val="0"/>
        <w:autoSpaceDN w:val="0"/>
        <w:bidi w:val="0"/>
        <w:adjustRightInd w:val="0"/>
        <w:snapToGrid w:val="0"/>
        <w:spacing w:before="122"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（9）《沥青路面施工及验收规范》；</w:t>
      </w:r>
    </w:p>
    <w:p w14:paraId="051F222E">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（10）《广东省市政工程施工质量技术资料统一用表》。</w:t>
      </w:r>
    </w:p>
    <w:p w14:paraId="71A0E2DE">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1" w:name="_Toc30781"/>
      <w:bookmarkStart w:id="192" w:name="_Toc8494"/>
      <w:r>
        <w:rPr>
          <w:rFonts w:hint="eastAsia" w:ascii="宋体" w:hAnsi="宋体" w:eastAsia="宋体" w:cs="宋体"/>
          <w:color w:val="auto"/>
          <w:spacing w:val="0"/>
          <w:sz w:val="24"/>
          <w:szCs w:val="24"/>
          <w:highlight w:val="none"/>
        </w:rPr>
        <w:t>（11）《建筑与市政工程无障碍通用规范》 GB 55019-2021；</w:t>
      </w:r>
      <w:bookmarkEnd w:id="191"/>
      <w:bookmarkEnd w:id="192"/>
    </w:p>
    <w:p w14:paraId="0BB30486">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3" w:name="_Toc17383"/>
      <w:bookmarkStart w:id="194" w:name="_Toc31143"/>
      <w:r>
        <w:rPr>
          <w:rFonts w:hint="eastAsia" w:ascii="宋体" w:hAnsi="宋体" w:eastAsia="宋体" w:cs="宋体"/>
          <w:color w:val="auto"/>
          <w:spacing w:val="0"/>
          <w:sz w:val="24"/>
          <w:szCs w:val="24"/>
          <w:highlight w:val="none"/>
        </w:rPr>
        <w:t>（12）《建筑防火通用规范》GB 55037-2022;</w:t>
      </w:r>
      <w:bookmarkEnd w:id="193"/>
      <w:bookmarkEnd w:id="194"/>
    </w:p>
    <w:p w14:paraId="3167F8CD">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5" w:name="_Toc32476"/>
      <w:bookmarkStart w:id="196" w:name="_Toc954"/>
      <w:r>
        <w:rPr>
          <w:rFonts w:hint="eastAsia" w:ascii="宋体" w:hAnsi="宋体" w:eastAsia="宋体" w:cs="宋体"/>
          <w:color w:val="auto"/>
          <w:spacing w:val="0"/>
          <w:sz w:val="24"/>
          <w:szCs w:val="24"/>
          <w:highlight w:val="none"/>
        </w:rPr>
        <w:t>（13）《建筑与市政工程抗震通用规范》GB55002-2001;</w:t>
      </w:r>
      <w:bookmarkEnd w:id="195"/>
      <w:bookmarkEnd w:id="196"/>
    </w:p>
    <w:p w14:paraId="7E7E1132">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7" w:name="_Toc27898"/>
      <w:bookmarkStart w:id="198" w:name="_Toc7185"/>
      <w:r>
        <w:rPr>
          <w:rFonts w:hint="eastAsia" w:ascii="宋体" w:hAnsi="宋体" w:eastAsia="宋体" w:cs="宋体"/>
          <w:color w:val="auto"/>
          <w:spacing w:val="0"/>
          <w:sz w:val="24"/>
          <w:szCs w:val="24"/>
          <w:highlight w:val="none"/>
        </w:rPr>
        <w:t>（14）《建筑与市政地基基础通用规范》GB55003-2001;</w:t>
      </w:r>
      <w:bookmarkEnd w:id="197"/>
      <w:bookmarkEnd w:id="198"/>
    </w:p>
    <w:p w14:paraId="598E0BAE">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199" w:name="_Toc17281"/>
      <w:bookmarkStart w:id="200" w:name="_Toc29669"/>
      <w:r>
        <w:rPr>
          <w:rFonts w:hint="eastAsia" w:ascii="宋体" w:hAnsi="宋体" w:eastAsia="宋体" w:cs="宋体"/>
          <w:color w:val="auto"/>
          <w:spacing w:val="0"/>
          <w:sz w:val="24"/>
          <w:szCs w:val="24"/>
          <w:highlight w:val="none"/>
        </w:rPr>
        <w:t>（15）《城市道路照明设计标准》（CJJ45-2015）；</w:t>
      </w:r>
      <w:bookmarkEnd w:id="199"/>
      <w:bookmarkEnd w:id="200"/>
    </w:p>
    <w:p w14:paraId="17AD9E79">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201" w:name="_Toc31812"/>
      <w:bookmarkStart w:id="202" w:name="_Toc9161"/>
      <w:r>
        <w:rPr>
          <w:rFonts w:hint="eastAsia" w:ascii="宋体" w:hAnsi="宋体" w:eastAsia="宋体" w:cs="宋体"/>
          <w:color w:val="auto"/>
          <w:spacing w:val="0"/>
          <w:sz w:val="24"/>
          <w:szCs w:val="24"/>
          <w:highlight w:val="none"/>
        </w:rPr>
        <w:t>（16）《低压配电设计规范》（GB50054-2011）；</w:t>
      </w:r>
      <w:bookmarkEnd w:id="201"/>
      <w:bookmarkEnd w:id="202"/>
    </w:p>
    <w:p w14:paraId="39AD9BAB">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bookmarkStart w:id="203" w:name="_Toc6405"/>
      <w:bookmarkStart w:id="204" w:name="_Toc18255"/>
      <w:r>
        <w:rPr>
          <w:rFonts w:hint="eastAsia" w:ascii="宋体" w:hAnsi="宋体" w:eastAsia="宋体" w:cs="宋体"/>
          <w:color w:val="auto"/>
          <w:spacing w:val="0"/>
          <w:sz w:val="24"/>
          <w:szCs w:val="24"/>
          <w:highlight w:val="none"/>
        </w:rPr>
        <w:t>（17）《城市道路照明工程施工及验收规程》（CJJ89-2012）；</w:t>
      </w:r>
      <w:bookmarkEnd w:id="203"/>
      <w:bookmarkEnd w:id="204"/>
    </w:p>
    <w:p w14:paraId="5C08A858">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（18）《LED 道路照明工程技术规范》（DB44/T 1898-2016）；</w:t>
      </w:r>
    </w:p>
    <w:p w14:paraId="2E0247A6">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（19）《灯具第 1 部分：一般要求与试验》（GB7000.1-2015）；</w:t>
      </w:r>
    </w:p>
    <w:p w14:paraId="304A14BA">
      <w:pPr>
        <w:keepNext w:val="0"/>
        <w:keepLines w:val="0"/>
        <w:pageBreakBefore w:val="0"/>
        <w:widowControl w:val="0"/>
        <w:kinsoku w:val="0"/>
        <w:wordWrap w:val="0"/>
        <w:overflowPunct/>
        <w:topLinePunct w:val="0"/>
        <w:autoSpaceDE w:val="0"/>
        <w:autoSpaceDN w:val="0"/>
        <w:bidi w:val="0"/>
        <w:adjustRightInd w:val="0"/>
        <w:snapToGrid w:val="0"/>
        <w:spacing w:before="153" w:line="360" w:lineRule="auto"/>
        <w:ind w:left="216" w:leftChars="103" w:firstLine="0" w:firstLineChars="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（20）《电缆工程电缆设计标准》（GB50217-2018）；</w:t>
      </w:r>
    </w:p>
    <w:p w14:paraId="2781CAEA">
      <w:pPr>
        <w:keepNext w:val="0"/>
        <w:keepLines w:val="0"/>
        <w:pageBreakBefore w:val="0"/>
        <w:widowControl w:val="0"/>
        <w:kinsoku w:val="0"/>
        <w:wordWrap w:val="0"/>
        <w:overflowPunct/>
        <w:topLinePunct w:val="0"/>
        <w:autoSpaceDE w:val="0"/>
        <w:autoSpaceDN w:val="0"/>
        <w:bidi w:val="0"/>
        <w:adjustRightInd w:val="0"/>
        <w:snapToGrid w:val="0"/>
        <w:spacing w:before="146" w:line="360" w:lineRule="auto"/>
        <w:ind w:left="216" w:leftChars="103" w:firstLine="0" w:firstLineChars="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（21）其他现行国家、广东省关于市政工程的技术及验收规范、定额、规程、标准。</w:t>
      </w:r>
    </w:p>
    <w:p w14:paraId="4A2CCAE5">
      <w:pPr>
        <w:pStyle w:val="6"/>
        <w:keepNext w:val="0"/>
        <w:keepLines w:val="0"/>
        <w:pageBreakBefore w:val="0"/>
        <w:widowControl w:val="0"/>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4C853389">
      <w:pPr>
        <w:pStyle w:val="6"/>
        <w:keepNext w:val="0"/>
        <w:keepLines w:val="0"/>
        <w:pageBreakBefore w:val="0"/>
        <w:widowControl w:val="0"/>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75A42B65">
      <w:pPr>
        <w:keepNext w:val="0"/>
        <w:keepLines w:val="0"/>
        <w:pageBreakBefore w:val="0"/>
        <w:widowControl w:val="0"/>
        <w:kinsoku w:val="0"/>
        <w:wordWrap w:val="0"/>
        <w:overflowPunct/>
        <w:topLinePunct w:val="0"/>
        <w:autoSpaceDE w:val="0"/>
        <w:autoSpaceDN w:val="0"/>
        <w:bidi w:val="0"/>
        <w:adjustRightInd w:val="0"/>
        <w:snapToGrid w:val="0"/>
        <w:spacing w:before="78" w:line="360" w:lineRule="auto"/>
        <w:ind w:left="556"/>
        <w:textAlignment w:val="baseline"/>
        <w:outlineLvl w:val="2"/>
        <w:rPr>
          <w:rFonts w:hint="eastAsia" w:ascii="宋体" w:hAnsi="宋体" w:eastAsia="宋体" w:cs="宋体"/>
          <w:color w:val="auto"/>
          <w:spacing w:val="0"/>
          <w:sz w:val="24"/>
          <w:szCs w:val="24"/>
          <w:highlight w:val="none"/>
        </w:rPr>
      </w:pPr>
      <w:bookmarkStart w:id="205" w:name="_Toc9200"/>
      <w:bookmarkStart w:id="206" w:name="_Toc30653"/>
      <w:r>
        <w:rPr>
          <w:rFonts w:hint="eastAsia" w:ascii="宋体" w:hAnsi="宋体" w:eastAsia="宋体" w:cs="宋体"/>
          <w:b/>
          <w:bCs/>
          <w:color w:val="auto"/>
          <w:spacing w:val="0"/>
          <w:sz w:val="24"/>
          <w:szCs w:val="24"/>
          <w:highlight w:val="none"/>
        </w:rPr>
        <w:t>3 ．备查要求</w:t>
      </w:r>
      <w:bookmarkEnd w:id="205"/>
      <w:bookmarkEnd w:id="206"/>
    </w:p>
    <w:p w14:paraId="0334C0EA">
      <w:pPr>
        <w:keepNext w:val="0"/>
        <w:keepLines w:val="0"/>
        <w:pageBreakBefore w:val="0"/>
        <w:widowControl w:val="0"/>
        <w:kinsoku w:val="0"/>
        <w:wordWrap w:val="0"/>
        <w:overflowPunct/>
        <w:topLinePunct w:val="0"/>
        <w:autoSpaceDE w:val="0"/>
        <w:autoSpaceDN w:val="0"/>
        <w:bidi w:val="0"/>
        <w:adjustRightInd w:val="0"/>
        <w:snapToGrid w:val="0"/>
        <w:spacing w:before="155" w:line="360" w:lineRule="auto"/>
        <w:ind w:right="81" w:firstLine="561"/>
        <w:jc w:val="both"/>
        <w:textAlignment w:val="baseline"/>
        <w:rPr>
          <w:rFonts w:hint="eastAsia" w:ascii="宋体" w:hAnsi="宋体" w:eastAsia="宋体" w:cs="宋体"/>
          <w:color w:val="auto"/>
          <w:spacing w:val="0"/>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pacing w:val="0"/>
          <w:sz w:val="24"/>
          <w:szCs w:val="24"/>
          <w:highlight w:val="none"/>
        </w:rPr>
        <w:t>承包人必须在施工现场准备至少一套上述规范，发包人和监理单位可随时检查承 包人的上述规范，并监督承包人按规范要求执行。</w:t>
      </w:r>
    </w:p>
    <w:p w14:paraId="4E917614">
      <w:pPr>
        <w:keepNext w:val="0"/>
        <w:keepLines w:val="0"/>
        <w:pageBreakBefore w:val="0"/>
        <w:wordWrap w:val="0"/>
        <w:overflowPunct/>
        <w:topLinePunct w:val="0"/>
        <w:bidi w:val="0"/>
        <w:spacing w:before="78" w:line="360" w:lineRule="auto"/>
        <w:jc w:val="center"/>
        <w:outlineLvl w:val="0"/>
        <w:rPr>
          <w:rFonts w:hint="eastAsia" w:ascii="宋体" w:hAnsi="宋体" w:eastAsia="宋体" w:cs="宋体"/>
          <w:color w:val="auto"/>
          <w:spacing w:val="0"/>
          <w:sz w:val="24"/>
          <w:szCs w:val="24"/>
          <w:highlight w:val="none"/>
        </w:rPr>
      </w:pPr>
      <w:bookmarkStart w:id="207" w:name="bookmark100"/>
      <w:bookmarkEnd w:id="207"/>
      <w:bookmarkStart w:id="208" w:name="bookmark146"/>
      <w:bookmarkEnd w:id="208"/>
      <w:bookmarkStart w:id="209" w:name="_Toc5097"/>
      <w:r>
        <w:rPr>
          <w:rFonts w:hint="eastAsia" w:ascii="宋体" w:hAnsi="宋体" w:eastAsia="宋体" w:cs="宋体"/>
          <w:b/>
          <w:bCs/>
          <w:color w:val="auto"/>
          <w:spacing w:val="0"/>
          <w:sz w:val="24"/>
          <w:szCs w:val="24"/>
          <w:highlight w:val="none"/>
        </w:rPr>
        <w:t>第五章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图纸和招标工程量清单</w:t>
      </w:r>
      <w:bookmarkEnd w:id="209"/>
    </w:p>
    <w:p w14:paraId="5FC74284">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531523B">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7E54AE6">
      <w:pPr>
        <w:keepNext w:val="0"/>
        <w:keepLines w:val="0"/>
        <w:pageBreakBefore w:val="0"/>
        <w:wordWrap w:val="0"/>
        <w:overflowPunct/>
        <w:topLinePunct w:val="0"/>
        <w:bidi w:val="0"/>
        <w:spacing w:before="78" w:line="360" w:lineRule="auto"/>
        <w:ind w:left="10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□有，另附复印件         </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有，自行网上下载(浏览)           □无</w:t>
      </w:r>
    </w:p>
    <w:p w14:paraId="78499731">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60835A9">
      <w:pPr>
        <w:keepNext w:val="0"/>
        <w:keepLines w:val="0"/>
        <w:pageBreakBefore w:val="0"/>
        <w:wordWrap w:val="0"/>
        <w:overflowPunct/>
        <w:topLinePunct w:val="0"/>
        <w:bidi w:val="0"/>
        <w:spacing w:before="151" w:line="360" w:lineRule="auto"/>
        <w:ind w:left="715"/>
        <w:outlineLvl w:val="2"/>
        <w:rPr>
          <w:rFonts w:hint="eastAsia" w:ascii="宋体" w:hAnsi="宋体" w:eastAsia="宋体" w:cs="宋体"/>
          <w:color w:val="auto"/>
          <w:spacing w:val="0"/>
          <w:sz w:val="24"/>
          <w:szCs w:val="24"/>
          <w:highlight w:val="none"/>
        </w:rPr>
      </w:pPr>
      <w:bookmarkStart w:id="210" w:name="_Toc24446"/>
      <w:bookmarkStart w:id="211" w:name="_Toc15718"/>
      <w:r>
        <w:rPr>
          <w:rFonts w:hint="eastAsia" w:ascii="宋体" w:hAnsi="宋体" w:eastAsia="宋体" w:cs="宋体"/>
          <w:b/>
          <w:bCs/>
          <w:color w:val="auto"/>
          <w:spacing w:val="0"/>
          <w:sz w:val="24"/>
          <w:szCs w:val="24"/>
          <w:highlight w:val="none"/>
        </w:rPr>
        <w:t>1 ．图纸</w:t>
      </w:r>
      <w:bookmarkEnd w:id="210"/>
      <w:bookmarkEnd w:id="211"/>
    </w:p>
    <w:p w14:paraId="00652F97">
      <w:pPr>
        <w:keepNext w:val="0"/>
        <w:keepLines w:val="0"/>
        <w:pageBreakBefore w:val="0"/>
        <w:wordWrap w:val="0"/>
        <w:overflowPunct/>
        <w:topLinePunct w:val="0"/>
        <w:bidi w:val="0"/>
        <w:spacing w:before="150" w:line="360" w:lineRule="auto"/>
        <w:ind w:left="230" w:firstLine="48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本招标文件随文另附施工图（电子文件）一套。</w:t>
      </w:r>
    </w:p>
    <w:p w14:paraId="48EB0DBD">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191C978">
      <w:pPr>
        <w:keepNext w:val="0"/>
        <w:keepLines w:val="0"/>
        <w:pageBreakBefore w:val="0"/>
        <w:wordWrap w:val="0"/>
        <w:overflowPunct/>
        <w:topLinePunct w:val="0"/>
        <w:bidi w:val="0"/>
        <w:spacing w:before="79" w:line="360" w:lineRule="auto"/>
        <w:ind w:left="705"/>
        <w:outlineLvl w:val="2"/>
        <w:rPr>
          <w:rFonts w:hint="eastAsia" w:ascii="宋体" w:hAnsi="宋体" w:eastAsia="宋体" w:cs="宋体"/>
          <w:color w:val="auto"/>
          <w:spacing w:val="0"/>
          <w:sz w:val="24"/>
          <w:szCs w:val="24"/>
          <w:highlight w:val="none"/>
        </w:rPr>
      </w:pPr>
      <w:bookmarkStart w:id="212" w:name="_Toc9064"/>
      <w:bookmarkStart w:id="213" w:name="_Toc796"/>
      <w:r>
        <w:rPr>
          <w:rFonts w:hint="eastAsia" w:ascii="宋体" w:hAnsi="宋体" w:eastAsia="宋体" w:cs="宋体"/>
          <w:b/>
          <w:bCs/>
          <w:color w:val="auto"/>
          <w:spacing w:val="0"/>
          <w:sz w:val="24"/>
          <w:szCs w:val="24"/>
          <w:highlight w:val="none"/>
        </w:rPr>
        <w:t>2 ．招标工程量清单</w:t>
      </w:r>
      <w:bookmarkEnd w:id="212"/>
      <w:bookmarkEnd w:id="213"/>
    </w:p>
    <w:p w14:paraId="6A47FAFD">
      <w:pPr>
        <w:keepNext w:val="0"/>
        <w:keepLines w:val="0"/>
        <w:pageBreakBefore w:val="0"/>
        <w:wordWrap w:val="0"/>
        <w:overflowPunct/>
        <w:topLinePunct w:val="0"/>
        <w:bidi w:val="0"/>
        <w:spacing w:before="117" w:line="360" w:lineRule="auto"/>
        <w:ind w:left="231" w:firstLine="47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 xml:space="preserve">2.1  </w:t>
      </w:r>
      <w:r>
        <w:rPr>
          <w:rFonts w:hint="eastAsia" w:ascii="宋体" w:hAnsi="宋体" w:eastAsia="宋体" w:cs="宋体"/>
          <w:color w:val="auto"/>
          <w:spacing w:val="0"/>
          <w:sz w:val="24"/>
          <w:szCs w:val="24"/>
          <w:highlight w:val="none"/>
        </w:rPr>
        <w:t>本招标文件随文另附</w:t>
      </w:r>
      <w:bookmarkStart w:id="214" w:name="OLE_LINK33"/>
      <w:r>
        <w:rPr>
          <w:rFonts w:hint="eastAsia" w:ascii="宋体" w:hAnsi="宋体" w:eastAsia="宋体" w:cs="宋体"/>
          <w:color w:val="auto"/>
          <w:spacing w:val="0"/>
          <w:sz w:val="24"/>
          <w:szCs w:val="24"/>
          <w:highlight w:val="none"/>
          <w:u w:val="single"/>
        </w:rPr>
        <w:t>招标工程量清单  EXCEL 版</w:t>
      </w:r>
      <w:bookmarkEnd w:id="214"/>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电子文件一套。</w:t>
      </w:r>
    </w:p>
    <w:p w14:paraId="076FE901">
      <w:pPr>
        <w:keepNext w:val="0"/>
        <w:keepLines w:val="0"/>
        <w:pageBreakBefore w:val="0"/>
        <w:wordWrap w:val="0"/>
        <w:overflowPunct/>
        <w:topLinePunct w:val="0"/>
        <w:bidi w:val="0"/>
        <w:spacing w:before="78" w:line="360" w:lineRule="auto"/>
        <w:ind w:left="478" w:firstLine="241" w:firstLineChars="100"/>
        <w:rPr>
          <w:rFonts w:hint="eastAsia" w:ascii="宋体" w:hAnsi="宋体" w:eastAsia="宋体" w:cs="宋体"/>
          <w:color w:val="auto"/>
          <w:spacing w:val="0"/>
          <w:sz w:val="24"/>
          <w:szCs w:val="24"/>
          <w:highlight w:val="none"/>
        </w:rPr>
      </w:pPr>
      <w:bookmarkStart w:id="215" w:name="bookmark147"/>
      <w:bookmarkEnd w:id="215"/>
      <w:r>
        <w:rPr>
          <w:rFonts w:hint="eastAsia" w:ascii="宋体" w:hAnsi="宋体" w:eastAsia="宋体" w:cs="宋体"/>
          <w:b/>
          <w:bCs/>
          <w:color w:val="auto"/>
          <w:spacing w:val="0"/>
          <w:sz w:val="24"/>
          <w:szCs w:val="24"/>
          <w:highlight w:val="none"/>
        </w:rPr>
        <w:t xml:space="preserve">2.2  </w:t>
      </w:r>
      <w:r>
        <w:rPr>
          <w:rFonts w:hint="eastAsia" w:ascii="宋体" w:hAnsi="宋体" w:eastAsia="宋体" w:cs="宋体"/>
          <w:color w:val="auto"/>
          <w:spacing w:val="0"/>
          <w:sz w:val="24"/>
          <w:szCs w:val="24"/>
          <w:highlight w:val="none"/>
        </w:rPr>
        <w:t>本工程按照以下依据编制</w:t>
      </w:r>
      <w:r>
        <w:rPr>
          <w:rFonts w:hint="eastAsia" w:ascii="宋体" w:hAnsi="宋体" w:eastAsia="宋体" w:cs="宋体"/>
          <w:color w:val="auto"/>
          <w:spacing w:val="0"/>
          <w:sz w:val="24"/>
          <w:szCs w:val="24"/>
          <w:highlight w:val="none"/>
          <w:u w:val="single"/>
        </w:rPr>
        <w:t>招标工程量清单</w:t>
      </w:r>
      <w:r>
        <w:rPr>
          <w:rFonts w:hint="eastAsia" w:ascii="宋体" w:hAnsi="宋体" w:eastAsia="宋体" w:cs="宋体"/>
          <w:color w:val="auto"/>
          <w:spacing w:val="0"/>
          <w:sz w:val="24"/>
          <w:szCs w:val="24"/>
          <w:highlight w:val="none"/>
        </w:rPr>
        <w:t>：</w:t>
      </w:r>
    </w:p>
    <w:p w14:paraId="678730BC">
      <w:pPr>
        <w:keepNext w:val="0"/>
        <w:keepLines w:val="0"/>
        <w:pageBreakBefore w:val="0"/>
        <w:wordWrap w:val="0"/>
        <w:overflowPunct/>
        <w:topLinePunct w:val="0"/>
        <w:bidi w:val="0"/>
        <w:spacing w:before="123"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53E00F35">
      <w:pPr>
        <w:keepNext w:val="0"/>
        <w:keepLines w:val="0"/>
        <w:pageBreakBefore w:val="0"/>
        <w:wordWrap w:val="0"/>
        <w:overflowPunct/>
        <w:topLinePunct w:val="0"/>
        <w:bidi w:val="0"/>
        <w:spacing w:before="115" w:line="360" w:lineRule="auto"/>
        <w:ind w:firstLine="49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宋体" w:hAnsi="宋体" w:eastAsia="宋体" w:cs="宋体"/>
          <w:color w:val="auto"/>
          <w:spacing w:val="0"/>
          <w:sz w:val="24"/>
          <w:szCs w:val="24"/>
          <w:highlight w:val="none"/>
          <w:u w:val="single"/>
        </w:rPr>
        <w:t>工程量清单</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最高投标限价</w:t>
      </w:r>
      <w:r>
        <w:rPr>
          <w:rFonts w:hint="eastAsia" w:ascii="宋体" w:hAnsi="宋体" w:eastAsia="宋体" w:cs="宋体"/>
          <w:color w:val="auto"/>
          <w:spacing w:val="0"/>
          <w:sz w:val="24"/>
          <w:szCs w:val="24"/>
          <w:highlight w:val="none"/>
        </w:rPr>
        <w:t>的补充和(或)修改文件。</w:t>
      </w:r>
    </w:p>
    <w:p w14:paraId="3E496F3B">
      <w:pPr>
        <w:keepNext w:val="0"/>
        <w:keepLines w:val="0"/>
        <w:pageBreakBefore w:val="0"/>
        <w:wordWrap w:val="0"/>
        <w:overflowPunct/>
        <w:topLinePunct w:val="0"/>
        <w:bidi w:val="0"/>
        <w:spacing w:before="79" w:line="360" w:lineRule="auto"/>
        <w:ind w:left="2" w:right="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（3）本招标工程量清单措施项目中的</w:t>
      </w:r>
      <w:r>
        <w:rPr>
          <w:rFonts w:hint="eastAsia" w:ascii="宋体" w:hAnsi="宋体" w:eastAsia="宋体" w:cs="宋体"/>
          <w:b/>
          <w:bCs/>
          <w:color w:val="auto"/>
          <w:spacing w:val="0"/>
          <w:sz w:val="24"/>
          <w:szCs w:val="24"/>
          <w:highlight w:val="none"/>
        </w:rPr>
        <w:t>暂列金额、</w:t>
      </w:r>
      <w:r>
        <w:rPr>
          <w:rFonts w:hint="eastAsia" w:ascii="宋体" w:hAnsi="宋体" w:eastAsia="宋体" w:cs="宋体"/>
          <w:b/>
          <w:bCs/>
          <w:color w:val="auto"/>
          <w:spacing w:val="0"/>
          <w:sz w:val="24"/>
          <w:szCs w:val="24"/>
          <w:highlight w:val="none"/>
          <w:lang w:val="en-US" w:eastAsia="zh-CN"/>
        </w:rPr>
        <w:t>专业工程</w:t>
      </w:r>
      <w:r>
        <w:rPr>
          <w:rFonts w:hint="eastAsia" w:ascii="宋体" w:hAnsi="宋体" w:eastAsia="宋体" w:cs="宋体"/>
          <w:b/>
          <w:bCs/>
          <w:color w:val="auto"/>
          <w:spacing w:val="0"/>
          <w:sz w:val="24"/>
          <w:szCs w:val="24"/>
          <w:highlight w:val="none"/>
        </w:rPr>
        <w:t>暂估价</w:t>
      </w:r>
      <w:r>
        <w:rPr>
          <w:rFonts w:hint="eastAsia" w:ascii="宋体" w:hAnsi="宋体" w:eastAsia="宋体" w:cs="宋体"/>
          <w:color w:val="auto"/>
          <w:spacing w:val="0"/>
          <w:sz w:val="24"/>
          <w:szCs w:val="24"/>
          <w:highlight w:val="none"/>
        </w:rPr>
        <w:t>不得作为竞争性费用，投标报价必须按本招标工程量清单规定的金额填报。</w:t>
      </w:r>
    </w:p>
    <w:p w14:paraId="24C45CC5">
      <w:pPr>
        <w:keepNext w:val="0"/>
        <w:keepLines w:val="0"/>
        <w:pageBreakBefore w:val="0"/>
        <w:wordWrap w:val="0"/>
        <w:overflowPunct/>
        <w:topLinePunct w:val="0"/>
        <w:bidi w:val="0"/>
        <w:spacing w:before="118" w:line="360"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（4）投标报价使用的表格格式须按照 </w:t>
      </w:r>
      <w:r>
        <w:rPr>
          <w:rFonts w:hint="eastAsia" w:ascii="宋体" w:hAnsi="宋体" w:eastAsia="宋体" w:cs="宋体"/>
          <w:color w:val="auto"/>
          <w:spacing w:val="0"/>
          <w:sz w:val="24"/>
          <w:szCs w:val="24"/>
          <w:highlight w:val="none"/>
          <w:lang w:eastAsia="zh-CN"/>
        </w:rPr>
        <w:t>《建设工程工程量清单计价标准》（GB/T50500-2024）</w:t>
      </w:r>
      <w:r>
        <w:rPr>
          <w:rFonts w:hint="eastAsia" w:ascii="宋体" w:hAnsi="宋体" w:eastAsia="宋体" w:cs="宋体"/>
          <w:color w:val="auto"/>
          <w:spacing w:val="0"/>
          <w:sz w:val="24"/>
          <w:szCs w:val="24"/>
          <w:highlight w:val="none"/>
        </w:rPr>
        <w:t>。</w:t>
      </w:r>
    </w:p>
    <w:p w14:paraId="5D89ED6B">
      <w:pPr>
        <w:keepNext w:val="0"/>
        <w:keepLines w:val="0"/>
        <w:pageBreakBefore w:val="0"/>
        <w:wordWrap w:val="0"/>
        <w:overflowPunct/>
        <w:topLinePunct w:val="0"/>
        <w:bidi w:val="0"/>
        <w:spacing w:before="118" w:line="360" w:lineRule="auto"/>
        <w:ind w:left="7" w:right="4" w:firstLine="48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4B3D583F">
      <w:pPr>
        <w:keepNext w:val="0"/>
        <w:keepLines w:val="0"/>
        <w:pageBreakBefore w:val="0"/>
        <w:wordWrap w:val="0"/>
        <w:overflowPunct/>
        <w:topLinePunct w:val="0"/>
        <w:bidi w:val="0"/>
        <w:spacing w:before="146"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（6）施工图及相关资料；</w:t>
      </w:r>
    </w:p>
    <w:p w14:paraId="2C855D25">
      <w:pPr>
        <w:keepNext w:val="0"/>
        <w:keepLines w:val="0"/>
        <w:pageBreakBefore w:val="0"/>
        <w:wordWrap w:val="0"/>
        <w:overflowPunct/>
        <w:topLinePunct w:val="0"/>
        <w:bidi w:val="0"/>
        <w:spacing w:before="153"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（7）招标文件；</w:t>
      </w:r>
    </w:p>
    <w:p w14:paraId="7D4A78D6">
      <w:pPr>
        <w:keepNext w:val="0"/>
        <w:keepLines w:val="0"/>
        <w:pageBreakBefore w:val="0"/>
        <w:wordWrap w:val="0"/>
        <w:overflowPunct/>
        <w:topLinePunct w:val="0"/>
        <w:bidi w:val="0"/>
        <w:spacing w:before="155"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（8）施工现场情况、地勘水文资料、工程特点及常规施工方案；</w:t>
      </w:r>
    </w:p>
    <w:p w14:paraId="617E9DDC">
      <w:pPr>
        <w:keepNext w:val="0"/>
        <w:keepLines w:val="0"/>
        <w:pageBreakBefore w:val="0"/>
        <w:wordWrap w:val="0"/>
        <w:overflowPunct/>
        <w:topLinePunct w:val="0"/>
        <w:bidi w:val="0"/>
        <w:spacing w:before="153" w:line="360" w:lineRule="auto"/>
        <w:ind w:left="49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（9）与建设工程有关的标准、规范、技术资料、材料设备信息价或市场价格等。</w:t>
      </w:r>
    </w:p>
    <w:p w14:paraId="12618F59">
      <w:pPr>
        <w:pStyle w:val="26"/>
        <w:spacing w:line="360" w:lineRule="auto"/>
        <w:rPr>
          <w:rFonts w:hint="eastAsia" w:ascii="宋体" w:hAnsi="宋体" w:eastAsia="宋体" w:cs="宋体"/>
          <w:color w:val="auto"/>
          <w:sz w:val="24"/>
          <w:szCs w:val="24"/>
          <w:highlight w:val="none"/>
        </w:rPr>
      </w:pPr>
    </w:p>
    <w:p w14:paraId="499D0013">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C8B4CB9">
      <w:pPr>
        <w:keepNext w:val="0"/>
        <w:keepLines w:val="0"/>
        <w:pageBreakBefore w:val="0"/>
        <w:wordWrap w:val="0"/>
        <w:overflowPunct/>
        <w:topLinePunct w:val="0"/>
        <w:bidi w:val="0"/>
        <w:spacing w:before="78" w:line="360" w:lineRule="auto"/>
        <w:ind w:left="3357"/>
        <w:jc w:val="left"/>
        <w:outlineLvl w:val="0"/>
        <w:rPr>
          <w:rFonts w:hint="eastAsia" w:ascii="宋体" w:hAnsi="宋体" w:eastAsia="宋体" w:cs="宋体"/>
          <w:color w:val="auto"/>
          <w:spacing w:val="0"/>
          <w:sz w:val="24"/>
          <w:szCs w:val="24"/>
          <w:highlight w:val="none"/>
        </w:rPr>
      </w:pPr>
      <w:bookmarkStart w:id="216" w:name="_Toc30440"/>
      <w:r>
        <w:rPr>
          <w:rFonts w:hint="eastAsia" w:ascii="宋体" w:hAnsi="宋体" w:eastAsia="宋体" w:cs="宋体"/>
          <w:b/>
          <w:bCs/>
          <w:color w:val="auto"/>
          <w:spacing w:val="0"/>
          <w:sz w:val="24"/>
          <w:szCs w:val="24"/>
          <w:highlight w:val="none"/>
        </w:rPr>
        <w:t>第六章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投标文件格式</w:t>
      </w:r>
      <w:bookmarkEnd w:id="216"/>
    </w:p>
    <w:p w14:paraId="5B1AE375">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732FF561">
      <w:pPr>
        <w:keepNext w:val="0"/>
        <w:keepLines w:val="0"/>
        <w:pageBreakBefore w:val="0"/>
        <w:wordWrap w:val="0"/>
        <w:overflowPunct/>
        <w:topLinePunct w:val="0"/>
        <w:bidi w:val="0"/>
        <w:spacing w:before="78" w:line="360" w:lineRule="auto"/>
        <w:outlineLvl w:val="2"/>
        <w:rPr>
          <w:rFonts w:hint="eastAsia" w:ascii="宋体" w:hAnsi="宋体" w:eastAsia="宋体" w:cs="宋体"/>
          <w:color w:val="auto"/>
          <w:spacing w:val="0"/>
          <w:sz w:val="24"/>
          <w:szCs w:val="24"/>
          <w:highlight w:val="none"/>
        </w:rPr>
      </w:pPr>
      <w:bookmarkStart w:id="217" w:name="_Toc27248"/>
      <w:r>
        <w:rPr>
          <w:rFonts w:hint="eastAsia" w:ascii="宋体" w:hAnsi="宋体" w:eastAsia="宋体" w:cs="宋体"/>
          <w:b/>
          <w:bCs/>
          <w:color w:val="auto"/>
          <w:spacing w:val="0"/>
          <w:sz w:val="24"/>
          <w:szCs w:val="24"/>
          <w:highlight w:val="none"/>
        </w:rPr>
        <w:t>格式一</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封面</w:t>
      </w:r>
      <w:bookmarkEnd w:id="217"/>
    </w:p>
    <w:p w14:paraId="3D936F71">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68AB70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DE0F809">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ED9FBF6">
      <w:pPr>
        <w:keepNext w:val="0"/>
        <w:keepLines w:val="0"/>
        <w:pageBreakBefore w:val="0"/>
        <w:wordWrap w:val="0"/>
        <w:overflowPunct/>
        <w:topLinePunct w:val="0"/>
        <w:bidi w:val="0"/>
        <w:spacing w:before="153" w:line="360" w:lineRule="auto"/>
        <w:ind w:left="-1" w:leftChars="0" w:firstLine="0" w:firstLineChars="0"/>
        <w:jc w:val="center"/>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lang w:val="en-US" w:eastAsia="zh-CN"/>
        </w:rPr>
        <w:t xml:space="preserve">    </w:t>
      </w:r>
      <w:r>
        <w:rPr>
          <w:rFonts w:hint="eastAsia" w:ascii="宋体" w:hAnsi="宋体" w:eastAsia="宋体" w:cs="宋体"/>
          <w:b/>
          <w:bCs/>
          <w:color w:val="auto"/>
          <w:spacing w:val="0"/>
          <w:sz w:val="24"/>
          <w:szCs w:val="24"/>
          <w:highlight w:val="none"/>
          <w:u w:val="single"/>
        </w:rPr>
        <w:t>（项目名称）</w:t>
      </w:r>
      <w:r>
        <w:rPr>
          <w:rFonts w:hint="eastAsia" w:ascii="宋体" w:hAnsi="宋体" w:eastAsia="宋体" w:cs="宋体"/>
          <w:b/>
          <w:bCs/>
          <w:color w:val="auto"/>
          <w:spacing w:val="0"/>
          <w:sz w:val="24"/>
          <w:szCs w:val="24"/>
          <w:highlight w:val="none"/>
          <w:u w:val="none"/>
          <w:lang w:val="en-US" w:eastAsia="zh-CN"/>
        </w:rPr>
        <w:t>施工</w:t>
      </w:r>
      <w:r>
        <w:rPr>
          <w:rFonts w:hint="eastAsia" w:ascii="宋体" w:hAnsi="宋体" w:eastAsia="宋体" w:cs="宋体"/>
          <w:b/>
          <w:bCs/>
          <w:color w:val="auto"/>
          <w:spacing w:val="0"/>
          <w:sz w:val="24"/>
          <w:szCs w:val="24"/>
          <w:highlight w:val="none"/>
        </w:rPr>
        <w:t>招标</w:t>
      </w:r>
    </w:p>
    <w:p w14:paraId="6DEABEF4">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EF5EDE9">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098056B">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ECB4A2E">
      <w:pPr>
        <w:keepNext w:val="0"/>
        <w:keepLines w:val="0"/>
        <w:pageBreakBefore w:val="0"/>
        <w:wordWrap w:val="0"/>
        <w:overflowPunct/>
        <w:topLinePunct w:val="0"/>
        <w:bidi w:val="0"/>
        <w:spacing w:before="231"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件</w:t>
      </w:r>
    </w:p>
    <w:p w14:paraId="23F78714">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CD43441">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8210BB7">
      <w:pPr>
        <w:keepNext w:val="0"/>
        <w:keepLines w:val="0"/>
        <w:pageBreakBefore w:val="0"/>
        <w:wordWrap w:val="0"/>
        <w:overflowPunct/>
        <w:topLinePunct w:val="0"/>
        <w:bidi w:val="0"/>
        <w:spacing w:before="152" w:line="360" w:lineRule="auto"/>
        <w:jc w:val="center"/>
        <w:rPr>
          <w:rFonts w:hint="eastAsia" w:ascii="宋体" w:hAnsi="宋体" w:eastAsia="宋体" w:cs="宋体"/>
          <w:b/>
          <w:bCs/>
          <w:color w:val="auto"/>
          <w:spacing w:val="0"/>
          <w:sz w:val="24"/>
          <w:szCs w:val="24"/>
          <w:highlight w:val="none"/>
        </w:rPr>
      </w:pPr>
      <w:bookmarkStart w:id="218" w:name="bookmark105"/>
      <w:bookmarkEnd w:id="218"/>
      <w:r>
        <w:rPr>
          <w:rFonts w:hint="eastAsia" w:ascii="宋体" w:hAnsi="宋体" w:eastAsia="宋体" w:cs="宋体"/>
          <w:b/>
          <w:bCs/>
          <w:color w:val="auto"/>
          <w:spacing w:val="0"/>
          <w:sz w:val="24"/>
          <w:szCs w:val="24"/>
          <w:highlight w:val="none"/>
        </w:rPr>
        <w:t>（商务标书／经济标书／施工组织设计／</w:t>
      </w:r>
      <w:r>
        <w:rPr>
          <w:rFonts w:hint="eastAsia" w:ascii="宋体" w:hAnsi="宋体" w:eastAsia="宋体" w:cs="宋体"/>
          <w:b/>
          <w:bCs/>
          <w:color w:val="auto"/>
          <w:spacing w:val="0"/>
          <w:sz w:val="24"/>
          <w:szCs w:val="24"/>
          <w:highlight w:val="none"/>
          <w:lang w:val="en-US" w:eastAsia="zh-CN"/>
        </w:rPr>
        <w:t>定标文件</w:t>
      </w:r>
      <w:r>
        <w:rPr>
          <w:rFonts w:hint="eastAsia" w:ascii="宋体" w:hAnsi="宋体" w:eastAsia="宋体" w:cs="宋体"/>
          <w:b/>
          <w:bCs/>
          <w:color w:val="auto"/>
          <w:spacing w:val="0"/>
          <w:sz w:val="24"/>
          <w:szCs w:val="24"/>
          <w:highlight w:val="none"/>
        </w:rPr>
        <w:t>）</w:t>
      </w:r>
    </w:p>
    <w:p w14:paraId="33EFFA4B">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7C1C6BE">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13F4F70">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D1F340C">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4"/>
          <w:szCs w:val="24"/>
          <w:highlight w:val="none"/>
        </w:rPr>
      </w:pPr>
      <w:r>
        <w:rPr>
          <w:rFonts w:hint="eastAsia" w:ascii="宋体" w:hAnsi="宋体" w:eastAsia="宋体" w:cs="宋体"/>
          <w:bCs/>
          <w:snapToGrid w:val="0"/>
          <w:color w:val="auto"/>
          <w:spacing w:val="0"/>
          <w:sz w:val="24"/>
          <w:szCs w:val="24"/>
          <w:highlight w:val="none"/>
        </w:rPr>
        <w:t>投标人：</w:t>
      </w:r>
      <w:r>
        <w:rPr>
          <w:rFonts w:hint="eastAsia" w:ascii="宋体" w:hAnsi="宋体" w:eastAsia="宋体" w:cs="宋体"/>
          <w:bCs/>
          <w:snapToGrid w:val="0"/>
          <w:color w:val="auto"/>
          <w:spacing w:val="0"/>
          <w:sz w:val="24"/>
          <w:szCs w:val="24"/>
          <w:highlight w:val="none"/>
          <w:u w:val="single"/>
        </w:rPr>
        <w:t xml:space="preserve">                                    </w:t>
      </w:r>
      <w:r>
        <w:rPr>
          <w:rFonts w:hint="eastAsia" w:ascii="宋体" w:hAnsi="宋体" w:eastAsia="宋体" w:cs="宋体"/>
          <w:bCs/>
          <w:snapToGrid w:val="0"/>
          <w:color w:val="auto"/>
          <w:spacing w:val="0"/>
          <w:sz w:val="24"/>
          <w:szCs w:val="24"/>
          <w:highlight w:val="none"/>
        </w:rPr>
        <w:t>（盖单位章）</w:t>
      </w:r>
    </w:p>
    <w:p w14:paraId="711C8DA7">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4"/>
          <w:szCs w:val="24"/>
          <w:highlight w:val="none"/>
        </w:rPr>
      </w:pPr>
    </w:p>
    <w:p w14:paraId="3752A510">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4"/>
          <w:szCs w:val="24"/>
          <w:highlight w:val="none"/>
        </w:rPr>
      </w:pPr>
    </w:p>
    <w:p w14:paraId="7191B422">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4"/>
          <w:szCs w:val="24"/>
          <w:highlight w:val="none"/>
        </w:rPr>
      </w:pPr>
      <w:r>
        <w:rPr>
          <w:rFonts w:hint="eastAsia" w:ascii="宋体" w:hAnsi="宋体" w:eastAsia="宋体" w:cs="宋体"/>
          <w:bCs/>
          <w:snapToGrid w:val="0"/>
          <w:color w:val="auto"/>
          <w:spacing w:val="0"/>
          <w:sz w:val="24"/>
          <w:szCs w:val="24"/>
          <w:highlight w:val="none"/>
        </w:rPr>
        <w:t>法定代表人或其委托代理人：</w:t>
      </w:r>
      <w:r>
        <w:rPr>
          <w:rFonts w:hint="eastAsia" w:ascii="宋体" w:hAnsi="宋体" w:eastAsia="宋体" w:cs="宋体"/>
          <w:bCs/>
          <w:snapToGrid w:val="0"/>
          <w:color w:val="auto"/>
          <w:spacing w:val="0"/>
          <w:sz w:val="24"/>
          <w:szCs w:val="24"/>
          <w:highlight w:val="none"/>
          <w:u w:val="single"/>
        </w:rPr>
        <w:t xml:space="preserve">                 </w:t>
      </w:r>
      <w:r>
        <w:rPr>
          <w:rFonts w:hint="eastAsia" w:ascii="宋体" w:hAnsi="宋体" w:eastAsia="宋体" w:cs="宋体"/>
          <w:bCs/>
          <w:snapToGrid w:val="0"/>
          <w:color w:val="auto"/>
          <w:spacing w:val="0"/>
          <w:sz w:val="24"/>
          <w:szCs w:val="24"/>
          <w:highlight w:val="none"/>
        </w:rPr>
        <w:t>（签字或盖章）</w:t>
      </w:r>
    </w:p>
    <w:p w14:paraId="76469CE6">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4"/>
          <w:szCs w:val="24"/>
          <w:highlight w:val="none"/>
        </w:rPr>
      </w:pPr>
    </w:p>
    <w:p w14:paraId="06FBE36F">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Cs/>
          <w:snapToGrid w:val="0"/>
          <w:color w:val="auto"/>
          <w:spacing w:val="0"/>
          <w:sz w:val="24"/>
          <w:szCs w:val="24"/>
          <w:highlight w:val="none"/>
          <w:u w:val="single"/>
        </w:rPr>
      </w:pPr>
    </w:p>
    <w:p w14:paraId="6C1EC974">
      <w:pPr>
        <w:pStyle w:val="47"/>
        <w:keepNext w:val="0"/>
        <w:keepLines w:val="0"/>
        <w:pageBreakBefore w:val="0"/>
        <w:widowControl w:val="0"/>
        <w:wordWrap w:val="0"/>
        <w:overflowPunct/>
        <w:topLinePunct w:val="0"/>
        <w:bidi w:val="0"/>
        <w:adjustRightInd w:val="0"/>
        <w:snapToGrid w:val="0"/>
        <w:spacing w:line="360" w:lineRule="auto"/>
        <w:ind w:firstLine="0"/>
        <w:jc w:val="center"/>
        <w:rPr>
          <w:rFonts w:hint="eastAsia" w:ascii="宋体" w:hAnsi="宋体" w:eastAsia="宋体" w:cs="宋体"/>
          <w:b/>
          <w:snapToGrid w:val="0"/>
          <w:color w:val="auto"/>
          <w:spacing w:val="0"/>
          <w:sz w:val="24"/>
          <w:szCs w:val="24"/>
          <w:highlight w:val="none"/>
        </w:rPr>
      </w:pPr>
      <w:r>
        <w:rPr>
          <w:rFonts w:hint="eastAsia" w:ascii="宋体" w:hAnsi="宋体" w:eastAsia="宋体" w:cs="宋体"/>
          <w:bCs/>
          <w:snapToGrid w:val="0"/>
          <w:color w:val="auto"/>
          <w:spacing w:val="0"/>
          <w:sz w:val="24"/>
          <w:szCs w:val="24"/>
          <w:highlight w:val="none"/>
          <w:u w:val="single"/>
        </w:rPr>
        <w:t xml:space="preserve">         </w:t>
      </w:r>
      <w:r>
        <w:rPr>
          <w:rFonts w:hint="eastAsia" w:ascii="宋体" w:hAnsi="宋体" w:eastAsia="宋体" w:cs="宋体"/>
          <w:bCs/>
          <w:snapToGrid w:val="0"/>
          <w:color w:val="auto"/>
          <w:spacing w:val="0"/>
          <w:sz w:val="24"/>
          <w:szCs w:val="24"/>
          <w:highlight w:val="none"/>
        </w:rPr>
        <w:t>年</w:t>
      </w:r>
      <w:r>
        <w:rPr>
          <w:rFonts w:hint="eastAsia" w:ascii="宋体" w:hAnsi="宋体" w:eastAsia="宋体" w:cs="宋体"/>
          <w:bCs/>
          <w:snapToGrid w:val="0"/>
          <w:color w:val="auto"/>
          <w:spacing w:val="0"/>
          <w:sz w:val="24"/>
          <w:szCs w:val="24"/>
          <w:highlight w:val="none"/>
          <w:u w:val="single"/>
        </w:rPr>
        <w:t xml:space="preserve">      </w:t>
      </w:r>
      <w:r>
        <w:rPr>
          <w:rFonts w:hint="eastAsia" w:ascii="宋体" w:hAnsi="宋体" w:eastAsia="宋体" w:cs="宋体"/>
          <w:bCs/>
          <w:snapToGrid w:val="0"/>
          <w:color w:val="auto"/>
          <w:spacing w:val="0"/>
          <w:sz w:val="24"/>
          <w:szCs w:val="24"/>
          <w:highlight w:val="none"/>
        </w:rPr>
        <w:t>月</w:t>
      </w:r>
      <w:r>
        <w:rPr>
          <w:rFonts w:hint="eastAsia" w:ascii="宋体" w:hAnsi="宋体" w:eastAsia="宋体" w:cs="宋体"/>
          <w:bCs/>
          <w:snapToGrid w:val="0"/>
          <w:color w:val="auto"/>
          <w:spacing w:val="0"/>
          <w:sz w:val="24"/>
          <w:szCs w:val="24"/>
          <w:highlight w:val="none"/>
          <w:u w:val="single"/>
        </w:rPr>
        <w:t xml:space="preserve">      </w:t>
      </w:r>
      <w:r>
        <w:rPr>
          <w:rFonts w:hint="eastAsia" w:ascii="宋体" w:hAnsi="宋体" w:eastAsia="宋体" w:cs="宋体"/>
          <w:bCs/>
          <w:snapToGrid w:val="0"/>
          <w:color w:val="auto"/>
          <w:spacing w:val="0"/>
          <w:sz w:val="24"/>
          <w:szCs w:val="24"/>
          <w:highlight w:val="none"/>
        </w:rPr>
        <w:t>日</w:t>
      </w:r>
    </w:p>
    <w:p w14:paraId="75ADAE4C">
      <w:pPr>
        <w:keepNext w:val="0"/>
        <w:keepLines w:val="0"/>
        <w:pageBreakBefore w:val="0"/>
        <w:wordWrap w:val="0"/>
        <w:overflowPunct/>
        <w:topLinePunct w:val="0"/>
        <w:bidi w:val="0"/>
        <w:spacing w:line="360" w:lineRule="auto"/>
        <w:outlineLvl w:val="9"/>
        <w:rPr>
          <w:rFonts w:hint="eastAsia" w:ascii="宋体" w:hAnsi="宋体" w:eastAsia="宋体" w:cs="宋体"/>
          <w:color w:val="auto"/>
          <w:spacing w:val="0"/>
          <w:sz w:val="24"/>
          <w:szCs w:val="24"/>
          <w:highlight w:val="none"/>
        </w:rPr>
      </w:pPr>
    </w:p>
    <w:p w14:paraId="7A6DF66C">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39C38B38">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19" w:name="_Toc2562"/>
      <w:r>
        <w:rPr>
          <w:rFonts w:hint="eastAsia" w:ascii="宋体" w:hAnsi="宋体" w:eastAsia="宋体" w:cs="宋体"/>
          <w:b/>
          <w:bCs/>
          <w:color w:val="auto"/>
          <w:spacing w:val="0"/>
          <w:sz w:val="24"/>
          <w:szCs w:val="24"/>
          <w:highlight w:val="none"/>
        </w:rPr>
        <w:t>格式二 投标函</w:t>
      </w:r>
      <w:bookmarkEnd w:id="219"/>
    </w:p>
    <w:p w14:paraId="392E4C63">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E98BF1A">
      <w:pPr>
        <w:keepNext w:val="0"/>
        <w:keepLines w:val="0"/>
        <w:pageBreakBefore w:val="0"/>
        <w:wordWrap w:val="0"/>
        <w:overflowPunct/>
        <w:topLinePunct w:val="0"/>
        <w:bidi w:val="0"/>
        <w:spacing w:before="97" w:line="360" w:lineRule="auto"/>
        <w:ind w:left="3799"/>
        <w:outlineLvl w:val="9"/>
        <w:rPr>
          <w:rFonts w:hint="eastAsia" w:ascii="宋体" w:hAnsi="宋体" w:eastAsia="宋体" w:cs="宋体"/>
          <w:color w:val="auto"/>
          <w:spacing w:val="0"/>
          <w:sz w:val="24"/>
          <w:szCs w:val="24"/>
          <w:highlight w:val="none"/>
        </w:rPr>
      </w:pPr>
      <w:bookmarkStart w:id="220" w:name="bookmark148"/>
      <w:bookmarkEnd w:id="220"/>
      <w:bookmarkStart w:id="221" w:name="_Toc317"/>
      <w:bookmarkStart w:id="222" w:name="_Toc27397"/>
      <w:bookmarkStart w:id="223" w:name="_Toc297"/>
      <w:r>
        <w:rPr>
          <w:rFonts w:hint="eastAsia" w:ascii="宋体" w:hAnsi="宋体" w:eastAsia="宋体" w:cs="宋体"/>
          <w:b/>
          <w:bCs/>
          <w:color w:val="auto"/>
          <w:spacing w:val="0"/>
          <w:sz w:val="24"/>
          <w:szCs w:val="24"/>
          <w:highlight w:val="none"/>
        </w:rPr>
        <w:t>投</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标</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函</w:t>
      </w:r>
      <w:bookmarkEnd w:id="221"/>
      <w:bookmarkEnd w:id="222"/>
      <w:bookmarkEnd w:id="223"/>
    </w:p>
    <w:p w14:paraId="58F05F5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8B6DA1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E3DA538">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48E62A4">
      <w:pPr>
        <w:keepNext w:val="0"/>
        <w:keepLines w:val="0"/>
        <w:pageBreakBefore w:val="0"/>
        <w:wordWrap w:val="0"/>
        <w:overflowPunct/>
        <w:topLinePunct w:val="0"/>
        <w:bidi w:val="0"/>
        <w:spacing w:before="78" w:line="360" w:lineRule="auto"/>
        <w:ind w:left="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342E60C5">
      <w:pPr>
        <w:pStyle w:val="6"/>
        <w:keepNext w:val="0"/>
        <w:keepLines w:val="0"/>
        <w:pageBreakBefore w:val="0"/>
        <w:wordWrap w:val="0"/>
        <w:overflowPunct/>
        <w:topLinePunct w:val="0"/>
        <w:bidi w:val="0"/>
        <w:spacing w:before="156" w:line="360" w:lineRule="auto"/>
        <w:ind w:left="9" w:right="142" w:firstLine="589"/>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我方考察现场并充分研究</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”）施工招标文件所有内容后，结合自身资质、能力和特点，愿意接受招标文件的全部内容和条件，兹以人民币（大写）：</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 的投标总价竞投本项目施工。</w:t>
      </w:r>
    </w:p>
    <w:p w14:paraId="19F6B28C">
      <w:pPr>
        <w:keepNext w:val="0"/>
        <w:keepLines w:val="0"/>
        <w:pageBreakBefore w:val="0"/>
        <w:wordWrap w:val="0"/>
        <w:overflowPunct/>
        <w:topLinePunct w:val="0"/>
        <w:bidi w:val="0"/>
        <w:spacing w:before="39" w:line="360" w:lineRule="auto"/>
        <w:ind w:right="142" w:firstLine="57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在我方的上述投标总价中，包括：</w:t>
      </w:r>
      <w:r>
        <w:rPr>
          <w:rFonts w:hint="eastAsia" w:ascii="宋体" w:hAnsi="宋体" w:eastAsia="宋体" w:cs="宋体"/>
          <w:color w:val="auto"/>
          <w:spacing w:val="0"/>
          <w:sz w:val="24"/>
          <w:szCs w:val="24"/>
          <w:highlight w:val="none"/>
          <w:lang w:eastAsia="zh-CN"/>
        </w:rPr>
        <w:t>安全生产措施费</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；暂列金额</w:t>
      </w:r>
      <w:r>
        <w:rPr>
          <w:rFonts w:hint="eastAsia" w:ascii="宋体" w:hAnsi="宋体" w:eastAsia="宋体" w:cs="宋体"/>
          <w:color w:val="auto"/>
          <w:spacing w:val="0"/>
          <w:sz w:val="24"/>
          <w:szCs w:val="24"/>
          <w:highlight w:val="none"/>
          <w:u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none"/>
          <w:lang w:eastAsia="zh-CN"/>
        </w:rPr>
        <w:t>；</w:t>
      </w:r>
      <w:r>
        <w:rPr>
          <w:rFonts w:hint="eastAsia" w:ascii="宋体" w:hAnsi="宋体" w:eastAsia="宋体" w:cs="宋体"/>
          <w:color w:val="auto"/>
          <w:spacing w:val="0"/>
          <w:sz w:val="24"/>
          <w:szCs w:val="24"/>
          <w:highlight w:val="none"/>
          <w:u w:val="none"/>
          <w:lang w:val="en-US" w:eastAsia="zh-CN"/>
        </w:rPr>
        <w:t>专业工程</w:t>
      </w:r>
      <w:r>
        <w:rPr>
          <w:rFonts w:hint="eastAsia" w:ascii="宋体" w:hAnsi="宋体" w:eastAsia="宋体" w:cs="宋体"/>
          <w:color w:val="auto"/>
          <w:spacing w:val="0"/>
          <w:sz w:val="24"/>
          <w:szCs w:val="24"/>
          <w:highlight w:val="none"/>
          <w:u w:val="none"/>
          <w:lang w:eastAsia="zh-CN"/>
        </w:rPr>
        <w:t>暂估价</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w:t>
      </w:r>
    </w:p>
    <w:p w14:paraId="725455D2">
      <w:pPr>
        <w:keepNext w:val="0"/>
        <w:keepLines w:val="0"/>
        <w:pageBreakBefore w:val="0"/>
        <w:wordWrap w:val="0"/>
        <w:overflowPunct/>
        <w:topLinePunct w:val="0"/>
        <w:bidi w:val="0"/>
        <w:spacing w:before="38" w:line="360" w:lineRule="auto"/>
        <w:ind w:left="13" w:right="142" w:firstLine="56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如果我方中标，我方保证按照合同约定的开工日期开始本项目的施工，</w:t>
      </w:r>
      <w:bookmarkStart w:id="224" w:name="OLE_LINK34"/>
      <w:r>
        <w:rPr>
          <w:rFonts w:hint="eastAsia" w:ascii="宋体" w:hAnsi="宋体" w:eastAsia="宋体" w:cs="宋体"/>
          <w:color w:val="auto"/>
          <w:spacing w:val="0"/>
          <w:sz w:val="24"/>
          <w:szCs w:val="24"/>
          <w:highlight w:val="none"/>
          <w:u w:val="single"/>
          <w:lang w:val="en-US" w:eastAsia="zh-CN"/>
        </w:rPr>
        <w:t xml:space="preserve">     </w:t>
      </w:r>
      <w:bookmarkEnd w:id="224"/>
      <w:r>
        <w:rPr>
          <w:rFonts w:hint="eastAsia" w:ascii="宋体" w:hAnsi="宋体" w:eastAsia="宋体" w:cs="宋体"/>
          <w:color w:val="auto"/>
          <w:spacing w:val="0"/>
          <w:sz w:val="24"/>
          <w:szCs w:val="24"/>
          <w:highlight w:val="none"/>
        </w:rPr>
        <w:t>个日历天内竣工，并确保工程质量达到</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标准和维修其中的任何缺陷。</w:t>
      </w:r>
    </w:p>
    <w:p w14:paraId="10E8DA76">
      <w:pPr>
        <w:keepNext w:val="0"/>
        <w:keepLines w:val="0"/>
        <w:pageBreakBefore w:val="0"/>
        <w:wordWrap w:val="0"/>
        <w:overflowPunct/>
        <w:topLinePunct w:val="0"/>
        <w:bidi w:val="0"/>
        <w:spacing w:before="152" w:line="360" w:lineRule="auto"/>
        <w:ind w:left="11" w:right="142" w:firstLine="5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本投标函在你方接收我方递交的投标文件之日起、到招标文件规定的投标有效期期满前对我方具有约束力。我方随时准备接受你方发出的中标通知书。</w:t>
      </w:r>
    </w:p>
    <w:p w14:paraId="36F81C92">
      <w:pPr>
        <w:keepNext w:val="0"/>
        <w:keepLines w:val="0"/>
        <w:pageBreakBefore w:val="0"/>
        <w:wordWrap w:val="0"/>
        <w:overflowPunct/>
        <w:topLinePunct w:val="0"/>
        <w:bidi w:val="0"/>
        <w:spacing w:before="156" w:line="360" w:lineRule="auto"/>
        <w:ind w:left="11" w:right="61" w:firstLine="56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4 ．我方在此声明，我方不存在本项目招标文件第一章第三节第 </w:t>
      </w:r>
      <w:r>
        <w:rPr>
          <w:rFonts w:hint="eastAsia" w:ascii="宋体" w:hAnsi="宋体" w:eastAsia="宋体" w:cs="宋体"/>
          <w:b/>
          <w:bCs/>
          <w:color w:val="auto"/>
          <w:spacing w:val="0"/>
          <w:sz w:val="24"/>
          <w:szCs w:val="24"/>
          <w:highlight w:val="none"/>
        </w:rPr>
        <w:t>2.4</w:t>
      </w:r>
      <w:r>
        <w:rPr>
          <w:rFonts w:hint="eastAsia" w:ascii="宋体" w:hAnsi="宋体" w:eastAsia="宋体" w:cs="宋体"/>
          <w:b/>
          <w:bCs/>
          <w:color w:val="auto"/>
          <w:spacing w:val="0"/>
          <w:w w:val="101"/>
          <w:sz w:val="24"/>
          <w:szCs w:val="24"/>
          <w:highlight w:val="none"/>
        </w:rPr>
        <w:t xml:space="preserve"> </w:t>
      </w:r>
      <w:r>
        <w:rPr>
          <w:rFonts w:hint="eastAsia" w:ascii="宋体" w:hAnsi="宋体" w:eastAsia="宋体" w:cs="宋体"/>
          <w:color w:val="auto"/>
          <w:spacing w:val="0"/>
          <w:sz w:val="24"/>
          <w:szCs w:val="24"/>
          <w:highlight w:val="none"/>
        </w:rPr>
        <w:t>条“禁止投标条款 ”所列出的任何一种情形，并愿意承担因我方就此弄虚作假所引起的一切法律后果。</w:t>
      </w:r>
    </w:p>
    <w:p w14:paraId="0E71490A">
      <w:pPr>
        <w:keepNext w:val="0"/>
        <w:keepLines w:val="0"/>
        <w:pageBreakBefore w:val="0"/>
        <w:wordWrap w:val="0"/>
        <w:overflowPunct/>
        <w:topLinePunct w:val="0"/>
        <w:bidi w:val="0"/>
        <w:spacing w:before="153" w:line="360" w:lineRule="auto"/>
        <w:ind w:left="9" w:right="142" w:firstLine="573"/>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．我方在此承诺，所递交投标文件的全部内容均为真实、有效、准确的，并愿意承担因我方就此弄虚作假所引起的一切法律后果，同时理解和同意有可能被要求提供更多的资料。</w:t>
      </w:r>
    </w:p>
    <w:p w14:paraId="0954415E">
      <w:pPr>
        <w:keepNext w:val="0"/>
        <w:keepLines w:val="0"/>
        <w:pageBreakBefore w:val="0"/>
        <w:wordWrap w:val="0"/>
        <w:overflowPunct/>
        <w:topLinePunct w:val="0"/>
        <w:bidi w:val="0"/>
        <w:spacing w:before="153" w:line="360" w:lineRule="auto"/>
        <w:ind w:left="13" w:firstLine="5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我方理解你方不一定要接纳收到的最低投标总价或任何投标总价的投标人中标， 也不要求你方解释我方是否中标的原因。</w:t>
      </w:r>
    </w:p>
    <w:p w14:paraId="665C13C8">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A293A0C">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338C97A">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D644921">
      <w:pPr>
        <w:keepNext w:val="0"/>
        <w:keepLines w:val="0"/>
        <w:pageBreakBefore w:val="0"/>
        <w:wordWrap w:val="0"/>
        <w:overflowPunct/>
        <w:topLinePunct w:val="0"/>
        <w:bidi w:val="0"/>
        <w:spacing w:before="79" w:line="360" w:lineRule="auto"/>
        <w:ind w:firstLine="5760" w:firstLineChars="240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53B9F8FC">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1FE5B2A2">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70C6C00B">
      <w:pPr>
        <w:keepNext w:val="0"/>
        <w:keepLines w:val="0"/>
        <w:pageBreakBefore w:val="0"/>
        <w:wordWrap w:val="0"/>
        <w:overflowPunct/>
        <w:topLinePunct w:val="0"/>
        <w:bidi w:val="0"/>
        <w:spacing w:before="78" w:line="360" w:lineRule="auto"/>
        <w:ind w:left="3922"/>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37331156">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063FEB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7512AB8">
      <w:pPr>
        <w:keepNext w:val="0"/>
        <w:keepLines w:val="0"/>
        <w:pageBreakBefore w:val="0"/>
        <w:wordWrap w:val="0"/>
        <w:overflowPunct/>
        <w:topLinePunct w:val="0"/>
        <w:bidi w:val="0"/>
        <w:spacing w:before="79" w:line="360" w:lineRule="auto"/>
        <w:ind w:left="697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color w:val="auto"/>
          <w:spacing w:val="0"/>
          <w:sz w:val="24"/>
          <w:szCs w:val="24"/>
          <w:highlight w:val="none"/>
        </w:rPr>
        <w:t>年</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color w:val="auto"/>
          <w:spacing w:val="0"/>
          <w:sz w:val="24"/>
          <w:szCs w:val="24"/>
          <w:highlight w:val="none"/>
        </w:rPr>
        <w:t>月</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color w:val="auto"/>
          <w:spacing w:val="0"/>
          <w:sz w:val="24"/>
          <w:szCs w:val="24"/>
          <w:highlight w:val="none"/>
        </w:rPr>
        <w:t>日</w:t>
      </w:r>
    </w:p>
    <w:p w14:paraId="02A06E5B">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05EF889">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25" w:name="_Toc18431"/>
      <w:r>
        <w:rPr>
          <w:rFonts w:hint="eastAsia" w:ascii="宋体" w:hAnsi="宋体" w:eastAsia="宋体" w:cs="宋体"/>
          <w:b/>
          <w:bCs/>
          <w:color w:val="auto"/>
          <w:spacing w:val="0"/>
          <w:sz w:val="24"/>
          <w:szCs w:val="24"/>
          <w:highlight w:val="none"/>
        </w:rPr>
        <w:t>格式三 各项承诺一览表</w:t>
      </w:r>
      <w:bookmarkEnd w:id="225"/>
    </w:p>
    <w:p w14:paraId="51E0204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4B1A1A4">
      <w:pPr>
        <w:keepNext w:val="0"/>
        <w:keepLines w:val="0"/>
        <w:pageBreakBefore w:val="0"/>
        <w:wordWrap w:val="0"/>
        <w:overflowPunct/>
        <w:topLinePunct w:val="0"/>
        <w:bidi w:val="0"/>
        <w:spacing w:before="98" w:line="360" w:lineRule="auto"/>
        <w:ind w:left="3581"/>
        <w:outlineLvl w:val="9"/>
        <w:rPr>
          <w:rFonts w:hint="eastAsia" w:ascii="宋体" w:hAnsi="宋体" w:eastAsia="宋体" w:cs="宋体"/>
          <w:color w:val="auto"/>
          <w:spacing w:val="0"/>
          <w:sz w:val="24"/>
          <w:szCs w:val="24"/>
          <w:highlight w:val="none"/>
        </w:rPr>
      </w:pPr>
      <w:bookmarkStart w:id="226" w:name="bookmark149"/>
      <w:bookmarkEnd w:id="226"/>
      <w:bookmarkStart w:id="227" w:name="_Toc10326"/>
      <w:bookmarkStart w:id="228" w:name="_Toc4767"/>
      <w:bookmarkStart w:id="229" w:name="_Toc2936"/>
      <w:r>
        <w:rPr>
          <w:rFonts w:hint="eastAsia" w:ascii="宋体" w:hAnsi="宋体" w:eastAsia="宋体" w:cs="宋体"/>
          <w:b/>
          <w:bCs/>
          <w:color w:val="auto"/>
          <w:spacing w:val="0"/>
          <w:sz w:val="24"/>
          <w:szCs w:val="24"/>
          <w:highlight w:val="none"/>
        </w:rPr>
        <w:t>各项承诺一览表</w:t>
      </w:r>
      <w:bookmarkEnd w:id="227"/>
      <w:bookmarkEnd w:id="228"/>
      <w:bookmarkEnd w:id="229"/>
    </w:p>
    <w:p w14:paraId="5C63A27F">
      <w:pPr>
        <w:keepNext w:val="0"/>
        <w:keepLines w:val="0"/>
        <w:pageBreakBefore w:val="0"/>
        <w:wordWrap w:val="0"/>
        <w:overflowPunct/>
        <w:topLinePunct w:val="0"/>
        <w:bidi w:val="0"/>
        <w:spacing w:before="6" w:line="360" w:lineRule="auto"/>
        <w:rPr>
          <w:rFonts w:hint="eastAsia" w:ascii="宋体" w:hAnsi="宋体" w:eastAsia="宋体" w:cs="宋体"/>
          <w:color w:val="auto"/>
          <w:spacing w:val="0"/>
          <w:sz w:val="24"/>
          <w:szCs w:val="24"/>
          <w:highlight w:val="none"/>
        </w:rPr>
      </w:pPr>
    </w:p>
    <w:tbl>
      <w:tblPr>
        <w:tblStyle w:val="16"/>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5204A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54B582C">
            <w:pPr>
              <w:keepNext w:val="0"/>
              <w:keepLines w:val="0"/>
              <w:pageBreakBefore w:val="0"/>
              <w:widowControl/>
              <w:kinsoku w:val="0"/>
              <w:wordWrap w:val="0"/>
              <w:overflowPunct/>
              <w:topLinePunct w:val="0"/>
              <w:autoSpaceDE w:val="0"/>
              <w:autoSpaceDN w:val="0"/>
              <w:bidi w:val="0"/>
              <w:adjustRightInd w:val="0"/>
              <w:snapToGrid w:val="0"/>
              <w:spacing w:before="209" w:line="360" w:lineRule="auto"/>
              <w:ind w:left="12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75" w:type="dxa"/>
            <w:vAlign w:val="top"/>
          </w:tcPr>
          <w:p w14:paraId="1CCE799E">
            <w:pPr>
              <w:keepNext w:val="0"/>
              <w:keepLines w:val="0"/>
              <w:pageBreakBefore w:val="0"/>
              <w:widowControl/>
              <w:kinsoku w:val="0"/>
              <w:wordWrap w:val="0"/>
              <w:overflowPunct/>
              <w:topLinePunct w:val="0"/>
              <w:autoSpaceDE w:val="0"/>
              <w:autoSpaceDN w:val="0"/>
              <w:bidi w:val="0"/>
              <w:adjustRightInd w:val="0"/>
              <w:snapToGrid w:val="0"/>
              <w:spacing w:before="208" w:line="360" w:lineRule="auto"/>
              <w:ind w:left="31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承诺事项</w:t>
            </w:r>
          </w:p>
        </w:tc>
        <w:tc>
          <w:tcPr>
            <w:tcW w:w="3107" w:type="dxa"/>
            <w:vAlign w:val="top"/>
          </w:tcPr>
          <w:p w14:paraId="4EBB8A6D">
            <w:pPr>
              <w:keepNext w:val="0"/>
              <w:keepLines w:val="0"/>
              <w:pageBreakBefore w:val="0"/>
              <w:widowControl/>
              <w:kinsoku w:val="0"/>
              <w:wordWrap w:val="0"/>
              <w:overflowPunct/>
              <w:topLinePunct w:val="0"/>
              <w:autoSpaceDE w:val="0"/>
              <w:autoSpaceDN w:val="0"/>
              <w:bidi w:val="0"/>
              <w:adjustRightInd w:val="0"/>
              <w:snapToGrid w:val="0"/>
              <w:spacing w:before="209" w:line="360" w:lineRule="auto"/>
              <w:ind w:left="98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承诺内容</w:t>
            </w:r>
          </w:p>
        </w:tc>
        <w:tc>
          <w:tcPr>
            <w:tcW w:w="4272" w:type="dxa"/>
            <w:vAlign w:val="top"/>
          </w:tcPr>
          <w:p w14:paraId="31A27193">
            <w:pPr>
              <w:keepNext w:val="0"/>
              <w:keepLines w:val="0"/>
              <w:pageBreakBefore w:val="0"/>
              <w:widowControl/>
              <w:kinsoku w:val="0"/>
              <w:wordWrap w:val="0"/>
              <w:overflowPunct/>
              <w:topLinePunct w:val="0"/>
              <w:autoSpaceDE w:val="0"/>
              <w:autoSpaceDN w:val="0"/>
              <w:bidi w:val="0"/>
              <w:adjustRightInd w:val="0"/>
              <w:snapToGrid w:val="0"/>
              <w:spacing w:before="209" w:line="360" w:lineRule="auto"/>
              <w:ind w:left="153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违约承诺</w:t>
            </w:r>
          </w:p>
        </w:tc>
      </w:tr>
      <w:tr w14:paraId="2A006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48261D65">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75" w:type="dxa"/>
            <w:vAlign w:val="center"/>
          </w:tcPr>
          <w:p w14:paraId="01CAE980">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自愿接受招标文件条款的承诺</w:t>
            </w:r>
          </w:p>
        </w:tc>
        <w:tc>
          <w:tcPr>
            <w:tcW w:w="3107" w:type="dxa"/>
            <w:vAlign w:val="top"/>
          </w:tcPr>
          <w:p w14:paraId="2CDC7B5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41955F4E">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0" w:right="2" w:firstLine="42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我方自愿接受招标文件的所有条款，所递交的投标文件已经充分响应招标文件的实质性要求。</w:t>
            </w:r>
          </w:p>
        </w:tc>
        <w:tc>
          <w:tcPr>
            <w:tcW w:w="4272" w:type="dxa"/>
            <w:vAlign w:val="top"/>
          </w:tcPr>
          <w:p w14:paraId="31B3DB23">
            <w:pPr>
              <w:keepNext w:val="0"/>
              <w:keepLines w:val="0"/>
              <w:pageBreakBefore w:val="0"/>
              <w:widowControl/>
              <w:kinsoku w:val="0"/>
              <w:wordWrap w:val="0"/>
              <w:overflowPunct/>
              <w:topLinePunct w:val="0"/>
              <w:autoSpaceDE w:val="0"/>
              <w:autoSpaceDN w:val="0"/>
              <w:bidi w:val="0"/>
              <w:adjustRightInd w:val="0"/>
              <w:snapToGrid w:val="0"/>
              <w:spacing w:before="122" w:line="360" w:lineRule="auto"/>
              <w:ind w:left="14" w:right="4" w:firstLine="42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如果我方的投标文件未响应、违反、偏 离招标文件的实质性要求，我方接受招标人或其授权的招标代理机构或其组建的评标委员会依据招标文件作出的相应处理，包括否决投标。</w:t>
            </w:r>
          </w:p>
        </w:tc>
      </w:tr>
      <w:tr w14:paraId="10B0D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F577063">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75" w:type="dxa"/>
            <w:vAlign w:val="center"/>
          </w:tcPr>
          <w:p w14:paraId="796EA612">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无禁止投标情形的承诺</w:t>
            </w:r>
          </w:p>
        </w:tc>
        <w:tc>
          <w:tcPr>
            <w:tcW w:w="3107" w:type="dxa"/>
            <w:vAlign w:val="top"/>
          </w:tcPr>
          <w:p w14:paraId="6DBD4A3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168E3A7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37C38C6C">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0" w:right="2" w:firstLine="42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我方不存在招标文件第一 章第三节第 </w:t>
            </w:r>
            <w:r>
              <w:rPr>
                <w:rFonts w:hint="eastAsia" w:ascii="宋体" w:hAnsi="宋体" w:eastAsia="宋体" w:cs="宋体"/>
                <w:b/>
                <w:bCs/>
                <w:color w:val="auto"/>
                <w:spacing w:val="0"/>
                <w:sz w:val="24"/>
                <w:szCs w:val="24"/>
                <w:highlight w:val="none"/>
              </w:rPr>
              <w:t xml:space="preserve">2.4 </w:t>
            </w:r>
            <w:r>
              <w:rPr>
                <w:rFonts w:hint="eastAsia" w:ascii="宋体" w:hAnsi="宋体" w:eastAsia="宋体" w:cs="宋体"/>
                <w:color w:val="auto"/>
                <w:spacing w:val="0"/>
                <w:sz w:val="24"/>
                <w:szCs w:val="24"/>
                <w:highlight w:val="none"/>
              </w:rPr>
              <w:t>条“禁止投标条 款 ”规定的任何一种情形。</w:t>
            </w:r>
          </w:p>
        </w:tc>
        <w:tc>
          <w:tcPr>
            <w:tcW w:w="4272" w:type="dxa"/>
            <w:vAlign w:val="top"/>
          </w:tcPr>
          <w:p w14:paraId="5C557624">
            <w:pPr>
              <w:keepNext w:val="0"/>
              <w:keepLines w:val="0"/>
              <w:pageBreakBefore w:val="0"/>
              <w:widowControl/>
              <w:kinsoku w:val="0"/>
              <w:wordWrap w:val="0"/>
              <w:overflowPunct/>
              <w:topLinePunct w:val="0"/>
              <w:autoSpaceDE w:val="0"/>
              <w:autoSpaceDN w:val="0"/>
              <w:bidi w:val="0"/>
              <w:adjustRightInd w:val="0"/>
              <w:snapToGrid w:val="0"/>
              <w:spacing w:before="122" w:line="360" w:lineRule="auto"/>
              <w:ind w:left="9" w:firstLine="421"/>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如果我方有招标文件第一章第三节第 </w:t>
            </w:r>
            <w:r>
              <w:rPr>
                <w:rFonts w:hint="eastAsia" w:ascii="宋体" w:hAnsi="宋体" w:eastAsia="宋体" w:cs="宋体"/>
                <w:b/>
                <w:bCs/>
                <w:color w:val="auto"/>
                <w:spacing w:val="0"/>
                <w:sz w:val="24"/>
                <w:szCs w:val="24"/>
                <w:highlight w:val="none"/>
              </w:rPr>
              <w:t xml:space="preserve">2.  4 </w:t>
            </w:r>
            <w:r>
              <w:rPr>
                <w:rFonts w:hint="eastAsia" w:ascii="宋体" w:hAnsi="宋体" w:eastAsia="宋体" w:cs="宋体"/>
                <w:color w:val="auto"/>
                <w:spacing w:val="0"/>
                <w:sz w:val="24"/>
                <w:szCs w:val="24"/>
                <w:highlight w:val="none"/>
              </w:rPr>
              <w:t>条“禁止投标条款 ”规定的任何一种情形，我方接受招标人或其授权的招标代理机构或 其组建的评标委员会依据招标文件作出的相应处理以及有关监督部门作出的行政处罚，并承担由此引起的一切法律后果。</w:t>
            </w:r>
          </w:p>
        </w:tc>
      </w:tr>
      <w:tr w14:paraId="6BAE3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6D41129A">
            <w:pPr>
              <w:keepNext w:val="0"/>
              <w:keepLines w:val="0"/>
              <w:pageBreakBefore w:val="0"/>
              <w:widowControl/>
              <w:kinsoku w:val="0"/>
              <w:wordWrap w:val="0"/>
              <w:overflowPunct/>
              <w:topLinePunct w:val="0"/>
              <w:autoSpaceDE w:val="0"/>
              <w:autoSpaceDN w:val="0"/>
              <w:bidi w:val="0"/>
              <w:adjustRightInd w:val="0"/>
              <w:snapToGrid w:val="0"/>
              <w:spacing w:before="57"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75" w:type="dxa"/>
            <w:vAlign w:val="center"/>
          </w:tcPr>
          <w:p w14:paraId="7EDF57FD">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自觉抵制围标</w:t>
            </w:r>
          </w:p>
          <w:p w14:paraId="7350A53C">
            <w:pPr>
              <w:keepNext w:val="0"/>
              <w:keepLines w:val="0"/>
              <w:pageBreakBefore w:val="0"/>
              <w:widowControl/>
              <w:kinsoku w:val="0"/>
              <w:wordWrap w:val="0"/>
              <w:overflowPunct/>
              <w:topLinePunct w:val="0"/>
              <w:autoSpaceDE w:val="0"/>
              <w:autoSpaceDN w:val="0"/>
              <w:bidi w:val="0"/>
              <w:adjustRightInd w:val="0"/>
              <w:snapToGrid w:val="0"/>
              <w:spacing w:before="131"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串标和弄虚</w:t>
            </w:r>
          </w:p>
          <w:p w14:paraId="18E84040">
            <w:pPr>
              <w:keepNext w:val="0"/>
              <w:keepLines w:val="0"/>
              <w:pageBreakBefore w:val="0"/>
              <w:widowControl/>
              <w:kinsoku w:val="0"/>
              <w:wordWrap w:val="0"/>
              <w:overflowPunct/>
              <w:topLinePunct w:val="0"/>
              <w:autoSpaceDE w:val="0"/>
              <w:autoSpaceDN w:val="0"/>
              <w:bidi w:val="0"/>
              <w:adjustRightInd w:val="0"/>
              <w:snapToGrid w:val="0"/>
              <w:spacing w:before="133"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作假行为的承诺</w:t>
            </w:r>
          </w:p>
        </w:tc>
        <w:tc>
          <w:tcPr>
            <w:tcW w:w="3107" w:type="dxa"/>
            <w:vAlign w:val="top"/>
          </w:tcPr>
          <w:p w14:paraId="62CF036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3960F528">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1" w:right="2" w:firstLine="42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我方合法正当、诚实守信地参与投标，不组织、不参加围标串标违法行为，不通过弄虚作假行为骗取中标。</w:t>
            </w:r>
          </w:p>
        </w:tc>
        <w:tc>
          <w:tcPr>
            <w:tcW w:w="4272" w:type="dxa"/>
            <w:vAlign w:val="top"/>
          </w:tcPr>
          <w:p w14:paraId="0A090EF8">
            <w:pPr>
              <w:keepNext w:val="0"/>
              <w:keepLines w:val="0"/>
              <w:pageBreakBefore w:val="0"/>
              <w:widowControl/>
              <w:kinsoku w:val="0"/>
              <w:wordWrap w:val="0"/>
              <w:overflowPunct/>
              <w:topLinePunct w:val="0"/>
              <w:autoSpaceDE w:val="0"/>
              <w:autoSpaceDN w:val="0"/>
              <w:bidi w:val="0"/>
              <w:adjustRightInd w:val="0"/>
              <w:snapToGrid w:val="0"/>
              <w:spacing w:before="129" w:line="360" w:lineRule="auto"/>
              <w:ind w:left="13" w:right="4"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CBF9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39F3D356">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675" w:type="dxa"/>
            <w:vAlign w:val="center"/>
          </w:tcPr>
          <w:p w14:paraId="5F8AABEC">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项目经理任职承诺</w:t>
            </w:r>
          </w:p>
        </w:tc>
        <w:tc>
          <w:tcPr>
            <w:tcW w:w="3107" w:type="dxa"/>
            <w:vAlign w:val="top"/>
          </w:tcPr>
          <w:p w14:paraId="3D58664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25D7FCE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1EFE29D7">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9" w:right="2"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我方拟派项目经理现阶段没有担任任何在施（包括已中标未开工、已开工未竣工）建设工程项目的项目经理。</w:t>
            </w:r>
          </w:p>
        </w:tc>
        <w:tc>
          <w:tcPr>
            <w:tcW w:w="4272" w:type="dxa"/>
            <w:vAlign w:val="top"/>
          </w:tcPr>
          <w:p w14:paraId="4A8515D9">
            <w:pPr>
              <w:keepNext w:val="0"/>
              <w:keepLines w:val="0"/>
              <w:pageBreakBefore w:val="0"/>
              <w:widowControl/>
              <w:kinsoku w:val="0"/>
              <w:wordWrap w:val="0"/>
              <w:overflowPunct/>
              <w:topLinePunct w:val="0"/>
              <w:autoSpaceDE w:val="0"/>
              <w:autoSpaceDN w:val="0"/>
              <w:bidi w:val="0"/>
              <w:adjustRightInd w:val="0"/>
              <w:snapToGrid w:val="0"/>
              <w:spacing w:before="128" w:line="360" w:lineRule="auto"/>
              <w:ind w:left="11" w:firstLine="417"/>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5F5F5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1B9DDA4A">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675" w:type="dxa"/>
            <w:vAlign w:val="center"/>
          </w:tcPr>
          <w:p w14:paraId="7009D3C6">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w:t>
            </w:r>
          </w:p>
          <w:p w14:paraId="7FA4425B">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真实性承诺</w:t>
            </w:r>
          </w:p>
        </w:tc>
        <w:tc>
          <w:tcPr>
            <w:tcW w:w="3107" w:type="dxa"/>
            <w:vAlign w:val="top"/>
          </w:tcPr>
          <w:p w14:paraId="24313CA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080F2869">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2" w:firstLine="40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我方所递交投标文件的全部内容均为真实、有效、准确的。</w:t>
            </w:r>
          </w:p>
        </w:tc>
        <w:tc>
          <w:tcPr>
            <w:tcW w:w="4272" w:type="dxa"/>
            <w:vAlign w:val="top"/>
          </w:tcPr>
          <w:p w14:paraId="117F7D2E">
            <w:pPr>
              <w:keepNext w:val="0"/>
              <w:keepLines w:val="0"/>
              <w:pageBreakBefore w:val="0"/>
              <w:widowControl/>
              <w:kinsoku w:val="0"/>
              <w:wordWrap w:val="0"/>
              <w:overflowPunct/>
              <w:topLinePunct w:val="0"/>
              <w:autoSpaceDE w:val="0"/>
              <w:autoSpaceDN w:val="0"/>
              <w:bidi w:val="0"/>
              <w:adjustRightInd w:val="0"/>
              <w:snapToGrid w:val="0"/>
              <w:spacing w:before="127" w:line="360" w:lineRule="auto"/>
              <w:ind w:left="11" w:firstLine="417"/>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如果我方递交的投标文件任何内容不真实或无效或不准确，我方接受招标人或其授权的招标代理机构或其组建的评标委员会依据招标文件作出的相应处理，包括否决投标。</w:t>
            </w:r>
          </w:p>
        </w:tc>
      </w:tr>
      <w:tr w14:paraId="02577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center"/>
          </w:tcPr>
          <w:p w14:paraId="6B3A9885">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r>
              <w:rPr>
                <w:rFonts w:hint="eastAsia" w:ascii="宋体" w:hAnsi="宋体" w:eastAsia="宋体" w:cs="宋体"/>
                <w:color w:val="auto"/>
                <w:spacing w:val="0"/>
                <w:sz w:val="24"/>
                <w:szCs w:val="24"/>
                <w:highlight w:val="none"/>
              </w:rPr>
              <w:drawing>
                <wp:anchor distT="0" distB="0" distL="114300" distR="114300" simplePos="0" relativeHeight="251664384"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6"/>
                          <a:stretch>
                            <a:fillRect/>
                          </a:stretch>
                        </pic:blipFill>
                        <pic:spPr>
                          <a:xfrm>
                            <a:off x="0" y="0"/>
                            <a:ext cx="6350" cy="241300"/>
                          </a:xfrm>
                          <a:prstGeom prst="rect">
                            <a:avLst/>
                          </a:prstGeom>
                          <a:noFill/>
                          <a:ln>
                            <a:noFill/>
                          </a:ln>
                        </pic:spPr>
                      </pic:pic>
                    </a:graphicData>
                  </a:graphic>
                </wp:anchor>
              </w:drawing>
            </w:r>
          </w:p>
        </w:tc>
        <w:tc>
          <w:tcPr>
            <w:tcW w:w="1675" w:type="dxa"/>
            <w:vAlign w:val="center"/>
          </w:tcPr>
          <w:p w14:paraId="4D2FADD0">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投标文件</w:t>
            </w:r>
          </w:p>
          <w:p w14:paraId="0E95F9BE">
            <w:pPr>
              <w:keepNext w:val="0"/>
              <w:keepLines w:val="0"/>
              <w:pageBreakBefore w:val="0"/>
              <w:widowControl/>
              <w:kinsoku w:val="0"/>
              <w:wordWrap w:val="0"/>
              <w:overflowPunct/>
              <w:topLinePunct w:val="0"/>
              <w:autoSpaceDE w:val="0"/>
              <w:autoSpaceDN w:val="0"/>
              <w:bidi w:val="0"/>
              <w:adjustRightInd w:val="0"/>
              <w:snapToGrid w:val="0"/>
              <w:spacing w:before="132"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信息公开承诺</w:t>
            </w:r>
          </w:p>
        </w:tc>
        <w:tc>
          <w:tcPr>
            <w:tcW w:w="3107" w:type="dxa"/>
            <w:vAlign w:val="center"/>
          </w:tcPr>
          <w:p w14:paraId="0DF7EDDD">
            <w:pPr>
              <w:keepNext w:val="0"/>
              <w:keepLines w:val="0"/>
              <w:pageBreakBefore w:val="0"/>
              <w:widowControl/>
              <w:kinsoku w:val="0"/>
              <w:wordWrap w:val="0"/>
              <w:overflowPunct/>
              <w:topLinePunct w:val="0"/>
              <w:autoSpaceDE w:val="0"/>
              <w:autoSpaceDN w:val="0"/>
              <w:bidi w:val="0"/>
              <w:adjustRightInd w:val="0"/>
              <w:snapToGrid w:val="0"/>
              <w:spacing w:before="130" w:line="360" w:lineRule="auto"/>
              <w:ind w:left="10" w:right="2" w:firstLine="42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我方提供完整的文件。如果我方成为本项目</w:t>
            </w:r>
            <w:r>
              <w:rPr>
                <w:rFonts w:hint="eastAsia" w:ascii="宋体" w:hAnsi="宋体" w:eastAsia="宋体" w:cs="宋体"/>
                <w:color w:val="auto"/>
                <w:spacing w:val="0"/>
                <w:sz w:val="24"/>
                <w:szCs w:val="24"/>
                <w:highlight w:val="none"/>
                <w:lang w:val="en-US" w:eastAsia="zh-CN"/>
              </w:rPr>
              <w:t>定</w:t>
            </w:r>
            <w:r>
              <w:rPr>
                <w:rFonts w:hint="eastAsia" w:ascii="宋体" w:hAnsi="宋体" w:eastAsia="宋体" w:cs="宋体"/>
                <w:color w:val="auto"/>
                <w:spacing w:val="0"/>
                <w:sz w:val="24"/>
                <w:szCs w:val="24"/>
                <w:highlight w:val="none"/>
              </w:rPr>
              <w:t>标候选人，我方同意并授权招标人在评标结果公示期内公开我方商务标书的全部内容。</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1164999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6D48F5C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695D5933">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4"/>
                <w:szCs w:val="24"/>
                <w:highlight w:val="none"/>
              </w:rPr>
            </w:pPr>
          </w:p>
          <w:p w14:paraId="52A22145">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1979"/>
              <w:textAlignment w:val="baseline"/>
              <w:rPr>
                <w:rFonts w:hint="eastAsia" w:ascii="宋体" w:hAnsi="宋体" w:eastAsia="宋体" w:cs="宋体"/>
                <w:color w:val="auto"/>
                <w:spacing w:val="0"/>
                <w:sz w:val="24"/>
                <w:szCs w:val="24"/>
                <w:highlight w:val="none"/>
              </w:rPr>
            </w:pPr>
          </w:p>
        </w:tc>
      </w:tr>
      <w:tr w14:paraId="31DB0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center"/>
          </w:tcPr>
          <w:p w14:paraId="320F0521">
            <w:pPr>
              <w:keepNext w:val="0"/>
              <w:keepLines w:val="0"/>
              <w:pageBreakBefore w:val="0"/>
              <w:widowControl/>
              <w:kinsoku w:val="0"/>
              <w:wordWrap w:val="0"/>
              <w:overflowPunct/>
              <w:topLinePunct w:val="0"/>
              <w:autoSpaceDE w:val="0"/>
              <w:autoSpaceDN w:val="0"/>
              <w:bidi w:val="0"/>
              <w:adjustRightInd w:val="0"/>
              <w:snapToGrid w:val="0"/>
              <w:spacing w:before="57"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675" w:type="dxa"/>
            <w:vAlign w:val="center"/>
          </w:tcPr>
          <w:p w14:paraId="5782E3F0">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对不正常报价的确认承诺</w:t>
            </w:r>
          </w:p>
        </w:tc>
        <w:tc>
          <w:tcPr>
            <w:tcW w:w="3107" w:type="dxa"/>
            <w:vAlign w:val="top"/>
          </w:tcPr>
          <w:p w14:paraId="6D8BDFB8">
            <w:pPr>
              <w:keepNext w:val="0"/>
              <w:keepLines w:val="0"/>
              <w:pageBreakBefore w:val="0"/>
              <w:widowControl/>
              <w:kinsoku w:val="0"/>
              <w:wordWrap w:val="0"/>
              <w:overflowPunct/>
              <w:topLinePunct w:val="0"/>
              <w:autoSpaceDE w:val="0"/>
              <w:autoSpaceDN w:val="0"/>
              <w:bidi w:val="0"/>
              <w:adjustRightInd w:val="0"/>
              <w:snapToGrid w:val="0"/>
              <w:spacing w:before="121" w:line="360" w:lineRule="auto"/>
              <w:ind w:left="10" w:right="2" w:firstLine="42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如果我方中标，我方接受招标人在合同订立期间依据招标文件有关条款约定对我方已标价工程量清单中不正常报价的修正或认定，并按要求签署《不正常报价清单》加以确认。</w:t>
            </w:r>
          </w:p>
        </w:tc>
        <w:tc>
          <w:tcPr>
            <w:tcW w:w="4272" w:type="dxa"/>
            <w:vAlign w:val="top"/>
            <mc:AlternateContent>
              <mc:Choice Requires="wpsCustomData">
                <wpsCustomData:diagonals>
                  <wpsCustomData:diagonal from="20000" to="0">
                    <wpsCustomData:border w:val="single" w:color="000000" w:sz="2" w:space="0"/>
                  </wpsCustomData:diagonal>
                </wpsCustomData:diagonals>
              </mc:Choice>
            </mc:AlternateContent>
          </w:tcPr>
          <w:p w14:paraId="55874C8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7ACFEB2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69C2BA4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1303911B">
            <w:pPr>
              <w:keepNext w:val="0"/>
              <w:keepLines w:val="0"/>
              <w:pageBreakBefore w:val="0"/>
              <w:widowControl/>
              <w:kinsoku w:val="0"/>
              <w:wordWrap w:val="0"/>
              <w:overflowPunct/>
              <w:topLinePunct w:val="0"/>
              <w:autoSpaceDE w:val="0"/>
              <w:autoSpaceDN w:val="0"/>
              <w:bidi w:val="0"/>
              <w:adjustRightInd w:val="0"/>
              <w:snapToGrid w:val="0"/>
              <w:spacing w:before="57" w:line="360" w:lineRule="auto"/>
              <w:ind w:left="1979"/>
              <w:textAlignment w:val="baseline"/>
              <mc:AlternateContent>
                <mc:Choice Requires="wpsCustomData">
                  <wpsCustomData:diagonalParaType/>
                </mc:Choice>
              </mc:AlternateContent>
              <w:rPr>
                <w:rFonts w:hint="eastAsia" w:ascii="宋体" w:hAnsi="宋体" w:eastAsia="宋体" w:cs="宋体"/>
                <w:color w:val="auto"/>
                <w:spacing w:val="0"/>
                <w:sz w:val="24"/>
                <w:szCs w:val="24"/>
                <w:highlight w:val="none"/>
              </w:rPr>
            </w:pPr>
          </w:p>
          <w:p w14:paraId="1AB87749">
            <w:pPr>
              <w:keepNext w:val="0"/>
              <w:keepLines w:val="0"/>
              <w:pageBreakBefore w:val="0"/>
              <w:widowControl/>
              <w:kinsoku w:val="0"/>
              <w:wordWrap w:val="0"/>
              <w:overflowPunct/>
              <w:topLinePunct w:val="0"/>
              <w:autoSpaceDE w:val="0"/>
              <w:autoSpaceDN w:val="0"/>
              <w:bidi w:val="0"/>
              <w:adjustRightInd w:val="0"/>
              <w:snapToGrid w:val="0"/>
              <w:spacing w:before="57" w:line="360" w:lineRule="auto"/>
              <w:ind w:left="1979"/>
              <w:textAlignment w:val="baseline"/>
              <w:rPr>
                <w:rFonts w:hint="eastAsia" w:ascii="宋体" w:hAnsi="宋体" w:eastAsia="宋体" w:cs="宋体"/>
                <w:color w:val="auto"/>
                <w:spacing w:val="0"/>
                <w:sz w:val="24"/>
                <w:szCs w:val="24"/>
                <w:highlight w:val="none"/>
              </w:rPr>
            </w:pPr>
          </w:p>
        </w:tc>
      </w:tr>
      <w:tr w14:paraId="2D63E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7C876BD4">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8</w:t>
            </w:r>
          </w:p>
        </w:tc>
        <w:tc>
          <w:tcPr>
            <w:tcW w:w="1675" w:type="dxa"/>
            <w:vAlign w:val="center"/>
          </w:tcPr>
          <w:p w14:paraId="01E67844">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按时提交履约保证的承诺</w:t>
            </w:r>
          </w:p>
        </w:tc>
        <w:tc>
          <w:tcPr>
            <w:tcW w:w="3107" w:type="dxa"/>
            <w:vAlign w:val="top"/>
          </w:tcPr>
          <w:p w14:paraId="29A0D19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00CA932B">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0" w:right="2"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如果我方中标，我方保证在招标文件规定的时限内全额提交履约保证。</w:t>
            </w:r>
          </w:p>
        </w:tc>
        <w:tc>
          <w:tcPr>
            <w:tcW w:w="4272" w:type="dxa"/>
            <w:vAlign w:val="top"/>
          </w:tcPr>
          <w:p w14:paraId="157135E5">
            <w:pPr>
              <w:keepNext w:val="0"/>
              <w:keepLines w:val="0"/>
              <w:pageBreakBefore w:val="0"/>
              <w:widowControl/>
              <w:kinsoku w:val="0"/>
              <w:wordWrap w:val="0"/>
              <w:overflowPunct/>
              <w:topLinePunct w:val="0"/>
              <w:autoSpaceDE w:val="0"/>
              <w:autoSpaceDN w:val="0"/>
              <w:bidi w:val="0"/>
              <w:adjustRightInd w:val="0"/>
              <w:snapToGrid w:val="0"/>
              <w:spacing w:before="128" w:line="360" w:lineRule="auto"/>
              <w:ind w:left="12" w:right="23" w:firstLine="42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如果我方未在招标文件规定的时限内全额提交履约保证，我方接受招标人依据招标文件作出的相应处理以及有关监督部门作出的行政处罚，并承担由此引起的一切法律后果。</w:t>
            </w:r>
          </w:p>
        </w:tc>
      </w:tr>
      <w:tr w14:paraId="12204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center"/>
          </w:tcPr>
          <w:p w14:paraId="2C8442E1">
            <w:pPr>
              <w:keepNext w:val="0"/>
              <w:keepLines w:val="0"/>
              <w:pageBreakBefore w:val="0"/>
              <w:widowControl/>
              <w:kinsoku w:val="0"/>
              <w:wordWrap w:val="0"/>
              <w:overflowPunct/>
              <w:topLinePunct w:val="0"/>
              <w:autoSpaceDE w:val="0"/>
              <w:autoSpaceDN w:val="0"/>
              <w:bidi w:val="0"/>
              <w:adjustRightInd w:val="0"/>
              <w:snapToGrid w:val="0"/>
              <w:spacing w:before="58"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9</w:t>
            </w:r>
          </w:p>
        </w:tc>
        <w:tc>
          <w:tcPr>
            <w:tcW w:w="1675" w:type="dxa"/>
            <w:vAlign w:val="center"/>
          </w:tcPr>
          <w:p w14:paraId="7AF6CE02">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firstLine="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按时签订合同的承诺</w:t>
            </w:r>
          </w:p>
        </w:tc>
        <w:tc>
          <w:tcPr>
            <w:tcW w:w="3107" w:type="dxa"/>
            <w:vAlign w:val="top"/>
          </w:tcPr>
          <w:p w14:paraId="59576A3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25FCE2AC">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10" w:right="2"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如果我方中标，我方保证在招标文件规定的时限内与招标人签订合同，不提出违背或超出招标文件、中标文件的要求。</w:t>
            </w:r>
          </w:p>
        </w:tc>
        <w:tc>
          <w:tcPr>
            <w:tcW w:w="4272" w:type="dxa"/>
            <w:vAlign w:val="top"/>
          </w:tcPr>
          <w:p w14:paraId="3246D3A0">
            <w:pPr>
              <w:keepNext w:val="0"/>
              <w:keepLines w:val="0"/>
              <w:pageBreakBefore w:val="0"/>
              <w:widowControl/>
              <w:kinsoku w:val="0"/>
              <w:wordWrap w:val="0"/>
              <w:overflowPunct/>
              <w:topLinePunct w:val="0"/>
              <w:autoSpaceDE w:val="0"/>
              <w:autoSpaceDN w:val="0"/>
              <w:bidi w:val="0"/>
              <w:adjustRightInd w:val="0"/>
              <w:snapToGrid w:val="0"/>
              <w:spacing w:before="126" w:line="360" w:lineRule="auto"/>
              <w:ind w:left="13" w:firstLine="415"/>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5841BEAA">
      <w:pPr>
        <w:keepNext w:val="0"/>
        <w:keepLines w:val="0"/>
        <w:pageBreakBefore w:val="0"/>
        <w:wordWrap w:val="0"/>
        <w:overflowPunct/>
        <w:topLinePunct w:val="0"/>
        <w:bidi w:val="0"/>
        <w:spacing w:before="78" w:line="360" w:lineRule="auto"/>
        <w:ind w:firstLine="6720" w:firstLineChars="2800"/>
        <w:jc w:val="both"/>
        <w:rPr>
          <w:rFonts w:hint="eastAsia" w:ascii="宋体" w:hAnsi="宋体" w:eastAsia="宋体" w:cs="宋体"/>
          <w:color w:val="auto"/>
          <w:spacing w:val="0"/>
          <w:sz w:val="24"/>
          <w:szCs w:val="24"/>
          <w:highlight w:val="none"/>
        </w:rPr>
      </w:pPr>
    </w:p>
    <w:p w14:paraId="5A5A4090">
      <w:pPr>
        <w:keepNext w:val="0"/>
        <w:keepLines w:val="0"/>
        <w:pageBreakBefore w:val="0"/>
        <w:wordWrap w:val="0"/>
        <w:overflowPunct/>
        <w:topLinePunct w:val="0"/>
        <w:bidi w:val="0"/>
        <w:spacing w:before="78" w:line="360" w:lineRule="auto"/>
        <w:ind w:firstLine="6720" w:firstLineChars="280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1F3159F">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09C1B693">
      <w:pPr>
        <w:keepNext w:val="0"/>
        <w:keepLines w:val="0"/>
        <w:pageBreakBefore w:val="0"/>
        <w:wordWrap w:val="0"/>
        <w:overflowPunct/>
        <w:topLinePunct w:val="0"/>
        <w:bidi w:val="0"/>
        <w:spacing w:before="78"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5307D740">
      <w:pPr>
        <w:keepNext w:val="0"/>
        <w:keepLines w:val="0"/>
        <w:pageBreakBefore w:val="0"/>
        <w:wordWrap w:val="0"/>
        <w:overflowPunct/>
        <w:topLinePunct w:val="0"/>
        <w:bidi w:val="0"/>
        <w:spacing w:line="360" w:lineRule="auto"/>
        <w:outlineLvl w:val="9"/>
        <w:rPr>
          <w:rFonts w:hint="eastAsia" w:ascii="宋体" w:hAnsi="宋体" w:eastAsia="宋体" w:cs="宋体"/>
          <w:color w:val="auto"/>
          <w:spacing w:val="0"/>
          <w:sz w:val="24"/>
          <w:szCs w:val="24"/>
          <w:highlight w:val="none"/>
        </w:rPr>
      </w:pPr>
    </w:p>
    <w:p w14:paraId="76133165">
      <w:pPr>
        <w:keepNext w:val="0"/>
        <w:keepLines w:val="0"/>
        <w:pageBreakBefore w:val="0"/>
        <w:wordWrap w:val="0"/>
        <w:overflowPunct/>
        <w:topLinePunct w:val="0"/>
        <w:bidi w:val="0"/>
        <w:spacing w:before="78"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月</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日</w:t>
      </w:r>
    </w:p>
    <w:p w14:paraId="2420BB4E">
      <w:pPr>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0B193340">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30" w:name="_Toc22105"/>
      <w:r>
        <w:rPr>
          <w:rFonts w:hint="eastAsia" w:ascii="宋体" w:hAnsi="宋体" w:eastAsia="宋体" w:cs="宋体"/>
          <w:b/>
          <w:bCs/>
          <w:color w:val="auto"/>
          <w:spacing w:val="0"/>
          <w:sz w:val="24"/>
          <w:szCs w:val="24"/>
          <w:highlight w:val="none"/>
        </w:rPr>
        <w:t>格式四 授权委托书</w:t>
      </w:r>
      <w:bookmarkEnd w:id="230"/>
    </w:p>
    <w:p w14:paraId="03776E3A">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7681910">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710AE74">
      <w:pPr>
        <w:keepNext w:val="0"/>
        <w:keepLines w:val="0"/>
        <w:pageBreakBefore w:val="0"/>
        <w:wordWrap w:val="0"/>
        <w:overflowPunct/>
        <w:topLinePunct w:val="0"/>
        <w:bidi w:val="0"/>
        <w:spacing w:before="97" w:line="360" w:lineRule="auto"/>
        <w:ind w:left="3786"/>
        <w:rPr>
          <w:rFonts w:hint="eastAsia" w:ascii="宋体" w:hAnsi="宋体" w:eastAsia="宋体" w:cs="宋体"/>
          <w:color w:val="auto"/>
          <w:spacing w:val="0"/>
          <w:sz w:val="24"/>
          <w:szCs w:val="24"/>
          <w:highlight w:val="none"/>
        </w:rPr>
      </w:pPr>
      <w:bookmarkStart w:id="231" w:name="bookmark151"/>
      <w:bookmarkEnd w:id="231"/>
      <w:r>
        <w:rPr>
          <w:rFonts w:hint="eastAsia" w:ascii="宋体" w:hAnsi="宋体" w:eastAsia="宋体" w:cs="宋体"/>
          <w:b/>
          <w:bCs/>
          <w:color w:val="auto"/>
          <w:spacing w:val="0"/>
          <w:sz w:val="24"/>
          <w:szCs w:val="24"/>
          <w:highlight w:val="none"/>
        </w:rPr>
        <w:t>授权委托书</w:t>
      </w:r>
    </w:p>
    <w:p w14:paraId="6B19C13D">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61B3015">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86EF8E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9794F47">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firstLine="481"/>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lang w:eastAsia="zh-CN"/>
        </w:rPr>
        <w:t>本人</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lang w:eastAsia="zh-CN"/>
        </w:rPr>
        <w:t>（姓名）系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lang w:eastAsia="zh-CN"/>
        </w:rPr>
        <w:t>（投标人名称）的法定代表人，现委托</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lang w:eastAsia="zh-CN"/>
        </w:rPr>
        <w:t>（姓名）为我方代理人。代理人根据授权，以我方名义签署、澄清、说明、补正、递交、撤回、修改</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snapToGrid w:val="0"/>
          <w:color w:val="auto"/>
          <w:spacing w:val="0"/>
          <w:kern w:val="0"/>
          <w:sz w:val="24"/>
          <w:szCs w:val="24"/>
          <w:highlight w:val="none"/>
          <w:u w:val="single"/>
          <w:lang w:eastAsia="zh-CN"/>
        </w:rPr>
        <w:t>（项目名称）</w:t>
      </w:r>
      <w:r>
        <w:rPr>
          <w:rFonts w:hint="eastAsia" w:ascii="宋体" w:hAnsi="宋体" w:eastAsia="宋体" w:cs="宋体"/>
          <w:snapToGrid w:val="0"/>
          <w:color w:val="auto"/>
          <w:spacing w:val="0"/>
          <w:kern w:val="0"/>
          <w:sz w:val="24"/>
          <w:szCs w:val="24"/>
          <w:highlight w:val="none"/>
          <w:lang w:eastAsia="zh-CN"/>
        </w:rPr>
        <w:t>施工投标文件、签订合同和处理有关事宜，其法律后果由我方承担。</w:t>
      </w:r>
    </w:p>
    <w:p w14:paraId="61311643">
      <w:pPr>
        <w:keepNext w:val="0"/>
        <w:keepLines w:val="0"/>
        <w:pageBreakBefore w:val="0"/>
        <w:widowControl/>
        <w:kinsoku w:val="0"/>
        <w:wordWrap w:val="0"/>
        <w:overflowPunct/>
        <w:topLinePunct w:val="0"/>
        <w:autoSpaceDE w:val="0"/>
        <w:autoSpaceDN w:val="0"/>
        <w:bidi w:val="0"/>
        <w:adjustRightInd w:val="0"/>
        <w:snapToGrid w:val="0"/>
        <w:spacing w:before="32" w:line="36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委托期限：至</w:t>
      </w:r>
      <w:r>
        <w:rPr>
          <w:rFonts w:hint="eastAsia" w:ascii="宋体" w:hAnsi="宋体" w:eastAsia="宋体" w:cs="宋体"/>
          <w:color w:val="auto"/>
          <w:spacing w:val="0"/>
          <w:sz w:val="24"/>
          <w:szCs w:val="24"/>
          <w:highlight w:val="none"/>
          <w:u w:val="single"/>
        </w:rPr>
        <w:t xml:space="preserve">     年   月    日</w:t>
      </w:r>
      <w:r>
        <w:rPr>
          <w:rFonts w:hint="eastAsia" w:ascii="宋体" w:hAnsi="宋体" w:eastAsia="宋体" w:cs="宋体"/>
          <w:i/>
          <w:iCs/>
          <w:color w:val="auto"/>
          <w:spacing w:val="0"/>
          <w:sz w:val="24"/>
          <w:szCs w:val="24"/>
          <w:highlight w:val="none"/>
          <w:u w:val="single"/>
        </w:rPr>
        <w:t>（不得短于招标文件规定的投标有效期）</w:t>
      </w:r>
      <w:r>
        <w:rPr>
          <w:rFonts w:hint="eastAsia" w:ascii="宋体" w:hAnsi="宋体" w:eastAsia="宋体" w:cs="宋体"/>
          <w:color w:val="auto"/>
          <w:spacing w:val="0"/>
          <w:sz w:val="24"/>
          <w:szCs w:val="24"/>
          <w:highlight w:val="none"/>
        </w:rPr>
        <w:t xml:space="preserve"> 。 </w:t>
      </w:r>
    </w:p>
    <w:p w14:paraId="065F5DA6">
      <w:pPr>
        <w:keepNext w:val="0"/>
        <w:keepLines w:val="0"/>
        <w:pageBreakBefore w:val="0"/>
        <w:widowControl/>
        <w:kinsoku w:val="0"/>
        <w:wordWrap w:val="0"/>
        <w:overflowPunct/>
        <w:topLinePunct w:val="0"/>
        <w:autoSpaceDE w:val="0"/>
        <w:autoSpaceDN w:val="0"/>
        <w:bidi w:val="0"/>
        <w:adjustRightInd w:val="0"/>
        <w:snapToGrid w:val="0"/>
        <w:spacing w:before="32" w:line="360" w:lineRule="auto"/>
        <w:ind w:left="480" w:right="49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代理人无转委托权。</w:t>
      </w:r>
    </w:p>
    <w:p w14:paraId="03D08A7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3532AC3">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B7914FB">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7C771EC">
      <w:pPr>
        <w:keepNext w:val="0"/>
        <w:keepLines w:val="0"/>
        <w:pageBreakBefore w:val="0"/>
        <w:wordWrap w:val="0"/>
        <w:overflowPunct/>
        <w:topLinePunct w:val="0"/>
        <w:bidi w:val="0"/>
        <w:spacing w:before="78" w:line="360" w:lineRule="auto"/>
        <w:ind w:left="3123"/>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  标  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67E86849">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4D39F848">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067D7E79">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67B8E691">
      <w:pPr>
        <w:keepNext w:val="0"/>
        <w:keepLines w:val="0"/>
        <w:pageBreakBefore w:val="0"/>
        <w:wordWrap w:val="0"/>
        <w:overflowPunct/>
        <w:topLinePunct w:val="0"/>
        <w:bidi w:val="0"/>
        <w:spacing w:before="79" w:line="360" w:lineRule="auto"/>
        <w:ind w:left="3121"/>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058F6FE5">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084C2FB0">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357963A6">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732A1D8F">
      <w:pPr>
        <w:keepNext w:val="0"/>
        <w:keepLines w:val="0"/>
        <w:pageBreakBefore w:val="0"/>
        <w:wordWrap w:val="0"/>
        <w:overflowPunct/>
        <w:topLinePunct w:val="0"/>
        <w:bidi w:val="0"/>
        <w:spacing w:before="78" w:line="360" w:lineRule="auto"/>
        <w:ind w:left="2880"/>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B567FA1">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3C2BC505">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32DFD235">
      <w:pPr>
        <w:keepNext w:val="0"/>
        <w:keepLines w:val="0"/>
        <w:pageBreakBefore w:val="0"/>
        <w:wordWrap w:val="0"/>
        <w:overflowPunct/>
        <w:topLinePunct w:val="0"/>
        <w:bidi w:val="0"/>
        <w:spacing w:before="78" w:line="36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月</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日</w:t>
      </w:r>
    </w:p>
    <w:p w14:paraId="09CD99D4">
      <w:pPr>
        <w:keepNext w:val="0"/>
        <w:keepLines w:val="0"/>
        <w:pageBreakBefore w:val="0"/>
        <w:wordWrap w:val="0"/>
        <w:overflowPunct/>
        <w:topLinePunct w:val="0"/>
        <w:bidi w:val="0"/>
        <w:spacing w:before="78" w:line="360" w:lineRule="auto"/>
        <w:ind w:left="4201"/>
        <w:jc w:val="right"/>
        <w:rPr>
          <w:rFonts w:hint="eastAsia" w:ascii="宋体" w:hAnsi="宋体" w:eastAsia="宋体" w:cs="宋体"/>
          <w:color w:val="auto"/>
          <w:spacing w:val="0"/>
          <w:sz w:val="24"/>
          <w:szCs w:val="24"/>
          <w:highlight w:val="none"/>
        </w:rPr>
      </w:pPr>
    </w:p>
    <w:p w14:paraId="723A21F5">
      <w:pPr>
        <w:keepNext w:val="0"/>
        <w:keepLines w:val="0"/>
        <w:pageBreakBefore w:val="0"/>
        <w:wordWrap w:val="0"/>
        <w:overflowPunct/>
        <w:topLinePunct w:val="0"/>
        <w:bidi w:val="0"/>
        <w:spacing w:before="69" w:line="360" w:lineRule="auto"/>
        <w:rPr>
          <w:rFonts w:hint="eastAsia" w:ascii="宋体" w:hAnsi="宋体" w:eastAsia="宋体" w:cs="宋体"/>
          <w:color w:val="auto"/>
          <w:spacing w:val="0"/>
          <w:sz w:val="24"/>
          <w:szCs w:val="24"/>
          <w:highlight w:val="none"/>
        </w:rPr>
      </w:pPr>
    </w:p>
    <w:p w14:paraId="1E0667E6">
      <w:pPr>
        <w:keepNext w:val="0"/>
        <w:keepLines w:val="0"/>
        <w:pageBreakBefore w:val="0"/>
        <w:wordWrap w:val="0"/>
        <w:overflowPunct/>
        <w:topLinePunct w:val="0"/>
        <w:bidi w:val="0"/>
        <w:spacing w:before="69" w:line="360" w:lineRule="auto"/>
        <w:rPr>
          <w:rFonts w:hint="eastAsia" w:ascii="宋体" w:hAnsi="宋体" w:eastAsia="宋体" w:cs="宋体"/>
          <w:color w:val="auto"/>
          <w:spacing w:val="0"/>
          <w:sz w:val="24"/>
          <w:szCs w:val="24"/>
          <w:highlight w:val="none"/>
        </w:rPr>
      </w:pPr>
    </w:p>
    <w:tbl>
      <w:tblPr>
        <w:tblStyle w:val="16"/>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2127AB6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06290FA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3D5EEA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189E6F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1D9240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0F2804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76A489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A6EA38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6299238">
            <w:pPr>
              <w:keepNext w:val="0"/>
              <w:keepLines w:val="0"/>
              <w:pageBreakBefore w:val="0"/>
              <w:wordWrap w:val="0"/>
              <w:overflowPunct/>
              <w:topLinePunct w:val="0"/>
              <w:bidi w:val="0"/>
              <w:spacing w:before="78" w:line="360" w:lineRule="auto"/>
              <w:ind w:left="7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委托代理人身份证</w:t>
            </w:r>
            <w:r>
              <w:rPr>
                <w:rFonts w:hint="eastAsia" w:ascii="宋体" w:hAnsi="宋体" w:eastAsia="宋体" w:cs="宋体"/>
                <w:color w:val="auto"/>
                <w:spacing w:val="0"/>
                <w:sz w:val="24"/>
                <w:szCs w:val="24"/>
                <w:highlight w:val="none"/>
                <w:lang w:val="en-US" w:eastAsia="zh-CN"/>
              </w:rPr>
              <w:t>彩色扫描件</w:t>
            </w:r>
            <w:r>
              <w:rPr>
                <w:rFonts w:hint="eastAsia" w:ascii="宋体" w:hAnsi="宋体" w:eastAsia="宋体" w:cs="宋体"/>
                <w:color w:val="auto"/>
                <w:spacing w:val="0"/>
                <w:sz w:val="24"/>
                <w:szCs w:val="24"/>
                <w:highlight w:val="none"/>
              </w:rPr>
              <w:t>正、反面</w:t>
            </w:r>
          </w:p>
        </w:tc>
      </w:tr>
    </w:tbl>
    <w:p w14:paraId="1CD2E23D">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14108A7">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3DBB8BC">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32" w:name="_Toc14087"/>
      <w:r>
        <w:rPr>
          <w:rFonts w:hint="eastAsia" w:ascii="宋体" w:hAnsi="宋体" w:eastAsia="宋体" w:cs="宋体"/>
          <w:b/>
          <w:bCs/>
          <w:color w:val="auto"/>
          <w:spacing w:val="0"/>
          <w:sz w:val="24"/>
          <w:szCs w:val="24"/>
          <w:highlight w:val="none"/>
        </w:rPr>
        <w:t>格式五 法定代表人身份证明</w:t>
      </w:r>
      <w:bookmarkEnd w:id="232"/>
    </w:p>
    <w:p w14:paraId="64F0910B">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888A3E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0601B29">
      <w:pPr>
        <w:keepNext w:val="0"/>
        <w:keepLines w:val="0"/>
        <w:pageBreakBefore w:val="0"/>
        <w:wordWrap w:val="0"/>
        <w:overflowPunct/>
        <w:topLinePunct w:val="0"/>
        <w:bidi w:val="0"/>
        <w:spacing w:before="98" w:line="360" w:lineRule="auto"/>
        <w:ind w:left="3183"/>
        <w:rPr>
          <w:rFonts w:hint="eastAsia" w:ascii="宋体" w:hAnsi="宋体" w:eastAsia="宋体" w:cs="宋体"/>
          <w:color w:val="auto"/>
          <w:spacing w:val="0"/>
          <w:sz w:val="24"/>
          <w:szCs w:val="24"/>
          <w:highlight w:val="none"/>
        </w:rPr>
      </w:pPr>
      <w:bookmarkStart w:id="233" w:name="bookmark152"/>
      <w:bookmarkEnd w:id="233"/>
      <w:r>
        <w:rPr>
          <w:rFonts w:hint="eastAsia" w:ascii="宋体" w:hAnsi="宋体" w:eastAsia="宋体" w:cs="宋体"/>
          <w:b/>
          <w:bCs/>
          <w:color w:val="auto"/>
          <w:spacing w:val="0"/>
          <w:sz w:val="24"/>
          <w:szCs w:val="24"/>
          <w:highlight w:val="none"/>
        </w:rPr>
        <w:t>法定代表人身份证明</w:t>
      </w:r>
    </w:p>
    <w:p w14:paraId="176A168B">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B8D004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7A552CC">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441890C">
      <w:pPr>
        <w:keepNext w:val="0"/>
        <w:keepLines w:val="0"/>
        <w:pageBreakBefore w:val="0"/>
        <w:wordWrap w:val="0"/>
        <w:overflowPunct/>
        <w:topLinePunct w:val="0"/>
        <w:bidi w:val="0"/>
        <w:adjustRightInd w:val="0"/>
        <w:snapToGrid w:val="0"/>
        <w:spacing w:line="360" w:lineRule="auto"/>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投标人名称：</w:t>
      </w:r>
      <w:r>
        <w:rPr>
          <w:rFonts w:hint="eastAsia" w:ascii="宋体" w:hAnsi="宋体" w:eastAsia="宋体" w:cs="宋体"/>
          <w:snapToGrid w:val="0"/>
          <w:color w:val="auto"/>
          <w:spacing w:val="0"/>
          <w:kern w:val="0"/>
          <w:sz w:val="24"/>
          <w:szCs w:val="24"/>
          <w:highlight w:val="none"/>
          <w:u w:val="single"/>
        </w:rPr>
        <w:t xml:space="preserve">                  </w:t>
      </w:r>
    </w:p>
    <w:p w14:paraId="78081EA7">
      <w:pPr>
        <w:keepNext w:val="0"/>
        <w:keepLines w:val="0"/>
        <w:pageBreakBefore w:val="0"/>
        <w:wordWrap w:val="0"/>
        <w:overflowPunct/>
        <w:topLinePunct w:val="0"/>
        <w:bidi w:val="0"/>
        <w:adjustRightInd w:val="0"/>
        <w:snapToGrid w:val="0"/>
        <w:spacing w:line="360" w:lineRule="auto"/>
        <w:rPr>
          <w:rFonts w:hint="eastAsia" w:ascii="宋体" w:hAnsi="宋体" w:eastAsia="宋体" w:cs="宋体"/>
          <w:snapToGrid w:val="0"/>
          <w:color w:val="auto"/>
          <w:spacing w:val="0"/>
          <w:kern w:val="0"/>
          <w:sz w:val="24"/>
          <w:szCs w:val="24"/>
          <w:highlight w:val="none"/>
          <w:u w:val="single"/>
        </w:rPr>
      </w:pPr>
      <w:r>
        <w:rPr>
          <w:rFonts w:hint="eastAsia" w:ascii="宋体" w:hAnsi="宋体" w:eastAsia="宋体" w:cs="宋体"/>
          <w:snapToGrid w:val="0"/>
          <w:color w:val="auto"/>
          <w:spacing w:val="0"/>
          <w:kern w:val="0"/>
          <w:sz w:val="24"/>
          <w:szCs w:val="24"/>
          <w:highlight w:val="none"/>
        </w:rPr>
        <w:t>姓名：</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性别：</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年龄：</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职务：</w:t>
      </w:r>
      <w:r>
        <w:rPr>
          <w:rFonts w:hint="eastAsia" w:ascii="宋体" w:hAnsi="宋体" w:eastAsia="宋体" w:cs="宋体"/>
          <w:snapToGrid w:val="0"/>
          <w:color w:val="auto"/>
          <w:spacing w:val="0"/>
          <w:kern w:val="0"/>
          <w:sz w:val="24"/>
          <w:szCs w:val="24"/>
          <w:highlight w:val="none"/>
          <w:u w:val="single"/>
        </w:rPr>
        <w:t xml:space="preserve">           </w:t>
      </w:r>
    </w:p>
    <w:p w14:paraId="572BE33E">
      <w:pPr>
        <w:keepNext w:val="0"/>
        <w:keepLines w:val="0"/>
        <w:pageBreakBefore w:val="0"/>
        <w:wordWrap w:val="0"/>
        <w:overflowPunct/>
        <w:topLinePunct w:val="0"/>
        <w:bidi w:val="0"/>
        <w:adjustRightInd w:val="0"/>
        <w:snapToGrid w:val="0"/>
        <w:spacing w:line="360" w:lineRule="auto"/>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系</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（投标人名称）的法定代表人。</w:t>
      </w:r>
    </w:p>
    <w:p w14:paraId="7898B9FA">
      <w:pPr>
        <w:keepNext w:val="0"/>
        <w:keepLines w:val="0"/>
        <w:pageBreakBefore w:val="0"/>
        <w:wordWrap w:val="0"/>
        <w:overflowPunct/>
        <w:topLinePunct w:val="0"/>
        <w:bidi w:val="0"/>
        <w:adjustRightInd w:val="0"/>
        <w:snapToGrid w:val="0"/>
        <w:spacing w:line="360" w:lineRule="auto"/>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 xml:space="preserve">    特此证明。</w:t>
      </w:r>
    </w:p>
    <w:p w14:paraId="1DA8C0E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6E051E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1074CD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DE923C3">
      <w:pPr>
        <w:keepNext w:val="0"/>
        <w:keepLines w:val="0"/>
        <w:pageBreakBefore w:val="0"/>
        <w:wordWrap w:val="0"/>
        <w:overflowPunct/>
        <w:topLinePunct w:val="0"/>
        <w:bidi w:val="0"/>
        <w:spacing w:before="78"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5195DD81">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355329DE">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6910EDC1">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14A7032E">
      <w:pPr>
        <w:keepNext w:val="0"/>
        <w:keepLines w:val="0"/>
        <w:pageBreakBefore w:val="0"/>
        <w:wordWrap w:val="0"/>
        <w:overflowPunct/>
        <w:topLinePunct w:val="0"/>
        <w:bidi w:val="0"/>
        <w:spacing w:before="79"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109F911F">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24B1B1E8">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033908D8">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月</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日</w:t>
      </w:r>
    </w:p>
    <w:p w14:paraId="4CB3CC8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A118B4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9B7FFB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FB212A0">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61DD784">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F8DA62D">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7391F7A">
      <w:pPr>
        <w:pStyle w:val="6"/>
        <w:keepNext w:val="0"/>
        <w:keepLines w:val="0"/>
        <w:pageBreakBefore w:val="0"/>
        <w:wordWrap w:val="0"/>
        <w:overflowPunct/>
        <w:topLinePunct w:val="0"/>
        <w:bidi w:val="0"/>
        <w:spacing w:before="1" w:line="360" w:lineRule="auto"/>
        <w:ind w:firstLine="253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50"/>
          <w:sz w:val="24"/>
          <w:szCs w:val="24"/>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7"/>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30B2BA37">
                              <w:pPr>
                                <w:spacing w:line="249" w:lineRule="auto"/>
                                <w:rPr>
                                  <w:highlight w:val="none"/>
                                </w:rPr>
                              </w:pPr>
                            </w:p>
                            <w:p w14:paraId="0A32F196">
                              <w:pPr>
                                <w:spacing w:line="249" w:lineRule="auto"/>
                                <w:rPr>
                                  <w:highlight w:val="none"/>
                                </w:rPr>
                              </w:pPr>
                            </w:p>
                            <w:p w14:paraId="6C01FF1E">
                              <w:pPr>
                                <w:spacing w:line="249" w:lineRule="auto"/>
                                <w:rPr>
                                  <w:highlight w:val="none"/>
                                </w:rPr>
                              </w:pPr>
                            </w:p>
                            <w:p w14:paraId="5F468A72">
                              <w:pPr>
                                <w:spacing w:line="249" w:lineRule="auto"/>
                                <w:rPr>
                                  <w:highlight w:val="none"/>
                                </w:rPr>
                              </w:pPr>
                            </w:p>
                            <w:p w14:paraId="3437CED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7"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0B2BA37">
                        <w:pPr>
                          <w:spacing w:line="249" w:lineRule="auto"/>
                          <w:rPr>
                            <w:highlight w:val="none"/>
                          </w:rPr>
                        </w:pPr>
                      </w:p>
                      <w:p w14:paraId="0A32F196">
                        <w:pPr>
                          <w:spacing w:line="249" w:lineRule="auto"/>
                          <w:rPr>
                            <w:highlight w:val="none"/>
                          </w:rPr>
                        </w:pPr>
                      </w:p>
                      <w:p w14:paraId="6C01FF1E">
                        <w:pPr>
                          <w:spacing w:line="249" w:lineRule="auto"/>
                          <w:rPr>
                            <w:highlight w:val="none"/>
                          </w:rPr>
                        </w:pPr>
                      </w:p>
                      <w:p w14:paraId="5F468A72">
                        <w:pPr>
                          <w:spacing w:line="249" w:lineRule="auto"/>
                          <w:rPr>
                            <w:highlight w:val="none"/>
                          </w:rPr>
                        </w:pPr>
                      </w:p>
                      <w:p w14:paraId="3437CEDB">
                        <w:pPr>
                          <w:spacing w:before="78" w:line="220" w:lineRule="auto"/>
                          <w:jc w:val="center"/>
                          <w:rPr>
                            <w:rFonts w:ascii="宋体" w:hAnsi="宋体" w:eastAsia="宋体" w:cs="宋体"/>
                            <w:sz w:val="24"/>
                            <w:szCs w:val="24"/>
                            <w:highlight w:val="none"/>
                          </w:rPr>
                        </w:pPr>
                        <w:r>
                          <w:rPr>
                            <w:rFonts w:ascii="宋体" w:hAnsi="宋体" w:eastAsia="宋体" w:cs="宋体"/>
                            <w:spacing w:val="-1"/>
                            <w:sz w:val="24"/>
                            <w:szCs w:val="24"/>
                            <w:highlight w:val="none"/>
                          </w:rPr>
                          <w:t>法定代表人身份证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正、反面</w:t>
                        </w:r>
                      </w:p>
                    </w:txbxContent>
                  </v:textbox>
                </v:shape>
                <w10:wrap type="none"/>
                <w10:anchorlock/>
              </v:group>
            </w:pict>
          </mc:Fallback>
        </mc:AlternateContent>
      </w:r>
    </w:p>
    <w:p w14:paraId="2BB2EBC8">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2DAF3FC7">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34" w:name="_Toc23452"/>
      <w:r>
        <w:rPr>
          <w:rFonts w:hint="eastAsia" w:ascii="宋体" w:hAnsi="宋体" w:eastAsia="宋体" w:cs="宋体"/>
          <w:b/>
          <w:bCs/>
          <w:color w:val="auto"/>
          <w:spacing w:val="0"/>
          <w:sz w:val="24"/>
          <w:szCs w:val="24"/>
          <w:highlight w:val="none"/>
        </w:rPr>
        <w:t>格式六 联合体协议书</w:t>
      </w:r>
      <w:bookmarkEnd w:id="234"/>
    </w:p>
    <w:p w14:paraId="7EE6374E">
      <w:pPr>
        <w:keepNext w:val="0"/>
        <w:keepLines w:val="0"/>
        <w:pageBreakBefore w:val="0"/>
        <w:wordWrap w:val="0"/>
        <w:overflowPunct/>
        <w:topLinePunct w:val="0"/>
        <w:bidi w:val="0"/>
        <w:spacing w:before="98" w:line="360" w:lineRule="auto"/>
        <w:ind w:left="3638"/>
        <w:rPr>
          <w:rFonts w:hint="eastAsia" w:ascii="宋体" w:hAnsi="宋体" w:eastAsia="宋体" w:cs="宋体"/>
          <w:color w:val="auto"/>
          <w:spacing w:val="0"/>
          <w:sz w:val="24"/>
          <w:szCs w:val="24"/>
          <w:highlight w:val="none"/>
        </w:rPr>
      </w:pPr>
      <w:bookmarkStart w:id="235" w:name="bookmark153"/>
      <w:bookmarkEnd w:id="235"/>
      <w:r>
        <w:rPr>
          <w:rFonts w:hint="eastAsia" w:ascii="宋体" w:hAnsi="宋体" w:eastAsia="宋体" w:cs="宋体"/>
          <w:b/>
          <w:bCs/>
          <w:color w:val="auto"/>
          <w:spacing w:val="0"/>
          <w:sz w:val="24"/>
          <w:szCs w:val="24"/>
          <w:highlight w:val="none"/>
        </w:rPr>
        <w:t>联合体协议书</w:t>
      </w:r>
    </w:p>
    <w:p w14:paraId="66B66C30">
      <w:pPr>
        <w:pStyle w:val="6"/>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2B0D39DC">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牵头人名称： </w:t>
      </w:r>
    </w:p>
    <w:p w14:paraId="0F9C623A">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61337983">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hanging="3"/>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0B7EEC45">
      <w:pPr>
        <w:keepNext w:val="0"/>
        <w:keepLines w:val="0"/>
        <w:pageBreakBefore w:val="0"/>
        <w:wordWrap w:val="0"/>
        <w:overflowPunct/>
        <w:topLinePunct w:val="0"/>
        <w:bidi w:val="0"/>
        <w:spacing w:line="360" w:lineRule="auto"/>
        <w:outlineLvl w:val="9"/>
        <w:rPr>
          <w:rFonts w:hint="eastAsia" w:ascii="宋体" w:hAnsi="宋体" w:eastAsia="宋体" w:cs="宋体"/>
          <w:color w:val="auto"/>
          <w:spacing w:val="0"/>
          <w:sz w:val="24"/>
          <w:szCs w:val="24"/>
          <w:highlight w:val="none"/>
        </w:rPr>
      </w:pPr>
    </w:p>
    <w:p w14:paraId="207AD2AE">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成员二名称： </w:t>
      </w:r>
    </w:p>
    <w:p w14:paraId="35C3774A">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法定代表人： </w:t>
      </w:r>
    </w:p>
    <w:p w14:paraId="4A1D6D63">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left="421" w:right="727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法定住所：</w:t>
      </w:r>
    </w:p>
    <w:p w14:paraId="7C0F8432">
      <w:pPr>
        <w:keepNext w:val="0"/>
        <w:keepLines w:val="0"/>
        <w:pageBreakBefore w:val="0"/>
        <w:widowControl/>
        <w:kinsoku w:val="0"/>
        <w:wordWrap w:val="0"/>
        <w:overflowPunct/>
        <w:topLinePunct w:val="0"/>
        <w:autoSpaceDE w:val="0"/>
        <w:autoSpaceDN w:val="0"/>
        <w:bidi w:val="0"/>
        <w:adjustRightInd w:val="0"/>
        <w:snapToGrid w:val="0"/>
        <w:spacing w:before="32" w:line="360" w:lineRule="auto"/>
        <w:ind w:left="436"/>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p w14:paraId="09D55383">
      <w:pPr>
        <w:keepNext w:val="0"/>
        <w:keepLines w:val="0"/>
        <w:pageBreakBefore w:val="0"/>
        <w:widowControl/>
        <w:kinsoku w:val="0"/>
        <w:wordWrap w:val="0"/>
        <w:overflowPunct/>
        <w:topLinePunct w:val="0"/>
        <w:autoSpaceDE w:val="0"/>
        <w:autoSpaceDN w:val="0"/>
        <w:bidi w:val="0"/>
        <w:adjustRightInd w:val="0"/>
        <w:snapToGrid w:val="0"/>
        <w:spacing w:before="61" w:line="360" w:lineRule="auto"/>
        <w:ind w:firstLine="4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上述各成员单位经过友好协商，自愿组成联合体，共同参加</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（项目名称）（以下简称“本项目 ”）的施工投标并争取赢得本项目施工承包合同（以下简称合同）。现就联合体投标事宜订立如下协议：</w:t>
      </w:r>
    </w:p>
    <w:p w14:paraId="470AEF9A">
      <w:pPr>
        <w:keepNext w:val="0"/>
        <w:keepLines w:val="0"/>
        <w:pageBreakBefore w:val="0"/>
        <w:widowControl/>
        <w:kinsoku w:val="0"/>
        <w:wordWrap w:val="0"/>
        <w:overflowPunct/>
        <w:topLinePunct w:val="0"/>
        <w:autoSpaceDE w:val="0"/>
        <w:autoSpaceDN w:val="0"/>
        <w:bidi w:val="0"/>
        <w:adjustRightInd w:val="0"/>
        <w:snapToGrid w:val="0"/>
        <w:spacing w:before="33" w:line="360" w:lineRule="auto"/>
        <w:ind w:left="499"/>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（某成员单位名称）为联合体牵头人。</w:t>
      </w:r>
    </w:p>
    <w:p w14:paraId="01E61A89">
      <w:pPr>
        <w:keepNext w:val="0"/>
        <w:keepLines w:val="0"/>
        <w:pageBreakBefore w:val="0"/>
        <w:widowControl/>
        <w:kinsoku w:val="0"/>
        <w:wordWrap w:val="0"/>
        <w:overflowPunct/>
        <w:topLinePunct w:val="0"/>
        <w:autoSpaceDE w:val="0"/>
        <w:autoSpaceDN w:val="0"/>
        <w:bidi w:val="0"/>
        <w:adjustRightInd w:val="0"/>
        <w:snapToGrid w:val="0"/>
        <w:spacing w:before="156" w:line="360" w:lineRule="auto"/>
        <w:ind w:left="1" w:firstLine="474"/>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1F9A22CE">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2" w:firstLine="478"/>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4ADCDF28">
      <w:pPr>
        <w:keepNext w:val="0"/>
        <w:keepLines w:val="0"/>
        <w:pageBreakBefore w:val="0"/>
        <w:widowControl/>
        <w:kinsoku w:val="0"/>
        <w:wordWrap w:val="0"/>
        <w:overflowPunct/>
        <w:topLinePunct w:val="0"/>
        <w:autoSpaceDE w:val="0"/>
        <w:autoSpaceDN w:val="0"/>
        <w:bidi w:val="0"/>
        <w:adjustRightInd w:val="0"/>
        <w:snapToGrid w:val="0"/>
        <w:spacing w:before="154" w:line="360" w:lineRule="auto"/>
        <w:ind w:left="475"/>
        <w:textAlignment w:val="baseline"/>
        <w:outlineLvl w:val="9"/>
        <w:rPr>
          <w:rFonts w:hint="eastAsia" w:ascii="宋体" w:hAnsi="宋体" w:eastAsia="宋体" w:cs="宋体"/>
          <w:color w:val="auto"/>
          <w:spacing w:val="0"/>
          <w:sz w:val="24"/>
          <w:szCs w:val="24"/>
          <w:highlight w:val="none"/>
        </w:rPr>
      </w:pPr>
      <w:bookmarkStart w:id="236" w:name="_Toc5365"/>
      <w:bookmarkStart w:id="237" w:name="_Toc32149"/>
      <w:r>
        <w:rPr>
          <w:rFonts w:hint="eastAsia" w:ascii="宋体" w:hAnsi="宋体" w:eastAsia="宋体" w:cs="宋体"/>
          <w:color w:val="auto"/>
          <w:spacing w:val="0"/>
          <w:sz w:val="24"/>
          <w:szCs w:val="24"/>
          <w:highlight w:val="none"/>
        </w:rPr>
        <w:t>4 ．联合体各成员单位内部的职责分工如下：</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w:t>
      </w:r>
      <w:bookmarkEnd w:id="236"/>
      <w:bookmarkEnd w:id="237"/>
    </w:p>
    <w:p w14:paraId="66972B38">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right="71" w:firstLine="48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．投标工作和联合体在中标后工程实施过程中的有关费用按各自承担的工作量分摊。</w:t>
      </w:r>
    </w:p>
    <w:p w14:paraId="16602AE1">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4" w:right="71" w:firstLine="477"/>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 ．联合体中标后，本联合体协议是合同的附件，对联合体各成员单位有合同约束力。</w:t>
      </w:r>
    </w:p>
    <w:p w14:paraId="4A791BDA">
      <w:pPr>
        <w:keepNext w:val="0"/>
        <w:keepLines w:val="0"/>
        <w:pageBreakBefore w:val="0"/>
        <w:widowControl/>
        <w:kinsoku w:val="0"/>
        <w:wordWrap w:val="0"/>
        <w:overflowPunct/>
        <w:topLinePunct w:val="0"/>
        <w:autoSpaceDE w:val="0"/>
        <w:autoSpaceDN w:val="0"/>
        <w:bidi w:val="0"/>
        <w:adjustRightInd w:val="0"/>
        <w:snapToGrid w:val="0"/>
        <w:spacing w:before="157" w:line="360" w:lineRule="auto"/>
        <w:ind w:left="6" w:right="71" w:firstLine="473"/>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 ．本协议书自签署之日起生效，联合体未中标或者中标时合同履行完毕后自动失效。</w:t>
      </w:r>
    </w:p>
    <w:p w14:paraId="45E52A06">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left="486"/>
        <w:textAlignment w:val="baseline"/>
        <w:outlineLvl w:val="9"/>
        <w:rPr>
          <w:rFonts w:hint="eastAsia" w:ascii="宋体" w:hAnsi="宋体" w:eastAsia="宋体" w:cs="宋体"/>
          <w:color w:val="auto"/>
          <w:spacing w:val="0"/>
          <w:sz w:val="24"/>
          <w:szCs w:val="24"/>
          <w:highlight w:val="none"/>
        </w:rPr>
      </w:pPr>
      <w:bookmarkStart w:id="238" w:name="_Toc26708"/>
      <w:bookmarkStart w:id="239" w:name="_Toc22612"/>
      <w:r>
        <w:rPr>
          <w:rFonts w:hint="eastAsia" w:ascii="宋体" w:hAnsi="宋体" w:eastAsia="宋体" w:cs="宋体"/>
          <w:color w:val="auto"/>
          <w:spacing w:val="0"/>
          <w:sz w:val="24"/>
          <w:szCs w:val="24"/>
          <w:highlight w:val="none"/>
        </w:rPr>
        <w:t>8 ．本协议书一式</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份，联合体成员和招标人各执一份。</w:t>
      </w:r>
      <w:bookmarkEnd w:id="238"/>
      <w:bookmarkEnd w:id="239"/>
    </w:p>
    <w:p w14:paraId="7383C992">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bookmarkStart w:id="240" w:name="bookmark154"/>
      <w:bookmarkEnd w:id="240"/>
      <w:r>
        <w:rPr>
          <w:rFonts w:hint="eastAsia" w:ascii="宋体" w:hAnsi="宋体" w:eastAsia="宋体" w:cs="宋体"/>
          <w:color w:val="auto"/>
          <w:spacing w:val="0"/>
          <w:sz w:val="24"/>
          <w:szCs w:val="24"/>
          <w:highlight w:val="none"/>
        </w:rPr>
        <w:t>牵头人名称：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5326D8EF">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4D6CBD8F">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p>
    <w:p w14:paraId="4A50685C">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成员二名称：</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（盖单位章）</w:t>
      </w:r>
    </w:p>
    <w:p w14:paraId="1EC39C4E">
      <w:pPr>
        <w:keepNext w:val="0"/>
        <w:keepLines w:val="0"/>
        <w:pageBreakBefore w:val="0"/>
        <w:widowControl/>
        <w:kinsoku w:val="0"/>
        <w:wordWrap w:val="0"/>
        <w:overflowPunct/>
        <w:topLinePunct w:val="0"/>
        <w:autoSpaceDE w:val="0"/>
        <w:autoSpaceDN w:val="0"/>
        <w:bidi w:val="0"/>
        <w:adjustRightInd w:val="0"/>
        <w:snapToGrid w:val="0"/>
        <w:spacing w:before="78" w:line="360" w:lineRule="auto"/>
        <w:jc w:val="righ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snapToGrid w:val="0"/>
          <w:color w:val="auto"/>
          <w:spacing w:val="0"/>
          <w:kern w:val="0"/>
          <w:sz w:val="24"/>
          <w:szCs w:val="24"/>
          <w:highlight w:val="none"/>
          <w:u w:val="single"/>
          <w:lang w:val="en-US" w:eastAsia="zh-CN" w:bidi="ar-SA"/>
        </w:rPr>
        <w:t xml:space="preserve">          </w:t>
      </w:r>
      <w:r>
        <w:rPr>
          <w:rFonts w:hint="eastAsia" w:ascii="宋体" w:hAnsi="宋体" w:eastAsia="宋体" w:cs="宋体"/>
          <w:color w:val="auto"/>
          <w:spacing w:val="0"/>
          <w:sz w:val="24"/>
          <w:szCs w:val="24"/>
          <w:highlight w:val="none"/>
        </w:rPr>
        <w:t>（签字或盖章）</w:t>
      </w:r>
    </w:p>
    <w:p w14:paraId="2C910984">
      <w:pPr>
        <w:keepNext w:val="0"/>
        <w:keepLines w:val="0"/>
        <w:pageBreakBefore w:val="0"/>
        <w:wordWrap w:val="0"/>
        <w:overflowPunct/>
        <w:topLinePunct w:val="0"/>
        <w:bidi w:val="0"/>
        <w:spacing w:before="78" w:line="360" w:lineRule="auto"/>
        <w:ind w:left="6730"/>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月</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日</w:t>
      </w:r>
    </w:p>
    <w:p w14:paraId="53670306">
      <w:pPr>
        <w:pStyle w:val="6"/>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7C2788A4">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right="22"/>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说明：《联合体协议书》 由委托代理人签字或盖章的，应附法定代表人签字或盖章的授权委托书。</w:t>
      </w:r>
    </w:p>
    <w:p w14:paraId="1A78BC6F">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29AF8C9">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41" w:name="_Toc15225"/>
      <w:r>
        <w:rPr>
          <w:rFonts w:hint="eastAsia" w:ascii="宋体" w:hAnsi="宋体" w:eastAsia="宋体" w:cs="宋体"/>
          <w:b/>
          <w:bCs/>
          <w:color w:val="auto"/>
          <w:spacing w:val="0"/>
          <w:sz w:val="24"/>
          <w:szCs w:val="24"/>
          <w:highlight w:val="none"/>
        </w:rPr>
        <w:t>格式七 投标人基本情况表</w:t>
      </w:r>
      <w:bookmarkEnd w:id="241"/>
    </w:p>
    <w:p w14:paraId="3C060929">
      <w:pPr>
        <w:keepNext w:val="0"/>
        <w:keepLines w:val="0"/>
        <w:pageBreakBefore w:val="0"/>
        <w:wordWrap w:val="0"/>
        <w:overflowPunct/>
        <w:topLinePunct w:val="0"/>
        <w:bidi w:val="0"/>
        <w:spacing w:before="333" w:line="360" w:lineRule="auto"/>
        <w:ind w:left="335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投标人基本情况表</w:t>
      </w:r>
    </w:p>
    <w:p w14:paraId="06DA9422">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bl>
      <w:tblPr>
        <w:tblStyle w:val="16"/>
        <w:tblW w:w="9259" w:type="dxa"/>
        <w:tblInd w:w="28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033E4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4A7C5BF">
            <w:pPr>
              <w:keepNext w:val="0"/>
              <w:keepLines w:val="0"/>
              <w:pageBreakBefore w:val="0"/>
              <w:widowControl/>
              <w:kinsoku w:val="0"/>
              <w:wordWrap w:val="0"/>
              <w:overflowPunct/>
              <w:topLinePunct w:val="0"/>
              <w:autoSpaceDE w:val="0"/>
              <w:autoSpaceDN w:val="0"/>
              <w:bidi w:val="0"/>
              <w:adjustRightInd w:val="0"/>
              <w:snapToGrid w:val="0"/>
              <w:spacing w:before="149"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w:t>
            </w:r>
          </w:p>
        </w:tc>
        <w:tc>
          <w:tcPr>
            <w:tcW w:w="7639" w:type="dxa"/>
            <w:gridSpan w:val="8"/>
            <w:vAlign w:val="center"/>
          </w:tcPr>
          <w:p w14:paraId="0DB2A2CE">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32F10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65451CF9">
            <w:pPr>
              <w:keepNext w:val="0"/>
              <w:keepLines w:val="0"/>
              <w:pageBreakBefore w:val="0"/>
              <w:widowControl/>
              <w:kinsoku w:val="0"/>
              <w:wordWrap w:val="0"/>
              <w:overflowPunct/>
              <w:topLinePunct w:val="0"/>
              <w:autoSpaceDE w:val="0"/>
              <w:autoSpaceDN w:val="0"/>
              <w:bidi w:val="0"/>
              <w:adjustRightInd w:val="0"/>
              <w:snapToGrid w:val="0"/>
              <w:spacing w:before="144"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注册地址</w:t>
            </w:r>
          </w:p>
        </w:tc>
        <w:tc>
          <w:tcPr>
            <w:tcW w:w="3684" w:type="dxa"/>
            <w:gridSpan w:val="3"/>
            <w:vAlign w:val="center"/>
          </w:tcPr>
          <w:p w14:paraId="7BF1DE6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1354" w:type="dxa"/>
            <w:gridSpan w:val="2"/>
            <w:vAlign w:val="center"/>
          </w:tcPr>
          <w:p w14:paraId="6E7F119C">
            <w:pPr>
              <w:keepNext w:val="0"/>
              <w:keepLines w:val="0"/>
              <w:pageBreakBefore w:val="0"/>
              <w:widowControl/>
              <w:kinsoku w:val="0"/>
              <w:wordWrap w:val="0"/>
              <w:overflowPunct/>
              <w:topLinePunct w:val="0"/>
              <w:autoSpaceDE w:val="0"/>
              <w:autoSpaceDN w:val="0"/>
              <w:bidi w:val="0"/>
              <w:adjustRightInd w:val="0"/>
              <w:snapToGrid w:val="0"/>
              <w:spacing w:before="144"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邮政编码</w:t>
            </w:r>
          </w:p>
        </w:tc>
        <w:tc>
          <w:tcPr>
            <w:tcW w:w="2601" w:type="dxa"/>
            <w:gridSpan w:val="3"/>
            <w:vAlign w:val="center"/>
          </w:tcPr>
          <w:p w14:paraId="047A44F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75D48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restart"/>
            <w:tcBorders>
              <w:bottom w:val="nil"/>
            </w:tcBorders>
            <w:vAlign w:val="center"/>
          </w:tcPr>
          <w:p w14:paraId="0F6ED57E">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联系方式</w:t>
            </w:r>
          </w:p>
        </w:tc>
        <w:tc>
          <w:tcPr>
            <w:tcW w:w="975" w:type="dxa"/>
            <w:vAlign w:val="center"/>
          </w:tcPr>
          <w:p w14:paraId="33FA9D06">
            <w:pPr>
              <w:keepNext w:val="0"/>
              <w:keepLines w:val="0"/>
              <w:pageBreakBefore w:val="0"/>
              <w:widowControl/>
              <w:kinsoku w:val="0"/>
              <w:wordWrap w:val="0"/>
              <w:overflowPunct/>
              <w:topLinePunct w:val="0"/>
              <w:autoSpaceDE w:val="0"/>
              <w:autoSpaceDN w:val="0"/>
              <w:bidi w:val="0"/>
              <w:adjustRightInd w:val="0"/>
              <w:snapToGrid w:val="0"/>
              <w:spacing w:before="14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联系人</w:t>
            </w:r>
          </w:p>
        </w:tc>
        <w:tc>
          <w:tcPr>
            <w:tcW w:w="2709" w:type="dxa"/>
            <w:gridSpan w:val="2"/>
            <w:vAlign w:val="center"/>
          </w:tcPr>
          <w:p w14:paraId="3A1A86D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1354" w:type="dxa"/>
            <w:gridSpan w:val="2"/>
            <w:vAlign w:val="center"/>
          </w:tcPr>
          <w:p w14:paraId="68D00D84">
            <w:pPr>
              <w:keepNext w:val="0"/>
              <w:keepLines w:val="0"/>
              <w:pageBreakBefore w:val="0"/>
              <w:widowControl/>
              <w:kinsoku w:val="0"/>
              <w:wordWrap w:val="0"/>
              <w:overflowPunct/>
              <w:topLinePunct w:val="0"/>
              <w:autoSpaceDE w:val="0"/>
              <w:autoSpaceDN w:val="0"/>
              <w:bidi w:val="0"/>
              <w:adjustRightInd w:val="0"/>
              <w:snapToGrid w:val="0"/>
              <w:spacing w:before="14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  话</w:t>
            </w:r>
          </w:p>
        </w:tc>
        <w:tc>
          <w:tcPr>
            <w:tcW w:w="2601" w:type="dxa"/>
            <w:gridSpan w:val="3"/>
            <w:vAlign w:val="center"/>
          </w:tcPr>
          <w:p w14:paraId="478BD97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0EE24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Merge w:val="continue"/>
            <w:tcBorders>
              <w:top w:val="nil"/>
            </w:tcBorders>
            <w:vAlign w:val="center"/>
          </w:tcPr>
          <w:p w14:paraId="7E9A5F0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975" w:type="dxa"/>
            <w:vAlign w:val="center"/>
          </w:tcPr>
          <w:p w14:paraId="04A5A850">
            <w:pPr>
              <w:keepNext w:val="0"/>
              <w:keepLines w:val="0"/>
              <w:pageBreakBefore w:val="0"/>
              <w:widowControl/>
              <w:kinsoku w:val="0"/>
              <w:wordWrap w:val="0"/>
              <w:overflowPunct/>
              <w:topLinePunct w:val="0"/>
              <w:autoSpaceDE w:val="0"/>
              <w:autoSpaceDN w:val="0"/>
              <w:bidi w:val="0"/>
              <w:adjustRightInd w:val="0"/>
              <w:snapToGrid w:val="0"/>
              <w:spacing w:before="143"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传  真</w:t>
            </w:r>
          </w:p>
        </w:tc>
        <w:tc>
          <w:tcPr>
            <w:tcW w:w="2709" w:type="dxa"/>
            <w:gridSpan w:val="2"/>
            <w:vAlign w:val="center"/>
          </w:tcPr>
          <w:p w14:paraId="408C023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1354" w:type="dxa"/>
            <w:gridSpan w:val="2"/>
            <w:vAlign w:val="center"/>
          </w:tcPr>
          <w:p w14:paraId="7C350B75">
            <w:pPr>
              <w:keepNext w:val="0"/>
              <w:keepLines w:val="0"/>
              <w:pageBreakBefore w:val="0"/>
              <w:widowControl/>
              <w:kinsoku w:val="0"/>
              <w:wordWrap w:val="0"/>
              <w:overflowPunct/>
              <w:topLinePunct w:val="0"/>
              <w:autoSpaceDE w:val="0"/>
              <w:autoSpaceDN w:val="0"/>
              <w:bidi w:val="0"/>
              <w:adjustRightInd w:val="0"/>
              <w:snapToGrid w:val="0"/>
              <w:spacing w:before="144"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电子邮箱</w:t>
            </w:r>
          </w:p>
        </w:tc>
        <w:tc>
          <w:tcPr>
            <w:tcW w:w="2601" w:type="dxa"/>
            <w:gridSpan w:val="3"/>
            <w:vAlign w:val="center"/>
          </w:tcPr>
          <w:p w14:paraId="717515D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60C3F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33F0792">
            <w:pPr>
              <w:keepNext w:val="0"/>
              <w:keepLines w:val="0"/>
              <w:pageBreakBefore w:val="0"/>
              <w:widowControl/>
              <w:kinsoku w:val="0"/>
              <w:wordWrap w:val="0"/>
              <w:overflowPunct/>
              <w:topLinePunct w:val="0"/>
              <w:autoSpaceDE w:val="0"/>
              <w:autoSpaceDN w:val="0"/>
              <w:bidi w:val="0"/>
              <w:adjustRightInd w:val="0"/>
              <w:snapToGrid w:val="0"/>
              <w:spacing w:before="14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单位性质</w:t>
            </w:r>
          </w:p>
        </w:tc>
        <w:tc>
          <w:tcPr>
            <w:tcW w:w="7639" w:type="dxa"/>
            <w:gridSpan w:val="8"/>
            <w:vAlign w:val="center"/>
          </w:tcPr>
          <w:p w14:paraId="434E07A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3C1E8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78583C86">
            <w:pPr>
              <w:keepNext w:val="0"/>
              <w:keepLines w:val="0"/>
              <w:pageBreakBefore w:val="0"/>
              <w:widowControl/>
              <w:kinsoku w:val="0"/>
              <w:wordWrap w:val="0"/>
              <w:overflowPunct/>
              <w:topLinePunct w:val="0"/>
              <w:autoSpaceDE w:val="0"/>
              <w:autoSpaceDN w:val="0"/>
              <w:bidi w:val="0"/>
              <w:adjustRightInd w:val="0"/>
              <w:snapToGrid w:val="0"/>
              <w:spacing w:before="144"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w:t>
            </w:r>
          </w:p>
        </w:tc>
        <w:tc>
          <w:tcPr>
            <w:tcW w:w="975" w:type="dxa"/>
            <w:vAlign w:val="center"/>
          </w:tcPr>
          <w:p w14:paraId="2CF8127D">
            <w:pPr>
              <w:keepNext w:val="0"/>
              <w:keepLines w:val="0"/>
              <w:pageBreakBefore w:val="0"/>
              <w:widowControl/>
              <w:kinsoku w:val="0"/>
              <w:wordWrap w:val="0"/>
              <w:overflowPunct/>
              <w:topLinePunct w:val="0"/>
              <w:autoSpaceDE w:val="0"/>
              <w:autoSpaceDN w:val="0"/>
              <w:bidi w:val="0"/>
              <w:adjustRightInd w:val="0"/>
              <w:snapToGrid w:val="0"/>
              <w:spacing w:before="144"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姓名</w:t>
            </w:r>
          </w:p>
        </w:tc>
        <w:tc>
          <w:tcPr>
            <w:tcW w:w="1837" w:type="dxa"/>
            <w:vAlign w:val="center"/>
          </w:tcPr>
          <w:p w14:paraId="55F10CB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Align w:val="center"/>
          </w:tcPr>
          <w:p w14:paraId="1248557B">
            <w:pPr>
              <w:keepNext w:val="0"/>
              <w:keepLines w:val="0"/>
              <w:pageBreakBefore w:val="0"/>
              <w:widowControl/>
              <w:kinsoku w:val="0"/>
              <w:wordWrap w:val="0"/>
              <w:overflowPunct/>
              <w:topLinePunct w:val="0"/>
              <w:autoSpaceDE w:val="0"/>
              <w:autoSpaceDN w:val="0"/>
              <w:bidi w:val="0"/>
              <w:adjustRightInd w:val="0"/>
              <w:snapToGrid w:val="0"/>
              <w:spacing w:before="144"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技术职称</w:t>
            </w:r>
          </w:p>
        </w:tc>
        <w:tc>
          <w:tcPr>
            <w:tcW w:w="1326" w:type="dxa"/>
            <w:gridSpan w:val="2"/>
            <w:vAlign w:val="center"/>
          </w:tcPr>
          <w:p w14:paraId="345CCE7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770" w:type="dxa"/>
            <w:vAlign w:val="center"/>
          </w:tcPr>
          <w:p w14:paraId="63CA2C03">
            <w:pPr>
              <w:keepNext w:val="0"/>
              <w:keepLines w:val="0"/>
              <w:pageBreakBefore w:val="0"/>
              <w:widowControl/>
              <w:kinsoku w:val="0"/>
              <w:wordWrap w:val="0"/>
              <w:overflowPunct/>
              <w:topLinePunct w:val="0"/>
              <w:autoSpaceDE w:val="0"/>
              <w:autoSpaceDN w:val="0"/>
              <w:bidi w:val="0"/>
              <w:adjustRightInd w:val="0"/>
              <w:snapToGrid w:val="0"/>
              <w:spacing w:before="143"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电话</w:t>
            </w:r>
          </w:p>
        </w:tc>
        <w:tc>
          <w:tcPr>
            <w:tcW w:w="1548" w:type="dxa"/>
            <w:vAlign w:val="center"/>
          </w:tcPr>
          <w:p w14:paraId="21775F2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6C9B2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AB30980">
            <w:pPr>
              <w:keepNext w:val="0"/>
              <w:keepLines w:val="0"/>
              <w:pageBreakBefore w:val="0"/>
              <w:widowControl/>
              <w:kinsoku w:val="0"/>
              <w:wordWrap w:val="0"/>
              <w:overflowPunct/>
              <w:topLinePunct w:val="0"/>
              <w:autoSpaceDE w:val="0"/>
              <w:autoSpaceDN w:val="0"/>
              <w:bidi w:val="0"/>
              <w:adjustRightInd w:val="0"/>
              <w:snapToGrid w:val="0"/>
              <w:spacing w:before="14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成立时间</w:t>
            </w:r>
          </w:p>
        </w:tc>
        <w:tc>
          <w:tcPr>
            <w:tcW w:w="2812" w:type="dxa"/>
            <w:gridSpan w:val="2"/>
            <w:vAlign w:val="center"/>
          </w:tcPr>
          <w:p w14:paraId="1528A61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4827" w:type="dxa"/>
            <w:gridSpan w:val="6"/>
            <w:vAlign w:val="center"/>
          </w:tcPr>
          <w:p w14:paraId="29648EC6">
            <w:pPr>
              <w:keepNext w:val="0"/>
              <w:keepLines w:val="0"/>
              <w:pageBreakBefore w:val="0"/>
              <w:widowControl/>
              <w:kinsoku w:val="0"/>
              <w:wordWrap w:val="0"/>
              <w:overflowPunct/>
              <w:topLinePunct w:val="0"/>
              <w:autoSpaceDE w:val="0"/>
              <w:autoSpaceDN w:val="0"/>
              <w:bidi w:val="0"/>
              <w:adjustRightInd w:val="0"/>
              <w:snapToGrid w:val="0"/>
              <w:spacing w:before="14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员工总人数（个）：</w:t>
            </w:r>
          </w:p>
        </w:tc>
      </w:tr>
      <w:tr w14:paraId="1639B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54FA43F">
            <w:pPr>
              <w:keepNext w:val="0"/>
              <w:keepLines w:val="0"/>
              <w:pageBreakBefore w:val="0"/>
              <w:widowControl/>
              <w:kinsoku w:val="0"/>
              <w:wordWrap w:val="0"/>
              <w:overflowPunct/>
              <w:topLinePunct w:val="0"/>
              <w:autoSpaceDE w:val="0"/>
              <w:autoSpaceDN w:val="0"/>
              <w:bidi w:val="0"/>
              <w:adjustRightInd w:val="0"/>
              <w:snapToGrid w:val="0"/>
              <w:spacing w:before="61"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企业资质</w:t>
            </w:r>
          </w:p>
          <w:p w14:paraId="4BDC0C8F">
            <w:pPr>
              <w:keepNext w:val="0"/>
              <w:keepLines w:val="0"/>
              <w:pageBreakBefore w:val="0"/>
              <w:widowControl/>
              <w:kinsoku w:val="0"/>
              <w:wordWrap w:val="0"/>
              <w:overflowPunct/>
              <w:topLinePunct w:val="0"/>
              <w:autoSpaceDE w:val="0"/>
              <w:autoSpaceDN w:val="0"/>
              <w:bidi w:val="0"/>
              <w:adjustRightInd w:val="0"/>
              <w:snapToGrid w:val="0"/>
              <w:spacing w:before="61"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类型和等级</w:t>
            </w:r>
          </w:p>
        </w:tc>
        <w:tc>
          <w:tcPr>
            <w:tcW w:w="2812" w:type="dxa"/>
            <w:gridSpan w:val="2"/>
            <w:vAlign w:val="center"/>
          </w:tcPr>
          <w:p w14:paraId="177F106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restart"/>
            <w:tcBorders>
              <w:bottom w:val="nil"/>
            </w:tcBorders>
            <w:vAlign w:val="center"/>
          </w:tcPr>
          <w:p w14:paraId="102DBC66">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其中</w:t>
            </w:r>
          </w:p>
        </w:tc>
        <w:tc>
          <w:tcPr>
            <w:tcW w:w="2096" w:type="dxa"/>
            <w:gridSpan w:val="3"/>
            <w:vAlign w:val="center"/>
          </w:tcPr>
          <w:p w14:paraId="2278305A">
            <w:pPr>
              <w:keepNext w:val="0"/>
              <w:keepLines w:val="0"/>
              <w:pageBreakBefore w:val="0"/>
              <w:widowControl/>
              <w:kinsoku w:val="0"/>
              <w:wordWrap w:val="0"/>
              <w:overflowPunct/>
              <w:topLinePunct w:val="0"/>
              <w:autoSpaceDE w:val="0"/>
              <w:autoSpaceDN w:val="0"/>
              <w:bidi w:val="0"/>
              <w:adjustRightInd w:val="0"/>
              <w:snapToGrid w:val="0"/>
              <w:spacing w:before="214"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48" w:type="dxa"/>
            <w:vAlign w:val="center"/>
          </w:tcPr>
          <w:p w14:paraId="3262520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738EE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E310579">
            <w:pPr>
              <w:keepNext w:val="0"/>
              <w:keepLines w:val="0"/>
              <w:pageBreakBefore w:val="0"/>
              <w:widowControl/>
              <w:kinsoku w:val="0"/>
              <w:wordWrap w:val="0"/>
              <w:overflowPunct/>
              <w:topLinePunct w:val="0"/>
              <w:autoSpaceDE w:val="0"/>
              <w:autoSpaceDN w:val="0"/>
              <w:bidi w:val="0"/>
              <w:adjustRightInd w:val="0"/>
              <w:snapToGrid w:val="0"/>
              <w:spacing w:before="146"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营业执照号</w:t>
            </w:r>
          </w:p>
        </w:tc>
        <w:tc>
          <w:tcPr>
            <w:tcW w:w="2812" w:type="dxa"/>
            <w:gridSpan w:val="2"/>
            <w:vAlign w:val="center"/>
          </w:tcPr>
          <w:p w14:paraId="771E005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continue"/>
            <w:tcBorders>
              <w:top w:val="nil"/>
              <w:bottom w:val="nil"/>
            </w:tcBorders>
            <w:vAlign w:val="center"/>
          </w:tcPr>
          <w:p w14:paraId="5949ACF2">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2096" w:type="dxa"/>
            <w:gridSpan w:val="3"/>
            <w:vAlign w:val="center"/>
          </w:tcPr>
          <w:p w14:paraId="6C5F1489">
            <w:pPr>
              <w:keepNext w:val="0"/>
              <w:keepLines w:val="0"/>
              <w:pageBreakBefore w:val="0"/>
              <w:widowControl/>
              <w:kinsoku w:val="0"/>
              <w:wordWrap w:val="0"/>
              <w:overflowPunct/>
              <w:topLinePunct w:val="0"/>
              <w:autoSpaceDE w:val="0"/>
              <w:autoSpaceDN w:val="0"/>
              <w:bidi w:val="0"/>
              <w:adjustRightInd w:val="0"/>
              <w:snapToGrid w:val="0"/>
              <w:spacing w:before="146"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高级职称人员</w:t>
            </w:r>
          </w:p>
        </w:tc>
        <w:tc>
          <w:tcPr>
            <w:tcW w:w="1548" w:type="dxa"/>
            <w:vAlign w:val="center"/>
          </w:tcPr>
          <w:p w14:paraId="484C31E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77906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199E82AD">
            <w:pPr>
              <w:keepNext w:val="0"/>
              <w:keepLines w:val="0"/>
              <w:pageBreakBefore w:val="0"/>
              <w:widowControl/>
              <w:kinsoku w:val="0"/>
              <w:wordWrap w:val="0"/>
              <w:overflowPunct/>
              <w:topLinePunct w:val="0"/>
              <w:autoSpaceDE w:val="0"/>
              <w:autoSpaceDN w:val="0"/>
              <w:bidi w:val="0"/>
              <w:adjustRightInd w:val="0"/>
              <w:snapToGrid w:val="0"/>
              <w:spacing w:before="146"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注册资金</w:t>
            </w:r>
          </w:p>
        </w:tc>
        <w:tc>
          <w:tcPr>
            <w:tcW w:w="2812" w:type="dxa"/>
            <w:gridSpan w:val="2"/>
            <w:vAlign w:val="center"/>
          </w:tcPr>
          <w:p w14:paraId="28BB056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continue"/>
            <w:tcBorders>
              <w:top w:val="nil"/>
              <w:bottom w:val="nil"/>
            </w:tcBorders>
            <w:vAlign w:val="center"/>
          </w:tcPr>
          <w:p w14:paraId="2B79069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2096" w:type="dxa"/>
            <w:gridSpan w:val="3"/>
            <w:vAlign w:val="center"/>
          </w:tcPr>
          <w:p w14:paraId="27F06363">
            <w:pPr>
              <w:keepNext w:val="0"/>
              <w:keepLines w:val="0"/>
              <w:pageBreakBefore w:val="0"/>
              <w:widowControl/>
              <w:kinsoku w:val="0"/>
              <w:wordWrap w:val="0"/>
              <w:overflowPunct/>
              <w:topLinePunct w:val="0"/>
              <w:autoSpaceDE w:val="0"/>
              <w:autoSpaceDN w:val="0"/>
              <w:bidi w:val="0"/>
              <w:adjustRightInd w:val="0"/>
              <w:snapToGrid w:val="0"/>
              <w:spacing w:before="147"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中级职称人员</w:t>
            </w:r>
          </w:p>
        </w:tc>
        <w:tc>
          <w:tcPr>
            <w:tcW w:w="1548" w:type="dxa"/>
            <w:vAlign w:val="center"/>
          </w:tcPr>
          <w:p w14:paraId="18CD397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453B7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532F27D9">
            <w:pPr>
              <w:keepNext w:val="0"/>
              <w:keepLines w:val="0"/>
              <w:pageBreakBefore w:val="0"/>
              <w:widowControl/>
              <w:kinsoku w:val="0"/>
              <w:wordWrap w:val="0"/>
              <w:overflowPunct/>
              <w:topLinePunct w:val="0"/>
              <w:autoSpaceDE w:val="0"/>
              <w:autoSpaceDN w:val="0"/>
              <w:bidi w:val="0"/>
              <w:adjustRightInd w:val="0"/>
              <w:snapToGrid w:val="0"/>
              <w:spacing w:before="62"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基本账户 </w:t>
            </w:r>
          </w:p>
          <w:p w14:paraId="41955478">
            <w:pPr>
              <w:keepNext w:val="0"/>
              <w:keepLines w:val="0"/>
              <w:pageBreakBefore w:val="0"/>
              <w:widowControl/>
              <w:kinsoku w:val="0"/>
              <w:wordWrap w:val="0"/>
              <w:overflowPunct/>
              <w:topLinePunct w:val="0"/>
              <w:autoSpaceDE w:val="0"/>
              <w:autoSpaceDN w:val="0"/>
              <w:bidi w:val="0"/>
              <w:adjustRightInd w:val="0"/>
              <w:snapToGrid w:val="0"/>
              <w:spacing w:before="62"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开户银行</w:t>
            </w:r>
          </w:p>
        </w:tc>
        <w:tc>
          <w:tcPr>
            <w:tcW w:w="2812" w:type="dxa"/>
            <w:gridSpan w:val="2"/>
            <w:vAlign w:val="center"/>
          </w:tcPr>
          <w:p w14:paraId="65DFBEF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continue"/>
            <w:tcBorders>
              <w:top w:val="nil"/>
              <w:bottom w:val="nil"/>
            </w:tcBorders>
            <w:vAlign w:val="center"/>
          </w:tcPr>
          <w:p w14:paraId="31F677A8">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2096" w:type="dxa"/>
            <w:gridSpan w:val="3"/>
            <w:vAlign w:val="center"/>
          </w:tcPr>
          <w:p w14:paraId="0336B438">
            <w:pPr>
              <w:keepNext w:val="0"/>
              <w:keepLines w:val="0"/>
              <w:pageBreakBefore w:val="0"/>
              <w:widowControl/>
              <w:kinsoku w:val="0"/>
              <w:wordWrap w:val="0"/>
              <w:overflowPunct/>
              <w:topLinePunct w:val="0"/>
              <w:autoSpaceDE w:val="0"/>
              <w:autoSpaceDN w:val="0"/>
              <w:bidi w:val="0"/>
              <w:adjustRightInd w:val="0"/>
              <w:snapToGrid w:val="0"/>
              <w:spacing w:before="191"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初级职称人员</w:t>
            </w:r>
          </w:p>
        </w:tc>
        <w:tc>
          <w:tcPr>
            <w:tcW w:w="1548" w:type="dxa"/>
            <w:vAlign w:val="center"/>
          </w:tcPr>
          <w:p w14:paraId="00F898E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2E7A6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E52826A">
            <w:pPr>
              <w:keepNext w:val="0"/>
              <w:keepLines w:val="0"/>
              <w:pageBreakBefore w:val="0"/>
              <w:widowControl/>
              <w:kinsoku w:val="0"/>
              <w:wordWrap w:val="0"/>
              <w:overflowPunct/>
              <w:topLinePunct w:val="0"/>
              <w:autoSpaceDE w:val="0"/>
              <w:autoSpaceDN w:val="0"/>
              <w:bidi w:val="0"/>
              <w:adjustRightInd w:val="0"/>
              <w:snapToGrid w:val="0"/>
              <w:spacing w:before="62"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基本账户 </w:t>
            </w:r>
          </w:p>
          <w:p w14:paraId="33D5D73F">
            <w:pPr>
              <w:keepNext w:val="0"/>
              <w:keepLines w:val="0"/>
              <w:pageBreakBefore w:val="0"/>
              <w:widowControl/>
              <w:kinsoku w:val="0"/>
              <w:wordWrap w:val="0"/>
              <w:overflowPunct/>
              <w:topLinePunct w:val="0"/>
              <w:autoSpaceDE w:val="0"/>
              <w:autoSpaceDN w:val="0"/>
              <w:bidi w:val="0"/>
              <w:adjustRightInd w:val="0"/>
              <w:snapToGrid w:val="0"/>
              <w:spacing w:before="62"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银行账号</w:t>
            </w:r>
          </w:p>
        </w:tc>
        <w:tc>
          <w:tcPr>
            <w:tcW w:w="2812" w:type="dxa"/>
            <w:gridSpan w:val="2"/>
            <w:vAlign w:val="center"/>
          </w:tcPr>
          <w:p w14:paraId="60A346F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1183" w:type="dxa"/>
            <w:gridSpan w:val="2"/>
            <w:vMerge w:val="continue"/>
            <w:tcBorders>
              <w:top w:val="nil"/>
            </w:tcBorders>
            <w:vAlign w:val="center"/>
          </w:tcPr>
          <w:p w14:paraId="1322C4E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c>
          <w:tcPr>
            <w:tcW w:w="2096" w:type="dxa"/>
            <w:gridSpan w:val="3"/>
            <w:vAlign w:val="center"/>
          </w:tcPr>
          <w:p w14:paraId="4D44C804">
            <w:pPr>
              <w:keepNext w:val="0"/>
              <w:keepLines w:val="0"/>
              <w:pageBreakBefore w:val="0"/>
              <w:widowControl/>
              <w:kinsoku w:val="0"/>
              <w:wordWrap w:val="0"/>
              <w:overflowPunct/>
              <w:topLinePunct w:val="0"/>
              <w:autoSpaceDE w:val="0"/>
              <w:autoSpaceDN w:val="0"/>
              <w:bidi w:val="0"/>
              <w:adjustRightInd w:val="0"/>
              <w:snapToGrid w:val="0"/>
              <w:spacing w:before="211"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技术员</w:t>
            </w:r>
          </w:p>
        </w:tc>
        <w:tc>
          <w:tcPr>
            <w:tcW w:w="1548" w:type="dxa"/>
            <w:vAlign w:val="center"/>
          </w:tcPr>
          <w:p w14:paraId="46D2B23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6A626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3BF7B502">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经营范围</w:t>
            </w:r>
          </w:p>
        </w:tc>
        <w:tc>
          <w:tcPr>
            <w:tcW w:w="7639" w:type="dxa"/>
            <w:gridSpan w:val="8"/>
            <w:vAlign w:val="center"/>
          </w:tcPr>
          <w:p w14:paraId="07997BAE">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r w14:paraId="29A8D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05DF8A32">
            <w:pPr>
              <w:keepNext w:val="0"/>
              <w:keepLines w:val="0"/>
              <w:pageBreakBefore w:val="0"/>
              <w:widowControl/>
              <w:kinsoku w:val="0"/>
              <w:wordWrap w:val="0"/>
              <w:overflowPunct/>
              <w:topLinePunct w:val="0"/>
              <w:autoSpaceDE w:val="0"/>
              <w:autoSpaceDN w:val="0"/>
              <w:bidi w:val="0"/>
              <w:adjustRightInd w:val="0"/>
              <w:snapToGrid w:val="0"/>
              <w:spacing w:before="6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关联企业情况</w:t>
            </w:r>
          </w:p>
        </w:tc>
        <w:tc>
          <w:tcPr>
            <w:tcW w:w="7639" w:type="dxa"/>
            <w:gridSpan w:val="8"/>
            <w:vAlign w:val="center"/>
          </w:tcPr>
          <w:p w14:paraId="1E7ADE4D">
            <w:pPr>
              <w:keepNext w:val="0"/>
              <w:keepLines w:val="0"/>
              <w:pageBreakBefore w:val="0"/>
              <w:widowControl/>
              <w:kinsoku w:val="0"/>
              <w:wordWrap w:val="0"/>
              <w:overflowPunct/>
              <w:topLinePunct w:val="0"/>
              <w:autoSpaceDE w:val="0"/>
              <w:autoSpaceDN w:val="0"/>
              <w:bidi w:val="0"/>
              <w:adjustRightInd w:val="0"/>
              <w:snapToGrid w:val="0"/>
              <w:spacing w:before="168" w:line="360" w:lineRule="auto"/>
              <w:ind w:left="0" w:right="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包括但不限于与投标人存在以下关系的不同单位：</w:t>
            </w:r>
          </w:p>
          <w:p w14:paraId="0A579FFA">
            <w:pPr>
              <w:keepNext w:val="0"/>
              <w:keepLines w:val="0"/>
              <w:pageBreakBefore w:val="0"/>
              <w:widowControl/>
              <w:kinsoku w:val="0"/>
              <w:wordWrap w:val="0"/>
              <w:overflowPunct/>
              <w:topLinePunct w:val="0"/>
              <w:autoSpaceDE w:val="0"/>
              <w:autoSpaceDN w:val="0"/>
              <w:bidi w:val="0"/>
              <w:adjustRightInd w:val="0"/>
              <w:snapToGrid w:val="0"/>
              <w:spacing w:before="81" w:line="360" w:lineRule="auto"/>
              <w:ind w:left="0" w:right="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．法定代表人为同一人的。</w:t>
            </w:r>
          </w:p>
          <w:p w14:paraId="20E6965C">
            <w:pPr>
              <w:keepNext w:val="0"/>
              <w:keepLines w:val="0"/>
              <w:pageBreakBefore w:val="0"/>
              <w:widowControl/>
              <w:kinsoku w:val="0"/>
              <w:wordWrap w:val="0"/>
              <w:overflowPunct/>
              <w:topLinePunct w:val="0"/>
              <w:autoSpaceDE w:val="0"/>
              <w:autoSpaceDN w:val="0"/>
              <w:bidi w:val="0"/>
              <w:adjustRightInd w:val="0"/>
              <w:snapToGrid w:val="0"/>
              <w:spacing w:before="81" w:line="360" w:lineRule="auto"/>
              <w:ind w:left="0" w:right="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．存在控股、管理关系的。</w:t>
            </w:r>
          </w:p>
          <w:p w14:paraId="585BD72F">
            <w:pPr>
              <w:keepNext w:val="0"/>
              <w:keepLines w:val="0"/>
              <w:pageBreakBefore w:val="0"/>
              <w:widowControl/>
              <w:kinsoku w:val="0"/>
              <w:wordWrap w:val="0"/>
              <w:overflowPunct/>
              <w:topLinePunct w:val="0"/>
              <w:autoSpaceDE w:val="0"/>
              <w:autoSpaceDN w:val="0"/>
              <w:bidi w:val="0"/>
              <w:adjustRightInd w:val="0"/>
              <w:snapToGrid w:val="0"/>
              <w:spacing w:before="81" w:line="360" w:lineRule="auto"/>
              <w:ind w:left="0" w:right="0"/>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．主要人员相互任职的。</w:t>
            </w:r>
          </w:p>
        </w:tc>
      </w:tr>
      <w:tr w14:paraId="28D64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620" w:type="dxa"/>
            <w:vAlign w:val="center"/>
          </w:tcPr>
          <w:p w14:paraId="2A94CEF9">
            <w:pPr>
              <w:keepNext w:val="0"/>
              <w:keepLines w:val="0"/>
              <w:pageBreakBefore w:val="0"/>
              <w:widowControl/>
              <w:kinsoku w:val="0"/>
              <w:wordWrap w:val="0"/>
              <w:overflowPunct/>
              <w:topLinePunct w:val="0"/>
              <w:autoSpaceDE w:val="0"/>
              <w:autoSpaceDN w:val="0"/>
              <w:bidi w:val="0"/>
              <w:adjustRightInd w:val="0"/>
              <w:snapToGrid w:val="0"/>
              <w:spacing w:before="235" w:line="360" w:lineRule="auto"/>
              <w:ind w:left="0" w:righ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c>
          <w:tcPr>
            <w:tcW w:w="7639" w:type="dxa"/>
            <w:gridSpan w:val="8"/>
            <w:vAlign w:val="center"/>
          </w:tcPr>
          <w:p w14:paraId="33A6976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right="0"/>
              <w:jc w:val="center"/>
              <w:textAlignment w:val="baseline"/>
              <w:rPr>
                <w:rFonts w:hint="eastAsia" w:ascii="宋体" w:hAnsi="宋体" w:eastAsia="宋体" w:cs="宋体"/>
                <w:color w:val="auto"/>
                <w:spacing w:val="0"/>
                <w:sz w:val="24"/>
                <w:szCs w:val="24"/>
                <w:highlight w:val="none"/>
              </w:rPr>
            </w:pPr>
          </w:p>
        </w:tc>
      </w:tr>
    </w:tbl>
    <w:p w14:paraId="34C67D25">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p>
    <w:p w14:paraId="69B31669">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5F7DADAA">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outlineLvl w:val="9"/>
        <w:rPr>
          <w:rFonts w:hint="eastAsia" w:ascii="宋体" w:hAnsi="宋体" w:eastAsia="宋体" w:cs="宋体"/>
          <w:color w:val="auto"/>
          <w:spacing w:val="0"/>
          <w:sz w:val="24"/>
          <w:szCs w:val="24"/>
          <w:highlight w:val="none"/>
        </w:rPr>
      </w:pPr>
      <w:bookmarkStart w:id="242" w:name="_Toc14048"/>
      <w:bookmarkStart w:id="243" w:name="_Toc5131"/>
      <w:r>
        <w:rPr>
          <w:rFonts w:hint="eastAsia" w:ascii="宋体" w:hAnsi="宋体" w:eastAsia="宋体" w:cs="宋体"/>
          <w:color w:val="auto"/>
          <w:spacing w:val="0"/>
          <w:sz w:val="24"/>
          <w:szCs w:val="24"/>
          <w:highlight w:val="none"/>
        </w:rPr>
        <w:t>1 ．《投标人基本情况表》后应附以下资料：</w:t>
      </w:r>
      <w:bookmarkEnd w:id="242"/>
      <w:bookmarkEnd w:id="243"/>
    </w:p>
    <w:p w14:paraId="230E1626">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259B1130">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（2）</w:t>
      </w:r>
      <w:r>
        <w:rPr>
          <w:rFonts w:hint="eastAsia" w:ascii="宋体" w:hAnsi="宋体" w:eastAsia="宋体" w:cs="宋体"/>
          <w:color w:val="auto"/>
          <w:spacing w:val="0"/>
          <w:sz w:val="24"/>
          <w:szCs w:val="24"/>
          <w:highlight w:val="none"/>
        </w:rPr>
        <w:t>“进粤企业和人员诚信信息登记平台 ”企业信息情况打印页。（适用于省外建筑企业）</w:t>
      </w:r>
    </w:p>
    <w:p w14:paraId="49CB0524">
      <w:pPr>
        <w:keepNext w:val="0"/>
        <w:keepLines w:val="0"/>
        <w:pageBreakBefore w:val="0"/>
        <w:widowControl/>
        <w:kinsoku w:val="0"/>
        <w:wordWrap w:val="0"/>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（3）</w:t>
      </w:r>
      <w:r>
        <w:rPr>
          <w:rFonts w:hint="eastAsia" w:ascii="宋体" w:hAnsi="宋体" w:eastAsia="宋体" w:cs="宋体"/>
          <w:color w:val="auto"/>
          <w:spacing w:val="0"/>
          <w:sz w:val="24"/>
          <w:szCs w:val="24"/>
          <w:highlight w:val="none"/>
        </w:rPr>
        <w:t>《法人和非法人组织公共信用信息报告》（在“信用中国 ”网站企业查询界面中下载）。</w:t>
      </w:r>
    </w:p>
    <w:p w14:paraId="214750AF">
      <w:pPr>
        <w:keepNext w:val="0"/>
        <w:keepLines w:val="0"/>
        <w:pageBreakBefore w:val="0"/>
        <w:widowControl/>
        <w:kinsoku w:val="0"/>
        <w:wordWrap w:val="0"/>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．联合体投标的，联合体成员单位均应填写《投标人基本情况表》并提供以上所需资料。</w:t>
      </w:r>
    </w:p>
    <w:p w14:paraId="012C8021">
      <w:pPr>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2AB7BED9">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44" w:name="_Toc16647"/>
      <w:r>
        <w:rPr>
          <w:rFonts w:hint="eastAsia" w:ascii="宋体" w:hAnsi="宋体" w:eastAsia="宋体" w:cs="宋体"/>
          <w:b/>
          <w:bCs/>
          <w:color w:val="auto"/>
          <w:spacing w:val="0"/>
          <w:sz w:val="24"/>
          <w:szCs w:val="24"/>
          <w:highlight w:val="none"/>
        </w:rPr>
        <w:t>格式八 项目经理简历表</w:t>
      </w:r>
      <w:bookmarkEnd w:id="244"/>
    </w:p>
    <w:p w14:paraId="07245DD0">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C78A5C7">
      <w:pPr>
        <w:keepNext w:val="0"/>
        <w:keepLines w:val="0"/>
        <w:pageBreakBefore w:val="0"/>
        <w:wordWrap w:val="0"/>
        <w:overflowPunct/>
        <w:topLinePunct w:val="0"/>
        <w:bidi w:val="0"/>
        <w:spacing w:before="97" w:line="360" w:lineRule="auto"/>
        <w:ind w:left="3538"/>
        <w:outlineLvl w:val="9"/>
        <w:rPr>
          <w:rFonts w:hint="eastAsia" w:ascii="宋体" w:hAnsi="宋体" w:eastAsia="宋体" w:cs="宋体"/>
          <w:color w:val="auto"/>
          <w:spacing w:val="0"/>
          <w:sz w:val="24"/>
          <w:szCs w:val="24"/>
          <w:highlight w:val="none"/>
        </w:rPr>
      </w:pPr>
      <w:bookmarkStart w:id="245" w:name="bookmark89"/>
      <w:bookmarkEnd w:id="245"/>
      <w:bookmarkStart w:id="246" w:name="bookmark156"/>
      <w:bookmarkEnd w:id="246"/>
      <w:bookmarkStart w:id="247" w:name="_Toc31533"/>
      <w:bookmarkStart w:id="248" w:name="_Toc24489"/>
      <w:r>
        <w:rPr>
          <w:rFonts w:hint="eastAsia" w:ascii="宋体" w:hAnsi="宋体" w:eastAsia="宋体" w:cs="宋体"/>
          <w:b/>
          <w:bCs/>
          <w:color w:val="auto"/>
          <w:spacing w:val="0"/>
          <w:sz w:val="24"/>
          <w:szCs w:val="24"/>
          <w:highlight w:val="none"/>
        </w:rPr>
        <w:t>项目经理简历表</w:t>
      </w:r>
      <w:bookmarkEnd w:id="247"/>
      <w:bookmarkEnd w:id="248"/>
    </w:p>
    <w:p w14:paraId="733B316D">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bl>
      <w:tblPr>
        <w:tblStyle w:val="16"/>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52897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center"/>
          </w:tcPr>
          <w:p w14:paraId="4005FF2B">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94" w:type="dxa"/>
            <w:gridSpan w:val="2"/>
            <w:vAlign w:val="center"/>
          </w:tcPr>
          <w:p w14:paraId="459C112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1B35C805">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62" w:type="dxa"/>
            <w:vAlign w:val="center"/>
          </w:tcPr>
          <w:p w14:paraId="606F045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44F8EEA">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98" w:type="dxa"/>
            <w:vAlign w:val="center"/>
          </w:tcPr>
          <w:p w14:paraId="248A87D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C7B6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center"/>
          </w:tcPr>
          <w:p w14:paraId="6C5EBB96">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94" w:type="dxa"/>
            <w:gridSpan w:val="2"/>
            <w:vAlign w:val="center"/>
          </w:tcPr>
          <w:p w14:paraId="4970326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57" w:type="dxa"/>
            <w:vAlign w:val="center"/>
          </w:tcPr>
          <w:p w14:paraId="275BEF66">
            <w:pPr>
              <w:keepNext w:val="0"/>
              <w:keepLines w:val="0"/>
              <w:pageBreakBefore w:val="0"/>
              <w:widowControl/>
              <w:kinsoku w:val="0"/>
              <w:wordWrap w:val="0"/>
              <w:overflowPunct/>
              <w:topLinePunct w:val="0"/>
              <w:autoSpaceDE w:val="0"/>
              <w:autoSpaceDN w:val="0"/>
              <w:bidi w:val="0"/>
              <w:adjustRightInd w:val="0"/>
              <w:snapToGrid w:val="0"/>
              <w:spacing w:before="17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62" w:type="dxa"/>
            <w:vAlign w:val="center"/>
          </w:tcPr>
          <w:p w14:paraId="16D1E87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B726250">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98" w:type="dxa"/>
            <w:vAlign w:val="center"/>
          </w:tcPr>
          <w:p w14:paraId="18686FE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58DD0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center"/>
          </w:tcPr>
          <w:p w14:paraId="6CA0A6E3">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51" w:type="dxa"/>
            <w:gridSpan w:val="3"/>
            <w:vAlign w:val="center"/>
          </w:tcPr>
          <w:p w14:paraId="1D8F273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3860" w:type="dxa"/>
            <w:gridSpan w:val="2"/>
            <w:vAlign w:val="center"/>
          </w:tcPr>
          <w:p w14:paraId="1DCA2560">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98" w:type="dxa"/>
            <w:vAlign w:val="center"/>
          </w:tcPr>
          <w:p w14:paraId="55F6DD2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35205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center"/>
          </w:tcPr>
          <w:p w14:paraId="1985FCD7">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以项目经理身份参与过的主要业绩（已完工项目）</w:t>
            </w:r>
          </w:p>
        </w:tc>
      </w:tr>
      <w:tr w14:paraId="6A55E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center"/>
          </w:tcPr>
          <w:p w14:paraId="226DD453">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24" w:type="dxa"/>
            <w:gridSpan w:val="2"/>
            <w:vAlign w:val="center"/>
          </w:tcPr>
          <w:p w14:paraId="67B2AAAA">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37" w:type="dxa"/>
            <w:gridSpan w:val="2"/>
            <w:vAlign w:val="center"/>
          </w:tcPr>
          <w:p w14:paraId="4801985C">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62" w:type="dxa"/>
            <w:vAlign w:val="center"/>
          </w:tcPr>
          <w:p w14:paraId="027FA0A0">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98" w:type="dxa"/>
            <w:vAlign w:val="center"/>
          </w:tcPr>
          <w:p w14:paraId="13665F3A">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98" w:type="dxa"/>
            <w:vAlign w:val="center"/>
          </w:tcPr>
          <w:p w14:paraId="1363170B">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69665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67F61AFB">
            <w:pPr>
              <w:keepNext w:val="0"/>
              <w:keepLines w:val="0"/>
              <w:pageBreakBefore w:val="0"/>
              <w:widowControl/>
              <w:kinsoku w:val="0"/>
              <w:wordWrap w:val="0"/>
              <w:overflowPunct/>
              <w:topLinePunct w:val="0"/>
              <w:autoSpaceDE w:val="0"/>
              <w:autoSpaceDN w:val="0"/>
              <w:bidi w:val="0"/>
              <w:adjustRightInd w:val="0"/>
              <w:snapToGrid w:val="0"/>
              <w:spacing w:before="21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24" w:type="dxa"/>
            <w:gridSpan w:val="2"/>
            <w:vAlign w:val="center"/>
          </w:tcPr>
          <w:p w14:paraId="6B906EE2">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39014A6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15E44A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191B5C4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5601622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ADBD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center"/>
          </w:tcPr>
          <w:p w14:paraId="2D37EB61">
            <w:pPr>
              <w:keepNext w:val="0"/>
              <w:keepLines w:val="0"/>
              <w:pageBreakBefore w:val="0"/>
              <w:widowControl/>
              <w:kinsoku w:val="0"/>
              <w:wordWrap w:val="0"/>
              <w:overflowPunct/>
              <w:topLinePunct w:val="0"/>
              <w:autoSpaceDE w:val="0"/>
              <w:autoSpaceDN w:val="0"/>
              <w:bidi w:val="0"/>
              <w:adjustRightInd w:val="0"/>
              <w:snapToGrid w:val="0"/>
              <w:spacing w:before="21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24" w:type="dxa"/>
            <w:gridSpan w:val="2"/>
            <w:vAlign w:val="center"/>
          </w:tcPr>
          <w:p w14:paraId="3F9424A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5C8C87A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4B5D2BB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347BC37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0D3458B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612B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center"/>
          </w:tcPr>
          <w:p w14:paraId="3C8FBE28">
            <w:pPr>
              <w:keepNext w:val="0"/>
              <w:keepLines w:val="0"/>
              <w:pageBreakBefore w:val="0"/>
              <w:widowControl/>
              <w:kinsoku w:val="0"/>
              <w:wordWrap w:val="0"/>
              <w:overflowPunct/>
              <w:topLinePunct w:val="0"/>
              <w:autoSpaceDE w:val="0"/>
              <w:autoSpaceDN w:val="0"/>
              <w:bidi w:val="0"/>
              <w:adjustRightInd w:val="0"/>
              <w:snapToGrid w:val="0"/>
              <w:spacing w:before="21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1624" w:type="dxa"/>
            <w:gridSpan w:val="2"/>
            <w:vAlign w:val="center"/>
          </w:tcPr>
          <w:p w14:paraId="05CB1FA8">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67C95E4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F3F3FC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EEF915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1073B93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5BEC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center"/>
          </w:tcPr>
          <w:p w14:paraId="68FD65E9">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24" w:type="dxa"/>
            <w:gridSpan w:val="2"/>
            <w:vAlign w:val="center"/>
          </w:tcPr>
          <w:p w14:paraId="11BEC3E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37" w:type="dxa"/>
            <w:gridSpan w:val="2"/>
            <w:vAlign w:val="center"/>
          </w:tcPr>
          <w:p w14:paraId="3178352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62" w:type="dxa"/>
            <w:vAlign w:val="center"/>
          </w:tcPr>
          <w:p w14:paraId="01C4C87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98" w:type="dxa"/>
            <w:vAlign w:val="center"/>
          </w:tcPr>
          <w:p w14:paraId="7DE5047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98" w:type="dxa"/>
            <w:vAlign w:val="center"/>
          </w:tcPr>
          <w:p w14:paraId="26308B2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bl>
    <w:p w14:paraId="2A57AD35">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06CE30E">
      <w:pPr>
        <w:keepNext w:val="0"/>
        <w:keepLines w:val="0"/>
        <w:pageBreakBefore w:val="0"/>
        <w:wordWrap w:val="0"/>
        <w:overflowPunct/>
        <w:topLinePunct w:val="0"/>
        <w:bidi w:val="0"/>
        <w:spacing w:before="78" w:line="360" w:lineRule="auto"/>
        <w:ind w:left="69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（签字）</w:t>
      </w:r>
    </w:p>
    <w:p w14:paraId="16855C1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3503D5A">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月</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日</w:t>
      </w:r>
    </w:p>
    <w:p w14:paraId="2046C6DB">
      <w:pPr>
        <w:keepNext w:val="0"/>
        <w:keepLines w:val="0"/>
        <w:pageBreakBefore w:val="0"/>
        <w:wordWrap w:val="0"/>
        <w:overflowPunct/>
        <w:topLinePunct w:val="0"/>
        <w:bidi w:val="0"/>
        <w:spacing w:before="78" w:line="360" w:lineRule="auto"/>
        <w:ind w:left="4226"/>
        <w:jc w:val="center"/>
        <w:rPr>
          <w:rFonts w:hint="eastAsia" w:ascii="宋体" w:hAnsi="宋体" w:eastAsia="宋体" w:cs="宋体"/>
          <w:color w:val="auto"/>
          <w:spacing w:val="0"/>
          <w:sz w:val="24"/>
          <w:szCs w:val="24"/>
          <w:highlight w:val="none"/>
        </w:rPr>
      </w:pPr>
    </w:p>
    <w:p w14:paraId="338141CB">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D471702">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说明：《项目经理简历表》后应附拟派项目经理以下资料：</w:t>
      </w:r>
    </w:p>
    <w:p w14:paraId="2281CD1D">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outlineLvl w:val="9"/>
        <w:rPr>
          <w:rFonts w:hint="eastAsia" w:ascii="宋体" w:hAnsi="宋体" w:eastAsia="宋体" w:cs="宋体"/>
          <w:color w:val="auto"/>
          <w:spacing w:val="0"/>
          <w:sz w:val="24"/>
          <w:szCs w:val="24"/>
          <w:highlight w:val="none"/>
        </w:rPr>
      </w:pPr>
      <w:bookmarkStart w:id="249" w:name="_Toc25271"/>
      <w:bookmarkStart w:id="250" w:name="_Toc1942"/>
      <w:r>
        <w:rPr>
          <w:rFonts w:hint="eastAsia" w:ascii="宋体" w:hAnsi="宋体" w:eastAsia="宋体" w:cs="宋体"/>
          <w:color w:val="auto"/>
          <w:spacing w:val="0"/>
          <w:sz w:val="24"/>
          <w:szCs w:val="24"/>
          <w:highlight w:val="none"/>
        </w:rPr>
        <w:t>1 ．身份证彩色扫描件；</w:t>
      </w:r>
      <w:bookmarkEnd w:id="249"/>
      <w:bookmarkEnd w:id="250"/>
    </w:p>
    <w:p w14:paraId="256029D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．建造师电子注册证书（在使用有效期内的有效电子证书）彩色扫描件；</w:t>
      </w:r>
    </w:p>
    <w:p w14:paraId="66281E20">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3．B 类安全生产考核合格证书彩色扫描件或广东省建筑施工企业管理人员安全生产考核系统考核合格信息彩色扫描件；</w:t>
      </w:r>
    </w:p>
    <w:p w14:paraId="76F37EF6">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．在本单位缴纳社保</w:t>
      </w:r>
      <w:r>
        <w:rPr>
          <w:rFonts w:hint="eastAsia" w:ascii="宋体" w:hAnsi="宋体" w:eastAsia="宋体" w:cs="宋体"/>
          <w:color w:val="auto"/>
          <w:spacing w:val="0"/>
          <w:sz w:val="24"/>
          <w:szCs w:val="24"/>
          <w:highlight w:val="none"/>
          <w:lang w:eastAsia="zh-CN"/>
        </w:rPr>
        <w:t>的证明（至少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个月，其</w:t>
      </w:r>
      <w:bookmarkStart w:id="251" w:name="OLE_LINK38"/>
      <w:r>
        <w:rPr>
          <w:rFonts w:hint="eastAsia" w:ascii="宋体" w:hAnsi="宋体" w:eastAsia="宋体" w:cs="宋体"/>
          <w:color w:val="auto"/>
          <w:spacing w:val="0"/>
          <w:sz w:val="24"/>
          <w:szCs w:val="24"/>
          <w:highlight w:val="none"/>
          <w:lang w:eastAsia="zh-CN"/>
        </w:rPr>
        <w:t>中必须有202</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月</w:t>
      </w:r>
      <w:bookmarkEnd w:id="251"/>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扫描</w:t>
      </w:r>
      <w:r>
        <w:rPr>
          <w:rFonts w:hint="eastAsia" w:ascii="宋体" w:hAnsi="宋体" w:eastAsia="宋体" w:cs="宋体"/>
          <w:color w:val="auto"/>
          <w:spacing w:val="0"/>
          <w:sz w:val="24"/>
          <w:szCs w:val="24"/>
          <w:highlight w:val="none"/>
        </w:rPr>
        <w:t>件或打印件。拟派项目经理为退休返聘人员无法提供社保证明的，提供退休证和劳动合同彩色扫描件。</w:t>
      </w:r>
    </w:p>
    <w:p w14:paraId="2A87991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 ．“进粤企业和人员诚信信息登记平台 ”个人信息情况截图。（适用于省外建筑企业）</w:t>
      </w:r>
    </w:p>
    <w:p w14:paraId="4BCF539F">
      <w:pPr>
        <w:pStyle w:val="26"/>
        <w:spacing w:line="360" w:lineRule="auto"/>
        <w:rPr>
          <w:rFonts w:hint="eastAsia" w:ascii="宋体" w:hAnsi="宋体" w:eastAsia="宋体" w:cs="宋体"/>
          <w:color w:val="auto"/>
          <w:sz w:val="24"/>
          <w:szCs w:val="24"/>
          <w:highlight w:val="none"/>
        </w:rPr>
      </w:pPr>
    </w:p>
    <w:p w14:paraId="00386200">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A1871F0">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52" w:name="_Toc28123"/>
      <w:r>
        <w:rPr>
          <w:rFonts w:hint="eastAsia" w:ascii="宋体" w:hAnsi="宋体" w:eastAsia="宋体" w:cs="宋体"/>
          <w:b/>
          <w:bCs/>
          <w:color w:val="auto"/>
          <w:spacing w:val="0"/>
          <w:sz w:val="24"/>
          <w:szCs w:val="24"/>
          <w:highlight w:val="none"/>
        </w:rPr>
        <w:t>格式九 项目经理任职声明</w:t>
      </w:r>
      <w:bookmarkEnd w:id="252"/>
    </w:p>
    <w:p w14:paraId="0578F8FA">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8B06342">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0F834AF">
      <w:pPr>
        <w:keepNext w:val="0"/>
        <w:keepLines w:val="0"/>
        <w:pageBreakBefore w:val="0"/>
        <w:wordWrap w:val="0"/>
        <w:overflowPunct/>
        <w:topLinePunct w:val="0"/>
        <w:bidi w:val="0"/>
        <w:spacing w:before="98" w:line="360" w:lineRule="auto"/>
        <w:ind w:left="3338"/>
        <w:rPr>
          <w:rFonts w:hint="eastAsia" w:ascii="宋体" w:hAnsi="宋体" w:eastAsia="宋体" w:cs="宋体"/>
          <w:color w:val="auto"/>
          <w:spacing w:val="0"/>
          <w:sz w:val="24"/>
          <w:szCs w:val="24"/>
          <w:highlight w:val="none"/>
        </w:rPr>
      </w:pPr>
      <w:bookmarkStart w:id="253" w:name="bookmark157"/>
      <w:bookmarkEnd w:id="253"/>
      <w:r>
        <w:rPr>
          <w:rFonts w:hint="eastAsia" w:ascii="宋体" w:hAnsi="宋体" w:eastAsia="宋体" w:cs="宋体"/>
          <w:b/>
          <w:bCs/>
          <w:color w:val="auto"/>
          <w:spacing w:val="0"/>
          <w:sz w:val="24"/>
          <w:szCs w:val="24"/>
          <w:highlight w:val="none"/>
        </w:rPr>
        <w:t>项目经理任职声明</w:t>
      </w:r>
    </w:p>
    <w:p w14:paraId="532E6150">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161A470">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41FA575">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A6A5383">
      <w:pPr>
        <w:keepNext w:val="0"/>
        <w:keepLines w:val="0"/>
        <w:pageBreakBefore w:val="0"/>
        <w:wordWrap w:val="0"/>
        <w:overflowPunct/>
        <w:topLinePunct w:val="0"/>
        <w:bidi w:val="0"/>
        <w:spacing w:before="78"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致：</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（招标人名称）</w:t>
      </w:r>
    </w:p>
    <w:p w14:paraId="6DF111E3">
      <w:pPr>
        <w:keepNext w:val="0"/>
        <w:keepLines w:val="0"/>
        <w:pageBreakBefore w:val="0"/>
        <w:wordWrap w:val="0"/>
        <w:overflowPunct/>
        <w:topLinePunct w:val="0"/>
        <w:bidi w:val="0"/>
        <w:spacing w:before="155" w:line="360" w:lineRule="auto"/>
        <w:ind w:firstLine="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我方在此声明，我方拟派往</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（项目名称）的项目经理</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（项目经理姓名）现阶段没有担任任何在施（包括已中标未开工、已开工未竣工）建设工程项目的项目经理。</w:t>
      </w:r>
    </w:p>
    <w:p w14:paraId="30B4DC4A">
      <w:pPr>
        <w:keepNext w:val="0"/>
        <w:keepLines w:val="0"/>
        <w:pageBreakBefore w:val="0"/>
        <w:wordWrap w:val="0"/>
        <w:overflowPunct/>
        <w:topLinePunct w:val="0"/>
        <w:bidi w:val="0"/>
        <w:spacing w:before="35" w:line="360" w:lineRule="auto"/>
        <w:ind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我方保证上述信息的真实和准确，并愿意承担因我方就此弄虚作假所引起的一切法律后果。</w:t>
      </w:r>
    </w:p>
    <w:p w14:paraId="3FFEA1FE">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CFADE2D">
      <w:pPr>
        <w:keepNext w:val="0"/>
        <w:keepLines w:val="0"/>
        <w:pageBreakBefore w:val="0"/>
        <w:wordWrap w:val="0"/>
        <w:overflowPunct/>
        <w:topLinePunct w:val="0"/>
        <w:bidi w:val="0"/>
        <w:spacing w:before="78" w:line="360" w:lineRule="auto"/>
        <w:ind w:left="48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特此承诺</w:t>
      </w:r>
    </w:p>
    <w:p w14:paraId="187690F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CA4FAA1">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6166C76">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7DB27C5">
      <w:pPr>
        <w:keepNext w:val="0"/>
        <w:keepLines w:val="0"/>
        <w:pageBreakBefore w:val="0"/>
        <w:wordWrap w:val="0"/>
        <w:overflowPunct/>
        <w:topLinePunct w:val="0"/>
        <w:bidi w:val="0"/>
        <w:spacing w:before="79"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（盖单位章）</w:t>
      </w:r>
    </w:p>
    <w:p w14:paraId="1AF704E9">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421D560">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188D609">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A29B34B">
      <w:pPr>
        <w:keepNext w:val="0"/>
        <w:keepLines w:val="0"/>
        <w:pageBreakBefore w:val="0"/>
        <w:wordWrap w:val="0"/>
        <w:overflowPunct/>
        <w:topLinePunct w:val="0"/>
        <w:bidi w:val="0"/>
        <w:spacing w:before="78"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法定代表人或其委托代理人：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（签字或盖章）</w:t>
      </w:r>
    </w:p>
    <w:p w14:paraId="6AD94480">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34EACCA">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48EEA26">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月</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日</w:t>
      </w:r>
    </w:p>
    <w:p w14:paraId="2C2A7387">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E9C11AF">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54" w:name="_Toc26647"/>
      <w:r>
        <w:rPr>
          <w:rFonts w:hint="eastAsia" w:ascii="宋体" w:hAnsi="宋体" w:eastAsia="宋体" w:cs="宋体"/>
          <w:b/>
          <w:bCs/>
          <w:color w:val="auto"/>
          <w:spacing w:val="0"/>
          <w:sz w:val="24"/>
          <w:szCs w:val="24"/>
          <w:highlight w:val="none"/>
        </w:rPr>
        <w:t>格式十 项目技术负责人简历表</w:t>
      </w:r>
      <w:bookmarkEnd w:id="254"/>
    </w:p>
    <w:p w14:paraId="4A542C8B">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9FD339A">
      <w:pPr>
        <w:keepNext w:val="0"/>
        <w:keepLines w:val="0"/>
        <w:pageBreakBefore w:val="0"/>
        <w:wordWrap w:val="0"/>
        <w:overflowPunct/>
        <w:topLinePunct w:val="0"/>
        <w:bidi w:val="0"/>
        <w:spacing w:before="97" w:line="360" w:lineRule="auto"/>
        <w:ind w:left="3087"/>
        <w:outlineLvl w:val="9"/>
        <w:rPr>
          <w:rFonts w:hint="eastAsia" w:ascii="宋体" w:hAnsi="宋体" w:eastAsia="宋体" w:cs="宋体"/>
          <w:color w:val="auto"/>
          <w:spacing w:val="0"/>
          <w:sz w:val="24"/>
          <w:szCs w:val="24"/>
          <w:highlight w:val="none"/>
        </w:rPr>
      </w:pPr>
      <w:bookmarkStart w:id="255" w:name="_Toc1553"/>
      <w:bookmarkStart w:id="256" w:name="_Toc25712"/>
      <w:r>
        <w:rPr>
          <w:rFonts w:hint="eastAsia" w:ascii="宋体" w:hAnsi="宋体" w:eastAsia="宋体" w:cs="宋体"/>
          <w:b/>
          <w:bCs/>
          <w:color w:val="auto"/>
          <w:spacing w:val="0"/>
          <w:sz w:val="24"/>
          <w:szCs w:val="24"/>
          <w:highlight w:val="none"/>
        </w:rPr>
        <w:t>项目技术负责人简历表</w:t>
      </w:r>
      <w:bookmarkEnd w:id="255"/>
      <w:bookmarkEnd w:id="256"/>
    </w:p>
    <w:p w14:paraId="76293364">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bl>
      <w:tblPr>
        <w:tblStyle w:val="16"/>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2EEC3E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center"/>
          </w:tcPr>
          <w:p w14:paraId="202B1A61">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姓   名</w:t>
            </w:r>
          </w:p>
        </w:tc>
        <w:tc>
          <w:tcPr>
            <w:tcW w:w="1282" w:type="dxa"/>
            <w:gridSpan w:val="2"/>
            <w:vAlign w:val="center"/>
          </w:tcPr>
          <w:p w14:paraId="35180F1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lang w:val="en-US" w:eastAsia="zh-CN"/>
              </w:rPr>
            </w:pPr>
          </w:p>
        </w:tc>
        <w:tc>
          <w:tcPr>
            <w:tcW w:w="1346" w:type="dxa"/>
            <w:vAlign w:val="center"/>
          </w:tcPr>
          <w:p w14:paraId="411B9C93">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性  别</w:t>
            </w:r>
          </w:p>
        </w:tc>
        <w:tc>
          <w:tcPr>
            <w:tcW w:w="2047" w:type="dxa"/>
            <w:vAlign w:val="center"/>
          </w:tcPr>
          <w:p w14:paraId="2F452FF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2A711865">
            <w:pPr>
              <w:keepNext w:val="0"/>
              <w:keepLines w:val="0"/>
              <w:pageBreakBefore w:val="0"/>
              <w:widowControl/>
              <w:kinsoku w:val="0"/>
              <w:wordWrap w:val="0"/>
              <w:overflowPunct/>
              <w:topLinePunct w:val="0"/>
              <w:autoSpaceDE w:val="0"/>
              <w:autoSpaceDN w:val="0"/>
              <w:bidi w:val="0"/>
              <w:adjustRightInd w:val="0"/>
              <w:snapToGrid w:val="0"/>
              <w:spacing w:before="17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龄</w:t>
            </w:r>
          </w:p>
        </w:tc>
        <w:tc>
          <w:tcPr>
            <w:tcW w:w="1386" w:type="dxa"/>
            <w:vAlign w:val="center"/>
          </w:tcPr>
          <w:p w14:paraId="5240B45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6C2B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center"/>
          </w:tcPr>
          <w:p w14:paraId="29B76BC5">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务</w:t>
            </w:r>
          </w:p>
        </w:tc>
        <w:tc>
          <w:tcPr>
            <w:tcW w:w="1282" w:type="dxa"/>
            <w:gridSpan w:val="2"/>
            <w:vAlign w:val="center"/>
          </w:tcPr>
          <w:p w14:paraId="307065D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46" w:type="dxa"/>
            <w:vAlign w:val="center"/>
          </w:tcPr>
          <w:p w14:paraId="2E6461F1">
            <w:pPr>
              <w:keepNext w:val="0"/>
              <w:keepLines w:val="0"/>
              <w:pageBreakBefore w:val="0"/>
              <w:widowControl/>
              <w:kinsoku w:val="0"/>
              <w:wordWrap w:val="0"/>
              <w:overflowPunct/>
              <w:topLinePunct w:val="0"/>
              <w:autoSpaceDE w:val="0"/>
              <w:autoSpaceDN w:val="0"/>
              <w:bidi w:val="0"/>
              <w:adjustRightInd w:val="0"/>
              <w:snapToGrid w:val="0"/>
              <w:spacing w:before="17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职  称</w:t>
            </w:r>
          </w:p>
        </w:tc>
        <w:tc>
          <w:tcPr>
            <w:tcW w:w="2047" w:type="dxa"/>
            <w:vAlign w:val="center"/>
          </w:tcPr>
          <w:p w14:paraId="59539D9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F83FFA8">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学   历</w:t>
            </w:r>
          </w:p>
        </w:tc>
        <w:tc>
          <w:tcPr>
            <w:tcW w:w="1386" w:type="dxa"/>
            <w:vAlign w:val="center"/>
          </w:tcPr>
          <w:p w14:paraId="46640CD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6C17D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center"/>
          </w:tcPr>
          <w:p w14:paraId="2A561424">
            <w:pPr>
              <w:keepNext w:val="0"/>
              <w:keepLines w:val="0"/>
              <w:pageBreakBefore w:val="0"/>
              <w:widowControl/>
              <w:kinsoku w:val="0"/>
              <w:wordWrap w:val="0"/>
              <w:overflowPunct/>
              <w:topLinePunct w:val="0"/>
              <w:autoSpaceDE w:val="0"/>
              <w:autoSpaceDN w:val="0"/>
              <w:bidi w:val="0"/>
              <w:adjustRightInd w:val="0"/>
              <w:snapToGrid w:val="0"/>
              <w:spacing w:before="17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参加工作时间</w:t>
            </w:r>
          </w:p>
        </w:tc>
        <w:tc>
          <w:tcPr>
            <w:tcW w:w="2628" w:type="dxa"/>
            <w:gridSpan w:val="3"/>
            <w:vAlign w:val="center"/>
          </w:tcPr>
          <w:p w14:paraId="14B0033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3830" w:type="dxa"/>
            <w:gridSpan w:val="2"/>
            <w:vAlign w:val="center"/>
          </w:tcPr>
          <w:p w14:paraId="0B864845">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从事工程建设项目管理工作年限</w:t>
            </w:r>
          </w:p>
        </w:tc>
        <w:tc>
          <w:tcPr>
            <w:tcW w:w="1386" w:type="dxa"/>
            <w:vAlign w:val="center"/>
          </w:tcPr>
          <w:p w14:paraId="18B2FE92">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C727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center"/>
          </w:tcPr>
          <w:p w14:paraId="0F93C385">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以项目技术负责人身份参与过的主要业绩（已完工项目）</w:t>
            </w:r>
          </w:p>
        </w:tc>
      </w:tr>
      <w:tr w14:paraId="259C5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center"/>
          </w:tcPr>
          <w:p w14:paraId="23B1418B">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1610" w:type="dxa"/>
            <w:gridSpan w:val="2"/>
            <w:vAlign w:val="center"/>
          </w:tcPr>
          <w:p w14:paraId="7FF7FF79">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项目名称</w:t>
            </w:r>
          </w:p>
        </w:tc>
        <w:tc>
          <w:tcPr>
            <w:tcW w:w="2021" w:type="dxa"/>
            <w:gridSpan w:val="2"/>
            <w:vAlign w:val="center"/>
          </w:tcPr>
          <w:p w14:paraId="7075F8FD">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2047" w:type="dxa"/>
            <w:vAlign w:val="center"/>
          </w:tcPr>
          <w:p w14:paraId="00179D26">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建设内容和规模</w:t>
            </w:r>
          </w:p>
        </w:tc>
        <w:tc>
          <w:tcPr>
            <w:tcW w:w="1783" w:type="dxa"/>
            <w:vAlign w:val="center"/>
          </w:tcPr>
          <w:p w14:paraId="236A707E">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开、竣工日期</w:t>
            </w:r>
          </w:p>
        </w:tc>
        <w:tc>
          <w:tcPr>
            <w:tcW w:w="1386" w:type="dxa"/>
            <w:vAlign w:val="center"/>
          </w:tcPr>
          <w:p w14:paraId="2BE768CF">
            <w:pPr>
              <w:keepNext w:val="0"/>
              <w:keepLines w:val="0"/>
              <w:pageBreakBefore w:val="0"/>
              <w:widowControl/>
              <w:kinsoku w:val="0"/>
              <w:wordWrap w:val="0"/>
              <w:overflowPunct/>
              <w:topLinePunct w:val="0"/>
              <w:autoSpaceDE w:val="0"/>
              <w:autoSpaceDN w:val="0"/>
              <w:bidi w:val="0"/>
              <w:adjustRightInd w:val="0"/>
              <w:snapToGrid w:val="0"/>
              <w:spacing w:before="176"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质量等级</w:t>
            </w:r>
          </w:p>
        </w:tc>
      </w:tr>
      <w:tr w14:paraId="04238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0F63873B">
            <w:pPr>
              <w:keepNext w:val="0"/>
              <w:keepLines w:val="0"/>
              <w:pageBreakBefore w:val="0"/>
              <w:widowControl/>
              <w:kinsoku w:val="0"/>
              <w:wordWrap w:val="0"/>
              <w:overflowPunct/>
              <w:topLinePunct w:val="0"/>
              <w:autoSpaceDE w:val="0"/>
              <w:autoSpaceDN w:val="0"/>
              <w:bidi w:val="0"/>
              <w:adjustRightInd w:val="0"/>
              <w:snapToGrid w:val="0"/>
              <w:spacing w:before="21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610" w:type="dxa"/>
            <w:gridSpan w:val="2"/>
            <w:vAlign w:val="center"/>
          </w:tcPr>
          <w:p w14:paraId="578F80B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6F99EC2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4631B1E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2230ED0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169407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3653F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center"/>
          </w:tcPr>
          <w:p w14:paraId="7F39EB96">
            <w:pPr>
              <w:keepNext w:val="0"/>
              <w:keepLines w:val="0"/>
              <w:pageBreakBefore w:val="0"/>
              <w:widowControl/>
              <w:kinsoku w:val="0"/>
              <w:wordWrap w:val="0"/>
              <w:overflowPunct/>
              <w:topLinePunct w:val="0"/>
              <w:autoSpaceDE w:val="0"/>
              <w:autoSpaceDN w:val="0"/>
              <w:bidi w:val="0"/>
              <w:adjustRightInd w:val="0"/>
              <w:snapToGrid w:val="0"/>
              <w:spacing w:before="21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610" w:type="dxa"/>
            <w:gridSpan w:val="2"/>
            <w:vAlign w:val="center"/>
          </w:tcPr>
          <w:p w14:paraId="2429E20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21F3968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187647C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2E10BA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2CCF984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0E2BD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C3BEFDC">
            <w:pPr>
              <w:keepNext w:val="0"/>
              <w:keepLines w:val="0"/>
              <w:pageBreakBefore w:val="0"/>
              <w:widowControl/>
              <w:kinsoku w:val="0"/>
              <w:wordWrap w:val="0"/>
              <w:overflowPunct/>
              <w:topLinePunct w:val="0"/>
              <w:autoSpaceDE w:val="0"/>
              <w:autoSpaceDN w:val="0"/>
              <w:bidi w:val="0"/>
              <w:adjustRightInd w:val="0"/>
              <w:snapToGrid w:val="0"/>
              <w:spacing w:before="178"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610" w:type="dxa"/>
            <w:gridSpan w:val="2"/>
            <w:vAlign w:val="center"/>
          </w:tcPr>
          <w:p w14:paraId="4CA19BC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3B5F7A6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2C82DE6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E92035E">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0264D79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6F797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center"/>
          </w:tcPr>
          <w:p w14:paraId="468DEEC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4D6AC80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477B400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1E64ACA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10A6E2C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262B31D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2483F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center"/>
          </w:tcPr>
          <w:p w14:paraId="46E9589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610" w:type="dxa"/>
            <w:gridSpan w:val="2"/>
            <w:vAlign w:val="center"/>
          </w:tcPr>
          <w:p w14:paraId="6C7700F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21" w:type="dxa"/>
            <w:gridSpan w:val="2"/>
            <w:vAlign w:val="center"/>
          </w:tcPr>
          <w:p w14:paraId="7FB1A63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2047" w:type="dxa"/>
            <w:vAlign w:val="center"/>
          </w:tcPr>
          <w:p w14:paraId="748C336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783" w:type="dxa"/>
            <w:vAlign w:val="center"/>
          </w:tcPr>
          <w:p w14:paraId="47051D9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386" w:type="dxa"/>
            <w:vAlign w:val="center"/>
          </w:tcPr>
          <w:p w14:paraId="5DDD380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bl>
    <w:p w14:paraId="65A12D51">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6CDD6A3">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3DA4F53">
      <w:pPr>
        <w:keepNext w:val="0"/>
        <w:keepLines w:val="0"/>
        <w:pageBreakBefore w:val="0"/>
        <w:wordWrap w:val="0"/>
        <w:overflowPunct/>
        <w:topLinePunct w:val="0"/>
        <w:bidi w:val="0"/>
        <w:spacing w:before="78" w:line="360" w:lineRule="auto"/>
        <w:ind w:left="5165"/>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（签字）</w:t>
      </w:r>
    </w:p>
    <w:p w14:paraId="765047AA">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48E9D4AF">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p>
    <w:p w14:paraId="7AFA30EA">
      <w:pPr>
        <w:pStyle w:val="6"/>
        <w:keepNext w:val="0"/>
        <w:keepLines w:val="0"/>
        <w:pageBreakBefore w:val="0"/>
        <w:wordWrap w:val="0"/>
        <w:overflowPunct/>
        <w:topLinePunct w:val="0"/>
        <w:bidi w:val="0"/>
        <w:spacing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年</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月</w:t>
      </w:r>
      <w:r>
        <w:rPr>
          <w:rFonts w:hint="eastAsia" w:ascii="宋体" w:hAnsi="宋体" w:eastAsia="宋体" w:cs="宋体"/>
          <w:snapToGrid w:val="0"/>
          <w:color w:val="auto"/>
          <w:spacing w:val="0"/>
          <w:kern w:val="0"/>
          <w:sz w:val="24"/>
          <w:szCs w:val="24"/>
          <w:highlight w:val="none"/>
          <w:u w:val="single"/>
        </w:rPr>
        <w:t xml:space="preserve">      </w:t>
      </w:r>
      <w:r>
        <w:rPr>
          <w:rFonts w:hint="eastAsia" w:ascii="宋体" w:hAnsi="宋体" w:eastAsia="宋体" w:cs="宋体"/>
          <w:snapToGrid w:val="0"/>
          <w:color w:val="auto"/>
          <w:spacing w:val="0"/>
          <w:kern w:val="0"/>
          <w:sz w:val="24"/>
          <w:szCs w:val="24"/>
          <w:highlight w:val="none"/>
        </w:rPr>
        <w:t>日</w:t>
      </w:r>
    </w:p>
    <w:p w14:paraId="6EF6B21B">
      <w:pPr>
        <w:keepNext w:val="0"/>
        <w:keepLines w:val="0"/>
        <w:pageBreakBefore w:val="0"/>
        <w:widowControl/>
        <w:kinsoku w:val="0"/>
        <w:wordWrap w:val="0"/>
        <w:overflowPunct/>
        <w:topLinePunct w:val="0"/>
        <w:autoSpaceDE w:val="0"/>
        <w:autoSpaceDN w:val="0"/>
        <w:bidi w:val="0"/>
        <w:adjustRightInd/>
        <w:snapToGrid/>
        <w:spacing w:before="6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说明：《项目技术负责人简历表》后应附拟派项目技术负责人以下资料：</w:t>
      </w:r>
    </w:p>
    <w:p w14:paraId="5ED95DA0">
      <w:pPr>
        <w:keepNext w:val="0"/>
        <w:keepLines w:val="0"/>
        <w:pageBreakBefore w:val="0"/>
        <w:widowControl/>
        <w:kinsoku w:val="0"/>
        <w:wordWrap w:val="0"/>
        <w:overflowPunct/>
        <w:topLinePunct w:val="0"/>
        <w:autoSpaceDE w:val="0"/>
        <w:autoSpaceDN w:val="0"/>
        <w:bidi w:val="0"/>
        <w:adjustRightInd/>
        <w:snapToGrid/>
        <w:spacing w:before="155"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．身份证彩色扫描件；</w:t>
      </w:r>
    </w:p>
    <w:p w14:paraId="1DB79E91">
      <w:pPr>
        <w:keepNext w:val="0"/>
        <w:keepLines w:val="0"/>
        <w:pageBreakBefore w:val="0"/>
        <w:widowControl/>
        <w:kinsoku w:val="0"/>
        <w:wordWrap w:val="0"/>
        <w:overflowPunct/>
        <w:topLinePunct w:val="0"/>
        <w:autoSpaceDE w:val="0"/>
        <w:autoSpaceDN w:val="0"/>
        <w:bidi w:val="0"/>
        <w:adjustRightInd/>
        <w:snapToGrid/>
        <w:spacing w:before="151"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 ．职称证彩色扫描件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w:t>
      </w:r>
    </w:p>
    <w:p w14:paraId="21264357">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 ．在本单位缴纳社保的证明（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，其中必须有</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 拟派项目技术负责人为退休返聘人员无法提供社保证明的，提供退休证和劳动合同彩色扫描件。</w:t>
      </w:r>
    </w:p>
    <w:p w14:paraId="6422CCA0">
      <w:pPr>
        <w:keepNext w:val="0"/>
        <w:keepLines w:val="0"/>
        <w:pageBreakBefore w:val="0"/>
        <w:widowControl/>
        <w:kinsoku w:val="0"/>
        <w:wordWrap w:val="0"/>
        <w:overflowPunct/>
        <w:topLinePunct w:val="0"/>
        <w:autoSpaceDE w:val="0"/>
        <w:autoSpaceDN w:val="0"/>
        <w:bidi w:val="0"/>
        <w:adjustRightInd/>
        <w:snapToGrid/>
        <w:spacing w:before="153" w:line="360" w:lineRule="auto"/>
        <w:ind w:left="0" w:right="0" w:firstLine="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 ．“进粤企业和人员诚信信息登记平台 ”个人信息情况截图。（适用于省外建筑企业）</w:t>
      </w:r>
    </w:p>
    <w:p w14:paraId="2833B1E2">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40C4B517">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57" w:name="_Toc2981"/>
      <w:r>
        <w:rPr>
          <w:rFonts w:hint="eastAsia" w:ascii="宋体" w:hAnsi="宋体" w:eastAsia="宋体" w:cs="宋体"/>
          <w:b/>
          <w:bCs/>
          <w:color w:val="auto"/>
          <w:spacing w:val="0"/>
          <w:sz w:val="24"/>
          <w:szCs w:val="24"/>
          <w:highlight w:val="none"/>
        </w:rPr>
        <w:t>格式十一 项目管理机构组成表</w:t>
      </w:r>
      <w:bookmarkEnd w:id="257"/>
    </w:p>
    <w:p w14:paraId="3B084A82">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5B0F7B1">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DF3D9BA">
      <w:pPr>
        <w:keepNext w:val="0"/>
        <w:keepLines w:val="0"/>
        <w:pageBreakBefore w:val="0"/>
        <w:wordWrap w:val="0"/>
        <w:overflowPunct/>
        <w:topLinePunct w:val="0"/>
        <w:bidi w:val="0"/>
        <w:spacing w:before="97" w:line="360" w:lineRule="auto"/>
        <w:ind w:left="3200"/>
        <w:outlineLvl w:val="9"/>
        <w:rPr>
          <w:rFonts w:hint="eastAsia" w:ascii="宋体" w:hAnsi="宋体" w:eastAsia="宋体" w:cs="宋体"/>
          <w:color w:val="auto"/>
          <w:spacing w:val="0"/>
          <w:sz w:val="24"/>
          <w:szCs w:val="24"/>
          <w:highlight w:val="none"/>
        </w:rPr>
      </w:pPr>
      <w:bookmarkStart w:id="258" w:name="bookmark158"/>
      <w:bookmarkEnd w:id="258"/>
      <w:bookmarkStart w:id="259" w:name="_Toc28765"/>
      <w:bookmarkStart w:id="260" w:name="_Toc19973"/>
      <w:r>
        <w:rPr>
          <w:rFonts w:hint="eastAsia" w:ascii="宋体" w:hAnsi="宋体" w:eastAsia="宋体" w:cs="宋体"/>
          <w:b/>
          <w:bCs/>
          <w:color w:val="auto"/>
          <w:spacing w:val="0"/>
          <w:sz w:val="24"/>
          <w:szCs w:val="24"/>
          <w:highlight w:val="none"/>
        </w:rPr>
        <w:t>项目管理机构组成表</w:t>
      </w:r>
      <w:bookmarkEnd w:id="259"/>
      <w:bookmarkEnd w:id="260"/>
    </w:p>
    <w:p w14:paraId="14B78991">
      <w:pPr>
        <w:keepNext w:val="0"/>
        <w:keepLines w:val="0"/>
        <w:pageBreakBefore w:val="0"/>
        <w:wordWrap w:val="0"/>
        <w:overflowPunct/>
        <w:topLinePunct w:val="0"/>
        <w:bidi w:val="0"/>
        <w:spacing w:before="7" w:line="360" w:lineRule="auto"/>
        <w:rPr>
          <w:rFonts w:hint="eastAsia" w:ascii="宋体" w:hAnsi="宋体" w:eastAsia="宋体" w:cs="宋体"/>
          <w:color w:val="auto"/>
          <w:spacing w:val="0"/>
          <w:sz w:val="24"/>
          <w:szCs w:val="24"/>
          <w:highlight w:val="none"/>
        </w:rPr>
      </w:pPr>
    </w:p>
    <w:tbl>
      <w:tblPr>
        <w:tblStyle w:val="16"/>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503260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center"/>
          </w:tcPr>
          <w:p w14:paraId="60869D9E">
            <w:pPr>
              <w:keepNext w:val="0"/>
              <w:keepLines w:val="0"/>
              <w:pageBreakBefore w:val="0"/>
              <w:widowControl/>
              <w:kinsoku w:val="0"/>
              <w:wordWrap w:val="0"/>
              <w:overflowPunct/>
              <w:topLinePunct w:val="0"/>
              <w:autoSpaceDE w:val="0"/>
              <w:autoSpaceDN w:val="0"/>
              <w:bidi w:val="0"/>
              <w:adjustRightInd w:val="0"/>
              <w:snapToGrid w:val="0"/>
              <w:spacing w:before="229"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序号</w:t>
            </w:r>
          </w:p>
        </w:tc>
        <w:tc>
          <w:tcPr>
            <w:tcW w:w="1939" w:type="dxa"/>
            <w:vAlign w:val="center"/>
          </w:tcPr>
          <w:p w14:paraId="7439BD66">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岗位</w:t>
            </w:r>
          </w:p>
        </w:tc>
        <w:tc>
          <w:tcPr>
            <w:tcW w:w="1567" w:type="dxa"/>
            <w:vAlign w:val="center"/>
          </w:tcPr>
          <w:p w14:paraId="7EBB74F3">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姓名</w:t>
            </w:r>
          </w:p>
        </w:tc>
        <w:tc>
          <w:tcPr>
            <w:tcW w:w="1017" w:type="dxa"/>
            <w:vAlign w:val="center"/>
          </w:tcPr>
          <w:p w14:paraId="3DE10A85">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性别</w:t>
            </w:r>
          </w:p>
        </w:tc>
        <w:tc>
          <w:tcPr>
            <w:tcW w:w="1002" w:type="dxa"/>
            <w:vAlign w:val="center"/>
          </w:tcPr>
          <w:p w14:paraId="3050ABB3">
            <w:pPr>
              <w:keepNext w:val="0"/>
              <w:keepLines w:val="0"/>
              <w:pageBreakBefore w:val="0"/>
              <w:widowControl/>
              <w:kinsoku w:val="0"/>
              <w:wordWrap w:val="0"/>
              <w:overflowPunct/>
              <w:topLinePunct w:val="0"/>
              <w:autoSpaceDE w:val="0"/>
              <w:autoSpaceDN w:val="0"/>
              <w:bidi w:val="0"/>
              <w:adjustRightInd w:val="0"/>
              <w:snapToGrid w:val="0"/>
              <w:spacing w:before="229"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年龄</w:t>
            </w:r>
          </w:p>
        </w:tc>
        <w:tc>
          <w:tcPr>
            <w:tcW w:w="1551" w:type="dxa"/>
            <w:vAlign w:val="center"/>
          </w:tcPr>
          <w:p w14:paraId="59C156EA">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职称</w:t>
            </w:r>
          </w:p>
        </w:tc>
        <w:tc>
          <w:tcPr>
            <w:tcW w:w="1926" w:type="dxa"/>
            <w:vAlign w:val="center"/>
          </w:tcPr>
          <w:p w14:paraId="7FE3C975">
            <w:pPr>
              <w:keepNext w:val="0"/>
              <w:keepLines w:val="0"/>
              <w:pageBreakBefore w:val="0"/>
              <w:widowControl/>
              <w:kinsoku w:val="0"/>
              <w:wordWrap w:val="0"/>
              <w:overflowPunct/>
              <w:topLinePunct w:val="0"/>
              <w:autoSpaceDE w:val="0"/>
              <w:autoSpaceDN w:val="0"/>
              <w:bidi w:val="0"/>
              <w:adjustRightInd w:val="0"/>
              <w:snapToGrid w:val="0"/>
              <w:spacing w:before="228" w:line="360" w:lineRule="auto"/>
              <w:ind w:left="0"/>
              <w:jc w:val="center"/>
              <w:textAlignment w:val="baseline"/>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t>备注</w:t>
            </w:r>
          </w:p>
        </w:tc>
      </w:tr>
      <w:tr w14:paraId="1711D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634" w:type="dxa"/>
            <w:vAlign w:val="center"/>
          </w:tcPr>
          <w:p w14:paraId="36AB410A">
            <w:pPr>
              <w:keepNext w:val="0"/>
              <w:keepLines w:val="0"/>
              <w:pageBreakBefore w:val="0"/>
              <w:widowControl/>
              <w:kinsoku w:val="0"/>
              <w:wordWrap w:val="0"/>
              <w:overflowPunct/>
              <w:topLinePunct w:val="0"/>
              <w:autoSpaceDE w:val="0"/>
              <w:autoSpaceDN w:val="0"/>
              <w:bidi w:val="0"/>
              <w:adjustRightInd w:val="0"/>
              <w:snapToGrid w:val="0"/>
              <w:spacing w:before="18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1939" w:type="dxa"/>
            <w:vAlign w:val="center"/>
          </w:tcPr>
          <w:p w14:paraId="1997300C">
            <w:pPr>
              <w:keepNext w:val="0"/>
              <w:keepLines w:val="0"/>
              <w:pageBreakBefore w:val="0"/>
              <w:widowControl/>
              <w:kinsoku w:val="0"/>
              <w:wordWrap w:val="0"/>
              <w:overflowPunct/>
              <w:topLinePunct w:val="0"/>
              <w:autoSpaceDE w:val="0"/>
              <w:autoSpaceDN w:val="0"/>
              <w:bidi w:val="0"/>
              <w:adjustRightInd w:val="0"/>
              <w:snapToGrid w:val="0"/>
              <w:spacing w:before="150"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项目经理</w:t>
            </w:r>
          </w:p>
        </w:tc>
        <w:tc>
          <w:tcPr>
            <w:tcW w:w="1567" w:type="dxa"/>
            <w:vAlign w:val="center"/>
          </w:tcPr>
          <w:p w14:paraId="05C5473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7F30F4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0F1D6EB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1672C6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DE9F02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2165C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634" w:type="dxa"/>
            <w:vAlign w:val="center"/>
          </w:tcPr>
          <w:p w14:paraId="31D50A1B">
            <w:pPr>
              <w:keepNext w:val="0"/>
              <w:keepLines w:val="0"/>
              <w:pageBreakBefore w:val="0"/>
              <w:widowControl/>
              <w:kinsoku w:val="0"/>
              <w:wordWrap w:val="0"/>
              <w:overflowPunct/>
              <w:topLinePunct w:val="0"/>
              <w:autoSpaceDE w:val="0"/>
              <w:autoSpaceDN w:val="0"/>
              <w:bidi w:val="0"/>
              <w:adjustRightInd w:val="0"/>
              <w:snapToGrid w:val="0"/>
              <w:spacing w:before="187"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1939" w:type="dxa"/>
            <w:vAlign w:val="center"/>
          </w:tcPr>
          <w:p w14:paraId="3A12DDFD">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项目技术负责人</w:t>
            </w:r>
          </w:p>
        </w:tc>
        <w:tc>
          <w:tcPr>
            <w:tcW w:w="1567" w:type="dxa"/>
            <w:vAlign w:val="center"/>
          </w:tcPr>
          <w:p w14:paraId="6A048FE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62616D6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290403F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513D574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4350E5E">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C2BE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jc w:val="center"/>
        </w:trPr>
        <w:tc>
          <w:tcPr>
            <w:tcW w:w="634" w:type="dxa"/>
            <w:vMerge w:val="restart"/>
            <w:vAlign w:val="center"/>
          </w:tcPr>
          <w:p w14:paraId="7FC001D7">
            <w:pPr>
              <w:keepNext w:val="0"/>
              <w:keepLines w:val="0"/>
              <w:pageBreakBefore w:val="0"/>
              <w:widowControl/>
              <w:kinsoku w:val="0"/>
              <w:wordWrap w:val="0"/>
              <w:overflowPunct/>
              <w:topLinePunct w:val="0"/>
              <w:autoSpaceDE w:val="0"/>
              <w:autoSpaceDN w:val="0"/>
              <w:bidi w:val="0"/>
              <w:adjustRightInd w:val="0"/>
              <w:snapToGrid w:val="0"/>
              <w:spacing w:before="189" w:line="360" w:lineRule="auto"/>
              <w:ind w:left="0"/>
              <w:jc w:val="center"/>
              <w:textAlignment w:val="baseline"/>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1939" w:type="dxa"/>
            <w:vMerge w:val="restart"/>
            <w:vAlign w:val="center"/>
          </w:tcPr>
          <w:p w14:paraId="35920EAB">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专职安全员</w:t>
            </w:r>
          </w:p>
        </w:tc>
        <w:tc>
          <w:tcPr>
            <w:tcW w:w="1567" w:type="dxa"/>
            <w:vAlign w:val="center"/>
          </w:tcPr>
          <w:p w14:paraId="539D56F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06625F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934B0B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733019E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2A7AA2A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32863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jc w:val="center"/>
        </w:trPr>
        <w:tc>
          <w:tcPr>
            <w:tcW w:w="634" w:type="dxa"/>
            <w:vMerge w:val="continue"/>
            <w:vAlign w:val="center"/>
          </w:tcPr>
          <w:p w14:paraId="4A16D275">
            <w:pPr>
              <w:keepNext w:val="0"/>
              <w:keepLines w:val="0"/>
              <w:pageBreakBefore w:val="0"/>
              <w:widowControl/>
              <w:kinsoku w:val="0"/>
              <w:wordWrap w:val="0"/>
              <w:overflowPunct/>
              <w:topLinePunct w:val="0"/>
              <w:autoSpaceDE w:val="0"/>
              <w:autoSpaceDN w:val="0"/>
              <w:bidi w:val="0"/>
              <w:adjustRightInd w:val="0"/>
              <w:snapToGrid w:val="0"/>
              <w:spacing w:before="189" w:line="360" w:lineRule="auto"/>
              <w:ind w:left="0"/>
              <w:jc w:val="center"/>
              <w:textAlignment w:val="baseline"/>
              <w:rPr>
                <w:rFonts w:hint="eastAsia" w:ascii="宋体" w:hAnsi="宋体" w:eastAsia="宋体" w:cs="宋体"/>
                <w:color w:val="auto"/>
                <w:spacing w:val="0"/>
                <w:sz w:val="24"/>
                <w:szCs w:val="24"/>
                <w:highlight w:val="none"/>
                <w:lang w:val="en-US" w:eastAsia="zh-CN"/>
              </w:rPr>
            </w:pPr>
          </w:p>
        </w:tc>
        <w:tc>
          <w:tcPr>
            <w:tcW w:w="1939" w:type="dxa"/>
            <w:vMerge w:val="continue"/>
            <w:vAlign w:val="center"/>
          </w:tcPr>
          <w:p w14:paraId="1D5AF5FC">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1E34D8B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59ACABC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B228FE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67AABEE5">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69BFC9C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7A7F7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9" w:hRule="atLeast"/>
          <w:jc w:val="center"/>
        </w:trPr>
        <w:tc>
          <w:tcPr>
            <w:tcW w:w="634" w:type="dxa"/>
            <w:vMerge w:val="continue"/>
            <w:vAlign w:val="center"/>
          </w:tcPr>
          <w:p w14:paraId="6A894927">
            <w:pPr>
              <w:keepNext w:val="0"/>
              <w:keepLines w:val="0"/>
              <w:pageBreakBefore w:val="0"/>
              <w:widowControl/>
              <w:kinsoku w:val="0"/>
              <w:wordWrap w:val="0"/>
              <w:overflowPunct/>
              <w:topLinePunct w:val="0"/>
              <w:autoSpaceDE w:val="0"/>
              <w:autoSpaceDN w:val="0"/>
              <w:bidi w:val="0"/>
              <w:adjustRightInd w:val="0"/>
              <w:snapToGrid w:val="0"/>
              <w:spacing w:before="189" w:line="360" w:lineRule="auto"/>
              <w:ind w:left="0"/>
              <w:jc w:val="center"/>
              <w:textAlignment w:val="baseline"/>
              <w:rPr>
                <w:rFonts w:hint="eastAsia" w:ascii="宋体" w:hAnsi="宋体" w:eastAsia="宋体" w:cs="宋体"/>
                <w:color w:val="auto"/>
                <w:spacing w:val="0"/>
                <w:sz w:val="24"/>
                <w:szCs w:val="24"/>
                <w:highlight w:val="none"/>
                <w:lang w:val="en-US" w:eastAsia="zh-CN"/>
              </w:rPr>
            </w:pPr>
          </w:p>
        </w:tc>
        <w:tc>
          <w:tcPr>
            <w:tcW w:w="1939" w:type="dxa"/>
            <w:vMerge w:val="continue"/>
            <w:vAlign w:val="center"/>
          </w:tcPr>
          <w:p w14:paraId="1BE258A8">
            <w:pPr>
              <w:keepNext w:val="0"/>
              <w:keepLines w:val="0"/>
              <w:pageBreakBefore w:val="0"/>
              <w:widowControl/>
              <w:kinsoku w:val="0"/>
              <w:wordWrap w:val="0"/>
              <w:overflowPunct/>
              <w:topLinePunct w:val="0"/>
              <w:autoSpaceDE w:val="0"/>
              <w:autoSpaceDN w:val="0"/>
              <w:bidi w:val="0"/>
              <w:adjustRightInd w:val="0"/>
              <w:snapToGrid w:val="0"/>
              <w:spacing w:before="153" w:line="360" w:lineRule="auto"/>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3863181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02F18F4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A4B68D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6269E5F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3C09FDB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10559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634" w:type="dxa"/>
            <w:vAlign w:val="center"/>
          </w:tcPr>
          <w:p w14:paraId="0773F671">
            <w:pPr>
              <w:keepNext w:val="0"/>
              <w:keepLines w:val="0"/>
              <w:pageBreakBefore w:val="0"/>
              <w:widowControl/>
              <w:kinsoku w:val="0"/>
              <w:wordWrap w:val="0"/>
              <w:overflowPunct/>
              <w:topLinePunct w:val="0"/>
              <w:autoSpaceDE w:val="0"/>
              <w:autoSpaceDN w:val="0"/>
              <w:bidi w:val="0"/>
              <w:adjustRightInd w:val="0"/>
              <w:snapToGrid w:val="0"/>
              <w:spacing w:before="188"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w:t>
            </w:r>
          </w:p>
        </w:tc>
        <w:tc>
          <w:tcPr>
            <w:tcW w:w="1939" w:type="dxa"/>
            <w:vAlign w:val="center"/>
          </w:tcPr>
          <w:p w14:paraId="30C10F88">
            <w:pPr>
              <w:keepNext w:val="0"/>
              <w:keepLines w:val="0"/>
              <w:pageBreakBefore w:val="0"/>
              <w:widowControl/>
              <w:kinsoku w:val="0"/>
              <w:wordWrap w:val="0"/>
              <w:overflowPunct/>
              <w:topLinePunct w:val="0"/>
              <w:autoSpaceDE w:val="0"/>
              <w:autoSpaceDN w:val="0"/>
              <w:bidi w:val="0"/>
              <w:adjustRightInd w:val="0"/>
              <w:snapToGrid w:val="0"/>
              <w:spacing w:before="152"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施工员</w:t>
            </w:r>
          </w:p>
        </w:tc>
        <w:tc>
          <w:tcPr>
            <w:tcW w:w="1567" w:type="dxa"/>
            <w:vAlign w:val="center"/>
          </w:tcPr>
          <w:p w14:paraId="05CA2BD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10108C0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34A0A4E6">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D97556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48296E49">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131EE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jc w:val="center"/>
        </w:trPr>
        <w:tc>
          <w:tcPr>
            <w:tcW w:w="634" w:type="dxa"/>
            <w:vAlign w:val="center"/>
          </w:tcPr>
          <w:p w14:paraId="1C720381">
            <w:pPr>
              <w:keepNext w:val="0"/>
              <w:keepLines w:val="0"/>
              <w:pageBreakBefore w:val="0"/>
              <w:widowControl/>
              <w:kinsoku w:val="0"/>
              <w:wordWrap w:val="0"/>
              <w:overflowPunct/>
              <w:topLinePunct w:val="0"/>
              <w:autoSpaceDE w:val="0"/>
              <w:autoSpaceDN w:val="0"/>
              <w:bidi w:val="0"/>
              <w:adjustRightInd w:val="0"/>
              <w:snapToGrid w:val="0"/>
              <w:spacing w:before="193"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w:t>
            </w:r>
          </w:p>
        </w:tc>
        <w:tc>
          <w:tcPr>
            <w:tcW w:w="1939" w:type="dxa"/>
            <w:vAlign w:val="center"/>
          </w:tcPr>
          <w:p w14:paraId="3CAE22C0">
            <w:pPr>
              <w:keepNext w:val="0"/>
              <w:keepLines w:val="0"/>
              <w:pageBreakBefore w:val="0"/>
              <w:widowControl/>
              <w:kinsoku w:val="0"/>
              <w:wordWrap w:val="0"/>
              <w:overflowPunct/>
              <w:topLinePunct w:val="0"/>
              <w:autoSpaceDE w:val="0"/>
              <w:autoSpaceDN w:val="0"/>
              <w:bidi w:val="0"/>
              <w:adjustRightInd w:val="0"/>
              <w:snapToGrid w:val="0"/>
              <w:spacing w:before="15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质量员</w:t>
            </w:r>
          </w:p>
        </w:tc>
        <w:tc>
          <w:tcPr>
            <w:tcW w:w="1567" w:type="dxa"/>
            <w:vAlign w:val="center"/>
          </w:tcPr>
          <w:p w14:paraId="16086B6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03D9B6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465E507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1AC236B1">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1B74D74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3A35A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jc w:val="center"/>
        </w:trPr>
        <w:tc>
          <w:tcPr>
            <w:tcW w:w="634" w:type="dxa"/>
            <w:vAlign w:val="center"/>
          </w:tcPr>
          <w:p w14:paraId="2DD916FB">
            <w:pPr>
              <w:keepNext w:val="0"/>
              <w:keepLines w:val="0"/>
              <w:pageBreakBefore w:val="0"/>
              <w:widowControl/>
              <w:kinsoku w:val="0"/>
              <w:wordWrap w:val="0"/>
              <w:overflowPunct/>
              <w:topLinePunct w:val="0"/>
              <w:autoSpaceDE w:val="0"/>
              <w:autoSpaceDN w:val="0"/>
              <w:bidi w:val="0"/>
              <w:adjustRightInd w:val="0"/>
              <w:snapToGrid w:val="0"/>
              <w:spacing w:before="191"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6</w:t>
            </w:r>
          </w:p>
        </w:tc>
        <w:tc>
          <w:tcPr>
            <w:tcW w:w="1939" w:type="dxa"/>
            <w:vAlign w:val="center"/>
          </w:tcPr>
          <w:p w14:paraId="00D908A3">
            <w:pPr>
              <w:keepNext w:val="0"/>
              <w:keepLines w:val="0"/>
              <w:pageBreakBefore w:val="0"/>
              <w:widowControl/>
              <w:kinsoku w:val="0"/>
              <w:wordWrap w:val="0"/>
              <w:overflowPunct/>
              <w:topLinePunct w:val="0"/>
              <w:autoSpaceDE w:val="0"/>
              <w:autoSpaceDN w:val="0"/>
              <w:bidi w:val="0"/>
              <w:adjustRightInd w:val="0"/>
              <w:snapToGrid w:val="0"/>
              <w:spacing w:before="155"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材料员</w:t>
            </w:r>
          </w:p>
        </w:tc>
        <w:tc>
          <w:tcPr>
            <w:tcW w:w="1567" w:type="dxa"/>
            <w:vAlign w:val="center"/>
          </w:tcPr>
          <w:p w14:paraId="7A4124E4">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1B90CF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7429CA6B">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355EF2BE">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3D80AEAF">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596C3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34" w:type="dxa"/>
            <w:vAlign w:val="center"/>
          </w:tcPr>
          <w:p w14:paraId="4F1DC0C4">
            <w:pPr>
              <w:keepNext w:val="0"/>
              <w:keepLines w:val="0"/>
              <w:pageBreakBefore w:val="0"/>
              <w:widowControl/>
              <w:kinsoku w:val="0"/>
              <w:wordWrap w:val="0"/>
              <w:overflowPunct/>
              <w:topLinePunct w:val="0"/>
              <w:autoSpaceDE w:val="0"/>
              <w:autoSpaceDN w:val="0"/>
              <w:bidi w:val="0"/>
              <w:adjustRightInd w:val="0"/>
              <w:snapToGrid w:val="0"/>
              <w:spacing w:before="192"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7</w:t>
            </w:r>
          </w:p>
        </w:tc>
        <w:tc>
          <w:tcPr>
            <w:tcW w:w="1939" w:type="dxa"/>
            <w:vAlign w:val="center"/>
          </w:tcPr>
          <w:p w14:paraId="2B81E2B2">
            <w:pPr>
              <w:keepNext w:val="0"/>
              <w:keepLines w:val="0"/>
              <w:pageBreakBefore w:val="0"/>
              <w:widowControl/>
              <w:kinsoku w:val="0"/>
              <w:wordWrap w:val="0"/>
              <w:overflowPunct/>
              <w:topLinePunct w:val="0"/>
              <w:autoSpaceDE w:val="0"/>
              <w:autoSpaceDN w:val="0"/>
              <w:bidi w:val="0"/>
              <w:adjustRightInd w:val="0"/>
              <w:snapToGrid w:val="0"/>
              <w:spacing w:before="15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资料员</w:t>
            </w:r>
          </w:p>
        </w:tc>
        <w:tc>
          <w:tcPr>
            <w:tcW w:w="1567" w:type="dxa"/>
            <w:vAlign w:val="center"/>
          </w:tcPr>
          <w:p w14:paraId="5830ACFC">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2BE2E7C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1AEE4D9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462B06F0">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75D8694A">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r w14:paraId="66E88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center"/>
          </w:tcPr>
          <w:p w14:paraId="01C28551">
            <w:pPr>
              <w:keepNext w:val="0"/>
              <w:keepLines w:val="0"/>
              <w:pageBreakBefore w:val="0"/>
              <w:widowControl/>
              <w:kinsoku w:val="0"/>
              <w:wordWrap w:val="0"/>
              <w:overflowPunct/>
              <w:topLinePunct w:val="0"/>
              <w:autoSpaceDE w:val="0"/>
              <w:autoSpaceDN w:val="0"/>
              <w:bidi w:val="0"/>
              <w:adjustRightInd w:val="0"/>
              <w:snapToGrid w:val="0"/>
              <w:spacing w:before="154" w:line="360" w:lineRule="auto"/>
              <w:ind w:left="0"/>
              <w:jc w:val="center"/>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3"/>
                <w:sz w:val="24"/>
                <w:szCs w:val="24"/>
                <w:highlight w:val="none"/>
              </w:rPr>
              <w:t>……</w:t>
            </w:r>
          </w:p>
        </w:tc>
        <w:tc>
          <w:tcPr>
            <w:tcW w:w="1939" w:type="dxa"/>
            <w:vAlign w:val="center"/>
          </w:tcPr>
          <w:p w14:paraId="40723A72">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67" w:type="dxa"/>
            <w:vAlign w:val="center"/>
          </w:tcPr>
          <w:p w14:paraId="7F1F6AE8">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17" w:type="dxa"/>
            <w:vAlign w:val="center"/>
          </w:tcPr>
          <w:p w14:paraId="77322F0D">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002" w:type="dxa"/>
            <w:vAlign w:val="center"/>
          </w:tcPr>
          <w:p w14:paraId="62FB4EA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551" w:type="dxa"/>
            <w:vAlign w:val="center"/>
          </w:tcPr>
          <w:p w14:paraId="2D6E46A7">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c>
          <w:tcPr>
            <w:tcW w:w="1926" w:type="dxa"/>
            <w:vAlign w:val="center"/>
          </w:tcPr>
          <w:p w14:paraId="52450073">
            <w:pPr>
              <w:pStyle w:val="29"/>
              <w:keepNext w:val="0"/>
              <w:keepLines w:val="0"/>
              <w:pageBreakBefore w:val="0"/>
              <w:widowControl/>
              <w:kinsoku w:val="0"/>
              <w:wordWrap w:val="0"/>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pacing w:val="0"/>
                <w:sz w:val="24"/>
                <w:szCs w:val="24"/>
                <w:highlight w:val="none"/>
              </w:rPr>
            </w:pPr>
          </w:p>
        </w:tc>
      </w:tr>
    </w:tbl>
    <w:p w14:paraId="1A2216AD">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469D01B">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说明：</w:t>
      </w:r>
    </w:p>
    <w:p w14:paraId="39CA077E">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 ．《项目管理机构组成表》后应附表中拟派人员（项目经理、项目技术负责人除外）以下资料：</w:t>
      </w:r>
    </w:p>
    <w:p w14:paraId="0CE589C1">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jc w:val="left"/>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身份证彩色扫描件；</w:t>
      </w:r>
    </w:p>
    <w:p w14:paraId="02AA64CE">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3CEAFCD3">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在本单位缴纳社保的证明（</w:t>
      </w:r>
      <w:r>
        <w:rPr>
          <w:rFonts w:hint="eastAsia" w:ascii="宋体" w:hAnsi="宋体" w:eastAsia="宋体" w:cs="宋体"/>
          <w:color w:val="auto"/>
          <w:spacing w:val="0"/>
          <w:sz w:val="24"/>
          <w:szCs w:val="24"/>
          <w:highlight w:val="none"/>
          <w:lang w:eastAsia="zh-CN"/>
        </w:rPr>
        <w:t>至少</w:t>
      </w:r>
      <w:r>
        <w:rPr>
          <w:rFonts w:hint="eastAsia" w:ascii="宋体" w:hAnsi="宋体" w:eastAsia="宋体"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lang w:eastAsia="zh-CN"/>
        </w:rPr>
        <w:t>个月</w:t>
      </w:r>
      <w:r>
        <w:rPr>
          <w:rFonts w:hint="eastAsia" w:ascii="宋体" w:hAnsi="宋体" w:eastAsia="宋体" w:cs="宋体"/>
          <w:color w:val="auto"/>
          <w:spacing w:val="0"/>
          <w:sz w:val="24"/>
          <w:szCs w:val="24"/>
          <w:highlight w:val="none"/>
        </w:rPr>
        <w:t>，其中必须有</w:t>
      </w:r>
      <w:r>
        <w:rPr>
          <w:rFonts w:hint="eastAsia" w:ascii="宋体" w:hAnsi="宋体" w:eastAsia="宋体" w:cs="宋体"/>
          <w:color w:val="auto"/>
          <w:spacing w:val="0"/>
          <w:sz w:val="24"/>
          <w:szCs w:val="24"/>
          <w:highlight w:val="none"/>
          <w:lang w:eastAsia="zh-CN"/>
        </w:rPr>
        <w:t>202</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年</w:t>
      </w:r>
      <w:r>
        <w:rPr>
          <w:rFonts w:hint="eastAsia" w:ascii="宋体" w:hAnsi="宋体" w:eastAsia="宋体"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rPr>
        <w:t>月）扫描件</w:t>
      </w:r>
      <w:r>
        <w:rPr>
          <w:rFonts w:hint="eastAsia" w:ascii="宋体" w:hAnsi="宋体" w:eastAsia="宋体" w:cs="宋体"/>
          <w:color w:val="auto"/>
          <w:spacing w:val="0"/>
          <w:sz w:val="24"/>
          <w:szCs w:val="24"/>
          <w:highlight w:val="none"/>
          <w:lang w:val="en-US" w:eastAsia="zh-CN"/>
        </w:rPr>
        <w:t>或打印件</w:t>
      </w:r>
      <w:r>
        <w:rPr>
          <w:rFonts w:hint="eastAsia" w:ascii="宋体" w:hAnsi="宋体" w:eastAsia="宋体" w:cs="宋体"/>
          <w:color w:val="auto"/>
          <w:spacing w:val="0"/>
          <w:sz w:val="24"/>
          <w:szCs w:val="24"/>
          <w:highlight w:val="none"/>
        </w:rPr>
        <w:t>。拟派</w:t>
      </w:r>
      <w:r>
        <w:rPr>
          <w:rFonts w:hint="eastAsia" w:ascii="宋体" w:hAnsi="宋体" w:eastAsia="宋体" w:cs="宋体"/>
          <w:color w:val="auto"/>
          <w:spacing w:val="0"/>
          <w:sz w:val="24"/>
          <w:szCs w:val="24"/>
          <w:highlight w:val="none"/>
          <w:lang w:val="en-US" w:eastAsia="zh-CN"/>
        </w:rPr>
        <w:t>人员</w:t>
      </w:r>
      <w:r>
        <w:rPr>
          <w:rFonts w:hint="eastAsia" w:ascii="宋体" w:hAnsi="宋体" w:eastAsia="宋体" w:cs="宋体"/>
          <w:color w:val="auto"/>
          <w:spacing w:val="0"/>
          <w:sz w:val="24"/>
          <w:szCs w:val="24"/>
          <w:highlight w:val="none"/>
        </w:rPr>
        <w:t>为退休返聘人员无法提供社保证明的，提供退休证和劳动合同彩色扫描件。</w:t>
      </w:r>
    </w:p>
    <w:p w14:paraId="61E286EA">
      <w:pPr>
        <w:keepNext w:val="0"/>
        <w:keepLines w:val="0"/>
        <w:pageBreakBefore w:val="0"/>
        <w:widowControl/>
        <w:kinsoku w:val="0"/>
        <w:wordWrap w:val="0"/>
        <w:overflowPunct/>
        <w:topLinePunct w:val="0"/>
        <w:autoSpaceDE w:val="0"/>
        <w:autoSpaceDN w:val="0"/>
        <w:bidi w:val="0"/>
        <w:adjustRightInd/>
        <w:snapToGrid/>
        <w:spacing w:line="360" w:lineRule="auto"/>
        <w:ind w:left="0" w:leftChars="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（4）“进粤企业和人员诚信信息登记平台 ”个人信息情况截图。（适用于省外建筑企业）</w:t>
      </w:r>
    </w:p>
    <w:p w14:paraId="73BD7082">
      <w:pPr>
        <w:keepNext w:val="0"/>
        <w:keepLines w:val="0"/>
        <w:pageBreakBefore w:val="0"/>
        <w:widowControl/>
        <w:kinsoku w:val="0"/>
        <w:wordWrap w:val="0"/>
        <w:overflowPunct/>
        <w:topLinePunct w:val="0"/>
        <w:autoSpaceDE w:val="0"/>
        <w:autoSpaceDN w:val="0"/>
        <w:bidi w:val="0"/>
        <w:adjustRightInd/>
        <w:snapToGrid/>
        <w:spacing w:line="360" w:lineRule="auto"/>
        <w:ind w:left="0" w:right="0" w:firstLine="480" w:firstLineChars="200"/>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联合体投标的，《项目管理机构组成表》应包括联合体成员单位参与项目管理机构的人员，并提供以上所需资料。</w:t>
      </w:r>
    </w:p>
    <w:p w14:paraId="487C8DAA">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61" w:name="_Toc27882"/>
      <w:r>
        <w:rPr>
          <w:rFonts w:hint="eastAsia" w:ascii="宋体" w:hAnsi="宋体" w:eastAsia="宋体" w:cs="宋体"/>
          <w:b/>
          <w:bCs/>
          <w:color w:val="auto"/>
          <w:spacing w:val="0"/>
          <w:sz w:val="24"/>
          <w:szCs w:val="24"/>
          <w:highlight w:val="none"/>
        </w:rPr>
        <w:t>格式十二 建造师查询页（有效期+建造师签字）</w:t>
      </w:r>
      <w:bookmarkEnd w:id="261"/>
    </w:p>
    <w:p w14:paraId="734EE390">
      <w:pPr>
        <w:keepNext w:val="0"/>
        <w:keepLines w:val="0"/>
        <w:pageBreakBefore w:val="0"/>
        <w:wordWrap w:val="0"/>
        <w:overflowPunct/>
        <w:topLinePunct w:val="0"/>
        <w:bidi w:val="0"/>
        <w:spacing w:line="360" w:lineRule="auto"/>
        <w:outlineLvl w:val="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235"/>
          <w:sz w:val="24"/>
          <w:szCs w:val="24"/>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8"/>
                    <a:stretch>
                      <a:fillRect/>
                    </a:stretch>
                  </pic:blipFill>
                  <pic:spPr>
                    <a:xfrm>
                      <a:off x="0" y="0"/>
                      <a:ext cx="6239510" cy="8013700"/>
                    </a:xfrm>
                    <a:prstGeom prst="rect">
                      <a:avLst/>
                    </a:prstGeom>
                    <a:noFill/>
                    <a:ln>
                      <a:noFill/>
                    </a:ln>
                  </pic:spPr>
                </pic:pic>
              </a:graphicData>
            </a:graphic>
          </wp:inline>
        </w:drawing>
      </w:r>
    </w:p>
    <w:p w14:paraId="64B4C367">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1D37CFE7">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214"/>
          <w:sz w:val="24"/>
          <w:szCs w:val="2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9"/>
                    <a:stretch>
                      <a:fillRect/>
                    </a:stretch>
                  </pic:blipFill>
                  <pic:spPr>
                    <a:xfrm>
                      <a:off x="0" y="0"/>
                      <a:ext cx="6285865" cy="6925310"/>
                    </a:xfrm>
                    <a:prstGeom prst="rect">
                      <a:avLst/>
                    </a:prstGeom>
                    <a:noFill/>
                    <a:ln>
                      <a:noFill/>
                    </a:ln>
                  </pic:spPr>
                </pic:pic>
              </a:graphicData>
            </a:graphic>
          </wp:inline>
        </w:drawing>
      </w:r>
    </w:p>
    <w:p w14:paraId="174F9627">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sectPr>
          <w:footerReference r:id="rId27"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79F1B678">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62" w:name="_Toc7490"/>
      <w:r>
        <w:rPr>
          <w:rFonts w:hint="eastAsia" w:ascii="宋体" w:hAnsi="宋体" w:eastAsia="宋体" w:cs="宋体"/>
          <w:b/>
          <w:bCs/>
          <w:color w:val="auto"/>
          <w:spacing w:val="0"/>
          <w:sz w:val="24"/>
          <w:szCs w:val="24"/>
          <w:highlight w:val="none"/>
        </w:rPr>
        <w:t>格式十三</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sz w:val="24"/>
          <w:szCs w:val="24"/>
          <w:highlight w:val="none"/>
        </w:rPr>
        <w:t>危险性较大的分部分项工程清单及超过一定规模的危险性较大的分部分项工程清单</w:t>
      </w:r>
      <w:bookmarkEnd w:id="262"/>
    </w:p>
    <w:p w14:paraId="4E20E0E7">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DB6A583">
      <w:pPr>
        <w:keepNext w:val="0"/>
        <w:keepLines w:val="0"/>
        <w:pageBreakBefore w:val="0"/>
        <w:tabs>
          <w:tab w:val="left" w:pos="2940"/>
        </w:tabs>
        <w:wordWrap w:val="0"/>
        <w:overflowPunct/>
        <w:topLinePunct w:val="0"/>
        <w:bidi w:val="0"/>
        <w:spacing w:before="101" w:line="360" w:lineRule="auto"/>
        <w:ind w:left="3179" w:leftChars="0" w:right="41" w:hanging="3133" w:firstLineChars="0"/>
        <w:rPr>
          <w:rFonts w:hint="eastAsia" w:ascii="宋体" w:hAnsi="宋体" w:eastAsia="宋体" w:cs="宋体"/>
          <w:color w:val="auto"/>
          <w:spacing w:val="0"/>
          <w:sz w:val="24"/>
          <w:szCs w:val="24"/>
          <w:highlight w:val="none"/>
        </w:rPr>
      </w:pPr>
      <w:bookmarkStart w:id="263" w:name="bookmark160"/>
      <w:bookmarkEnd w:id="263"/>
      <w:bookmarkStart w:id="264" w:name="OLE_LINK41"/>
      <w:r>
        <w:rPr>
          <w:rFonts w:hint="eastAsia" w:ascii="宋体" w:hAnsi="宋体" w:eastAsia="宋体" w:cs="宋体"/>
          <w:b/>
          <w:bCs/>
          <w:color w:val="auto"/>
          <w:spacing w:val="0"/>
          <w:sz w:val="24"/>
          <w:szCs w:val="24"/>
          <w:highlight w:val="none"/>
        </w:rPr>
        <w:t>危险性较大的分部分项工程清单及超过一定规模的危险性较大的分部分项工程清单</w:t>
      </w:r>
    </w:p>
    <w:bookmarkEnd w:id="264"/>
    <w:p w14:paraId="5004DA81">
      <w:pPr>
        <w:keepNext w:val="0"/>
        <w:keepLines w:val="0"/>
        <w:pageBreakBefore w:val="0"/>
        <w:wordWrap w:val="0"/>
        <w:overflowPunct/>
        <w:topLinePunct w:val="0"/>
        <w:bidi w:val="0"/>
        <w:spacing w:before="6" w:line="360" w:lineRule="auto"/>
        <w:ind w:left="5"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1、根据中华人民共和国住房和城乡建设部令第37号《危险性较大的分部分项工程安全管理规定》（以下简称“37号文 ”），投标人在投标时须补充完善危大工程清单并明确相应的安全管理措施。</w:t>
      </w:r>
    </w:p>
    <w:p w14:paraId="39C98E84">
      <w:pPr>
        <w:keepNext w:val="0"/>
        <w:keepLines w:val="0"/>
        <w:pageBreakBefore w:val="0"/>
        <w:wordWrap w:val="0"/>
        <w:overflowPunct/>
        <w:topLinePunct w:val="0"/>
        <w:bidi w:val="0"/>
        <w:spacing w:before="208" w:line="360" w:lineRule="auto"/>
        <w:ind w:left="1" w:firstLine="48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2、招标人根据设计文件的要求及37号文、粤建规范〔2019〕2号文的规定列出“危险性较大的分部分项工程清单及超过一定规模的危险性较大的分部分项工程清单 ”中与本招标项目相关的清单项，具体详见第5点“打 √ ”标识。</w:t>
      </w:r>
    </w:p>
    <w:p w14:paraId="3676768B">
      <w:pPr>
        <w:keepNext w:val="0"/>
        <w:keepLines w:val="0"/>
        <w:pageBreakBefore w:val="0"/>
        <w:wordWrap w:val="0"/>
        <w:overflowPunct/>
        <w:topLinePunct w:val="0"/>
        <w:bidi w:val="0"/>
        <w:spacing w:before="209" w:line="360" w:lineRule="auto"/>
        <w:ind w:left="3" w:right="72" w:firstLine="48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（1）投标单位同意建设单位在清单中标识的该项请在对应项打“ √ ”标识，并与投标文件中提供相应的安全管理措施。</w:t>
      </w:r>
    </w:p>
    <w:p w14:paraId="1C2AFCFC">
      <w:pPr>
        <w:keepNext w:val="0"/>
        <w:keepLines w:val="0"/>
        <w:pageBreakBefore w:val="0"/>
        <w:wordWrap w:val="0"/>
        <w:overflowPunct/>
        <w:topLinePunct w:val="0"/>
        <w:bidi w:val="0"/>
        <w:spacing w:before="208" w:line="360" w:lineRule="auto"/>
        <w:ind w:left="2" w:right="72" w:firstLine="48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（2）投标单位对清单中认为需要补充的该项请在对应项打“ √ ”标识，并与投标文件中提供相应的安全管理措施。</w:t>
      </w:r>
    </w:p>
    <w:p w14:paraId="2C57E579">
      <w:pPr>
        <w:keepNext w:val="0"/>
        <w:keepLines w:val="0"/>
        <w:pageBreakBefore w:val="0"/>
        <w:wordWrap w:val="0"/>
        <w:overflowPunct/>
        <w:topLinePunct w:val="0"/>
        <w:bidi w:val="0"/>
        <w:spacing w:before="210" w:line="360" w:lineRule="auto"/>
        <w:ind w:right="72" w:firstLine="4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（3）投标单位不同意建设单位在清单中标识的该项请在对应项打“ × ”标识，并在备注栏填上相关说明。</w:t>
      </w:r>
    </w:p>
    <w:p w14:paraId="14B36F6D">
      <w:pPr>
        <w:keepNext w:val="0"/>
        <w:keepLines w:val="0"/>
        <w:pageBreakBefore w:val="0"/>
        <w:wordWrap w:val="0"/>
        <w:overflowPunct/>
        <w:topLinePunct w:val="0"/>
        <w:bidi w:val="0"/>
        <w:spacing w:before="207" w:line="360" w:lineRule="auto"/>
        <w:ind w:firstLine="484"/>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u w:val="single"/>
        </w:rPr>
        <w:t>3、投标单位应当在投标时根据招标人提供的下述第5点清单，在投标施工组织中回应建设单位提供的危大工程清单，补充相应的安全管理措施。（为减轻标书编制的工作量，投标单位回应的危大工程清单该部分的页数应控制在3页内）</w:t>
      </w:r>
    </w:p>
    <w:p w14:paraId="74C7E91A">
      <w:pPr>
        <w:keepNext w:val="0"/>
        <w:keepLines w:val="0"/>
        <w:pageBreakBefore w:val="0"/>
        <w:wordWrap w:val="0"/>
        <w:overflowPunct/>
        <w:topLinePunct w:val="0"/>
        <w:bidi w:val="0"/>
        <w:spacing w:before="33" w:line="360" w:lineRule="auto"/>
        <w:ind w:left="1" w:firstLine="47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4、对于超过一定规模的危大工程，中标单位应当组织召开专家论证会对专项施工方案进行论证。实行施工总承包的，由施工总承包单位组织召开专家论证会。专家论证前专项施工方案应当通过施工总承包单位审核和总监理工程师审查。</w:t>
      </w:r>
    </w:p>
    <w:p w14:paraId="798FF3E3">
      <w:pPr>
        <w:keepNext w:val="0"/>
        <w:keepLines w:val="0"/>
        <w:pageBreakBefore w:val="0"/>
        <w:wordWrap w:val="0"/>
        <w:overflowPunct/>
        <w:topLinePunct w:val="0"/>
        <w:bidi w:val="0"/>
        <w:spacing w:before="208" w:line="360" w:lineRule="auto"/>
        <w:ind w:firstLine="48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5、危险性较大的分部分项工程清单及超过一定规模的危险性较大的分部分项工程清单</w:t>
      </w:r>
    </w:p>
    <w:p w14:paraId="211A5215">
      <w:pPr>
        <w:keepNext w:val="0"/>
        <w:keepLines w:val="0"/>
        <w:pageBreakBefore w:val="0"/>
        <w:wordWrap w:val="0"/>
        <w:overflowPunct/>
        <w:topLinePunct w:val="0"/>
        <w:bidi w:val="0"/>
        <w:spacing w:before="40" w:line="360" w:lineRule="auto"/>
        <w:rPr>
          <w:rFonts w:hint="eastAsia" w:ascii="宋体" w:hAnsi="宋体" w:eastAsia="宋体" w:cs="宋体"/>
          <w:color w:val="auto"/>
          <w:spacing w:val="0"/>
          <w:sz w:val="24"/>
          <w:szCs w:val="24"/>
          <w:highlight w:val="none"/>
        </w:rPr>
      </w:pPr>
    </w:p>
    <w:tbl>
      <w:tblPr>
        <w:tblStyle w:val="16"/>
        <w:tblW w:w="9947" w:type="dxa"/>
        <w:tblInd w:w="-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
        <w:gridCol w:w="4864"/>
        <w:gridCol w:w="1294"/>
        <w:gridCol w:w="1294"/>
        <w:gridCol w:w="2428"/>
      </w:tblGrid>
      <w:tr w14:paraId="1D6B37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1C0C1314">
            <w:pPr>
              <w:keepNext w:val="0"/>
              <w:keepLines w:val="0"/>
              <w:pageBreakBefore w:val="0"/>
              <w:wordWrap w:val="0"/>
              <w:overflowPunct/>
              <w:topLinePunct w:val="0"/>
              <w:bidi w:val="0"/>
              <w:spacing w:before="133" w:line="360" w:lineRule="auto"/>
              <w:ind w:firstLine="241" w:firstLineChars="100"/>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一、危险性较大的分部分项工程清单</w:t>
            </w:r>
          </w:p>
        </w:tc>
        <w:tc>
          <w:tcPr>
            <w:tcW w:w="1294" w:type="dxa"/>
            <w:vAlign w:val="top"/>
          </w:tcPr>
          <w:p w14:paraId="786821EB">
            <w:pPr>
              <w:keepNext w:val="0"/>
              <w:keepLines w:val="0"/>
              <w:pageBreakBefore w:val="0"/>
              <w:wordWrap w:val="0"/>
              <w:overflowPunct/>
              <w:topLinePunct w:val="0"/>
              <w:bidi w:val="0"/>
              <w:spacing w:before="133" w:line="360" w:lineRule="auto"/>
              <w:ind w:left="20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088710BC">
            <w:pPr>
              <w:keepNext w:val="0"/>
              <w:keepLines w:val="0"/>
              <w:pageBreakBefore w:val="0"/>
              <w:wordWrap w:val="0"/>
              <w:overflowPunct/>
              <w:topLinePunct w:val="0"/>
              <w:bidi w:val="0"/>
              <w:spacing w:before="133" w:line="360" w:lineRule="auto"/>
              <w:ind w:left="205" w:leftChars="0"/>
              <w:rPr>
                <w:rFonts w:hint="eastAsia" w:ascii="宋体" w:hAnsi="宋体" w:eastAsia="宋体" w:cs="宋体"/>
                <w:color w:val="auto"/>
                <w:spacing w:val="0"/>
                <w:w w:val="94"/>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5305F236">
            <w:pPr>
              <w:keepNext w:val="0"/>
              <w:keepLines w:val="0"/>
              <w:pageBreakBefore w:val="0"/>
              <w:wordWrap w:val="0"/>
              <w:overflowPunct/>
              <w:topLinePunct w:val="0"/>
              <w:bidi w:val="0"/>
              <w:spacing w:before="133" w:line="360" w:lineRule="auto"/>
              <w:ind w:left="36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7851F88C">
        <w:tblPrEx>
          <w:tblCellMar>
            <w:top w:w="0" w:type="dxa"/>
            <w:left w:w="0" w:type="dxa"/>
            <w:bottom w:w="0" w:type="dxa"/>
            <w:right w:w="0" w:type="dxa"/>
          </w:tblCellMar>
        </w:tblPrEx>
        <w:trPr>
          <w:trHeight w:val="0" w:hRule="atLeast"/>
        </w:trPr>
        <w:tc>
          <w:tcPr>
            <w:tcW w:w="4931" w:type="dxa"/>
            <w:gridSpan w:val="2"/>
            <w:vAlign w:val="top"/>
          </w:tcPr>
          <w:p w14:paraId="712B4333">
            <w:pPr>
              <w:keepNext w:val="0"/>
              <w:keepLines w:val="0"/>
              <w:pageBreakBefore w:val="0"/>
              <w:wordWrap w:val="0"/>
              <w:overflowPunct/>
              <w:topLinePunct w:val="0"/>
              <w:bidi w:val="0"/>
              <w:spacing w:before="128" w:line="360" w:lineRule="auto"/>
              <w:ind w:left="120" w:left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一、基坑支护</w:t>
            </w:r>
          </w:p>
        </w:tc>
        <w:tc>
          <w:tcPr>
            <w:tcW w:w="1294" w:type="dxa"/>
            <w:vAlign w:val="top"/>
          </w:tcPr>
          <w:p w14:paraId="40D210A2">
            <w:pPr>
              <w:keepNext w:val="0"/>
              <w:keepLines w:val="0"/>
              <w:pageBreakBefore w:val="0"/>
              <w:wordWrap w:val="0"/>
              <w:overflowPunct/>
              <w:topLinePunct w:val="0"/>
              <w:bidi w:val="0"/>
              <w:spacing w:before="128" w:line="360" w:lineRule="auto"/>
              <w:jc w:val="center"/>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bookmarkStart w:id="265" w:name="OLE_LINK39"/>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bookmarkEnd w:id="265"/>
            <w:r>
              <w:rPr>
                <w:rFonts w:hint="eastAsia" w:ascii="宋体" w:hAnsi="宋体" w:eastAsia="宋体" w:cs="宋体"/>
                <w:color w:val="auto"/>
                <w:spacing w:val="0"/>
                <w:w w:val="94"/>
                <w:sz w:val="24"/>
                <w:szCs w:val="24"/>
                <w:highlight w:val="none"/>
              </w:rPr>
              <w:t>)</w:t>
            </w:r>
          </w:p>
        </w:tc>
        <w:tc>
          <w:tcPr>
            <w:tcW w:w="1294" w:type="dxa"/>
            <w:vAlign w:val="top"/>
          </w:tcPr>
          <w:p w14:paraId="790D24ED">
            <w:pPr>
              <w:keepNext w:val="0"/>
              <w:keepLines w:val="0"/>
              <w:pageBreakBefore w:val="0"/>
              <w:wordWrap w:val="0"/>
              <w:overflowPunct/>
              <w:topLinePunct w:val="0"/>
              <w:bidi w:val="0"/>
              <w:spacing w:before="128" w:line="360"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E86A9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7532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59197831">
            <w:pPr>
              <w:keepNext w:val="0"/>
              <w:keepLines w:val="0"/>
              <w:pageBreakBefore w:val="0"/>
              <w:wordWrap w:val="0"/>
              <w:overflowPunct/>
              <w:topLinePunct w:val="0"/>
              <w:bidi w:val="0"/>
              <w:spacing w:before="129" w:line="360" w:lineRule="auto"/>
              <w:ind w:left="135" w:leftChars="0" w:right="68" w:rightChars="0" w:hanging="8" w:firstLineChars="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（一）开挖深度超过 3m（含 3m）的基坑（槽） 的土方开挖、支护、降水工程。</w:t>
            </w:r>
          </w:p>
        </w:tc>
        <w:tc>
          <w:tcPr>
            <w:tcW w:w="1294" w:type="dxa"/>
            <w:vAlign w:val="top"/>
          </w:tcPr>
          <w:p w14:paraId="5B778EA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80472A7">
            <w:pPr>
              <w:keepNext w:val="0"/>
              <w:keepLines w:val="0"/>
              <w:pageBreakBefore w:val="0"/>
              <w:wordWrap w:val="0"/>
              <w:overflowPunct/>
              <w:topLinePunct w:val="0"/>
              <w:bidi w:val="0"/>
              <w:spacing w:before="78" w:line="360" w:lineRule="auto"/>
              <w:ind w:left="396"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CF7417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E2C041A">
            <w:pPr>
              <w:keepNext w:val="0"/>
              <w:keepLines w:val="0"/>
              <w:pageBreakBefore w:val="0"/>
              <w:wordWrap w:val="0"/>
              <w:overflowPunct/>
              <w:topLinePunct w:val="0"/>
              <w:bidi w:val="0"/>
              <w:spacing w:before="78" w:line="360" w:lineRule="auto"/>
              <w:ind w:left="367" w:leftChars="0"/>
              <w:rPr>
                <w:rFonts w:hint="eastAsia" w:ascii="宋体" w:hAnsi="宋体" w:eastAsia="宋体" w:cs="宋体"/>
                <w:color w:val="auto"/>
                <w:spacing w:val="0"/>
                <w:w w:val="94"/>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77920F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3C180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75D2C12B">
            <w:pPr>
              <w:keepNext w:val="0"/>
              <w:keepLines w:val="0"/>
              <w:pageBreakBefore w:val="0"/>
              <w:wordWrap w:val="0"/>
              <w:overflowPunct/>
              <w:topLinePunct w:val="0"/>
              <w:bidi w:val="0"/>
              <w:spacing w:before="132" w:line="360" w:lineRule="auto"/>
              <w:ind w:left="116" w:right="108" w:firstLine="11"/>
              <w:jc w:val="both"/>
              <w:rPr>
                <w:rFonts w:hint="eastAsia" w:ascii="宋体" w:hAnsi="宋体" w:eastAsia="宋体" w:cs="宋体"/>
                <w:color w:val="auto"/>
                <w:spacing w:val="0"/>
                <w:sz w:val="24"/>
                <w:szCs w:val="24"/>
                <w:highlight w:val="none"/>
              </w:rPr>
            </w:pPr>
            <w:bookmarkStart w:id="266" w:name="bookmark161"/>
            <w:bookmarkEnd w:id="266"/>
            <w:r>
              <w:rPr>
                <w:rFonts w:hint="eastAsia" w:ascii="宋体" w:hAnsi="宋体" w:eastAsia="宋体" w:cs="宋体"/>
                <w:color w:val="auto"/>
                <w:spacing w:val="0"/>
                <w:sz w:val="24"/>
                <w:szCs w:val="24"/>
                <w:highlight w:val="none"/>
              </w:rPr>
              <w:t>（二）开挖深度虽未超过 3m，但地质条件、周 围环境和地下管线复杂，或影响毗邻建、构筑 物安全的基坑（槽）的土方开挖、支护、降水 工程。</w:t>
            </w:r>
          </w:p>
        </w:tc>
        <w:tc>
          <w:tcPr>
            <w:tcW w:w="1294" w:type="dxa"/>
            <w:vAlign w:val="top"/>
          </w:tcPr>
          <w:p w14:paraId="678E333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3E3E37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7B348AA">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9F5F156">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bookmarkStart w:id="267" w:name="OLE_LINK40"/>
            <w:r>
              <w:rPr>
                <w:rFonts w:hint="eastAsia" w:ascii="宋体" w:hAnsi="宋体" w:eastAsia="宋体" w:cs="宋体"/>
                <w:color w:val="auto"/>
                <w:spacing w:val="0"/>
                <w:sz w:val="24"/>
                <w:szCs w:val="24"/>
                <w:highlight w:val="none"/>
              </w:rPr>
              <w:t xml:space="preserve">     </w:t>
            </w:r>
            <w:bookmarkEnd w:id="267"/>
            <w:r>
              <w:rPr>
                <w:rFonts w:hint="eastAsia" w:ascii="宋体" w:hAnsi="宋体" w:eastAsia="宋体" w:cs="宋体"/>
                <w:color w:val="auto"/>
                <w:spacing w:val="0"/>
                <w:w w:val="94"/>
                <w:sz w:val="24"/>
                <w:szCs w:val="24"/>
                <w:highlight w:val="none"/>
              </w:rPr>
              <w:t>)</w:t>
            </w:r>
          </w:p>
        </w:tc>
        <w:tc>
          <w:tcPr>
            <w:tcW w:w="1294" w:type="dxa"/>
            <w:vAlign w:val="top"/>
          </w:tcPr>
          <w:p w14:paraId="49FC468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73D6FDA">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B2551E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36E5E26">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5D403E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4CB8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7FF3CCA3">
            <w:pPr>
              <w:keepNext w:val="0"/>
              <w:keepLines w:val="0"/>
              <w:pageBreakBefore w:val="0"/>
              <w:wordWrap w:val="0"/>
              <w:overflowPunct/>
              <w:topLinePunct w:val="0"/>
              <w:bidi w:val="0"/>
              <w:spacing w:before="128" w:line="36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4F83F1A7">
            <w:pPr>
              <w:keepNext w:val="0"/>
              <w:keepLines w:val="0"/>
              <w:pageBreakBefore w:val="0"/>
              <w:wordWrap w:val="0"/>
              <w:overflowPunct/>
              <w:topLinePunct w:val="0"/>
              <w:bidi w:val="0"/>
              <w:spacing w:before="12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1DEA9D7">
            <w:pPr>
              <w:keepNext w:val="0"/>
              <w:keepLines w:val="0"/>
              <w:pageBreakBefore w:val="0"/>
              <w:wordWrap w:val="0"/>
              <w:overflowPunct/>
              <w:topLinePunct w:val="0"/>
              <w:bidi w:val="0"/>
              <w:spacing w:before="12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3E6675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5F75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2B42EF94">
            <w:pPr>
              <w:keepNext w:val="0"/>
              <w:keepLines w:val="0"/>
              <w:pageBreakBefore w:val="0"/>
              <w:wordWrap w:val="0"/>
              <w:overflowPunct/>
              <w:topLinePunct w:val="0"/>
              <w:bidi w:val="0"/>
              <w:spacing w:before="128" w:line="360"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62BE616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0787877">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0A3A5B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BAF713B">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6A6A71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1E75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6F44FF8A">
            <w:pPr>
              <w:keepNext w:val="0"/>
              <w:keepLines w:val="0"/>
              <w:pageBreakBefore w:val="0"/>
              <w:wordWrap w:val="0"/>
              <w:overflowPunct/>
              <w:topLinePunct w:val="0"/>
              <w:bidi w:val="0"/>
              <w:spacing w:before="131" w:line="360" w:lineRule="auto"/>
              <w:ind w:left="115" w:right="10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 5m 及以 上，或搭设跨度 10m 及以上，或施工总荷载（荷 载效应基本组合的设计值，以下简称设计值） 10kN/m2 及以上，或集中线荷载（设计值）15kN/m 及以上，或高度大于支撑水平投影宽度且相对 独立无联系构件的混凝土模板支撑工程。</w:t>
            </w:r>
          </w:p>
        </w:tc>
        <w:tc>
          <w:tcPr>
            <w:tcW w:w="1294" w:type="dxa"/>
            <w:vAlign w:val="top"/>
          </w:tcPr>
          <w:p w14:paraId="06D081D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A16BFF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A0F592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E04FF9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4B37184">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A4F6FF6">
            <w:pPr>
              <w:keepNext w:val="0"/>
              <w:keepLines w:val="0"/>
              <w:pageBreakBefore w:val="0"/>
              <w:wordWrap w:val="0"/>
              <w:overflowPunct/>
              <w:topLinePunct w:val="0"/>
              <w:bidi w:val="0"/>
              <w:spacing w:before="78" w:line="360"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BC45176">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D48715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E1CE66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A7FA7A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2434D3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980D964">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456E96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EC0E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3F43D72D">
            <w:pPr>
              <w:keepNext w:val="0"/>
              <w:keepLines w:val="0"/>
              <w:pageBreakBefore w:val="0"/>
              <w:wordWrap w:val="0"/>
              <w:overflowPunct/>
              <w:topLinePunct w:val="0"/>
              <w:bidi w:val="0"/>
              <w:spacing w:before="130" w:line="360"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 支撑体系。</w:t>
            </w:r>
          </w:p>
        </w:tc>
        <w:tc>
          <w:tcPr>
            <w:tcW w:w="1294" w:type="dxa"/>
            <w:vAlign w:val="top"/>
          </w:tcPr>
          <w:p w14:paraId="511D615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5F0F42D">
            <w:pPr>
              <w:keepNext w:val="0"/>
              <w:keepLines w:val="0"/>
              <w:pageBreakBefore w:val="0"/>
              <w:wordWrap w:val="0"/>
              <w:overflowPunct/>
              <w:topLinePunct w:val="0"/>
              <w:bidi w:val="0"/>
              <w:spacing w:before="78" w:line="36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33D535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B3D0D91">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DF9CE6A">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3A456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0E79A01C">
            <w:pPr>
              <w:keepNext w:val="0"/>
              <w:keepLines w:val="0"/>
              <w:pageBreakBefore w:val="0"/>
              <w:wordWrap w:val="0"/>
              <w:overflowPunct/>
              <w:topLinePunct w:val="0"/>
              <w:bidi w:val="0"/>
              <w:spacing w:before="130" w:line="360"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76D8EB27">
            <w:pPr>
              <w:keepNext w:val="0"/>
              <w:keepLines w:val="0"/>
              <w:pageBreakBefore w:val="0"/>
              <w:wordWrap w:val="0"/>
              <w:overflowPunct/>
              <w:topLinePunct w:val="0"/>
              <w:bidi w:val="0"/>
              <w:spacing w:before="129"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84F6761">
            <w:pPr>
              <w:keepNext w:val="0"/>
              <w:keepLines w:val="0"/>
              <w:pageBreakBefore w:val="0"/>
              <w:wordWrap w:val="0"/>
              <w:overflowPunct/>
              <w:topLinePunct w:val="0"/>
              <w:bidi w:val="0"/>
              <w:spacing w:before="129"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AB0041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C2E0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7CDD2F61">
            <w:pPr>
              <w:keepNext w:val="0"/>
              <w:keepLines w:val="0"/>
              <w:pageBreakBefore w:val="0"/>
              <w:wordWrap w:val="0"/>
              <w:overflowPunct/>
              <w:topLinePunct w:val="0"/>
              <w:bidi w:val="0"/>
              <w:spacing w:before="131" w:line="360"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10kN 及以上的起重吊装工程。</w:t>
            </w:r>
          </w:p>
        </w:tc>
        <w:tc>
          <w:tcPr>
            <w:tcW w:w="1294" w:type="dxa"/>
            <w:vAlign w:val="top"/>
          </w:tcPr>
          <w:p w14:paraId="29DAD9F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99CF0AA">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537BA4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107995C">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189630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CF08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00DA6BEA">
            <w:pPr>
              <w:keepNext w:val="0"/>
              <w:keepLines w:val="0"/>
              <w:pageBreakBefore w:val="0"/>
              <w:wordWrap w:val="0"/>
              <w:overflowPunct/>
              <w:topLinePunct w:val="0"/>
              <w:bidi w:val="0"/>
              <w:spacing w:before="132"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（二）采用起重机械进行安装的工程。</w:t>
            </w:r>
          </w:p>
        </w:tc>
        <w:tc>
          <w:tcPr>
            <w:tcW w:w="1294" w:type="dxa"/>
            <w:vAlign w:val="top"/>
          </w:tcPr>
          <w:p w14:paraId="05D8A463">
            <w:pPr>
              <w:keepNext w:val="0"/>
              <w:keepLines w:val="0"/>
              <w:pageBreakBefore w:val="0"/>
              <w:wordWrap w:val="0"/>
              <w:overflowPunct/>
              <w:topLinePunct w:val="0"/>
              <w:bidi w:val="0"/>
              <w:spacing w:before="131" w:line="36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902B328">
            <w:pPr>
              <w:keepNext w:val="0"/>
              <w:keepLines w:val="0"/>
              <w:pageBreakBefore w:val="0"/>
              <w:wordWrap w:val="0"/>
              <w:overflowPunct/>
              <w:topLinePunct w:val="0"/>
              <w:bidi w:val="0"/>
              <w:spacing w:before="131"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63D352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DB15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12F4B30C">
            <w:pPr>
              <w:keepNext w:val="0"/>
              <w:keepLines w:val="0"/>
              <w:pageBreakBefore w:val="0"/>
              <w:wordWrap w:val="0"/>
              <w:overflowPunct/>
              <w:topLinePunct w:val="0"/>
              <w:bidi w:val="0"/>
              <w:spacing w:before="130"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（三）起重机械安装和拆卸工程。</w:t>
            </w:r>
          </w:p>
        </w:tc>
        <w:tc>
          <w:tcPr>
            <w:tcW w:w="1294" w:type="dxa"/>
            <w:vAlign w:val="top"/>
          </w:tcPr>
          <w:p w14:paraId="429C4D99">
            <w:pPr>
              <w:keepNext w:val="0"/>
              <w:keepLines w:val="0"/>
              <w:pageBreakBefore w:val="0"/>
              <w:wordWrap w:val="0"/>
              <w:overflowPunct/>
              <w:topLinePunct w:val="0"/>
              <w:bidi w:val="0"/>
              <w:spacing w:before="129" w:line="36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E377759">
            <w:pPr>
              <w:keepNext w:val="0"/>
              <w:keepLines w:val="0"/>
              <w:pageBreakBefore w:val="0"/>
              <w:wordWrap w:val="0"/>
              <w:overflowPunct/>
              <w:topLinePunct w:val="0"/>
              <w:bidi w:val="0"/>
              <w:spacing w:before="129"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D68036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9A8E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13B4E193">
            <w:pPr>
              <w:keepNext w:val="0"/>
              <w:keepLines w:val="0"/>
              <w:pageBreakBefore w:val="0"/>
              <w:wordWrap w:val="0"/>
              <w:overflowPunct/>
              <w:topLinePunct w:val="0"/>
              <w:bidi w:val="0"/>
              <w:spacing w:before="131" w:line="360"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4B0E76C9">
            <w:pPr>
              <w:keepNext w:val="0"/>
              <w:keepLines w:val="0"/>
              <w:pageBreakBefore w:val="0"/>
              <w:wordWrap w:val="0"/>
              <w:overflowPunct/>
              <w:topLinePunct w:val="0"/>
              <w:bidi w:val="0"/>
              <w:spacing w:before="130" w:line="360"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5E1DB8D">
            <w:pPr>
              <w:keepNext w:val="0"/>
              <w:keepLines w:val="0"/>
              <w:pageBreakBefore w:val="0"/>
              <w:wordWrap w:val="0"/>
              <w:overflowPunct/>
              <w:topLinePunct w:val="0"/>
              <w:bidi w:val="0"/>
              <w:spacing w:before="130"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596A5D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50A15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615C7215">
            <w:pPr>
              <w:keepNext w:val="0"/>
              <w:keepLines w:val="0"/>
              <w:pageBreakBefore w:val="0"/>
              <w:wordWrap w:val="0"/>
              <w:overflowPunct/>
              <w:topLinePunct w:val="0"/>
              <w:bidi w:val="0"/>
              <w:spacing w:before="130" w:line="360"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24m 及以上的落地式钢管脚手 架工程（包括采光井、电梯井脚手架）。</w:t>
            </w:r>
          </w:p>
        </w:tc>
        <w:tc>
          <w:tcPr>
            <w:tcW w:w="1294" w:type="dxa"/>
            <w:vAlign w:val="top"/>
          </w:tcPr>
          <w:p w14:paraId="321FD4A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79F5793">
            <w:pPr>
              <w:keepNext w:val="0"/>
              <w:keepLines w:val="0"/>
              <w:pageBreakBefore w:val="0"/>
              <w:wordWrap w:val="0"/>
              <w:overflowPunct/>
              <w:topLinePunct w:val="0"/>
              <w:bidi w:val="0"/>
              <w:spacing w:before="78" w:line="360"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CD0218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34A98EC">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D92522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9B47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079A4E32">
            <w:pPr>
              <w:keepNext w:val="0"/>
              <w:keepLines w:val="0"/>
              <w:pageBreakBefore w:val="0"/>
              <w:wordWrap w:val="0"/>
              <w:overflowPunct/>
              <w:topLinePunct w:val="0"/>
              <w:bidi w:val="0"/>
              <w:spacing w:before="131"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（二）附着式升降脚手架工程。</w:t>
            </w:r>
          </w:p>
        </w:tc>
        <w:tc>
          <w:tcPr>
            <w:tcW w:w="1294" w:type="dxa"/>
            <w:vAlign w:val="top"/>
          </w:tcPr>
          <w:p w14:paraId="2834041E">
            <w:pPr>
              <w:keepNext w:val="0"/>
              <w:keepLines w:val="0"/>
              <w:pageBreakBefore w:val="0"/>
              <w:wordWrap w:val="0"/>
              <w:overflowPunct/>
              <w:topLinePunct w:val="0"/>
              <w:bidi w:val="0"/>
              <w:spacing w:before="130" w:line="360"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9E1B740">
            <w:pPr>
              <w:keepNext w:val="0"/>
              <w:keepLines w:val="0"/>
              <w:pageBreakBefore w:val="0"/>
              <w:wordWrap w:val="0"/>
              <w:overflowPunct/>
              <w:topLinePunct w:val="0"/>
              <w:bidi w:val="0"/>
              <w:spacing w:before="130"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CAC225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236F1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474FFC9B">
            <w:pPr>
              <w:keepNext w:val="0"/>
              <w:keepLines w:val="0"/>
              <w:pageBreakBefore w:val="0"/>
              <w:wordWrap w:val="0"/>
              <w:overflowPunct/>
              <w:topLinePunct w:val="0"/>
              <w:bidi w:val="0"/>
              <w:spacing w:before="132"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（三）悬挑式脚手架工程。</w:t>
            </w:r>
          </w:p>
        </w:tc>
        <w:tc>
          <w:tcPr>
            <w:tcW w:w="1294" w:type="dxa"/>
            <w:vAlign w:val="top"/>
          </w:tcPr>
          <w:p w14:paraId="5E7432E5">
            <w:pPr>
              <w:keepNext w:val="0"/>
              <w:keepLines w:val="0"/>
              <w:pageBreakBefore w:val="0"/>
              <w:wordWrap w:val="0"/>
              <w:overflowPunct/>
              <w:topLinePunct w:val="0"/>
              <w:bidi w:val="0"/>
              <w:spacing w:before="131" w:line="360"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7D49CBE">
            <w:pPr>
              <w:keepNext w:val="0"/>
              <w:keepLines w:val="0"/>
              <w:pageBreakBefore w:val="0"/>
              <w:wordWrap w:val="0"/>
              <w:overflowPunct/>
              <w:topLinePunct w:val="0"/>
              <w:bidi w:val="0"/>
              <w:spacing w:before="131"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6E687F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5EB78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40A65585">
            <w:pPr>
              <w:keepNext w:val="0"/>
              <w:keepLines w:val="0"/>
              <w:pageBreakBefore w:val="0"/>
              <w:wordWrap w:val="0"/>
              <w:overflowPunct/>
              <w:topLinePunct w:val="0"/>
              <w:bidi w:val="0"/>
              <w:spacing w:before="131"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（四）高处作业吊篮。</w:t>
            </w:r>
          </w:p>
        </w:tc>
        <w:tc>
          <w:tcPr>
            <w:tcW w:w="1294" w:type="dxa"/>
            <w:vAlign w:val="top"/>
          </w:tcPr>
          <w:p w14:paraId="14F1C253">
            <w:pPr>
              <w:keepNext w:val="0"/>
              <w:keepLines w:val="0"/>
              <w:pageBreakBefore w:val="0"/>
              <w:wordWrap w:val="0"/>
              <w:overflowPunct/>
              <w:topLinePunct w:val="0"/>
              <w:bidi w:val="0"/>
              <w:spacing w:before="131"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55D4A21">
            <w:pPr>
              <w:keepNext w:val="0"/>
              <w:keepLines w:val="0"/>
              <w:pageBreakBefore w:val="0"/>
              <w:wordWrap w:val="0"/>
              <w:overflowPunct/>
              <w:topLinePunct w:val="0"/>
              <w:bidi w:val="0"/>
              <w:spacing w:before="131"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71AEFF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5BFCB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36D85820">
            <w:pPr>
              <w:keepNext w:val="0"/>
              <w:keepLines w:val="0"/>
              <w:pageBreakBefore w:val="0"/>
              <w:wordWrap w:val="0"/>
              <w:overflowPunct/>
              <w:topLinePunct w:val="0"/>
              <w:bidi w:val="0"/>
              <w:spacing w:before="132"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（五）卸料平台、操作平台工程。</w:t>
            </w:r>
          </w:p>
        </w:tc>
        <w:tc>
          <w:tcPr>
            <w:tcW w:w="1294" w:type="dxa"/>
            <w:vAlign w:val="top"/>
          </w:tcPr>
          <w:p w14:paraId="24DA6B96">
            <w:pPr>
              <w:keepNext w:val="0"/>
              <w:keepLines w:val="0"/>
              <w:pageBreakBefore w:val="0"/>
              <w:wordWrap w:val="0"/>
              <w:overflowPunct/>
              <w:topLinePunct w:val="0"/>
              <w:bidi w:val="0"/>
              <w:spacing w:before="132" w:line="360" w:lineRule="auto"/>
              <w:ind w:left="2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972CBB8">
            <w:pPr>
              <w:keepNext w:val="0"/>
              <w:keepLines w:val="0"/>
              <w:pageBreakBefore w:val="0"/>
              <w:wordWrap w:val="0"/>
              <w:overflowPunct/>
              <w:topLinePunct w:val="0"/>
              <w:bidi w:val="0"/>
              <w:spacing w:before="132"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D335B2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9049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931" w:type="dxa"/>
            <w:gridSpan w:val="2"/>
            <w:vAlign w:val="top"/>
          </w:tcPr>
          <w:p w14:paraId="3C96EB0E">
            <w:pPr>
              <w:keepNext w:val="0"/>
              <w:keepLines w:val="0"/>
              <w:pageBreakBefore w:val="0"/>
              <w:wordWrap w:val="0"/>
              <w:overflowPunct/>
              <w:topLinePunct w:val="0"/>
              <w:bidi w:val="0"/>
              <w:spacing w:before="133"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（六）异型脚手架工程。</w:t>
            </w:r>
          </w:p>
        </w:tc>
        <w:tc>
          <w:tcPr>
            <w:tcW w:w="1294" w:type="dxa"/>
            <w:vAlign w:val="top"/>
          </w:tcPr>
          <w:p w14:paraId="2920519C">
            <w:pPr>
              <w:keepNext w:val="0"/>
              <w:keepLines w:val="0"/>
              <w:pageBreakBefore w:val="0"/>
              <w:wordWrap w:val="0"/>
              <w:overflowPunct/>
              <w:topLinePunct w:val="0"/>
              <w:bidi w:val="0"/>
              <w:spacing w:before="132"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6F0ED25">
            <w:pPr>
              <w:keepNext w:val="0"/>
              <w:keepLines w:val="0"/>
              <w:pageBreakBefore w:val="0"/>
              <w:wordWrap w:val="0"/>
              <w:overflowPunct/>
              <w:topLinePunct w:val="0"/>
              <w:bidi w:val="0"/>
              <w:spacing w:before="132"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16F998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7684B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1DB2BD6B">
            <w:pPr>
              <w:keepNext w:val="0"/>
              <w:keepLines w:val="0"/>
              <w:pageBreakBefore w:val="0"/>
              <w:wordWrap w:val="0"/>
              <w:overflowPunct/>
              <w:topLinePunct w:val="0"/>
              <w:bidi w:val="0"/>
              <w:spacing w:before="131" w:line="360" w:lineRule="auto"/>
              <w:ind w:left="120"/>
              <w:rPr>
                <w:rFonts w:hint="eastAsia" w:ascii="宋体" w:hAnsi="宋体" w:eastAsia="宋体" w:cs="宋体"/>
                <w:color w:val="auto"/>
                <w:spacing w:val="0"/>
                <w:sz w:val="24"/>
                <w:szCs w:val="24"/>
                <w:highlight w:val="none"/>
              </w:rPr>
            </w:pPr>
            <w:bookmarkStart w:id="268" w:name="bookmark162"/>
            <w:bookmarkEnd w:id="268"/>
            <w:r>
              <w:rPr>
                <w:rFonts w:hint="eastAsia" w:ascii="宋体" w:hAnsi="宋体" w:eastAsia="宋体" w:cs="宋体"/>
                <w:color w:val="auto"/>
                <w:spacing w:val="0"/>
                <w:sz w:val="24"/>
                <w:szCs w:val="24"/>
                <w:highlight w:val="none"/>
              </w:rPr>
              <w:t>五、拆除工程</w:t>
            </w:r>
          </w:p>
        </w:tc>
        <w:tc>
          <w:tcPr>
            <w:tcW w:w="1294" w:type="dxa"/>
            <w:vAlign w:val="top"/>
          </w:tcPr>
          <w:p w14:paraId="1F592663">
            <w:pPr>
              <w:keepNext w:val="0"/>
              <w:keepLines w:val="0"/>
              <w:pageBreakBefore w:val="0"/>
              <w:wordWrap w:val="0"/>
              <w:overflowPunct/>
              <w:topLinePunct w:val="0"/>
              <w:bidi w:val="0"/>
              <w:spacing w:before="131" w:line="360" w:lineRule="auto"/>
              <w:ind w:left="48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97AE92B">
            <w:pPr>
              <w:keepNext w:val="0"/>
              <w:keepLines w:val="0"/>
              <w:pageBreakBefore w:val="0"/>
              <w:wordWrap w:val="0"/>
              <w:overflowPunct/>
              <w:topLinePunct w:val="0"/>
              <w:bidi w:val="0"/>
              <w:spacing w:before="131"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B23CF5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E835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3355B08F">
            <w:pPr>
              <w:keepNext w:val="0"/>
              <w:keepLines w:val="0"/>
              <w:pageBreakBefore w:val="0"/>
              <w:wordWrap w:val="0"/>
              <w:overflowPunct/>
              <w:topLinePunct w:val="0"/>
              <w:bidi w:val="0"/>
              <w:spacing w:before="126" w:line="360" w:lineRule="auto"/>
              <w:ind w:left="117" w:right="16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可能影响行人、交通、电力设施、通讯设施或 其它建、构筑物安全的拆除工程。</w:t>
            </w:r>
          </w:p>
        </w:tc>
        <w:tc>
          <w:tcPr>
            <w:tcW w:w="1294" w:type="dxa"/>
            <w:vAlign w:val="top"/>
          </w:tcPr>
          <w:p w14:paraId="0A9FAFF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4B3FB96">
            <w:pPr>
              <w:keepNext w:val="0"/>
              <w:keepLines w:val="0"/>
              <w:pageBreakBefore w:val="0"/>
              <w:wordWrap w:val="0"/>
              <w:overflowPunct/>
              <w:topLinePunct w:val="0"/>
              <w:bidi w:val="0"/>
              <w:spacing w:before="78" w:line="36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D9904E6">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D0D520C">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50FEA8A">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66C11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30BEE0B8">
            <w:pPr>
              <w:keepNext w:val="0"/>
              <w:keepLines w:val="0"/>
              <w:pageBreakBefore w:val="0"/>
              <w:wordWrap w:val="0"/>
              <w:overflowPunct/>
              <w:topLinePunct w:val="0"/>
              <w:bidi w:val="0"/>
              <w:spacing w:before="126" w:line="360" w:lineRule="auto"/>
              <w:ind w:left="35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096738AD">
            <w:pPr>
              <w:keepNext w:val="0"/>
              <w:keepLines w:val="0"/>
              <w:pageBreakBefore w:val="0"/>
              <w:wordWrap w:val="0"/>
              <w:overflowPunct/>
              <w:topLinePunct w:val="0"/>
              <w:bidi w:val="0"/>
              <w:spacing w:before="126"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2FCEA97">
            <w:pPr>
              <w:keepNext w:val="0"/>
              <w:keepLines w:val="0"/>
              <w:pageBreakBefore w:val="0"/>
              <w:wordWrap w:val="0"/>
              <w:overflowPunct/>
              <w:topLinePunct w:val="0"/>
              <w:bidi w:val="0"/>
              <w:spacing w:before="126"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EFB7B1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50D5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0DD12E32">
            <w:pPr>
              <w:keepNext w:val="0"/>
              <w:keepLines w:val="0"/>
              <w:pageBreakBefore w:val="0"/>
              <w:wordWrap w:val="0"/>
              <w:overflowPunct/>
              <w:topLinePunct w:val="0"/>
              <w:bidi w:val="0"/>
              <w:spacing w:before="128" w:line="360"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41A2393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183CE4F">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B4F68C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E79BD64">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A19A2E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5B294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1FE7E493">
            <w:pPr>
              <w:keepNext w:val="0"/>
              <w:keepLines w:val="0"/>
              <w:pageBreakBefore w:val="0"/>
              <w:wordWrap w:val="0"/>
              <w:overflowPunct/>
              <w:topLinePunct w:val="0"/>
              <w:bidi w:val="0"/>
              <w:spacing w:before="129" w:line="360"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277DB7A9">
            <w:pPr>
              <w:keepNext w:val="0"/>
              <w:keepLines w:val="0"/>
              <w:pageBreakBefore w:val="0"/>
              <w:wordWrap w:val="0"/>
              <w:overflowPunct/>
              <w:topLinePunct w:val="0"/>
              <w:bidi w:val="0"/>
              <w:spacing w:before="129"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5BBDAB4">
            <w:pPr>
              <w:keepNext w:val="0"/>
              <w:keepLines w:val="0"/>
              <w:pageBreakBefore w:val="0"/>
              <w:wordWrap w:val="0"/>
              <w:overflowPunct/>
              <w:topLinePunct w:val="0"/>
              <w:bidi w:val="0"/>
              <w:spacing w:before="129"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914007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8706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6247EBC8">
            <w:pPr>
              <w:keepNext w:val="0"/>
              <w:keepLines w:val="0"/>
              <w:pageBreakBefore w:val="0"/>
              <w:wordWrap w:val="0"/>
              <w:overflowPunct/>
              <w:topLinePunct w:val="0"/>
              <w:bidi w:val="0"/>
              <w:spacing w:before="128"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（一）建筑幕墙安装工程。</w:t>
            </w:r>
          </w:p>
        </w:tc>
        <w:tc>
          <w:tcPr>
            <w:tcW w:w="1294" w:type="dxa"/>
            <w:vAlign w:val="top"/>
          </w:tcPr>
          <w:p w14:paraId="594F7240">
            <w:pPr>
              <w:keepNext w:val="0"/>
              <w:keepLines w:val="0"/>
              <w:pageBreakBefore w:val="0"/>
              <w:wordWrap w:val="0"/>
              <w:overflowPunct/>
              <w:topLinePunct w:val="0"/>
              <w:bidi w:val="0"/>
              <w:spacing w:before="127"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3358343">
            <w:pPr>
              <w:keepNext w:val="0"/>
              <w:keepLines w:val="0"/>
              <w:pageBreakBefore w:val="0"/>
              <w:wordWrap w:val="0"/>
              <w:overflowPunct/>
              <w:topLinePunct w:val="0"/>
              <w:bidi w:val="0"/>
              <w:spacing w:before="127"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A6B694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0834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76116876">
            <w:pPr>
              <w:keepNext w:val="0"/>
              <w:keepLines w:val="0"/>
              <w:pageBreakBefore w:val="0"/>
              <w:wordWrap w:val="0"/>
              <w:overflowPunct/>
              <w:topLinePunct w:val="0"/>
              <w:bidi w:val="0"/>
              <w:spacing w:before="128"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（二）钢结构、网架和索膜结构安装工程。</w:t>
            </w:r>
          </w:p>
        </w:tc>
        <w:tc>
          <w:tcPr>
            <w:tcW w:w="1294" w:type="dxa"/>
            <w:vAlign w:val="top"/>
          </w:tcPr>
          <w:p w14:paraId="571DD0F6">
            <w:pPr>
              <w:keepNext w:val="0"/>
              <w:keepLines w:val="0"/>
              <w:pageBreakBefore w:val="0"/>
              <w:wordWrap w:val="0"/>
              <w:overflowPunct/>
              <w:topLinePunct w:val="0"/>
              <w:bidi w:val="0"/>
              <w:spacing w:before="12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B1AA7CA">
            <w:pPr>
              <w:keepNext w:val="0"/>
              <w:keepLines w:val="0"/>
              <w:pageBreakBefore w:val="0"/>
              <w:wordWrap w:val="0"/>
              <w:overflowPunct/>
              <w:topLinePunct w:val="0"/>
              <w:bidi w:val="0"/>
              <w:spacing w:before="12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6810C9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2E9BE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70279A1D">
            <w:pPr>
              <w:keepNext w:val="0"/>
              <w:keepLines w:val="0"/>
              <w:pageBreakBefore w:val="0"/>
              <w:wordWrap w:val="0"/>
              <w:overflowPunct/>
              <w:topLinePunct w:val="0"/>
              <w:bidi w:val="0"/>
              <w:spacing w:before="128"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（三）人工挖孔桩工程。</w:t>
            </w:r>
          </w:p>
        </w:tc>
        <w:tc>
          <w:tcPr>
            <w:tcW w:w="1294" w:type="dxa"/>
            <w:vAlign w:val="top"/>
          </w:tcPr>
          <w:p w14:paraId="68A4C3FD">
            <w:pPr>
              <w:keepNext w:val="0"/>
              <w:keepLines w:val="0"/>
              <w:pageBreakBefore w:val="0"/>
              <w:wordWrap w:val="0"/>
              <w:overflowPunct/>
              <w:topLinePunct w:val="0"/>
              <w:bidi w:val="0"/>
              <w:spacing w:before="12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D9EDFFA">
            <w:pPr>
              <w:keepNext w:val="0"/>
              <w:keepLines w:val="0"/>
              <w:pageBreakBefore w:val="0"/>
              <w:wordWrap w:val="0"/>
              <w:overflowPunct/>
              <w:topLinePunct w:val="0"/>
              <w:bidi w:val="0"/>
              <w:spacing w:before="12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28B0F1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38173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67968F35">
            <w:pPr>
              <w:keepNext w:val="0"/>
              <w:keepLines w:val="0"/>
              <w:pageBreakBefore w:val="0"/>
              <w:wordWrap w:val="0"/>
              <w:overflowPunct/>
              <w:topLinePunct w:val="0"/>
              <w:bidi w:val="0"/>
              <w:spacing w:before="129"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5BBFC845">
            <w:pPr>
              <w:keepNext w:val="0"/>
              <w:keepLines w:val="0"/>
              <w:pageBreakBefore w:val="0"/>
              <w:wordWrap w:val="0"/>
              <w:overflowPunct/>
              <w:topLinePunct w:val="0"/>
              <w:bidi w:val="0"/>
              <w:spacing w:before="129"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11E41E3">
            <w:pPr>
              <w:keepNext w:val="0"/>
              <w:keepLines w:val="0"/>
              <w:pageBreakBefore w:val="0"/>
              <w:wordWrap w:val="0"/>
              <w:overflowPunct/>
              <w:topLinePunct w:val="0"/>
              <w:bidi w:val="0"/>
              <w:spacing w:before="129"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287899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6CE42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3E2EB51E">
            <w:pPr>
              <w:keepNext w:val="0"/>
              <w:keepLines w:val="0"/>
              <w:pageBreakBefore w:val="0"/>
              <w:wordWrap w:val="0"/>
              <w:overflowPunct/>
              <w:topLinePunct w:val="0"/>
              <w:bidi w:val="0"/>
              <w:spacing w:before="129"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（五）装配式建筑混凝土预制构件安装工程。</w:t>
            </w:r>
          </w:p>
        </w:tc>
        <w:tc>
          <w:tcPr>
            <w:tcW w:w="1294" w:type="dxa"/>
            <w:vAlign w:val="top"/>
          </w:tcPr>
          <w:p w14:paraId="0335193E">
            <w:pPr>
              <w:keepNext w:val="0"/>
              <w:keepLines w:val="0"/>
              <w:pageBreakBefore w:val="0"/>
              <w:wordWrap w:val="0"/>
              <w:overflowPunct/>
              <w:topLinePunct w:val="0"/>
              <w:bidi w:val="0"/>
              <w:spacing w:before="129"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88C26DB">
            <w:pPr>
              <w:keepNext w:val="0"/>
              <w:keepLines w:val="0"/>
              <w:pageBreakBefore w:val="0"/>
              <w:wordWrap w:val="0"/>
              <w:overflowPunct/>
              <w:topLinePunct w:val="0"/>
              <w:bidi w:val="0"/>
              <w:spacing w:before="129"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AE26D2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60BAC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242918A5">
            <w:pPr>
              <w:keepNext w:val="0"/>
              <w:keepLines w:val="0"/>
              <w:pageBreakBefore w:val="0"/>
              <w:wordWrap w:val="0"/>
              <w:overflowPunct/>
              <w:topLinePunct w:val="0"/>
              <w:bidi w:val="0"/>
              <w:spacing w:before="129" w:line="360"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496F222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BE76F4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39AC87B">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82C1EF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FBE4FE4">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32EE85F">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D9EE8A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13E8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4264981E">
            <w:pPr>
              <w:keepNext w:val="0"/>
              <w:keepLines w:val="0"/>
              <w:pageBreakBefore w:val="0"/>
              <w:wordWrap w:val="0"/>
              <w:overflowPunct/>
              <w:topLinePunct w:val="0"/>
              <w:bidi w:val="0"/>
              <w:spacing w:before="129" w:line="360" w:lineRule="auto"/>
              <w:ind w:left="115" w:right="108" w:firstLine="4"/>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二、超过一定规模的危险性较大的分部分项工程清单</w:t>
            </w:r>
          </w:p>
        </w:tc>
        <w:tc>
          <w:tcPr>
            <w:tcW w:w="1294" w:type="dxa"/>
            <w:vAlign w:val="top"/>
          </w:tcPr>
          <w:p w14:paraId="52EDDCE6">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5015D35">
            <w:pPr>
              <w:keepNext w:val="0"/>
              <w:keepLines w:val="0"/>
              <w:pageBreakBefore w:val="0"/>
              <w:wordWrap w:val="0"/>
              <w:overflowPunct/>
              <w:topLinePunct w:val="0"/>
              <w:bidi w:val="0"/>
              <w:spacing w:before="78" w:line="360" w:lineRule="auto"/>
              <w:ind w:left="20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建设单位</w:t>
            </w:r>
          </w:p>
        </w:tc>
        <w:tc>
          <w:tcPr>
            <w:tcW w:w="1294" w:type="dxa"/>
            <w:vAlign w:val="top"/>
          </w:tcPr>
          <w:p w14:paraId="7D2CDEE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9D2C904">
            <w:pPr>
              <w:keepNext w:val="0"/>
              <w:keepLines w:val="0"/>
              <w:pageBreakBefore w:val="0"/>
              <w:wordWrap w:val="0"/>
              <w:overflowPunct/>
              <w:topLinePunct w:val="0"/>
              <w:bidi w:val="0"/>
              <w:spacing w:before="78" w:line="360" w:lineRule="auto"/>
              <w:ind w:left="119"/>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投标单位</w:t>
            </w:r>
          </w:p>
        </w:tc>
        <w:tc>
          <w:tcPr>
            <w:tcW w:w="2428" w:type="dxa"/>
            <w:vAlign w:val="top"/>
          </w:tcPr>
          <w:p w14:paraId="0E9BBCA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62A97E9">
            <w:pPr>
              <w:keepNext w:val="0"/>
              <w:keepLines w:val="0"/>
              <w:pageBreakBefore w:val="0"/>
              <w:wordWrap w:val="0"/>
              <w:overflowPunct/>
              <w:topLinePunct w:val="0"/>
              <w:bidi w:val="0"/>
              <w:spacing w:before="78" w:line="360" w:lineRule="auto"/>
              <w:ind w:left="3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备注</w:t>
            </w:r>
          </w:p>
        </w:tc>
      </w:tr>
      <w:tr w14:paraId="09383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02FC6A74">
            <w:pPr>
              <w:keepNext w:val="0"/>
              <w:keepLines w:val="0"/>
              <w:pageBreakBefore w:val="0"/>
              <w:wordWrap w:val="0"/>
              <w:overflowPunct/>
              <w:topLinePunct w:val="0"/>
              <w:bidi w:val="0"/>
              <w:spacing w:before="129" w:line="36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一、深基坑工程</w:t>
            </w:r>
          </w:p>
        </w:tc>
        <w:tc>
          <w:tcPr>
            <w:tcW w:w="1294" w:type="dxa"/>
            <w:vAlign w:val="top"/>
          </w:tcPr>
          <w:p w14:paraId="0FD5C757">
            <w:pPr>
              <w:keepNext w:val="0"/>
              <w:keepLines w:val="0"/>
              <w:pageBreakBefore w:val="0"/>
              <w:wordWrap w:val="0"/>
              <w:overflowPunct/>
              <w:topLinePunct w:val="0"/>
              <w:bidi w:val="0"/>
              <w:spacing w:before="129" w:line="36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15D0C9B">
            <w:pPr>
              <w:keepNext w:val="0"/>
              <w:keepLines w:val="0"/>
              <w:pageBreakBefore w:val="0"/>
              <w:wordWrap w:val="0"/>
              <w:overflowPunct/>
              <w:topLinePunct w:val="0"/>
              <w:bidi w:val="0"/>
              <w:spacing w:before="129"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CBB58B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73503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6045EE0E">
            <w:pPr>
              <w:keepNext w:val="0"/>
              <w:keepLines w:val="0"/>
              <w:pageBreakBefore w:val="0"/>
              <w:wordWrap w:val="0"/>
              <w:overflowPunct/>
              <w:topLinePunct w:val="0"/>
              <w:bidi w:val="0"/>
              <w:spacing w:before="131" w:line="360" w:lineRule="auto"/>
              <w:ind w:left="117" w:right="1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开挖深度超过 5m（含 5m）的基坑（槽）的土方 开挖、支护、降水工程。</w:t>
            </w:r>
          </w:p>
        </w:tc>
        <w:tc>
          <w:tcPr>
            <w:tcW w:w="1294" w:type="dxa"/>
            <w:vAlign w:val="top"/>
          </w:tcPr>
          <w:p w14:paraId="507AE1D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F469623">
            <w:pPr>
              <w:keepNext w:val="0"/>
              <w:keepLines w:val="0"/>
              <w:pageBreakBefore w:val="0"/>
              <w:wordWrap w:val="0"/>
              <w:overflowPunct/>
              <w:topLinePunct w:val="0"/>
              <w:bidi w:val="0"/>
              <w:spacing w:before="78" w:line="36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1BD32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1AD1680">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5FCDD85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328A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0627481A">
            <w:pPr>
              <w:keepNext w:val="0"/>
              <w:keepLines w:val="0"/>
              <w:pageBreakBefore w:val="0"/>
              <w:wordWrap w:val="0"/>
              <w:overflowPunct/>
              <w:topLinePunct w:val="0"/>
              <w:bidi w:val="0"/>
              <w:spacing w:before="130" w:line="36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二、模板工程及支撑体系</w:t>
            </w:r>
          </w:p>
        </w:tc>
        <w:tc>
          <w:tcPr>
            <w:tcW w:w="1294" w:type="dxa"/>
            <w:vAlign w:val="top"/>
          </w:tcPr>
          <w:p w14:paraId="4297BDAC">
            <w:pPr>
              <w:keepNext w:val="0"/>
              <w:keepLines w:val="0"/>
              <w:pageBreakBefore w:val="0"/>
              <w:wordWrap w:val="0"/>
              <w:overflowPunct/>
              <w:topLinePunct w:val="0"/>
              <w:bidi w:val="0"/>
              <w:spacing w:before="129" w:line="36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sz w:val="24"/>
                <w:szCs w:val="24"/>
                <w:highlight w:val="none"/>
                <w:lang w:val="en-US"/>
              </w:rPr>
              <w:t xml:space="preserve">  </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E5FCAEB">
            <w:pPr>
              <w:keepNext w:val="0"/>
              <w:keepLines w:val="0"/>
              <w:pageBreakBefore w:val="0"/>
              <w:wordWrap w:val="0"/>
              <w:overflowPunct/>
              <w:topLinePunct w:val="0"/>
              <w:bidi w:val="0"/>
              <w:spacing w:before="129"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3E9C00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1D0B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2D300C9C">
            <w:pPr>
              <w:keepNext w:val="0"/>
              <w:keepLines w:val="0"/>
              <w:pageBreakBefore w:val="0"/>
              <w:wordWrap w:val="0"/>
              <w:overflowPunct/>
              <w:topLinePunct w:val="0"/>
              <w:bidi w:val="0"/>
              <w:spacing w:before="130" w:line="360" w:lineRule="auto"/>
              <w:ind w:left="123" w:right="25" w:firstLine="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（一）各类工具式模板工程：包括滑模、爬模、 飞模、隧道模等工程。</w:t>
            </w:r>
          </w:p>
        </w:tc>
        <w:tc>
          <w:tcPr>
            <w:tcW w:w="1294" w:type="dxa"/>
            <w:vAlign w:val="top"/>
          </w:tcPr>
          <w:p w14:paraId="01D661E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DDA3CCD">
            <w:pPr>
              <w:keepNext w:val="0"/>
              <w:keepLines w:val="0"/>
              <w:pageBreakBefore w:val="0"/>
              <w:wordWrap w:val="0"/>
              <w:overflowPunct/>
              <w:topLinePunct w:val="0"/>
              <w:bidi w:val="0"/>
              <w:spacing w:before="78" w:line="360" w:lineRule="auto"/>
              <w:ind w:left="30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4A02DE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14A516E">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E381ED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5FC89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792E50BC">
            <w:pPr>
              <w:keepNext w:val="0"/>
              <w:keepLines w:val="0"/>
              <w:pageBreakBefore w:val="0"/>
              <w:wordWrap w:val="0"/>
              <w:overflowPunct/>
              <w:topLinePunct w:val="0"/>
              <w:bidi w:val="0"/>
              <w:spacing w:before="132" w:line="360" w:lineRule="auto"/>
              <w:ind w:left="116" w:right="6" w:firstLine="11"/>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（二）混凝土模板支撑工程：搭设高度8m 及以 上，或搭设跨度 18m 及以上，或施工总荷载（设计值）15kN/m2 及以上，或集中线荷载（设计值） 20kN/m 及以上。</w:t>
            </w:r>
          </w:p>
        </w:tc>
        <w:tc>
          <w:tcPr>
            <w:tcW w:w="1294" w:type="dxa"/>
            <w:vAlign w:val="top"/>
          </w:tcPr>
          <w:p w14:paraId="6C62601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3B16BE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DC2A74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401A348">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D4918F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2A7523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835FC2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65FF7AF">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B509C14">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218BD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817" w:hRule="atLeast"/>
          <w:jc w:val="center"/>
        </w:trPr>
        <w:tc>
          <w:tcPr>
            <w:tcW w:w="4864" w:type="dxa"/>
            <w:vAlign w:val="top"/>
          </w:tcPr>
          <w:p w14:paraId="49E32F9C">
            <w:pPr>
              <w:keepNext w:val="0"/>
              <w:keepLines w:val="0"/>
              <w:pageBreakBefore w:val="0"/>
              <w:wordWrap w:val="0"/>
              <w:overflowPunct/>
              <w:topLinePunct w:val="0"/>
              <w:bidi w:val="0"/>
              <w:spacing w:before="131"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（三）承重支撑体系：用于钢结构安装等满堂</w:t>
            </w:r>
          </w:p>
          <w:p w14:paraId="056895D1">
            <w:pPr>
              <w:keepNext w:val="0"/>
              <w:keepLines w:val="0"/>
              <w:pageBreakBefore w:val="0"/>
              <w:wordWrap w:val="0"/>
              <w:overflowPunct/>
              <w:topLinePunct w:val="0"/>
              <w:bidi w:val="0"/>
              <w:spacing w:before="131" w:line="360" w:lineRule="auto"/>
              <w:ind w:left="1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支撑体系，承受单点集中荷载 7kN 及以上。</w:t>
            </w:r>
          </w:p>
        </w:tc>
        <w:tc>
          <w:tcPr>
            <w:tcW w:w="1294" w:type="dxa"/>
            <w:vAlign w:val="top"/>
          </w:tcPr>
          <w:p w14:paraId="553E2DF0">
            <w:pPr>
              <w:keepNext w:val="0"/>
              <w:keepLines w:val="0"/>
              <w:pageBreakBefore w:val="0"/>
              <w:wordWrap w:val="0"/>
              <w:overflowPunct/>
              <w:topLinePunct w:val="0"/>
              <w:bidi w:val="0"/>
              <w:spacing w:before="131"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C72B68A">
            <w:pPr>
              <w:keepNext w:val="0"/>
              <w:keepLines w:val="0"/>
              <w:pageBreakBefore w:val="0"/>
              <w:wordWrap w:val="0"/>
              <w:overflowPunct/>
              <w:topLinePunct w:val="0"/>
              <w:bidi w:val="0"/>
              <w:spacing w:before="131"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BCEDFE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2615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543B4A7F">
            <w:pPr>
              <w:keepNext w:val="0"/>
              <w:keepLines w:val="0"/>
              <w:pageBreakBefore w:val="0"/>
              <w:wordWrap w:val="0"/>
              <w:overflowPunct/>
              <w:topLinePunct w:val="0"/>
              <w:bidi w:val="0"/>
              <w:spacing w:before="128" w:line="360" w:lineRule="auto"/>
              <w:ind w:left="3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三、起重吊装及起重机械安装拆卸工程</w:t>
            </w:r>
          </w:p>
        </w:tc>
        <w:tc>
          <w:tcPr>
            <w:tcW w:w="1294" w:type="dxa"/>
            <w:vAlign w:val="top"/>
          </w:tcPr>
          <w:p w14:paraId="7C46839F">
            <w:pPr>
              <w:keepNext w:val="0"/>
              <w:keepLines w:val="0"/>
              <w:pageBreakBefore w:val="0"/>
              <w:wordWrap w:val="0"/>
              <w:overflowPunct/>
              <w:topLinePunct w:val="0"/>
              <w:bidi w:val="0"/>
              <w:spacing w:before="127" w:line="360"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1E954BA4">
            <w:pPr>
              <w:keepNext w:val="0"/>
              <w:keepLines w:val="0"/>
              <w:pageBreakBefore w:val="0"/>
              <w:wordWrap w:val="0"/>
              <w:overflowPunct/>
              <w:topLinePunct w:val="0"/>
              <w:bidi w:val="0"/>
              <w:spacing w:before="127"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BEF426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8715D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68715B81">
            <w:pPr>
              <w:keepNext w:val="0"/>
              <w:keepLines w:val="0"/>
              <w:pageBreakBefore w:val="0"/>
              <w:wordWrap w:val="0"/>
              <w:overflowPunct/>
              <w:topLinePunct w:val="0"/>
              <w:bidi w:val="0"/>
              <w:spacing w:before="129" w:line="360" w:lineRule="auto"/>
              <w:ind w:left="144" w:right="168" w:hanging="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（一）采用非常规起重设备、方法，且单件起 吊重量在 100kN 及以上的起重吊装工程。</w:t>
            </w:r>
          </w:p>
        </w:tc>
        <w:tc>
          <w:tcPr>
            <w:tcW w:w="1294" w:type="dxa"/>
            <w:vAlign w:val="top"/>
          </w:tcPr>
          <w:p w14:paraId="6217686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8EFCFE9">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23FF28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385602F">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778E792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3819C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732EB0C9">
            <w:pPr>
              <w:keepNext w:val="0"/>
              <w:keepLines w:val="0"/>
              <w:pageBreakBefore w:val="0"/>
              <w:wordWrap w:val="0"/>
              <w:overflowPunct/>
              <w:topLinePunct w:val="0"/>
              <w:bidi w:val="0"/>
              <w:spacing w:before="129" w:line="360" w:lineRule="auto"/>
              <w:ind w:left="115" w:right="105" w:firstLine="12"/>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（二）起重量 300kN 及以上，或搭设总高度 200m 及以上，或搭设基础标高在 200m 及以上的起重 机械安装和拆卸工程。</w:t>
            </w:r>
          </w:p>
        </w:tc>
        <w:tc>
          <w:tcPr>
            <w:tcW w:w="1294" w:type="dxa"/>
            <w:vAlign w:val="top"/>
          </w:tcPr>
          <w:p w14:paraId="5762D0E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40C634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85B83EE">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29E055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92B70A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6C60C1D">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7ACFA6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1C3B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4F30D083">
            <w:pPr>
              <w:keepNext w:val="0"/>
              <w:keepLines w:val="0"/>
              <w:pageBreakBefore w:val="0"/>
              <w:wordWrap w:val="0"/>
              <w:overflowPunct/>
              <w:topLinePunct w:val="0"/>
              <w:bidi w:val="0"/>
              <w:spacing w:before="128" w:line="360" w:lineRule="auto"/>
              <w:ind w:left="1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四、脚手架工程</w:t>
            </w:r>
          </w:p>
        </w:tc>
        <w:tc>
          <w:tcPr>
            <w:tcW w:w="1294" w:type="dxa"/>
            <w:vAlign w:val="top"/>
          </w:tcPr>
          <w:p w14:paraId="2881CCAF">
            <w:pPr>
              <w:keepNext w:val="0"/>
              <w:keepLines w:val="0"/>
              <w:pageBreakBefore w:val="0"/>
              <w:wordWrap w:val="0"/>
              <w:overflowPunct/>
              <w:topLinePunct w:val="0"/>
              <w:bidi w:val="0"/>
              <w:spacing w:before="127"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B9B1B91">
            <w:pPr>
              <w:keepNext w:val="0"/>
              <w:keepLines w:val="0"/>
              <w:pageBreakBefore w:val="0"/>
              <w:wordWrap w:val="0"/>
              <w:overflowPunct/>
              <w:topLinePunct w:val="0"/>
              <w:bidi w:val="0"/>
              <w:spacing w:before="127"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0DC304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B14B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28AA96E6">
            <w:pPr>
              <w:keepNext w:val="0"/>
              <w:keepLines w:val="0"/>
              <w:pageBreakBefore w:val="0"/>
              <w:wordWrap w:val="0"/>
              <w:overflowPunct/>
              <w:topLinePunct w:val="0"/>
              <w:bidi w:val="0"/>
              <w:spacing w:before="128" w:line="360"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（一）搭设高度 50m 及以上的落地式钢管脚手 架工程。</w:t>
            </w:r>
          </w:p>
        </w:tc>
        <w:tc>
          <w:tcPr>
            <w:tcW w:w="1294" w:type="dxa"/>
            <w:vAlign w:val="top"/>
          </w:tcPr>
          <w:p w14:paraId="38CA0E74">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4F42D08">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486B79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9F43BD7">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DCFD44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5FA03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0DA8149A">
            <w:pPr>
              <w:keepNext w:val="0"/>
              <w:keepLines w:val="0"/>
              <w:pageBreakBefore w:val="0"/>
              <w:wordWrap w:val="0"/>
              <w:overflowPunct/>
              <w:topLinePunct w:val="0"/>
              <w:bidi w:val="0"/>
              <w:spacing w:before="131" w:line="360" w:lineRule="auto"/>
              <w:ind w:left="116" w:right="105" w:firstLine="1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（二）提升高度在 </w:t>
            </w:r>
            <w:r>
              <w:rPr>
                <w:rFonts w:hint="eastAsia" w:ascii="宋体" w:hAnsi="宋体" w:eastAsia="宋体" w:cs="宋体"/>
                <w:color w:val="auto"/>
                <w:spacing w:val="0"/>
                <w:sz w:val="24"/>
                <w:szCs w:val="24"/>
                <w:highlight w:val="none"/>
                <w:lang w:eastAsia="zh-CN"/>
              </w:rPr>
              <w:t>450</w:t>
            </w:r>
            <w:r>
              <w:rPr>
                <w:rFonts w:hint="eastAsia" w:ascii="宋体" w:hAnsi="宋体" w:eastAsia="宋体" w:cs="宋体"/>
                <w:color w:val="auto"/>
                <w:spacing w:val="0"/>
                <w:sz w:val="24"/>
                <w:szCs w:val="24"/>
                <w:highlight w:val="none"/>
              </w:rPr>
              <w:t>m 及以上的附着式升降脚 手架工程或附着式升降操作平台工程。</w:t>
            </w:r>
          </w:p>
        </w:tc>
        <w:tc>
          <w:tcPr>
            <w:tcW w:w="1294" w:type="dxa"/>
            <w:vAlign w:val="top"/>
          </w:tcPr>
          <w:p w14:paraId="6C44A91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5C3F305">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14626CA">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7E009AF">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D10965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5BD5D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5B1E5B3D">
            <w:pPr>
              <w:keepNext w:val="0"/>
              <w:keepLines w:val="0"/>
              <w:pageBreakBefore w:val="0"/>
              <w:wordWrap w:val="0"/>
              <w:overflowPunct/>
              <w:topLinePunct w:val="0"/>
              <w:bidi w:val="0"/>
              <w:spacing w:before="129" w:line="360"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（三）分段架体搭设高度 20m 及以上的悬挑式 脚手架工程。</w:t>
            </w:r>
          </w:p>
        </w:tc>
        <w:tc>
          <w:tcPr>
            <w:tcW w:w="1294" w:type="dxa"/>
            <w:vAlign w:val="top"/>
          </w:tcPr>
          <w:p w14:paraId="4AB79A1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7005039">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ACFD16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F5EF920">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662CF69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4E8E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0C785A81">
            <w:pPr>
              <w:keepNext w:val="0"/>
              <w:keepLines w:val="0"/>
              <w:pageBreakBefore w:val="0"/>
              <w:wordWrap w:val="0"/>
              <w:overflowPunct/>
              <w:topLinePunct w:val="0"/>
              <w:bidi w:val="0"/>
              <w:spacing w:before="131" w:line="360" w:lineRule="auto"/>
              <w:ind w:left="12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五、拆除工程</w:t>
            </w:r>
          </w:p>
        </w:tc>
        <w:tc>
          <w:tcPr>
            <w:tcW w:w="1294" w:type="dxa"/>
            <w:vAlign w:val="top"/>
          </w:tcPr>
          <w:p w14:paraId="2B410AE1">
            <w:pPr>
              <w:keepNext w:val="0"/>
              <w:keepLines w:val="0"/>
              <w:pageBreakBefore w:val="0"/>
              <w:wordWrap w:val="0"/>
              <w:overflowPunct/>
              <w:topLinePunct w:val="0"/>
              <w:bidi w:val="0"/>
              <w:spacing w:before="158" w:line="360" w:lineRule="auto"/>
              <w:ind w:left="42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7B38F25">
            <w:pPr>
              <w:keepNext w:val="0"/>
              <w:keepLines w:val="0"/>
              <w:pageBreakBefore w:val="0"/>
              <w:wordWrap w:val="0"/>
              <w:overflowPunct/>
              <w:topLinePunct w:val="0"/>
              <w:bidi w:val="0"/>
              <w:spacing w:before="15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8E3645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33198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2D620B92">
            <w:pPr>
              <w:keepNext w:val="0"/>
              <w:keepLines w:val="0"/>
              <w:pageBreakBefore w:val="0"/>
              <w:wordWrap w:val="0"/>
              <w:overflowPunct/>
              <w:topLinePunct w:val="0"/>
              <w:bidi w:val="0"/>
              <w:spacing w:before="132" w:line="360"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（一）码头、桥梁、高架、烟囱、水塔或拆除 中容易引起有毒有害气（液）体或粉尘扩散、 易燃易爆事故发生的特殊建、构筑物的拆除工 程。</w:t>
            </w:r>
          </w:p>
        </w:tc>
        <w:tc>
          <w:tcPr>
            <w:tcW w:w="1294" w:type="dxa"/>
            <w:vAlign w:val="top"/>
          </w:tcPr>
          <w:p w14:paraId="6283712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E2C6B6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237685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E1C9159">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42F70B0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459CE9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D26B224">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ABE716F">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E13D58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7EF3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6250F9E3">
            <w:pPr>
              <w:keepNext w:val="0"/>
              <w:keepLines w:val="0"/>
              <w:pageBreakBefore w:val="0"/>
              <w:wordWrap w:val="0"/>
              <w:overflowPunct/>
              <w:topLinePunct w:val="0"/>
              <w:bidi w:val="0"/>
              <w:spacing w:before="131" w:line="360" w:lineRule="auto"/>
              <w:ind w:left="117" w:right="168" w:firstLine="1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（二）文物保护建筑、优秀历史建筑或历史文 化风貌区影响范围内的拆除工程。</w:t>
            </w:r>
          </w:p>
        </w:tc>
        <w:tc>
          <w:tcPr>
            <w:tcW w:w="1294" w:type="dxa"/>
            <w:vAlign w:val="top"/>
          </w:tcPr>
          <w:p w14:paraId="1D4EC9B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3A03CFE">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2888C2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B856F29">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322649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AB33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3FB23701">
            <w:pPr>
              <w:keepNext w:val="0"/>
              <w:keepLines w:val="0"/>
              <w:pageBreakBefore w:val="0"/>
              <w:wordWrap w:val="0"/>
              <w:overflowPunct/>
              <w:topLinePunct w:val="0"/>
              <w:bidi w:val="0"/>
              <w:spacing w:before="131" w:line="360" w:lineRule="auto"/>
              <w:ind w:left="11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六、暗挖工程</w:t>
            </w:r>
          </w:p>
        </w:tc>
        <w:tc>
          <w:tcPr>
            <w:tcW w:w="1294" w:type="dxa"/>
            <w:vAlign w:val="top"/>
          </w:tcPr>
          <w:p w14:paraId="3B13018B">
            <w:pPr>
              <w:keepNext w:val="0"/>
              <w:keepLines w:val="0"/>
              <w:pageBreakBefore w:val="0"/>
              <w:wordWrap w:val="0"/>
              <w:overflowPunct/>
              <w:topLinePunct w:val="0"/>
              <w:bidi w:val="0"/>
              <w:spacing w:before="140"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1E32A96">
            <w:pPr>
              <w:keepNext w:val="0"/>
              <w:keepLines w:val="0"/>
              <w:pageBreakBefore w:val="0"/>
              <w:wordWrap w:val="0"/>
              <w:overflowPunct/>
              <w:topLinePunct w:val="0"/>
              <w:bidi w:val="0"/>
              <w:spacing w:before="140"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BEFE76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25277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1C421DB8">
            <w:pPr>
              <w:keepNext w:val="0"/>
              <w:keepLines w:val="0"/>
              <w:pageBreakBefore w:val="0"/>
              <w:wordWrap w:val="0"/>
              <w:overflowPunct/>
              <w:topLinePunct w:val="0"/>
              <w:bidi w:val="0"/>
              <w:spacing w:before="131" w:line="360" w:lineRule="auto"/>
              <w:ind w:left="119" w:right="168" w:hanging="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采用矿山法、盾构法、顶管法施工的隧道、洞 室工程。</w:t>
            </w:r>
          </w:p>
        </w:tc>
        <w:tc>
          <w:tcPr>
            <w:tcW w:w="1294" w:type="dxa"/>
            <w:vAlign w:val="top"/>
          </w:tcPr>
          <w:p w14:paraId="2955C1F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C4C9825">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37FC5F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873351B">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739747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23CBE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7F3B8926">
            <w:pPr>
              <w:keepNext w:val="0"/>
              <w:keepLines w:val="0"/>
              <w:pageBreakBefore w:val="0"/>
              <w:wordWrap w:val="0"/>
              <w:overflowPunct/>
              <w:topLinePunct w:val="0"/>
              <w:bidi w:val="0"/>
              <w:spacing w:before="130" w:line="360" w:lineRule="auto"/>
              <w:ind w:left="1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七、其它</w:t>
            </w:r>
          </w:p>
        </w:tc>
        <w:tc>
          <w:tcPr>
            <w:tcW w:w="1294" w:type="dxa"/>
            <w:vAlign w:val="top"/>
          </w:tcPr>
          <w:p w14:paraId="4D77A95B">
            <w:pPr>
              <w:keepNext w:val="0"/>
              <w:keepLines w:val="0"/>
              <w:pageBreakBefore w:val="0"/>
              <w:wordWrap w:val="0"/>
              <w:overflowPunct/>
              <w:topLinePunct w:val="0"/>
              <w:bidi w:val="0"/>
              <w:spacing w:before="130"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185F8E5">
            <w:pPr>
              <w:keepNext w:val="0"/>
              <w:keepLines w:val="0"/>
              <w:pageBreakBefore w:val="0"/>
              <w:wordWrap w:val="0"/>
              <w:overflowPunct/>
              <w:topLinePunct w:val="0"/>
              <w:bidi w:val="0"/>
              <w:spacing w:before="130"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8A326B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36214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1FF8FAEC">
            <w:pPr>
              <w:keepNext w:val="0"/>
              <w:keepLines w:val="0"/>
              <w:pageBreakBefore w:val="0"/>
              <w:wordWrap w:val="0"/>
              <w:overflowPunct/>
              <w:topLinePunct w:val="0"/>
              <w:bidi w:val="0"/>
              <w:spacing w:before="130" w:line="360" w:lineRule="auto"/>
              <w:ind w:left="115" w:right="168"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（一）施工高度 50m 及以上的建筑幕墙安装工 程。</w:t>
            </w:r>
          </w:p>
        </w:tc>
        <w:tc>
          <w:tcPr>
            <w:tcW w:w="1294" w:type="dxa"/>
            <w:vAlign w:val="top"/>
          </w:tcPr>
          <w:p w14:paraId="79731486">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6B1EF7E">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0F023B34">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642A23D">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39FC341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3255E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65A9370B">
            <w:pPr>
              <w:keepNext w:val="0"/>
              <w:keepLines w:val="0"/>
              <w:pageBreakBefore w:val="0"/>
              <w:wordWrap w:val="0"/>
              <w:overflowPunct/>
              <w:topLinePunct w:val="0"/>
              <w:bidi w:val="0"/>
              <w:spacing w:before="130"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（二）跨度 36m 及以上的钢结构安装工程，或</w:t>
            </w:r>
          </w:p>
        </w:tc>
        <w:tc>
          <w:tcPr>
            <w:tcW w:w="1294" w:type="dxa"/>
            <w:vAlign w:val="top"/>
          </w:tcPr>
          <w:p w14:paraId="0E28B8BF">
            <w:pPr>
              <w:keepNext w:val="0"/>
              <w:keepLines w:val="0"/>
              <w:pageBreakBefore w:val="0"/>
              <w:wordWrap w:val="0"/>
              <w:overflowPunct/>
              <w:topLinePunct w:val="0"/>
              <w:bidi w:val="0"/>
              <w:spacing w:before="130"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65DB057B">
            <w:pPr>
              <w:keepNext w:val="0"/>
              <w:keepLines w:val="0"/>
              <w:pageBreakBefore w:val="0"/>
              <w:wordWrap w:val="0"/>
              <w:overflowPunct/>
              <w:topLinePunct w:val="0"/>
              <w:bidi w:val="0"/>
              <w:spacing w:before="130"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23DB903A">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648D8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741E2AF4">
            <w:pPr>
              <w:keepNext w:val="0"/>
              <w:keepLines w:val="0"/>
              <w:pageBreakBefore w:val="0"/>
              <w:wordWrap w:val="0"/>
              <w:overflowPunct/>
              <w:topLinePunct w:val="0"/>
              <w:bidi w:val="0"/>
              <w:spacing w:before="131" w:line="360" w:lineRule="auto"/>
              <w:ind w:left="11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跨度 60m 及以上的网架和索膜结构安装工程。</w:t>
            </w:r>
          </w:p>
        </w:tc>
        <w:tc>
          <w:tcPr>
            <w:tcW w:w="1294" w:type="dxa"/>
            <w:vAlign w:val="top"/>
          </w:tcPr>
          <w:p w14:paraId="64B9705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294" w:type="dxa"/>
            <w:vAlign w:val="top"/>
          </w:tcPr>
          <w:p w14:paraId="002E064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2428" w:type="dxa"/>
            <w:vAlign w:val="top"/>
          </w:tcPr>
          <w:p w14:paraId="044C4BA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6EB4F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11B8FBFF">
            <w:pPr>
              <w:keepNext w:val="0"/>
              <w:keepLines w:val="0"/>
              <w:pageBreakBefore w:val="0"/>
              <w:wordWrap w:val="0"/>
              <w:overflowPunct/>
              <w:topLinePunct w:val="0"/>
              <w:bidi w:val="0"/>
              <w:spacing w:before="127" w:line="360" w:lineRule="auto"/>
              <w:jc w:val="righ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（三）开挖深度 16m 及以上的人工挖孔桩工程。</w:t>
            </w:r>
          </w:p>
        </w:tc>
        <w:tc>
          <w:tcPr>
            <w:tcW w:w="1294" w:type="dxa"/>
            <w:vAlign w:val="top"/>
          </w:tcPr>
          <w:p w14:paraId="62C02099">
            <w:pPr>
              <w:keepNext w:val="0"/>
              <w:keepLines w:val="0"/>
              <w:pageBreakBefore w:val="0"/>
              <w:wordWrap w:val="0"/>
              <w:overflowPunct/>
              <w:topLinePunct w:val="0"/>
              <w:bidi w:val="0"/>
              <w:spacing w:before="127"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241BE568">
            <w:pPr>
              <w:keepNext w:val="0"/>
              <w:keepLines w:val="0"/>
              <w:pageBreakBefore w:val="0"/>
              <w:wordWrap w:val="0"/>
              <w:overflowPunct/>
              <w:topLinePunct w:val="0"/>
              <w:bidi w:val="0"/>
              <w:spacing w:before="127"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1B3ECDA4">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A9F4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4C8AFDA4">
            <w:pPr>
              <w:keepNext w:val="0"/>
              <w:keepLines w:val="0"/>
              <w:pageBreakBefore w:val="0"/>
              <w:wordWrap w:val="0"/>
              <w:overflowPunct/>
              <w:topLinePunct w:val="0"/>
              <w:bidi w:val="0"/>
              <w:spacing w:before="129" w:line="360" w:lineRule="auto"/>
              <w:ind w:left="12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（四）水下作业工程。</w:t>
            </w:r>
          </w:p>
        </w:tc>
        <w:tc>
          <w:tcPr>
            <w:tcW w:w="1294" w:type="dxa"/>
            <w:vAlign w:val="top"/>
          </w:tcPr>
          <w:p w14:paraId="3067C02F">
            <w:pPr>
              <w:keepNext w:val="0"/>
              <w:keepLines w:val="0"/>
              <w:pageBreakBefore w:val="0"/>
              <w:wordWrap w:val="0"/>
              <w:overflowPunct/>
              <w:topLinePunct w:val="0"/>
              <w:bidi w:val="0"/>
              <w:spacing w:before="163"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52CEF54C">
            <w:pPr>
              <w:keepNext w:val="0"/>
              <w:keepLines w:val="0"/>
              <w:pageBreakBefore w:val="0"/>
              <w:wordWrap w:val="0"/>
              <w:overflowPunct/>
              <w:topLinePunct w:val="0"/>
              <w:bidi w:val="0"/>
              <w:spacing w:before="163"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B56A10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7A1F8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1BCC59C5">
            <w:pPr>
              <w:keepNext w:val="0"/>
              <w:keepLines w:val="0"/>
              <w:pageBreakBefore w:val="0"/>
              <w:wordWrap w:val="0"/>
              <w:overflowPunct/>
              <w:topLinePunct w:val="0"/>
              <w:bidi w:val="0"/>
              <w:spacing w:before="130" w:line="360" w:lineRule="auto"/>
              <w:ind w:left="115" w:right="25" w:firstLine="1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（五）重量 1000kN及以上的大型结构整体顶升、 平移、转体等施工工艺。</w:t>
            </w:r>
          </w:p>
        </w:tc>
        <w:tc>
          <w:tcPr>
            <w:tcW w:w="1294" w:type="dxa"/>
            <w:vAlign w:val="top"/>
          </w:tcPr>
          <w:p w14:paraId="3F86B10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DAFD05C">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77CFDEA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83652C7">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4FC5E23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6CCF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67" w:type="dxa"/>
          <w:trHeight w:val="0" w:hRule="atLeast"/>
          <w:jc w:val="center"/>
        </w:trPr>
        <w:tc>
          <w:tcPr>
            <w:tcW w:w="4864" w:type="dxa"/>
            <w:vAlign w:val="top"/>
          </w:tcPr>
          <w:p w14:paraId="79C5CBEE">
            <w:pPr>
              <w:keepNext w:val="0"/>
              <w:keepLines w:val="0"/>
              <w:pageBreakBefore w:val="0"/>
              <w:wordWrap w:val="0"/>
              <w:overflowPunct/>
              <w:topLinePunct w:val="0"/>
              <w:bidi w:val="0"/>
              <w:spacing w:before="129" w:line="360" w:lineRule="auto"/>
              <w:ind w:left="117" w:right="168" w:firstLine="10"/>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（六）采用新技术、新工艺、新材料、新设备 可能影响工程施工安全，尚无国家、行业及地 方技术标准的分部分项工程。</w:t>
            </w:r>
          </w:p>
        </w:tc>
        <w:tc>
          <w:tcPr>
            <w:tcW w:w="1294" w:type="dxa"/>
            <w:vAlign w:val="top"/>
          </w:tcPr>
          <w:p w14:paraId="7BFE5A7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6661FE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1A5B130">
            <w:pPr>
              <w:keepNext w:val="0"/>
              <w:keepLines w:val="0"/>
              <w:pageBreakBefore w:val="0"/>
              <w:wordWrap w:val="0"/>
              <w:overflowPunct/>
              <w:topLinePunct w:val="0"/>
              <w:bidi w:val="0"/>
              <w:spacing w:before="78" w:line="360" w:lineRule="auto"/>
              <w:ind w:left="3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1294" w:type="dxa"/>
            <w:vAlign w:val="top"/>
          </w:tcPr>
          <w:p w14:paraId="3094A60A">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8F5358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33F0501">
            <w:pPr>
              <w:keepNext w:val="0"/>
              <w:keepLines w:val="0"/>
              <w:pageBreakBefore w:val="0"/>
              <w:wordWrap w:val="0"/>
              <w:overflowPunct/>
              <w:topLinePunct w:val="0"/>
              <w:bidi w:val="0"/>
              <w:spacing w:before="78" w:line="360" w:lineRule="auto"/>
              <w:ind w:left="36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w w:val="94"/>
                <w:sz w:val="24"/>
                <w:szCs w:val="24"/>
                <w:highlight w:val="none"/>
              </w:rPr>
              <w:t>(</w:t>
            </w:r>
            <w:r>
              <w:rPr>
                <w:rFonts w:hint="eastAsia" w:ascii="宋体" w:hAnsi="宋体" w:eastAsia="宋体" w:cs="宋体"/>
                <w:color w:val="auto"/>
                <w:spacing w:val="0"/>
                <w:sz w:val="24"/>
                <w:szCs w:val="24"/>
                <w:highlight w:val="none"/>
              </w:rPr>
              <w:t xml:space="preserve">    </w:t>
            </w:r>
            <w:r>
              <w:rPr>
                <w:rFonts w:hint="eastAsia" w:ascii="宋体" w:hAnsi="宋体" w:eastAsia="宋体" w:cs="宋体"/>
                <w:color w:val="auto"/>
                <w:spacing w:val="0"/>
                <w:w w:val="94"/>
                <w:sz w:val="24"/>
                <w:szCs w:val="24"/>
                <w:highlight w:val="none"/>
              </w:rPr>
              <w:t>)</w:t>
            </w:r>
          </w:p>
        </w:tc>
        <w:tc>
          <w:tcPr>
            <w:tcW w:w="2428" w:type="dxa"/>
            <w:vAlign w:val="top"/>
          </w:tcPr>
          <w:p w14:paraId="0B0949F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bl>
    <w:p w14:paraId="6E7F6BBB">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48C332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D9ADF52">
      <w:pPr>
        <w:keepNext w:val="0"/>
        <w:keepLines w:val="0"/>
        <w:pageBreakBefore w:val="0"/>
        <w:wordWrap w:val="0"/>
        <w:overflowPunct/>
        <w:topLinePunct w:val="0"/>
        <w:bidi w:val="0"/>
        <w:spacing w:before="21" w:line="360" w:lineRule="auto"/>
        <w:ind w:firstLine="480" w:firstLineChars="200"/>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备注：1.根据《危险性较大的分部分项工程安全管理规定》，该《危险性较大的分部分项工程清单及超过一定规模的危险性较大的分部分项工程清单》</w:t>
      </w:r>
      <w:r>
        <w:rPr>
          <w:rFonts w:hint="eastAsia" w:ascii="宋体" w:hAnsi="宋体" w:eastAsia="宋体" w:cs="宋体"/>
          <w:color w:val="auto"/>
          <w:spacing w:val="0"/>
          <w:sz w:val="24"/>
          <w:szCs w:val="24"/>
          <w:highlight w:val="none"/>
          <w:lang w:eastAsia="zh-CN"/>
        </w:rPr>
        <w:t>应由建设单位组织勘察、设计等单位在招标文件中“勾选（对应项打“√”标识”危险性较大的分部分项工程。</w:t>
      </w:r>
    </w:p>
    <w:p w14:paraId="0C4D1AF6">
      <w:pPr>
        <w:keepNext w:val="0"/>
        <w:keepLines w:val="0"/>
        <w:pageBreakBefore w:val="0"/>
        <w:wordWrap w:val="0"/>
        <w:overflowPunct/>
        <w:topLinePunct w:val="0"/>
        <w:bidi w:val="0"/>
        <w:spacing w:before="21" w:line="360"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该《危险性较大的分部分项工程清单及超过一定规模的危险性较大的分部分项工程清单》在办理建设项目施工许可时必须提供，且各地建设行政主管部门可按照《广东省建设工程项目招标中标后监督检查办法》相关规定开展检查。</w:t>
      </w:r>
    </w:p>
    <w:p w14:paraId="631FDCC1">
      <w:pPr>
        <w:keepNext w:val="0"/>
        <w:keepLines w:val="0"/>
        <w:pageBreakBefore w:val="0"/>
        <w:wordWrap w:val="0"/>
        <w:overflowPunct/>
        <w:topLinePunct w:val="0"/>
        <w:bidi w:val="0"/>
        <w:spacing w:before="28" w:line="360" w:lineRule="auto"/>
        <w:ind w:left="550" w:leftChars="244" w:hanging="38" w:hangingChars="16"/>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rPr>
        <w:t>3.如果需要（如需要通过计算编制专项方案，或者需要专家论证），可中标后提供</w:t>
      </w:r>
      <w:r>
        <w:rPr>
          <w:rFonts w:hint="eastAsia" w:ascii="宋体" w:hAnsi="宋体" w:eastAsia="宋体" w:cs="宋体"/>
          <w:color w:val="auto"/>
          <w:spacing w:val="0"/>
          <w:sz w:val="24"/>
          <w:szCs w:val="24"/>
          <w:highlight w:val="none"/>
          <w:lang w:eastAsia="zh-CN"/>
        </w:rPr>
        <w:t>详细版。</w:t>
      </w:r>
    </w:p>
    <w:p w14:paraId="4F0F2A5C">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749D726F">
      <w:pPr>
        <w:keepNext w:val="0"/>
        <w:keepLines w:val="0"/>
        <w:pageBreakBefore w:val="0"/>
        <w:wordWrap w:val="0"/>
        <w:overflowPunct/>
        <w:topLinePunct w:val="0"/>
        <w:bidi w:val="0"/>
        <w:spacing w:before="78" w:line="360" w:lineRule="auto"/>
        <w:jc w:val="both"/>
        <w:outlineLvl w:val="2"/>
        <w:rPr>
          <w:rFonts w:hint="eastAsia" w:ascii="宋体" w:hAnsi="宋体" w:eastAsia="宋体" w:cs="宋体"/>
          <w:b/>
          <w:bCs/>
          <w:color w:val="auto"/>
          <w:spacing w:val="0"/>
          <w:sz w:val="24"/>
          <w:szCs w:val="24"/>
          <w:highlight w:val="none"/>
          <w:lang w:val="en-US" w:eastAsia="zh-CN"/>
        </w:rPr>
      </w:pPr>
      <w:bookmarkStart w:id="269" w:name="_Toc10225"/>
      <w:r>
        <w:rPr>
          <w:rFonts w:hint="eastAsia" w:ascii="宋体" w:hAnsi="宋体" w:eastAsia="宋体" w:cs="宋体"/>
          <w:b/>
          <w:bCs/>
          <w:color w:val="auto"/>
          <w:spacing w:val="0"/>
          <w:sz w:val="24"/>
          <w:szCs w:val="24"/>
          <w:highlight w:val="none"/>
        </w:rPr>
        <w:t>格式十四</w:t>
      </w:r>
      <w:r>
        <w:rPr>
          <w:rFonts w:hint="eastAsia" w:ascii="宋体" w:hAnsi="宋体" w:eastAsia="宋体" w:cs="宋体"/>
          <w:b/>
          <w:bCs/>
          <w:color w:val="auto"/>
          <w:spacing w:val="0"/>
          <w:sz w:val="24"/>
          <w:szCs w:val="24"/>
          <w:highlight w:val="none"/>
          <w:lang w:val="en-US" w:eastAsia="zh-CN"/>
        </w:rPr>
        <w:t xml:space="preserve">  </w:t>
      </w:r>
      <w:r>
        <w:rPr>
          <w:rFonts w:hint="eastAsia" w:ascii="宋体" w:hAnsi="宋体" w:eastAsia="宋体" w:cs="宋体"/>
          <w:b/>
          <w:bCs/>
          <w:color w:val="auto"/>
          <w:spacing w:val="0"/>
          <w:position w:val="3"/>
          <w:sz w:val="24"/>
          <w:szCs w:val="24"/>
          <w:highlight w:val="none"/>
        </w:rPr>
        <w:t>投标保证金信用承诺函</w:t>
      </w:r>
      <w:bookmarkEnd w:id="269"/>
    </w:p>
    <w:p w14:paraId="0C4BB798">
      <w:pPr>
        <w:keepNext w:val="0"/>
        <w:keepLines w:val="0"/>
        <w:pageBreakBefore w:val="0"/>
        <w:wordWrap w:val="0"/>
        <w:overflowPunct/>
        <w:topLinePunct w:val="0"/>
        <w:bidi w:val="0"/>
        <w:spacing w:before="140"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position w:val="3"/>
          <w:sz w:val="24"/>
          <w:szCs w:val="24"/>
          <w:highlight w:val="none"/>
        </w:rPr>
        <w:t>投标保证金信用承诺函</w:t>
      </w:r>
    </w:p>
    <w:p w14:paraId="63DA26AC">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318544C">
      <w:pPr>
        <w:keepNext w:val="0"/>
        <w:keepLines w:val="0"/>
        <w:pageBreakBefore w:val="0"/>
        <w:wordWrap w:val="0"/>
        <w:overflowPunct/>
        <w:topLinePunct w:val="0"/>
        <w:bidi w:val="0"/>
        <w:spacing w:before="101" w:line="360" w:lineRule="auto"/>
        <w:ind w:left="3" w:firstLine="965"/>
        <w:jc w:val="both"/>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一、</w:t>
      </w:r>
      <w:r>
        <w:rPr>
          <w:rFonts w:hint="eastAsia" w:ascii="宋体" w:hAnsi="宋体" w:eastAsia="宋体" w:cs="宋体"/>
          <w:color w:val="auto"/>
          <w:spacing w:val="0"/>
          <w:sz w:val="24"/>
          <w:szCs w:val="24"/>
          <w:highlight w:val="none"/>
        </w:rPr>
        <w:t>我单位参加</w:t>
      </w:r>
      <w:r>
        <w:rPr>
          <w:rFonts w:hint="eastAsia" w:ascii="宋体" w:hAnsi="宋体" w:eastAsia="宋体" w:cs="宋体"/>
          <w:color w:val="auto"/>
          <w:spacing w:val="0"/>
          <w:sz w:val="24"/>
          <w:szCs w:val="24"/>
          <w:highlight w:val="none"/>
          <w:u w:val="single"/>
        </w:rPr>
        <w:t xml:space="preserve">  （工程项目名称）  </w:t>
      </w:r>
      <w:r>
        <w:rPr>
          <w:rFonts w:hint="eastAsia" w:ascii="宋体" w:hAnsi="宋体" w:eastAsia="宋体" w:cs="宋体"/>
          <w:color w:val="auto"/>
          <w:spacing w:val="0"/>
          <w:sz w:val="24"/>
          <w:szCs w:val="24"/>
          <w:highlight w:val="none"/>
        </w:rPr>
        <w:t xml:space="preserve"> 的投标活动，现承诺：将严格按照法律法规规定参与交易活动，按照招标文件要求 依法履行投标人义务；我方若出现违反《中华人民共和国招标投标法》、《中华人民共和国招标投标法实施条例》、《电子招标投标办法》等有关法律法规的行为，将于投标有效期内全额付清 招标文件规定的投标保证金 </w:t>
      </w:r>
      <w:r>
        <w:rPr>
          <w:rFonts w:hint="eastAsia" w:ascii="宋体" w:hAnsi="宋体" w:eastAsia="宋体" w:cs="宋体"/>
          <w:color w:val="auto"/>
          <w:spacing w:val="0"/>
          <w:sz w:val="24"/>
          <w:szCs w:val="24"/>
          <w:highlight w:val="none"/>
          <w:u w:val="single"/>
        </w:rPr>
        <w:t xml:space="preserve">     </w:t>
      </w:r>
      <w:r>
        <w:rPr>
          <w:rFonts w:hint="eastAsia" w:ascii="宋体" w:hAnsi="宋体" w:eastAsia="宋体" w:cs="宋体"/>
          <w:color w:val="auto"/>
          <w:spacing w:val="0"/>
          <w:sz w:val="24"/>
          <w:szCs w:val="24"/>
          <w:highlight w:val="none"/>
        </w:rPr>
        <w:t xml:space="preserve"> 元。</w:t>
      </w:r>
    </w:p>
    <w:p w14:paraId="2B9D0EA5">
      <w:pPr>
        <w:keepNext w:val="0"/>
        <w:keepLines w:val="0"/>
        <w:pageBreakBefore w:val="0"/>
        <w:wordWrap w:val="0"/>
        <w:overflowPunct/>
        <w:topLinePunct w:val="0"/>
        <w:bidi w:val="0"/>
        <w:spacing w:before="48" w:line="360" w:lineRule="auto"/>
        <w:ind w:left="1" w:firstLine="647"/>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二、至投标文件提交当天，本公司无严重不良信用记录或存在曾作出虚假承诺的情形，且不属于韶关市建筑市场信用管理平 台公布的信用等级为 B 级、C 级、D 级的企业。</w:t>
      </w:r>
    </w:p>
    <w:p w14:paraId="1EFDE8F2">
      <w:pPr>
        <w:keepNext w:val="0"/>
        <w:keepLines w:val="0"/>
        <w:pageBreakBefore w:val="0"/>
        <w:wordWrap w:val="0"/>
        <w:overflowPunct/>
        <w:topLinePunct w:val="0"/>
        <w:bidi w:val="0"/>
        <w:spacing w:before="52" w:line="360" w:lineRule="auto"/>
        <w:ind w:left="6" w:right="2" w:firstLine="638"/>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本企业对以上承诺和声明负责。如有虚假，愿接受行政主管部门作出的处罚，并承担以下后果：</w:t>
      </w:r>
    </w:p>
    <w:p w14:paraId="28F04F87">
      <w:pPr>
        <w:keepNext w:val="0"/>
        <w:keepLines w:val="0"/>
        <w:pageBreakBefore w:val="0"/>
        <w:wordWrap w:val="0"/>
        <w:overflowPunct/>
        <w:topLinePunct w:val="0"/>
        <w:bidi w:val="0"/>
        <w:spacing w:before="48" w:line="360"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（一）取消本单位在本项目中的投标资格或中标资格；</w:t>
      </w:r>
    </w:p>
    <w:p w14:paraId="64420808">
      <w:pPr>
        <w:keepNext w:val="0"/>
        <w:keepLines w:val="0"/>
        <w:pageBreakBefore w:val="0"/>
        <w:wordWrap w:val="0"/>
        <w:overflowPunct/>
        <w:topLinePunct w:val="0"/>
        <w:bidi w:val="0"/>
        <w:spacing w:before="64" w:line="360"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（二）将本单位不良行为纳入信用信息管理系统；</w:t>
      </w:r>
    </w:p>
    <w:p w14:paraId="30729E54">
      <w:pPr>
        <w:keepNext w:val="0"/>
        <w:keepLines w:val="0"/>
        <w:pageBreakBefore w:val="0"/>
        <w:wordWrap w:val="0"/>
        <w:overflowPunct/>
        <w:topLinePunct w:val="0"/>
        <w:bidi w:val="0"/>
        <w:spacing w:before="60" w:line="360" w:lineRule="auto"/>
        <w:ind w:left="41" w:right="2" w:firstLine="6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（三）主动在产生不良行为所在的各县（市、区）行政区域内不参加房建市政工程项目的投标活动一年；</w:t>
      </w:r>
    </w:p>
    <w:p w14:paraId="0761697F">
      <w:pPr>
        <w:keepNext w:val="0"/>
        <w:keepLines w:val="0"/>
        <w:pageBreakBefore w:val="0"/>
        <w:wordWrap w:val="0"/>
        <w:overflowPunct/>
        <w:topLinePunct w:val="0"/>
        <w:bidi w:val="0"/>
        <w:spacing w:before="63" w:line="360" w:lineRule="auto"/>
        <w:ind w:left="65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（四）应付的赔偿责任和相应法律责任。</w:t>
      </w:r>
    </w:p>
    <w:p w14:paraId="71665105">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01930B0">
      <w:pPr>
        <w:keepNext w:val="0"/>
        <w:keepLines w:val="0"/>
        <w:pageBreakBefore w:val="0"/>
        <w:wordWrap w:val="0"/>
        <w:overflowPunct/>
        <w:topLinePunct w:val="0"/>
        <w:bidi w:val="0"/>
        <w:spacing w:before="102" w:line="360" w:lineRule="auto"/>
        <w:ind w:left="84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单位名称（公章）：</w:t>
      </w:r>
    </w:p>
    <w:p w14:paraId="2C853675">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304A271">
      <w:pPr>
        <w:keepNext w:val="0"/>
        <w:keepLines w:val="0"/>
        <w:pageBreakBefore w:val="0"/>
        <w:wordWrap w:val="0"/>
        <w:overflowPunct/>
        <w:topLinePunct w:val="0"/>
        <w:bidi w:val="0"/>
        <w:spacing w:before="100" w:line="360" w:lineRule="auto"/>
        <w:ind w:left="85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统一社会信用代码：</w:t>
      </w:r>
    </w:p>
    <w:p w14:paraId="1892BA66">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5DBB6F71">
      <w:pPr>
        <w:keepNext w:val="0"/>
        <w:keepLines w:val="0"/>
        <w:pageBreakBefore w:val="0"/>
        <w:wordWrap w:val="0"/>
        <w:overflowPunct/>
        <w:topLinePunct w:val="0"/>
        <w:bidi w:val="0"/>
        <w:spacing w:before="102" w:line="360"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法定代表人（签字）：</w:t>
      </w:r>
    </w:p>
    <w:p w14:paraId="2D5FF0AE">
      <w:pPr>
        <w:keepNext w:val="0"/>
        <w:keepLines w:val="0"/>
        <w:pageBreakBefore w:val="0"/>
        <w:wordWrap w:val="0"/>
        <w:overflowPunct/>
        <w:topLinePunct w:val="0"/>
        <w:bidi w:val="0"/>
        <w:spacing w:before="102" w:line="360" w:lineRule="auto"/>
        <w:ind w:left="844" w:right="50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 xml:space="preserve"> 年   月 </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日</w:t>
      </w:r>
    </w:p>
    <w:p w14:paraId="0CF3EB86">
      <w:pPr>
        <w:pStyle w:val="15"/>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52EA194">
      <w:pPr>
        <w:pStyle w:val="15"/>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lang w:eastAsia="zh-CN"/>
        </w:rPr>
        <w:sectPr>
          <w:footerReference r:id="rId28"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pPr>
    </w:p>
    <w:p w14:paraId="5367075C">
      <w:pPr>
        <w:keepNext w:val="0"/>
        <w:keepLines w:val="0"/>
        <w:pageBreakBefore w:val="0"/>
        <w:wordWrap w:val="0"/>
        <w:overflowPunct/>
        <w:topLinePunct w:val="0"/>
        <w:bidi w:val="0"/>
        <w:spacing w:before="78" w:line="360" w:lineRule="auto"/>
        <w:outlineLvl w:val="2"/>
        <w:rPr>
          <w:rFonts w:hint="eastAsia" w:ascii="宋体" w:hAnsi="宋体" w:eastAsia="宋体" w:cs="宋体"/>
          <w:b/>
          <w:bCs/>
          <w:color w:val="auto"/>
          <w:spacing w:val="0"/>
          <w:sz w:val="24"/>
          <w:szCs w:val="24"/>
          <w:highlight w:val="none"/>
        </w:rPr>
      </w:pPr>
      <w:bookmarkStart w:id="270" w:name="_Toc11310"/>
      <w:r>
        <w:rPr>
          <w:rFonts w:hint="eastAsia" w:ascii="宋体" w:hAnsi="宋体" w:eastAsia="宋体" w:cs="宋体"/>
          <w:b/>
          <w:bCs/>
          <w:color w:val="auto"/>
          <w:spacing w:val="0"/>
          <w:sz w:val="24"/>
          <w:szCs w:val="24"/>
          <w:highlight w:val="none"/>
        </w:rPr>
        <w:t>格式十</w:t>
      </w:r>
      <w:r>
        <w:rPr>
          <w:rFonts w:hint="eastAsia" w:ascii="宋体" w:hAnsi="宋体" w:eastAsia="宋体" w:cs="宋体"/>
          <w:b/>
          <w:bCs/>
          <w:color w:val="auto"/>
          <w:spacing w:val="0"/>
          <w:sz w:val="24"/>
          <w:szCs w:val="24"/>
          <w:highlight w:val="none"/>
          <w:lang w:eastAsia="zh-CN"/>
        </w:rPr>
        <w:t>五</w:t>
      </w:r>
      <w:r>
        <w:rPr>
          <w:rFonts w:hint="eastAsia" w:ascii="宋体" w:hAnsi="宋体" w:eastAsia="宋体" w:cs="宋体"/>
          <w:b/>
          <w:bCs/>
          <w:color w:val="auto"/>
          <w:spacing w:val="0"/>
          <w:sz w:val="24"/>
          <w:szCs w:val="24"/>
          <w:highlight w:val="none"/>
        </w:rPr>
        <w:t xml:space="preserve">  原件一览表</w:t>
      </w:r>
      <w:bookmarkEnd w:id="270"/>
    </w:p>
    <w:tbl>
      <w:tblPr>
        <w:tblStyle w:val="16"/>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5F244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B40EF1C">
            <w:pPr>
              <w:keepNext w:val="0"/>
              <w:keepLines w:val="0"/>
              <w:pageBreakBefore w:val="0"/>
              <w:wordWrap w:val="0"/>
              <w:overflowPunct/>
              <w:topLinePunct w:val="0"/>
              <w:bidi w:val="0"/>
              <w:spacing w:before="132" w:line="360" w:lineRule="auto"/>
              <w:ind w:left="3965"/>
              <w:rPr>
                <w:rFonts w:hint="eastAsia" w:ascii="宋体" w:hAnsi="宋体" w:eastAsia="宋体" w:cs="宋体"/>
                <w:color w:val="auto"/>
                <w:spacing w:val="0"/>
                <w:sz w:val="24"/>
                <w:szCs w:val="24"/>
                <w:highlight w:val="none"/>
              </w:rPr>
            </w:pPr>
            <w:r>
              <w:rPr>
                <w:rFonts w:hint="eastAsia" w:ascii="宋体" w:hAnsi="宋体" w:eastAsia="宋体" w:cs="宋体"/>
                <w:b/>
                <w:bCs/>
                <w:color w:val="auto"/>
                <w:spacing w:val="0"/>
                <w:sz w:val="24"/>
                <w:szCs w:val="24"/>
                <w:highlight w:val="none"/>
              </w:rPr>
              <w:t>原件一览表</w:t>
            </w:r>
          </w:p>
        </w:tc>
      </w:tr>
      <w:tr w14:paraId="6C17C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center"/>
          </w:tcPr>
          <w:p w14:paraId="03FBA86E">
            <w:pPr>
              <w:keepNext w:val="0"/>
              <w:keepLines w:val="0"/>
              <w:pageBreakBefore w:val="0"/>
              <w:wordWrap w:val="0"/>
              <w:overflowPunct/>
              <w:topLinePunct w:val="0"/>
              <w:bidi w:val="0"/>
              <w:spacing w:before="62" w:line="360" w:lineRule="auto"/>
              <w:jc w:val="center"/>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工程名称</w:t>
            </w:r>
          </w:p>
        </w:tc>
        <w:tc>
          <w:tcPr>
            <w:tcW w:w="6816" w:type="dxa"/>
            <w:gridSpan w:val="6"/>
            <w:vAlign w:val="top"/>
          </w:tcPr>
          <w:p w14:paraId="5F792F2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87BE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54D3CCA">
            <w:pPr>
              <w:keepNext w:val="0"/>
              <w:keepLines w:val="0"/>
              <w:pageBreakBefore w:val="0"/>
              <w:wordWrap w:val="0"/>
              <w:overflowPunct/>
              <w:topLinePunct w:val="0"/>
              <w:bidi w:val="0"/>
              <w:spacing w:before="150" w:line="360" w:lineRule="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投标人名称(请务必填写单位全称)</w:t>
            </w:r>
          </w:p>
        </w:tc>
        <w:tc>
          <w:tcPr>
            <w:tcW w:w="6816" w:type="dxa"/>
            <w:gridSpan w:val="6"/>
            <w:vAlign w:val="top"/>
          </w:tcPr>
          <w:p w14:paraId="0F353D0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22EC7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683BB0E">
            <w:pPr>
              <w:keepNext w:val="0"/>
              <w:keepLines w:val="0"/>
              <w:pageBreakBefore w:val="0"/>
              <w:wordWrap w:val="0"/>
              <w:overflowPunct/>
              <w:topLinePunct w:val="0"/>
              <w:bidi w:val="0"/>
              <w:spacing w:before="151" w:line="360" w:lineRule="auto"/>
              <w:ind w:right="14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投标人法定代表人或其委托代理人签名</w:t>
            </w:r>
          </w:p>
        </w:tc>
        <w:tc>
          <w:tcPr>
            <w:tcW w:w="2689" w:type="dxa"/>
            <w:gridSpan w:val="2"/>
            <w:vAlign w:val="top"/>
          </w:tcPr>
          <w:p w14:paraId="7969720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499" w:type="dxa"/>
            <w:gridSpan w:val="2"/>
            <w:vAlign w:val="top"/>
          </w:tcPr>
          <w:p w14:paraId="58C1E63A">
            <w:pPr>
              <w:keepNext w:val="0"/>
              <w:keepLines w:val="0"/>
              <w:pageBreakBefore w:val="0"/>
              <w:wordWrap w:val="0"/>
              <w:overflowPunct/>
              <w:topLinePunct w:val="0"/>
              <w:bidi w:val="0"/>
              <w:spacing w:before="151" w:line="360" w:lineRule="auto"/>
              <w:ind w:right="17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手机号码</w:t>
            </w:r>
          </w:p>
        </w:tc>
        <w:tc>
          <w:tcPr>
            <w:tcW w:w="2628" w:type="dxa"/>
            <w:gridSpan w:val="2"/>
            <w:vAlign w:val="top"/>
          </w:tcPr>
          <w:p w14:paraId="460A230E">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1064F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B16BEA7">
            <w:pPr>
              <w:keepNext w:val="0"/>
              <w:keepLines w:val="0"/>
              <w:pageBreakBefore w:val="0"/>
              <w:wordWrap w:val="0"/>
              <w:overflowPunct/>
              <w:topLinePunct w:val="0"/>
              <w:bidi w:val="0"/>
              <w:spacing w:before="62" w:line="360" w:lineRule="auto"/>
              <w:ind w:left="3361"/>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递交的证明材料原件如下：</w:t>
            </w:r>
          </w:p>
        </w:tc>
      </w:tr>
      <w:tr w14:paraId="6562F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47F8E8A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022230E">
            <w:pPr>
              <w:keepNext w:val="0"/>
              <w:keepLines w:val="0"/>
              <w:pageBreakBefore w:val="0"/>
              <w:wordWrap w:val="0"/>
              <w:overflowPunct/>
              <w:topLinePunct w:val="0"/>
              <w:bidi w:val="0"/>
              <w:spacing w:before="62" w:line="360" w:lineRule="auto"/>
              <w:ind w:left="15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序号</w:t>
            </w:r>
          </w:p>
        </w:tc>
        <w:tc>
          <w:tcPr>
            <w:tcW w:w="5304" w:type="dxa"/>
            <w:gridSpan w:val="4"/>
            <w:vAlign w:val="top"/>
          </w:tcPr>
          <w:p w14:paraId="35D769F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EEA02B2">
            <w:pPr>
              <w:keepNext w:val="0"/>
              <w:keepLines w:val="0"/>
              <w:pageBreakBefore w:val="0"/>
              <w:wordWrap w:val="0"/>
              <w:overflowPunct/>
              <w:topLinePunct w:val="0"/>
              <w:bidi w:val="0"/>
              <w:spacing w:before="61" w:line="360" w:lineRule="auto"/>
              <w:ind w:left="176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证明材料原件名称</w:t>
            </w:r>
          </w:p>
        </w:tc>
        <w:tc>
          <w:tcPr>
            <w:tcW w:w="1771" w:type="dxa"/>
            <w:gridSpan w:val="2"/>
            <w:vAlign w:val="top"/>
          </w:tcPr>
          <w:p w14:paraId="66A03B2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92559B5">
            <w:pPr>
              <w:keepNext w:val="0"/>
              <w:keepLines w:val="0"/>
              <w:pageBreakBefore w:val="0"/>
              <w:wordWrap w:val="0"/>
              <w:overflowPunct/>
              <w:topLinePunct w:val="0"/>
              <w:bidi w:val="0"/>
              <w:spacing w:before="62" w:line="360" w:lineRule="auto"/>
              <w:ind w:left="66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单位</w:t>
            </w:r>
          </w:p>
        </w:tc>
        <w:tc>
          <w:tcPr>
            <w:tcW w:w="1637" w:type="dxa"/>
            <w:vAlign w:val="top"/>
          </w:tcPr>
          <w:p w14:paraId="3BEEA54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CE3B1D0">
            <w:pPr>
              <w:keepNext w:val="0"/>
              <w:keepLines w:val="0"/>
              <w:pageBreakBefore w:val="0"/>
              <w:wordWrap w:val="0"/>
              <w:overflowPunct/>
              <w:topLinePunct w:val="0"/>
              <w:bidi w:val="0"/>
              <w:spacing w:before="62" w:line="360" w:lineRule="auto"/>
              <w:ind w:left="59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数量</w:t>
            </w:r>
          </w:p>
        </w:tc>
      </w:tr>
      <w:tr w14:paraId="4F82D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BE58E00">
            <w:pPr>
              <w:keepNext w:val="0"/>
              <w:keepLines w:val="0"/>
              <w:pageBreakBefore w:val="0"/>
              <w:wordWrap w:val="0"/>
              <w:overflowPunct/>
              <w:topLinePunct w:val="0"/>
              <w:bidi w:val="0"/>
              <w:spacing w:before="287" w:line="360"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1</w:t>
            </w:r>
          </w:p>
        </w:tc>
        <w:tc>
          <w:tcPr>
            <w:tcW w:w="5304" w:type="dxa"/>
            <w:gridSpan w:val="4"/>
            <w:vAlign w:val="top"/>
          </w:tcPr>
          <w:p w14:paraId="48BEE8B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771" w:type="dxa"/>
            <w:gridSpan w:val="2"/>
            <w:vAlign w:val="top"/>
          </w:tcPr>
          <w:p w14:paraId="69FF32C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37" w:type="dxa"/>
            <w:vAlign w:val="top"/>
          </w:tcPr>
          <w:p w14:paraId="23FE965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2DB2F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39F9AE2">
            <w:pPr>
              <w:keepNext w:val="0"/>
              <w:keepLines w:val="0"/>
              <w:pageBreakBefore w:val="0"/>
              <w:wordWrap w:val="0"/>
              <w:overflowPunct/>
              <w:topLinePunct w:val="0"/>
              <w:bidi w:val="0"/>
              <w:spacing w:before="288" w:line="360" w:lineRule="auto"/>
              <w:ind w:left="302"/>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2</w:t>
            </w:r>
          </w:p>
        </w:tc>
        <w:tc>
          <w:tcPr>
            <w:tcW w:w="5304" w:type="dxa"/>
            <w:gridSpan w:val="4"/>
            <w:vAlign w:val="top"/>
          </w:tcPr>
          <w:p w14:paraId="4F70EA6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771" w:type="dxa"/>
            <w:gridSpan w:val="2"/>
            <w:vAlign w:val="top"/>
          </w:tcPr>
          <w:p w14:paraId="72C3C76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37" w:type="dxa"/>
            <w:vAlign w:val="top"/>
          </w:tcPr>
          <w:p w14:paraId="1969C218">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73152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F34003A">
            <w:pPr>
              <w:keepNext w:val="0"/>
              <w:keepLines w:val="0"/>
              <w:pageBreakBefore w:val="0"/>
              <w:wordWrap w:val="0"/>
              <w:overflowPunct/>
              <w:topLinePunct w:val="0"/>
              <w:bidi w:val="0"/>
              <w:spacing w:before="287" w:line="360" w:lineRule="auto"/>
              <w:ind w:left="304"/>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3</w:t>
            </w:r>
          </w:p>
        </w:tc>
        <w:tc>
          <w:tcPr>
            <w:tcW w:w="5304" w:type="dxa"/>
            <w:gridSpan w:val="4"/>
            <w:vAlign w:val="top"/>
          </w:tcPr>
          <w:p w14:paraId="32F8469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771" w:type="dxa"/>
            <w:gridSpan w:val="2"/>
            <w:vAlign w:val="top"/>
          </w:tcPr>
          <w:p w14:paraId="7AD8029B">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37" w:type="dxa"/>
            <w:vAlign w:val="top"/>
          </w:tcPr>
          <w:p w14:paraId="6E7CE75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00948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36DFC70">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EBABEED">
            <w:pPr>
              <w:keepNext w:val="0"/>
              <w:keepLines w:val="0"/>
              <w:pageBreakBefore w:val="0"/>
              <w:wordWrap w:val="0"/>
              <w:overflowPunct/>
              <w:topLinePunct w:val="0"/>
              <w:bidi w:val="0"/>
              <w:spacing w:before="78" w:line="360" w:lineRule="auto"/>
              <w:ind w:left="186"/>
              <w:rPr>
                <w:rFonts w:hint="eastAsia" w:ascii="宋体" w:hAnsi="宋体" w:eastAsia="宋体" w:cs="宋体"/>
                <w:color w:val="auto"/>
                <w:spacing w:val="0"/>
                <w:sz w:val="24"/>
                <w:szCs w:val="24"/>
                <w:highlight w:val="none"/>
              </w:rPr>
            </w:pPr>
            <w:r>
              <w:rPr>
                <w:rFonts w:hint="eastAsia" w:ascii="宋体" w:hAnsi="宋体" w:eastAsia="宋体" w:cs="宋体"/>
                <w:color w:val="auto"/>
                <w:spacing w:val="0"/>
                <w:position w:val="1"/>
                <w:sz w:val="24"/>
                <w:szCs w:val="24"/>
                <w:highlight w:val="none"/>
              </w:rPr>
              <w:t>...</w:t>
            </w:r>
          </w:p>
        </w:tc>
        <w:tc>
          <w:tcPr>
            <w:tcW w:w="5304" w:type="dxa"/>
            <w:gridSpan w:val="4"/>
            <w:vAlign w:val="top"/>
          </w:tcPr>
          <w:p w14:paraId="78AEE5FA">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771" w:type="dxa"/>
            <w:gridSpan w:val="2"/>
            <w:vAlign w:val="top"/>
          </w:tcPr>
          <w:p w14:paraId="56A6BE9F">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37" w:type="dxa"/>
            <w:vAlign w:val="top"/>
          </w:tcPr>
          <w:p w14:paraId="15AD4B06">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r>
      <w:tr w14:paraId="44067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5E70F2C3">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2A84F1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DCB2179">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0A613965">
            <w:pPr>
              <w:keepNext w:val="0"/>
              <w:keepLines w:val="0"/>
              <w:pageBreakBefore w:val="0"/>
              <w:wordWrap w:val="0"/>
              <w:overflowPunct/>
              <w:topLinePunct w:val="0"/>
              <w:bidi w:val="0"/>
              <w:spacing w:before="62" w:line="360" w:lineRule="auto"/>
              <w:ind w:left="2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注意：</w:t>
            </w:r>
          </w:p>
        </w:tc>
        <w:tc>
          <w:tcPr>
            <w:tcW w:w="8712" w:type="dxa"/>
            <w:gridSpan w:val="7"/>
            <w:vAlign w:val="top"/>
          </w:tcPr>
          <w:p w14:paraId="04434907">
            <w:pPr>
              <w:keepNext w:val="0"/>
              <w:keepLines w:val="0"/>
              <w:pageBreakBefore w:val="0"/>
              <w:wordWrap w:val="0"/>
              <w:overflowPunct/>
              <w:topLinePunct w:val="0"/>
              <w:bidi w:val="0"/>
              <w:spacing w:before="148" w:line="360" w:lineRule="auto"/>
              <w:ind w:left="111" w:right="107" w:firstLine="483"/>
              <w:jc w:val="both"/>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 内容及真实性负责。</w:t>
            </w:r>
          </w:p>
        </w:tc>
      </w:tr>
      <w:tr w14:paraId="1CF26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761E965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2A419AAE">
            <w:pPr>
              <w:keepNext w:val="0"/>
              <w:keepLines w:val="0"/>
              <w:pageBreakBefore w:val="0"/>
              <w:wordWrap w:val="0"/>
              <w:overflowPunct/>
              <w:topLinePunct w:val="0"/>
              <w:bidi w:val="0"/>
              <w:spacing w:before="61" w:line="36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接收原件经办人</w:t>
            </w:r>
          </w:p>
          <w:p w14:paraId="1690E6DB">
            <w:pPr>
              <w:keepNext w:val="0"/>
              <w:keepLines w:val="0"/>
              <w:pageBreakBefore w:val="0"/>
              <w:wordWrap w:val="0"/>
              <w:overflowPunct/>
              <w:topLinePunct w:val="0"/>
              <w:bidi w:val="0"/>
              <w:spacing w:before="61" w:line="360" w:lineRule="auto"/>
              <w:ind w:left="760" w:right="153" w:hanging="6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(招标代理)：</w:t>
            </w:r>
          </w:p>
        </w:tc>
        <w:tc>
          <w:tcPr>
            <w:tcW w:w="1725" w:type="dxa"/>
            <w:vAlign w:val="top"/>
          </w:tcPr>
          <w:p w14:paraId="275A898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83" w:type="dxa"/>
            <w:gridSpan w:val="2"/>
            <w:vAlign w:val="top"/>
          </w:tcPr>
          <w:p w14:paraId="1474D634">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DC3DCF2">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674EC6F">
            <w:pPr>
              <w:keepNext w:val="0"/>
              <w:keepLines w:val="0"/>
              <w:pageBreakBefore w:val="0"/>
              <w:wordWrap w:val="0"/>
              <w:overflowPunct/>
              <w:topLinePunct w:val="0"/>
              <w:bidi w:val="0"/>
              <w:spacing w:before="62" w:line="360" w:lineRule="auto"/>
              <w:ind w:left="315"/>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接收时间：</w:t>
            </w:r>
          </w:p>
        </w:tc>
        <w:tc>
          <w:tcPr>
            <w:tcW w:w="3408" w:type="dxa"/>
            <w:gridSpan w:val="3"/>
            <w:vAlign w:val="top"/>
          </w:tcPr>
          <w:p w14:paraId="14CF6FE5">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4D2D58A7">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705600D0">
            <w:pPr>
              <w:keepNext w:val="0"/>
              <w:keepLines w:val="0"/>
              <w:pageBreakBefore w:val="0"/>
              <w:wordWrap w:val="0"/>
              <w:overflowPunct/>
              <w:topLinePunct w:val="0"/>
              <w:bidi w:val="0"/>
              <w:spacing w:before="62" w:line="360"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r w14:paraId="25E6C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2EB55666">
            <w:pPr>
              <w:keepNext w:val="0"/>
              <w:keepLines w:val="0"/>
              <w:pageBreakBefore w:val="0"/>
              <w:wordWrap w:val="0"/>
              <w:overflowPunct/>
              <w:topLinePunct w:val="0"/>
              <w:bidi w:val="0"/>
              <w:spacing w:before="155" w:line="36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退还原件接收人</w:t>
            </w:r>
          </w:p>
          <w:p w14:paraId="1CDD5251">
            <w:pPr>
              <w:keepNext w:val="0"/>
              <w:keepLines w:val="0"/>
              <w:pageBreakBefore w:val="0"/>
              <w:wordWrap w:val="0"/>
              <w:overflowPunct/>
              <w:topLinePunct w:val="0"/>
              <w:bidi w:val="0"/>
              <w:spacing w:before="155" w:line="360" w:lineRule="auto"/>
              <w:ind w:left="861" w:right="153" w:hanging="699"/>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(投标人)：</w:t>
            </w:r>
          </w:p>
        </w:tc>
        <w:tc>
          <w:tcPr>
            <w:tcW w:w="1725" w:type="dxa"/>
            <w:vAlign w:val="top"/>
          </w:tcPr>
          <w:p w14:paraId="66FA3EB1">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tc>
        <w:tc>
          <w:tcPr>
            <w:tcW w:w="1683" w:type="dxa"/>
            <w:gridSpan w:val="2"/>
            <w:vAlign w:val="top"/>
          </w:tcPr>
          <w:p w14:paraId="37AC43BC">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3C24FA50">
            <w:pPr>
              <w:keepNext w:val="0"/>
              <w:keepLines w:val="0"/>
              <w:pageBreakBefore w:val="0"/>
              <w:wordWrap w:val="0"/>
              <w:overflowPunct/>
              <w:topLinePunct w:val="0"/>
              <w:bidi w:val="0"/>
              <w:spacing w:before="61" w:line="360" w:lineRule="auto"/>
              <w:ind w:left="317"/>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退还时间：</w:t>
            </w:r>
          </w:p>
        </w:tc>
        <w:tc>
          <w:tcPr>
            <w:tcW w:w="3408" w:type="dxa"/>
            <w:gridSpan w:val="3"/>
            <w:vAlign w:val="top"/>
          </w:tcPr>
          <w:p w14:paraId="7DD435CD">
            <w:pPr>
              <w:pStyle w:val="29"/>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683946A7">
            <w:pPr>
              <w:keepNext w:val="0"/>
              <w:keepLines w:val="0"/>
              <w:pageBreakBefore w:val="0"/>
              <w:wordWrap w:val="0"/>
              <w:overflowPunct/>
              <w:topLinePunct w:val="0"/>
              <w:bidi w:val="0"/>
              <w:spacing w:before="62" w:line="360" w:lineRule="auto"/>
              <w:ind w:firstLine="480" w:firstLineChars="200"/>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年   月   日  时   分</w:t>
            </w:r>
          </w:p>
        </w:tc>
      </w:tr>
    </w:tbl>
    <w:p w14:paraId="7FF2268B">
      <w:pPr>
        <w:keepNext w:val="0"/>
        <w:keepLines w:val="0"/>
        <w:pageBreakBefore w:val="0"/>
        <w:wordWrap w:val="0"/>
        <w:overflowPunct/>
        <w:topLinePunct w:val="0"/>
        <w:bidi w:val="0"/>
        <w:spacing w:line="360" w:lineRule="auto"/>
        <w:rPr>
          <w:rFonts w:hint="eastAsia" w:ascii="宋体" w:hAnsi="宋体" w:eastAsia="宋体" w:cs="宋体"/>
          <w:b/>
          <w:bCs/>
          <w:color w:val="auto"/>
          <w:spacing w:val="0"/>
          <w:sz w:val="24"/>
          <w:szCs w:val="24"/>
          <w:highlight w:val="none"/>
        </w:rPr>
      </w:pPr>
      <w:bookmarkStart w:id="271" w:name="bookmark107"/>
      <w:bookmarkEnd w:id="271"/>
      <w:r>
        <w:rPr>
          <w:rFonts w:hint="eastAsia" w:ascii="宋体" w:hAnsi="宋体" w:eastAsia="宋体" w:cs="宋体"/>
          <w:b/>
          <w:bCs/>
          <w:color w:val="auto"/>
          <w:spacing w:val="0"/>
          <w:sz w:val="24"/>
          <w:szCs w:val="24"/>
          <w:highlight w:val="none"/>
        </w:rPr>
        <w:br w:type="page"/>
      </w:r>
    </w:p>
    <w:p w14:paraId="4B71295E">
      <w:pPr>
        <w:pStyle w:val="54"/>
        <w:snapToGrid w:val="0"/>
        <w:spacing w:line="360" w:lineRule="auto"/>
        <w:ind w:left="0" w:leftChars="0" w:firstLine="0" w:firstLineChars="0"/>
        <w:outlineLvl w:val="2"/>
        <w:rPr>
          <w:rStyle w:val="28"/>
          <w:rFonts w:hint="eastAsia" w:ascii="宋体" w:hAnsi="宋体" w:eastAsia="宋体" w:cs="宋体"/>
          <w:b/>
          <w:bCs/>
          <w:color w:val="auto"/>
          <w:sz w:val="24"/>
          <w:szCs w:val="24"/>
          <w:highlight w:val="none"/>
          <w:lang w:val="en-US" w:eastAsia="zh-CN"/>
        </w:rPr>
      </w:pPr>
      <w:bookmarkStart w:id="272" w:name="_Toc26133"/>
      <w:bookmarkStart w:id="273" w:name="_Toc26911"/>
      <w:bookmarkStart w:id="274" w:name="_Toc3144"/>
      <w:r>
        <w:rPr>
          <w:rStyle w:val="28"/>
          <w:rFonts w:hint="eastAsia" w:ascii="宋体" w:hAnsi="宋体" w:eastAsia="宋体" w:cs="宋体"/>
          <w:b/>
          <w:bCs/>
          <w:snapToGrid w:val="0"/>
          <w:color w:val="auto"/>
          <w:kern w:val="2"/>
          <w:sz w:val="24"/>
          <w:szCs w:val="24"/>
          <w:highlight w:val="none"/>
          <w:lang w:eastAsia="zh-CN"/>
        </w:rPr>
        <w:t>格式十</w:t>
      </w:r>
      <w:r>
        <w:rPr>
          <w:rStyle w:val="28"/>
          <w:rFonts w:hint="eastAsia" w:ascii="宋体" w:hAnsi="宋体" w:eastAsia="宋体" w:cs="宋体"/>
          <w:b/>
          <w:bCs/>
          <w:snapToGrid w:val="0"/>
          <w:color w:val="auto"/>
          <w:kern w:val="2"/>
          <w:sz w:val="24"/>
          <w:szCs w:val="24"/>
          <w:highlight w:val="none"/>
          <w:lang w:val="en-US" w:eastAsia="zh-CN"/>
        </w:rPr>
        <w:t>六 定标因素评审资料</w:t>
      </w:r>
      <w:bookmarkEnd w:id="272"/>
      <w:bookmarkEnd w:id="273"/>
      <w:bookmarkEnd w:id="274"/>
    </w:p>
    <w:p w14:paraId="4AACD548">
      <w:pPr>
        <w:kinsoku/>
        <w:autoSpaceDE/>
        <w:autoSpaceDN/>
        <w:adjustRightInd/>
        <w:snapToGrid/>
        <w:spacing w:line="360" w:lineRule="auto"/>
        <w:jc w:val="center"/>
        <w:rPr>
          <w:rFonts w:hint="eastAsia" w:ascii="宋体" w:hAnsi="宋体" w:eastAsia="宋体" w:cs="宋体"/>
          <w:b/>
          <w:bCs/>
          <w:snapToGrid/>
          <w:color w:val="auto"/>
          <w:kern w:val="2"/>
          <w:sz w:val="24"/>
          <w:szCs w:val="24"/>
          <w:highlight w:val="none"/>
          <w:lang w:eastAsia="zh-CN"/>
        </w:rPr>
      </w:pPr>
      <w:r>
        <w:rPr>
          <w:rFonts w:hint="eastAsia" w:ascii="宋体" w:hAnsi="宋体" w:eastAsia="宋体" w:cs="宋体"/>
          <w:b/>
          <w:bCs/>
          <w:snapToGrid/>
          <w:color w:val="auto"/>
          <w:kern w:val="2"/>
          <w:sz w:val="24"/>
          <w:szCs w:val="24"/>
          <w:highlight w:val="none"/>
          <w:lang w:eastAsia="zh-CN"/>
        </w:rPr>
        <w:t>定标因素评审资料</w:t>
      </w:r>
    </w:p>
    <w:p w14:paraId="78C747A0">
      <w:pPr>
        <w:kinsoku/>
        <w:autoSpaceDE/>
        <w:autoSpaceDN/>
        <w:adjustRightInd/>
        <w:snapToGrid/>
        <w:spacing w:line="360" w:lineRule="auto"/>
        <w:jc w:val="left"/>
        <w:rPr>
          <w:rFonts w:hint="eastAsia" w:ascii="宋体" w:hAnsi="宋体" w:eastAsia="宋体" w:cs="宋体"/>
          <w:snapToGrid/>
          <w:color w:val="auto"/>
          <w:kern w:val="2"/>
          <w:sz w:val="24"/>
          <w:szCs w:val="24"/>
          <w:highlight w:val="none"/>
          <w:lang w:eastAsia="zh-CN"/>
        </w:rPr>
      </w:pPr>
    </w:p>
    <w:p w14:paraId="7DC38287">
      <w:pPr>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val="0"/>
          <w:bCs w:val="0"/>
          <w:color w:val="auto"/>
          <w:kern w:val="0"/>
          <w:sz w:val="24"/>
          <w:szCs w:val="24"/>
          <w:highlight w:val="none"/>
          <w:lang w:val="en-US" w:eastAsia="zh-CN" w:bidi="ar-SA"/>
        </w:rPr>
        <w:t>投标人根据“第一章 第五节 定标规定及细则”载明的定标因素，提交评审资料。</w:t>
      </w:r>
    </w:p>
    <w:p w14:paraId="78B6297A">
      <w:pPr>
        <w:spacing w:line="360" w:lineRule="auto"/>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rPr>
        <w:br w:type="page"/>
      </w:r>
    </w:p>
    <w:p w14:paraId="3E438A30">
      <w:pPr>
        <w:keepNext w:val="0"/>
        <w:keepLines w:val="0"/>
        <w:pageBreakBefore w:val="0"/>
        <w:wordWrap w:val="0"/>
        <w:overflowPunct/>
        <w:topLinePunct w:val="0"/>
        <w:bidi w:val="0"/>
        <w:spacing w:before="78" w:line="360" w:lineRule="auto"/>
        <w:jc w:val="center"/>
        <w:outlineLvl w:val="1"/>
        <w:rPr>
          <w:rFonts w:hint="eastAsia" w:ascii="宋体" w:hAnsi="宋体" w:eastAsia="宋体" w:cs="宋体"/>
          <w:color w:val="auto"/>
          <w:spacing w:val="0"/>
          <w:sz w:val="24"/>
          <w:szCs w:val="24"/>
          <w:highlight w:val="none"/>
        </w:rPr>
      </w:pPr>
      <w:bookmarkStart w:id="275" w:name="_Toc22650"/>
      <w:r>
        <w:rPr>
          <w:rFonts w:hint="eastAsia" w:ascii="宋体" w:hAnsi="宋体" w:eastAsia="宋体" w:cs="宋体"/>
          <w:b/>
          <w:bCs/>
          <w:color w:val="auto"/>
          <w:spacing w:val="0"/>
          <w:sz w:val="24"/>
          <w:szCs w:val="24"/>
          <w:highlight w:val="none"/>
        </w:rPr>
        <w:t>第七章</w:t>
      </w:r>
      <w:r>
        <w:rPr>
          <w:rFonts w:hint="eastAsia" w:ascii="宋体" w:hAnsi="宋体" w:eastAsia="宋体" w:cs="宋体"/>
          <w:color w:val="auto"/>
          <w:spacing w:val="0"/>
          <w:sz w:val="24"/>
          <w:szCs w:val="24"/>
          <w:highlight w:val="none"/>
        </w:rPr>
        <w:t xml:space="preserve"> </w:t>
      </w:r>
      <w:r>
        <w:rPr>
          <w:rFonts w:hint="eastAsia" w:ascii="宋体" w:hAnsi="宋体" w:eastAsia="宋体" w:cs="宋体"/>
          <w:b/>
          <w:bCs/>
          <w:color w:val="auto"/>
          <w:spacing w:val="0"/>
          <w:sz w:val="24"/>
          <w:szCs w:val="24"/>
          <w:highlight w:val="none"/>
        </w:rPr>
        <w:t>建设工程施工合同</w:t>
      </w:r>
      <w:bookmarkEnd w:id="275"/>
    </w:p>
    <w:p w14:paraId="0F14ACDF">
      <w:pPr>
        <w:pStyle w:val="6"/>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p w14:paraId="151CC36E">
      <w:pPr>
        <w:keepNext w:val="0"/>
        <w:keepLines w:val="0"/>
        <w:pageBreakBefore w:val="0"/>
        <w:widowControl/>
        <w:kinsoku w:val="0"/>
        <w:wordWrap w:val="0"/>
        <w:overflowPunct/>
        <w:topLinePunct w:val="0"/>
        <w:autoSpaceDE w:val="0"/>
        <w:autoSpaceDN w:val="0"/>
        <w:bidi w:val="0"/>
        <w:adjustRightInd w:val="0"/>
        <w:snapToGrid w:val="0"/>
        <w:spacing w:before="78" w:line="360" w:lineRule="auto"/>
        <w:ind w:firstLine="482"/>
        <w:textAlignment w:val="baseline"/>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（略），按</w:t>
      </w:r>
      <w:r>
        <w:rPr>
          <w:rFonts w:hint="eastAsia" w:ascii="宋体" w:hAnsi="宋体" w:eastAsia="宋体" w:cs="宋体"/>
          <w:color w:val="auto"/>
          <w:spacing w:val="0"/>
          <w:sz w:val="24"/>
          <w:szCs w:val="24"/>
          <w:highlight w:val="none"/>
          <w:lang w:val="en-US" w:eastAsia="zh-CN"/>
        </w:rPr>
        <w:t>韶关市武江区住房和城乡建设局</w:t>
      </w:r>
      <w:r>
        <w:rPr>
          <w:rFonts w:hint="eastAsia" w:ascii="宋体" w:hAnsi="宋体" w:eastAsia="宋体" w:cs="宋体"/>
          <w:color w:val="auto"/>
          <w:spacing w:val="0"/>
          <w:sz w:val="24"/>
          <w:szCs w:val="24"/>
          <w:highlight w:val="none"/>
        </w:rPr>
        <w:t>《建设工程施工合同示范文本（房屋建筑和市政工程）》（WJ-2026-0227）执行。</w:t>
      </w:r>
    </w:p>
    <w:p w14:paraId="01801F5B">
      <w:pPr>
        <w:keepNext w:val="0"/>
        <w:keepLines w:val="0"/>
        <w:pageBreakBefore w:val="0"/>
        <w:wordWrap w:val="0"/>
        <w:overflowPunct/>
        <w:topLinePunct w:val="0"/>
        <w:bidi w:val="0"/>
        <w:spacing w:line="360" w:lineRule="auto"/>
        <w:rPr>
          <w:rFonts w:hint="eastAsia" w:ascii="宋体" w:hAnsi="宋体" w:eastAsia="宋体" w:cs="宋体"/>
          <w:color w:val="auto"/>
          <w:spacing w:val="0"/>
          <w:sz w:val="24"/>
          <w:szCs w:val="24"/>
          <w:highlight w:val="none"/>
        </w:rPr>
      </w:pPr>
    </w:p>
    <w:sectPr>
      <w:footerReference r:id="rId29" w:type="default"/>
      <w:pgSz w:w="11906" w:h="16839"/>
      <w:pgMar w:top="1440" w:right="1080" w:bottom="1440" w:left="1080" w:header="0" w:footer="1023" w:gutter="0"/>
      <w:pgBorders>
        <w:top w:val="none" w:sz="0" w:space="0"/>
        <w:left w:val="none" w:sz="0" w:space="0"/>
        <w:bottom w:val="none" w:sz="0" w:space="0"/>
        <w:right w:val="none" w:sz="0" w:space="0"/>
      </w:pgBorders>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481086387" w:date="2026-07-07T17:30:33Z" w:initials="">
    <w:p w14:paraId="7D1B5A4B">
      <w:pPr>
        <w:pStyle w:val="5"/>
        <w:rPr>
          <w:rFonts w:hint="default" w:eastAsia="宋体"/>
          <w:lang w:val="en-US" w:eastAsia="zh-CN"/>
        </w:rPr>
      </w:pPr>
      <w:r>
        <w:rPr>
          <w:rFonts w:hint="eastAsia" w:eastAsia="宋体"/>
          <w:lang w:val="en-US" w:eastAsia="zh-CN"/>
        </w:rPr>
        <w:t>未确定付款方式，待修改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D1B5A4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0A288">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67EE6">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08799">
                          <w:pPr>
                            <w:pStyle w:val="10"/>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3B08799">
                    <w:pPr>
                      <w:pStyle w:val="10"/>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11AF">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B88D6">
                          <w:pPr>
                            <w:pStyle w:val="10"/>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AEB88D6">
                    <w:pPr>
                      <w:pStyle w:val="1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B3D4B">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C9540B">
                          <w:pPr>
                            <w:pStyle w:val="10"/>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5C9540B">
                    <w:pPr>
                      <w:pStyle w:val="10"/>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CA7E8">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A68BB">
                          <w:pPr>
                            <w:pStyle w:val="10"/>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BFA68BB">
                    <w:pPr>
                      <w:pStyle w:val="10"/>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B6E0A">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5CEF52">
                          <w:pPr>
                            <w:pStyle w:val="1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55CEF52">
                    <w:pPr>
                      <w:pStyle w:val="1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D6CBA">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93DF6">
                          <w:pPr>
                            <w:pStyle w:val="1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4C393DF6">
                    <w:pPr>
                      <w:pStyle w:val="1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4F25A">
    <w:pPr>
      <w:pStyle w:val="10"/>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58473">
                          <w:pPr>
                            <w:pStyle w:val="10"/>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5158473">
                    <w:pPr>
                      <w:pStyle w:val="10"/>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3A765">
    <w:pPr>
      <w:pStyle w:val="10"/>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68E82C">
                          <w:pPr>
                            <w:pStyle w:val="10"/>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A68E82C">
                    <w:pPr>
                      <w:pStyle w:val="10"/>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30510">
    <w:pPr>
      <w:pStyle w:val="10"/>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35F8D">
                          <w:pPr>
                            <w:pStyle w:val="10"/>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6235F8D">
                    <w:pPr>
                      <w:pStyle w:val="10"/>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0073A">
    <w:pPr>
      <w:pStyle w:val="10"/>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6AC4E">
                          <w:pPr>
                            <w:pStyle w:val="10"/>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B16AC4E">
                    <w:pPr>
                      <w:pStyle w:val="10"/>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E4AF">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A77C8">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00A77C8">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FF30B">
    <w:pPr>
      <w:pStyle w:val="10"/>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8FFB92">
                          <w:pPr>
                            <w:pStyle w:val="10"/>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88FFB92">
                    <w:pPr>
                      <w:pStyle w:val="10"/>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4F5C4">
    <w:pPr>
      <w:pStyle w:val="10"/>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40A844">
                          <w:pPr>
                            <w:pStyle w:val="10"/>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F40A844">
                    <w:pPr>
                      <w:pStyle w:val="10"/>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A2642">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3644F">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53644F">
                    <w:pPr>
                      <w:pStyle w:val="10"/>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6D71C">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F71FC">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D4F71FC">
                    <w:pPr>
                      <w:pStyle w:val="1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83137">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65B2D">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B65B2D">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1E147">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DBAC9">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40DBAC9">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BFC2D">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91286">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F091286">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DF844">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B81C9">
                          <w:pPr>
                            <w:pStyle w:val="10"/>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8DB81C9">
                    <w:pPr>
                      <w:pStyle w:val="10"/>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40724">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85931">
                          <w:pPr>
                            <w:pStyle w:val="10"/>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5285931">
                    <w:pPr>
                      <w:pStyle w:val="10"/>
                    </w:pPr>
                    <w:r>
                      <w:fldChar w:fldCharType="begin"/>
                    </w:r>
                    <w:r>
                      <w:instrText xml:space="preserve"> PAGE  \* MERGEFORMAT </w:instrText>
                    </w:r>
                    <w:r>
                      <w:fldChar w:fldCharType="separate"/>
                    </w:r>
                    <w:r>
                      <w:t>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A64E">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A3C7A">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2D440">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978D7">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E4354D0"/>
    <w:multiLevelType w:val="singleLevel"/>
    <w:tmpl w:val="0E4354D0"/>
    <w:lvl w:ilvl="0" w:tentative="0">
      <w:start w:val="1"/>
      <w:numFmt w:val="decimal"/>
      <w:suff w:val="nothing"/>
      <w:lvlText w:val="（%1）"/>
      <w:lvlJc w:val="left"/>
    </w:lvl>
  </w:abstractNum>
  <w:abstractNum w:abstractNumId="2">
    <w:nsid w:val="4D16E602"/>
    <w:multiLevelType w:val="singleLevel"/>
    <w:tmpl w:val="4D16E602"/>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481086387">
    <w15:presenceInfo w15:providerId="WPS Office" w15:userId="24208445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D6A89"/>
    <w:rsid w:val="0012211A"/>
    <w:rsid w:val="00473031"/>
    <w:rsid w:val="00876664"/>
    <w:rsid w:val="0089189B"/>
    <w:rsid w:val="00D61DC8"/>
    <w:rsid w:val="00F55858"/>
    <w:rsid w:val="00F661CB"/>
    <w:rsid w:val="01203FAE"/>
    <w:rsid w:val="012A2737"/>
    <w:rsid w:val="013F0365"/>
    <w:rsid w:val="013F232E"/>
    <w:rsid w:val="014B09BB"/>
    <w:rsid w:val="014C6B51"/>
    <w:rsid w:val="016471F9"/>
    <w:rsid w:val="018C1643"/>
    <w:rsid w:val="01916C5A"/>
    <w:rsid w:val="01B841E6"/>
    <w:rsid w:val="01D95F0B"/>
    <w:rsid w:val="01E46D89"/>
    <w:rsid w:val="01FF1E15"/>
    <w:rsid w:val="02337D11"/>
    <w:rsid w:val="026E699E"/>
    <w:rsid w:val="0273635F"/>
    <w:rsid w:val="02A42620"/>
    <w:rsid w:val="02AA30B8"/>
    <w:rsid w:val="02B32C00"/>
    <w:rsid w:val="02B7625C"/>
    <w:rsid w:val="02B844DC"/>
    <w:rsid w:val="02BF0C55"/>
    <w:rsid w:val="02EF1E8A"/>
    <w:rsid w:val="03091250"/>
    <w:rsid w:val="031701C3"/>
    <w:rsid w:val="032C4E8C"/>
    <w:rsid w:val="033667C1"/>
    <w:rsid w:val="0358304C"/>
    <w:rsid w:val="03696A9E"/>
    <w:rsid w:val="037C563F"/>
    <w:rsid w:val="039E06FB"/>
    <w:rsid w:val="03A5079A"/>
    <w:rsid w:val="03B16239"/>
    <w:rsid w:val="03B524C9"/>
    <w:rsid w:val="03BA6178"/>
    <w:rsid w:val="03C5042E"/>
    <w:rsid w:val="03F95CA6"/>
    <w:rsid w:val="04021749"/>
    <w:rsid w:val="040C05F0"/>
    <w:rsid w:val="04200D92"/>
    <w:rsid w:val="043C0BB8"/>
    <w:rsid w:val="04506958"/>
    <w:rsid w:val="04540333"/>
    <w:rsid w:val="048719B2"/>
    <w:rsid w:val="04A50EEC"/>
    <w:rsid w:val="04AE7B23"/>
    <w:rsid w:val="04B67F25"/>
    <w:rsid w:val="04BF763A"/>
    <w:rsid w:val="04C93D12"/>
    <w:rsid w:val="04E212C4"/>
    <w:rsid w:val="05137986"/>
    <w:rsid w:val="053E4A03"/>
    <w:rsid w:val="0563090D"/>
    <w:rsid w:val="05654685"/>
    <w:rsid w:val="05CA6E66"/>
    <w:rsid w:val="05CB7F04"/>
    <w:rsid w:val="05E732EC"/>
    <w:rsid w:val="05EC614B"/>
    <w:rsid w:val="06383B48"/>
    <w:rsid w:val="063C112F"/>
    <w:rsid w:val="064A12E8"/>
    <w:rsid w:val="066642EF"/>
    <w:rsid w:val="066C1D20"/>
    <w:rsid w:val="066E18CA"/>
    <w:rsid w:val="069873E3"/>
    <w:rsid w:val="069A210C"/>
    <w:rsid w:val="069B537E"/>
    <w:rsid w:val="06B156A8"/>
    <w:rsid w:val="06C70A28"/>
    <w:rsid w:val="06C929F2"/>
    <w:rsid w:val="06EE2458"/>
    <w:rsid w:val="070442FA"/>
    <w:rsid w:val="07133987"/>
    <w:rsid w:val="0719602B"/>
    <w:rsid w:val="071C4121"/>
    <w:rsid w:val="072B02AD"/>
    <w:rsid w:val="073360BD"/>
    <w:rsid w:val="079D5546"/>
    <w:rsid w:val="07A1396F"/>
    <w:rsid w:val="07A71DAB"/>
    <w:rsid w:val="07B90CB8"/>
    <w:rsid w:val="07DD3466"/>
    <w:rsid w:val="07EC510E"/>
    <w:rsid w:val="07F25F78"/>
    <w:rsid w:val="08024517"/>
    <w:rsid w:val="082A5712"/>
    <w:rsid w:val="083D3697"/>
    <w:rsid w:val="087A397A"/>
    <w:rsid w:val="0889068B"/>
    <w:rsid w:val="08AB04CB"/>
    <w:rsid w:val="08AF79C5"/>
    <w:rsid w:val="08CD7283"/>
    <w:rsid w:val="08D15B8E"/>
    <w:rsid w:val="08DB07BA"/>
    <w:rsid w:val="08EB6C4F"/>
    <w:rsid w:val="092D5890"/>
    <w:rsid w:val="09351F83"/>
    <w:rsid w:val="09861D3A"/>
    <w:rsid w:val="09AD03A9"/>
    <w:rsid w:val="09C217D5"/>
    <w:rsid w:val="09F06AB0"/>
    <w:rsid w:val="09FA34EB"/>
    <w:rsid w:val="0A06315A"/>
    <w:rsid w:val="0A182626"/>
    <w:rsid w:val="0A2763AD"/>
    <w:rsid w:val="0A5A0533"/>
    <w:rsid w:val="0A62467A"/>
    <w:rsid w:val="0A7D4664"/>
    <w:rsid w:val="0A9B41CA"/>
    <w:rsid w:val="0ABA2D7D"/>
    <w:rsid w:val="0AD33307"/>
    <w:rsid w:val="0AEE3BCC"/>
    <w:rsid w:val="0B146B03"/>
    <w:rsid w:val="0B3866B7"/>
    <w:rsid w:val="0B3B5F5C"/>
    <w:rsid w:val="0B644CDF"/>
    <w:rsid w:val="0B991B8D"/>
    <w:rsid w:val="0BD240F7"/>
    <w:rsid w:val="0C120997"/>
    <w:rsid w:val="0C2C7CAB"/>
    <w:rsid w:val="0C2D2A4E"/>
    <w:rsid w:val="0C350433"/>
    <w:rsid w:val="0C3B1C9C"/>
    <w:rsid w:val="0C3D67FB"/>
    <w:rsid w:val="0C4153D2"/>
    <w:rsid w:val="0C470FE2"/>
    <w:rsid w:val="0C4C237C"/>
    <w:rsid w:val="0CA07D76"/>
    <w:rsid w:val="0CA247B5"/>
    <w:rsid w:val="0CA331A2"/>
    <w:rsid w:val="0CBE467B"/>
    <w:rsid w:val="0CC51EAD"/>
    <w:rsid w:val="0CEB3524"/>
    <w:rsid w:val="0CEE4F60"/>
    <w:rsid w:val="0CFE2CC9"/>
    <w:rsid w:val="0D03679A"/>
    <w:rsid w:val="0D04104B"/>
    <w:rsid w:val="0D1953C1"/>
    <w:rsid w:val="0D3A5224"/>
    <w:rsid w:val="0D410E67"/>
    <w:rsid w:val="0D786450"/>
    <w:rsid w:val="0D827C1B"/>
    <w:rsid w:val="0DB97443"/>
    <w:rsid w:val="0DCB0DFD"/>
    <w:rsid w:val="0DD1536E"/>
    <w:rsid w:val="0DD203DE"/>
    <w:rsid w:val="0DDC125D"/>
    <w:rsid w:val="0DE10058"/>
    <w:rsid w:val="0DF525DE"/>
    <w:rsid w:val="0DF61CE0"/>
    <w:rsid w:val="0E021EEE"/>
    <w:rsid w:val="0E122ED0"/>
    <w:rsid w:val="0E1E1875"/>
    <w:rsid w:val="0E2944A5"/>
    <w:rsid w:val="0E727E4A"/>
    <w:rsid w:val="0E8A4503"/>
    <w:rsid w:val="0E8E37ED"/>
    <w:rsid w:val="0EAF2E14"/>
    <w:rsid w:val="0EAF4BC3"/>
    <w:rsid w:val="0ED95707"/>
    <w:rsid w:val="0EDB59B8"/>
    <w:rsid w:val="0EDE2DB2"/>
    <w:rsid w:val="0EF30E7F"/>
    <w:rsid w:val="0EFF0B74"/>
    <w:rsid w:val="0F0D5446"/>
    <w:rsid w:val="0F154082"/>
    <w:rsid w:val="0F1B4006"/>
    <w:rsid w:val="0F312AB7"/>
    <w:rsid w:val="0FB775B8"/>
    <w:rsid w:val="0FCE583F"/>
    <w:rsid w:val="0FE32D76"/>
    <w:rsid w:val="0FE97C61"/>
    <w:rsid w:val="0FF44D8A"/>
    <w:rsid w:val="10433815"/>
    <w:rsid w:val="10573290"/>
    <w:rsid w:val="105858FC"/>
    <w:rsid w:val="107B6091"/>
    <w:rsid w:val="108403E2"/>
    <w:rsid w:val="109275A9"/>
    <w:rsid w:val="10C04E65"/>
    <w:rsid w:val="10C15734"/>
    <w:rsid w:val="10D07C36"/>
    <w:rsid w:val="10DE7343"/>
    <w:rsid w:val="1102547E"/>
    <w:rsid w:val="110D36CE"/>
    <w:rsid w:val="11124F95"/>
    <w:rsid w:val="11163DD2"/>
    <w:rsid w:val="11183B29"/>
    <w:rsid w:val="11533574"/>
    <w:rsid w:val="115455AE"/>
    <w:rsid w:val="11785740"/>
    <w:rsid w:val="11862732"/>
    <w:rsid w:val="118F278E"/>
    <w:rsid w:val="119105B0"/>
    <w:rsid w:val="119231B4"/>
    <w:rsid w:val="11994D85"/>
    <w:rsid w:val="11A47985"/>
    <w:rsid w:val="11D80D88"/>
    <w:rsid w:val="11F50B3F"/>
    <w:rsid w:val="122C2F50"/>
    <w:rsid w:val="124D44D7"/>
    <w:rsid w:val="12514BDA"/>
    <w:rsid w:val="12906AB9"/>
    <w:rsid w:val="12B46AE6"/>
    <w:rsid w:val="12BE7183"/>
    <w:rsid w:val="12C7072D"/>
    <w:rsid w:val="12E7492B"/>
    <w:rsid w:val="12E74FC1"/>
    <w:rsid w:val="12F27F6E"/>
    <w:rsid w:val="12F53397"/>
    <w:rsid w:val="130E2754"/>
    <w:rsid w:val="131A26A8"/>
    <w:rsid w:val="13237098"/>
    <w:rsid w:val="132A4818"/>
    <w:rsid w:val="133D279D"/>
    <w:rsid w:val="1385172F"/>
    <w:rsid w:val="13B36C86"/>
    <w:rsid w:val="13C16461"/>
    <w:rsid w:val="13C438FA"/>
    <w:rsid w:val="13E34C75"/>
    <w:rsid w:val="13EC7D20"/>
    <w:rsid w:val="14004E57"/>
    <w:rsid w:val="14141B79"/>
    <w:rsid w:val="1444633F"/>
    <w:rsid w:val="144B052E"/>
    <w:rsid w:val="1468384A"/>
    <w:rsid w:val="148650F4"/>
    <w:rsid w:val="14933FC5"/>
    <w:rsid w:val="1505553D"/>
    <w:rsid w:val="150D2643"/>
    <w:rsid w:val="15192D96"/>
    <w:rsid w:val="15542020"/>
    <w:rsid w:val="155663AB"/>
    <w:rsid w:val="15712BD2"/>
    <w:rsid w:val="15A10CF5"/>
    <w:rsid w:val="15C40F54"/>
    <w:rsid w:val="15C724ED"/>
    <w:rsid w:val="15DC13FE"/>
    <w:rsid w:val="15F3699E"/>
    <w:rsid w:val="15F5110D"/>
    <w:rsid w:val="16005D04"/>
    <w:rsid w:val="16070E41"/>
    <w:rsid w:val="161120E9"/>
    <w:rsid w:val="16223ECC"/>
    <w:rsid w:val="16351E52"/>
    <w:rsid w:val="16461969"/>
    <w:rsid w:val="16737FC1"/>
    <w:rsid w:val="16C54431"/>
    <w:rsid w:val="16C60CFC"/>
    <w:rsid w:val="16DF591A"/>
    <w:rsid w:val="170A0BE8"/>
    <w:rsid w:val="1722468F"/>
    <w:rsid w:val="172C4685"/>
    <w:rsid w:val="17451158"/>
    <w:rsid w:val="1767428D"/>
    <w:rsid w:val="1776627E"/>
    <w:rsid w:val="17C23271"/>
    <w:rsid w:val="17C50FB3"/>
    <w:rsid w:val="18226406"/>
    <w:rsid w:val="182A472E"/>
    <w:rsid w:val="183D1F26"/>
    <w:rsid w:val="18506ACF"/>
    <w:rsid w:val="18562DAE"/>
    <w:rsid w:val="1862610F"/>
    <w:rsid w:val="18700F1F"/>
    <w:rsid w:val="18710487"/>
    <w:rsid w:val="189763EA"/>
    <w:rsid w:val="18B352B0"/>
    <w:rsid w:val="18C06D07"/>
    <w:rsid w:val="18ED2570"/>
    <w:rsid w:val="190B3062"/>
    <w:rsid w:val="192D6E10"/>
    <w:rsid w:val="192E77AB"/>
    <w:rsid w:val="19461C80"/>
    <w:rsid w:val="19597C05"/>
    <w:rsid w:val="195F015E"/>
    <w:rsid w:val="1963464B"/>
    <w:rsid w:val="197764F6"/>
    <w:rsid w:val="19805192"/>
    <w:rsid w:val="19974BAF"/>
    <w:rsid w:val="19C31523"/>
    <w:rsid w:val="19DD2996"/>
    <w:rsid w:val="19DD63F3"/>
    <w:rsid w:val="1A200723"/>
    <w:rsid w:val="1A2C70C8"/>
    <w:rsid w:val="1A3A6836"/>
    <w:rsid w:val="1A4A3FE0"/>
    <w:rsid w:val="1A5B5BFF"/>
    <w:rsid w:val="1A6040D2"/>
    <w:rsid w:val="1AE57555"/>
    <w:rsid w:val="1AF02496"/>
    <w:rsid w:val="1AF04599"/>
    <w:rsid w:val="1B01079D"/>
    <w:rsid w:val="1B530684"/>
    <w:rsid w:val="1BB32838"/>
    <w:rsid w:val="1BB83309"/>
    <w:rsid w:val="1BC25F36"/>
    <w:rsid w:val="1BCD48DA"/>
    <w:rsid w:val="1BE13EE2"/>
    <w:rsid w:val="1C116575"/>
    <w:rsid w:val="1C16412A"/>
    <w:rsid w:val="1C2A3ADB"/>
    <w:rsid w:val="1C324211"/>
    <w:rsid w:val="1C4E3CA2"/>
    <w:rsid w:val="1C623275"/>
    <w:rsid w:val="1C7F3E27"/>
    <w:rsid w:val="1C931680"/>
    <w:rsid w:val="1C977356"/>
    <w:rsid w:val="1CC7132A"/>
    <w:rsid w:val="1CEE68B6"/>
    <w:rsid w:val="1CF16241"/>
    <w:rsid w:val="1CFE11EF"/>
    <w:rsid w:val="1D07309F"/>
    <w:rsid w:val="1D1C4C74"/>
    <w:rsid w:val="1D3E0BA5"/>
    <w:rsid w:val="1DED3012"/>
    <w:rsid w:val="1E1A3944"/>
    <w:rsid w:val="1E3A1093"/>
    <w:rsid w:val="1E3B5065"/>
    <w:rsid w:val="1E3B5B2B"/>
    <w:rsid w:val="1E491296"/>
    <w:rsid w:val="1E4A0464"/>
    <w:rsid w:val="1E4E20A0"/>
    <w:rsid w:val="1E504393"/>
    <w:rsid w:val="1E5D49E3"/>
    <w:rsid w:val="1E6432D4"/>
    <w:rsid w:val="1E9F430C"/>
    <w:rsid w:val="1EB53B18"/>
    <w:rsid w:val="1EBD4792"/>
    <w:rsid w:val="1EE461C3"/>
    <w:rsid w:val="1F2962CC"/>
    <w:rsid w:val="1F297E9B"/>
    <w:rsid w:val="1F3C3740"/>
    <w:rsid w:val="1F487665"/>
    <w:rsid w:val="1F4E5D32"/>
    <w:rsid w:val="1F683A66"/>
    <w:rsid w:val="1F725038"/>
    <w:rsid w:val="1F780DC2"/>
    <w:rsid w:val="1F78690B"/>
    <w:rsid w:val="1FA6791C"/>
    <w:rsid w:val="1FB65DB1"/>
    <w:rsid w:val="1FCA360B"/>
    <w:rsid w:val="1FDA1374"/>
    <w:rsid w:val="1FEB3581"/>
    <w:rsid w:val="20020FF7"/>
    <w:rsid w:val="20210F16"/>
    <w:rsid w:val="20670E5A"/>
    <w:rsid w:val="206770AC"/>
    <w:rsid w:val="208714FC"/>
    <w:rsid w:val="20B41F4E"/>
    <w:rsid w:val="20B73CE8"/>
    <w:rsid w:val="20CB1F07"/>
    <w:rsid w:val="20E76E0C"/>
    <w:rsid w:val="21052421"/>
    <w:rsid w:val="21244F9D"/>
    <w:rsid w:val="21517A59"/>
    <w:rsid w:val="215A276C"/>
    <w:rsid w:val="216E1E9C"/>
    <w:rsid w:val="217615B5"/>
    <w:rsid w:val="21917E66"/>
    <w:rsid w:val="21AF0D0A"/>
    <w:rsid w:val="21FA5CFD"/>
    <w:rsid w:val="22140953"/>
    <w:rsid w:val="222C2B90"/>
    <w:rsid w:val="22457E73"/>
    <w:rsid w:val="2248233E"/>
    <w:rsid w:val="227D2BB6"/>
    <w:rsid w:val="229E3272"/>
    <w:rsid w:val="22BA585A"/>
    <w:rsid w:val="22E70030"/>
    <w:rsid w:val="22F866E1"/>
    <w:rsid w:val="231A178A"/>
    <w:rsid w:val="23260E04"/>
    <w:rsid w:val="233953DA"/>
    <w:rsid w:val="234A73BC"/>
    <w:rsid w:val="234F2844"/>
    <w:rsid w:val="23515DF1"/>
    <w:rsid w:val="23790749"/>
    <w:rsid w:val="237B4B25"/>
    <w:rsid w:val="23931F66"/>
    <w:rsid w:val="23E66539"/>
    <w:rsid w:val="240C1237"/>
    <w:rsid w:val="245C4A4D"/>
    <w:rsid w:val="24782AD4"/>
    <w:rsid w:val="249C3951"/>
    <w:rsid w:val="249F17D3"/>
    <w:rsid w:val="24A10C0D"/>
    <w:rsid w:val="24DE1906"/>
    <w:rsid w:val="24E84365"/>
    <w:rsid w:val="251E59E0"/>
    <w:rsid w:val="251F7F55"/>
    <w:rsid w:val="2536704D"/>
    <w:rsid w:val="2542460B"/>
    <w:rsid w:val="254479BB"/>
    <w:rsid w:val="254C2D14"/>
    <w:rsid w:val="254F6770"/>
    <w:rsid w:val="256D06AE"/>
    <w:rsid w:val="2582242A"/>
    <w:rsid w:val="259077D0"/>
    <w:rsid w:val="259D531E"/>
    <w:rsid w:val="25AF7A72"/>
    <w:rsid w:val="25B20381"/>
    <w:rsid w:val="25F25669"/>
    <w:rsid w:val="260357AC"/>
    <w:rsid w:val="260B6FC2"/>
    <w:rsid w:val="264763B7"/>
    <w:rsid w:val="26890340"/>
    <w:rsid w:val="268B2A3A"/>
    <w:rsid w:val="268B3DAD"/>
    <w:rsid w:val="26A61FB0"/>
    <w:rsid w:val="26B13700"/>
    <w:rsid w:val="26C237A1"/>
    <w:rsid w:val="26E1530D"/>
    <w:rsid w:val="26EA27E4"/>
    <w:rsid w:val="26FC7CDF"/>
    <w:rsid w:val="27257379"/>
    <w:rsid w:val="27321340"/>
    <w:rsid w:val="274418A4"/>
    <w:rsid w:val="275131CB"/>
    <w:rsid w:val="2753659C"/>
    <w:rsid w:val="277025E4"/>
    <w:rsid w:val="27734537"/>
    <w:rsid w:val="279B1E5B"/>
    <w:rsid w:val="27C8417C"/>
    <w:rsid w:val="27E70AD2"/>
    <w:rsid w:val="282B4E63"/>
    <w:rsid w:val="282B6C11"/>
    <w:rsid w:val="282D666B"/>
    <w:rsid w:val="28496233"/>
    <w:rsid w:val="28541BD2"/>
    <w:rsid w:val="2873044C"/>
    <w:rsid w:val="28884FF7"/>
    <w:rsid w:val="28B60B0F"/>
    <w:rsid w:val="28E16404"/>
    <w:rsid w:val="28F60FCD"/>
    <w:rsid w:val="290F389D"/>
    <w:rsid w:val="293033DF"/>
    <w:rsid w:val="293D2CA4"/>
    <w:rsid w:val="293E21D3"/>
    <w:rsid w:val="29567CBD"/>
    <w:rsid w:val="2962542C"/>
    <w:rsid w:val="297B3BC8"/>
    <w:rsid w:val="298622EA"/>
    <w:rsid w:val="29A9794B"/>
    <w:rsid w:val="29C966E1"/>
    <w:rsid w:val="2A135BAE"/>
    <w:rsid w:val="2A216E2F"/>
    <w:rsid w:val="2A50295E"/>
    <w:rsid w:val="2A7228D5"/>
    <w:rsid w:val="2A8645D2"/>
    <w:rsid w:val="2AA97591"/>
    <w:rsid w:val="2AB52686"/>
    <w:rsid w:val="2AD73080"/>
    <w:rsid w:val="2AF97E66"/>
    <w:rsid w:val="2B0A6132"/>
    <w:rsid w:val="2B160E6F"/>
    <w:rsid w:val="2B255B99"/>
    <w:rsid w:val="2B2A31B0"/>
    <w:rsid w:val="2B351DFD"/>
    <w:rsid w:val="2B367172"/>
    <w:rsid w:val="2B456BEA"/>
    <w:rsid w:val="2B65068C"/>
    <w:rsid w:val="2B784A6E"/>
    <w:rsid w:val="2B9A7B07"/>
    <w:rsid w:val="2BAE2033"/>
    <w:rsid w:val="2BB37649"/>
    <w:rsid w:val="2BB82A63"/>
    <w:rsid w:val="2BC730F4"/>
    <w:rsid w:val="2BE42462"/>
    <w:rsid w:val="2BFA2F81"/>
    <w:rsid w:val="2BFD3113"/>
    <w:rsid w:val="2BFD6B16"/>
    <w:rsid w:val="2C0003B4"/>
    <w:rsid w:val="2C15160E"/>
    <w:rsid w:val="2C29790B"/>
    <w:rsid w:val="2C3920EC"/>
    <w:rsid w:val="2C3A068B"/>
    <w:rsid w:val="2C8B1F1F"/>
    <w:rsid w:val="2CA156F3"/>
    <w:rsid w:val="2CAE7E10"/>
    <w:rsid w:val="2CD812B0"/>
    <w:rsid w:val="2D236108"/>
    <w:rsid w:val="2D906B09"/>
    <w:rsid w:val="2D9C5EBB"/>
    <w:rsid w:val="2DA37249"/>
    <w:rsid w:val="2DAC0A59"/>
    <w:rsid w:val="2DDD51FA"/>
    <w:rsid w:val="2DE51610"/>
    <w:rsid w:val="2E034C51"/>
    <w:rsid w:val="2E330FF3"/>
    <w:rsid w:val="2E642E7C"/>
    <w:rsid w:val="2E6A011C"/>
    <w:rsid w:val="2E9A689E"/>
    <w:rsid w:val="2ED7388A"/>
    <w:rsid w:val="2EDD4BB1"/>
    <w:rsid w:val="2EE212D0"/>
    <w:rsid w:val="2EF92078"/>
    <w:rsid w:val="2F1B1234"/>
    <w:rsid w:val="2F2729AC"/>
    <w:rsid w:val="2F3C0F4C"/>
    <w:rsid w:val="2F5A6566"/>
    <w:rsid w:val="2F822251"/>
    <w:rsid w:val="2F8C268B"/>
    <w:rsid w:val="2F9108B6"/>
    <w:rsid w:val="2FB40CBC"/>
    <w:rsid w:val="2FB82F9F"/>
    <w:rsid w:val="2FE5383E"/>
    <w:rsid w:val="2FFF76FC"/>
    <w:rsid w:val="30562C99"/>
    <w:rsid w:val="3076603D"/>
    <w:rsid w:val="309F4999"/>
    <w:rsid w:val="30A17716"/>
    <w:rsid w:val="30AC4667"/>
    <w:rsid w:val="30D14AC9"/>
    <w:rsid w:val="30E67B79"/>
    <w:rsid w:val="30EF4FA7"/>
    <w:rsid w:val="313C778B"/>
    <w:rsid w:val="31973123"/>
    <w:rsid w:val="319C13AD"/>
    <w:rsid w:val="31CC3212"/>
    <w:rsid w:val="31D65E3F"/>
    <w:rsid w:val="31D9592F"/>
    <w:rsid w:val="32105FF7"/>
    <w:rsid w:val="321A2D0F"/>
    <w:rsid w:val="322E1126"/>
    <w:rsid w:val="32422005"/>
    <w:rsid w:val="324D664C"/>
    <w:rsid w:val="32504AC8"/>
    <w:rsid w:val="32BE6EB2"/>
    <w:rsid w:val="32C616FD"/>
    <w:rsid w:val="32C7154E"/>
    <w:rsid w:val="32D46E8A"/>
    <w:rsid w:val="3317207A"/>
    <w:rsid w:val="331A6B7B"/>
    <w:rsid w:val="33204F95"/>
    <w:rsid w:val="33396D39"/>
    <w:rsid w:val="33643EF5"/>
    <w:rsid w:val="33705242"/>
    <w:rsid w:val="33945FB2"/>
    <w:rsid w:val="339E473B"/>
    <w:rsid w:val="33CB6C0E"/>
    <w:rsid w:val="33D80BF4"/>
    <w:rsid w:val="33E54DB7"/>
    <w:rsid w:val="33E57C5B"/>
    <w:rsid w:val="34124B0B"/>
    <w:rsid w:val="341A18A6"/>
    <w:rsid w:val="341E3ACD"/>
    <w:rsid w:val="34207846"/>
    <w:rsid w:val="344A6670"/>
    <w:rsid w:val="346D235F"/>
    <w:rsid w:val="346F60D7"/>
    <w:rsid w:val="348F605A"/>
    <w:rsid w:val="34A357B5"/>
    <w:rsid w:val="34AA1521"/>
    <w:rsid w:val="34C22379"/>
    <w:rsid w:val="34D30777"/>
    <w:rsid w:val="34F51A33"/>
    <w:rsid w:val="35233259"/>
    <w:rsid w:val="355B006D"/>
    <w:rsid w:val="357E4769"/>
    <w:rsid w:val="35AF7A0E"/>
    <w:rsid w:val="35B20971"/>
    <w:rsid w:val="35E11256"/>
    <w:rsid w:val="35F03248"/>
    <w:rsid w:val="364C66D0"/>
    <w:rsid w:val="365D08DD"/>
    <w:rsid w:val="368A369C"/>
    <w:rsid w:val="369F27CF"/>
    <w:rsid w:val="36AA789A"/>
    <w:rsid w:val="36B60605"/>
    <w:rsid w:val="36C73FA8"/>
    <w:rsid w:val="36DB3EF8"/>
    <w:rsid w:val="36EA7C97"/>
    <w:rsid w:val="36FD79CA"/>
    <w:rsid w:val="3701395E"/>
    <w:rsid w:val="37015FBC"/>
    <w:rsid w:val="3727713D"/>
    <w:rsid w:val="37704A11"/>
    <w:rsid w:val="37757EA8"/>
    <w:rsid w:val="37B502A5"/>
    <w:rsid w:val="37C45ACE"/>
    <w:rsid w:val="37E335F2"/>
    <w:rsid w:val="37E76AA3"/>
    <w:rsid w:val="37FE4507"/>
    <w:rsid w:val="3805122C"/>
    <w:rsid w:val="3835053A"/>
    <w:rsid w:val="383E568D"/>
    <w:rsid w:val="387463B2"/>
    <w:rsid w:val="388F6D48"/>
    <w:rsid w:val="389B393F"/>
    <w:rsid w:val="38A24CCD"/>
    <w:rsid w:val="38BE1535"/>
    <w:rsid w:val="38E30EB2"/>
    <w:rsid w:val="38EF3385"/>
    <w:rsid w:val="38F6599A"/>
    <w:rsid w:val="39070FD4"/>
    <w:rsid w:val="393763B9"/>
    <w:rsid w:val="395A2DA3"/>
    <w:rsid w:val="396E7AF5"/>
    <w:rsid w:val="397A7B42"/>
    <w:rsid w:val="397D01C6"/>
    <w:rsid w:val="39B4157B"/>
    <w:rsid w:val="39CC2C38"/>
    <w:rsid w:val="39DF785B"/>
    <w:rsid w:val="39E44C95"/>
    <w:rsid w:val="39FE457D"/>
    <w:rsid w:val="39FF676A"/>
    <w:rsid w:val="3A1A0893"/>
    <w:rsid w:val="3A3F7873"/>
    <w:rsid w:val="3A5C534F"/>
    <w:rsid w:val="3A5E69D2"/>
    <w:rsid w:val="3A60099C"/>
    <w:rsid w:val="3A6A181A"/>
    <w:rsid w:val="3A8B1791"/>
    <w:rsid w:val="3AA16B06"/>
    <w:rsid w:val="3AA67465"/>
    <w:rsid w:val="3AD969A0"/>
    <w:rsid w:val="3ADB2718"/>
    <w:rsid w:val="3AFE73AB"/>
    <w:rsid w:val="3B157E95"/>
    <w:rsid w:val="3B2C2F74"/>
    <w:rsid w:val="3B351E28"/>
    <w:rsid w:val="3B78218B"/>
    <w:rsid w:val="3B800B35"/>
    <w:rsid w:val="3B8B205B"/>
    <w:rsid w:val="3BA174BE"/>
    <w:rsid w:val="3BAE1FDB"/>
    <w:rsid w:val="3BAE3989"/>
    <w:rsid w:val="3BB014AF"/>
    <w:rsid w:val="3BC05FBD"/>
    <w:rsid w:val="3BD258C9"/>
    <w:rsid w:val="3BEC7F9A"/>
    <w:rsid w:val="3C123FA5"/>
    <w:rsid w:val="3C1F14E6"/>
    <w:rsid w:val="3C242530"/>
    <w:rsid w:val="3C5F2ED5"/>
    <w:rsid w:val="3C607CD7"/>
    <w:rsid w:val="3C731F7D"/>
    <w:rsid w:val="3C822F4C"/>
    <w:rsid w:val="3C8B7826"/>
    <w:rsid w:val="3CA078D1"/>
    <w:rsid w:val="3CCA02B2"/>
    <w:rsid w:val="3CE62383"/>
    <w:rsid w:val="3CEC7A2A"/>
    <w:rsid w:val="3D0433A8"/>
    <w:rsid w:val="3D15699B"/>
    <w:rsid w:val="3D29776B"/>
    <w:rsid w:val="3D2C2DB7"/>
    <w:rsid w:val="3D414552"/>
    <w:rsid w:val="3D5D0893"/>
    <w:rsid w:val="3D6A66B2"/>
    <w:rsid w:val="3D867B10"/>
    <w:rsid w:val="3D915310"/>
    <w:rsid w:val="3DA07301"/>
    <w:rsid w:val="3DBF44D4"/>
    <w:rsid w:val="3DC37216"/>
    <w:rsid w:val="3DCE35B6"/>
    <w:rsid w:val="3DD136B5"/>
    <w:rsid w:val="3DF14E3C"/>
    <w:rsid w:val="3DFC6C2D"/>
    <w:rsid w:val="3E0A3EC6"/>
    <w:rsid w:val="3E0D6740"/>
    <w:rsid w:val="3E112752"/>
    <w:rsid w:val="3E2609B2"/>
    <w:rsid w:val="3E467DCB"/>
    <w:rsid w:val="3E66479B"/>
    <w:rsid w:val="3E7F6463"/>
    <w:rsid w:val="3EAF459C"/>
    <w:rsid w:val="3EC534C3"/>
    <w:rsid w:val="3ECB4852"/>
    <w:rsid w:val="3ECF4342"/>
    <w:rsid w:val="3EEB0292"/>
    <w:rsid w:val="3EF142B8"/>
    <w:rsid w:val="3EF313C9"/>
    <w:rsid w:val="3EF73899"/>
    <w:rsid w:val="3EFC0316"/>
    <w:rsid w:val="3F035D9A"/>
    <w:rsid w:val="3F0C15BF"/>
    <w:rsid w:val="3F0F2990"/>
    <w:rsid w:val="3F281B00"/>
    <w:rsid w:val="3F3E6DD2"/>
    <w:rsid w:val="3F49270E"/>
    <w:rsid w:val="3F4D76DD"/>
    <w:rsid w:val="3F930BE9"/>
    <w:rsid w:val="3F952DC8"/>
    <w:rsid w:val="3FD02D5B"/>
    <w:rsid w:val="3FE15005"/>
    <w:rsid w:val="3FE77469"/>
    <w:rsid w:val="400E2C48"/>
    <w:rsid w:val="40324B88"/>
    <w:rsid w:val="403D2804"/>
    <w:rsid w:val="405F416C"/>
    <w:rsid w:val="40B21825"/>
    <w:rsid w:val="40B36A8B"/>
    <w:rsid w:val="40C14BE6"/>
    <w:rsid w:val="40E85E9C"/>
    <w:rsid w:val="41173D7E"/>
    <w:rsid w:val="412615F7"/>
    <w:rsid w:val="417778B2"/>
    <w:rsid w:val="41B076E0"/>
    <w:rsid w:val="41B909B9"/>
    <w:rsid w:val="41C01C54"/>
    <w:rsid w:val="41D8350E"/>
    <w:rsid w:val="41FA16D6"/>
    <w:rsid w:val="4212594F"/>
    <w:rsid w:val="428D039F"/>
    <w:rsid w:val="42A31D6D"/>
    <w:rsid w:val="42D77BC6"/>
    <w:rsid w:val="42FC0E58"/>
    <w:rsid w:val="430124F4"/>
    <w:rsid w:val="431379ED"/>
    <w:rsid w:val="4315253F"/>
    <w:rsid w:val="437454B8"/>
    <w:rsid w:val="43947908"/>
    <w:rsid w:val="43A648A2"/>
    <w:rsid w:val="43AA0EDA"/>
    <w:rsid w:val="43C31F9B"/>
    <w:rsid w:val="43CC2BFE"/>
    <w:rsid w:val="43D25E53"/>
    <w:rsid w:val="43E10667"/>
    <w:rsid w:val="43F72EE5"/>
    <w:rsid w:val="440138A0"/>
    <w:rsid w:val="44186C1E"/>
    <w:rsid w:val="44246EDE"/>
    <w:rsid w:val="4430024D"/>
    <w:rsid w:val="44384737"/>
    <w:rsid w:val="44692B43"/>
    <w:rsid w:val="44740E09"/>
    <w:rsid w:val="44817A85"/>
    <w:rsid w:val="44983428"/>
    <w:rsid w:val="44C47D79"/>
    <w:rsid w:val="44C72BA4"/>
    <w:rsid w:val="44D85BF2"/>
    <w:rsid w:val="451A208F"/>
    <w:rsid w:val="453170D2"/>
    <w:rsid w:val="45340E09"/>
    <w:rsid w:val="45464C32"/>
    <w:rsid w:val="45937734"/>
    <w:rsid w:val="459444E0"/>
    <w:rsid w:val="45AD2F03"/>
    <w:rsid w:val="45BE2A1A"/>
    <w:rsid w:val="45C22200"/>
    <w:rsid w:val="45D60635"/>
    <w:rsid w:val="45EF0E26"/>
    <w:rsid w:val="45F65CF5"/>
    <w:rsid w:val="45F813BF"/>
    <w:rsid w:val="46081EE8"/>
    <w:rsid w:val="460B7B64"/>
    <w:rsid w:val="4612476D"/>
    <w:rsid w:val="46276812"/>
    <w:rsid w:val="462F50FB"/>
    <w:rsid w:val="46617E0B"/>
    <w:rsid w:val="468F5CB4"/>
    <w:rsid w:val="46953618"/>
    <w:rsid w:val="46987D74"/>
    <w:rsid w:val="469A0A3E"/>
    <w:rsid w:val="46C027C2"/>
    <w:rsid w:val="46DC584E"/>
    <w:rsid w:val="46E75FA1"/>
    <w:rsid w:val="472B62F5"/>
    <w:rsid w:val="474820C5"/>
    <w:rsid w:val="4755638D"/>
    <w:rsid w:val="475B13E7"/>
    <w:rsid w:val="476B2262"/>
    <w:rsid w:val="477A7EE5"/>
    <w:rsid w:val="47DD7AD0"/>
    <w:rsid w:val="47F51E94"/>
    <w:rsid w:val="481D611E"/>
    <w:rsid w:val="48205C0E"/>
    <w:rsid w:val="485D476D"/>
    <w:rsid w:val="48653621"/>
    <w:rsid w:val="48665BDE"/>
    <w:rsid w:val="488206B9"/>
    <w:rsid w:val="48AA5EB9"/>
    <w:rsid w:val="48B545A9"/>
    <w:rsid w:val="48B979EC"/>
    <w:rsid w:val="48D34790"/>
    <w:rsid w:val="494D6EBA"/>
    <w:rsid w:val="49557B3A"/>
    <w:rsid w:val="49591C7C"/>
    <w:rsid w:val="495D5FE6"/>
    <w:rsid w:val="49855479"/>
    <w:rsid w:val="498C348F"/>
    <w:rsid w:val="49957F36"/>
    <w:rsid w:val="49BA4655"/>
    <w:rsid w:val="49CD757C"/>
    <w:rsid w:val="49DA3B9B"/>
    <w:rsid w:val="49FA5FEB"/>
    <w:rsid w:val="4A3C6BE3"/>
    <w:rsid w:val="4A62606A"/>
    <w:rsid w:val="4A6F0787"/>
    <w:rsid w:val="4A7638C4"/>
    <w:rsid w:val="4A8E3303"/>
    <w:rsid w:val="4AAC4A05"/>
    <w:rsid w:val="4AAE1013"/>
    <w:rsid w:val="4AB34B18"/>
    <w:rsid w:val="4ABD14F2"/>
    <w:rsid w:val="4ADE1878"/>
    <w:rsid w:val="4ADE2E23"/>
    <w:rsid w:val="4AE64EED"/>
    <w:rsid w:val="4AFD2237"/>
    <w:rsid w:val="4B166E55"/>
    <w:rsid w:val="4B380D6F"/>
    <w:rsid w:val="4B5B5053"/>
    <w:rsid w:val="4B766704"/>
    <w:rsid w:val="4BA47B1F"/>
    <w:rsid w:val="4BBC29D4"/>
    <w:rsid w:val="4BE807F1"/>
    <w:rsid w:val="4C2D08FA"/>
    <w:rsid w:val="4C560DCF"/>
    <w:rsid w:val="4CA73452"/>
    <w:rsid w:val="4CBE77A4"/>
    <w:rsid w:val="4CC32763"/>
    <w:rsid w:val="4CE74FE6"/>
    <w:rsid w:val="4D0F1621"/>
    <w:rsid w:val="4D24354A"/>
    <w:rsid w:val="4D4E6D7A"/>
    <w:rsid w:val="4D5679DC"/>
    <w:rsid w:val="4D76426D"/>
    <w:rsid w:val="4D785BA5"/>
    <w:rsid w:val="4DB017E2"/>
    <w:rsid w:val="4DE40D73"/>
    <w:rsid w:val="4DF97234"/>
    <w:rsid w:val="4E134368"/>
    <w:rsid w:val="4E265601"/>
    <w:rsid w:val="4E437F61"/>
    <w:rsid w:val="4E4C36AA"/>
    <w:rsid w:val="4E5959D6"/>
    <w:rsid w:val="4E872543"/>
    <w:rsid w:val="4EAF34D1"/>
    <w:rsid w:val="4EB7021F"/>
    <w:rsid w:val="4ECA0682"/>
    <w:rsid w:val="4ED141EB"/>
    <w:rsid w:val="4EFD45B3"/>
    <w:rsid w:val="4F377967"/>
    <w:rsid w:val="4F411EB6"/>
    <w:rsid w:val="4F42646A"/>
    <w:rsid w:val="4F582EF7"/>
    <w:rsid w:val="4F5F63A7"/>
    <w:rsid w:val="4FBA24A4"/>
    <w:rsid w:val="4FCD042A"/>
    <w:rsid w:val="4FDA6E22"/>
    <w:rsid w:val="4FE34983"/>
    <w:rsid w:val="4FFD0EF1"/>
    <w:rsid w:val="50277BC9"/>
    <w:rsid w:val="502F4C40"/>
    <w:rsid w:val="50353716"/>
    <w:rsid w:val="512978E2"/>
    <w:rsid w:val="512C28E0"/>
    <w:rsid w:val="5135755A"/>
    <w:rsid w:val="513B6066"/>
    <w:rsid w:val="514F12D7"/>
    <w:rsid w:val="51754B1B"/>
    <w:rsid w:val="517B73AD"/>
    <w:rsid w:val="518A5306"/>
    <w:rsid w:val="51A37E3C"/>
    <w:rsid w:val="51B66656"/>
    <w:rsid w:val="51C94C21"/>
    <w:rsid w:val="51CF675A"/>
    <w:rsid w:val="51D16F4E"/>
    <w:rsid w:val="51D610EC"/>
    <w:rsid w:val="51EE0B2B"/>
    <w:rsid w:val="51F11080"/>
    <w:rsid w:val="51F15F26"/>
    <w:rsid w:val="520706EB"/>
    <w:rsid w:val="520D4383"/>
    <w:rsid w:val="521045FE"/>
    <w:rsid w:val="52534816"/>
    <w:rsid w:val="52634928"/>
    <w:rsid w:val="52A82A88"/>
    <w:rsid w:val="52E2243E"/>
    <w:rsid w:val="52EC7111"/>
    <w:rsid w:val="531F4D0B"/>
    <w:rsid w:val="53277999"/>
    <w:rsid w:val="53311071"/>
    <w:rsid w:val="53353269"/>
    <w:rsid w:val="536746F1"/>
    <w:rsid w:val="53764934"/>
    <w:rsid w:val="53A35FB7"/>
    <w:rsid w:val="53AD37B8"/>
    <w:rsid w:val="53BF0089"/>
    <w:rsid w:val="53C80FD0"/>
    <w:rsid w:val="53E30294"/>
    <w:rsid w:val="53E7346C"/>
    <w:rsid w:val="54104D89"/>
    <w:rsid w:val="54442C85"/>
    <w:rsid w:val="544B3A05"/>
    <w:rsid w:val="54544D62"/>
    <w:rsid w:val="54647646"/>
    <w:rsid w:val="546F681F"/>
    <w:rsid w:val="5472334E"/>
    <w:rsid w:val="549269FE"/>
    <w:rsid w:val="54A86D6F"/>
    <w:rsid w:val="54C1312A"/>
    <w:rsid w:val="550A5C7C"/>
    <w:rsid w:val="550F1330"/>
    <w:rsid w:val="552F23E0"/>
    <w:rsid w:val="556829A3"/>
    <w:rsid w:val="55782BE6"/>
    <w:rsid w:val="557E5D22"/>
    <w:rsid w:val="559519EA"/>
    <w:rsid w:val="559F4616"/>
    <w:rsid w:val="55B160F8"/>
    <w:rsid w:val="55B24DAF"/>
    <w:rsid w:val="55B415BA"/>
    <w:rsid w:val="55D46448"/>
    <w:rsid w:val="55FB7373"/>
    <w:rsid w:val="560E3442"/>
    <w:rsid w:val="56111251"/>
    <w:rsid w:val="56193729"/>
    <w:rsid w:val="561D3630"/>
    <w:rsid w:val="56252ADC"/>
    <w:rsid w:val="56327239"/>
    <w:rsid w:val="56426E9F"/>
    <w:rsid w:val="564725B8"/>
    <w:rsid w:val="56652099"/>
    <w:rsid w:val="56680EAC"/>
    <w:rsid w:val="566C6391"/>
    <w:rsid w:val="566D353C"/>
    <w:rsid w:val="569B3338"/>
    <w:rsid w:val="569F5FA6"/>
    <w:rsid w:val="56E542AB"/>
    <w:rsid w:val="56F269C8"/>
    <w:rsid w:val="573B7755"/>
    <w:rsid w:val="574E777D"/>
    <w:rsid w:val="576176AA"/>
    <w:rsid w:val="5765355C"/>
    <w:rsid w:val="57690BD0"/>
    <w:rsid w:val="576D56CE"/>
    <w:rsid w:val="578A4E52"/>
    <w:rsid w:val="57BE68AA"/>
    <w:rsid w:val="57CA1153"/>
    <w:rsid w:val="58460B49"/>
    <w:rsid w:val="584A495B"/>
    <w:rsid w:val="586675E4"/>
    <w:rsid w:val="58947716"/>
    <w:rsid w:val="58A2567F"/>
    <w:rsid w:val="58B66C06"/>
    <w:rsid w:val="58D345D7"/>
    <w:rsid w:val="58E11CEA"/>
    <w:rsid w:val="58FE1654"/>
    <w:rsid w:val="59152645"/>
    <w:rsid w:val="591F4A55"/>
    <w:rsid w:val="59225782"/>
    <w:rsid w:val="59407EBE"/>
    <w:rsid w:val="59495785"/>
    <w:rsid w:val="5971572E"/>
    <w:rsid w:val="59804D23"/>
    <w:rsid w:val="59816B33"/>
    <w:rsid w:val="598A113A"/>
    <w:rsid w:val="59BE5287"/>
    <w:rsid w:val="59BF67D8"/>
    <w:rsid w:val="59BF6E54"/>
    <w:rsid w:val="59C96098"/>
    <w:rsid w:val="59CD22DC"/>
    <w:rsid w:val="5A132EDD"/>
    <w:rsid w:val="5A2F2D66"/>
    <w:rsid w:val="5A470DD9"/>
    <w:rsid w:val="5A9467BF"/>
    <w:rsid w:val="5AAE69DB"/>
    <w:rsid w:val="5AC261B4"/>
    <w:rsid w:val="5AE605F2"/>
    <w:rsid w:val="5AEC0684"/>
    <w:rsid w:val="5AF0582F"/>
    <w:rsid w:val="5B1B6AA6"/>
    <w:rsid w:val="5B224E28"/>
    <w:rsid w:val="5B513FD0"/>
    <w:rsid w:val="5B9C02BE"/>
    <w:rsid w:val="5BA529F7"/>
    <w:rsid w:val="5BAD110F"/>
    <w:rsid w:val="5BAF7B56"/>
    <w:rsid w:val="5BE2525D"/>
    <w:rsid w:val="5BF611E3"/>
    <w:rsid w:val="5C0E6052"/>
    <w:rsid w:val="5C313AEE"/>
    <w:rsid w:val="5C34538D"/>
    <w:rsid w:val="5C6A5252"/>
    <w:rsid w:val="5C7D4F86"/>
    <w:rsid w:val="5C86208C"/>
    <w:rsid w:val="5CAC7619"/>
    <w:rsid w:val="5CE70651"/>
    <w:rsid w:val="5D072AA1"/>
    <w:rsid w:val="5D1256CE"/>
    <w:rsid w:val="5D211242"/>
    <w:rsid w:val="5D2B49E2"/>
    <w:rsid w:val="5D43255E"/>
    <w:rsid w:val="5D52665C"/>
    <w:rsid w:val="5D6B5D58"/>
    <w:rsid w:val="5D7C18C6"/>
    <w:rsid w:val="5D902A97"/>
    <w:rsid w:val="5D916BB6"/>
    <w:rsid w:val="5DC32E6C"/>
    <w:rsid w:val="5DD230AF"/>
    <w:rsid w:val="5DE3467B"/>
    <w:rsid w:val="5E000678"/>
    <w:rsid w:val="5E122343"/>
    <w:rsid w:val="5E443FAD"/>
    <w:rsid w:val="5E46467A"/>
    <w:rsid w:val="5E9F11E3"/>
    <w:rsid w:val="5EB639EA"/>
    <w:rsid w:val="5EFB7711"/>
    <w:rsid w:val="5F0537AA"/>
    <w:rsid w:val="5F1267B5"/>
    <w:rsid w:val="5F2B3E04"/>
    <w:rsid w:val="5F4A1A8C"/>
    <w:rsid w:val="5F760F40"/>
    <w:rsid w:val="5F9D55F5"/>
    <w:rsid w:val="5FC92290"/>
    <w:rsid w:val="5FD9212E"/>
    <w:rsid w:val="5FFF5CB2"/>
    <w:rsid w:val="600532C8"/>
    <w:rsid w:val="606242F6"/>
    <w:rsid w:val="60673F83"/>
    <w:rsid w:val="606E1F64"/>
    <w:rsid w:val="60CE0B25"/>
    <w:rsid w:val="60EA6962"/>
    <w:rsid w:val="61113EEE"/>
    <w:rsid w:val="611A5C9C"/>
    <w:rsid w:val="611B4D6D"/>
    <w:rsid w:val="613320B7"/>
    <w:rsid w:val="61365DD1"/>
    <w:rsid w:val="61555832"/>
    <w:rsid w:val="6194560C"/>
    <w:rsid w:val="619C4100"/>
    <w:rsid w:val="61A30FEA"/>
    <w:rsid w:val="61B521D7"/>
    <w:rsid w:val="61CC1C6F"/>
    <w:rsid w:val="61D36977"/>
    <w:rsid w:val="61D5316E"/>
    <w:rsid w:val="61DB6D9C"/>
    <w:rsid w:val="61F55EDE"/>
    <w:rsid w:val="622765CB"/>
    <w:rsid w:val="623C3CCB"/>
    <w:rsid w:val="627163CB"/>
    <w:rsid w:val="6277131B"/>
    <w:rsid w:val="62894736"/>
    <w:rsid w:val="62A274F4"/>
    <w:rsid w:val="62A72D5C"/>
    <w:rsid w:val="62BA7FE2"/>
    <w:rsid w:val="62DC02C2"/>
    <w:rsid w:val="63064CA7"/>
    <w:rsid w:val="632E6FDA"/>
    <w:rsid w:val="6348404C"/>
    <w:rsid w:val="635D5082"/>
    <w:rsid w:val="637644DD"/>
    <w:rsid w:val="637C7D45"/>
    <w:rsid w:val="63950E07"/>
    <w:rsid w:val="63964B41"/>
    <w:rsid w:val="63CD05A1"/>
    <w:rsid w:val="63F7707B"/>
    <w:rsid w:val="640A50B9"/>
    <w:rsid w:val="640C717D"/>
    <w:rsid w:val="640D27B1"/>
    <w:rsid w:val="6410048D"/>
    <w:rsid w:val="643C5C9E"/>
    <w:rsid w:val="64487C27"/>
    <w:rsid w:val="647C3D75"/>
    <w:rsid w:val="648570CD"/>
    <w:rsid w:val="64966BE4"/>
    <w:rsid w:val="649E3CEB"/>
    <w:rsid w:val="64A37553"/>
    <w:rsid w:val="64AD03D2"/>
    <w:rsid w:val="64B66E59"/>
    <w:rsid w:val="64CC5E52"/>
    <w:rsid w:val="64FB015D"/>
    <w:rsid w:val="650F4B9B"/>
    <w:rsid w:val="654E657D"/>
    <w:rsid w:val="657C753B"/>
    <w:rsid w:val="65864EAB"/>
    <w:rsid w:val="65AC2438"/>
    <w:rsid w:val="65B12E03"/>
    <w:rsid w:val="65B768E4"/>
    <w:rsid w:val="65BF216B"/>
    <w:rsid w:val="65C57872"/>
    <w:rsid w:val="65CE23AE"/>
    <w:rsid w:val="65DA0D53"/>
    <w:rsid w:val="66042274"/>
    <w:rsid w:val="66043DF1"/>
    <w:rsid w:val="6614083B"/>
    <w:rsid w:val="661D46CA"/>
    <w:rsid w:val="662A2677"/>
    <w:rsid w:val="667B0788"/>
    <w:rsid w:val="6683390E"/>
    <w:rsid w:val="66887A48"/>
    <w:rsid w:val="66B94E0C"/>
    <w:rsid w:val="66BB1AFB"/>
    <w:rsid w:val="66C8643E"/>
    <w:rsid w:val="66CA0DC7"/>
    <w:rsid w:val="66F0707E"/>
    <w:rsid w:val="66F95B50"/>
    <w:rsid w:val="673D6A15"/>
    <w:rsid w:val="6759039D"/>
    <w:rsid w:val="676B07FC"/>
    <w:rsid w:val="67700EDC"/>
    <w:rsid w:val="67706F92"/>
    <w:rsid w:val="67960780"/>
    <w:rsid w:val="6796339F"/>
    <w:rsid w:val="67B304D6"/>
    <w:rsid w:val="67BB2DBB"/>
    <w:rsid w:val="67E87B2D"/>
    <w:rsid w:val="67EC2FBF"/>
    <w:rsid w:val="682E5386"/>
    <w:rsid w:val="683F57E5"/>
    <w:rsid w:val="68543842"/>
    <w:rsid w:val="68811712"/>
    <w:rsid w:val="688D47A2"/>
    <w:rsid w:val="689340DA"/>
    <w:rsid w:val="68CA7F89"/>
    <w:rsid w:val="68CD623B"/>
    <w:rsid w:val="68FD36D6"/>
    <w:rsid w:val="69390F60"/>
    <w:rsid w:val="69414B7B"/>
    <w:rsid w:val="694D7A8E"/>
    <w:rsid w:val="69562DE6"/>
    <w:rsid w:val="69575FEB"/>
    <w:rsid w:val="696012B6"/>
    <w:rsid w:val="69642093"/>
    <w:rsid w:val="69794D27"/>
    <w:rsid w:val="69BD2E65"/>
    <w:rsid w:val="69CA6B08"/>
    <w:rsid w:val="69E95A08"/>
    <w:rsid w:val="6A042666"/>
    <w:rsid w:val="6A9736F0"/>
    <w:rsid w:val="6AB26742"/>
    <w:rsid w:val="6ABE0C43"/>
    <w:rsid w:val="6AEA7C8A"/>
    <w:rsid w:val="6AF97ECD"/>
    <w:rsid w:val="6B544828"/>
    <w:rsid w:val="6B680BAF"/>
    <w:rsid w:val="6B6C68F1"/>
    <w:rsid w:val="6B910766"/>
    <w:rsid w:val="6B924279"/>
    <w:rsid w:val="6BA17D14"/>
    <w:rsid w:val="6BCC55E2"/>
    <w:rsid w:val="6BE41292"/>
    <w:rsid w:val="6BF43D6E"/>
    <w:rsid w:val="6BFC52C3"/>
    <w:rsid w:val="6C181BE1"/>
    <w:rsid w:val="6C1D5E3D"/>
    <w:rsid w:val="6C3A781B"/>
    <w:rsid w:val="6C4A5912"/>
    <w:rsid w:val="6C7964CA"/>
    <w:rsid w:val="6C7D068A"/>
    <w:rsid w:val="6C830396"/>
    <w:rsid w:val="6C884442"/>
    <w:rsid w:val="6CF25FA0"/>
    <w:rsid w:val="6CF3436B"/>
    <w:rsid w:val="6CF51DF9"/>
    <w:rsid w:val="6CFC61C3"/>
    <w:rsid w:val="6D5B6316"/>
    <w:rsid w:val="6D77157D"/>
    <w:rsid w:val="6D805125"/>
    <w:rsid w:val="6D9143ED"/>
    <w:rsid w:val="6D920165"/>
    <w:rsid w:val="6DA274AF"/>
    <w:rsid w:val="6DC40A12"/>
    <w:rsid w:val="6DC74A88"/>
    <w:rsid w:val="6DDD7C5D"/>
    <w:rsid w:val="6DEA2117"/>
    <w:rsid w:val="6E033707"/>
    <w:rsid w:val="6E0C4C5F"/>
    <w:rsid w:val="6E113780"/>
    <w:rsid w:val="6E2178BF"/>
    <w:rsid w:val="6E2F6525"/>
    <w:rsid w:val="6E2F70A0"/>
    <w:rsid w:val="6E3A0E77"/>
    <w:rsid w:val="6E510B93"/>
    <w:rsid w:val="6E6C4C84"/>
    <w:rsid w:val="6E77591A"/>
    <w:rsid w:val="6E8C1058"/>
    <w:rsid w:val="6E9D6C45"/>
    <w:rsid w:val="6E9E14B7"/>
    <w:rsid w:val="6EB41B81"/>
    <w:rsid w:val="6EBF142E"/>
    <w:rsid w:val="6ED04F08"/>
    <w:rsid w:val="6EFC4430"/>
    <w:rsid w:val="6F0F5F11"/>
    <w:rsid w:val="6F120DB6"/>
    <w:rsid w:val="6F2946DA"/>
    <w:rsid w:val="6F550DE0"/>
    <w:rsid w:val="6F7915DC"/>
    <w:rsid w:val="6F7944CA"/>
    <w:rsid w:val="6FA41D19"/>
    <w:rsid w:val="6FB97C2B"/>
    <w:rsid w:val="6FBC7DD6"/>
    <w:rsid w:val="6FD1766A"/>
    <w:rsid w:val="70294E19"/>
    <w:rsid w:val="70455963"/>
    <w:rsid w:val="70651B61"/>
    <w:rsid w:val="70700C31"/>
    <w:rsid w:val="707443AD"/>
    <w:rsid w:val="70990122"/>
    <w:rsid w:val="709A5A59"/>
    <w:rsid w:val="70AD603D"/>
    <w:rsid w:val="70C60851"/>
    <w:rsid w:val="70C745CA"/>
    <w:rsid w:val="70D00980"/>
    <w:rsid w:val="70E51DA8"/>
    <w:rsid w:val="710E21F8"/>
    <w:rsid w:val="71213150"/>
    <w:rsid w:val="712D267F"/>
    <w:rsid w:val="712F47EA"/>
    <w:rsid w:val="713C6679"/>
    <w:rsid w:val="714802B0"/>
    <w:rsid w:val="714B6FA9"/>
    <w:rsid w:val="71812600"/>
    <w:rsid w:val="71815614"/>
    <w:rsid w:val="71946BA2"/>
    <w:rsid w:val="719C15B2"/>
    <w:rsid w:val="71A843FB"/>
    <w:rsid w:val="71AB214F"/>
    <w:rsid w:val="71BF3A88"/>
    <w:rsid w:val="71D82792"/>
    <w:rsid w:val="71E611A4"/>
    <w:rsid w:val="71F94EA8"/>
    <w:rsid w:val="721E450C"/>
    <w:rsid w:val="7262278F"/>
    <w:rsid w:val="729606F7"/>
    <w:rsid w:val="72EF6671"/>
    <w:rsid w:val="730C2768"/>
    <w:rsid w:val="7329331A"/>
    <w:rsid w:val="732A300A"/>
    <w:rsid w:val="73530396"/>
    <w:rsid w:val="73A429A0"/>
    <w:rsid w:val="73BE1CB4"/>
    <w:rsid w:val="73C74B5F"/>
    <w:rsid w:val="73D85A6B"/>
    <w:rsid w:val="74003100"/>
    <w:rsid w:val="745D771F"/>
    <w:rsid w:val="74AE1D28"/>
    <w:rsid w:val="74C2331D"/>
    <w:rsid w:val="74CF1255"/>
    <w:rsid w:val="74D05A6E"/>
    <w:rsid w:val="74E7523A"/>
    <w:rsid w:val="74FB54A4"/>
    <w:rsid w:val="74FE7ABF"/>
    <w:rsid w:val="751610E2"/>
    <w:rsid w:val="751A7B05"/>
    <w:rsid w:val="751C63E4"/>
    <w:rsid w:val="75475CD9"/>
    <w:rsid w:val="75611CC1"/>
    <w:rsid w:val="757100A2"/>
    <w:rsid w:val="759233F8"/>
    <w:rsid w:val="759622C6"/>
    <w:rsid w:val="75B9544D"/>
    <w:rsid w:val="75D25EEA"/>
    <w:rsid w:val="75DD731F"/>
    <w:rsid w:val="763D5EC9"/>
    <w:rsid w:val="766641C7"/>
    <w:rsid w:val="766656C3"/>
    <w:rsid w:val="766823AB"/>
    <w:rsid w:val="767B3E8C"/>
    <w:rsid w:val="768014A2"/>
    <w:rsid w:val="768D4B1F"/>
    <w:rsid w:val="76B352F7"/>
    <w:rsid w:val="76C22210"/>
    <w:rsid w:val="76F13A08"/>
    <w:rsid w:val="77120FDD"/>
    <w:rsid w:val="775C2950"/>
    <w:rsid w:val="775D3592"/>
    <w:rsid w:val="77610F13"/>
    <w:rsid w:val="776B3787"/>
    <w:rsid w:val="77894387"/>
    <w:rsid w:val="778C37F8"/>
    <w:rsid w:val="77903967"/>
    <w:rsid w:val="779D7E32"/>
    <w:rsid w:val="77B12E34"/>
    <w:rsid w:val="77C11D73"/>
    <w:rsid w:val="77CA451A"/>
    <w:rsid w:val="77D2720E"/>
    <w:rsid w:val="77D46CD2"/>
    <w:rsid w:val="77D83D50"/>
    <w:rsid w:val="77F50340"/>
    <w:rsid w:val="77FA34D6"/>
    <w:rsid w:val="78040166"/>
    <w:rsid w:val="78056103"/>
    <w:rsid w:val="780F6F82"/>
    <w:rsid w:val="781D0CC1"/>
    <w:rsid w:val="7823193A"/>
    <w:rsid w:val="782E61C7"/>
    <w:rsid w:val="7836235A"/>
    <w:rsid w:val="783B33E4"/>
    <w:rsid w:val="78534B66"/>
    <w:rsid w:val="787B0197"/>
    <w:rsid w:val="787E1A12"/>
    <w:rsid w:val="788334CC"/>
    <w:rsid w:val="78A00DCC"/>
    <w:rsid w:val="78BE10F6"/>
    <w:rsid w:val="78BF6934"/>
    <w:rsid w:val="78C25DA2"/>
    <w:rsid w:val="78D43D28"/>
    <w:rsid w:val="78D51E71"/>
    <w:rsid w:val="78F7033D"/>
    <w:rsid w:val="78FD502C"/>
    <w:rsid w:val="7918266E"/>
    <w:rsid w:val="792275BE"/>
    <w:rsid w:val="794672BF"/>
    <w:rsid w:val="79532E9E"/>
    <w:rsid w:val="797A5F8B"/>
    <w:rsid w:val="798412AA"/>
    <w:rsid w:val="7A100D8F"/>
    <w:rsid w:val="7A236D15"/>
    <w:rsid w:val="7A3C1D44"/>
    <w:rsid w:val="7A48596E"/>
    <w:rsid w:val="7A717A45"/>
    <w:rsid w:val="7A8B158A"/>
    <w:rsid w:val="7AA7568D"/>
    <w:rsid w:val="7ADD5362"/>
    <w:rsid w:val="7ADE7065"/>
    <w:rsid w:val="7B1A0118"/>
    <w:rsid w:val="7B241E85"/>
    <w:rsid w:val="7B346CFF"/>
    <w:rsid w:val="7B580C40"/>
    <w:rsid w:val="7B6205F9"/>
    <w:rsid w:val="7B62386D"/>
    <w:rsid w:val="7B6E2211"/>
    <w:rsid w:val="7BCB0CFD"/>
    <w:rsid w:val="7BD217F3"/>
    <w:rsid w:val="7BD302C6"/>
    <w:rsid w:val="7BDE3C02"/>
    <w:rsid w:val="7C1E55AD"/>
    <w:rsid w:val="7C277454"/>
    <w:rsid w:val="7C594C70"/>
    <w:rsid w:val="7C7C270C"/>
    <w:rsid w:val="7C85264B"/>
    <w:rsid w:val="7CB63E70"/>
    <w:rsid w:val="7CC266CE"/>
    <w:rsid w:val="7CC76395"/>
    <w:rsid w:val="7D00333D"/>
    <w:rsid w:val="7D3426D0"/>
    <w:rsid w:val="7D5316BF"/>
    <w:rsid w:val="7D5471E5"/>
    <w:rsid w:val="7D7A30EF"/>
    <w:rsid w:val="7D7D2BE0"/>
    <w:rsid w:val="7D906276"/>
    <w:rsid w:val="7D9D293A"/>
    <w:rsid w:val="7DB41364"/>
    <w:rsid w:val="7E1E7F1F"/>
    <w:rsid w:val="7E2A0056"/>
    <w:rsid w:val="7E2F667A"/>
    <w:rsid w:val="7E31555B"/>
    <w:rsid w:val="7E321E60"/>
    <w:rsid w:val="7E493D4F"/>
    <w:rsid w:val="7E5356EF"/>
    <w:rsid w:val="7E916B3D"/>
    <w:rsid w:val="7E991353"/>
    <w:rsid w:val="7E9B65C0"/>
    <w:rsid w:val="7EA321D2"/>
    <w:rsid w:val="7EA95725"/>
    <w:rsid w:val="7F1205F3"/>
    <w:rsid w:val="7F5F640D"/>
    <w:rsid w:val="7F69341C"/>
    <w:rsid w:val="7F6B3277"/>
    <w:rsid w:val="7F7C3A97"/>
    <w:rsid w:val="7F8F2756"/>
    <w:rsid w:val="7FFA6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spacing w:line="374" w:lineRule="auto"/>
      <w:outlineLvl w:val="3"/>
    </w:pPr>
    <w:rPr>
      <w:rFonts w:ascii="Arial" w:hAnsi="Arial"/>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next w:val="9"/>
    <w:qFormat/>
    <w:uiPriority w:val="0"/>
    <w:rPr>
      <w:rFonts w:ascii="宋体" w:hAnsi="Courier New"/>
      <w:szCs w:val="20"/>
    </w:rPr>
  </w:style>
  <w:style w:type="paragraph" w:customStyle="1" w:styleId="9">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Body Text 2"/>
    <w:basedOn w:val="1"/>
    <w:next w:val="6"/>
    <w:qFormat/>
    <w:uiPriority w:val="0"/>
    <w:pPr>
      <w:spacing w:line="500" w:lineRule="exact"/>
    </w:pPr>
    <w:rPr>
      <w:rFonts w:ascii="宋体"/>
      <w:sz w:val="24"/>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w:basedOn w:val="6"/>
    <w:qFormat/>
    <w:uiPriority w:val="99"/>
    <w:pPr>
      <w:spacing w:line="240" w:lineRule="auto"/>
      <w:ind w:firstLine="420" w:firstLineChars="100"/>
    </w:pPr>
    <w:rPr>
      <w:rFonts w:ascii="Times New Roman" w:cs="Times New Roman"/>
      <w:sz w:val="20"/>
      <w:szCs w:val="2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FollowedHyperlink"/>
    <w:basedOn w:val="18"/>
    <w:qFormat/>
    <w:uiPriority w:val="0"/>
    <w:rPr>
      <w:color w:val="333333"/>
      <w:u w:val="none"/>
    </w:rPr>
  </w:style>
  <w:style w:type="character" w:styleId="21">
    <w:name w:val="Emphasis"/>
    <w:basedOn w:val="18"/>
    <w:qFormat/>
    <w:uiPriority w:val="0"/>
    <w:rPr>
      <w:i/>
    </w:rPr>
  </w:style>
  <w:style w:type="character" w:styleId="22">
    <w:name w:val="HTML Variable"/>
    <w:basedOn w:val="18"/>
    <w:qFormat/>
    <w:uiPriority w:val="0"/>
    <w:rPr>
      <w:i/>
    </w:rPr>
  </w:style>
  <w:style w:type="character" w:styleId="23">
    <w:name w:val="Hyperlink"/>
    <w:basedOn w:val="18"/>
    <w:qFormat/>
    <w:uiPriority w:val="0"/>
    <w:rPr>
      <w:color w:val="333333"/>
      <w:u w:val="none"/>
    </w:rPr>
  </w:style>
  <w:style w:type="character" w:styleId="24">
    <w:name w:val="HTML Code"/>
    <w:basedOn w:val="18"/>
    <w:qFormat/>
    <w:uiPriority w:val="0"/>
    <w:rPr>
      <w:rFonts w:ascii="Courier New" w:hAnsi="Courier New"/>
      <w:sz w:val="20"/>
    </w:rPr>
  </w:style>
  <w:style w:type="character" w:styleId="25">
    <w:name w:val="HTML Cite"/>
    <w:basedOn w:val="18"/>
    <w:qFormat/>
    <w:uiPriority w:val="0"/>
    <w:rPr>
      <w:i/>
    </w:rPr>
  </w:style>
  <w:style w:type="paragraph" w:customStyle="1" w:styleId="26">
    <w:name w:val="样式 宋体 行距: 1.5 倍行距"/>
    <w:next w:val="1"/>
    <w:qFormat/>
    <w:uiPriority w:val="99"/>
    <w:pPr>
      <w:widowControl w:val="0"/>
      <w:jc w:val="center"/>
    </w:pPr>
    <w:rPr>
      <w:rFonts w:ascii="Times New Roman" w:hAnsi="Calibri" w:eastAsia="宋体" w:cs="Times New Roman"/>
      <w:b/>
      <w:bCs/>
      <w:kern w:val="2"/>
      <w:sz w:val="21"/>
      <w:szCs w:val="24"/>
      <w:lang w:val="en-US" w:eastAsia="zh-CN" w:bidi="ar-SA"/>
    </w:rPr>
  </w:style>
  <w:style w:type="paragraph" w:customStyle="1" w:styleId="27">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8">
    <w:name w:val="NormalCharacter"/>
    <w:qFormat/>
    <w:uiPriority w:val="99"/>
  </w:style>
  <w:style w:type="paragraph" w:customStyle="1" w:styleId="29">
    <w:name w:val="Table Text"/>
    <w:basedOn w:val="1"/>
    <w:semiHidden/>
    <w:qFormat/>
    <w:uiPriority w:val="0"/>
    <w:rPr>
      <w:rFonts w:ascii="Arial" w:hAnsi="Arial" w:eastAsia="Arial" w:cs="Arial"/>
      <w:sz w:val="21"/>
      <w:szCs w:val="21"/>
      <w:lang w:val="en-US" w:eastAsia="en-US" w:bidi="ar-SA"/>
    </w:rPr>
  </w:style>
  <w:style w:type="paragraph" w:customStyle="1" w:styleId="3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缩进1"/>
    <w:basedOn w:val="1"/>
    <w:qFormat/>
    <w:uiPriority w:val="0"/>
    <w:pPr>
      <w:widowControl/>
      <w:ind w:firstLine="420"/>
      <w:jc w:val="left"/>
    </w:pPr>
    <w:rPr>
      <w:kern w:val="0"/>
    </w:rPr>
  </w:style>
  <w:style w:type="paragraph" w:customStyle="1" w:styleId="32">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Heading2"/>
    <w:basedOn w:val="1"/>
    <w:next w:val="1"/>
    <w:qFormat/>
    <w:uiPriority w:val="99"/>
    <w:pPr>
      <w:jc w:val="left"/>
    </w:pPr>
    <w:rPr>
      <w:kern w:val="0"/>
    </w:rPr>
  </w:style>
  <w:style w:type="paragraph" w:customStyle="1" w:styleId="38">
    <w:name w:val="AnnotationText"/>
    <w:basedOn w:val="1"/>
    <w:qFormat/>
    <w:uiPriority w:val="99"/>
    <w:pPr>
      <w:spacing w:line="360" w:lineRule="atLeast"/>
      <w:jc w:val="left"/>
    </w:pPr>
    <w:rPr>
      <w:kern w:val="0"/>
    </w:rPr>
  </w:style>
  <w:style w:type="paragraph" w:customStyle="1" w:styleId="39">
    <w:name w:val="UserStyle_44"/>
    <w:basedOn w:val="40"/>
    <w:qFormat/>
    <w:uiPriority w:val="99"/>
    <w:rPr>
      <w:sz w:val="24"/>
      <w:szCs w:val="24"/>
    </w:rPr>
  </w:style>
  <w:style w:type="paragraph" w:customStyle="1" w:styleId="40">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41">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3">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44">
    <w:name w:val="BodyText"/>
    <w:basedOn w:val="1"/>
    <w:next w:val="45"/>
    <w:qFormat/>
    <w:uiPriority w:val="99"/>
    <w:pPr>
      <w:spacing w:after="120"/>
    </w:pPr>
  </w:style>
  <w:style w:type="paragraph" w:customStyle="1" w:styleId="45">
    <w:name w:val="BodyText2"/>
    <w:basedOn w:val="1"/>
    <w:qFormat/>
    <w:uiPriority w:val="99"/>
    <w:pPr>
      <w:spacing w:line="500" w:lineRule="exact"/>
    </w:pPr>
  </w:style>
  <w:style w:type="paragraph" w:customStyle="1" w:styleId="46">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正文缩进 New"/>
    <w:basedOn w:val="48"/>
    <w:qFormat/>
    <w:uiPriority w:val="0"/>
    <w:pPr>
      <w:widowControl/>
      <w:ind w:firstLine="420"/>
      <w:jc w:val="left"/>
    </w:pPr>
    <w:rPr>
      <w:kern w:val="0"/>
      <w:sz w:val="20"/>
    </w:rPr>
  </w:style>
  <w:style w:type="paragraph" w:customStyle="1" w:styleId="48">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9">
    <w:name w:val="正文文本 (2) + 间距 0 pt3"/>
    <w:basedOn w:val="18"/>
    <w:qFormat/>
    <w:uiPriority w:val="0"/>
    <w:rPr>
      <w:rFonts w:ascii="MingLiU" w:hAnsi="Times New Roman" w:eastAsia="MingLiU" w:cs="MingLiU"/>
      <w:spacing w:val="0"/>
      <w:sz w:val="22"/>
      <w:szCs w:val="22"/>
      <w:u w:val="none"/>
    </w:rPr>
  </w:style>
  <w:style w:type="character" w:customStyle="1" w:styleId="50">
    <w:name w:val="hover21"/>
    <w:basedOn w:val="18"/>
    <w:qFormat/>
    <w:uiPriority w:val="0"/>
    <w:rPr>
      <w:color w:val="5FB878"/>
    </w:rPr>
  </w:style>
  <w:style w:type="character" w:customStyle="1" w:styleId="51">
    <w:name w:val="hover22"/>
    <w:basedOn w:val="18"/>
    <w:qFormat/>
    <w:uiPriority w:val="0"/>
    <w:rPr>
      <w:color w:val="FFFFFF"/>
    </w:rPr>
  </w:style>
  <w:style w:type="character" w:customStyle="1" w:styleId="52">
    <w:name w:val="hover23"/>
    <w:basedOn w:val="18"/>
    <w:qFormat/>
    <w:uiPriority w:val="0"/>
    <w:rPr>
      <w:color w:val="5FB878"/>
    </w:rPr>
  </w:style>
  <w:style w:type="paragraph" w:customStyle="1" w:styleId="5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6"/>
    <w:qFormat/>
    <w:uiPriority w:val="0"/>
    <w:pPr>
      <w:widowControl w:val="0"/>
      <w:jc w:val="both"/>
    </w:pPr>
    <w:rPr>
      <w:rFonts w:ascii="Calibri" w:hAnsi="Calibri" w:eastAsia="宋体" w:cs="黑体"/>
      <w:kern w:val="2"/>
      <w:sz w:val="21"/>
      <w:szCs w:val="24"/>
      <w:lang w:val="en-US" w:eastAsia="zh-CN" w:bidi="ar-SA"/>
    </w:rPr>
  </w:style>
  <w:style w:type="paragraph" w:customStyle="1" w:styleId="54">
    <w:name w:val="UserStyle_76"/>
    <w:qFormat/>
    <w:uiPriority w:val="99"/>
    <w:pPr>
      <w:spacing w:line="360" w:lineRule="auto"/>
      <w:ind w:firstLine="420"/>
      <w:jc w:val="left"/>
      <w:textAlignment w:val="baseline"/>
    </w:pPr>
    <w:rPr>
      <w:rFonts w:ascii="宋体" w:hAnsi="Times New Roman" w:eastAsia="宋体" w:cs="宋体"/>
      <w:kern w:val="0"/>
      <w:sz w:val="20"/>
      <w:szCs w:val="20"/>
      <w:lang w:val="en-US" w:eastAsia="zh-CN" w:bidi="ar-SA"/>
    </w:rPr>
  </w:style>
  <w:style w:type="paragraph" w:customStyle="1" w:styleId="55">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3" Type="http://schemas.microsoft.com/office/2011/relationships/people" Target="people.xml"/><Relationship Id="rId62" Type="http://schemas.openxmlformats.org/officeDocument/2006/relationships/fontTable" Target="fontTable.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header" Target="header2.xml"/><Relationship Id="rId59" Type="http://schemas.openxmlformats.org/officeDocument/2006/relationships/image" Target="media/image17.png"/><Relationship Id="rId58" Type="http://schemas.openxmlformats.org/officeDocument/2006/relationships/image" Target="media/image16.jpeg"/><Relationship Id="rId57" Type="http://schemas.openxmlformats.org/officeDocument/2006/relationships/image" Target="media/image15.png"/><Relationship Id="rId56" Type="http://schemas.openxmlformats.org/officeDocument/2006/relationships/image" Target="media/image14.png"/><Relationship Id="rId55" Type="http://schemas.openxmlformats.org/officeDocument/2006/relationships/image" Target="media/image13.wmf"/><Relationship Id="rId54" Type="http://schemas.openxmlformats.org/officeDocument/2006/relationships/oleObject" Target="embeddings/oleObject12.bin"/><Relationship Id="rId53" Type="http://schemas.openxmlformats.org/officeDocument/2006/relationships/image" Target="media/image12.wmf"/><Relationship Id="rId52" Type="http://schemas.openxmlformats.org/officeDocument/2006/relationships/oleObject" Target="embeddings/oleObject11.bin"/><Relationship Id="rId51" Type="http://schemas.openxmlformats.org/officeDocument/2006/relationships/image" Target="media/image11.wmf"/><Relationship Id="rId50" Type="http://schemas.openxmlformats.org/officeDocument/2006/relationships/oleObject" Target="embeddings/oleObject10.bin"/><Relationship Id="rId5" Type="http://schemas.openxmlformats.org/officeDocument/2006/relationships/header" Target="header1.xml"/><Relationship Id="rId49" Type="http://schemas.openxmlformats.org/officeDocument/2006/relationships/image" Target="media/image10.wmf"/><Relationship Id="rId48" Type="http://schemas.openxmlformats.org/officeDocument/2006/relationships/oleObject" Target="embeddings/oleObject9.bin"/><Relationship Id="rId47" Type="http://schemas.openxmlformats.org/officeDocument/2006/relationships/image" Target="media/image9.wmf"/><Relationship Id="rId46" Type="http://schemas.openxmlformats.org/officeDocument/2006/relationships/oleObject" Target="embeddings/oleObject8.bin"/><Relationship Id="rId45" Type="http://schemas.openxmlformats.org/officeDocument/2006/relationships/image" Target="media/image8.wmf"/><Relationship Id="rId44" Type="http://schemas.openxmlformats.org/officeDocument/2006/relationships/oleObject" Target="embeddings/oleObject7.bin"/><Relationship Id="rId43" Type="http://schemas.openxmlformats.org/officeDocument/2006/relationships/image" Target="media/image7.wmf"/><Relationship Id="rId42" Type="http://schemas.openxmlformats.org/officeDocument/2006/relationships/oleObject" Target="embeddings/oleObject6.bin"/><Relationship Id="rId41" Type="http://schemas.openxmlformats.org/officeDocument/2006/relationships/image" Target="media/image6.wmf"/><Relationship Id="rId40" Type="http://schemas.openxmlformats.org/officeDocument/2006/relationships/oleObject" Target="embeddings/oleObject5.bin"/><Relationship Id="rId4" Type="http://schemas.microsoft.com/office/2011/relationships/commentsExtended" Target="commentsExtended.xml"/><Relationship Id="rId39" Type="http://schemas.openxmlformats.org/officeDocument/2006/relationships/image" Target="media/image5.wmf"/><Relationship Id="rId38" Type="http://schemas.openxmlformats.org/officeDocument/2006/relationships/oleObject" Target="embeddings/oleObject4.bin"/><Relationship Id="rId37" Type="http://schemas.openxmlformats.org/officeDocument/2006/relationships/image" Target="media/image4.wmf"/><Relationship Id="rId36" Type="http://schemas.openxmlformats.org/officeDocument/2006/relationships/oleObject" Target="embeddings/oleObject3.bin"/><Relationship Id="rId35" Type="http://schemas.openxmlformats.org/officeDocument/2006/relationships/image" Target="media/image3.wmf"/><Relationship Id="rId34" Type="http://schemas.openxmlformats.org/officeDocument/2006/relationships/oleObject" Target="embeddings/oleObject2.bin"/><Relationship Id="rId33" Type="http://schemas.openxmlformats.org/officeDocument/2006/relationships/image" Target="media/image2.wmf"/><Relationship Id="rId32" Type="http://schemas.openxmlformats.org/officeDocument/2006/relationships/oleObject" Target="embeddings/oleObject1.bin"/><Relationship Id="rId31" Type="http://schemas.openxmlformats.org/officeDocument/2006/relationships/image" Target="media/image1.png"/><Relationship Id="rId30" Type="http://schemas.openxmlformats.org/officeDocument/2006/relationships/theme" Target="theme/theme1.xml"/><Relationship Id="rId3" Type="http://schemas.openxmlformats.org/officeDocument/2006/relationships/comments" Target="comments.xml"/><Relationship Id="rId29" Type="http://schemas.openxmlformats.org/officeDocument/2006/relationships/footer" Target="footer21.xml"/><Relationship Id="rId28" Type="http://schemas.openxmlformats.org/officeDocument/2006/relationships/footer" Target="footer20.xml"/><Relationship Id="rId27" Type="http://schemas.openxmlformats.org/officeDocument/2006/relationships/footer" Target="footer19.xml"/><Relationship Id="rId26" Type="http://schemas.openxmlformats.org/officeDocument/2006/relationships/footer" Target="footer18.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852</Words>
  <Characters>931</Characters>
  <Lines>0</Lines>
  <Paragraphs>0</Paragraphs>
  <TotalTime>94</TotalTime>
  <ScaleCrop>false</ScaleCrop>
  <LinksUpToDate>false</LinksUpToDate>
  <CharactersWithSpaces>1199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2024-09-28T04:36:00Z</dcterms:created>
  <dc:creator>Administrator</dc:creator>
  <cp:lastModifiedBy>WPS_1481086387</cp:lastModifiedBy>
  <cp:lastPrinted>2026-07-16T06:28:00Z</cp:lastPrinted>
  <dcterms:modified xsi:type="dcterms:W3CDTF">2026-07-20T03:36:12Z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92EB8457FB98442795D73563D4C13E5C_13</vt:lpwstr>
  </property>
  <property fmtid="{D5CDD505-2E9C-101B-9397-08002B2CF9AE}" pid="4" name="KSOTemplateDocerSaveRecord">
    <vt:lpwstr>eyJoZGlkIjoiNGJjNjJjMGVlYTViMGNhMTYzYTVlMTk2M2NhNTMxOTEiLCJ1c2VySWQiOiIyNTUzNTE1MTMifQ==</vt:lpwstr>
  </property>
</Properties>
</file>