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B883E8">
      <w:pPr>
        <w:pStyle w:val="141"/>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52"/>
          <w:szCs w:val="52"/>
          <w:highlight w:val="none"/>
        </w:rPr>
      </w:pPr>
      <w:r>
        <w:rPr>
          <w:rFonts w:hint="eastAsia" w:ascii="宋体" w:hAnsi="宋体" w:eastAsia="宋体" w:cs="宋体"/>
          <w:bCs/>
          <w:strike w:val="0"/>
          <w:dstrike w:val="0"/>
          <w:snapToGrid w:val="0"/>
          <w:color w:val="auto"/>
          <w:kern w:val="0"/>
          <w:sz w:val="48"/>
          <w:szCs w:val="24"/>
          <w:highlight w:val="none"/>
          <w:u w:val="single"/>
          <w:lang w:val="en-US" w:eastAsia="zh-CN"/>
        </w:rPr>
        <w:t>翁源县“百千万工程”之全域推进农村人居环境整治建设项目（龙仙镇第四批典型村人居环境整治建设项目）施工监理</w:t>
      </w:r>
    </w:p>
    <w:p w14:paraId="16EE0FA2">
      <w:pPr>
        <w:pStyle w:val="141"/>
        <w:wordWrap w:val="0"/>
        <w:adjustRightInd w:val="0"/>
        <w:snapToGrid w:val="0"/>
        <w:spacing w:line="360" w:lineRule="auto"/>
        <w:jc w:val="both"/>
        <w:outlineLvl w:val="9"/>
        <w:rPr>
          <w:rFonts w:hint="eastAsia" w:ascii="宋体" w:hAnsi="宋体" w:eastAsia="宋体" w:cs="宋体"/>
          <w:b/>
          <w:bCs/>
          <w:strike w:val="0"/>
          <w:dstrike w:val="0"/>
          <w:snapToGrid w:val="0"/>
          <w:color w:val="auto"/>
          <w:kern w:val="0"/>
          <w:sz w:val="72"/>
          <w:szCs w:val="72"/>
          <w:highlight w:val="none"/>
        </w:rPr>
      </w:pPr>
    </w:p>
    <w:p w14:paraId="2EB4FAAA">
      <w:pPr>
        <w:pStyle w:val="141"/>
        <w:wordWrap w:val="0"/>
        <w:adjustRightInd w:val="0"/>
        <w:snapToGrid w:val="0"/>
        <w:spacing w:line="360" w:lineRule="auto"/>
        <w:jc w:val="center"/>
        <w:outlineLvl w:val="9"/>
        <w:rPr>
          <w:rFonts w:hint="eastAsia" w:ascii="宋体" w:hAnsi="宋体" w:eastAsia="宋体" w:cs="宋体"/>
          <w:b/>
          <w:bCs/>
          <w:strike w:val="0"/>
          <w:dstrike w:val="0"/>
          <w:snapToGrid w:val="0"/>
          <w:color w:val="auto"/>
          <w:kern w:val="0"/>
          <w:sz w:val="48"/>
          <w:szCs w:val="48"/>
          <w:highlight w:val="none"/>
        </w:rPr>
      </w:pPr>
      <w:r>
        <w:rPr>
          <w:rFonts w:hint="eastAsia" w:ascii="宋体" w:hAnsi="宋体" w:eastAsia="宋体" w:cs="宋体"/>
          <w:b/>
          <w:bCs/>
          <w:strike w:val="0"/>
          <w:dstrike w:val="0"/>
          <w:snapToGrid w:val="0"/>
          <w:color w:val="auto"/>
          <w:kern w:val="0"/>
          <w:sz w:val="72"/>
          <w:szCs w:val="72"/>
          <w:highlight w:val="none"/>
        </w:rPr>
        <w:t>招标文件</w:t>
      </w:r>
    </w:p>
    <w:p w14:paraId="7D8EA86C">
      <w:pPr>
        <w:pStyle w:val="2"/>
        <w:rPr>
          <w:rFonts w:hint="eastAsia"/>
          <w:color w:val="auto"/>
          <w:highlight w:val="none"/>
        </w:rPr>
      </w:pPr>
    </w:p>
    <w:p w14:paraId="7F51B5BC">
      <w:pPr>
        <w:wordWrap w:val="0"/>
        <w:adjustRightInd w:val="0"/>
        <w:snapToGrid w:val="0"/>
        <w:jc w:val="center"/>
        <w:rPr>
          <w:rFonts w:hint="eastAsia" w:ascii="宋体" w:hAnsi="宋体" w:eastAsia="宋体" w:cs="宋体"/>
          <w:b/>
          <w:bCs/>
          <w:strike w:val="0"/>
          <w:dstrike w:val="0"/>
          <w:snapToGrid w:val="0"/>
          <w:color w:val="auto"/>
          <w:kern w:val="0"/>
          <w:sz w:val="48"/>
          <w:szCs w:val="48"/>
          <w:highlight w:val="none"/>
        </w:rPr>
      </w:pPr>
    </w:p>
    <w:tbl>
      <w:tblPr>
        <w:tblStyle w:val="31"/>
        <w:tblW w:w="9728" w:type="dxa"/>
        <w:tblInd w:w="-100" w:type="dxa"/>
        <w:tblLayout w:type="fixed"/>
        <w:tblCellMar>
          <w:top w:w="0" w:type="dxa"/>
          <w:left w:w="0" w:type="dxa"/>
          <w:bottom w:w="0" w:type="dxa"/>
          <w:right w:w="0" w:type="dxa"/>
        </w:tblCellMar>
      </w:tblPr>
      <w:tblGrid>
        <w:gridCol w:w="4708"/>
        <w:gridCol w:w="5020"/>
      </w:tblGrid>
      <w:tr w14:paraId="5E683703">
        <w:tblPrEx>
          <w:tblCellMar>
            <w:top w:w="0" w:type="dxa"/>
            <w:left w:w="0" w:type="dxa"/>
            <w:bottom w:w="0" w:type="dxa"/>
            <w:right w:w="0" w:type="dxa"/>
          </w:tblCellMar>
        </w:tblPrEx>
        <w:trPr>
          <w:trHeight w:val="1070" w:hRule="atLeast"/>
        </w:trPr>
        <w:tc>
          <w:tcPr>
            <w:tcW w:w="4708" w:type="dxa"/>
            <w:noWrap w:val="0"/>
            <w:vAlign w:val="center"/>
          </w:tcPr>
          <w:p w14:paraId="6CF9629B">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     标     人（盖单位章）：</w:t>
            </w:r>
          </w:p>
        </w:tc>
        <w:tc>
          <w:tcPr>
            <w:tcW w:w="5020" w:type="dxa"/>
            <w:noWrap w:val="0"/>
            <w:vAlign w:val="center"/>
          </w:tcPr>
          <w:p w14:paraId="0063EE7E">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lang w:val="en-US" w:eastAsia="zh-CN"/>
              </w:rPr>
            </w:pPr>
            <w:r>
              <w:rPr>
                <w:rFonts w:hint="eastAsia" w:hAnsi="宋体" w:cs="宋体"/>
                <w:strike w:val="0"/>
                <w:dstrike w:val="0"/>
                <w:snapToGrid w:val="0"/>
                <w:color w:val="auto"/>
                <w:kern w:val="0"/>
                <w:sz w:val="28"/>
                <w:szCs w:val="28"/>
                <w:highlight w:val="none"/>
                <w:lang w:val="en-US" w:eastAsia="zh-CN"/>
              </w:rPr>
              <w:t>翁源县龙仙镇人民政府</w:t>
            </w:r>
          </w:p>
        </w:tc>
      </w:tr>
      <w:tr w14:paraId="66F93FA2">
        <w:tblPrEx>
          <w:tblCellMar>
            <w:top w:w="0" w:type="dxa"/>
            <w:left w:w="0" w:type="dxa"/>
            <w:bottom w:w="0" w:type="dxa"/>
            <w:right w:w="0" w:type="dxa"/>
          </w:tblCellMar>
        </w:tblPrEx>
        <w:trPr>
          <w:trHeight w:val="1012" w:hRule="atLeast"/>
        </w:trPr>
        <w:tc>
          <w:tcPr>
            <w:tcW w:w="4708" w:type="dxa"/>
            <w:noWrap w:val="0"/>
            <w:vAlign w:val="center"/>
          </w:tcPr>
          <w:p w14:paraId="310A9D46">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招标人工作领导小组负责人（签字）：</w:t>
            </w:r>
          </w:p>
        </w:tc>
        <w:tc>
          <w:tcPr>
            <w:tcW w:w="5020" w:type="dxa"/>
            <w:noWrap w:val="0"/>
            <w:vAlign w:val="center"/>
          </w:tcPr>
          <w:p w14:paraId="627C8E17">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6011193D">
        <w:tblPrEx>
          <w:tblCellMar>
            <w:top w:w="0" w:type="dxa"/>
            <w:left w:w="0" w:type="dxa"/>
            <w:bottom w:w="0" w:type="dxa"/>
            <w:right w:w="0" w:type="dxa"/>
          </w:tblCellMar>
        </w:tblPrEx>
        <w:trPr>
          <w:trHeight w:val="1072" w:hRule="atLeast"/>
        </w:trPr>
        <w:tc>
          <w:tcPr>
            <w:tcW w:w="4708" w:type="dxa"/>
            <w:noWrap w:val="0"/>
            <w:vAlign w:val="center"/>
          </w:tcPr>
          <w:p w14:paraId="5A5F6A25">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 标 代 理 机 构 （盖单位章）：</w:t>
            </w:r>
          </w:p>
        </w:tc>
        <w:tc>
          <w:tcPr>
            <w:tcW w:w="5020" w:type="dxa"/>
            <w:noWrap w:val="0"/>
            <w:vAlign w:val="center"/>
          </w:tcPr>
          <w:p w14:paraId="781B3E59">
            <w:pPr>
              <w:pStyle w:val="60"/>
              <w:wordWrap w:val="0"/>
              <w:adjustRightInd w:val="0"/>
              <w:snapToGrid w:val="0"/>
              <w:spacing w:line="240" w:lineRule="auto"/>
              <w:rPr>
                <w:rFonts w:hint="default" w:ascii="宋体" w:hAnsi="宋体" w:eastAsia="宋体" w:cs="宋体"/>
                <w:strike w:val="0"/>
                <w:dstrike w:val="0"/>
                <w:snapToGrid w:val="0"/>
                <w:color w:val="auto"/>
                <w:kern w:val="0"/>
                <w:sz w:val="28"/>
                <w:szCs w:val="28"/>
                <w:highlight w:val="none"/>
                <w:lang w:val="en-US" w:eastAsia="zh-CN"/>
              </w:rPr>
            </w:pPr>
            <w:r>
              <w:rPr>
                <w:rFonts w:hint="eastAsia" w:hAnsi="宋体" w:cs="宋体"/>
                <w:strike w:val="0"/>
                <w:dstrike w:val="0"/>
                <w:snapToGrid w:val="0"/>
                <w:color w:val="auto"/>
                <w:kern w:val="0"/>
                <w:sz w:val="28"/>
                <w:szCs w:val="28"/>
                <w:highlight w:val="none"/>
                <w:lang w:val="en-US" w:eastAsia="zh-CN"/>
              </w:rPr>
              <w:t>汇龙工程咨询有限公司</w:t>
            </w:r>
          </w:p>
        </w:tc>
      </w:tr>
      <w:tr w14:paraId="004DC34E">
        <w:tblPrEx>
          <w:tblCellMar>
            <w:top w:w="0" w:type="dxa"/>
            <w:left w:w="0" w:type="dxa"/>
            <w:bottom w:w="0" w:type="dxa"/>
            <w:right w:w="0" w:type="dxa"/>
          </w:tblCellMar>
        </w:tblPrEx>
        <w:trPr>
          <w:trHeight w:val="1135" w:hRule="atLeast"/>
        </w:trPr>
        <w:tc>
          <w:tcPr>
            <w:tcW w:w="4708" w:type="dxa"/>
            <w:noWrap w:val="0"/>
            <w:vAlign w:val="center"/>
          </w:tcPr>
          <w:p w14:paraId="55D9EDEB">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招标文件编制人（签字）：</w:t>
            </w:r>
          </w:p>
        </w:tc>
        <w:tc>
          <w:tcPr>
            <w:tcW w:w="5020" w:type="dxa"/>
            <w:noWrap w:val="0"/>
            <w:vAlign w:val="center"/>
          </w:tcPr>
          <w:p w14:paraId="168C2309">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46880814">
        <w:tblPrEx>
          <w:tblCellMar>
            <w:top w:w="0" w:type="dxa"/>
            <w:left w:w="0" w:type="dxa"/>
            <w:bottom w:w="0" w:type="dxa"/>
            <w:right w:w="0" w:type="dxa"/>
          </w:tblCellMar>
        </w:tblPrEx>
        <w:trPr>
          <w:trHeight w:val="1084" w:hRule="atLeast"/>
        </w:trPr>
        <w:tc>
          <w:tcPr>
            <w:tcW w:w="4708" w:type="dxa"/>
            <w:noWrap w:val="0"/>
            <w:vAlign w:val="center"/>
          </w:tcPr>
          <w:p w14:paraId="5AAEF965">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招标代理机构项目负责人（签字）：</w:t>
            </w:r>
          </w:p>
        </w:tc>
        <w:tc>
          <w:tcPr>
            <w:tcW w:w="5020" w:type="dxa"/>
            <w:noWrap w:val="0"/>
            <w:vAlign w:val="center"/>
          </w:tcPr>
          <w:p w14:paraId="6A653CBC">
            <w:pPr>
              <w:pStyle w:val="60"/>
              <w:wordWrap w:val="0"/>
              <w:adjustRightInd w:val="0"/>
              <w:snapToGrid w:val="0"/>
              <w:spacing w:line="240" w:lineRule="auto"/>
              <w:rPr>
                <w:rFonts w:hint="eastAsia" w:ascii="宋体" w:hAnsi="宋体" w:eastAsia="宋体" w:cs="宋体"/>
                <w:strike w:val="0"/>
                <w:dstrike w:val="0"/>
                <w:snapToGrid w:val="0"/>
                <w:color w:val="auto"/>
                <w:kern w:val="0"/>
                <w:sz w:val="28"/>
                <w:szCs w:val="28"/>
                <w:highlight w:val="none"/>
              </w:rPr>
            </w:pPr>
          </w:p>
        </w:tc>
      </w:tr>
      <w:tr w14:paraId="173CDD84">
        <w:tblPrEx>
          <w:tblCellMar>
            <w:top w:w="0" w:type="dxa"/>
            <w:left w:w="0" w:type="dxa"/>
            <w:bottom w:w="0" w:type="dxa"/>
            <w:right w:w="0" w:type="dxa"/>
          </w:tblCellMar>
        </w:tblPrEx>
        <w:trPr>
          <w:trHeight w:val="892" w:hRule="atLeast"/>
        </w:trPr>
        <w:tc>
          <w:tcPr>
            <w:tcW w:w="4708" w:type="dxa"/>
            <w:noWrap w:val="0"/>
            <w:vAlign w:val="center"/>
          </w:tcPr>
          <w:p w14:paraId="51795990">
            <w:pPr>
              <w:pStyle w:val="60"/>
              <w:wordWrap w:val="0"/>
              <w:adjustRightInd w:val="0"/>
              <w:snapToGrid w:val="0"/>
              <w:spacing w:line="240" w:lineRule="auto"/>
              <w:jc w:val="distribute"/>
              <w:rPr>
                <w:rFonts w:hint="eastAsia" w:ascii="宋体" w:hAnsi="宋体" w:eastAsia="宋体" w:cs="宋体"/>
                <w:strike w:val="0"/>
                <w:dstrike w:val="0"/>
                <w:snapToGrid w:val="0"/>
                <w:color w:val="auto"/>
                <w:kern w:val="0"/>
                <w:sz w:val="28"/>
                <w:highlight w:val="none"/>
              </w:rPr>
            </w:pPr>
            <w:r>
              <w:rPr>
                <w:rFonts w:hint="eastAsia" w:ascii="宋体" w:hAnsi="宋体" w:eastAsia="宋体" w:cs="宋体"/>
                <w:strike w:val="0"/>
                <w:dstrike w:val="0"/>
                <w:snapToGrid w:val="0"/>
                <w:color w:val="auto"/>
                <w:kern w:val="0"/>
                <w:sz w:val="28"/>
                <w:highlight w:val="none"/>
              </w:rPr>
              <w:t xml:space="preserve"> 招标文件编制日期：</w:t>
            </w:r>
          </w:p>
        </w:tc>
        <w:tc>
          <w:tcPr>
            <w:tcW w:w="5020" w:type="dxa"/>
            <w:noWrap w:val="0"/>
            <w:vAlign w:val="center"/>
          </w:tcPr>
          <w:p w14:paraId="134BA1B7">
            <w:pPr>
              <w:pStyle w:val="60"/>
              <w:wordWrap w:val="0"/>
              <w:adjustRightInd w:val="0"/>
              <w:snapToGrid w:val="0"/>
              <w:spacing w:line="240" w:lineRule="auto"/>
              <w:rPr>
                <w:rFonts w:hint="default" w:ascii="宋体" w:hAnsi="宋体" w:eastAsia="宋体" w:cs="宋体"/>
                <w:strike w:val="0"/>
                <w:dstrike w:val="0"/>
                <w:snapToGrid w:val="0"/>
                <w:color w:val="auto"/>
                <w:kern w:val="0"/>
                <w:sz w:val="28"/>
                <w:highlight w:val="none"/>
                <w:lang w:val="en-US" w:eastAsia="zh-CN"/>
              </w:rPr>
            </w:pPr>
            <w:r>
              <w:rPr>
                <w:rFonts w:hint="eastAsia" w:hAnsi="宋体" w:cs="宋体"/>
                <w:strike w:val="0"/>
                <w:dstrike w:val="0"/>
                <w:snapToGrid w:val="0"/>
                <w:color w:val="auto"/>
                <w:kern w:val="0"/>
                <w:sz w:val="28"/>
                <w:highlight w:val="none"/>
                <w:lang w:val="en-US" w:eastAsia="zh-CN"/>
              </w:rPr>
              <w:t xml:space="preserve">  2026年7月  日</w:t>
            </w:r>
          </w:p>
        </w:tc>
      </w:tr>
    </w:tbl>
    <w:p w14:paraId="52DDB548">
      <w:pPr>
        <w:rPr>
          <w:color w:val="auto"/>
          <w:highlight w:val="none"/>
        </w:rPr>
        <w:sectPr>
          <w:head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0B006F5F">
      <w:pPr>
        <w:pStyle w:val="119"/>
        <w:tabs>
          <w:tab w:val="left" w:pos="1890"/>
          <w:tab w:val="left" w:pos="4935"/>
        </w:tabs>
        <w:rPr>
          <w:rFonts w:hint="eastAsia" w:ascii="宋体" w:hAnsi="宋体" w:eastAsia="宋体" w:cs="宋体"/>
          <w:b/>
          <w:color w:val="auto"/>
          <w:sz w:val="28"/>
          <w:szCs w:val="28"/>
          <w:highlight w:val="none"/>
        </w:rPr>
        <w:sectPr>
          <w:footerReference r:id="rId6"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228A6914">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_Toc28684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_Toc28684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5D3DC25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_Toc32446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_Toc32446 \h </w:instrText>
      </w:r>
      <w:r>
        <w:rPr>
          <w:color w:val="auto"/>
          <w:highlight w:val="none"/>
        </w:rPr>
        <w:fldChar w:fldCharType="separate"/>
      </w:r>
      <w:r>
        <w:rPr>
          <w:color w:val="auto"/>
          <w:highlight w:val="none"/>
        </w:rPr>
        <w:t>1</w:t>
      </w:r>
      <w:r>
        <w:rPr>
          <w:color w:val="auto"/>
          <w:highlight w:val="none"/>
        </w:rPr>
        <w:fldChar w:fldCharType="end"/>
      </w:r>
      <w:r>
        <w:rPr>
          <w:rFonts w:hint="eastAsia" w:hAnsi="宋体" w:cs="宋体"/>
          <w:color w:val="auto"/>
          <w:szCs w:val="24"/>
          <w:highlight w:val="none"/>
        </w:rPr>
        <w:fldChar w:fldCharType="end"/>
      </w:r>
    </w:p>
    <w:p w14:paraId="2634A27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_Toc32522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8</w:t>
      </w:r>
      <w:r>
        <w:rPr>
          <w:color w:val="auto"/>
          <w:highlight w:val="none"/>
        </w:rPr>
        <w:fldChar w:fldCharType="end"/>
      </w:r>
      <w:r>
        <w:rPr>
          <w:rFonts w:hint="eastAsia" w:hAnsi="宋体" w:cs="宋体"/>
          <w:color w:val="auto"/>
          <w:szCs w:val="24"/>
          <w:highlight w:val="none"/>
        </w:rPr>
        <w:fldChar w:fldCharType="end"/>
      </w:r>
    </w:p>
    <w:p w14:paraId="28D7332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_Toc16304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_Toc16304 \h </w:instrText>
      </w:r>
      <w:r>
        <w:rPr>
          <w:color w:val="auto"/>
          <w:highlight w:val="none"/>
        </w:rPr>
        <w:fldChar w:fldCharType="separate"/>
      </w:r>
      <w:r>
        <w:rPr>
          <w:color w:val="auto"/>
          <w:highlight w:val="none"/>
        </w:rPr>
        <w:t>9</w:t>
      </w:r>
      <w:r>
        <w:rPr>
          <w:color w:val="auto"/>
          <w:highlight w:val="none"/>
        </w:rPr>
        <w:fldChar w:fldCharType="end"/>
      </w:r>
      <w:r>
        <w:rPr>
          <w:rFonts w:hint="eastAsia" w:hAnsi="宋体" w:cs="宋体"/>
          <w:color w:val="auto"/>
          <w:szCs w:val="24"/>
          <w:highlight w:val="none"/>
        </w:rPr>
        <w:fldChar w:fldCharType="end"/>
      </w:r>
    </w:p>
    <w:p w14:paraId="5C4F335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_Toc9487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_Toc9487 \h </w:instrText>
      </w:r>
      <w:r>
        <w:rPr>
          <w:color w:val="auto"/>
          <w:highlight w:val="none"/>
        </w:rPr>
        <w:fldChar w:fldCharType="separate"/>
      </w:r>
      <w:r>
        <w:rPr>
          <w:color w:val="auto"/>
          <w:highlight w:val="none"/>
        </w:rPr>
        <w:t>9</w:t>
      </w:r>
      <w:r>
        <w:rPr>
          <w:color w:val="auto"/>
          <w:highlight w:val="none"/>
        </w:rPr>
        <w:fldChar w:fldCharType="end"/>
      </w:r>
      <w:r>
        <w:rPr>
          <w:rFonts w:hint="eastAsia" w:hAnsi="宋体" w:cs="宋体"/>
          <w:color w:val="auto"/>
          <w:szCs w:val="24"/>
          <w:highlight w:val="none"/>
        </w:rPr>
        <w:fldChar w:fldCharType="end"/>
      </w:r>
    </w:p>
    <w:p w14:paraId="69377FD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_Toc31535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_Toc31535 \h </w:instrText>
      </w:r>
      <w:r>
        <w:rPr>
          <w:color w:val="auto"/>
          <w:highlight w:val="none"/>
        </w:rPr>
        <w:fldChar w:fldCharType="separate"/>
      </w:r>
      <w:r>
        <w:rPr>
          <w:color w:val="auto"/>
          <w:highlight w:val="none"/>
        </w:rPr>
        <w:t>9</w:t>
      </w:r>
      <w:r>
        <w:rPr>
          <w:color w:val="auto"/>
          <w:highlight w:val="none"/>
        </w:rPr>
        <w:fldChar w:fldCharType="end"/>
      </w:r>
      <w:r>
        <w:rPr>
          <w:rFonts w:hint="eastAsia" w:hAnsi="宋体" w:cs="宋体"/>
          <w:color w:val="auto"/>
          <w:szCs w:val="24"/>
          <w:highlight w:val="none"/>
        </w:rPr>
        <w:fldChar w:fldCharType="end"/>
      </w:r>
    </w:p>
    <w:p w14:paraId="7D4B0FCB">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_Toc12683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_Toc12683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4D955DB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_Toc16883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_Toc16883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2215BC69">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_Toc7476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_Toc7476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69695AE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_Toc12596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_Toc12596 \h </w:instrText>
      </w:r>
      <w:r>
        <w:rPr>
          <w:color w:val="auto"/>
          <w:highlight w:val="none"/>
        </w:rPr>
        <w:fldChar w:fldCharType="separate"/>
      </w:r>
      <w:r>
        <w:rPr>
          <w:color w:val="auto"/>
          <w:highlight w:val="none"/>
        </w:rPr>
        <w:t>13</w:t>
      </w:r>
      <w:r>
        <w:rPr>
          <w:color w:val="auto"/>
          <w:highlight w:val="none"/>
        </w:rPr>
        <w:fldChar w:fldCharType="end"/>
      </w:r>
      <w:r>
        <w:rPr>
          <w:rFonts w:hint="eastAsia" w:hAnsi="宋体" w:cs="宋体"/>
          <w:color w:val="auto"/>
          <w:szCs w:val="24"/>
          <w:highlight w:val="none"/>
        </w:rPr>
        <w:fldChar w:fldCharType="end"/>
      </w:r>
    </w:p>
    <w:p w14:paraId="13525909">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_Toc25173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_Toc25173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45A168FD">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_Toc11326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_Toc11326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60AD7DFA">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_Toc2193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_Toc2193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09F56172">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_Toc4002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_Toc4002 \h </w:instrText>
      </w:r>
      <w:r>
        <w:rPr>
          <w:color w:val="auto"/>
          <w:highlight w:val="none"/>
        </w:rPr>
        <w:fldChar w:fldCharType="separate"/>
      </w:r>
      <w:r>
        <w:rPr>
          <w:color w:val="auto"/>
          <w:highlight w:val="none"/>
        </w:rPr>
        <w:t>15</w:t>
      </w:r>
      <w:r>
        <w:rPr>
          <w:color w:val="auto"/>
          <w:highlight w:val="none"/>
        </w:rPr>
        <w:fldChar w:fldCharType="end"/>
      </w:r>
      <w:r>
        <w:rPr>
          <w:rFonts w:hint="eastAsia" w:hAnsi="宋体" w:cs="宋体"/>
          <w:color w:val="auto"/>
          <w:szCs w:val="24"/>
          <w:highlight w:val="none"/>
        </w:rPr>
        <w:fldChar w:fldCharType="end"/>
      </w:r>
    </w:p>
    <w:p w14:paraId="15C486C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_Toc1986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_Toc1986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5384DBF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_Toc4888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_Toc4888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3EA20A99">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_Toc739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_Toc739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1551660B">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_Toc30542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_Toc30542 \h </w:instrText>
      </w:r>
      <w:r>
        <w:rPr>
          <w:color w:val="auto"/>
          <w:highlight w:val="none"/>
        </w:rPr>
        <w:fldChar w:fldCharType="separate"/>
      </w:r>
      <w:r>
        <w:rPr>
          <w:color w:val="auto"/>
          <w:highlight w:val="none"/>
        </w:rPr>
        <w:t>19</w:t>
      </w:r>
      <w:r>
        <w:rPr>
          <w:color w:val="auto"/>
          <w:highlight w:val="none"/>
        </w:rPr>
        <w:fldChar w:fldCharType="end"/>
      </w:r>
      <w:r>
        <w:rPr>
          <w:rFonts w:hint="eastAsia" w:hAnsi="宋体" w:cs="宋体"/>
          <w:color w:val="auto"/>
          <w:szCs w:val="24"/>
          <w:highlight w:val="none"/>
        </w:rPr>
        <w:fldChar w:fldCharType="end"/>
      </w:r>
    </w:p>
    <w:p w14:paraId="3D02FAD1">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_Toc8989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_Toc8989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4A369EC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_Toc23668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16．推荐中标候选人</w:t>
      </w:r>
      <w:r>
        <w:rPr>
          <w:color w:val="auto"/>
          <w:highlight w:val="none"/>
        </w:rPr>
        <w:tab/>
      </w:r>
      <w:r>
        <w:rPr>
          <w:color w:val="auto"/>
          <w:highlight w:val="none"/>
        </w:rPr>
        <w:fldChar w:fldCharType="begin"/>
      </w:r>
      <w:r>
        <w:rPr>
          <w:color w:val="auto"/>
          <w:highlight w:val="none"/>
        </w:rPr>
        <w:instrText xml:space="preserve"> PAGEREF _Toc23668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szCs w:val="24"/>
          <w:highlight w:val="none"/>
        </w:rPr>
        <w:fldChar w:fldCharType="end"/>
      </w:r>
    </w:p>
    <w:p w14:paraId="2868C0B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_Toc22756 </w:instrText>
      </w:r>
      <w:r>
        <w:rPr>
          <w:rFonts w:hint="eastAsia" w:hAnsi="宋体" w:cs="宋体"/>
          <w:color w:val="auto"/>
          <w:szCs w:val="24"/>
          <w:highlight w:val="none"/>
        </w:rPr>
        <w:fldChar w:fldCharType="separate"/>
      </w:r>
      <w:r>
        <w:rPr>
          <w:rFonts w:hint="eastAsia" w:ascii="宋体" w:hAnsi="宋体" w:eastAsia="宋体" w:cs="宋体"/>
          <w:snapToGrid w:val="0"/>
          <w:color w:val="auto"/>
          <w:kern w:val="0"/>
          <w:highlight w:val="none"/>
        </w:rPr>
        <w:t>1</w:t>
      </w:r>
      <w:r>
        <w:rPr>
          <w:rFonts w:hint="eastAsia" w:ascii="宋体" w:hAnsi="宋体" w:eastAsia="宋体" w:cs="宋体"/>
          <w:snapToGrid w:val="0"/>
          <w:color w:val="auto"/>
          <w:kern w:val="0"/>
          <w:highlight w:val="none"/>
          <w:lang w:val="en-US" w:eastAsia="zh-CN"/>
        </w:rPr>
        <w:t>7</w:t>
      </w:r>
      <w:r>
        <w:rPr>
          <w:rFonts w:hint="eastAsia" w:ascii="宋体" w:hAnsi="宋体" w:eastAsia="宋体" w:cs="宋体"/>
          <w:snapToGrid w:val="0"/>
          <w:color w:val="auto"/>
          <w:kern w:val="0"/>
          <w:highlight w:val="none"/>
        </w:rPr>
        <w:t>.中标候选人公示</w:t>
      </w:r>
      <w:r>
        <w:rPr>
          <w:color w:val="auto"/>
          <w:highlight w:val="none"/>
        </w:rPr>
        <w:tab/>
      </w:r>
      <w:r>
        <w:rPr>
          <w:color w:val="auto"/>
          <w:highlight w:val="none"/>
        </w:rPr>
        <w:fldChar w:fldCharType="begin"/>
      </w:r>
      <w:r>
        <w:rPr>
          <w:color w:val="auto"/>
          <w:highlight w:val="none"/>
        </w:rPr>
        <w:instrText xml:space="preserve"> PAGEREF _Toc22756 \h </w:instrText>
      </w:r>
      <w:r>
        <w:rPr>
          <w:color w:val="auto"/>
          <w:highlight w:val="none"/>
        </w:rPr>
        <w:fldChar w:fldCharType="separate"/>
      </w:r>
      <w:r>
        <w:rPr>
          <w:color w:val="auto"/>
          <w:highlight w:val="none"/>
        </w:rPr>
        <w:t>30</w:t>
      </w:r>
      <w:r>
        <w:rPr>
          <w:color w:val="auto"/>
          <w:highlight w:val="none"/>
        </w:rPr>
        <w:fldChar w:fldCharType="end"/>
      </w:r>
      <w:r>
        <w:rPr>
          <w:rFonts w:hint="eastAsia" w:hAnsi="宋体" w:cs="宋体"/>
          <w:color w:val="auto"/>
          <w:szCs w:val="24"/>
          <w:highlight w:val="none"/>
        </w:rPr>
        <w:fldChar w:fldCharType="end"/>
      </w:r>
    </w:p>
    <w:p w14:paraId="35168E0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_Toc17009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_Toc17009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3A4AB3C0">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_Toc8541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32</w:t>
      </w:r>
      <w:r>
        <w:rPr>
          <w:color w:val="auto"/>
          <w:highlight w:val="none"/>
        </w:rPr>
        <w:fldChar w:fldCharType="end"/>
      </w:r>
      <w:r>
        <w:rPr>
          <w:rFonts w:hint="eastAsia" w:hAnsi="宋体" w:cs="宋体"/>
          <w:color w:val="auto"/>
          <w:szCs w:val="24"/>
          <w:highlight w:val="none"/>
        </w:rPr>
        <w:fldChar w:fldCharType="end"/>
      </w:r>
    </w:p>
    <w:p w14:paraId="41A1BB7F">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_Toc22542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_Toc22542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5B6FDA13">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_Toc1804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_Toc1804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2853B870">
      <w:pPr>
        <w:pStyle w:val="14"/>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_Toc22668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_Toc22668 \h </w:instrText>
      </w:r>
      <w:r>
        <w:rPr>
          <w:color w:val="auto"/>
          <w:highlight w:val="none"/>
        </w:rPr>
        <w:fldChar w:fldCharType="separate"/>
      </w:r>
      <w:r>
        <w:rPr>
          <w:color w:val="auto"/>
          <w:highlight w:val="none"/>
        </w:rPr>
        <w:t>33</w:t>
      </w:r>
      <w:r>
        <w:rPr>
          <w:color w:val="auto"/>
          <w:highlight w:val="none"/>
        </w:rPr>
        <w:fldChar w:fldCharType="end"/>
      </w:r>
      <w:r>
        <w:rPr>
          <w:rFonts w:hint="eastAsia" w:hAnsi="宋体" w:cs="宋体"/>
          <w:color w:val="auto"/>
          <w:szCs w:val="24"/>
          <w:highlight w:val="none"/>
        </w:rPr>
        <w:fldChar w:fldCharType="end"/>
      </w:r>
    </w:p>
    <w:p w14:paraId="44B608E3">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_Toc401 </w:instrText>
      </w:r>
      <w:r>
        <w:rPr>
          <w:rFonts w:hint="eastAsia" w:hAnsi="宋体" w:cs="宋体"/>
          <w:color w:val="auto"/>
          <w:szCs w:val="24"/>
          <w:highlight w:val="none"/>
        </w:rPr>
        <w:fldChar w:fldCharType="separate"/>
      </w:r>
      <w:r>
        <w:rPr>
          <w:rFonts w:hint="eastAsia" w:hAnsi="宋体" w:cs="宋体"/>
          <w:snapToGrid w:val="0"/>
          <w:color w:val="auto"/>
          <w:szCs w:val="22"/>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_Toc401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13810C5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_Toc17192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1．中标通知书</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09285EA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_Toc18659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2．中标结果公示</w:t>
      </w:r>
      <w:r>
        <w:rPr>
          <w:color w:val="auto"/>
          <w:highlight w:val="none"/>
        </w:rPr>
        <w:tab/>
      </w:r>
      <w:r>
        <w:rPr>
          <w:color w:val="auto"/>
          <w:highlight w:val="none"/>
        </w:rPr>
        <w:fldChar w:fldCharType="begin"/>
      </w:r>
      <w:r>
        <w:rPr>
          <w:color w:val="auto"/>
          <w:highlight w:val="none"/>
        </w:rPr>
        <w:instrText xml:space="preserve"> PAGEREF _Toc18659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7427305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_Toc5857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3</w:t>
      </w:r>
      <w:r>
        <w:rPr>
          <w:rFonts w:hint="eastAsia" w:hAnsi="宋体" w:cs="宋体"/>
          <w:bCs/>
          <w:snapToGrid w:val="0"/>
          <w:color w:val="auto"/>
          <w:kern w:val="0"/>
          <w:szCs w:val="24"/>
          <w:highlight w:val="none"/>
        </w:rPr>
        <w:t>．履约保证</w:t>
      </w:r>
      <w:r>
        <w:rPr>
          <w:color w:val="auto"/>
          <w:highlight w:val="none"/>
        </w:rPr>
        <w:tab/>
      </w:r>
      <w:r>
        <w:rPr>
          <w:color w:val="auto"/>
          <w:highlight w:val="none"/>
        </w:rPr>
        <w:fldChar w:fldCharType="begin"/>
      </w:r>
      <w:r>
        <w:rPr>
          <w:color w:val="auto"/>
          <w:highlight w:val="none"/>
        </w:rPr>
        <w:instrText xml:space="preserve"> PAGEREF _Toc5857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75EBF91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_Toc4933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4.合同订立</w:t>
      </w:r>
      <w:r>
        <w:rPr>
          <w:color w:val="auto"/>
          <w:highlight w:val="none"/>
        </w:rPr>
        <w:tab/>
      </w:r>
      <w:r>
        <w:rPr>
          <w:color w:val="auto"/>
          <w:highlight w:val="none"/>
        </w:rPr>
        <w:fldChar w:fldCharType="begin"/>
      </w:r>
      <w:r>
        <w:rPr>
          <w:color w:val="auto"/>
          <w:highlight w:val="none"/>
        </w:rPr>
        <w:instrText xml:space="preserve"> PAGEREF _Toc4933 \h </w:instrText>
      </w:r>
      <w:r>
        <w:rPr>
          <w:color w:val="auto"/>
          <w:highlight w:val="none"/>
        </w:rPr>
        <w:fldChar w:fldCharType="separate"/>
      </w:r>
      <w:r>
        <w:rPr>
          <w:color w:val="auto"/>
          <w:highlight w:val="none"/>
        </w:rPr>
        <w:t>35</w:t>
      </w:r>
      <w:r>
        <w:rPr>
          <w:color w:val="auto"/>
          <w:highlight w:val="none"/>
        </w:rPr>
        <w:fldChar w:fldCharType="end"/>
      </w:r>
      <w:r>
        <w:rPr>
          <w:rFonts w:hint="eastAsia" w:hAnsi="宋体" w:cs="宋体"/>
          <w:color w:val="auto"/>
          <w:szCs w:val="24"/>
          <w:highlight w:val="none"/>
        </w:rPr>
        <w:fldChar w:fldCharType="end"/>
      </w:r>
    </w:p>
    <w:p w14:paraId="0D7BF36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_Toc7981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5</w:t>
      </w:r>
      <w:r>
        <w:rPr>
          <w:rFonts w:hint="eastAsia" w:hAnsi="宋体" w:cs="宋体"/>
          <w:bCs/>
          <w:snapToGrid w:val="0"/>
          <w:color w:val="auto"/>
          <w:kern w:val="0"/>
          <w:szCs w:val="24"/>
          <w:highlight w:val="none"/>
        </w:rPr>
        <w:t>．放弃中标的处理</w:t>
      </w:r>
      <w:r>
        <w:rPr>
          <w:color w:val="auto"/>
          <w:highlight w:val="none"/>
        </w:rPr>
        <w:tab/>
      </w:r>
      <w:r>
        <w:rPr>
          <w:color w:val="auto"/>
          <w:highlight w:val="none"/>
        </w:rPr>
        <w:fldChar w:fldCharType="begin"/>
      </w:r>
      <w:r>
        <w:rPr>
          <w:color w:val="auto"/>
          <w:highlight w:val="none"/>
        </w:rPr>
        <w:instrText xml:space="preserve"> PAGEREF _Toc7981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4DA8DE1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_Toc7088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6</w:t>
      </w:r>
      <w:r>
        <w:rPr>
          <w:rFonts w:hint="eastAsia" w:hAnsi="宋体" w:cs="宋体"/>
          <w:bCs/>
          <w:snapToGrid w:val="0"/>
          <w:color w:val="auto"/>
          <w:kern w:val="0"/>
          <w:szCs w:val="24"/>
          <w:highlight w:val="none"/>
        </w:rPr>
        <w:t>．分包</w:t>
      </w:r>
      <w:r>
        <w:rPr>
          <w:color w:val="auto"/>
          <w:highlight w:val="none"/>
        </w:rPr>
        <w:tab/>
      </w:r>
      <w:r>
        <w:rPr>
          <w:color w:val="auto"/>
          <w:highlight w:val="none"/>
        </w:rPr>
        <w:fldChar w:fldCharType="begin"/>
      </w:r>
      <w:r>
        <w:rPr>
          <w:color w:val="auto"/>
          <w:highlight w:val="none"/>
        </w:rPr>
        <w:instrText xml:space="preserve"> PAGEREF _Toc7088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0AAC41D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_Toc6953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7</w:t>
      </w:r>
      <w:r>
        <w:rPr>
          <w:rFonts w:hint="eastAsia" w:hAnsi="宋体" w:cs="宋体"/>
          <w:bCs/>
          <w:snapToGrid w:val="0"/>
          <w:color w:val="auto"/>
          <w:kern w:val="0"/>
          <w:szCs w:val="24"/>
          <w:highlight w:val="none"/>
        </w:rPr>
        <w:t>．监理服务期限</w:t>
      </w:r>
      <w:r>
        <w:rPr>
          <w:color w:val="auto"/>
          <w:highlight w:val="none"/>
        </w:rPr>
        <w:tab/>
      </w:r>
      <w:r>
        <w:rPr>
          <w:color w:val="auto"/>
          <w:highlight w:val="none"/>
        </w:rPr>
        <w:fldChar w:fldCharType="begin"/>
      </w:r>
      <w:r>
        <w:rPr>
          <w:color w:val="auto"/>
          <w:highlight w:val="none"/>
        </w:rPr>
        <w:instrText xml:space="preserve"> PAGEREF _Toc6953 \h </w:instrText>
      </w:r>
      <w:r>
        <w:rPr>
          <w:color w:val="auto"/>
          <w:highlight w:val="none"/>
        </w:rPr>
        <w:fldChar w:fldCharType="separate"/>
      </w:r>
      <w:r>
        <w:rPr>
          <w:color w:val="auto"/>
          <w:highlight w:val="none"/>
        </w:rPr>
        <w:t>36</w:t>
      </w:r>
      <w:r>
        <w:rPr>
          <w:color w:val="auto"/>
          <w:highlight w:val="none"/>
        </w:rPr>
        <w:fldChar w:fldCharType="end"/>
      </w:r>
      <w:r>
        <w:rPr>
          <w:rFonts w:hint="eastAsia" w:hAnsi="宋体" w:cs="宋体"/>
          <w:color w:val="auto"/>
          <w:szCs w:val="24"/>
          <w:highlight w:val="none"/>
        </w:rPr>
        <w:fldChar w:fldCharType="end"/>
      </w:r>
    </w:p>
    <w:p w14:paraId="3955497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_Toc31907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lang w:val="en-US" w:eastAsia="zh-CN"/>
        </w:rPr>
        <w:t>8</w:t>
      </w:r>
      <w:r>
        <w:rPr>
          <w:rFonts w:hint="eastAsia" w:hAnsi="宋体" w:cs="宋体"/>
          <w:bCs/>
          <w:snapToGrid w:val="0"/>
          <w:color w:val="auto"/>
          <w:kern w:val="0"/>
          <w:szCs w:val="24"/>
          <w:highlight w:val="none"/>
        </w:rPr>
        <w:t>．项目监理机构</w:t>
      </w:r>
      <w:r>
        <w:rPr>
          <w:color w:val="auto"/>
          <w:highlight w:val="none"/>
        </w:rPr>
        <w:tab/>
      </w:r>
      <w:r>
        <w:rPr>
          <w:color w:val="auto"/>
          <w:highlight w:val="none"/>
        </w:rPr>
        <w:fldChar w:fldCharType="begin"/>
      </w:r>
      <w:r>
        <w:rPr>
          <w:color w:val="auto"/>
          <w:highlight w:val="none"/>
        </w:rPr>
        <w:instrText xml:space="preserve"> PAGEREF _Toc31907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3FD75F6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_Toc15281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9</w:t>
      </w:r>
      <w:r>
        <w:rPr>
          <w:rFonts w:hint="eastAsia" w:hAnsi="宋体" w:cs="宋体"/>
          <w:snapToGrid w:val="0"/>
          <w:color w:val="auto"/>
          <w:kern w:val="0"/>
          <w:szCs w:val="24"/>
          <w:highlight w:val="none"/>
        </w:rPr>
        <w:t>．安全防护</w:t>
      </w:r>
      <w:r>
        <w:rPr>
          <w:color w:val="auto"/>
          <w:highlight w:val="none"/>
        </w:rPr>
        <w:tab/>
      </w:r>
      <w:r>
        <w:rPr>
          <w:color w:val="auto"/>
          <w:highlight w:val="none"/>
        </w:rPr>
        <w:fldChar w:fldCharType="begin"/>
      </w:r>
      <w:r>
        <w:rPr>
          <w:color w:val="auto"/>
          <w:highlight w:val="none"/>
        </w:rPr>
        <w:instrText xml:space="preserve"> PAGEREF _Toc15281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2819528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_Toc2694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lang w:val="en-US" w:eastAsia="zh-CN"/>
        </w:rPr>
        <w:t>10</w:t>
      </w:r>
      <w:r>
        <w:rPr>
          <w:rFonts w:hint="eastAsia" w:hAnsi="宋体" w:cs="宋体"/>
          <w:snapToGrid w:val="0"/>
          <w:color w:val="auto"/>
          <w:kern w:val="0"/>
          <w:szCs w:val="24"/>
          <w:highlight w:val="none"/>
        </w:rPr>
        <w:t>．接受监督</w:t>
      </w:r>
      <w:r>
        <w:rPr>
          <w:color w:val="auto"/>
          <w:highlight w:val="none"/>
        </w:rPr>
        <w:tab/>
      </w:r>
      <w:r>
        <w:rPr>
          <w:color w:val="auto"/>
          <w:highlight w:val="none"/>
        </w:rPr>
        <w:fldChar w:fldCharType="begin"/>
      </w:r>
      <w:r>
        <w:rPr>
          <w:color w:val="auto"/>
          <w:highlight w:val="none"/>
        </w:rPr>
        <w:instrText xml:space="preserve"> PAGEREF _Toc2694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1F210F2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_Toc5818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rPr>
        <w:t>．监理档案移交</w:t>
      </w:r>
      <w:r>
        <w:rPr>
          <w:color w:val="auto"/>
          <w:highlight w:val="none"/>
        </w:rPr>
        <w:tab/>
      </w:r>
      <w:r>
        <w:rPr>
          <w:color w:val="auto"/>
          <w:highlight w:val="none"/>
        </w:rPr>
        <w:fldChar w:fldCharType="begin"/>
      </w:r>
      <w:r>
        <w:rPr>
          <w:color w:val="auto"/>
          <w:highlight w:val="none"/>
        </w:rPr>
        <w:instrText xml:space="preserve"> PAGEREF _Toc5818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5B6B91AF">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_Toc29177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w:t>
      </w:r>
      <w:r>
        <w:rPr>
          <w:rFonts w:hint="eastAsia" w:hAnsi="宋体" w:cs="宋体"/>
          <w:bCs/>
          <w:snapToGrid w:val="0"/>
          <w:color w:val="auto"/>
          <w:kern w:val="0"/>
          <w:szCs w:val="24"/>
          <w:highlight w:val="none"/>
          <w:lang w:val="en-US" w:eastAsia="zh-CN"/>
        </w:rPr>
        <w:t>2</w:t>
      </w:r>
      <w:r>
        <w:rPr>
          <w:rFonts w:hint="eastAsia" w:hAnsi="宋体" w:cs="宋体"/>
          <w:snapToGrid w:val="0"/>
          <w:color w:val="auto"/>
          <w:kern w:val="0"/>
          <w:szCs w:val="24"/>
          <w:highlight w:val="none"/>
        </w:rPr>
        <w:t>．不良行为处理</w:t>
      </w:r>
      <w:r>
        <w:rPr>
          <w:color w:val="auto"/>
          <w:highlight w:val="none"/>
        </w:rPr>
        <w:tab/>
      </w:r>
      <w:r>
        <w:rPr>
          <w:color w:val="auto"/>
          <w:highlight w:val="none"/>
        </w:rPr>
        <w:fldChar w:fldCharType="begin"/>
      </w:r>
      <w:r>
        <w:rPr>
          <w:color w:val="auto"/>
          <w:highlight w:val="none"/>
        </w:rPr>
        <w:instrText xml:space="preserve"> PAGEREF _Toc29177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76D0EA0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_Toc25306 </w:instrText>
      </w:r>
      <w:r>
        <w:rPr>
          <w:rFonts w:hint="eastAsia" w:hAnsi="宋体" w:cs="宋体"/>
          <w:color w:val="auto"/>
          <w:szCs w:val="24"/>
          <w:highlight w:val="none"/>
        </w:rPr>
        <w:fldChar w:fldCharType="separate"/>
      </w:r>
      <w:r>
        <w:rPr>
          <w:rFonts w:hint="eastAsia" w:ascii="宋体" w:hAnsi="宋体" w:cs="宋体"/>
          <w:bCs/>
          <w:snapToGrid w:val="0"/>
          <w:color w:val="auto"/>
          <w:kern w:val="0"/>
          <w:szCs w:val="24"/>
          <w:highlight w:val="none"/>
        </w:rPr>
        <w:t>1</w:t>
      </w:r>
      <w:r>
        <w:rPr>
          <w:rFonts w:hint="eastAsia" w:ascii="宋体" w:hAnsi="宋体" w:cs="宋体"/>
          <w:bCs/>
          <w:snapToGrid w:val="0"/>
          <w:color w:val="auto"/>
          <w:kern w:val="0"/>
          <w:szCs w:val="24"/>
          <w:highlight w:val="none"/>
          <w:lang w:val="en-US" w:eastAsia="zh-CN"/>
        </w:rPr>
        <w:t>3</w:t>
      </w:r>
      <w:r>
        <w:rPr>
          <w:rFonts w:hint="eastAsia" w:ascii="宋体" w:hAnsi="宋体" w:cs="宋体"/>
          <w:snapToGrid w:val="0"/>
          <w:color w:val="auto"/>
          <w:kern w:val="0"/>
          <w:szCs w:val="24"/>
          <w:highlight w:val="none"/>
        </w:rPr>
        <w:t>．</w:t>
      </w:r>
      <w:r>
        <w:rPr>
          <w:rFonts w:hint="eastAsia" w:ascii="宋体" w:hAnsi="宋体" w:cs="宋体"/>
          <w:bCs/>
          <w:snapToGrid w:val="0"/>
          <w:color w:val="auto"/>
          <w:kern w:val="0"/>
          <w:szCs w:val="24"/>
          <w:highlight w:val="none"/>
        </w:rPr>
        <w:t>信用评价条款内容</w:t>
      </w:r>
      <w:r>
        <w:rPr>
          <w:color w:val="auto"/>
          <w:highlight w:val="none"/>
        </w:rPr>
        <w:tab/>
      </w:r>
      <w:r>
        <w:rPr>
          <w:color w:val="auto"/>
          <w:highlight w:val="none"/>
        </w:rPr>
        <w:fldChar w:fldCharType="begin"/>
      </w:r>
      <w:r>
        <w:rPr>
          <w:color w:val="auto"/>
          <w:highlight w:val="none"/>
        </w:rPr>
        <w:instrText xml:space="preserve"> PAGEREF _Toc25306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54FEA325">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_Toc16840 </w:instrText>
      </w:r>
      <w:r>
        <w:rPr>
          <w:rFonts w:hint="eastAsia" w:hAnsi="宋体" w:cs="宋体"/>
          <w:color w:val="auto"/>
          <w:szCs w:val="24"/>
          <w:highlight w:val="none"/>
        </w:rPr>
        <w:fldChar w:fldCharType="separate"/>
      </w:r>
      <w:r>
        <w:rPr>
          <w:rFonts w:hint="eastAsia" w:hAnsi="宋体" w:cs="宋体"/>
          <w:snapToGrid w:val="0"/>
          <w:color w:val="auto"/>
          <w:szCs w:val="32"/>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_Toc16840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4CB09E6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_Toc9210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1．现场办公条件</w:t>
      </w:r>
      <w:r>
        <w:rPr>
          <w:color w:val="auto"/>
          <w:highlight w:val="none"/>
        </w:rPr>
        <w:tab/>
      </w:r>
      <w:r>
        <w:rPr>
          <w:color w:val="auto"/>
          <w:highlight w:val="none"/>
        </w:rPr>
        <w:fldChar w:fldCharType="begin"/>
      </w:r>
      <w:r>
        <w:rPr>
          <w:color w:val="auto"/>
          <w:highlight w:val="none"/>
        </w:rPr>
        <w:instrText xml:space="preserve"> PAGEREF _Toc9210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130DB693">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_Toc1375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2．监理服务费</w:t>
      </w:r>
      <w:r>
        <w:rPr>
          <w:color w:val="auto"/>
          <w:highlight w:val="none"/>
        </w:rPr>
        <w:tab/>
      </w:r>
      <w:r>
        <w:rPr>
          <w:color w:val="auto"/>
          <w:highlight w:val="none"/>
        </w:rPr>
        <w:fldChar w:fldCharType="begin"/>
      </w:r>
      <w:r>
        <w:rPr>
          <w:color w:val="auto"/>
          <w:highlight w:val="none"/>
        </w:rPr>
        <w:instrText xml:space="preserve"> PAGEREF _Toc1375 \h </w:instrText>
      </w:r>
      <w:r>
        <w:rPr>
          <w:color w:val="auto"/>
          <w:highlight w:val="none"/>
        </w:rPr>
        <w:fldChar w:fldCharType="separate"/>
      </w:r>
      <w:r>
        <w:rPr>
          <w:color w:val="auto"/>
          <w:highlight w:val="none"/>
        </w:rPr>
        <w:t>39</w:t>
      </w:r>
      <w:r>
        <w:rPr>
          <w:color w:val="auto"/>
          <w:highlight w:val="none"/>
        </w:rPr>
        <w:fldChar w:fldCharType="end"/>
      </w:r>
      <w:r>
        <w:rPr>
          <w:rFonts w:hint="eastAsia" w:hAnsi="宋体" w:cs="宋体"/>
          <w:color w:val="auto"/>
          <w:szCs w:val="24"/>
          <w:highlight w:val="none"/>
        </w:rPr>
        <w:fldChar w:fldCharType="end"/>
      </w:r>
    </w:p>
    <w:p w14:paraId="0BB35D7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_Toc31344 </w:instrText>
      </w:r>
      <w:r>
        <w:rPr>
          <w:rFonts w:hint="eastAsia" w:hAnsi="宋体" w:cs="宋体"/>
          <w:color w:val="auto"/>
          <w:szCs w:val="24"/>
          <w:highlight w:val="none"/>
        </w:rPr>
        <w:fldChar w:fldCharType="separate"/>
      </w:r>
      <w:r>
        <w:rPr>
          <w:rFonts w:hint="eastAsia" w:ascii="宋体" w:hAnsi="宋体" w:eastAsia="宋体" w:cs="宋体"/>
          <w:bCs/>
          <w:snapToGrid w:val="0"/>
          <w:color w:val="auto"/>
          <w:kern w:val="0"/>
          <w:szCs w:val="24"/>
          <w:highlight w:val="none"/>
        </w:rPr>
        <w:t>3．监理服务费发票</w:t>
      </w:r>
      <w:r>
        <w:rPr>
          <w:color w:val="auto"/>
          <w:highlight w:val="none"/>
        </w:rPr>
        <w:tab/>
      </w:r>
      <w:r>
        <w:rPr>
          <w:color w:val="auto"/>
          <w:highlight w:val="none"/>
        </w:rPr>
        <w:fldChar w:fldCharType="begin"/>
      </w:r>
      <w:r>
        <w:rPr>
          <w:color w:val="auto"/>
          <w:highlight w:val="none"/>
        </w:rPr>
        <w:instrText xml:space="preserve"> PAGEREF _Toc31344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4816AA6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_Toc31725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4．违约责任</w:t>
      </w:r>
      <w:r>
        <w:rPr>
          <w:color w:val="auto"/>
          <w:highlight w:val="none"/>
        </w:rPr>
        <w:tab/>
      </w:r>
      <w:r>
        <w:rPr>
          <w:color w:val="auto"/>
          <w:highlight w:val="none"/>
        </w:rPr>
        <w:fldChar w:fldCharType="begin"/>
      </w:r>
      <w:r>
        <w:rPr>
          <w:color w:val="auto"/>
          <w:highlight w:val="none"/>
        </w:rPr>
        <w:instrText xml:space="preserve"> PAGEREF _Toc31725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6CE27B2A">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_Toc4121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5．</w:t>
      </w:r>
      <w:r>
        <w:rPr>
          <w:rFonts w:hint="eastAsia" w:hAnsi="宋体" w:cs="宋体"/>
          <w:bCs/>
          <w:snapToGrid w:val="0"/>
          <w:color w:val="auto"/>
          <w:kern w:val="0"/>
          <w:szCs w:val="24"/>
          <w:highlight w:val="none"/>
          <w:lang w:val="en-US" w:eastAsia="zh-CN"/>
        </w:rPr>
        <w:t>监理服务费的</w:t>
      </w:r>
      <w:r>
        <w:rPr>
          <w:rFonts w:hint="eastAsia" w:hAnsi="宋体" w:cs="宋体"/>
          <w:bCs/>
          <w:snapToGrid w:val="0"/>
          <w:color w:val="auto"/>
          <w:kern w:val="0"/>
          <w:szCs w:val="24"/>
          <w:highlight w:val="none"/>
        </w:rPr>
        <w:t>支付</w:t>
      </w:r>
      <w:r>
        <w:rPr>
          <w:color w:val="auto"/>
          <w:highlight w:val="none"/>
        </w:rPr>
        <w:tab/>
      </w:r>
      <w:r>
        <w:rPr>
          <w:color w:val="auto"/>
          <w:highlight w:val="none"/>
        </w:rPr>
        <w:fldChar w:fldCharType="begin"/>
      </w:r>
      <w:r>
        <w:rPr>
          <w:color w:val="auto"/>
          <w:highlight w:val="none"/>
        </w:rPr>
        <w:instrText xml:space="preserve"> PAGEREF _Toc4121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6E8AE96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_Toc6555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6．</w:t>
      </w:r>
      <w:r>
        <w:rPr>
          <w:rFonts w:hint="eastAsia" w:ascii="Times New Roman"/>
          <w:snapToGrid w:val="0"/>
          <w:color w:val="auto"/>
          <w:szCs w:val="22"/>
          <w:highlight w:val="none"/>
        </w:rPr>
        <w:t>监理人违约及违约责任</w:t>
      </w:r>
      <w:r>
        <w:rPr>
          <w:color w:val="auto"/>
          <w:highlight w:val="none"/>
        </w:rPr>
        <w:tab/>
      </w:r>
      <w:r>
        <w:rPr>
          <w:color w:val="auto"/>
          <w:highlight w:val="none"/>
        </w:rPr>
        <w:fldChar w:fldCharType="begin"/>
      </w:r>
      <w:r>
        <w:rPr>
          <w:color w:val="auto"/>
          <w:highlight w:val="none"/>
        </w:rPr>
        <w:instrText xml:space="preserve"> PAGEREF _Toc6555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56A6CE3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_Toc15156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7. 工程质量、造价、进度控制及安全生产管理</w:t>
      </w:r>
      <w:r>
        <w:rPr>
          <w:color w:val="auto"/>
          <w:highlight w:val="none"/>
        </w:rPr>
        <w:tab/>
      </w:r>
      <w:r>
        <w:rPr>
          <w:color w:val="auto"/>
          <w:highlight w:val="none"/>
        </w:rPr>
        <w:fldChar w:fldCharType="begin"/>
      </w:r>
      <w:r>
        <w:rPr>
          <w:color w:val="auto"/>
          <w:highlight w:val="none"/>
        </w:rPr>
        <w:instrText xml:space="preserve"> PAGEREF _Toc15156 \h </w:instrText>
      </w:r>
      <w:r>
        <w:rPr>
          <w:color w:val="auto"/>
          <w:highlight w:val="none"/>
        </w:rPr>
        <w:fldChar w:fldCharType="separate"/>
      </w:r>
      <w:r>
        <w:rPr>
          <w:color w:val="auto"/>
          <w:highlight w:val="none"/>
        </w:rPr>
        <w:t>48</w:t>
      </w:r>
      <w:r>
        <w:rPr>
          <w:color w:val="auto"/>
          <w:highlight w:val="none"/>
        </w:rPr>
        <w:fldChar w:fldCharType="end"/>
      </w:r>
      <w:r>
        <w:rPr>
          <w:rFonts w:hint="eastAsia" w:hAnsi="宋体" w:cs="宋体"/>
          <w:color w:val="auto"/>
          <w:szCs w:val="24"/>
          <w:highlight w:val="none"/>
        </w:rPr>
        <w:fldChar w:fldCharType="end"/>
      </w:r>
    </w:p>
    <w:p w14:paraId="57CB4514">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_Toc11137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_Toc11137 \h </w:instrText>
      </w:r>
      <w:r>
        <w:rPr>
          <w:color w:val="auto"/>
          <w:highlight w:val="none"/>
        </w:rPr>
        <w:fldChar w:fldCharType="separate"/>
      </w:r>
      <w:r>
        <w:rPr>
          <w:color w:val="auto"/>
          <w:highlight w:val="none"/>
        </w:rPr>
        <w:t>53</w:t>
      </w:r>
      <w:r>
        <w:rPr>
          <w:color w:val="auto"/>
          <w:highlight w:val="none"/>
        </w:rPr>
        <w:fldChar w:fldCharType="end"/>
      </w:r>
      <w:r>
        <w:rPr>
          <w:rFonts w:hint="eastAsia" w:hAnsi="宋体" w:cs="宋体"/>
          <w:color w:val="auto"/>
          <w:szCs w:val="24"/>
          <w:highlight w:val="none"/>
        </w:rPr>
        <w:fldChar w:fldCharType="end"/>
      </w:r>
    </w:p>
    <w:p w14:paraId="0ED31A41">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_Toc27904 </w:instrText>
      </w:r>
      <w:r>
        <w:rPr>
          <w:rFonts w:hint="eastAsia" w:hAnsi="宋体" w:cs="宋体"/>
          <w:color w:val="auto"/>
          <w:szCs w:val="24"/>
          <w:highlight w:val="none"/>
        </w:rPr>
        <w:fldChar w:fldCharType="separate"/>
      </w:r>
      <w:r>
        <w:rPr>
          <w:rFonts w:hint="eastAsia" w:ascii="Times New Roman"/>
          <w:snapToGrid w:val="0"/>
          <w:color w:val="auto"/>
          <w:szCs w:val="22"/>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_Toc27904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szCs w:val="24"/>
          <w:highlight w:val="none"/>
        </w:rPr>
        <w:fldChar w:fldCharType="end"/>
      </w:r>
    </w:p>
    <w:p w14:paraId="3BA92CEE">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_Toc31809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_Toc31809 \h </w:instrText>
      </w:r>
      <w:r>
        <w:rPr>
          <w:color w:val="auto"/>
          <w:highlight w:val="none"/>
        </w:rPr>
        <w:fldChar w:fldCharType="separate"/>
      </w:r>
      <w:r>
        <w:rPr>
          <w:color w:val="auto"/>
          <w:highlight w:val="none"/>
        </w:rPr>
        <w:t>55</w:t>
      </w:r>
      <w:r>
        <w:rPr>
          <w:color w:val="auto"/>
          <w:highlight w:val="none"/>
        </w:rPr>
        <w:fldChar w:fldCharType="end"/>
      </w:r>
      <w:r>
        <w:rPr>
          <w:rFonts w:hint="eastAsia" w:hAnsi="宋体" w:cs="宋体"/>
          <w:color w:val="auto"/>
          <w:szCs w:val="24"/>
          <w:highlight w:val="none"/>
        </w:rPr>
        <w:fldChar w:fldCharType="end"/>
      </w:r>
    </w:p>
    <w:p w14:paraId="59EAEB6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_Toc29299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_Toc29299 \h </w:instrText>
      </w:r>
      <w:r>
        <w:rPr>
          <w:color w:val="auto"/>
          <w:highlight w:val="none"/>
        </w:rPr>
        <w:fldChar w:fldCharType="separate"/>
      </w:r>
      <w:r>
        <w:rPr>
          <w:color w:val="auto"/>
          <w:highlight w:val="none"/>
        </w:rPr>
        <w:t>56</w:t>
      </w:r>
      <w:r>
        <w:rPr>
          <w:color w:val="auto"/>
          <w:highlight w:val="none"/>
        </w:rPr>
        <w:fldChar w:fldCharType="end"/>
      </w:r>
      <w:r>
        <w:rPr>
          <w:rFonts w:hint="eastAsia" w:hAnsi="宋体" w:cs="宋体"/>
          <w:color w:val="auto"/>
          <w:szCs w:val="24"/>
          <w:highlight w:val="none"/>
        </w:rPr>
        <w:fldChar w:fldCharType="end"/>
      </w:r>
    </w:p>
    <w:p w14:paraId="2786B9EC">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_Toc1644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_Toc1644 \h </w:instrText>
      </w:r>
      <w:r>
        <w:rPr>
          <w:color w:val="auto"/>
          <w:highlight w:val="none"/>
        </w:rPr>
        <w:fldChar w:fldCharType="separate"/>
      </w:r>
      <w:r>
        <w:rPr>
          <w:color w:val="auto"/>
          <w:highlight w:val="none"/>
        </w:rPr>
        <w:t>57</w:t>
      </w:r>
      <w:r>
        <w:rPr>
          <w:color w:val="auto"/>
          <w:highlight w:val="none"/>
        </w:rPr>
        <w:fldChar w:fldCharType="end"/>
      </w:r>
      <w:r>
        <w:rPr>
          <w:rFonts w:hint="eastAsia" w:hAnsi="宋体" w:cs="宋体"/>
          <w:color w:val="auto"/>
          <w:szCs w:val="24"/>
          <w:highlight w:val="none"/>
        </w:rPr>
        <w:fldChar w:fldCharType="end"/>
      </w:r>
    </w:p>
    <w:p w14:paraId="00F16A01">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_Toc32644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_Toc32644 \h </w:instrText>
      </w:r>
      <w:r>
        <w:rPr>
          <w:color w:val="auto"/>
          <w:highlight w:val="none"/>
        </w:rPr>
        <w:fldChar w:fldCharType="separate"/>
      </w:r>
      <w:r>
        <w:rPr>
          <w:color w:val="auto"/>
          <w:highlight w:val="none"/>
        </w:rPr>
        <w:t>59</w:t>
      </w:r>
      <w:r>
        <w:rPr>
          <w:color w:val="auto"/>
          <w:highlight w:val="none"/>
        </w:rPr>
        <w:fldChar w:fldCharType="end"/>
      </w:r>
      <w:r>
        <w:rPr>
          <w:rFonts w:hint="eastAsia" w:hAnsi="宋体" w:cs="宋体"/>
          <w:color w:val="auto"/>
          <w:szCs w:val="24"/>
          <w:highlight w:val="none"/>
        </w:rPr>
        <w:fldChar w:fldCharType="end"/>
      </w:r>
    </w:p>
    <w:p w14:paraId="1942015D">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_Toc27423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_Toc27423 \h </w:instrText>
      </w:r>
      <w:r>
        <w:rPr>
          <w:color w:val="auto"/>
          <w:highlight w:val="none"/>
        </w:rPr>
        <w:fldChar w:fldCharType="separate"/>
      </w:r>
      <w:r>
        <w:rPr>
          <w:color w:val="auto"/>
          <w:highlight w:val="none"/>
        </w:rPr>
        <w:t>60</w:t>
      </w:r>
      <w:r>
        <w:rPr>
          <w:color w:val="auto"/>
          <w:highlight w:val="none"/>
        </w:rPr>
        <w:fldChar w:fldCharType="end"/>
      </w:r>
      <w:r>
        <w:rPr>
          <w:rFonts w:hint="eastAsia" w:hAnsi="宋体" w:cs="宋体"/>
          <w:color w:val="auto"/>
          <w:szCs w:val="24"/>
          <w:highlight w:val="none"/>
        </w:rPr>
        <w:fldChar w:fldCharType="end"/>
      </w:r>
    </w:p>
    <w:p w14:paraId="08194935">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_Toc474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_Toc474 \h </w:instrText>
      </w:r>
      <w:r>
        <w:rPr>
          <w:color w:val="auto"/>
          <w:highlight w:val="none"/>
        </w:rPr>
        <w:fldChar w:fldCharType="separate"/>
      </w:r>
      <w:r>
        <w:rPr>
          <w:color w:val="auto"/>
          <w:highlight w:val="none"/>
        </w:rPr>
        <w:t>61</w:t>
      </w:r>
      <w:r>
        <w:rPr>
          <w:color w:val="auto"/>
          <w:highlight w:val="none"/>
        </w:rPr>
        <w:fldChar w:fldCharType="end"/>
      </w:r>
      <w:r>
        <w:rPr>
          <w:rFonts w:hint="eastAsia" w:hAnsi="宋体" w:cs="宋体"/>
          <w:color w:val="auto"/>
          <w:szCs w:val="24"/>
          <w:highlight w:val="none"/>
        </w:rPr>
        <w:fldChar w:fldCharType="end"/>
      </w:r>
    </w:p>
    <w:p w14:paraId="3C33362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_Toc22135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_Toc22135 \h </w:instrText>
      </w:r>
      <w:r>
        <w:rPr>
          <w:color w:val="auto"/>
          <w:highlight w:val="none"/>
        </w:rPr>
        <w:fldChar w:fldCharType="separate"/>
      </w:r>
      <w:r>
        <w:rPr>
          <w:color w:val="auto"/>
          <w:highlight w:val="none"/>
        </w:rPr>
        <w:t>62</w:t>
      </w:r>
      <w:r>
        <w:rPr>
          <w:color w:val="auto"/>
          <w:highlight w:val="none"/>
        </w:rPr>
        <w:fldChar w:fldCharType="end"/>
      </w:r>
      <w:r>
        <w:rPr>
          <w:rFonts w:hint="eastAsia" w:hAnsi="宋体" w:cs="宋体"/>
          <w:color w:val="auto"/>
          <w:szCs w:val="24"/>
          <w:highlight w:val="none"/>
        </w:rPr>
        <w:fldChar w:fldCharType="end"/>
      </w:r>
    </w:p>
    <w:p w14:paraId="59F91C3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_Toc24032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_Toc24032 \h </w:instrText>
      </w:r>
      <w:r>
        <w:rPr>
          <w:color w:val="auto"/>
          <w:highlight w:val="none"/>
        </w:rPr>
        <w:fldChar w:fldCharType="separate"/>
      </w:r>
      <w:r>
        <w:rPr>
          <w:color w:val="auto"/>
          <w:highlight w:val="none"/>
        </w:rPr>
        <w:t>63</w:t>
      </w:r>
      <w:r>
        <w:rPr>
          <w:color w:val="auto"/>
          <w:highlight w:val="none"/>
        </w:rPr>
        <w:fldChar w:fldCharType="end"/>
      </w:r>
      <w:r>
        <w:rPr>
          <w:rFonts w:hint="eastAsia" w:hAnsi="宋体" w:cs="宋体"/>
          <w:color w:val="auto"/>
          <w:szCs w:val="24"/>
          <w:highlight w:val="none"/>
        </w:rPr>
        <w:fldChar w:fldCharType="end"/>
      </w:r>
    </w:p>
    <w:p w14:paraId="4CA2EE37">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_Toc2263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_Toc2263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7E7E2184">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_Toc4492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_Toc4492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1C693EA0">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_Toc13068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_Toc13068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31192956">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_Toc21090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_Toc21090 \h </w:instrText>
      </w:r>
      <w:r>
        <w:rPr>
          <w:color w:val="auto"/>
          <w:highlight w:val="none"/>
        </w:rPr>
        <w:fldChar w:fldCharType="separate"/>
      </w:r>
      <w:r>
        <w:rPr>
          <w:color w:val="auto"/>
          <w:highlight w:val="none"/>
        </w:rPr>
        <w:t>67</w:t>
      </w:r>
      <w:r>
        <w:rPr>
          <w:color w:val="auto"/>
          <w:highlight w:val="none"/>
        </w:rPr>
        <w:fldChar w:fldCharType="end"/>
      </w:r>
      <w:r>
        <w:rPr>
          <w:rFonts w:hint="eastAsia" w:hAnsi="宋体" w:cs="宋体"/>
          <w:color w:val="auto"/>
          <w:szCs w:val="24"/>
          <w:highlight w:val="none"/>
        </w:rPr>
        <w:fldChar w:fldCharType="end"/>
      </w:r>
    </w:p>
    <w:p w14:paraId="061617BB">
      <w:pPr>
        <w:pStyle w:val="25"/>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_Toc1230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_Toc1230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1849A53E">
      <w:pPr>
        <w:pStyle w:val="21"/>
        <w:tabs>
          <w:tab w:val="right" w:leader="dot" w:pos="9072"/>
        </w:tabs>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_Toc10354 </w:instrText>
      </w:r>
      <w:r>
        <w:rPr>
          <w:rFonts w:hint="eastAsia" w:hAnsi="宋体" w:cs="宋体"/>
          <w:color w:val="auto"/>
          <w:szCs w:val="24"/>
          <w:highlight w:val="none"/>
        </w:rPr>
        <w:fldChar w:fldCharType="separate"/>
      </w:r>
      <w:r>
        <w:rPr>
          <w:rFonts w:hint="eastAsia" w:ascii="宋体" w:hAnsi="宋体" w:cs="宋体"/>
          <w:color w:val="auto"/>
          <w:kern w:val="44"/>
          <w:szCs w:val="22"/>
          <w:highlight w:val="none"/>
        </w:rPr>
        <w:t>第六章 建设工程监理合同</w:t>
      </w:r>
      <w:r>
        <w:rPr>
          <w:color w:val="auto"/>
          <w:highlight w:val="none"/>
        </w:rPr>
        <w:tab/>
      </w:r>
      <w:r>
        <w:rPr>
          <w:color w:val="auto"/>
          <w:highlight w:val="none"/>
        </w:rPr>
        <w:fldChar w:fldCharType="begin"/>
      </w:r>
      <w:r>
        <w:rPr>
          <w:color w:val="auto"/>
          <w:highlight w:val="none"/>
        </w:rPr>
        <w:instrText xml:space="preserve"> PAGEREF _Toc10354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31F3C68A">
      <w:pPr>
        <w:pStyle w:val="15"/>
        <w:rPr>
          <w:rFonts w:hint="eastAsia"/>
          <w:color w:val="auto"/>
          <w:highlight w:val="none"/>
        </w:rPr>
      </w:pPr>
    </w:p>
    <w:p w14:paraId="12FDD6C5">
      <w:pPr>
        <w:pStyle w:val="15"/>
        <w:rPr>
          <w:rFonts w:hint="eastAsia"/>
          <w:color w:val="auto"/>
          <w:highlight w:val="none"/>
        </w:rPr>
      </w:pPr>
    </w:p>
    <w:p w14:paraId="4E7A238C">
      <w:pPr>
        <w:pStyle w:val="15"/>
        <w:rPr>
          <w:rFonts w:hint="eastAsia"/>
          <w:color w:val="auto"/>
          <w:highlight w:val="none"/>
        </w:rPr>
      </w:pPr>
    </w:p>
    <w:p w14:paraId="4D4B16C5">
      <w:pPr>
        <w:pStyle w:val="15"/>
        <w:rPr>
          <w:rFonts w:hint="eastAsia"/>
          <w:color w:val="auto"/>
          <w:highlight w:val="none"/>
        </w:rPr>
      </w:pPr>
    </w:p>
    <w:p w14:paraId="4E126C67">
      <w:pPr>
        <w:pStyle w:val="15"/>
        <w:rPr>
          <w:rFonts w:hint="eastAsia"/>
          <w:color w:val="auto"/>
          <w:highlight w:val="none"/>
        </w:rPr>
      </w:pPr>
    </w:p>
    <w:p w14:paraId="79BD6181">
      <w:pPr>
        <w:bidi w:val="0"/>
        <w:rPr>
          <w:rFonts w:hint="eastAsia"/>
          <w:color w:val="auto"/>
          <w:highlight w:val="none"/>
        </w:rPr>
      </w:pPr>
    </w:p>
    <w:p w14:paraId="4FB68F0F">
      <w:pPr>
        <w:bidi w:val="0"/>
        <w:rPr>
          <w:rFonts w:hint="eastAsia"/>
          <w:color w:val="auto"/>
          <w:highlight w:val="none"/>
        </w:rPr>
      </w:pPr>
    </w:p>
    <w:p w14:paraId="1B29D6E3">
      <w:pPr>
        <w:bidi w:val="0"/>
        <w:rPr>
          <w:color w:val="auto"/>
          <w:highlight w:val="none"/>
        </w:rPr>
      </w:pPr>
    </w:p>
    <w:p w14:paraId="4C65F4F3">
      <w:pPr>
        <w:pStyle w:val="3"/>
        <w:wordWrap w:val="0"/>
        <w:autoSpaceDE/>
        <w:autoSpaceDN/>
        <w:snapToGrid w:val="0"/>
        <w:spacing w:line="440" w:lineRule="exact"/>
        <w:jc w:val="center"/>
        <w:rPr>
          <w:rFonts w:hint="eastAsia" w:ascii="Times New Roman"/>
          <w:b/>
          <w:snapToGrid w:val="0"/>
          <w:color w:val="auto"/>
          <w:sz w:val="32"/>
          <w:szCs w:val="22"/>
          <w:highlight w:val="none"/>
        </w:rPr>
        <w:sectPr>
          <w:footerReference r:id="rId7" w:type="default"/>
          <w:endnotePr>
            <w:numFmt w:val="decimal"/>
          </w:endnotePr>
          <w:pgSz w:w="11906" w:h="16838"/>
          <w:pgMar w:top="1417" w:right="1417" w:bottom="1417" w:left="1417" w:header="850" w:footer="992" w:gutter="0"/>
          <w:pgNumType w:start="1"/>
          <w:cols w:space="0" w:num="1"/>
          <w:docGrid w:linePitch="327" w:charSpace="0"/>
        </w:sectPr>
      </w:pPr>
    </w:p>
    <w:p w14:paraId="73AD38DD">
      <w:pPr>
        <w:pStyle w:val="3"/>
        <w:wordWrap w:val="0"/>
        <w:autoSpaceDE/>
        <w:autoSpaceDN/>
        <w:snapToGrid w:val="0"/>
        <w:spacing w:line="440" w:lineRule="exact"/>
        <w:jc w:val="center"/>
        <w:rPr>
          <w:rFonts w:ascii="Times New Roman"/>
          <w:b/>
          <w:snapToGrid w:val="0"/>
          <w:color w:val="auto"/>
          <w:sz w:val="32"/>
          <w:szCs w:val="22"/>
          <w:highlight w:val="none"/>
        </w:rPr>
      </w:pPr>
      <w:bookmarkStart w:id="0" w:name="_Toc28684"/>
      <w:r>
        <w:rPr>
          <w:rFonts w:hint="eastAsia" w:ascii="Times New Roman"/>
          <w:b/>
          <w:snapToGrid w:val="0"/>
          <w:color w:val="auto"/>
          <w:sz w:val="32"/>
          <w:szCs w:val="22"/>
          <w:highlight w:val="none"/>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32446"/>
      <w:bookmarkStart w:id="3" w:name="_Toc4883"/>
      <w:bookmarkStart w:id="4" w:name="_Hlt120077520"/>
      <w:r>
        <w:rPr>
          <w:rFonts w:hint="eastAsia" w:ascii="Times New Roman"/>
          <w:b/>
          <w:snapToGrid w:val="0"/>
          <w:color w:val="auto"/>
          <w:highlight w:val="none"/>
        </w:rPr>
        <w:t>第一节 投标人须知前附表</w:t>
      </w:r>
      <w:bookmarkEnd w:id="2"/>
      <w:bookmarkEnd w:id="3"/>
    </w:p>
    <w:tbl>
      <w:tblPr>
        <w:tblStyle w:val="31"/>
        <w:tblW w:w="930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5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685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6856" w:type="dxa"/>
            <w:tcBorders>
              <w:top w:val="single" w:color="auto" w:sz="4" w:space="0"/>
              <w:left w:val="single" w:color="auto" w:sz="4" w:space="0"/>
              <w:bottom w:val="single" w:color="auto" w:sz="4" w:space="0"/>
              <w:right w:val="single" w:color="auto" w:sz="4" w:space="0"/>
            </w:tcBorders>
            <w:vAlign w:val="center"/>
          </w:tcPr>
          <w:p w14:paraId="5A0397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eastAsia="zh-CN"/>
              </w:rPr>
              <w:t>翁源县“百千万工程”之全域推进农村人居环境整治建设项目（龙仙镇第四批典型村人居环境整治建设项目）</w:t>
            </w:r>
            <w:r>
              <w:rPr>
                <w:rFonts w:hint="eastAsia" w:hAnsi="宋体" w:cs="宋体"/>
                <w:snapToGrid w:val="0"/>
                <w:color w:val="auto"/>
                <w:kern w:val="0"/>
                <w:szCs w:val="24"/>
                <w:highlight w:val="none"/>
                <w:lang w:val="en-US" w:eastAsia="zh-CN"/>
              </w:rPr>
              <w:t>施工</w:t>
            </w:r>
            <w:r>
              <w:rPr>
                <w:rFonts w:hint="eastAsia" w:hAnsi="宋体" w:cs="宋体"/>
                <w:snapToGrid w:val="0"/>
                <w:color w:val="auto"/>
                <w:kern w:val="0"/>
                <w:szCs w:val="24"/>
                <w:highlight w:val="none"/>
                <w:lang w:eastAsia="zh-CN"/>
              </w:rPr>
              <w:t>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6856" w:type="dxa"/>
            <w:tcBorders>
              <w:top w:val="single" w:color="auto" w:sz="4" w:space="0"/>
              <w:left w:val="single" w:color="auto" w:sz="4" w:space="0"/>
              <w:bottom w:val="single" w:color="auto" w:sz="4" w:space="0"/>
              <w:right w:val="single" w:color="auto" w:sz="4" w:space="0"/>
            </w:tcBorders>
            <w:vAlign w:val="center"/>
          </w:tcPr>
          <w:p w14:paraId="36C8F02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翁源县龙仙镇人民政府</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6856" w:type="dxa"/>
            <w:tcBorders>
              <w:top w:val="single" w:color="auto" w:sz="4" w:space="0"/>
              <w:left w:val="single" w:color="auto" w:sz="4" w:space="0"/>
              <w:bottom w:val="single" w:color="auto" w:sz="4" w:space="0"/>
              <w:right w:val="single" w:color="auto" w:sz="4" w:space="0"/>
            </w:tcBorders>
            <w:vAlign w:val="center"/>
          </w:tcPr>
          <w:p w14:paraId="027C296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翁源县发展和改革局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12"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6856" w:type="dxa"/>
            <w:tcBorders>
              <w:top w:val="single" w:color="auto" w:sz="4" w:space="0"/>
              <w:left w:val="single" w:color="auto" w:sz="4" w:space="0"/>
              <w:bottom w:val="single" w:color="auto" w:sz="4" w:space="0"/>
              <w:right w:val="single" w:color="auto" w:sz="4" w:space="0"/>
            </w:tcBorders>
            <w:vAlign w:val="center"/>
          </w:tcPr>
          <w:p w14:paraId="310CC6BC">
            <w:pPr>
              <w:pStyle w:val="119"/>
              <w:keepNext w:val="0"/>
              <w:keepLines w:val="0"/>
              <w:pageBreakBefore w:val="0"/>
              <w:widowControl w:val="0"/>
              <w:kinsoku/>
              <w:overflowPunct/>
              <w:topLinePunct w:val="0"/>
              <w:autoSpaceDE/>
              <w:autoSpaceDN/>
              <w:bidi w:val="0"/>
              <w:spacing w:line="500" w:lineRule="exact"/>
              <w:ind w:firstLine="480" w:firstLineChars="200"/>
              <w:jc w:val="left"/>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《翁源县发展和改革局关于翁源县“百千万工程”之全域推进农村人居环境整治建设项目可行性研究报告的批复》（发改投审(2025)25号）、《翁源县发展和改革局关于翁源县“百千万工程”</w:t>
            </w:r>
          </w:p>
          <w:p w14:paraId="52204F50">
            <w:pPr>
              <w:pStyle w:val="119"/>
              <w:keepNext w:val="0"/>
              <w:keepLines w:val="0"/>
              <w:pageBreakBefore w:val="0"/>
              <w:widowControl w:val="0"/>
              <w:kinsoku/>
              <w:overflowPunct/>
              <w:topLinePunct w:val="0"/>
              <w:autoSpaceDE/>
              <w:autoSpaceDN/>
              <w:bidi w:val="0"/>
              <w:spacing w:line="500" w:lineRule="exact"/>
              <w:jc w:val="left"/>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之全域推进农村人居环境整治建设项目(三期)初步设计概算的批复》（翁发改投审〔2026〕34号）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6856" w:type="dxa"/>
            <w:tcBorders>
              <w:top w:val="single" w:color="auto" w:sz="4" w:space="0"/>
              <w:left w:val="single" w:color="auto" w:sz="4" w:space="0"/>
              <w:bottom w:val="single" w:color="auto" w:sz="4" w:space="0"/>
              <w:right w:val="single" w:color="auto" w:sz="4" w:space="0"/>
            </w:tcBorders>
            <w:vAlign w:val="center"/>
          </w:tcPr>
          <w:p w14:paraId="2BAFF47C">
            <w:pPr>
              <w:pStyle w:val="119"/>
              <w:keepNext w:val="0"/>
              <w:keepLines w:val="0"/>
              <w:pageBreakBefore w:val="0"/>
              <w:widowControl w:val="0"/>
              <w:kinsoku/>
              <w:overflowPunct/>
              <w:topLinePunct w:val="0"/>
              <w:autoSpaceDE/>
              <w:autoSpaceDN/>
              <w:bidi w:val="0"/>
              <w:spacing w:line="500" w:lineRule="exact"/>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2412-440229-04-01-525170</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20"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6856" w:type="dxa"/>
            <w:tcBorders>
              <w:top w:val="single" w:color="auto" w:sz="4" w:space="0"/>
              <w:left w:val="single" w:color="auto" w:sz="4" w:space="0"/>
              <w:bottom w:val="single" w:color="auto" w:sz="4" w:space="0"/>
              <w:right w:val="single" w:color="auto" w:sz="4" w:space="0"/>
            </w:tcBorders>
            <w:vAlign w:val="center"/>
          </w:tcPr>
          <w:p w14:paraId="556F9C6E">
            <w:pPr>
              <w:keepNext w:val="0"/>
              <w:keepLines w:val="0"/>
              <w:pageBreakBefore w:val="0"/>
              <w:widowControl w:val="0"/>
              <w:tabs>
                <w:tab w:val="left" w:pos="5679"/>
              </w:tabs>
              <w:kinsoku/>
              <w:wordWrap w:val="0"/>
              <w:overflowPunct/>
              <w:topLinePunct w:val="0"/>
              <w:autoSpaceDE/>
              <w:autoSpaceDN/>
              <w:bidi w:val="0"/>
              <w:adjustRightInd w:val="0"/>
              <w:snapToGrid w:val="0"/>
              <w:spacing w:line="240" w:lineRule="auto"/>
              <w:ind w:firstLine="480" w:firstLineChars="200"/>
              <w:jc w:val="left"/>
              <w:textAlignment w:val="auto"/>
              <w:rPr>
                <w:rFonts w:hint="default" w:hAnsi="宋体" w:eastAsia="宋体" w:cs="宋体"/>
                <w:color w:val="auto"/>
                <w:kern w:val="0"/>
                <w:szCs w:val="24"/>
                <w:highlight w:val="none"/>
                <w:lang w:val="en-US" w:eastAsia="zh-CN"/>
              </w:rPr>
            </w:pPr>
            <w:r>
              <w:rPr>
                <w:rFonts w:hint="eastAsia" w:hAnsi="宋体" w:cs="宋体"/>
                <w:color w:val="auto"/>
                <w:kern w:val="0"/>
                <w:szCs w:val="24"/>
                <w:highlight w:val="none"/>
                <w:lang w:eastAsia="zh-CN"/>
              </w:rPr>
              <w:t>专项债资金与省级资金等上级资金，不足部分由地方财政统筹解决，100%</w:t>
            </w:r>
            <w:r>
              <w:rPr>
                <w:rFonts w:hint="eastAsia" w:hAnsi="宋体" w:cs="宋体"/>
                <w:color w:val="auto"/>
                <w:kern w:val="0"/>
                <w:szCs w:val="24"/>
                <w:highlight w:val="none"/>
                <w:lang w:eastAsia="zh-CN"/>
              </w:rPr>
              <w:tab/>
            </w:r>
            <w:r>
              <w:rPr>
                <w:rFonts w:hint="eastAsia" w:hAnsi="宋体" w:cs="宋体"/>
                <w:color w:val="auto"/>
                <w:kern w:val="0"/>
                <w:szCs w:val="24"/>
                <w:highlight w:val="none"/>
                <w:lang w:val="en-US" w:eastAsia="zh-CN"/>
              </w:rPr>
              <w:t xml:space="preserve">   </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6856" w:type="dxa"/>
            <w:tcBorders>
              <w:top w:val="single" w:color="auto" w:sz="4" w:space="0"/>
              <w:left w:val="single" w:color="auto" w:sz="4" w:space="0"/>
              <w:bottom w:val="single" w:color="auto" w:sz="4" w:space="0"/>
              <w:right w:val="single" w:color="auto" w:sz="4" w:space="0"/>
            </w:tcBorders>
            <w:vAlign w:val="center"/>
          </w:tcPr>
          <w:p w14:paraId="2B78CE37">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hAnsi="宋体" w:cs="宋体"/>
                <w:snapToGrid w:val="0"/>
                <w:color w:val="auto"/>
                <w:kern w:val="0"/>
                <w:sz w:val="24"/>
                <w:szCs w:val="32"/>
                <w:highlight w:val="none"/>
                <w:lang w:val="en-US" w:eastAsia="zh-CN"/>
              </w:rPr>
              <w:t>翁源县龙仙镇人民政府</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6856" w:type="dxa"/>
            <w:tcBorders>
              <w:top w:val="single" w:color="auto" w:sz="4" w:space="0"/>
              <w:left w:val="single" w:color="auto" w:sz="4" w:space="0"/>
              <w:bottom w:val="single" w:color="auto" w:sz="4" w:space="0"/>
              <w:right w:val="single" w:color="auto" w:sz="4" w:space="0"/>
            </w:tcBorders>
            <w:vAlign w:val="center"/>
          </w:tcPr>
          <w:p w14:paraId="247F9F6F">
            <w:pPr>
              <w:pStyle w:val="119"/>
              <w:keepNext w:val="0"/>
              <w:keepLines w:val="0"/>
              <w:pageBreakBefore w:val="0"/>
              <w:tabs>
                <w:tab w:val="left" w:pos="1890"/>
              </w:tabs>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汇龙工程咨询有限公司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施工单位</w:t>
            </w:r>
          </w:p>
        </w:tc>
        <w:tc>
          <w:tcPr>
            <w:tcW w:w="6856" w:type="dxa"/>
            <w:tcBorders>
              <w:top w:val="single" w:color="auto" w:sz="4" w:space="0"/>
              <w:left w:val="single" w:color="auto" w:sz="4" w:space="0"/>
              <w:bottom w:val="single" w:color="auto" w:sz="4" w:space="0"/>
              <w:right w:val="single" w:color="auto" w:sz="4" w:space="0"/>
            </w:tcBorders>
            <w:vAlign w:val="center"/>
          </w:tcPr>
          <w:p w14:paraId="5A573BF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eastAsia"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lang w:val="en-US" w:eastAsia="zh-CN"/>
              </w:rPr>
              <w:t>待定</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建设地点</w:t>
            </w:r>
          </w:p>
        </w:tc>
        <w:tc>
          <w:tcPr>
            <w:tcW w:w="685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default" w:hAnsi="宋体" w:eastAsia="宋体" w:cs="宋体"/>
                <w:bCs/>
                <w:snapToGrid w:val="0"/>
                <w:color w:val="auto"/>
                <w:kern w:val="0"/>
                <w:szCs w:val="24"/>
                <w:highlight w:val="none"/>
                <w:lang w:val="en-US" w:eastAsia="zh-CN"/>
              </w:rPr>
            </w:pPr>
            <w:r>
              <w:rPr>
                <w:rFonts w:hint="eastAsia" w:hAnsi="宋体" w:cs="宋体"/>
                <w:bCs/>
                <w:snapToGrid w:val="0"/>
                <w:color w:val="auto"/>
                <w:kern w:val="0"/>
                <w:szCs w:val="24"/>
                <w:highlight w:val="none"/>
              </w:rPr>
              <w:t>翁源</w:t>
            </w:r>
            <w:r>
              <w:rPr>
                <w:rFonts w:hint="eastAsia" w:hAnsi="宋体" w:cs="宋体"/>
                <w:bCs/>
                <w:snapToGrid w:val="0"/>
                <w:color w:val="auto"/>
                <w:kern w:val="0"/>
                <w:szCs w:val="24"/>
                <w:highlight w:val="none"/>
                <w:lang w:val="en-US" w:eastAsia="zh-CN"/>
              </w:rPr>
              <w:t>县龙仙镇</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9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6856" w:type="dxa"/>
            <w:tcBorders>
              <w:top w:val="single" w:color="auto" w:sz="4" w:space="0"/>
              <w:left w:val="single" w:color="auto" w:sz="4" w:space="0"/>
              <w:bottom w:val="single" w:color="auto" w:sz="4" w:space="0"/>
              <w:right w:val="single" w:color="auto" w:sz="4" w:space="0"/>
            </w:tcBorders>
            <w:vAlign w:val="center"/>
          </w:tcPr>
          <w:p w14:paraId="07AEA89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拟通过实施人居环境综合整治工程和基础设施改造工程，提高龙仙镇第四批典型村中坝村的农村人居环境与生活质量，改善乡容村貌，提升生活配套服务水平，实现“百县千镇万村高质量发展工程”的具体目标任务。建设内容主要包含人居环境整治提升、农房风貌管控、道路升级改造、村标建设及周边环境提升、鱼塘升级改造、生态停车场建设、村民健身广场建设、四小园建设、“三线”整治等基础设施工程及其他配套设施工程。</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70"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项目总投资</w:t>
            </w:r>
          </w:p>
        </w:tc>
        <w:tc>
          <w:tcPr>
            <w:tcW w:w="6856" w:type="dxa"/>
            <w:tcBorders>
              <w:top w:val="single" w:color="auto" w:sz="4" w:space="0"/>
              <w:left w:val="single" w:color="auto" w:sz="4" w:space="0"/>
              <w:bottom w:val="single" w:color="auto" w:sz="4" w:space="0"/>
              <w:right w:val="single" w:color="auto" w:sz="4" w:space="0"/>
            </w:tcBorders>
            <w:vAlign w:val="center"/>
          </w:tcPr>
          <w:p w14:paraId="5A4E55A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项目预估总投资约750万元，本次招标监理费约13万元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64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685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项目建设范围内的施工监理（含施工准备阶段、施工阶段、工程竣工验收阶段、工程结算阶段及缺陷责任保修期阶段的监理服务）。</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685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685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1．本次招标</w:t>
            </w:r>
            <w:r>
              <w:rPr>
                <w:rFonts w:hint="eastAsia" w:hAnsi="宋体" w:cs="宋体"/>
                <w:color w:val="auto"/>
                <w:szCs w:val="24"/>
                <w:highlight w:val="none"/>
                <w:u w:val="single"/>
              </w:rPr>
              <w:t>不接受</w:t>
            </w:r>
            <w:r>
              <w:rPr>
                <w:rFonts w:hint="eastAsia" w:hAnsi="宋体" w:cs="宋体"/>
                <w:color w:val="auto"/>
                <w:szCs w:val="24"/>
                <w:highlight w:val="none"/>
              </w:rPr>
              <w:t>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Cs w:val="24"/>
                <w:highlight w:val="none"/>
              </w:rPr>
            </w:pPr>
            <w:r>
              <w:rPr>
                <w:rFonts w:hint="eastAsia" w:hAnsi="宋体" w:cs="宋体"/>
                <w:color w:val="auto"/>
                <w:szCs w:val="24"/>
                <w:highlight w:val="none"/>
              </w:rPr>
              <w:t xml:space="preserve">2.2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val="en-US" w:eastAsia="zh-CN"/>
              </w:rPr>
              <w:t>市政公用</w:t>
            </w:r>
            <w:r>
              <w:rPr>
                <w:rFonts w:hint="eastAsia" w:ascii="宋体" w:hAnsi="宋体" w:eastAsia="宋体" w:cs="宋体"/>
                <w:color w:val="auto"/>
                <w:szCs w:val="24"/>
                <w:highlight w:val="none"/>
              </w:rPr>
              <w:t>工程监理乙级资质及以上（含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3.1 拟派总监理工程师为</w:t>
            </w:r>
            <w:r>
              <w:rPr>
                <w:rFonts w:hint="eastAsia" w:hAnsi="宋体" w:cs="宋体"/>
                <w:color w:val="auto"/>
                <w:szCs w:val="24"/>
                <w:highlight w:val="none"/>
                <w:lang w:val="en-US" w:eastAsia="zh-CN"/>
              </w:rPr>
              <w:t>市政公用</w:t>
            </w:r>
            <w:r>
              <w:rPr>
                <w:rFonts w:hint="eastAsia" w:hAnsi="宋体" w:cs="宋体"/>
                <w:color w:val="auto"/>
                <w:szCs w:val="24"/>
                <w:highlight w:val="none"/>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（14）</w:t>
            </w:r>
            <w:r>
              <w:rPr>
                <w:rFonts w:hint="eastAsia" w:hAnsi="宋体" w:cs="宋体"/>
                <w:color w:val="auto"/>
                <w:kern w:val="0"/>
                <w:highlight w:val="none"/>
              </w:rPr>
              <w:t>被“信用中国”网站（https://www.creditchina.gov.cn）发布的《法人和非法人组织公共信用信息报告》列为严重失信主体名单的</w:t>
            </w:r>
            <w:r>
              <w:rPr>
                <w:rFonts w:hint="eastAsia" w:hAnsi="宋体" w:cs="宋体"/>
                <w:color w:val="auto"/>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Cs w:val="24"/>
                <w:highlight w:val="none"/>
              </w:rPr>
            </w:pPr>
            <w:r>
              <w:rPr>
                <w:rFonts w:hint="eastAsia" w:hAnsi="宋体" w:cs="宋体"/>
                <w:color w:val="auto"/>
                <w:szCs w:val="24"/>
                <w:highlight w:val="none"/>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80"/>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80"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5B757AB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2880" w:type="dxa"/>
                  <w:noWrap w:val="0"/>
                  <w:vAlign w:val="center"/>
                </w:tcPr>
                <w:p w14:paraId="33309A4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翁源县龙仙镇人民政府</w:t>
                  </w:r>
                </w:p>
              </w:tc>
              <w:tc>
                <w:tcPr>
                  <w:tcW w:w="2966" w:type="dxa"/>
                  <w:noWrap w:val="0"/>
                  <w:vAlign w:val="center"/>
                </w:tcPr>
                <w:p w14:paraId="3109F4A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28FEDDA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2880" w:type="dxa"/>
                  <w:noWrap w:val="0"/>
                  <w:vAlign w:val="center"/>
                </w:tcPr>
                <w:p w14:paraId="22B974F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汇龙工程咨询有限公司</w:t>
                  </w:r>
                </w:p>
              </w:tc>
              <w:tc>
                <w:tcPr>
                  <w:tcW w:w="2966" w:type="dxa"/>
                  <w:noWrap w:val="0"/>
                  <w:vAlign w:val="center"/>
                </w:tcPr>
                <w:p w14:paraId="3A221F2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74118216">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2880" w:type="dxa"/>
                  <w:noWrap w:val="0"/>
                  <w:vAlign w:val="center"/>
                </w:tcPr>
                <w:p w14:paraId="0A3FF80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广东省国际工程咨询有限公司</w:t>
                  </w:r>
                </w:p>
              </w:tc>
              <w:tc>
                <w:tcPr>
                  <w:tcW w:w="2966" w:type="dxa"/>
                  <w:noWrap w:val="0"/>
                  <w:vAlign w:val="center"/>
                </w:tcPr>
                <w:p w14:paraId="5C95264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5992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387C8DC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2880" w:type="dxa"/>
                  <w:noWrap w:val="0"/>
                  <w:vAlign w:val="center"/>
                </w:tcPr>
                <w:p w14:paraId="48F0E6C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广</w:t>
                  </w:r>
                  <w:r>
                    <w:rPr>
                      <w:rFonts w:hint="eastAsia" w:ascii="宋体" w:hAnsi="宋体" w:eastAsia="宋体" w:cs="宋体"/>
                      <w:snapToGrid w:val="0"/>
                      <w:color w:val="auto"/>
                      <w:kern w:val="0"/>
                      <w:sz w:val="24"/>
                      <w:szCs w:val="24"/>
                      <w:highlight w:val="none"/>
                      <w:lang w:val="en-US" w:eastAsia="zh-CN" w:bidi="ar-SA"/>
                    </w:rPr>
                    <w:t>州博厦建筑设计研究院有限公司</w:t>
                  </w:r>
                </w:p>
              </w:tc>
              <w:tc>
                <w:tcPr>
                  <w:tcW w:w="2966" w:type="dxa"/>
                  <w:noWrap w:val="0"/>
                  <w:vAlign w:val="center"/>
                </w:tcPr>
                <w:p w14:paraId="60AFBE0C">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为本项目的</w:t>
                  </w:r>
                  <w:r>
                    <w:rPr>
                      <w:rFonts w:hint="eastAsia" w:ascii="宋体" w:hAnsi="宋体" w:cs="宋体"/>
                      <w:color w:val="auto"/>
                      <w:sz w:val="24"/>
                      <w:szCs w:val="24"/>
                      <w:highlight w:val="none"/>
                      <w:lang w:val="en-US" w:eastAsia="zh-CN"/>
                    </w:rPr>
                    <w:t>设计</w:t>
                  </w:r>
                  <w:r>
                    <w:rPr>
                      <w:rFonts w:hint="eastAsia" w:ascii="宋体" w:hAnsi="宋体" w:eastAsia="宋体" w:cs="宋体"/>
                      <w:color w:val="auto"/>
                      <w:sz w:val="24"/>
                      <w:szCs w:val="24"/>
                      <w:highlight w:val="none"/>
                    </w:rPr>
                    <w:t>单位</w:t>
                  </w:r>
                </w:p>
              </w:tc>
            </w:tr>
            <w:tr w14:paraId="401A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noWrap w:val="0"/>
                  <w:vAlign w:val="center"/>
                </w:tcPr>
                <w:p w14:paraId="15065AB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5</w:t>
                  </w:r>
                </w:p>
              </w:tc>
              <w:tc>
                <w:tcPr>
                  <w:tcW w:w="2880" w:type="dxa"/>
                  <w:noWrap w:val="0"/>
                  <w:vAlign w:val="center"/>
                </w:tcPr>
                <w:p w14:paraId="414D656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国昇设计有限责任公司</w:t>
                  </w:r>
                </w:p>
              </w:tc>
              <w:tc>
                <w:tcPr>
                  <w:tcW w:w="2966" w:type="dxa"/>
                  <w:noWrap w:val="0"/>
                  <w:vAlign w:val="center"/>
                </w:tcPr>
                <w:p w14:paraId="7D85D019">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为本项目的</w:t>
                  </w:r>
                  <w:r>
                    <w:rPr>
                      <w:rFonts w:hint="eastAsia" w:ascii="宋体" w:hAnsi="宋体" w:cs="宋体"/>
                      <w:color w:val="auto"/>
                      <w:sz w:val="24"/>
                      <w:szCs w:val="24"/>
                      <w:highlight w:val="none"/>
                      <w:lang w:val="en-US" w:eastAsia="zh-CN"/>
                    </w:rPr>
                    <w:t>造价咨询</w:t>
                  </w:r>
                  <w:r>
                    <w:rPr>
                      <w:rFonts w:hint="eastAsia" w:ascii="宋体" w:hAnsi="宋体" w:eastAsia="宋体" w:cs="宋体"/>
                      <w:color w:val="auto"/>
                      <w:sz w:val="24"/>
                      <w:szCs w:val="24"/>
                      <w:highlight w:val="none"/>
                    </w:rPr>
                    <w:t>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Cs w:val="24"/>
                <w:highlight w:val="none"/>
              </w:rPr>
            </w:pPr>
            <w:r>
              <w:rPr>
                <w:rFonts w:hint="eastAsia" w:hAnsi="宋体" w:cs="宋体"/>
                <w:color w:val="auto"/>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685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lang w:val="en-US" w:eastAsia="zh-CN"/>
              </w:rPr>
              <w:t>本项目施工工期：90日历天；</w:t>
            </w:r>
            <w:r>
              <w:rPr>
                <w:rFonts w:hint="eastAsia" w:hAnsi="宋体" w:cs="宋体"/>
                <w:snapToGrid w:val="0"/>
                <w:color w:val="auto"/>
                <w:kern w:val="0"/>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685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685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685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eastAsia="宋体" w:cs="宋体"/>
                <w:color w:val="auto"/>
                <w:highlight w:val="none"/>
                <w:lang w:eastAsia="zh-CN"/>
              </w:rPr>
            </w:pPr>
            <w:r>
              <w:rPr>
                <w:rFonts w:hint="eastAsia" w:hAnsi="宋体" w:cs="宋体"/>
                <w:color w:val="auto"/>
                <w:highlight w:val="none"/>
              </w:rPr>
              <w:t>1.投标人须缴纳金额为人民币</w:t>
            </w:r>
            <w:r>
              <w:rPr>
                <w:rFonts w:hint="eastAsia" w:hAnsi="宋体" w:cs="宋体"/>
                <w:color w:val="auto"/>
                <w:highlight w:val="none"/>
                <w:u w:val="single"/>
                <w:lang w:val="en-US" w:eastAsia="zh-CN"/>
              </w:rPr>
              <w:t>贰仟</w:t>
            </w:r>
            <w:r>
              <w:rPr>
                <w:rFonts w:hint="eastAsia" w:hAnsi="宋体" w:cs="宋体"/>
                <w:color w:val="auto"/>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685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6856" w:type="dxa"/>
            <w:tcBorders>
              <w:top w:val="single" w:color="auto" w:sz="4" w:space="0"/>
              <w:left w:val="single" w:color="auto" w:sz="4" w:space="0"/>
              <w:bottom w:val="single" w:color="auto" w:sz="4" w:space="0"/>
              <w:right w:val="single" w:color="auto" w:sz="4" w:space="0"/>
            </w:tcBorders>
            <w:vAlign w:val="center"/>
          </w:tcPr>
          <w:p w14:paraId="2210B60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val="en-US" w:eastAsia="zh-CN"/>
              </w:rPr>
              <w:t>两</w:t>
            </w:r>
            <w:r>
              <w:rPr>
                <w:rFonts w:hint="eastAsia" w:hAnsi="宋体" w:cs="宋体"/>
                <w:snapToGrid w:val="0"/>
                <w:color w:val="auto"/>
                <w:kern w:val="0"/>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685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综合评估法</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685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685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5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5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9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CA2CE30">
            <w:pPr>
              <w:pStyle w:val="28"/>
              <w:keepNext w:val="0"/>
              <w:keepLines w:val="0"/>
              <w:widowControl/>
              <w:suppressLineNumbers w:val="0"/>
              <w:wordWrap/>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招标人联系方式</w:t>
            </w:r>
          </w:p>
        </w:tc>
        <w:tc>
          <w:tcPr>
            <w:tcW w:w="6856" w:type="dxa"/>
            <w:tcBorders>
              <w:top w:val="single" w:color="auto" w:sz="4" w:space="0"/>
              <w:left w:val="single" w:color="auto" w:sz="4" w:space="0"/>
              <w:bottom w:val="single" w:color="auto" w:sz="4" w:space="0"/>
              <w:right w:val="single" w:color="auto" w:sz="4" w:space="0"/>
            </w:tcBorders>
            <w:vAlign w:val="center"/>
          </w:tcPr>
          <w:p w14:paraId="1511AD60">
            <w:pPr>
              <w:pStyle w:val="28"/>
              <w:keepNext w:val="0"/>
              <w:keepLines w:val="0"/>
              <w:widowControl/>
              <w:suppressLineNumbers w:val="0"/>
              <w:wordWrap/>
              <w:ind w:left="240" w:leftChars="100" w:firstLine="0" w:firstLineChars="0"/>
              <w:jc w:val="left"/>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w:t>
            </w:r>
            <w:r>
              <w:rPr>
                <w:rFonts w:hint="eastAsia" w:cs="宋体"/>
                <w:snapToGrid w:val="0"/>
                <w:color w:val="auto"/>
                <w:kern w:val="0"/>
                <w:sz w:val="24"/>
                <w:szCs w:val="24"/>
                <w:highlight w:val="none"/>
                <w:lang w:val="en-US" w:eastAsia="zh-CN" w:bidi="ar-SA"/>
              </w:rPr>
              <w:t>翁源县龙仙镇人民政府</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地址：</w:t>
            </w:r>
            <w:r>
              <w:rPr>
                <w:rFonts w:hint="eastAsia" w:cs="宋体"/>
                <w:snapToGrid w:val="0"/>
                <w:color w:val="auto"/>
                <w:kern w:val="0"/>
                <w:sz w:val="24"/>
                <w:szCs w:val="24"/>
                <w:highlight w:val="none"/>
                <w:lang w:val="en-US" w:eastAsia="zh-CN" w:bidi="ar-SA"/>
              </w:rPr>
              <w:t>龙仙镇解放路13号</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w:t>
            </w:r>
            <w:r>
              <w:rPr>
                <w:rFonts w:hint="eastAsia" w:cs="宋体"/>
                <w:snapToGrid w:val="0"/>
                <w:color w:val="auto"/>
                <w:kern w:val="0"/>
                <w:sz w:val="24"/>
                <w:szCs w:val="24"/>
                <w:highlight w:val="none"/>
                <w:lang w:val="en-US" w:eastAsia="zh-CN" w:bidi="ar-SA"/>
              </w:rPr>
              <w:t>何生</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联系电话：</w:t>
            </w:r>
            <w:r>
              <w:rPr>
                <w:rFonts w:hint="eastAsia" w:cs="宋体"/>
                <w:snapToGrid w:val="0"/>
                <w:color w:val="auto"/>
                <w:kern w:val="0"/>
                <w:sz w:val="24"/>
                <w:szCs w:val="24"/>
                <w:highlight w:val="none"/>
                <w:lang w:val="en-US" w:eastAsia="zh-CN" w:bidi="ar-SA"/>
              </w:rPr>
              <w:t>15622306758</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top"/>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rPr>
              <w:t>27</w:t>
            </w:r>
          </w:p>
        </w:tc>
        <w:tc>
          <w:tcPr>
            <w:tcW w:w="1725" w:type="dxa"/>
            <w:tcBorders>
              <w:top w:val="single" w:color="auto" w:sz="4" w:space="0"/>
              <w:left w:val="single" w:color="auto" w:sz="4" w:space="0"/>
              <w:bottom w:val="single" w:color="auto" w:sz="4" w:space="0"/>
              <w:right w:val="single" w:color="auto" w:sz="4" w:space="0"/>
            </w:tcBorders>
            <w:vAlign w:val="center"/>
          </w:tcPr>
          <w:p w14:paraId="61EAB285">
            <w:pPr>
              <w:pStyle w:val="28"/>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招标代理机构联系方式</w:t>
            </w:r>
          </w:p>
        </w:tc>
        <w:tc>
          <w:tcPr>
            <w:tcW w:w="6856" w:type="dxa"/>
            <w:tcBorders>
              <w:top w:val="single" w:color="auto" w:sz="4" w:space="0"/>
              <w:left w:val="single" w:color="auto" w:sz="4" w:space="0"/>
              <w:bottom w:val="single" w:color="auto" w:sz="4" w:space="0"/>
              <w:right w:val="single" w:color="auto" w:sz="4" w:space="0"/>
            </w:tcBorders>
            <w:vAlign w:val="top"/>
          </w:tcPr>
          <w:p w14:paraId="455FD8F5">
            <w:pPr>
              <w:pStyle w:val="28"/>
              <w:keepNext w:val="0"/>
              <w:keepLines w:val="0"/>
              <w:widowControl/>
              <w:suppressLineNumbers w:val="0"/>
              <w:ind w:left="240" w:leftChars="100" w:firstLine="0" w:firstLineChars="0"/>
              <w:jc w:val="left"/>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单位名称：汇龙工程咨询有限公司</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办公地址：韶关市翁源县龙仙镇河口村日光小组文化室201房</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联系人：李</w:t>
            </w:r>
            <w:r>
              <w:rPr>
                <w:rFonts w:hint="eastAsia" w:cs="宋体"/>
                <w:snapToGrid w:val="0"/>
                <w:color w:val="auto"/>
                <w:kern w:val="0"/>
                <w:sz w:val="24"/>
                <w:szCs w:val="24"/>
                <w:highlight w:val="none"/>
                <w:lang w:val="en-US" w:eastAsia="zh-CN" w:bidi="ar-SA"/>
              </w:rPr>
              <w:t>媚</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电话：0751-2828218</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top"/>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rPr>
              <w:t>28</w:t>
            </w:r>
          </w:p>
        </w:tc>
        <w:tc>
          <w:tcPr>
            <w:tcW w:w="1725" w:type="dxa"/>
            <w:tcBorders>
              <w:top w:val="single" w:color="auto" w:sz="4" w:space="0"/>
              <w:left w:val="single" w:color="auto" w:sz="4" w:space="0"/>
              <w:bottom w:val="single" w:color="auto" w:sz="4" w:space="0"/>
              <w:right w:val="single" w:color="auto" w:sz="4" w:space="0"/>
            </w:tcBorders>
            <w:vAlign w:val="center"/>
          </w:tcPr>
          <w:p w14:paraId="39E802A2">
            <w:pPr>
              <w:pStyle w:val="28"/>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交易场所联系方式</w:t>
            </w:r>
          </w:p>
        </w:tc>
        <w:tc>
          <w:tcPr>
            <w:tcW w:w="6856" w:type="dxa"/>
            <w:tcBorders>
              <w:top w:val="single" w:color="auto" w:sz="4" w:space="0"/>
              <w:left w:val="single" w:color="auto" w:sz="4" w:space="0"/>
              <w:bottom w:val="single" w:color="auto" w:sz="4" w:space="0"/>
              <w:right w:val="single" w:color="auto" w:sz="4" w:space="0"/>
            </w:tcBorders>
            <w:vAlign w:val="top"/>
          </w:tcPr>
          <w:p w14:paraId="52A159D9">
            <w:pPr>
              <w:pStyle w:val="28"/>
              <w:keepNext w:val="0"/>
              <w:keepLines w:val="0"/>
              <w:widowControl/>
              <w:suppressLineNumbers w:val="0"/>
              <w:ind w:left="240" w:leftChars="100" w:firstLine="0" w:firstLineChars="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单位名称：韶关市公共资源交易中心</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办公地址：翁源县龙仙镇朝阳路63号韶关市公共资源交易中心翁源分中心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联系人（部门）：工程交易股</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联系电话：0751-2815819</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top"/>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cs="宋体"/>
                <w:snapToGrid w:val="0"/>
                <w:color w:val="auto"/>
                <w:kern w:val="0"/>
                <w:szCs w:val="24"/>
                <w:highlight w:val="none"/>
                <w:lang w:val="en-US" w:eastAsia="zh-CN"/>
              </w:rPr>
            </w:pPr>
            <w:r>
              <w:rPr>
                <w:rFonts w:hint="eastAsia" w:hAnsi="宋体" w:cs="宋体"/>
                <w:snapToGrid w:val="0"/>
                <w:color w:val="auto"/>
                <w:kern w:val="0"/>
                <w:szCs w:val="24"/>
                <w:highlight w:val="none"/>
              </w:rPr>
              <w:t>29</w:t>
            </w:r>
          </w:p>
        </w:tc>
        <w:tc>
          <w:tcPr>
            <w:tcW w:w="1725" w:type="dxa"/>
            <w:tcBorders>
              <w:top w:val="single" w:color="auto" w:sz="4" w:space="0"/>
              <w:left w:val="single" w:color="auto" w:sz="4" w:space="0"/>
              <w:bottom w:val="single" w:color="auto" w:sz="4" w:space="0"/>
              <w:right w:val="single" w:color="auto" w:sz="4" w:space="0"/>
            </w:tcBorders>
            <w:vAlign w:val="center"/>
          </w:tcPr>
          <w:p w14:paraId="7D06EA50">
            <w:pPr>
              <w:pStyle w:val="28"/>
              <w:keepNext w:val="0"/>
              <w:keepLines w:val="0"/>
              <w:widowControl/>
              <w:suppressLineNumbers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行政监督部门联系方式</w:t>
            </w:r>
          </w:p>
        </w:tc>
        <w:tc>
          <w:tcPr>
            <w:tcW w:w="6856" w:type="dxa"/>
            <w:tcBorders>
              <w:top w:val="single" w:color="auto" w:sz="4" w:space="0"/>
              <w:left w:val="single" w:color="auto" w:sz="4" w:space="0"/>
              <w:bottom w:val="single" w:color="auto" w:sz="4" w:space="0"/>
              <w:right w:val="single" w:color="auto" w:sz="4" w:space="0"/>
            </w:tcBorders>
            <w:vAlign w:val="top"/>
          </w:tcPr>
          <w:p w14:paraId="38D48A3B">
            <w:pPr>
              <w:pStyle w:val="28"/>
              <w:keepNext w:val="0"/>
              <w:keepLines w:val="0"/>
              <w:widowControl/>
              <w:suppressLineNumbers w:val="0"/>
              <w:ind w:left="240" w:leftChars="100" w:firstLine="0" w:firstLineChars="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单位名称：翁源县农业农村局</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办公地址：翁源县龙仙镇建设一路253号</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联系人（部门）：农促股</w:t>
            </w:r>
            <w:r>
              <w:rPr>
                <w:rFonts w:hint="eastAsia" w:ascii="宋体" w:hAnsi="宋体" w:eastAsia="宋体" w:cs="宋体"/>
                <w:snapToGrid w:val="0"/>
                <w:color w:val="auto"/>
                <w:kern w:val="0"/>
                <w:sz w:val="24"/>
                <w:szCs w:val="24"/>
                <w:highlight w:val="none"/>
                <w:lang w:val="en-US" w:eastAsia="zh-CN" w:bidi="ar-SA"/>
              </w:rPr>
              <w:br w:type="textWrapping"/>
            </w:r>
            <w:r>
              <w:rPr>
                <w:rFonts w:hint="eastAsia" w:ascii="宋体" w:hAnsi="宋体" w:eastAsia="宋体" w:cs="宋体"/>
                <w:snapToGrid w:val="0"/>
                <w:color w:val="auto"/>
                <w:kern w:val="0"/>
                <w:sz w:val="24"/>
                <w:szCs w:val="24"/>
                <w:highlight w:val="none"/>
                <w:lang w:val="en-US" w:eastAsia="zh-CN" w:bidi="ar-SA"/>
              </w:rPr>
              <w:t>联系电话：0751-2873197</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5"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671103"/>
            <w:bookmarkStart w:id="6" w:name="_Toc122859103"/>
            <w:bookmarkStart w:id="7" w:name="_Toc122769943"/>
            <w:r>
              <w:rPr>
                <w:rFonts w:hint="eastAsia" w:hAnsi="宋体" w:cs="宋体"/>
                <w:snapToGrid w:val="0"/>
                <w:color w:val="auto"/>
                <w:kern w:val="0"/>
                <w:szCs w:val="24"/>
                <w:highlight w:val="none"/>
              </w:rPr>
              <w:t>3</w:t>
            </w:r>
            <w:r>
              <w:rPr>
                <w:rFonts w:hint="eastAsia" w:hAnsi="宋体" w:cs="宋体"/>
                <w:snapToGrid w:val="0"/>
                <w:color w:val="auto"/>
                <w:kern w:val="0"/>
                <w:szCs w:val="24"/>
                <w:highlight w:val="none"/>
                <w:lang w:val="en-US" w:eastAsia="zh-CN"/>
              </w:rPr>
              <w:t>0</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术语</w:t>
            </w:r>
          </w:p>
        </w:tc>
        <w:tc>
          <w:tcPr>
            <w:tcW w:w="685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其他费用</w:t>
            </w:r>
          </w:p>
        </w:tc>
        <w:tc>
          <w:tcPr>
            <w:tcW w:w="685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服务费由中标人支付，该费用不再另行报价，由投标人在投标报价时综合考虑在内。中标人须向招标代理机构一次性支付（招标代理服务费：参照《关于印发&lt;招标代理服务收费管理暂行办法&gt;通知》[2002]1980号文以中标价为基数并下浮20%计取，</w:t>
            </w:r>
            <w:r>
              <w:rPr>
                <w:rFonts w:hint="eastAsia" w:ascii="宋体" w:hAnsi="宋体" w:eastAsia="宋体" w:cs="宋体"/>
                <w:snapToGrid w:val="0"/>
                <w:color w:val="auto"/>
                <w:kern w:val="0"/>
                <w:sz w:val="24"/>
                <w:szCs w:val="24"/>
                <w:highlight w:val="none"/>
                <w:lang w:val="en-US" w:eastAsia="zh-CN"/>
              </w:rPr>
              <w:t>中标人在领取中标通知书前须向招标代理机构一次性支付本项目的招标代理服务费。</w:t>
            </w:r>
            <w:r>
              <w:rPr>
                <w:rFonts w:hint="eastAsia" w:asciiTheme="minorEastAsia" w:hAnsiTheme="minorEastAsia" w:eastAsiaTheme="minorEastAsia" w:cstheme="minorEastAsia"/>
                <w:snapToGrid w:val="0"/>
                <w:color w:val="auto"/>
                <w:kern w:val="0"/>
                <w:sz w:val="24"/>
                <w:szCs w:val="24"/>
                <w:highlight w:val="none"/>
                <w:lang w:val="en-US" w:eastAsia="zh-CN"/>
              </w:rPr>
              <w:t>具体以签订的合同为准。</w:t>
            </w:r>
          </w:p>
        </w:tc>
      </w:tr>
    </w:tbl>
    <w:p w14:paraId="4F29BA6C">
      <w:pPr>
        <w:pStyle w:val="4"/>
        <w:wordWrap w:val="0"/>
        <w:autoSpaceDE/>
        <w:autoSpaceDN/>
        <w:snapToGrid w:val="0"/>
        <w:spacing w:before="260" w:after="260" w:line="440" w:lineRule="exact"/>
        <w:jc w:val="both"/>
        <w:rPr>
          <w:rFonts w:ascii="Times New Roman"/>
          <w:b/>
          <w:snapToGrid w:val="0"/>
          <w:color w:val="auto"/>
          <w:highlight w:val="none"/>
        </w:rPr>
        <w:sectPr>
          <w:footerReference r:id="rId8" w:type="default"/>
          <w:endnotePr>
            <w:numFmt w:val="decimal"/>
          </w:endnotePr>
          <w:pgSz w:w="11906" w:h="16838"/>
          <w:pgMar w:top="1417" w:right="1417" w:bottom="1417" w:left="1417" w:header="850" w:footer="992" w:gutter="0"/>
          <w:pgNumType w:fmt="decimal" w:start="1"/>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auto"/>
          <w:highlight w:val="none"/>
        </w:rPr>
      </w:pPr>
      <w:bookmarkStart w:id="8" w:name="_Toc714"/>
      <w:bookmarkStart w:id="9" w:name="_Toc32522"/>
      <w:r>
        <w:rPr>
          <w:rFonts w:hint="eastAsia" w:ascii="Times New Roman"/>
          <w:b/>
          <w:snapToGrid w:val="0"/>
          <w:color w:val="auto"/>
          <w:highlight w:val="none"/>
        </w:rPr>
        <w:t>第二节 重要事项时间地点一览表</w:t>
      </w:r>
      <w:bookmarkEnd w:id="8"/>
      <w:bookmarkEnd w:id="9"/>
    </w:p>
    <w:tbl>
      <w:tblPr>
        <w:tblStyle w:val="31"/>
        <w:tblW w:w="10179"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57" w:type="dxa"/>
          <w:bottom w:w="0" w:type="dxa"/>
          <w:right w:w="57" w:type="dxa"/>
        </w:tblCellMar>
      </w:tblPr>
      <w:tblGrid>
        <w:gridCol w:w="491"/>
        <w:gridCol w:w="1756"/>
        <w:gridCol w:w="7932"/>
      </w:tblGrid>
      <w:tr w14:paraId="673165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4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1B6C0CD">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756" w:type="dxa"/>
            <w:tcBorders>
              <w:top w:val="single" w:color="080000" w:sz="4" w:space="0"/>
              <w:left w:val="single" w:color="080000" w:sz="4" w:space="0"/>
              <w:bottom w:val="single" w:color="080000" w:sz="4" w:space="0"/>
              <w:right w:val="single" w:color="080000" w:sz="4" w:space="0"/>
            </w:tcBorders>
            <w:vAlign w:val="center"/>
          </w:tcPr>
          <w:p w14:paraId="0797CB9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招标公告</w:t>
            </w:r>
          </w:p>
          <w:p w14:paraId="13F62A2A">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发布时间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F4E5CEF">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17</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5A0D20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2"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61FD2847">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56" w:type="dxa"/>
            <w:tcBorders>
              <w:top w:val="single" w:color="080000" w:sz="4" w:space="0"/>
              <w:left w:val="single" w:color="080000" w:sz="4" w:space="0"/>
              <w:bottom w:val="single" w:color="080000" w:sz="4" w:space="0"/>
              <w:right w:val="single" w:color="080000" w:sz="4" w:space="0"/>
            </w:tcBorders>
            <w:vAlign w:val="center"/>
          </w:tcPr>
          <w:p w14:paraId="6D4969C3">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获取招标文件截止时间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78D661A0">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7B0509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8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BDAC1CA">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56" w:type="dxa"/>
            <w:tcBorders>
              <w:top w:val="single" w:color="080000" w:sz="4" w:space="0"/>
              <w:left w:val="single" w:color="080000" w:sz="4" w:space="0"/>
              <w:bottom w:val="single" w:color="080000" w:sz="4" w:space="0"/>
              <w:right w:val="single" w:color="080000" w:sz="4" w:space="0"/>
            </w:tcBorders>
            <w:vAlign w:val="center"/>
          </w:tcPr>
          <w:p w14:paraId="6259627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网上提问</w:t>
            </w:r>
          </w:p>
          <w:p w14:paraId="57C3AED6">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5370E150">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19</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w:t>
            </w:r>
          </w:p>
        </w:tc>
      </w:tr>
      <w:tr w14:paraId="101064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51"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A03DB83">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56" w:type="dxa"/>
            <w:tcBorders>
              <w:top w:val="single" w:color="080000" w:sz="4" w:space="0"/>
              <w:left w:val="single" w:color="080000" w:sz="4" w:space="0"/>
              <w:bottom w:val="single" w:color="080000" w:sz="4" w:space="0"/>
              <w:right w:val="single" w:color="080000" w:sz="4" w:space="0"/>
            </w:tcBorders>
            <w:vAlign w:val="center"/>
          </w:tcPr>
          <w:p w14:paraId="4D015354">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网上答疑</w:t>
            </w:r>
          </w:p>
          <w:p w14:paraId="2D7C8154">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58246610">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19</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30 </w:t>
            </w:r>
            <w:r>
              <w:rPr>
                <w:rFonts w:hint="eastAsia" w:ascii="宋体" w:hAnsi="宋体" w:eastAsia="宋体" w:cs="宋体"/>
                <w:color w:val="auto"/>
                <w:kern w:val="0"/>
                <w:sz w:val="24"/>
                <w:szCs w:val="24"/>
                <w:highlight w:val="none"/>
                <w:lang w:val="en-US" w:eastAsia="zh-CN" w:bidi="ar-SA"/>
              </w:rPr>
              <w:t>分至</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22</w:t>
            </w:r>
            <w:r>
              <w:rPr>
                <w:rFonts w:hint="eastAsia" w:ascii="宋体" w:hAnsi="宋体" w:eastAsia="宋体" w:cs="宋体"/>
                <w:color w:val="auto"/>
                <w:kern w:val="0"/>
                <w:sz w:val="24"/>
                <w:szCs w:val="24"/>
                <w:highlight w:val="none"/>
                <w:lang w:val="en-US" w:eastAsia="zh-CN" w:bidi="ar-SA"/>
              </w:rPr>
              <w:t>日</w:t>
            </w:r>
            <w:r>
              <w:rPr>
                <w:rFonts w:hint="eastAsia" w:ascii="宋体" w:hAnsi="宋体" w:eastAsia="宋体" w:cs="宋体"/>
                <w:color w:val="auto"/>
                <w:kern w:val="0"/>
                <w:sz w:val="24"/>
                <w:szCs w:val="24"/>
                <w:highlight w:val="none"/>
                <w:u w:val="single"/>
                <w:lang w:val="en-US" w:eastAsia="zh-CN" w:bidi="ar-SA"/>
              </w:rPr>
              <w:t xml:space="preserve"> 16 </w:t>
            </w:r>
            <w:r>
              <w:rPr>
                <w:rFonts w:hint="eastAsia" w:ascii="宋体" w:hAnsi="宋体" w:eastAsia="宋体" w:cs="宋体"/>
                <w:color w:val="auto"/>
                <w:kern w:val="0"/>
                <w:sz w:val="24"/>
                <w:szCs w:val="24"/>
                <w:highlight w:val="none"/>
                <w:lang w:val="en-US" w:eastAsia="zh-CN" w:bidi="ar-SA"/>
              </w:rPr>
              <w:t>时</w:t>
            </w:r>
            <w:r>
              <w:rPr>
                <w:rFonts w:hint="eastAsia" w:ascii="宋体" w:hAnsi="宋体" w:eastAsia="宋体" w:cs="宋体"/>
                <w:color w:val="auto"/>
                <w:kern w:val="0"/>
                <w:sz w:val="24"/>
                <w:szCs w:val="24"/>
                <w:highlight w:val="none"/>
                <w:u w:val="single"/>
                <w:lang w:val="en-US" w:eastAsia="zh-CN" w:bidi="ar-SA"/>
              </w:rPr>
              <w:t xml:space="preserve"> 00</w:t>
            </w:r>
            <w:r>
              <w:rPr>
                <w:rFonts w:hint="eastAsia" w:ascii="宋体" w:hAnsi="宋体" w:eastAsia="宋体" w:cs="宋体"/>
                <w:color w:val="auto"/>
                <w:kern w:val="0"/>
                <w:sz w:val="24"/>
                <w:szCs w:val="24"/>
                <w:highlight w:val="none"/>
                <w:lang w:val="en-US" w:eastAsia="zh-CN" w:bidi="ar-SA"/>
              </w:rPr>
              <w:t>分</w:t>
            </w:r>
          </w:p>
        </w:tc>
      </w:tr>
      <w:tr w14:paraId="38C9A3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638"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085E5DA">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56" w:type="dxa"/>
            <w:tcBorders>
              <w:top w:val="single" w:color="080000" w:sz="4" w:space="0"/>
              <w:left w:val="single" w:color="080000" w:sz="4" w:space="0"/>
              <w:bottom w:val="single" w:color="080000" w:sz="4" w:space="0"/>
              <w:right w:val="single" w:color="080000" w:sz="4" w:space="0"/>
            </w:tcBorders>
            <w:vAlign w:val="center"/>
          </w:tcPr>
          <w:p w14:paraId="4FE4E15B">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投标保证缴</w:t>
            </w:r>
          </w:p>
          <w:p w14:paraId="534BCB01">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纳截止时间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5C00812F">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投标保证金到账截止时间：</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28</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4FD62677">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投标保证担保上传截止时间：</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28</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p w14:paraId="02A26BBC">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投标保证保险投保截止时间：</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28</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19C78D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96"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3AED9F60">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56" w:type="dxa"/>
            <w:tcBorders>
              <w:top w:val="single" w:color="080000" w:sz="4" w:space="0"/>
              <w:left w:val="single" w:color="080000" w:sz="4" w:space="0"/>
              <w:bottom w:val="single" w:color="080000" w:sz="4" w:space="0"/>
              <w:right w:val="single" w:color="080000" w:sz="4" w:space="0"/>
            </w:tcBorders>
            <w:vAlign w:val="center"/>
          </w:tcPr>
          <w:p w14:paraId="35292E2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电子投标</w:t>
            </w:r>
          </w:p>
          <w:p w14:paraId="083CEE5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截止时间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17827926">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SA"/>
              </w:rPr>
              <w:t xml:space="preserve"> </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2E7EDE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AE7DCF3">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756" w:type="dxa"/>
            <w:tcBorders>
              <w:top w:val="single" w:color="080000" w:sz="4" w:space="0"/>
              <w:left w:val="single" w:color="080000" w:sz="4" w:space="0"/>
              <w:bottom w:val="single" w:color="080000" w:sz="4" w:space="0"/>
              <w:right w:val="single" w:color="080000" w:sz="4" w:space="0"/>
            </w:tcBorders>
            <w:vAlign w:val="center"/>
          </w:tcPr>
          <w:p w14:paraId="16535467">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326B11F8">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递交时间</w:t>
            </w:r>
          </w:p>
        </w:tc>
        <w:tc>
          <w:tcPr>
            <w:tcW w:w="7932" w:type="dxa"/>
            <w:tcBorders>
              <w:top w:val="single" w:color="080000" w:sz="4" w:space="0"/>
              <w:left w:val="single" w:color="080000" w:sz="4" w:space="0"/>
              <w:bottom w:val="single" w:color="080000" w:sz="4" w:space="0"/>
              <w:right w:val="single" w:color="080000" w:sz="4" w:space="0"/>
            </w:tcBorders>
            <w:vAlign w:val="center"/>
          </w:tcPr>
          <w:p w14:paraId="2B87C0CA">
            <w:pPr>
              <w:keepNext w:val="0"/>
              <w:keepLines w:val="0"/>
              <w:pageBreakBefore w:val="0"/>
              <w:widowControl w:val="0"/>
              <w:kinsoku/>
              <w:wordWrap w:val="0"/>
              <w:overflowPunct/>
              <w:topLinePunct/>
              <w:autoSpaceDE/>
              <w:autoSpaceDN/>
              <w:bidi w:val="0"/>
              <w:adjustRightInd w:val="0"/>
              <w:snapToGrid w:val="0"/>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00</w:t>
            </w:r>
            <w:r>
              <w:rPr>
                <w:rFonts w:hint="eastAsia" w:ascii="宋体" w:hAnsi="宋体" w:eastAsia="宋体" w:cs="宋体"/>
                <w:color w:val="auto"/>
                <w:kern w:val="0"/>
                <w:sz w:val="24"/>
                <w:szCs w:val="24"/>
                <w:highlight w:val="none"/>
                <w:lang w:val="en-US" w:eastAsia="zh-CN" w:bidi="ar-SA"/>
              </w:rPr>
              <w:t>分至</w:t>
            </w: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58858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2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25E5C405">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756" w:type="dxa"/>
            <w:tcBorders>
              <w:top w:val="single" w:color="080000" w:sz="4" w:space="0"/>
              <w:left w:val="single" w:color="080000" w:sz="4" w:space="0"/>
              <w:bottom w:val="single" w:color="080000" w:sz="4" w:space="0"/>
              <w:right w:val="single" w:color="080000" w:sz="4" w:space="0"/>
            </w:tcBorders>
            <w:vAlign w:val="center"/>
          </w:tcPr>
          <w:p w14:paraId="382D945C">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投标相关资料（如有）</w:t>
            </w:r>
          </w:p>
          <w:p w14:paraId="7752393B">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递交地点</w:t>
            </w:r>
          </w:p>
        </w:tc>
        <w:tc>
          <w:tcPr>
            <w:tcW w:w="7932" w:type="dxa"/>
            <w:tcBorders>
              <w:top w:val="single" w:color="080000" w:sz="4" w:space="0"/>
              <w:left w:val="single" w:color="080000" w:sz="4" w:space="0"/>
              <w:bottom w:val="single" w:color="080000" w:sz="4" w:space="0"/>
              <w:right w:val="single" w:color="080000" w:sz="4" w:space="0"/>
            </w:tcBorders>
            <w:vAlign w:val="center"/>
          </w:tcPr>
          <w:p w14:paraId="4046774B">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递交场所： </w:t>
            </w:r>
            <w:bookmarkStart w:id="351" w:name="_GoBack"/>
            <w:r>
              <w:rPr>
                <w:rFonts w:hint="eastAsia" w:ascii="宋体" w:hAnsi="宋体" w:eastAsia="宋体" w:cs="宋体"/>
                <w:snapToGrid w:val="0"/>
                <w:color w:val="auto"/>
                <w:kern w:val="0"/>
                <w:sz w:val="24"/>
                <w:szCs w:val="24"/>
                <w:highlight w:val="none"/>
                <w:lang w:val="en-US" w:eastAsia="zh-CN" w:bidi="ar-SA"/>
              </w:rPr>
              <w:t>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翁源分中心</w:t>
            </w:r>
            <w:r>
              <w:rPr>
                <w:rFonts w:hint="eastAsia" w:ascii="宋体" w:hAnsi="宋体" w:eastAsia="宋体" w:cs="宋体"/>
                <w:snapToGrid w:val="0"/>
                <w:color w:val="auto"/>
                <w:kern w:val="0"/>
                <w:sz w:val="24"/>
                <w:szCs w:val="24"/>
                <w:highlight w:val="none"/>
                <w:lang w:val="en-US" w:eastAsia="zh-CN" w:bidi="ar-SA"/>
              </w:rPr>
              <w:t>，地址：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bookmarkEnd w:id="351"/>
          </w:p>
        </w:tc>
      </w:tr>
      <w:tr w14:paraId="3AE67C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920"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5A26C4B5">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756" w:type="dxa"/>
            <w:tcBorders>
              <w:top w:val="single" w:color="080000" w:sz="4" w:space="0"/>
              <w:left w:val="single" w:color="080000" w:sz="4" w:space="0"/>
              <w:bottom w:val="single" w:color="080000" w:sz="4" w:space="0"/>
              <w:right w:val="single" w:color="080000" w:sz="4" w:space="0"/>
            </w:tcBorders>
            <w:vAlign w:val="center"/>
          </w:tcPr>
          <w:p w14:paraId="25C68903">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开标时间 </w:t>
            </w:r>
          </w:p>
        </w:tc>
        <w:tc>
          <w:tcPr>
            <w:tcW w:w="7932" w:type="dxa"/>
            <w:tcBorders>
              <w:top w:val="single" w:color="080000" w:sz="4" w:space="0"/>
              <w:left w:val="single" w:color="080000" w:sz="4" w:space="0"/>
              <w:bottom w:val="single" w:color="080000" w:sz="4" w:space="0"/>
              <w:right w:val="single" w:color="080000" w:sz="4" w:space="0"/>
            </w:tcBorders>
            <w:vAlign w:val="center"/>
          </w:tcPr>
          <w:p w14:paraId="2ED0604D">
            <w:pPr>
              <w:keepNext w:val="0"/>
              <w:keepLines w:val="0"/>
              <w:pageBreakBefore w:val="0"/>
              <w:widowControl w:val="0"/>
              <w:kinsoku/>
              <w:wordWrap w:val="0"/>
              <w:overflowPunct/>
              <w:topLinePunct/>
              <w:autoSpaceDE/>
              <w:autoSpaceDN/>
              <w:bidi w:val="0"/>
              <w:adjustRightInd w:val="0"/>
              <w:snapToGrid w:val="0"/>
              <w:spacing w:line="400" w:lineRule="exact"/>
              <w:ind w:right="96" w:rightChars="40"/>
              <w:jc w:val="left"/>
              <w:rPr>
                <w:rFonts w:hint="eastAsia" w:ascii="宋体" w:hAnsi="宋体" w:eastAsia="宋体" w:cs="宋体"/>
                <w:b w:val="0"/>
                <w:bCs w:val="0"/>
                <w:snapToGrid w:val="0"/>
                <w:color w:val="auto"/>
                <w:kern w:val="0"/>
                <w:sz w:val="24"/>
                <w:szCs w:val="24"/>
                <w:highlight w:val="none"/>
              </w:rPr>
            </w:pPr>
            <w:r>
              <w:rPr>
                <w:rFonts w:hint="eastAsia" w:hAnsi="宋体" w:cs="宋体"/>
                <w:color w:val="auto"/>
                <w:kern w:val="0"/>
                <w:sz w:val="24"/>
                <w:szCs w:val="24"/>
                <w:highlight w:val="none"/>
                <w:u w:val="singl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hAnsi="宋体" w:cs="宋体"/>
                <w:color w:val="auto"/>
                <w:kern w:val="0"/>
                <w:sz w:val="24"/>
                <w:szCs w:val="24"/>
                <w:highlight w:val="none"/>
                <w:u w:val="single"/>
                <w:lang w:val="en-US" w:eastAsia="zh-CN" w:bidi="ar-SA"/>
              </w:rPr>
              <w:t>7</w:t>
            </w:r>
            <w:r>
              <w:rPr>
                <w:rFonts w:hint="eastAsia" w:ascii="宋体" w:hAnsi="宋体" w:eastAsia="宋体" w:cs="宋体"/>
                <w:color w:val="auto"/>
                <w:kern w:val="0"/>
                <w:sz w:val="24"/>
                <w:szCs w:val="24"/>
                <w:highlight w:val="none"/>
                <w:lang w:val="en-US" w:eastAsia="zh-CN" w:bidi="ar-SA"/>
              </w:rPr>
              <w:t>月</w:t>
            </w:r>
            <w:r>
              <w:rPr>
                <w:rFonts w:hint="eastAsia" w:hAnsi="宋体" w:cs="宋体"/>
                <w:color w:val="auto"/>
                <w:kern w:val="0"/>
                <w:sz w:val="24"/>
                <w:szCs w:val="24"/>
                <w:highlight w:val="none"/>
                <w:u w:val="singl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hAnsi="宋体" w:cs="宋体"/>
                <w:color w:val="auto"/>
                <w:kern w:val="0"/>
                <w:sz w:val="24"/>
                <w:szCs w:val="24"/>
                <w:highlight w:val="none"/>
                <w:u w:val="single"/>
                <w:lang w:val="en-US" w:eastAsia="zh-CN" w:bidi="ar-SA"/>
              </w:rPr>
              <w:t>10</w:t>
            </w:r>
            <w:r>
              <w:rPr>
                <w:rFonts w:hint="eastAsia" w:ascii="宋体" w:hAnsi="宋体" w:eastAsia="宋体" w:cs="宋体"/>
                <w:color w:val="auto"/>
                <w:kern w:val="0"/>
                <w:sz w:val="24"/>
                <w:szCs w:val="24"/>
                <w:highlight w:val="none"/>
                <w:lang w:val="en-US" w:eastAsia="zh-CN" w:bidi="ar-SA"/>
              </w:rPr>
              <w:t>时</w:t>
            </w:r>
            <w:r>
              <w:rPr>
                <w:rFonts w:hint="eastAsia" w:hAnsi="宋体" w:cs="宋体"/>
                <w:color w:val="auto"/>
                <w:kern w:val="0"/>
                <w:sz w:val="24"/>
                <w:szCs w:val="24"/>
                <w:highlight w:val="none"/>
                <w:u w:val="single"/>
                <w:lang w:val="en-US" w:eastAsia="zh-CN" w:bidi="ar-SA"/>
              </w:rPr>
              <w:t>30</w:t>
            </w:r>
            <w:r>
              <w:rPr>
                <w:rFonts w:hint="eastAsia" w:ascii="宋体" w:hAnsi="宋体" w:eastAsia="宋体" w:cs="宋体"/>
                <w:color w:val="auto"/>
                <w:kern w:val="0"/>
                <w:sz w:val="24"/>
                <w:szCs w:val="24"/>
                <w:highlight w:val="none"/>
                <w:lang w:val="en-US" w:eastAsia="zh-CN" w:bidi="ar-SA"/>
              </w:rPr>
              <w:t>分</w:t>
            </w:r>
          </w:p>
        </w:tc>
      </w:tr>
      <w:tr w14:paraId="15756B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197" w:hRule="atLeast"/>
        </w:trPr>
        <w:tc>
          <w:tcPr>
            <w:tcW w:w="491" w:type="dxa"/>
            <w:tcBorders>
              <w:top w:val="single" w:color="080000" w:sz="4" w:space="0"/>
              <w:left w:val="single" w:color="080000" w:sz="4" w:space="0"/>
              <w:bottom w:val="single" w:color="080000" w:sz="4" w:space="0"/>
              <w:right w:val="single" w:color="080000" w:sz="4" w:space="0"/>
            </w:tcBorders>
            <w:vAlign w:val="center"/>
          </w:tcPr>
          <w:p w14:paraId="1C43D769">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756" w:type="dxa"/>
            <w:tcBorders>
              <w:top w:val="single" w:color="080000" w:sz="4" w:space="0"/>
              <w:left w:val="single" w:color="080000" w:sz="4" w:space="0"/>
              <w:bottom w:val="single" w:color="080000" w:sz="4" w:space="0"/>
              <w:right w:val="single" w:color="080000" w:sz="4" w:space="0"/>
            </w:tcBorders>
            <w:vAlign w:val="center"/>
          </w:tcPr>
          <w:p w14:paraId="17EE823E">
            <w:pPr>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 xml:space="preserve">开标地点 </w:t>
            </w:r>
          </w:p>
        </w:tc>
        <w:tc>
          <w:tcPr>
            <w:tcW w:w="7932" w:type="dxa"/>
            <w:tcBorders>
              <w:top w:val="single" w:color="080000" w:sz="4" w:space="0"/>
              <w:left w:val="single" w:color="080000" w:sz="4" w:space="0"/>
              <w:bottom w:val="single" w:color="080000" w:sz="4" w:space="0"/>
              <w:right w:val="single" w:color="080000" w:sz="4" w:space="0"/>
            </w:tcBorders>
            <w:vAlign w:val="center"/>
          </w:tcPr>
          <w:p w14:paraId="1FC1AD23">
            <w:pPr>
              <w:keepNext w:val="0"/>
              <w:keepLines w:val="0"/>
              <w:pageBreakBefore w:val="0"/>
              <w:widowControl w:val="0"/>
              <w:kinsoku/>
              <w:wordWrap w:val="0"/>
              <w:overflowPunct/>
              <w:topLinePunct/>
              <w:autoSpaceDE/>
              <w:autoSpaceDN/>
              <w:bidi w:val="0"/>
              <w:adjustRightInd w:val="0"/>
              <w:snapToGrid w:val="0"/>
              <w:spacing w:line="360" w:lineRule="exact"/>
              <w:ind w:right="96" w:rightChars="40" w:firstLine="273" w:firstLineChars="114"/>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开标地点： 韶关市公共资源交易中心</w:t>
            </w:r>
            <w:r>
              <w:rPr>
                <w:rFonts w:hint="eastAsia" w:asciiTheme="minorEastAsia" w:hAnsiTheme="minorEastAsia" w:eastAsiaTheme="minorEastAsia" w:cstheme="minorEastAsia"/>
                <w:snapToGrid w:val="0"/>
                <w:color w:val="auto"/>
                <w:kern w:val="0"/>
                <w:sz w:val="24"/>
                <w:szCs w:val="24"/>
                <w:highlight w:val="none"/>
                <w:lang w:val="en-US" w:eastAsia="zh-CN"/>
              </w:rPr>
              <w:t>翁源</w:t>
            </w:r>
            <w:r>
              <w:rPr>
                <w:rFonts w:hint="eastAsia" w:ascii="宋体" w:hAnsi="宋体" w:eastAsia="宋体" w:cs="宋体"/>
                <w:snapToGrid w:val="0"/>
                <w:color w:val="auto"/>
                <w:kern w:val="0"/>
                <w:sz w:val="24"/>
                <w:szCs w:val="24"/>
                <w:highlight w:val="none"/>
                <w:lang w:val="en-US" w:eastAsia="zh-CN" w:bidi="ar-SA"/>
              </w:rPr>
              <w:t>分中心，地址：</w:t>
            </w:r>
            <w:r>
              <w:rPr>
                <w:rFonts w:hint="eastAsia" w:asciiTheme="minorEastAsia" w:hAnsiTheme="minorEastAsia" w:eastAsiaTheme="minorEastAsia" w:cstheme="minorEastAsia"/>
                <w:snapToGrid w:val="0"/>
                <w:color w:val="auto"/>
                <w:kern w:val="0"/>
                <w:sz w:val="24"/>
                <w:szCs w:val="24"/>
                <w:highlight w:val="none"/>
                <w:lang w:val="en-US" w:eastAsia="zh-CN"/>
              </w:rPr>
              <w:t>翁源县龙仙镇朝阳路63号韶关市公共资源交易中心翁源分中心</w:t>
            </w:r>
            <w:r>
              <w:rPr>
                <w:rFonts w:hint="eastAsia" w:ascii="宋体" w:hAnsi="宋体" w:eastAsia="宋体" w:cs="宋体"/>
                <w:snapToGrid w:val="0"/>
                <w:color w:val="auto"/>
                <w:kern w:val="0"/>
                <w:sz w:val="24"/>
                <w:szCs w:val="24"/>
                <w:highlight w:val="none"/>
                <w:lang w:val="en-US" w:eastAsia="zh-CN" w:bidi="ar-SA"/>
              </w:rPr>
              <w:t>，具体房间号以当日现场通知为准。</w:t>
            </w:r>
          </w:p>
        </w:tc>
      </w:tr>
      <w:tr w14:paraId="3B00E9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732" w:hRule="atLeast"/>
        </w:trPr>
        <w:tc>
          <w:tcPr>
            <w:tcW w:w="2247" w:type="dxa"/>
            <w:gridSpan w:val="2"/>
            <w:tcBorders>
              <w:top w:val="single" w:color="080000" w:sz="4" w:space="0"/>
              <w:left w:val="single" w:color="080000" w:sz="4" w:space="0"/>
              <w:bottom w:val="single" w:color="080000" w:sz="4" w:space="0"/>
              <w:right w:val="single" w:color="080000" w:sz="4" w:space="0"/>
            </w:tcBorders>
            <w:vAlign w:val="center"/>
          </w:tcPr>
          <w:p w14:paraId="1338FC7C">
            <w:pPr>
              <w:pStyle w:val="90"/>
              <w:keepNext w:val="0"/>
              <w:keepLines w:val="0"/>
              <w:pageBreakBefore w:val="0"/>
              <w:widowControl w:val="0"/>
              <w:kinsoku/>
              <w:wordWrap w:val="0"/>
              <w:overflowPunct/>
              <w:topLinePunct/>
              <w:autoSpaceDE/>
              <w:autoSpaceDN/>
              <w:bidi w:val="0"/>
              <w:adjustRightInd w:val="0"/>
              <w:snapToGrid w:val="0"/>
              <w:spacing w:line="360" w:lineRule="exact"/>
              <w:ind w:right="96" w:rightChars="40"/>
              <w:jc w:val="center"/>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备注</w:t>
            </w:r>
          </w:p>
        </w:tc>
        <w:tc>
          <w:tcPr>
            <w:tcW w:w="7932" w:type="dxa"/>
            <w:tcBorders>
              <w:top w:val="single" w:color="080000" w:sz="4" w:space="0"/>
              <w:left w:val="single" w:color="080000" w:sz="4" w:space="0"/>
              <w:bottom w:val="single" w:color="080000" w:sz="4" w:space="0"/>
              <w:right w:val="single" w:color="080000" w:sz="4" w:space="0"/>
            </w:tcBorders>
            <w:vAlign w:val="center"/>
          </w:tcPr>
          <w:p w14:paraId="09CD714A">
            <w:pPr>
              <w:pStyle w:val="90"/>
              <w:keepNext w:val="0"/>
              <w:keepLines w:val="0"/>
              <w:pageBreakBefore w:val="0"/>
              <w:widowControl w:val="0"/>
              <w:kinsoku/>
              <w:wordWrap w:val="0"/>
              <w:overflowPunct/>
              <w:topLinePunct/>
              <w:autoSpaceDE/>
              <w:autoSpaceDN/>
              <w:bidi w:val="0"/>
              <w:adjustRightInd w:val="0"/>
              <w:snapToGrid w:val="0"/>
              <w:spacing w:line="400" w:lineRule="exact"/>
              <w:ind w:right="96" w:rightChars="40" w:firstLine="240" w:firstLineChars="1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2ED65E25">
      <w:pPr>
        <w:pStyle w:val="42"/>
        <w:rPr>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29916"/>
      <w:bookmarkStart w:id="12" w:name="_Toc16304"/>
      <w:bookmarkStart w:id="13" w:name="_Hlt69698754"/>
      <w:bookmarkStart w:id="14" w:name="_Hlt69698705"/>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1CAD0699">
      <w:pPr>
        <w:pStyle w:val="10"/>
        <w:keepNext w:val="0"/>
        <w:keepLines w:val="0"/>
        <w:pageBreakBefore w:val="0"/>
        <w:widowControl w:val="0"/>
        <w:tabs>
          <w:tab w:val="left" w:pos="1890"/>
        </w:tabs>
        <w:kinsoku w:val="0"/>
        <w:wordWrap w:val="0"/>
        <w:overflowPunct w:val="0"/>
        <w:topLinePunct w:val="0"/>
        <w:autoSpaceDE w:val="0"/>
        <w:autoSpaceDN w:val="0"/>
        <w:bidi w:val="0"/>
        <w:adjustRightInd/>
        <w:snapToGrid/>
        <w:spacing w:line="500" w:lineRule="exact"/>
        <w:ind w:firstLine="480" w:firstLineChars="200"/>
        <w:textAlignment w:val="auto"/>
        <w:rPr>
          <w:rFonts w:hint="eastAsia" w:ascii="宋体" w:hAnsi="宋体" w:eastAsia="宋体" w:cs="宋体"/>
          <w:color w:val="auto"/>
          <w:sz w:val="24"/>
          <w:highlight w:val="none"/>
        </w:rPr>
      </w:pPr>
      <w:r>
        <w:rPr>
          <w:rFonts w:hint="eastAsia" w:hAnsi="宋体" w:cs="宋体"/>
          <w:color w:val="auto"/>
          <w:sz w:val="24"/>
          <w:szCs w:val="24"/>
          <w:highlight w:val="none"/>
          <w:u w:val="single"/>
          <w:lang w:val="en-US" w:eastAsia="zh-CN"/>
        </w:rPr>
        <w:t>翁源县“百千万工程”之全域推进农村人居环境整治建设项目（龙仙镇第四批典型村人居环境整治建设项目）</w:t>
      </w:r>
      <w:r>
        <w:rPr>
          <w:rFonts w:hint="eastAsia" w:ascii="宋体" w:hAnsi="宋体" w:eastAsia="宋体" w:cs="宋体"/>
          <w:color w:val="auto"/>
          <w:sz w:val="24"/>
          <w:szCs w:val="24"/>
          <w:highlight w:val="none"/>
          <w:u w:val="none"/>
          <w:lang w:val="en-US" w:eastAsia="zh-CN"/>
        </w:rPr>
        <w:t>业</w:t>
      </w:r>
      <w:r>
        <w:rPr>
          <w:rFonts w:hint="eastAsia" w:ascii="宋体" w:hAnsi="宋体" w:eastAsia="宋体" w:cs="宋体"/>
          <w:color w:val="auto"/>
          <w:kern w:val="0"/>
          <w:sz w:val="24"/>
          <w:szCs w:val="22"/>
          <w:highlight w:val="none"/>
        </w:rPr>
        <w:t>经</w:t>
      </w:r>
      <w:r>
        <w:rPr>
          <w:rFonts w:hint="eastAsia" w:hAnsi="宋体" w:cs="宋体"/>
          <w:b w:val="0"/>
          <w:bCs w:val="0"/>
          <w:color w:val="auto"/>
          <w:kern w:val="0"/>
          <w:sz w:val="24"/>
          <w:szCs w:val="22"/>
          <w:highlight w:val="none"/>
          <w:u w:val="single"/>
          <w:lang w:val="en-US" w:eastAsia="zh-CN"/>
        </w:rPr>
        <w:t>翁源县发展和改革局</w:t>
      </w:r>
      <w:r>
        <w:rPr>
          <w:rFonts w:hint="eastAsia" w:ascii="宋体" w:hAnsi="宋体" w:eastAsia="宋体" w:cs="宋体"/>
          <w:color w:val="auto"/>
          <w:kern w:val="0"/>
          <w:sz w:val="24"/>
          <w:szCs w:val="22"/>
          <w:highlight w:val="none"/>
        </w:rPr>
        <w:t>以</w:t>
      </w:r>
      <w:r>
        <w:rPr>
          <w:rFonts w:hint="eastAsia" w:ascii="宋体" w:hAnsi="宋体" w:eastAsia="宋体" w:cs="宋体"/>
          <w:color w:val="auto"/>
          <w:kern w:val="0"/>
          <w:sz w:val="24"/>
          <w:szCs w:val="22"/>
          <w:highlight w:val="none"/>
          <w:u w:val="single"/>
          <w:lang w:eastAsia="zh-CN"/>
        </w:rPr>
        <w:t>《翁源县发展和改革局关于翁源县“百千万工程”之全域推进农村人居环境整治建设项目可行性研究报告的批复》（翁发改投审〔2025〕25号）</w:t>
      </w:r>
      <w:r>
        <w:rPr>
          <w:rFonts w:hint="eastAsia" w:hAnsi="宋体" w:cs="宋体"/>
          <w:color w:val="auto"/>
          <w:kern w:val="0"/>
          <w:sz w:val="24"/>
          <w:szCs w:val="22"/>
          <w:highlight w:val="none"/>
          <w:u w:val="single"/>
          <w:lang w:eastAsia="zh-CN"/>
        </w:rPr>
        <w:t>、《翁源县发展和改革局关于翁源县“百千万工程”之全域推进农村人居环境整治建设项目(三期)初步设计概算的批复》（翁发改投审〔2026〕34号）</w:t>
      </w:r>
      <w:r>
        <w:rPr>
          <w:rFonts w:hint="eastAsia" w:ascii="宋体" w:hAnsi="宋体" w:eastAsia="宋体" w:cs="宋体"/>
          <w:color w:val="auto"/>
          <w:kern w:val="0"/>
          <w:sz w:val="24"/>
          <w:szCs w:val="22"/>
          <w:highlight w:val="none"/>
        </w:rPr>
        <w:t>文批准建设，项目代码为</w:t>
      </w:r>
      <w:r>
        <w:rPr>
          <w:rFonts w:hint="eastAsia" w:ascii="宋体" w:hAnsi="宋体" w:eastAsia="宋体" w:cs="宋体"/>
          <w:color w:val="auto"/>
          <w:kern w:val="0"/>
          <w:sz w:val="24"/>
          <w:szCs w:val="22"/>
          <w:highlight w:val="none"/>
          <w:u w:val="single"/>
          <w:lang w:val="en-US" w:eastAsia="zh-CN"/>
        </w:rPr>
        <w:t>2412-440229-04-01-525170</w:t>
      </w:r>
      <w:r>
        <w:rPr>
          <w:rFonts w:hint="eastAsia" w:ascii="宋体" w:hAnsi="宋体" w:eastAsia="宋体" w:cs="宋体"/>
          <w:color w:val="auto"/>
          <w:kern w:val="0"/>
          <w:sz w:val="24"/>
          <w:szCs w:val="22"/>
          <w:highlight w:val="none"/>
        </w:rPr>
        <w:t>。本项目业主为</w:t>
      </w:r>
      <w:r>
        <w:rPr>
          <w:rFonts w:hint="eastAsia" w:hAnsi="宋体" w:cs="宋体"/>
          <w:color w:val="auto"/>
          <w:kern w:val="0"/>
          <w:sz w:val="24"/>
          <w:szCs w:val="22"/>
          <w:highlight w:val="none"/>
          <w:u w:val="single"/>
          <w:lang w:val="en-US" w:eastAsia="zh-CN"/>
        </w:rPr>
        <w:t>翁源县龙仙镇人民政府</w:t>
      </w:r>
      <w:r>
        <w:rPr>
          <w:rFonts w:hint="eastAsia" w:ascii="宋体" w:hAnsi="宋体" w:eastAsia="宋体" w:cs="宋体"/>
          <w:color w:val="auto"/>
          <w:kern w:val="0"/>
          <w:sz w:val="24"/>
          <w:szCs w:val="22"/>
          <w:highlight w:val="none"/>
        </w:rPr>
        <w:t>，建设资金来自</w:t>
      </w:r>
      <w:r>
        <w:rPr>
          <w:rFonts w:hint="eastAsia" w:hAnsi="宋体" w:cs="宋体"/>
          <w:color w:val="auto"/>
          <w:kern w:val="0"/>
          <w:sz w:val="24"/>
          <w:szCs w:val="22"/>
          <w:highlight w:val="none"/>
          <w:u w:val="single"/>
          <w:lang w:val="en-US" w:eastAsia="zh-CN"/>
        </w:rPr>
        <w:t>专项债资金与省级资金等上级资金，不足部分由地方财政统筹解决</w:t>
      </w:r>
      <w:r>
        <w:rPr>
          <w:rFonts w:hint="eastAsia" w:ascii="宋体" w:hAnsi="宋体" w:eastAsia="宋体" w:cs="宋体"/>
          <w:color w:val="auto"/>
          <w:kern w:val="0"/>
          <w:sz w:val="24"/>
          <w:szCs w:val="22"/>
          <w:highlight w:val="none"/>
        </w:rPr>
        <w:t>，招标人为</w:t>
      </w:r>
      <w:r>
        <w:rPr>
          <w:rFonts w:hint="eastAsia" w:hAnsi="宋体" w:cs="宋体"/>
          <w:color w:val="auto"/>
          <w:kern w:val="0"/>
          <w:sz w:val="24"/>
          <w:szCs w:val="22"/>
          <w:highlight w:val="none"/>
          <w:u w:val="single"/>
          <w:lang w:val="en-US" w:eastAsia="zh-CN"/>
        </w:rPr>
        <w:t>翁源县龙仙镇人民政府</w:t>
      </w:r>
      <w:r>
        <w:rPr>
          <w:rFonts w:hint="eastAsia" w:ascii="宋体" w:hAnsi="宋体" w:eastAsia="宋体" w:cs="宋体"/>
          <w:color w:val="auto"/>
          <w:kern w:val="0"/>
          <w:sz w:val="24"/>
          <w:szCs w:val="22"/>
          <w:highlight w:val="none"/>
        </w:rPr>
        <w:t>，招标代理机构为</w:t>
      </w:r>
      <w:r>
        <w:rPr>
          <w:rFonts w:hint="eastAsia" w:hAnsi="宋体" w:cs="宋体"/>
          <w:color w:val="auto"/>
          <w:kern w:val="0"/>
          <w:sz w:val="24"/>
          <w:szCs w:val="22"/>
          <w:highlight w:val="none"/>
          <w:u w:val="single"/>
          <w:lang w:val="en-US" w:eastAsia="zh-CN"/>
        </w:rPr>
        <w:t>汇龙工程咨询有限公司</w:t>
      </w:r>
      <w:r>
        <w:rPr>
          <w:rFonts w:hint="eastAsia" w:ascii="宋体" w:hAnsi="宋体" w:eastAsia="宋体" w:cs="宋体"/>
          <w:color w:val="auto"/>
          <w:kern w:val="0"/>
          <w:sz w:val="24"/>
          <w:szCs w:val="22"/>
          <w:highlight w:val="none"/>
        </w:rPr>
        <w:t>。项目已具备招标条件，现对该项目</w:t>
      </w:r>
      <w:r>
        <w:rPr>
          <w:rFonts w:hint="eastAsia" w:ascii="宋体" w:hAnsi="宋体" w:eastAsia="宋体" w:cs="宋体"/>
          <w:color w:val="auto"/>
          <w:kern w:val="0"/>
          <w:sz w:val="24"/>
          <w:szCs w:val="22"/>
          <w:highlight w:val="none"/>
          <w:lang w:val="en-US" w:eastAsia="zh-CN"/>
        </w:rPr>
        <w:t>的</w:t>
      </w:r>
      <w:r>
        <w:rPr>
          <w:rFonts w:hint="eastAsia" w:hAnsi="宋体" w:cs="宋体"/>
          <w:color w:val="auto"/>
          <w:sz w:val="24"/>
          <w:szCs w:val="24"/>
          <w:highlight w:val="none"/>
          <w:u w:val="single"/>
          <w:lang w:val="en-US" w:eastAsia="zh-CN"/>
        </w:rPr>
        <w:t>施工监理服务</w:t>
      </w:r>
      <w:r>
        <w:rPr>
          <w:rFonts w:hint="eastAsia" w:ascii="宋体" w:hAnsi="宋体" w:eastAsia="宋体" w:cs="宋体"/>
          <w:color w:val="auto"/>
          <w:kern w:val="0"/>
          <w:sz w:val="24"/>
          <w:szCs w:val="22"/>
          <w:highlight w:val="none"/>
        </w:rPr>
        <w:t>进行公开招标。</w:t>
      </w:r>
    </w:p>
    <w:p w14:paraId="6E939B6A">
      <w:pPr>
        <w:pStyle w:val="90"/>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bookmarkStart w:id="16" w:name="_Toc9487"/>
      <w:r>
        <w:rPr>
          <w:rFonts w:hint="eastAsia"/>
          <w:b/>
          <w:bCs/>
          <w:snapToGrid w:val="0"/>
          <w:color w:val="auto"/>
          <w:kern w:val="0"/>
          <w:sz w:val="24"/>
          <w:highlight w:val="none"/>
        </w:rPr>
        <w:t>1．项目概况、招标范围和标段划分、投标费用</w:t>
      </w:r>
      <w:bookmarkEnd w:id="16"/>
    </w:p>
    <w:p w14:paraId="5A9B532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建设地点：翁源县</w:t>
      </w:r>
      <w:r>
        <w:rPr>
          <w:rFonts w:hint="eastAsia" w:ascii="宋体" w:hAnsi="宋体" w:cs="宋体"/>
          <w:snapToGrid w:val="0"/>
          <w:color w:val="auto"/>
          <w:kern w:val="0"/>
          <w:sz w:val="24"/>
          <w:highlight w:val="none"/>
          <w:lang w:val="en-US" w:eastAsia="zh-CN"/>
        </w:rPr>
        <w:t>龙仙</w:t>
      </w:r>
      <w:r>
        <w:rPr>
          <w:rFonts w:hint="eastAsia" w:ascii="宋体" w:hAnsi="宋体" w:cs="宋体"/>
          <w:snapToGrid w:val="0"/>
          <w:color w:val="auto"/>
          <w:kern w:val="0"/>
          <w:sz w:val="24"/>
          <w:highlight w:val="none"/>
        </w:rPr>
        <w:t>镇</w:t>
      </w:r>
    </w:p>
    <w:p w14:paraId="41FC0568">
      <w:pPr>
        <w:pStyle w:val="90"/>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b w:val="0"/>
          <w:bCs w:val="0"/>
          <w:snapToGrid w:val="0"/>
          <w:color w:val="auto"/>
          <w:kern w:val="0"/>
          <w:sz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项目拟通过实施人居环境综合整治工程和基础设施改造工程，提高龙仙镇第四批典型村中坝村的农村人居环境与生活质量，改善乡容村貌，提升生活配套服务水平，实现“百县千镇万村高质量发展工程”的具体目标任务。建设内容主要包含人居环境整治提升、农房风貌管控、道路升级改造、村标建设及周边环境提升、鱼塘升级改造、生态停车场建设、村民健身广场建设、四小园建设、“三线”整治等基础设施工程及其他配套设施工程。</w:t>
      </w:r>
    </w:p>
    <w:p w14:paraId="75DB166A">
      <w:pPr>
        <w:pStyle w:val="90"/>
        <w:keepNext w:val="0"/>
        <w:keepLines w:val="0"/>
        <w:pageBreakBefore w:val="0"/>
        <w:wordWrap w:val="0"/>
        <w:topLinePunct w:val="0"/>
        <w:bidi w:val="0"/>
        <w:adjustRightInd w:val="0"/>
        <w:snapToGrid w:val="0"/>
        <w:spacing w:line="500" w:lineRule="exact"/>
        <w:ind w:left="480" w:leftChars="200" w:firstLine="0" w:firstLineChars="0"/>
        <w:jc w:val="left"/>
        <w:textAlignment w:val="auto"/>
        <w:rPr>
          <w:rFonts w:hint="eastAsia" w:ascii="宋体" w:hAnsi="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szCs w:val="24"/>
          <w:highlight w:val="none"/>
          <w:lang w:val="en-US" w:eastAsia="zh-CN"/>
        </w:rPr>
        <w:t>项目总投资：</w:t>
      </w:r>
      <w:r>
        <w:rPr>
          <w:rFonts w:hint="eastAsia" w:ascii="宋体" w:hAnsi="宋体" w:cs="宋体"/>
          <w:snapToGrid w:val="0"/>
          <w:color w:val="auto"/>
          <w:kern w:val="0"/>
          <w:sz w:val="24"/>
          <w:szCs w:val="24"/>
          <w:highlight w:val="none"/>
          <w:lang w:val="en-US" w:eastAsia="zh-CN"/>
        </w:rPr>
        <w:t>项目预估总投资约750万元，本次招标监理费约13万元</w:t>
      </w:r>
    </w:p>
    <w:p w14:paraId="737B5441">
      <w:pPr>
        <w:pStyle w:val="90"/>
        <w:keepNext w:val="0"/>
        <w:keepLines w:val="0"/>
        <w:pageBreakBefore w:val="0"/>
        <w:wordWrap w:val="0"/>
        <w:topLinePunct w:val="0"/>
        <w:bidi w:val="0"/>
        <w:adjustRightInd w:val="0"/>
        <w:snapToGrid w:val="0"/>
        <w:spacing w:line="500" w:lineRule="exact"/>
        <w:ind w:left="480" w:leftChars="200" w:firstLine="0" w:firstLineChars="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90"/>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监理：项目建设范围内的施工监理（含施工准备阶段、施工阶段、工程竣工验收阶段、工程结算阶段及缺陷责任保修期阶段的监理服务）。</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90"/>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31795"/>
      <w:bookmarkStart w:id="18" w:name="_Toc31535"/>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本次招标不接受联合体投标。</w:t>
      </w:r>
    </w:p>
    <w:p w14:paraId="376870E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eastAsia="宋体" w:cs="宋体"/>
          <w:color w:val="auto"/>
          <w:szCs w:val="24"/>
          <w:highlight w:val="none"/>
        </w:rPr>
        <w:t>投标人须具备以下资质之一：①工程监理综合资质；②</w:t>
      </w:r>
      <w:r>
        <w:rPr>
          <w:rFonts w:hint="eastAsia" w:hAnsi="宋体" w:cs="宋体"/>
          <w:color w:val="auto"/>
          <w:szCs w:val="24"/>
          <w:highlight w:val="none"/>
          <w:lang w:val="en-US" w:eastAsia="zh-CN"/>
        </w:rPr>
        <w:t>市政公用</w:t>
      </w:r>
      <w:r>
        <w:rPr>
          <w:rFonts w:hint="eastAsia" w:ascii="宋体" w:hAnsi="宋体" w:eastAsia="宋体" w:cs="宋体"/>
          <w:color w:val="auto"/>
          <w:szCs w:val="24"/>
          <w:highlight w:val="none"/>
        </w:rPr>
        <w:t>工程监理乙级资质及以上（含</w:t>
      </w:r>
      <w:r>
        <w:rPr>
          <w:rFonts w:hint="eastAsia" w:hAnsi="宋体" w:cs="宋体"/>
          <w:color w:val="auto"/>
          <w:szCs w:val="24"/>
          <w:highlight w:val="none"/>
          <w:lang w:val="en-US" w:eastAsia="zh-CN"/>
        </w:rPr>
        <w:t>乙</w:t>
      </w:r>
      <w:r>
        <w:rPr>
          <w:rFonts w:hint="eastAsia" w:ascii="宋体" w:hAnsi="宋体" w:eastAsia="宋体" w:cs="宋体"/>
          <w:color w:val="auto"/>
          <w:szCs w:val="24"/>
          <w:highlight w:val="none"/>
        </w:rPr>
        <w:t>级）资质</w:t>
      </w:r>
      <w:r>
        <w:rPr>
          <w:rFonts w:hint="eastAsia" w:hAnsi="宋体" w:cs="宋体"/>
          <w:snapToGrid w:val="0"/>
          <w:color w:val="auto"/>
          <w:kern w:val="0"/>
          <w:szCs w:val="24"/>
          <w:highlight w:val="none"/>
        </w:rPr>
        <w:t>。</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3EE323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w:t>
      </w:r>
      <w:r>
        <w:rPr>
          <w:rFonts w:hint="eastAsia" w:hAnsi="宋体" w:cs="宋体"/>
          <w:color w:val="auto"/>
          <w:szCs w:val="24"/>
          <w:highlight w:val="none"/>
          <w:lang w:val="en-US" w:eastAsia="zh-CN"/>
        </w:rPr>
        <w:t>市政公用</w:t>
      </w:r>
      <w:r>
        <w:rPr>
          <w:rFonts w:hint="eastAsia" w:hAnsi="宋体" w:cs="宋体"/>
          <w:color w:val="auto"/>
          <w:szCs w:val="24"/>
          <w:highlight w:val="none"/>
        </w:rPr>
        <w:t>工程专业注册监理工程师，应持有国家住建部印发的有效注册证书，其担任总监理工程师职务的其他在施（包括已中标未开工、已开工未竣工）建设工程项目不得超过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90"/>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 xml:space="preserve"> （14）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3915"/>
        <w:gridCol w:w="3000"/>
      </w:tblGrid>
      <w:tr w14:paraId="7B93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7C4E5093">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915" w:type="dxa"/>
            <w:noWrap w:val="0"/>
            <w:vAlign w:val="center"/>
          </w:tcPr>
          <w:p w14:paraId="748980DE">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000" w:type="dxa"/>
            <w:noWrap w:val="0"/>
            <w:vAlign w:val="center"/>
          </w:tcPr>
          <w:p w14:paraId="16C0E44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157B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63115B6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3915" w:type="dxa"/>
            <w:noWrap w:val="0"/>
            <w:vAlign w:val="center"/>
          </w:tcPr>
          <w:p w14:paraId="0789885E">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翁源县龙仙镇人民政府</w:t>
            </w:r>
          </w:p>
        </w:tc>
        <w:tc>
          <w:tcPr>
            <w:tcW w:w="3000" w:type="dxa"/>
            <w:noWrap w:val="0"/>
            <w:vAlign w:val="center"/>
          </w:tcPr>
          <w:p w14:paraId="2EA5670A">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w:t>
            </w:r>
            <w:r>
              <w:rPr>
                <w:rFonts w:hint="eastAsia" w:ascii="宋体" w:hAnsi="宋体" w:eastAsia="宋体" w:cs="宋体"/>
                <w:color w:val="auto"/>
                <w:kern w:val="2"/>
                <w:sz w:val="24"/>
                <w:szCs w:val="24"/>
                <w:highlight w:val="none"/>
                <w:lang w:val="en-US" w:eastAsia="zh-CN" w:bidi="ar-SA"/>
              </w:rPr>
              <w:t>本项目的</w:t>
            </w:r>
            <w:r>
              <w:rPr>
                <w:rFonts w:hint="eastAsia" w:ascii="宋体" w:hAnsi="宋体" w:eastAsia="宋体" w:cs="宋体"/>
                <w:color w:val="auto"/>
                <w:sz w:val="24"/>
                <w:szCs w:val="24"/>
                <w:highlight w:val="none"/>
              </w:rPr>
              <w:t>招标人</w:t>
            </w:r>
          </w:p>
        </w:tc>
      </w:tr>
      <w:tr w14:paraId="3897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1FEAC9D2">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3915" w:type="dxa"/>
            <w:noWrap w:val="0"/>
            <w:vAlign w:val="center"/>
          </w:tcPr>
          <w:p w14:paraId="11646BD1">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汇龙工程咨询有限公司</w:t>
            </w:r>
          </w:p>
        </w:tc>
        <w:tc>
          <w:tcPr>
            <w:tcW w:w="3000" w:type="dxa"/>
            <w:noWrap w:val="0"/>
            <w:vAlign w:val="center"/>
          </w:tcPr>
          <w:p w14:paraId="19E0BDE6">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为本项目的招标代理机构</w:t>
            </w:r>
          </w:p>
        </w:tc>
      </w:tr>
      <w:tr w14:paraId="5145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323AC5AD">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3915" w:type="dxa"/>
            <w:noWrap w:val="0"/>
            <w:vAlign w:val="center"/>
          </w:tcPr>
          <w:p w14:paraId="4F2D5F8B">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ind w:firstLine="240" w:firstLineChars="100"/>
              <w:jc w:val="both"/>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广东省国际工程咨询有限公司</w:t>
            </w:r>
          </w:p>
        </w:tc>
        <w:tc>
          <w:tcPr>
            <w:tcW w:w="3000" w:type="dxa"/>
            <w:noWrap w:val="0"/>
            <w:vAlign w:val="center"/>
          </w:tcPr>
          <w:p w14:paraId="294ADFF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为本项目的可研编制单位</w:t>
            </w:r>
          </w:p>
        </w:tc>
      </w:tr>
      <w:tr w14:paraId="5BA4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51AED3E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4</w:t>
            </w:r>
          </w:p>
        </w:tc>
        <w:tc>
          <w:tcPr>
            <w:tcW w:w="3915" w:type="dxa"/>
            <w:shd w:val="clear" w:color="auto" w:fill="auto"/>
            <w:noWrap w:val="0"/>
            <w:vAlign w:val="center"/>
          </w:tcPr>
          <w:p w14:paraId="7BC82265">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广</w:t>
            </w:r>
            <w:r>
              <w:rPr>
                <w:rFonts w:hint="eastAsia" w:ascii="宋体" w:hAnsi="宋体" w:eastAsia="宋体" w:cs="宋体"/>
                <w:snapToGrid w:val="0"/>
                <w:color w:val="auto"/>
                <w:kern w:val="0"/>
                <w:sz w:val="24"/>
                <w:szCs w:val="24"/>
                <w:highlight w:val="none"/>
                <w:lang w:val="en-US" w:eastAsia="zh-CN" w:bidi="ar-SA"/>
              </w:rPr>
              <w:t>州博厦建筑设计研究院有限公司</w:t>
            </w:r>
          </w:p>
        </w:tc>
        <w:tc>
          <w:tcPr>
            <w:tcW w:w="3000" w:type="dxa"/>
            <w:noWrap w:val="0"/>
            <w:vAlign w:val="center"/>
          </w:tcPr>
          <w:p w14:paraId="6913D0F8">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为本项目的</w:t>
            </w:r>
            <w:r>
              <w:rPr>
                <w:rFonts w:hint="eastAsia" w:ascii="宋体" w:hAnsi="宋体" w:cs="宋体"/>
                <w:color w:val="auto"/>
                <w:sz w:val="24"/>
                <w:szCs w:val="24"/>
                <w:highlight w:val="none"/>
                <w:lang w:val="en-US" w:eastAsia="zh-CN"/>
              </w:rPr>
              <w:t>设计</w:t>
            </w:r>
            <w:r>
              <w:rPr>
                <w:rFonts w:hint="eastAsia" w:ascii="宋体" w:hAnsi="宋体" w:eastAsia="宋体" w:cs="宋体"/>
                <w:color w:val="auto"/>
                <w:sz w:val="24"/>
                <w:szCs w:val="24"/>
                <w:highlight w:val="none"/>
              </w:rPr>
              <w:t>单位</w:t>
            </w:r>
          </w:p>
        </w:tc>
      </w:tr>
      <w:tr w14:paraId="7AC6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5" w:type="dxa"/>
            <w:noWrap w:val="0"/>
            <w:vAlign w:val="center"/>
          </w:tcPr>
          <w:p w14:paraId="5BB2D19F">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5</w:t>
            </w:r>
          </w:p>
        </w:tc>
        <w:tc>
          <w:tcPr>
            <w:tcW w:w="3915" w:type="dxa"/>
            <w:shd w:val="clear" w:color="auto" w:fill="auto"/>
            <w:noWrap w:val="0"/>
            <w:vAlign w:val="center"/>
          </w:tcPr>
          <w:p w14:paraId="518DD4E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both"/>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国昇设计有限责任公司</w:t>
            </w:r>
          </w:p>
        </w:tc>
        <w:tc>
          <w:tcPr>
            <w:tcW w:w="3000" w:type="dxa"/>
            <w:noWrap w:val="0"/>
            <w:vAlign w:val="center"/>
          </w:tcPr>
          <w:p w14:paraId="34A38613">
            <w:pPr>
              <w:pStyle w:val="90"/>
              <w:keepNext w:val="0"/>
              <w:keepLines w:val="0"/>
              <w:pageBreakBefore w:val="0"/>
              <w:widowControl w:val="0"/>
              <w:tabs>
                <w:tab w:val="left" w:pos="1890"/>
              </w:tabs>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为本项目的</w:t>
            </w:r>
            <w:r>
              <w:rPr>
                <w:rFonts w:hint="eastAsia" w:ascii="宋体" w:hAnsi="宋体" w:cs="宋体"/>
                <w:color w:val="auto"/>
                <w:sz w:val="24"/>
                <w:szCs w:val="24"/>
                <w:highlight w:val="none"/>
                <w:lang w:val="en-US" w:eastAsia="zh-CN"/>
              </w:rPr>
              <w:t>造价咨询</w:t>
            </w:r>
            <w:r>
              <w:rPr>
                <w:rFonts w:hint="eastAsia" w:ascii="宋体" w:hAnsi="宋体" w:eastAsia="宋体" w:cs="宋体"/>
                <w:color w:val="auto"/>
                <w:sz w:val="24"/>
                <w:szCs w:val="24"/>
                <w:highlight w:val="none"/>
              </w:rPr>
              <w:t>单位</w:t>
            </w:r>
          </w:p>
        </w:tc>
      </w:tr>
    </w:tbl>
    <w:p w14:paraId="436A391F">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90"/>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12683"/>
      <w:r>
        <w:rPr>
          <w:rFonts w:hint="eastAsia" w:ascii="宋体" w:hAnsi="宋体" w:cs="宋体"/>
          <w:b/>
          <w:bCs/>
          <w:snapToGrid w:val="0"/>
          <w:color w:val="auto"/>
          <w:kern w:val="0"/>
          <w:sz w:val="24"/>
          <w:highlight w:val="none"/>
        </w:rPr>
        <w:t>3．获取招标文件</w:t>
      </w:r>
      <w:bookmarkEnd w:id="20"/>
    </w:p>
    <w:p w14:paraId="1DF04FBD">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8633071。</w:t>
      </w:r>
    </w:p>
    <w:p w14:paraId="72C76745">
      <w:pPr>
        <w:pStyle w:val="28"/>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8"/>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贰仟</w:t>
      </w:r>
      <w:r>
        <w:rPr>
          <w:rFonts w:hint="eastAsia" w:ascii="宋体" w:hAnsi="宋体" w:cs="宋体"/>
          <w:color w:val="auto"/>
          <w:sz w:val="24"/>
          <w:highlight w:val="none"/>
          <w:shd w:val="clear" w:color="auto" w:fill="FFFFFF"/>
        </w:rPr>
        <w:t xml:space="preserve">元的投标保证。 </w:t>
      </w:r>
    </w:p>
    <w:p w14:paraId="081C9AA3">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16883"/>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监理：本项目施工工期：90日历天；监理服务期从监理合同签订之日起计，至本工程缺陷责任保修期结束且本工程结算金额经政府主管部门审定且双方的责任义务履行完毕时止。</w:t>
      </w:r>
    </w:p>
    <w:p w14:paraId="4006A3C3">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10746"/>
      <w:bookmarkStart w:id="23" w:name="_Toc7476"/>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32757"/>
      <w:bookmarkStart w:id="25" w:name="_Toc12596"/>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8198"/>
      <w:bookmarkStart w:id="27" w:name="_Toc25173"/>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69699188"/>
      <w:bookmarkEnd w:id="29"/>
      <w:bookmarkStart w:id="30" w:name="_Hlt92513715"/>
      <w:bookmarkEnd w:id="30"/>
      <w:bookmarkStart w:id="31" w:name="_Hlt92513711"/>
      <w:bookmarkEnd w:id="31"/>
      <w:bookmarkStart w:id="32" w:name="_Toc11326"/>
      <w:bookmarkStart w:id="33" w:name="_Toc23036"/>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2"/>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val="0"/>
          <w:bCs/>
          <w:snapToGrid w:val="0"/>
          <w:color w:val="auto"/>
          <w:kern w:val="0"/>
          <w:sz w:val="24"/>
          <w:highlight w:val="none"/>
        </w:rPr>
        <w:t>本次招标最高投标限价为人民币（大写）：</w:t>
      </w:r>
      <w:r>
        <w:rPr>
          <w:rFonts w:hint="eastAsia" w:ascii="宋体" w:hAnsi="宋体" w:cs="宋体"/>
          <w:b w:val="0"/>
          <w:bCs/>
          <w:snapToGrid w:val="0"/>
          <w:color w:val="auto"/>
          <w:kern w:val="0"/>
          <w:sz w:val="24"/>
          <w:highlight w:val="none"/>
          <w:lang w:val="en-US" w:eastAsia="zh-CN"/>
        </w:rPr>
        <w:t>壹拾叁万元整</w:t>
      </w:r>
      <w:r>
        <w:rPr>
          <w:rFonts w:hint="eastAsia" w:hAnsi="宋体" w:cs="宋体"/>
          <w:b w:val="0"/>
          <w:bCs/>
          <w:snapToGrid w:val="0"/>
          <w:color w:val="auto"/>
          <w:kern w:val="0"/>
          <w:sz w:val="24"/>
          <w:highlight w:val="none"/>
          <w:u w:val="none"/>
          <w:lang w:val="en-US" w:eastAsia="zh-CN"/>
        </w:rPr>
        <w:t>（小写：</w:t>
      </w:r>
      <w:r>
        <w:rPr>
          <w:rFonts w:hint="eastAsia" w:ascii="宋体" w:hAnsi="宋体" w:eastAsia="宋体" w:cs="宋体"/>
          <w:b w:val="0"/>
          <w:bCs/>
          <w:snapToGrid w:val="0"/>
          <w:color w:val="auto"/>
          <w:kern w:val="0"/>
          <w:sz w:val="24"/>
          <w:highlight w:val="none"/>
          <w:u w:val="none"/>
          <w:lang w:val="en-US" w:eastAsia="zh-CN"/>
        </w:rPr>
        <w:t>￥</w:t>
      </w:r>
      <w:r>
        <w:rPr>
          <w:rFonts w:hint="eastAsia" w:ascii="宋体" w:hAnsi="宋体" w:cs="宋体"/>
          <w:b w:val="0"/>
          <w:bCs/>
          <w:snapToGrid w:val="0"/>
          <w:color w:val="auto"/>
          <w:kern w:val="0"/>
          <w:sz w:val="24"/>
          <w:highlight w:val="none"/>
          <w:u w:val="single"/>
          <w:lang w:val="en-US" w:eastAsia="zh-CN"/>
        </w:rPr>
        <w:t>130000.00</w:t>
      </w:r>
      <w:r>
        <w:rPr>
          <w:rFonts w:hint="eastAsia" w:ascii="宋体" w:hAnsi="宋体" w:eastAsia="宋体" w:cs="宋体"/>
          <w:b w:val="0"/>
          <w:bCs/>
          <w:snapToGrid w:val="0"/>
          <w:color w:val="auto"/>
          <w:kern w:val="0"/>
          <w:sz w:val="24"/>
          <w:highlight w:val="none"/>
          <w:u w:val="none"/>
          <w:lang w:val="en-US" w:eastAsia="zh-CN"/>
        </w:rPr>
        <w:t>元）</w:t>
      </w:r>
      <w:r>
        <w:rPr>
          <w:rFonts w:hint="eastAsia" w:ascii="宋体" w:hAnsi="宋体" w:eastAsia="宋体" w:cs="宋体"/>
          <w:b w:val="0"/>
          <w:bCs/>
          <w:snapToGrid w:val="0"/>
          <w:color w:val="auto"/>
          <w:kern w:val="0"/>
          <w:sz w:val="24"/>
          <w:highlight w:val="none"/>
          <w:u w:val="none"/>
          <w:lang w:eastAsia="zh-CN"/>
        </w:rPr>
        <w:t>，监理服务费投标取费费率上限为</w:t>
      </w:r>
      <w:r>
        <w:rPr>
          <w:rFonts w:hint="eastAsia" w:ascii="宋体" w:hAnsi="宋体" w:cs="宋体"/>
          <w:b w:val="0"/>
          <w:bCs/>
          <w:snapToGrid w:val="0"/>
          <w:color w:val="auto"/>
          <w:kern w:val="0"/>
          <w:sz w:val="24"/>
          <w:highlight w:val="none"/>
          <w:u w:val="single"/>
          <w:lang w:val="en-US" w:eastAsia="zh-CN"/>
        </w:rPr>
        <w:t>1.859%</w:t>
      </w:r>
      <w:r>
        <w:rPr>
          <w:rFonts w:hint="eastAsia" w:ascii="宋体" w:hAnsi="宋体" w:eastAsia="宋体" w:cs="宋体"/>
          <w:b w:val="0"/>
          <w:bCs/>
          <w:snapToGrid w:val="0"/>
          <w:color w:val="auto"/>
          <w:kern w:val="0"/>
          <w:sz w:val="24"/>
          <w:highlight w:val="none"/>
          <w:u w:val="none"/>
        </w:rPr>
        <w:t>。</w:t>
      </w:r>
    </w:p>
    <w:p w14:paraId="08F85732">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2193"/>
      <w:bookmarkStart w:id="35" w:name="_Toc7437"/>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u w:val="single"/>
          <w:lang w:val="en-US" w:eastAsia="zh-CN"/>
        </w:rPr>
        <w:t>6991307.27</w:t>
      </w:r>
      <w:r>
        <w:rPr>
          <w:rFonts w:hint="eastAsia" w:hAnsi="宋体" w:cs="宋体"/>
          <w:b w:val="0"/>
          <w:bCs w:val="0"/>
          <w:snapToGrid w:val="0"/>
          <w:color w:val="auto"/>
          <w:kern w:val="0"/>
          <w:highlight w:val="none"/>
        </w:rPr>
        <w:t>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监理服务费结算价在项目的合同价范围内按实结算，即：以施工</w:t>
      </w:r>
      <w:r>
        <w:rPr>
          <w:rFonts w:hint="eastAsia" w:hAnsi="宋体" w:cs="宋体"/>
          <w:b w:val="0"/>
          <w:bCs w:val="0"/>
          <w:snapToGrid w:val="0"/>
          <w:color w:val="auto"/>
          <w:kern w:val="0"/>
          <w:highlight w:val="none"/>
          <w:lang w:val="en-US" w:eastAsia="zh-CN"/>
        </w:rPr>
        <w:t>财审预</w:t>
      </w:r>
      <w:r>
        <w:rPr>
          <w:rFonts w:hint="eastAsia" w:hAnsi="宋体" w:cs="宋体"/>
          <w:b w:val="0"/>
          <w:bCs w:val="0"/>
          <w:snapToGrid w:val="0"/>
          <w:color w:val="auto"/>
          <w:kern w:val="0"/>
          <w:highlight w:val="none"/>
        </w:rPr>
        <w:t>算价为基数乘以监理人中标取费费率计算，若监理服务费结算总价超过签约合同价，则按签约合同价包干结算；若监理服务费结算总价未超过签约合同价，则按以施工</w:t>
      </w:r>
      <w:r>
        <w:rPr>
          <w:rFonts w:hint="eastAsia" w:hAnsi="宋体" w:cs="宋体"/>
          <w:b w:val="0"/>
          <w:bCs w:val="0"/>
          <w:snapToGrid w:val="0"/>
          <w:color w:val="auto"/>
          <w:kern w:val="0"/>
          <w:highlight w:val="none"/>
          <w:lang w:val="en-US" w:eastAsia="zh-CN"/>
        </w:rPr>
        <w:t>预</w:t>
      </w:r>
      <w:r>
        <w:rPr>
          <w:rFonts w:hint="eastAsia" w:hAnsi="宋体" w:cs="宋体"/>
          <w:b w:val="0"/>
          <w:bCs w:val="0"/>
          <w:snapToGrid w:val="0"/>
          <w:color w:val="auto"/>
          <w:kern w:val="0"/>
          <w:highlight w:val="none"/>
        </w:rPr>
        <w:t>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4002"/>
      <w:bookmarkStart w:id="39" w:name="_Toc684"/>
      <w:r>
        <w:rPr>
          <w:rFonts w:hint="eastAsia" w:hAnsi="宋体" w:cs="宋体"/>
          <w:b/>
          <w:snapToGrid w:val="0"/>
          <w:color w:val="auto"/>
          <w:szCs w:val="24"/>
          <w:highlight w:val="none"/>
        </w:rPr>
        <w:t>10．投标文件的编制</w:t>
      </w:r>
      <w:bookmarkStart w:id="40" w:name="_Hlt69332370"/>
      <w:bookmarkEnd w:id="40"/>
      <w:bookmarkStart w:id="41" w:name="_Hlt69208262"/>
      <w:bookmarkEnd w:id="41"/>
      <w:r>
        <w:rPr>
          <w:rFonts w:hint="eastAsia" w:hAnsi="宋体" w:cs="宋体"/>
          <w:b/>
          <w:snapToGrid w:val="0"/>
          <w:color w:val="auto"/>
          <w:szCs w:val="24"/>
          <w:highlight w:val="none"/>
        </w:rPr>
        <w:t>要求</w:t>
      </w:r>
      <w:bookmarkEnd w:id="38"/>
      <w:bookmarkEnd w:id="39"/>
      <w:bookmarkStart w:id="42" w:name="_Hlt74497202"/>
      <w:bookmarkEnd w:id="42"/>
      <w:bookmarkStart w:id="43" w:name="_Hlt78768224"/>
      <w:bookmarkEnd w:id="43"/>
      <w:bookmarkStart w:id="44" w:name="_Hlt7449559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两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2"/>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kern w:val="0"/>
          <w:szCs w:val="24"/>
          <w:highlight w:val="none"/>
        </w:rPr>
      </w:pPr>
      <w:bookmarkStart w:id="46" w:name="_Toc257031159"/>
      <w:bookmarkStart w:id="47" w:name="_Toc274313880"/>
      <w:r>
        <w:rPr>
          <w:rFonts w:hint="eastAsia" w:hAnsi="宋体" w:cs="宋体"/>
          <w:b/>
          <w:bCs/>
          <w:snapToGrid w:val="0"/>
          <w:color w:val="auto"/>
          <w:kern w:val="0"/>
          <w:szCs w:val="24"/>
          <w:highlight w:val="none"/>
        </w:rPr>
        <w:t>10.2</w:t>
      </w:r>
      <w:r>
        <w:rPr>
          <w:rFonts w:hint="eastAsia" w:hAnsi="宋体" w:cs="宋体"/>
          <w:bCs/>
          <w:snapToGrid w:val="0"/>
          <w:color w:val="auto"/>
          <w:kern w:val="0"/>
          <w:szCs w:val="24"/>
          <w:highlight w:val="none"/>
        </w:rPr>
        <w:t xml:space="preserve">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bCs/>
          <w:snapToGrid w:val="0"/>
          <w:color w:val="auto"/>
          <w:kern w:val="0"/>
          <w:szCs w:val="24"/>
          <w:highlight w:val="none"/>
        </w:rPr>
        <w:t>10.3</w:t>
      </w:r>
      <w:r>
        <w:rPr>
          <w:rFonts w:hint="eastAsia" w:hAnsi="宋体" w:cs="宋体"/>
          <w:bCs/>
          <w:snapToGrid w:val="0"/>
          <w:color w:val="auto"/>
          <w:kern w:val="0"/>
          <w:szCs w:val="24"/>
          <w:highlight w:val="none"/>
        </w:rPr>
        <w:t xml:space="preserve">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5C74C3D5">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9A97868">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1986"/>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4888"/>
      <w:r>
        <w:rPr>
          <w:rFonts w:hint="eastAsia" w:hAnsi="宋体" w:cs="宋体"/>
          <w:b/>
          <w:snapToGrid w:val="0"/>
          <w:color w:val="auto"/>
          <w:szCs w:val="24"/>
          <w:highlight w:val="none"/>
        </w:rPr>
        <w:t>12. 投标文件的提交</w:t>
      </w:r>
      <w:bookmarkEnd w:id="50"/>
    </w:p>
    <w:p w14:paraId="63A3794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90"/>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90"/>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739"/>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30542"/>
      <w:r>
        <w:rPr>
          <w:rFonts w:hint="eastAsia" w:hAnsi="宋体" w:cs="宋体"/>
          <w:b/>
          <w:snapToGrid w:val="0"/>
          <w:color w:val="auto"/>
          <w:kern w:val="0"/>
          <w:szCs w:val="24"/>
          <w:highlight w:val="none"/>
        </w:rPr>
        <w:t>14．开标</w:t>
      </w:r>
      <w:bookmarkEnd w:id="52"/>
    </w:p>
    <w:p w14:paraId="36A9A778">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90"/>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8989"/>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7907CE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highlight w:val="none"/>
        </w:rPr>
        <w:t>15.1.2</w:t>
      </w:r>
      <w:r>
        <w:rPr>
          <w:rFonts w:hint="eastAsia" w:ascii="宋体" w:hAnsi="宋体" w:eastAsia="宋体" w:cs="宋体"/>
          <w:snapToGrid w:val="0"/>
          <w:color w:val="auto"/>
          <w:kern w:val="0"/>
          <w:highlight w:val="none"/>
        </w:rPr>
        <w:t xml:space="preserve"> </w:t>
      </w:r>
      <w:r>
        <w:rPr>
          <w:rFonts w:hint="eastAsia" w:ascii="宋体" w:hAnsi="宋体" w:eastAsia="宋体" w:cs="宋体"/>
          <w:snapToGrid w:val="0"/>
          <w:color w:val="auto"/>
          <w:kern w:val="0"/>
          <w:sz w:val="24"/>
          <w:szCs w:val="24"/>
          <w:highlight w:val="none"/>
        </w:rPr>
        <w:t>评标委员会应认真、公正、诚实、廉洁地履行职责。有下列情形之一的，不得担任评标委员会成员：</w:t>
      </w:r>
    </w:p>
    <w:p w14:paraId="27E80291">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34708A36">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2AE6C8F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508B469C">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3B95A3BD">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272B304C">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08BA1F03">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3E2AB94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.4条“禁止投标条款”规定。如果“禁止投标条款”包括失信惩戒的，投标人信用信息的获取采用现场实时查询的方式实施。由评标委员会成员登录信用中国网站（https://www.creditchina.gov.cn）进行查询。</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w:t>
      </w:r>
      <w:r>
        <w:rPr>
          <w:rFonts w:hint="eastAsia" w:hAnsi="宋体" w:cs="宋体"/>
          <w:b/>
          <w:bCs/>
          <w:snapToGrid w:val="0"/>
          <w:color w:val="auto"/>
          <w:kern w:val="0"/>
          <w:highlight w:val="none"/>
          <w:lang w:val="en-US" w:eastAsia="zh-CN"/>
        </w:rPr>
        <w:t>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w:t>
      </w:r>
      <w:r>
        <w:rPr>
          <w:rFonts w:hint="eastAsia" w:hAnsi="宋体" w:cs="宋体"/>
          <w:b/>
          <w:bCs/>
          <w:snapToGrid w:val="0"/>
          <w:color w:val="auto"/>
          <w:kern w:val="0"/>
          <w:highlight w:val="none"/>
          <w:lang w:val="en-US" w:eastAsia="zh-CN"/>
        </w:rPr>
        <w:t>4</w:t>
      </w:r>
      <w:r>
        <w:rPr>
          <w:rFonts w:hint="eastAsia" w:hAnsi="宋体" w:cs="宋体"/>
          <w:b/>
          <w:bCs/>
          <w:snapToGrid w:val="0"/>
          <w:color w:val="auto"/>
          <w:kern w:val="0"/>
          <w:highlight w:val="none"/>
        </w:rPr>
        <w:t>.1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50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40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1</w:t>
      </w:r>
      <w:r>
        <w:rPr>
          <w:rFonts w:hint="eastAsia" w:hAnsi="宋体" w:cs="宋体"/>
          <w:snapToGrid w:val="0"/>
          <w:color w:val="auto"/>
          <w:kern w:val="0"/>
          <w:highlight w:val="none"/>
          <w:u w:val="single"/>
        </w:rPr>
        <w:t xml:space="preserve">0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0.2</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0.2</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0.1</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bidi w:val="0"/>
        <w:rPr>
          <w:rFonts w:hint="eastAsia"/>
          <w:color w:val="auto"/>
          <w:highlight w:val="none"/>
          <w:lang w:val="en-US" w:eastAsia="zh-CN"/>
        </w:rPr>
      </w:pPr>
      <w:bookmarkStart w:id="56" w:name="_Toc31548"/>
      <w:bookmarkStart w:id="57" w:name="_Toc6276"/>
    </w:p>
    <w:p w14:paraId="17C17EA4">
      <w:pPr>
        <w:bidi w:val="0"/>
        <w:rPr>
          <w:rFonts w:hint="eastAsia"/>
          <w:color w:val="auto"/>
          <w:highlight w:val="none"/>
          <w:lang w:val="en-US" w:eastAsia="zh-CN"/>
        </w:rPr>
      </w:pPr>
    </w:p>
    <w:p w14:paraId="427AFC8D">
      <w:pPr>
        <w:pStyle w:val="15"/>
        <w:rPr>
          <w:rFonts w:hint="eastAsia"/>
          <w:color w:val="auto"/>
          <w:highlight w:val="none"/>
          <w:lang w:val="en-US" w:eastAsia="zh-CN"/>
        </w:rPr>
      </w:pPr>
    </w:p>
    <w:p w14:paraId="54D8FB5C">
      <w:pPr>
        <w:pStyle w:val="15"/>
        <w:rPr>
          <w:rFonts w:hint="eastAsia"/>
          <w:color w:val="auto"/>
          <w:highlight w:val="none"/>
          <w:lang w:val="en-US" w:eastAsia="zh-CN"/>
        </w:rPr>
      </w:pPr>
    </w:p>
    <w:p w14:paraId="1BACE770">
      <w:pPr>
        <w:pStyle w:val="15"/>
        <w:rPr>
          <w:rFonts w:hint="eastAsia"/>
          <w:color w:val="auto"/>
          <w:highlight w:val="none"/>
          <w:lang w:val="en-US" w:eastAsia="zh-CN"/>
        </w:rPr>
      </w:pPr>
    </w:p>
    <w:p w14:paraId="2D341B2A">
      <w:pPr>
        <w:pStyle w:val="15"/>
        <w:rPr>
          <w:rFonts w:hint="eastAsia"/>
          <w:color w:val="auto"/>
          <w:highlight w:val="none"/>
          <w:lang w:val="en-US" w:eastAsia="zh-CN"/>
        </w:rPr>
      </w:pPr>
    </w:p>
    <w:p w14:paraId="2A926E05">
      <w:pPr>
        <w:pStyle w:val="15"/>
        <w:rPr>
          <w:rFonts w:hint="eastAsia"/>
          <w:color w:val="auto"/>
          <w:highlight w:val="none"/>
          <w:lang w:val="en-US" w:eastAsia="zh-CN"/>
        </w:rPr>
      </w:pPr>
    </w:p>
    <w:p w14:paraId="3EE47724">
      <w:pPr>
        <w:pStyle w:val="15"/>
        <w:rPr>
          <w:rFonts w:hint="eastAsia"/>
          <w:color w:val="auto"/>
          <w:highlight w:val="none"/>
          <w:lang w:val="en-US" w:eastAsia="zh-CN"/>
        </w:rPr>
      </w:pPr>
    </w:p>
    <w:p w14:paraId="31B39A5A">
      <w:pPr>
        <w:pStyle w:val="15"/>
        <w:rPr>
          <w:rFonts w:hint="eastAsia"/>
          <w:color w:val="auto"/>
          <w:highlight w:val="none"/>
          <w:lang w:val="en-US" w:eastAsia="zh-CN"/>
        </w:rPr>
      </w:pPr>
    </w:p>
    <w:p w14:paraId="35B0C4BF">
      <w:pPr>
        <w:pStyle w:val="15"/>
        <w:rPr>
          <w:rFonts w:hint="eastAsia"/>
          <w:color w:val="auto"/>
          <w:highlight w:val="none"/>
          <w:lang w:val="en-US" w:eastAsia="zh-CN"/>
        </w:rPr>
      </w:pPr>
    </w:p>
    <w:p w14:paraId="1EA72311">
      <w:pPr>
        <w:pStyle w:val="15"/>
        <w:rPr>
          <w:rFonts w:hint="eastAsia"/>
          <w:color w:val="auto"/>
          <w:highlight w:val="none"/>
          <w:lang w:val="en-US" w:eastAsia="zh-CN"/>
        </w:rPr>
      </w:pPr>
    </w:p>
    <w:p w14:paraId="50AF885B">
      <w:pPr>
        <w:pStyle w:val="15"/>
        <w:rPr>
          <w:rFonts w:hint="eastAsia"/>
          <w:color w:val="auto"/>
          <w:highlight w:val="none"/>
          <w:lang w:val="en-US" w:eastAsia="zh-CN"/>
        </w:rPr>
      </w:pPr>
    </w:p>
    <w:p w14:paraId="7314E11C">
      <w:pPr>
        <w:pStyle w:val="15"/>
        <w:rPr>
          <w:rFonts w:hint="eastAsia"/>
          <w:color w:val="auto"/>
          <w:highlight w:val="none"/>
          <w:lang w:val="en-US" w:eastAsia="zh-CN"/>
        </w:rPr>
      </w:pPr>
    </w:p>
    <w:p w14:paraId="7F0B3434">
      <w:pPr>
        <w:pStyle w:val="15"/>
        <w:rPr>
          <w:rFonts w:hint="eastAsia"/>
          <w:color w:val="auto"/>
          <w:highlight w:val="none"/>
          <w:lang w:val="en-US" w:eastAsia="zh-CN"/>
        </w:rPr>
      </w:pPr>
    </w:p>
    <w:p w14:paraId="3AB2D6D2">
      <w:pPr>
        <w:pStyle w:val="15"/>
        <w:rPr>
          <w:rFonts w:hint="eastAsia"/>
          <w:color w:val="auto"/>
          <w:highlight w:val="none"/>
          <w:lang w:val="en-US" w:eastAsia="zh-CN"/>
        </w:rPr>
      </w:pPr>
    </w:p>
    <w:p w14:paraId="62789936">
      <w:pPr>
        <w:pStyle w:val="15"/>
        <w:rPr>
          <w:rFonts w:hint="eastAsia"/>
          <w:color w:val="auto"/>
          <w:highlight w:val="none"/>
          <w:lang w:val="en-US" w:eastAsia="zh-CN"/>
        </w:rPr>
      </w:pPr>
    </w:p>
    <w:p w14:paraId="76829804">
      <w:pPr>
        <w:pStyle w:val="15"/>
        <w:rPr>
          <w:rFonts w:hint="eastAsia"/>
          <w:color w:val="auto"/>
          <w:highlight w:val="none"/>
          <w:lang w:val="en-US" w:eastAsia="zh-CN"/>
        </w:rPr>
      </w:pPr>
    </w:p>
    <w:p w14:paraId="442A2ABB">
      <w:pPr>
        <w:pStyle w:val="15"/>
        <w:rPr>
          <w:rFonts w:hint="eastAsia"/>
          <w:color w:val="auto"/>
          <w:highlight w:val="none"/>
          <w:lang w:val="en-US" w:eastAsia="zh-CN"/>
        </w:rPr>
      </w:pPr>
    </w:p>
    <w:p w14:paraId="0096D610">
      <w:pPr>
        <w:bidi w:val="0"/>
        <w:rPr>
          <w:rFonts w:hint="eastAsia"/>
          <w:color w:val="auto"/>
          <w:highlight w:val="none"/>
          <w:lang w:val="en-US" w:eastAsia="zh-CN"/>
        </w:rPr>
      </w:pPr>
    </w:p>
    <w:p w14:paraId="4CAC7FD8">
      <w:pPr>
        <w:pStyle w:val="15"/>
        <w:rPr>
          <w:rFonts w:hint="eastAsia"/>
          <w:color w:val="auto"/>
          <w:highlight w:val="none"/>
          <w:lang w:val="en-US" w:eastAsia="zh-CN"/>
        </w:rPr>
      </w:pPr>
    </w:p>
    <w:p w14:paraId="4E64145C">
      <w:pPr>
        <w:pStyle w:val="15"/>
        <w:rPr>
          <w:rFonts w:hint="eastAsia"/>
          <w:color w:val="auto"/>
          <w:highlight w:val="none"/>
          <w:lang w:val="en-US" w:eastAsia="zh-CN"/>
        </w:rPr>
      </w:pPr>
    </w:p>
    <w:p w14:paraId="36C78AF5">
      <w:pPr>
        <w:bidi w:val="0"/>
        <w:rPr>
          <w:rFonts w:hint="eastAsia"/>
          <w:color w:val="auto"/>
          <w:highlight w:val="none"/>
          <w:lang w:val="en-US" w:eastAsia="zh-CN"/>
        </w:rPr>
      </w:pPr>
    </w:p>
    <w:p w14:paraId="7F15CD77">
      <w:pPr>
        <w:pStyle w:val="15"/>
        <w:rPr>
          <w:rFonts w:hint="eastAsia"/>
          <w:color w:val="auto"/>
          <w:highlight w:val="none"/>
          <w:lang w:val="en-US" w:eastAsia="zh-CN"/>
        </w:rPr>
      </w:pPr>
    </w:p>
    <w:p w14:paraId="086905B1">
      <w:pPr>
        <w:pStyle w:val="5"/>
        <w:rPr>
          <w:rFonts w:ascii="宋体" w:hAnsi="宋体" w:cs="宋体"/>
          <w:color w:val="auto"/>
          <w:sz w:val="24"/>
          <w:highlight w:val="none"/>
        </w:rPr>
      </w:pPr>
      <w:bookmarkStart w:id="58" w:name="_Toc29993"/>
      <w:bookmarkStart w:id="59" w:name="_Toc18221"/>
      <w:bookmarkStart w:id="60" w:name="_Toc30952"/>
      <w:bookmarkStart w:id="61" w:name="_Toc31720"/>
      <w:r>
        <w:rPr>
          <w:rFonts w:hint="eastAsia" w:ascii="宋体" w:hAnsi="宋体" w:eastAsia="宋体" w:cs="宋体"/>
          <w:b/>
          <w:bCs/>
          <w:color w:val="auto"/>
          <w:sz w:val="32"/>
          <w:szCs w:val="22"/>
          <w:highlight w:val="none"/>
        </w:rPr>
        <w:t>表1 综合评分表</w:t>
      </w:r>
      <w:bookmarkEnd w:id="56"/>
      <w:bookmarkEnd w:id="57"/>
      <w:bookmarkEnd w:id="58"/>
      <w:bookmarkEnd w:id="59"/>
      <w:bookmarkEnd w:id="60"/>
      <w:bookmarkEnd w:id="61"/>
    </w:p>
    <w:tbl>
      <w:tblPr>
        <w:tblStyle w:val="31"/>
        <w:tblW w:w="9362" w:type="dxa"/>
        <w:jc w:val="center"/>
        <w:tblLayout w:type="fixed"/>
        <w:tblCellMar>
          <w:top w:w="0" w:type="dxa"/>
          <w:left w:w="108" w:type="dxa"/>
          <w:bottom w:w="0" w:type="dxa"/>
          <w:right w:w="108" w:type="dxa"/>
        </w:tblCellMar>
      </w:tblPr>
      <w:tblGrid>
        <w:gridCol w:w="1404"/>
        <w:gridCol w:w="4480"/>
        <w:gridCol w:w="3478"/>
      </w:tblGrid>
      <w:tr w14:paraId="00B4DEEC">
        <w:tblPrEx>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060343E7">
            <w:pPr>
              <w:pStyle w:val="11"/>
              <w:tabs>
                <w:tab w:val="left" w:pos="1354"/>
                <w:tab w:val="left" w:pos="1459"/>
                <w:tab w:val="center" w:pos="3902"/>
                <w:tab w:val="right" w:pos="7805"/>
              </w:tabs>
              <w:adjustRightInd w:val="0"/>
              <w:snapToGrid w:val="0"/>
              <w:spacing w:after="0" w:line="360" w:lineRule="exact"/>
              <w:rPr>
                <w:rFonts w:ascii="黑体" w:hAnsi="黑体" w:eastAsia="黑体" w:cs="黑体"/>
                <w:snapToGrid w:val="0"/>
                <w:kern w:val="0"/>
                <w:sz w:val="21"/>
                <w:szCs w:val="21"/>
              </w:rPr>
            </w:pPr>
            <w:r>
              <w:rPr>
                <w:rFonts w:hint="eastAsia" w:ascii="黑体" w:hAnsi="黑体" w:eastAsia="黑体" w:cs="黑体"/>
                <w:snapToGrid w:val="0"/>
                <w:kern w:val="0"/>
                <w:sz w:val="21"/>
                <w:szCs w:val="21"/>
              </w:rPr>
              <w:t>商务部分，满分：</w:t>
            </w:r>
            <w:r>
              <w:rPr>
                <w:rFonts w:hint="eastAsia" w:ascii="黑体" w:hAnsi="黑体" w:eastAsia="黑体" w:cs="黑体"/>
                <w:snapToGrid w:val="0"/>
                <w:kern w:val="0"/>
                <w:sz w:val="21"/>
                <w:szCs w:val="21"/>
                <w:u w:val="single"/>
              </w:rPr>
              <w:t>50</w:t>
            </w:r>
            <w:r>
              <w:rPr>
                <w:rFonts w:hint="eastAsia" w:ascii="黑体" w:hAnsi="黑体" w:eastAsia="黑体" w:cs="黑体"/>
                <w:snapToGrid w:val="0"/>
                <w:kern w:val="0"/>
                <w:sz w:val="21"/>
                <w:szCs w:val="21"/>
              </w:rPr>
              <w:t>分。</w:t>
            </w:r>
          </w:p>
        </w:tc>
      </w:tr>
      <w:tr w14:paraId="04281EAA">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0058F59">
            <w:pPr>
              <w:pStyle w:val="11"/>
              <w:tabs>
                <w:tab w:val="left" w:pos="1354"/>
                <w:tab w:val="left" w:pos="1459"/>
                <w:tab w:val="center" w:pos="3902"/>
                <w:tab w:val="right" w:pos="7805"/>
              </w:tabs>
              <w:adjustRightInd w:val="0"/>
              <w:snapToGrid w:val="0"/>
              <w:spacing w:after="0" w:line="360" w:lineRule="exact"/>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评分因素</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9EEED6A">
            <w:pPr>
              <w:pStyle w:val="11"/>
              <w:tabs>
                <w:tab w:val="left" w:pos="1354"/>
                <w:tab w:val="left" w:pos="1459"/>
                <w:tab w:val="center" w:pos="3902"/>
                <w:tab w:val="right" w:pos="7805"/>
              </w:tabs>
              <w:adjustRightInd w:val="0"/>
              <w:snapToGrid w:val="0"/>
              <w:spacing w:after="0" w:line="360" w:lineRule="exact"/>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评分标准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92DB929">
            <w:pPr>
              <w:pStyle w:val="11"/>
              <w:tabs>
                <w:tab w:val="left" w:pos="1354"/>
                <w:tab w:val="left" w:pos="1459"/>
                <w:tab w:val="center" w:pos="3902"/>
                <w:tab w:val="right" w:pos="7805"/>
              </w:tabs>
              <w:adjustRightInd w:val="0"/>
              <w:snapToGrid w:val="0"/>
              <w:spacing w:after="0" w:line="360" w:lineRule="exact"/>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备注</w:t>
            </w:r>
          </w:p>
        </w:tc>
      </w:tr>
      <w:tr w14:paraId="2D435DD7">
        <w:tblPrEx>
          <w:tblCellMar>
            <w:top w:w="0" w:type="dxa"/>
            <w:left w:w="108" w:type="dxa"/>
            <w:bottom w:w="0" w:type="dxa"/>
            <w:right w:w="108" w:type="dxa"/>
          </w:tblCellMar>
        </w:tblPrEx>
        <w:trPr>
          <w:trHeight w:val="2754" w:hRule="exact"/>
          <w:jc w:val="center"/>
        </w:trPr>
        <w:tc>
          <w:tcPr>
            <w:tcW w:w="14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A503C">
            <w:pPr>
              <w:spacing w:line="360" w:lineRule="exact"/>
              <w:ind w:firstLine="420" w:firstLineChars="200"/>
              <w:rPr>
                <w:rFonts w:hint="eastAsia" w:hAnsi="宋体" w:cs="宋体"/>
                <w:sz w:val="21"/>
                <w:szCs w:val="21"/>
              </w:rPr>
            </w:pPr>
          </w:p>
          <w:p w14:paraId="1795DAFF">
            <w:pPr>
              <w:spacing w:line="360" w:lineRule="exact"/>
              <w:jc w:val="center"/>
              <w:rPr>
                <w:rFonts w:hint="eastAsia" w:hAnsi="宋体" w:cs="宋体"/>
                <w:sz w:val="21"/>
                <w:szCs w:val="21"/>
              </w:rPr>
            </w:pPr>
            <w:r>
              <w:rPr>
                <w:rFonts w:hint="eastAsia" w:hAnsi="宋体" w:cs="宋体"/>
                <w:sz w:val="21"/>
                <w:szCs w:val="21"/>
              </w:rPr>
              <w:t>企业奖项</w:t>
            </w:r>
          </w:p>
          <w:p w14:paraId="4DD82FDC">
            <w:pPr>
              <w:spacing w:line="360" w:lineRule="exact"/>
              <w:jc w:val="center"/>
              <w:rPr>
                <w:rFonts w:hint="eastAsia" w:hAnsi="宋体" w:cs="宋体"/>
                <w:sz w:val="21"/>
                <w:szCs w:val="21"/>
                <w:lang w:val="en-US" w:eastAsia="zh-CN"/>
              </w:rPr>
            </w:pPr>
            <w:r>
              <w:rPr>
                <w:rFonts w:hint="eastAsia" w:hAnsi="宋体" w:cs="宋体"/>
                <w:sz w:val="21"/>
                <w:szCs w:val="21"/>
              </w:rPr>
              <w:t>（</w:t>
            </w:r>
            <w:r>
              <w:rPr>
                <w:rFonts w:hint="eastAsia" w:hAnsi="宋体" w:cs="宋体"/>
                <w:sz w:val="21"/>
                <w:szCs w:val="21"/>
                <w:lang w:val="en-US" w:eastAsia="zh-CN"/>
              </w:rPr>
              <w:t>10</w:t>
            </w:r>
            <w:r>
              <w:rPr>
                <w:rFonts w:hint="eastAsia" w:hAnsi="宋体" w:cs="宋体"/>
                <w:sz w:val="21"/>
                <w:szCs w:val="21"/>
              </w:rPr>
              <w:t>分）</w:t>
            </w:r>
          </w:p>
        </w:tc>
        <w:tc>
          <w:tcPr>
            <w:tcW w:w="4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62849">
            <w:pPr>
              <w:spacing w:line="360" w:lineRule="exact"/>
              <w:ind w:firstLine="420" w:firstLineChars="200"/>
              <w:rPr>
                <w:rFonts w:hint="eastAsia" w:hAnsi="宋体" w:cs="宋体"/>
                <w:sz w:val="21"/>
                <w:szCs w:val="21"/>
                <w:lang w:val="en-US" w:eastAsia="zh-CN"/>
              </w:rPr>
            </w:pPr>
            <w:r>
              <w:rPr>
                <w:rFonts w:hint="eastAsia" w:hAnsi="宋体" w:cs="宋体"/>
                <w:sz w:val="21"/>
                <w:szCs w:val="21"/>
              </w:rPr>
              <w:t>企业自 202</w:t>
            </w:r>
            <w:r>
              <w:rPr>
                <w:rFonts w:hint="eastAsia" w:hAnsi="宋体" w:cs="宋体"/>
                <w:sz w:val="21"/>
                <w:szCs w:val="21"/>
                <w:lang w:val="en-US" w:eastAsia="zh-CN"/>
              </w:rPr>
              <w:t>1</w:t>
            </w:r>
            <w:r>
              <w:rPr>
                <w:rFonts w:hint="eastAsia" w:hAnsi="宋体" w:cs="宋体"/>
                <w:sz w:val="21"/>
                <w:szCs w:val="21"/>
              </w:rPr>
              <w:t xml:space="preserve"> 年 1 月 1 日至投标截止之日企业监理过的工程获得过市级或以上行政主管部门或行业协会颁发的奖项，每个得 </w:t>
            </w:r>
            <w:r>
              <w:rPr>
                <w:rFonts w:hint="eastAsia" w:hAnsi="宋体" w:cs="宋体"/>
                <w:sz w:val="21"/>
                <w:szCs w:val="21"/>
                <w:lang w:val="en-US" w:eastAsia="zh-CN"/>
              </w:rPr>
              <w:t>5</w:t>
            </w:r>
            <w:r>
              <w:rPr>
                <w:rFonts w:hint="eastAsia" w:hAnsi="宋体" w:cs="宋体"/>
                <w:sz w:val="21"/>
                <w:szCs w:val="21"/>
              </w:rPr>
              <w:t>分，最高得</w:t>
            </w:r>
            <w:r>
              <w:rPr>
                <w:rFonts w:hint="eastAsia" w:hAnsi="宋体" w:cs="宋体"/>
                <w:sz w:val="21"/>
                <w:szCs w:val="21"/>
                <w:lang w:val="en-US" w:eastAsia="zh-CN"/>
              </w:rPr>
              <w:t>10</w:t>
            </w:r>
            <w:r>
              <w:rPr>
                <w:rFonts w:hint="eastAsia" w:hAnsi="宋体" w:cs="宋体"/>
                <w:sz w:val="21"/>
                <w:szCs w:val="21"/>
              </w:rPr>
              <w:t>分；</w:t>
            </w:r>
          </w:p>
        </w:tc>
        <w:tc>
          <w:tcPr>
            <w:tcW w:w="34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F9BF2C">
            <w:pPr>
              <w:spacing w:line="360" w:lineRule="exact"/>
              <w:ind w:firstLine="420" w:firstLineChars="200"/>
              <w:rPr>
                <w:rFonts w:hint="eastAsia" w:hAnsi="宋体" w:cs="宋体"/>
                <w:sz w:val="21"/>
                <w:szCs w:val="21"/>
                <w:lang w:val="en-US" w:eastAsia="zh-CN"/>
              </w:rPr>
            </w:pPr>
            <w:r>
              <w:rPr>
                <w:rFonts w:hint="eastAsia" w:hAnsi="宋体" w:cs="宋体"/>
                <w:sz w:val="21"/>
                <w:szCs w:val="21"/>
              </w:rPr>
              <w:t>须提供相关证书或证明材料复印件或扫描件加盖公章，同时提供该奖项公示的网页查询截图，否则不得分。</w:t>
            </w:r>
          </w:p>
        </w:tc>
      </w:tr>
      <w:tr w14:paraId="5A9CAC3B">
        <w:tblPrEx>
          <w:tblCellMar>
            <w:top w:w="0" w:type="dxa"/>
            <w:left w:w="108" w:type="dxa"/>
            <w:bottom w:w="0" w:type="dxa"/>
            <w:right w:w="108" w:type="dxa"/>
          </w:tblCellMar>
        </w:tblPrEx>
        <w:trPr>
          <w:trHeight w:val="79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12BECA8">
            <w:pPr>
              <w:pStyle w:val="11"/>
              <w:adjustRightInd w:val="0"/>
              <w:snapToGrid w:val="0"/>
              <w:spacing w:after="0" w:line="360" w:lineRule="exact"/>
              <w:jc w:val="center"/>
              <w:rPr>
                <w:rFonts w:hint="eastAsia" w:hAnsi="宋体" w:cs="宋体"/>
                <w:sz w:val="21"/>
                <w:szCs w:val="21"/>
              </w:rPr>
            </w:pPr>
            <w:r>
              <w:rPr>
                <w:rFonts w:hint="eastAsia" w:hAnsi="宋体" w:cs="宋体"/>
                <w:sz w:val="21"/>
                <w:szCs w:val="21"/>
              </w:rPr>
              <w:t>监理业绩</w:t>
            </w:r>
          </w:p>
          <w:p w14:paraId="2A100EC3">
            <w:pPr>
              <w:pStyle w:val="11"/>
              <w:adjustRightInd w:val="0"/>
              <w:snapToGrid w:val="0"/>
              <w:spacing w:after="0" w:line="360" w:lineRule="exact"/>
              <w:jc w:val="center"/>
              <w:rPr>
                <w:rFonts w:hint="eastAsia" w:ascii="Times New Roman"/>
                <w:snapToGrid w:val="0"/>
                <w:kern w:val="0"/>
                <w:sz w:val="21"/>
                <w:szCs w:val="21"/>
              </w:rPr>
            </w:pPr>
            <w:r>
              <w:rPr>
                <w:rFonts w:hint="eastAsia" w:hAnsi="宋体" w:cs="宋体"/>
                <w:sz w:val="21"/>
                <w:szCs w:val="21"/>
              </w:rPr>
              <w:t>（15分）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5F84984">
            <w:pPr>
              <w:spacing w:line="360" w:lineRule="exact"/>
              <w:ind w:firstLine="420" w:firstLineChars="200"/>
              <w:rPr>
                <w:rFonts w:hAnsi="宋体" w:cs="宋体"/>
                <w:sz w:val="21"/>
                <w:szCs w:val="21"/>
              </w:rPr>
            </w:pPr>
            <w:r>
              <w:rPr>
                <w:rFonts w:hint="eastAsia" w:hAnsi="宋体" w:cs="宋体"/>
                <w:sz w:val="21"/>
                <w:szCs w:val="21"/>
              </w:rPr>
              <w:t>1、</w:t>
            </w:r>
            <w:r>
              <w:rPr>
                <w:rFonts w:hint="eastAsia" w:hAnsi="宋体" w:cs="宋体"/>
                <w:color w:val="000000"/>
                <w:sz w:val="21"/>
                <w:szCs w:val="21"/>
              </w:rPr>
              <w:t>投标人</w:t>
            </w:r>
            <w:r>
              <w:rPr>
                <w:rFonts w:hint="eastAsia" w:hAnsi="宋体" w:cs="宋体"/>
                <w:sz w:val="21"/>
                <w:szCs w:val="21"/>
              </w:rPr>
              <w:t>202</w:t>
            </w:r>
            <w:r>
              <w:rPr>
                <w:rFonts w:hint="eastAsia" w:hAnsi="宋体" w:cs="宋体"/>
                <w:sz w:val="21"/>
                <w:szCs w:val="21"/>
                <w:lang w:val="en-US" w:eastAsia="zh-CN"/>
              </w:rPr>
              <w:t>1</w:t>
            </w:r>
            <w:r>
              <w:rPr>
                <w:rFonts w:hint="eastAsia" w:hAnsi="宋体" w:cs="宋体"/>
                <w:sz w:val="21"/>
                <w:szCs w:val="21"/>
              </w:rPr>
              <w:t>年1月1日至今</w:t>
            </w:r>
            <w:r>
              <w:rPr>
                <w:rFonts w:hint="eastAsia" w:hAnsi="宋体" w:cs="宋体"/>
                <w:sz w:val="21"/>
                <w:szCs w:val="21"/>
                <w:lang w:val="en-US" w:eastAsia="zh-CN"/>
              </w:rPr>
              <w:t>承担</w:t>
            </w:r>
            <w:r>
              <w:rPr>
                <w:rFonts w:hint="eastAsia" w:hAnsi="宋体" w:cs="宋体"/>
                <w:sz w:val="21"/>
                <w:szCs w:val="21"/>
              </w:rPr>
              <w:t>过总投资</w:t>
            </w:r>
            <w:r>
              <w:rPr>
                <w:rFonts w:hint="eastAsia" w:hAnsi="宋体" w:cs="宋体"/>
                <w:sz w:val="21"/>
                <w:szCs w:val="21"/>
                <w:lang w:val="en-US" w:eastAsia="zh-CN"/>
              </w:rPr>
              <w:t>70</w:t>
            </w:r>
            <w:r>
              <w:rPr>
                <w:rFonts w:hint="eastAsia" w:hAnsi="宋体" w:cs="宋体"/>
                <w:sz w:val="21"/>
                <w:szCs w:val="21"/>
              </w:rPr>
              <w:t>0万元及以上质量合格的市政工程监理项目的，每个得5分，本项最高得15分。</w:t>
            </w:r>
          </w:p>
          <w:p w14:paraId="7FE96B5B">
            <w:pPr>
              <w:spacing w:line="360" w:lineRule="exact"/>
              <w:ind w:firstLine="420" w:firstLineChars="200"/>
              <w:jc w:val="left"/>
              <w:rPr>
                <w:rFonts w:hAnsi="宋体" w:cs="宋体"/>
                <w:sz w:val="21"/>
                <w:szCs w:val="21"/>
              </w:rPr>
            </w:pPr>
            <w:r>
              <w:rPr>
                <w:rFonts w:hint="eastAsia" w:hAnsi="宋体" w:cs="宋体"/>
                <w:sz w:val="21"/>
                <w:szCs w:val="21"/>
              </w:rPr>
              <w:t>2、其他情形的，不予计分。</w:t>
            </w:r>
          </w:p>
          <w:p w14:paraId="52FDCC12">
            <w:pPr>
              <w:pStyle w:val="30"/>
              <w:spacing w:line="360" w:lineRule="exact"/>
              <w:ind w:firstLineChars="200"/>
              <w:jc w:val="left"/>
              <w:rPr>
                <w:rFonts w:cs="宋体"/>
                <w:sz w:val="21"/>
                <w:szCs w:val="21"/>
              </w:rPr>
            </w:pPr>
            <w:r>
              <w:rPr>
                <w:rFonts w:hint="eastAsia" w:cs="宋体"/>
                <w:sz w:val="21"/>
                <w:szCs w:val="21"/>
              </w:rPr>
              <w:t>说明：本项最高得15分。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CCE5AF2">
            <w:pPr>
              <w:spacing w:line="360" w:lineRule="exact"/>
              <w:jc w:val="left"/>
              <w:rPr>
                <w:rFonts w:hAnsi="宋体" w:cs="宋体"/>
                <w:sz w:val="21"/>
                <w:szCs w:val="21"/>
              </w:rPr>
            </w:pPr>
            <w:r>
              <w:rPr>
                <w:rFonts w:hint="eastAsia" w:hAnsi="宋体" w:cs="宋体"/>
                <w:sz w:val="21"/>
                <w:szCs w:val="21"/>
              </w:rPr>
              <w:t>1.须提供公开发布的中标结果截图、中标通知书、监理合同彩色扫描件并加盖单位公章。</w:t>
            </w:r>
          </w:p>
          <w:p w14:paraId="2757625C">
            <w:pPr>
              <w:spacing w:line="360" w:lineRule="exact"/>
              <w:jc w:val="left"/>
              <w:rPr>
                <w:rFonts w:hAnsi="宋体" w:cs="宋体"/>
                <w:sz w:val="21"/>
                <w:szCs w:val="21"/>
              </w:rPr>
            </w:pPr>
            <w:r>
              <w:rPr>
                <w:rFonts w:hint="eastAsia" w:hAnsi="宋体" w:cs="宋体"/>
                <w:sz w:val="21"/>
                <w:szCs w:val="21"/>
              </w:rPr>
              <w:t>2.项目业绩认定时间以</w:t>
            </w:r>
            <w:r>
              <w:rPr>
                <w:rFonts w:hint="eastAsia" w:hAnsi="宋体" w:cs="宋体"/>
                <w:sz w:val="21"/>
                <w:szCs w:val="21"/>
                <w:lang w:val="en-US" w:eastAsia="zh-CN"/>
              </w:rPr>
              <w:t>合同签订</w:t>
            </w:r>
            <w:r>
              <w:rPr>
                <w:rFonts w:hint="eastAsia" w:hAnsi="宋体" w:cs="宋体"/>
                <w:sz w:val="21"/>
                <w:szCs w:val="21"/>
              </w:rPr>
              <w:t>时间为准。</w:t>
            </w:r>
          </w:p>
          <w:p w14:paraId="58CC7DB8">
            <w:pPr>
              <w:spacing w:line="360" w:lineRule="exact"/>
              <w:jc w:val="left"/>
              <w:rPr>
                <w:rFonts w:hAnsi="宋体" w:cs="宋体"/>
                <w:sz w:val="21"/>
                <w:szCs w:val="21"/>
              </w:rPr>
            </w:pPr>
            <w:r>
              <w:rPr>
                <w:rFonts w:hint="eastAsia" w:hAnsi="宋体" w:cs="宋体"/>
                <w:sz w:val="21"/>
                <w:szCs w:val="21"/>
              </w:rPr>
              <w:t>3.未提供证明材料或材料不齐全，业绩不符合评分标准和备注规定的，不予计分。</w:t>
            </w:r>
          </w:p>
        </w:tc>
      </w:tr>
      <w:tr w14:paraId="42EFC545">
        <w:tblPrEx>
          <w:tblCellMar>
            <w:top w:w="0" w:type="dxa"/>
            <w:left w:w="108" w:type="dxa"/>
            <w:bottom w:w="0" w:type="dxa"/>
            <w:right w:w="108" w:type="dxa"/>
          </w:tblCellMar>
        </w:tblPrEx>
        <w:trPr>
          <w:trHeight w:val="847" w:hRule="atLeast"/>
          <w:jc w:val="center"/>
        </w:trPr>
        <w:tc>
          <w:tcPr>
            <w:tcW w:w="1404" w:type="dxa"/>
            <w:tcBorders>
              <w:top w:val="single" w:color="auto" w:sz="4" w:space="0"/>
              <w:left w:val="single" w:color="auto" w:sz="4" w:space="0"/>
              <w:right w:val="single" w:color="auto" w:sz="4" w:space="0"/>
            </w:tcBorders>
            <w:noWrap w:val="0"/>
            <w:vAlign w:val="center"/>
          </w:tcPr>
          <w:p w14:paraId="51ADC0ED">
            <w:pPr>
              <w:spacing w:line="360" w:lineRule="exact"/>
              <w:jc w:val="center"/>
              <w:rPr>
                <w:rFonts w:hAnsi="宋体" w:cs="宋体"/>
                <w:color w:val="000000"/>
                <w:sz w:val="21"/>
                <w:szCs w:val="21"/>
              </w:rPr>
            </w:pPr>
            <w:r>
              <w:rPr>
                <w:rFonts w:hint="eastAsia" w:hAnsi="宋体" w:cs="宋体"/>
                <w:color w:val="000000"/>
                <w:sz w:val="21"/>
                <w:szCs w:val="21"/>
              </w:rPr>
              <w:t>其他监理</w:t>
            </w:r>
          </w:p>
          <w:p w14:paraId="62F82A04">
            <w:pPr>
              <w:spacing w:line="360" w:lineRule="exact"/>
              <w:jc w:val="center"/>
              <w:rPr>
                <w:rFonts w:hAnsi="宋体" w:cs="宋体"/>
                <w:color w:val="000000"/>
                <w:sz w:val="21"/>
                <w:szCs w:val="21"/>
              </w:rPr>
            </w:pPr>
            <w:r>
              <w:rPr>
                <w:rFonts w:hint="eastAsia" w:hAnsi="宋体" w:cs="宋体"/>
                <w:color w:val="000000"/>
                <w:sz w:val="21"/>
                <w:szCs w:val="21"/>
              </w:rPr>
              <w:t>人员配备</w:t>
            </w:r>
          </w:p>
          <w:p w14:paraId="2C0C579A">
            <w:pPr>
              <w:spacing w:line="360" w:lineRule="exact"/>
              <w:jc w:val="center"/>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val="en-US" w:eastAsia="zh-CN"/>
              </w:rPr>
              <w:t>10</w:t>
            </w:r>
            <w:r>
              <w:rPr>
                <w:rFonts w:hint="eastAsia" w:hAnsi="宋体" w:cs="宋体"/>
                <w:color w:val="000000"/>
                <w:sz w:val="21"/>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7CC15CB">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1、市政</w:t>
            </w:r>
            <w:r>
              <w:rPr>
                <w:rFonts w:hint="eastAsia" w:ascii="宋体" w:hAnsi="宋体" w:eastAsia="宋体" w:cs="宋体"/>
                <w:color w:val="000000"/>
                <w:sz w:val="21"/>
                <w:szCs w:val="21"/>
              </w:rPr>
              <w:t>专业监理工程师：具有全国注册监理工程师（</w:t>
            </w:r>
            <w:r>
              <w:rPr>
                <w:rFonts w:hint="eastAsia" w:ascii="宋体" w:hAnsi="宋体" w:eastAsia="宋体" w:cs="宋体"/>
                <w:color w:val="000000"/>
                <w:sz w:val="21"/>
                <w:szCs w:val="21"/>
                <w:lang w:val="en-US" w:eastAsia="zh-CN"/>
              </w:rPr>
              <w:t>市政公用</w:t>
            </w:r>
            <w:r>
              <w:rPr>
                <w:rFonts w:hint="eastAsia" w:ascii="宋体" w:hAnsi="宋体" w:eastAsia="宋体" w:cs="宋体"/>
                <w:color w:val="000000"/>
                <w:sz w:val="21"/>
                <w:szCs w:val="21"/>
              </w:rPr>
              <w:t xml:space="preserve">工程）得 </w:t>
            </w:r>
            <w:r>
              <w:rPr>
                <w:rFonts w:hint="eastAsia" w:hAnsi="宋体" w:cs="宋体"/>
                <w:color w:val="000000"/>
                <w:sz w:val="21"/>
                <w:szCs w:val="21"/>
                <w:lang w:val="en-US" w:eastAsia="zh-CN"/>
              </w:rPr>
              <w:t>3</w:t>
            </w:r>
            <w:r>
              <w:rPr>
                <w:rFonts w:hint="eastAsia" w:ascii="宋体" w:hAnsi="宋体" w:eastAsia="宋体" w:cs="宋体"/>
                <w:color w:val="000000"/>
                <w:sz w:val="21"/>
                <w:szCs w:val="21"/>
              </w:rPr>
              <w:t xml:space="preserve"> 分；</w:t>
            </w:r>
            <w:r>
              <w:rPr>
                <w:rFonts w:hint="eastAsia" w:ascii="宋体" w:hAnsi="宋体" w:eastAsia="宋体" w:cs="宋体"/>
                <w:color w:val="000000"/>
                <w:sz w:val="21"/>
                <w:szCs w:val="21"/>
                <w:lang w:val="en-US" w:eastAsia="zh-CN"/>
              </w:rPr>
              <w:t>市政类高级</w:t>
            </w:r>
            <w:r>
              <w:rPr>
                <w:rFonts w:hint="eastAsia" w:hAnsi="宋体" w:cs="宋体"/>
                <w:color w:val="000000"/>
                <w:sz w:val="21"/>
                <w:szCs w:val="21"/>
                <w:lang w:val="en-US" w:eastAsia="zh-CN"/>
              </w:rPr>
              <w:t>或</w:t>
            </w:r>
            <w:r>
              <w:rPr>
                <w:rFonts w:hint="eastAsia" w:ascii="宋体" w:hAnsi="宋体" w:eastAsia="宋体" w:cs="宋体"/>
                <w:color w:val="000000"/>
                <w:sz w:val="21"/>
                <w:szCs w:val="21"/>
                <w:lang w:val="en-US" w:eastAsia="zh-CN"/>
              </w:rPr>
              <w:t>以上职称加2分</w:t>
            </w:r>
            <w:r>
              <w:rPr>
                <w:rFonts w:hint="eastAsia" w:ascii="宋体" w:hAnsi="宋体" w:eastAsia="宋体" w:cs="宋体"/>
                <w:color w:val="000000"/>
                <w:sz w:val="21"/>
                <w:szCs w:val="21"/>
              </w:rPr>
              <w:t xml:space="preserve">。本项最高得 </w:t>
            </w:r>
            <w:r>
              <w:rPr>
                <w:rFonts w:hint="eastAsia" w:hAnsi="宋体" w:cs="宋体"/>
                <w:color w:val="000000"/>
                <w:sz w:val="21"/>
                <w:szCs w:val="21"/>
                <w:lang w:val="en-US" w:eastAsia="zh-CN"/>
              </w:rPr>
              <w:t>5</w:t>
            </w:r>
            <w:r>
              <w:rPr>
                <w:rFonts w:hint="eastAsia" w:ascii="宋体" w:hAnsi="宋体" w:eastAsia="宋体" w:cs="宋体"/>
                <w:color w:val="000000"/>
                <w:sz w:val="21"/>
                <w:szCs w:val="21"/>
              </w:rPr>
              <w:t>分。</w:t>
            </w:r>
          </w:p>
          <w:p w14:paraId="504CEFB7">
            <w:pPr>
              <w:spacing w:line="360" w:lineRule="exact"/>
              <w:ind w:firstLine="420" w:firstLineChars="200"/>
              <w:rPr>
                <w:rFonts w:hint="eastAsia" w:ascii="宋体" w:hAnsi="宋体" w:eastAsia="宋体" w:cs="宋体"/>
                <w:color w:val="000000"/>
                <w:sz w:val="21"/>
                <w:szCs w:val="21"/>
              </w:rPr>
            </w:pPr>
            <w:r>
              <w:rPr>
                <w:rFonts w:hint="eastAsia" w:hAnsi="宋体" w:cs="宋体"/>
                <w:color w:val="000000"/>
                <w:sz w:val="21"/>
                <w:szCs w:val="21"/>
                <w:lang w:val="en-US" w:eastAsia="zh-CN"/>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安全专业监理工程师：具有全国注册安全工程师执业证书（建筑施工安全</w:t>
            </w:r>
            <w:r>
              <w:rPr>
                <w:rFonts w:hint="eastAsia" w:ascii="宋体" w:hAnsi="宋体" w:eastAsia="宋体" w:cs="宋体"/>
                <w:color w:val="000000"/>
                <w:sz w:val="21"/>
                <w:szCs w:val="21"/>
                <w:lang w:val="en-US" w:eastAsia="zh-CN"/>
              </w:rPr>
              <w:t>专业</w:t>
            </w:r>
            <w:r>
              <w:rPr>
                <w:rFonts w:hint="eastAsia" w:ascii="宋体" w:hAnsi="宋体" w:eastAsia="宋体" w:cs="宋体"/>
                <w:color w:val="000000"/>
                <w:sz w:val="21"/>
                <w:szCs w:val="21"/>
              </w:rPr>
              <w:t xml:space="preserve">）得 </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分；同时具有全国注册监理工程师（</w:t>
            </w:r>
            <w:r>
              <w:rPr>
                <w:rFonts w:hint="eastAsia" w:ascii="宋体" w:hAnsi="宋体" w:eastAsia="宋体" w:cs="宋体"/>
                <w:color w:val="000000"/>
                <w:sz w:val="21"/>
                <w:szCs w:val="21"/>
                <w:lang w:val="en-US" w:eastAsia="zh-CN"/>
              </w:rPr>
              <w:t>市政公用</w:t>
            </w:r>
            <w:r>
              <w:rPr>
                <w:rFonts w:hint="eastAsia" w:ascii="宋体" w:hAnsi="宋体" w:eastAsia="宋体" w:cs="宋体"/>
                <w:color w:val="000000"/>
                <w:sz w:val="21"/>
                <w:szCs w:val="21"/>
              </w:rPr>
              <w:t>工程</w:t>
            </w:r>
            <w:r>
              <w:rPr>
                <w:rFonts w:hint="eastAsia" w:ascii="宋体" w:hAnsi="宋体" w:eastAsia="宋体" w:cs="宋体"/>
                <w:color w:val="000000"/>
                <w:sz w:val="21"/>
                <w:szCs w:val="21"/>
                <w:lang w:val="en-US" w:eastAsia="zh-CN"/>
              </w:rPr>
              <w:t>专业</w:t>
            </w:r>
            <w:r>
              <w:rPr>
                <w:rFonts w:hint="eastAsia" w:ascii="宋体" w:hAnsi="宋体" w:eastAsia="宋体" w:cs="宋体"/>
                <w:color w:val="000000"/>
                <w:sz w:val="21"/>
                <w:szCs w:val="21"/>
              </w:rPr>
              <w:t xml:space="preserve">）加 </w:t>
            </w:r>
            <w:r>
              <w:rPr>
                <w:rFonts w:hint="eastAsia" w:hAnsi="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具有市政类高级</w:t>
            </w:r>
            <w:r>
              <w:rPr>
                <w:rFonts w:hint="eastAsia" w:hAnsi="宋体" w:cs="宋体"/>
                <w:color w:val="000000"/>
                <w:sz w:val="21"/>
                <w:szCs w:val="21"/>
                <w:lang w:val="en-US" w:eastAsia="zh-CN"/>
              </w:rPr>
              <w:t>或</w:t>
            </w:r>
            <w:r>
              <w:rPr>
                <w:rFonts w:hint="eastAsia" w:ascii="宋体" w:hAnsi="宋体" w:eastAsia="宋体" w:cs="宋体"/>
                <w:color w:val="000000"/>
                <w:sz w:val="21"/>
                <w:szCs w:val="21"/>
                <w:lang w:val="en-US" w:eastAsia="zh-CN"/>
              </w:rPr>
              <w:t>以上职称加2分</w:t>
            </w:r>
            <w:r>
              <w:rPr>
                <w:rFonts w:hint="eastAsia" w:ascii="宋体" w:hAnsi="宋体" w:eastAsia="宋体" w:cs="宋体"/>
                <w:color w:val="000000"/>
                <w:sz w:val="21"/>
                <w:szCs w:val="21"/>
              </w:rPr>
              <w:t xml:space="preserve">。本项最高得 </w:t>
            </w:r>
            <w:r>
              <w:rPr>
                <w:rFonts w:hint="eastAsia" w:hAnsi="宋体" w:cs="宋体"/>
                <w:color w:val="000000"/>
                <w:sz w:val="21"/>
                <w:szCs w:val="21"/>
                <w:lang w:val="en-US" w:eastAsia="zh-CN"/>
              </w:rPr>
              <w:t>5</w:t>
            </w:r>
            <w:r>
              <w:rPr>
                <w:rFonts w:hint="eastAsia" w:ascii="宋体" w:hAnsi="宋体" w:eastAsia="宋体" w:cs="宋体"/>
                <w:color w:val="000000"/>
                <w:sz w:val="21"/>
                <w:szCs w:val="21"/>
              </w:rPr>
              <w:t>分。</w:t>
            </w:r>
          </w:p>
          <w:p w14:paraId="6FF8313B">
            <w:pPr>
              <w:spacing w:line="360" w:lineRule="exact"/>
              <w:ind w:firstLine="420" w:firstLineChars="200"/>
              <w:rPr>
                <w:rFonts w:hint="eastAsia" w:ascii="宋体" w:hAnsi="宋体" w:eastAsia="宋体" w:cs="宋体"/>
                <w:color w:val="000000"/>
                <w:sz w:val="21"/>
                <w:szCs w:val="21"/>
              </w:rPr>
            </w:pPr>
            <w:r>
              <w:rPr>
                <w:rFonts w:hint="eastAsia" w:hAnsi="宋体" w:cs="宋体"/>
                <w:color w:val="000000"/>
                <w:sz w:val="21"/>
                <w:szCs w:val="21"/>
                <w:lang w:val="en-US" w:eastAsia="zh-CN"/>
              </w:rPr>
              <w:t>3</w:t>
            </w:r>
            <w:r>
              <w:rPr>
                <w:rFonts w:hint="eastAsia" w:ascii="宋体" w:hAnsi="宋体" w:eastAsia="宋体" w:cs="宋体"/>
                <w:color w:val="000000"/>
                <w:sz w:val="21"/>
                <w:szCs w:val="21"/>
              </w:rPr>
              <w:t>、以上配备人员，不可重复得分。</w:t>
            </w:r>
          </w:p>
          <w:p w14:paraId="698D2F2D">
            <w:pPr>
              <w:spacing w:line="360" w:lineRule="exact"/>
              <w:ind w:firstLine="420" w:firstLineChars="200"/>
              <w:rPr>
                <w:rFonts w:hAnsi="宋体" w:cs="宋体"/>
                <w:color w:val="000000"/>
                <w:sz w:val="21"/>
                <w:szCs w:val="21"/>
              </w:rPr>
            </w:pPr>
            <w:r>
              <w:rPr>
                <w:rFonts w:hint="eastAsia" w:hAnsi="宋体" w:cs="宋体"/>
                <w:color w:val="000000"/>
                <w:sz w:val="21"/>
                <w:szCs w:val="21"/>
                <w:lang w:val="en-US" w:eastAsia="zh-CN"/>
              </w:rPr>
              <w:t>4</w:t>
            </w:r>
            <w:r>
              <w:rPr>
                <w:rFonts w:hint="eastAsia" w:ascii="宋体" w:hAnsi="宋体" w:eastAsia="宋体" w:cs="宋体"/>
                <w:color w:val="000000"/>
                <w:sz w:val="21"/>
                <w:szCs w:val="21"/>
              </w:rPr>
              <w:t>、其</w:t>
            </w:r>
            <w:r>
              <w:rPr>
                <w:rFonts w:hint="eastAsia" w:hAnsi="宋体" w:cs="宋体"/>
                <w:color w:val="000000"/>
                <w:sz w:val="21"/>
                <w:szCs w:val="21"/>
              </w:rPr>
              <w:t>他情形的，不予计分。</w:t>
            </w:r>
          </w:p>
          <w:p w14:paraId="08664C1A">
            <w:pPr>
              <w:spacing w:line="360" w:lineRule="exact"/>
              <w:ind w:firstLine="420" w:firstLineChars="200"/>
              <w:rPr>
                <w:rFonts w:hAnsi="宋体" w:cs="宋体"/>
                <w:color w:val="000000"/>
                <w:sz w:val="21"/>
                <w:szCs w:val="21"/>
              </w:rPr>
            </w:pPr>
            <w:r>
              <w:rPr>
                <w:rFonts w:hint="eastAsia" w:hAnsi="宋体" w:cs="宋体"/>
                <w:color w:val="000000"/>
                <w:sz w:val="21"/>
                <w:szCs w:val="21"/>
              </w:rPr>
              <w:t>说明：本项最高得</w:t>
            </w:r>
            <w:r>
              <w:rPr>
                <w:rFonts w:hint="eastAsia" w:hAnsi="宋体" w:cs="宋体"/>
                <w:color w:val="000000"/>
                <w:sz w:val="21"/>
                <w:szCs w:val="21"/>
                <w:lang w:val="en-US" w:eastAsia="zh-CN"/>
              </w:rPr>
              <w:t>10</w:t>
            </w:r>
            <w:r>
              <w:rPr>
                <w:rFonts w:hint="eastAsia" w:hAnsi="宋体" w:cs="宋体"/>
                <w:color w:val="000000"/>
                <w:sz w:val="21"/>
                <w:szCs w:val="21"/>
              </w:rPr>
              <w:t>分。</w:t>
            </w:r>
          </w:p>
        </w:tc>
        <w:tc>
          <w:tcPr>
            <w:tcW w:w="3478" w:type="dxa"/>
            <w:tcBorders>
              <w:top w:val="single" w:color="auto" w:sz="4" w:space="0"/>
              <w:left w:val="single" w:color="auto" w:sz="4" w:space="0"/>
              <w:right w:val="single" w:color="auto" w:sz="4" w:space="0"/>
            </w:tcBorders>
            <w:noWrap w:val="0"/>
            <w:vAlign w:val="center"/>
          </w:tcPr>
          <w:p w14:paraId="39E2241B">
            <w:pPr>
              <w:spacing w:line="360" w:lineRule="exact"/>
              <w:jc w:val="left"/>
              <w:rPr>
                <w:rFonts w:hint="eastAsia" w:hAnsi="宋体" w:cs="宋体"/>
                <w:color w:val="000000"/>
                <w:sz w:val="21"/>
                <w:szCs w:val="21"/>
              </w:rPr>
            </w:pPr>
            <w:r>
              <w:rPr>
                <w:rFonts w:hint="eastAsia" w:hAnsi="宋体" w:cs="宋体"/>
                <w:color w:val="000000"/>
                <w:sz w:val="21"/>
                <w:szCs w:val="21"/>
                <w:lang w:val="en-US" w:eastAsia="zh-CN"/>
              </w:rPr>
              <w:t>1.</w:t>
            </w:r>
            <w:r>
              <w:rPr>
                <w:rFonts w:hint="eastAsia" w:hAnsi="宋体" w:cs="宋体"/>
                <w:color w:val="000000"/>
                <w:sz w:val="21"/>
                <w:szCs w:val="21"/>
              </w:rPr>
              <w:t>须提供相关证书彩色扫描件并加盖单位公章。</w:t>
            </w:r>
          </w:p>
          <w:p w14:paraId="6AF122C8">
            <w:pPr>
              <w:spacing w:line="360" w:lineRule="exact"/>
              <w:jc w:val="left"/>
              <w:rPr>
                <w:rFonts w:hint="eastAsia" w:hAnsi="宋体" w:eastAsia="宋体" w:cs="宋体"/>
                <w:color w:val="000000"/>
                <w:sz w:val="21"/>
                <w:szCs w:val="21"/>
                <w:lang w:val="en-US" w:eastAsia="zh-CN"/>
              </w:rPr>
            </w:pPr>
            <w:r>
              <w:rPr>
                <w:rFonts w:hint="eastAsia" w:hAnsi="宋体" w:cs="宋体"/>
                <w:color w:val="000000"/>
                <w:sz w:val="21"/>
                <w:szCs w:val="21"/>
                <w:lang w:val="en-US" w:eastAsia="zh-CN"/>
              </w:rPr>
              <w:t>2.</w:t>
            </w:r>
            <w:r>
              <w:rPr>
                <w:rFonts w:hint="eastAsia" w:hAnsi="宋体" w:cs="宋体"/>
                <w:color w:val="000000"/>
                <w:sz w:val="21"/>
                <w:szCs w:val="21"/>
              </w:rPr>
              <w:t>须提供在本单位缴纳社保的证明（至少一个月，其中必须有2026年06月）彩色扫描件</w:t>
            </w:r>
            <w:r>
              <w:rPr>
                <w:rFonts w:hint="eastAsia" w:hAnsi="宋体" w:cs="宋体"/>
                <w:color w:val="000000"/>
                <w:sz w:val="21"/>
                <w:szCs w:val="21"/>
                <w:lang w:val="en-US" w:eastAsia="zh-CN"/>
              </w:rPr>
              <w:t>.</w:t>
            </w:r>
          </w:p>
          <w:p w14:paraId="3B8A25D3">
            <w:pPr>
              <w:spacing w:line="360" w:lineRule="exact"/>
              <w:jc w:val="left"/>
              <w:rPr>
                <w:rFonts w:hAnsi="宋体" w:cs="宋体"/>
                <w:color w:val="000000"/>
                <w:sz w:val="21"/>
                <w:szCs w:val="21"/>
              </w:rPr>
            </w:pPr>
            <w:r>
              <w:rPr>
                <w:rFonts w:hint="eastAsia" w:hAnsi="宋体" w:cs="宋体"/>
                <w:color w:val="000000"/>
                <w:sz w:val="21"/>
                <w:szCs w:val="21"/>
                <w:lang w:val="en-US" w:eastAsia="zh-CN"/>
              </w:rPr>
              <w:t>3</w:t>
            </w:r>
            <w:r>
              <w:rPr>
                <w:rFonts w:hint="eastAsia" w:hAnsi="宋体" w:cs="宋体"/>
                <w:color w:val="000000"/>
                <w:sz w:val="21"/>
                <w:szCs w:val="21"/>
              </w:rPr>
              <w:t>.证书不在有效期内的，不予计分。</w:t>
            </w:r>
          </w:p>
        </w:tc>
      </w:tr>
      <w:tr w14:paraId="5DE5F0B2">
        <w:tblPrEx>
          <w:tblCellMar>
            <w:top w:w="0" w:type="dxa"/>
            <w:left w:w="108" w:type="dxa"/>
            <w:bottom w:w="0" w:type="dxa"/>
            <w:right w:w="108" w:type="dxa"/>
          </w:tblCellMar>
        </w:tblPrEx>
        <w:trPr>
          <w:trHeight w:val="1260" w:hRule="atLeast"/>
          <w:jc w:val="center"/>
        </w:trPr>
        <w:tc>
          <w:tcPr>
            <w:tcW w:w="1404" w:type="dxa"/>
            <w:vMerge w:val="restart"/>
            <w:tcBorders>
              <w:top w:val="single" w:color="auto" w:sz="4" w:space="0"/>
              <w:left w:val="single" w:color="auto" w:sz="4" w:space="0"/>
              <w:right w:val="single" w:color="auto" w:sz="4" w:space="0"/>
            </w:tcBorders>
            <w:noWrap w:val="0"/>
            <w:vAlign w:val="center"/>
          </w:tcPr>
          <w:p w14:paraId="6B643C32">
            <w:pPr>
              <w:spacing w:line="360" w:lineRule="exact"/>
              <w:ind w:left="24" w:leftChars="10" w:right="24" w:rightChars="10"/>
              <w:jc w:val="center"/>
              <w:rPr>
                <w:rFonts w:hint="eastAsia" w:hAnsi="宋体" w:cs="宋体"/>
                <w:color w:val="000000"/>
                <w:sz w:val="21"/>
                <w:szCs w:val="21"/>
              </w:rPr>
            </w:pPr>
            <w:r>
              <w:rPr>
                <w:rFonts w:hint="eastAsia" w:hAnsi="宋体" w:cs="宋体"/>
                <w:color w:val="000000"/>
                <w:sz w:val="21"/>
                <w:szCs w:val="21"/>
              </w:rPr>
              <w:t>企业信用综合情况</w:t>
            </w:r>
          </w:p>
          <w:p w14:paraId="0726C5C5">
            <w:pPr>
              <w:spacing w:line="360" w:lineRule="exact"/>
              <w:ind w:left="24" w:leftChars="10" w:right="24" w:rightChars="10"/>
              <w:jc w:val="center"/>
              <w:rPr>
                <w:rFonts w:hint="eastAsia" w:ascii="Times New Roman"/>
                <w:snapToGrid w:val="0"/>
                <w:kern w:val="0"/>
                <w:sz w:val="21"/>
                <w:szCs w:val="21"/>
              </w:rPr>
            </w:pPr>
            <w:r>
              <w:rPr>
                <w:rFonts w:hint="eastAsia" w:hAnsi="宋体" w:cs="宋体"/>
                <w:color w:val="000000"/>
                <w:sz w:val="21"/>
                <w:szCs w:val="21"/>
              </w:rPr>
              <w:t>（10分）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35C77FD">
            <w:pPr>
              <w:widowControl/>
              <w:spacing w:line="360" w:lineRule="exact"/>
              <w:ind w:firstLine="420" w:firstLineChars="200"/>
              <w:jc w:val="left"/>
              <w:rPr>
                <w:rFonts w:hAnsi="宋体" w:cs="宋体"/>
                <w:color w:val="000000"/>
                <w:sz w:val="21"/>
                <w:szCs w:val="21"/>
              </w:rPr>
            </w:pPr>
            <w:r>
              <w:rPr>
                <w:rFonts w:hint="eastAsia" w:hAnsi="宋体" w:cs="宋体"/>
                <w:color w:val="000000"/>
                <w:sz w:val="21"/>
                <w:szCs w:val="21"/>
              </w:rPr>
              <w:t>1、投标人202</w:t>
            </w:r>
            <w:r>
              <w:rPr>
                <w:rFonts w:hint="eastAsia" w:hAnsi="宋体" w:cs="宋体"/>
                <w:color w:val="000000"/>
                <w:sz w:val="21"/>
                <w:szCs w:val="21"/>
                <w:lang w:val="en-US" w:eastAsia="zh-CN"/>
              </w:rPr>
              <w:t>2</w:t>
            </w:r>
            <w:r>
              <w:rPr>
                <w:rFonts w:hint="eastAsia" w:hAnsi="宋体" w:cs="宋体"/>
                <w:color w:val="000000"/>
                <w:sz w:val="21"/>
                <w:szCs w:val="21"/>
              </w:rPr>
              <w:t>年1月1日至今获得过地市级或以上税务行政主管部门评为“A级纳税人”称号的，得</w:t>
            </w:r>
            <w:r>
              <w:rPr>
                <w:rFonts w:hint="eastAsia" w:hAnsi="宋体" w:cs="宋体"/>
                <w:color w:val="000000"/>
                <w:sz w:val="21"/>
                <w:szCs w:val="21"/>
                <w:u w:val="single"/>
              </w:rPr>
              <w:t>5</w:t>
            </w:r>
            <w:r>
              <w:rPr>
                <w:rFonts w:hint="eastAsia" w:hAnsi="宋体" w:cs="宋体"/>
                <w:color w:val="000000"/>
                <w:sz w:val="21"/>
                <w:szCs w:val="21"/>
              </w:rPr>
              <w:t>分。</w:t>
            </w:r>
          </w:p>
          <w:p w14:paraId="17450FB7">
            <w:pPr>
              <w:widowControl/>
              <w:spacing w:line="360" w:lineRule="exact"/>
              <w:ind w:firstLine="420" w:firstLineChars="200"/>
              <w:jc w:val="left"/>
              <w:rPr>
                <w:rFonts w:hAnsi="宋体" w:cs="宋体"/>
                <w:color w:val="000000"/>
                <w:sz w:val="21"/>
                <w:szCs w:val="21"/>
              </w:rPr>
            </w:pPr>
            <w:r>
              <w:rPr>
                <w:rFonts w:hint="eastAsia" w:hAnsi="宋体" w:cs="宋体"/>
                <w:color w:val="000000"/>
                <w:sz w:val="21"/>
                <w:szCs w:val="21"/>
              </w:rPr>
              <w:t>2、其他情形的，不予计分。</w:t>
            </w:r>
          </w:p>
          <w:p w14:paraId="119AA210">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BD114B9">
            <w:pPr>
              <w:spacing w:line="360" w:lineRule="exact"/>
              <w:jc w:val="left"/>
              <w:rPr>
                <w:rFonts w:hAnsi="宋体" w:cs="宋体"/>
                <w:color w:val="000000"/>
                <w:sz w:val="21"/>
                <w:szCs w:val="21"/>
              </w:rPr>
            </w:pPr>
            <w:r>
              <w:rPr>
                <w:rFonts w:hint="eastAsia" w:hAnsi="宋体" w:cs="宋体"/>
                <w:color w:val="000000"/>
                <w:sz w:val="21"/>
                <w:szCs w:val="21"/>
              </w:rPr>
              <w:t>1.须提供企业纳税信用A级纳税人相应证书或证明材料彩色扫描件或提供国家税务总局纳税信用A级纳税人查询截图并加盖单位公章，否则不得分。</w:t>
            </w:r>
          </w:p>
          <w:p w14:paraId="76E4140B">
            <w:pPr>
              <w:spacing w:line="360" w:lineRule="exact"/>
              <w:jc w:val="left"/>
              <w:rPr>
                <w:rFonts w:hAnsi="宋体" w:cs="宋体"/>
                <w:color w:val="000000"/>
                <w:sz w:val="21"/>
                <w:szCs w:val="21"/>
              </w:rPr>
            </w:pPr>
            <w:r>
              <w:rPr>
                <w:rFonts w:hint="eastAsia" w:hAnsi="宋体" w:cs="宋体"/>
                <w:color w:val="000000"/>
                <w:sz w:val="21"/>
                <w:szCs w:val="21"/>
              </w:rPr>
              <w:t>2.只计算投标人自身（不计算投标人的分公司、子公司及分支机构）。</w:t>
            </w:r>
          </w:p>
        </w:tc>
      </w:tr>
      <w:tr w14:paraId="0C2F7914">
        <w:tblPrEx>
          <w:tblCellMar>
            <w:top w:w="0" w:type="dxa"/>
            <w:left w:w="108" w:type="dxa"/>
            <w:bottom w:w="0" w:type="dxa"/>
            <w:right w:w="108" w:type="dxa"/>
          </w:tblCellMar>
        </w:tblPrEx>
        <w:trPr>
          <w:trHeight w:val="1260" w:hRule="atLeast"/>
          <w:jc w:val="center"/>
        </w:trPr>
        <w:tc>
          <w:tcPr>
            <w:tcW w:w="1404" w:type="dxa"/>
            <w:vMerge w:val="continue"/>
            <w:tcBorders>
              <w:left w:val="single" w:color="auto" w:sz="4" w:space="0"/>
              <w:bottom w:val="single" w:color="auto" w:sz="4" w:space="0"/>
              <w:right w:val="single" w:color="auto" w:sz="4" w:space="0"/>
            </w:tcBorders>
            <w:noWrap w:val="0"/>
            <w:vAlign w:val="center"/>
          </w:tcPr>
          <w:p w14:paraId="5CDCE911">
            <w:pPr>
              <w:spacing w:line="360" w:lineRule="exact"/>
              <w:ind w:left="24" w:leftChars="10" w:right="24" w:rightChars="10"/>
              <w:jc w:val="center"/>
              <w:rPr>
                <w:rFonts w:hint="eastAsia" w:hAnsi="宋体" w:cs="宋体"/>
                <w:snapToGrid w:val="0"/>
                <w:kern w:val="0"/>
                <w:sz w:val="21"/>
                <w:szCs w:val="21"/>
              </w:rPr>
            </w:pP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FB9A367">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投标人202</w:t>
            </w:r>
            <w:r>
              <w:rPr>
                <w:rFonts w:hint="eastAsia" w:hAnsi="宋体" w:cs="宋体"/>
                <w:color w:val="000000"/>
                <w:sz w:val="21"/>
                <w:szCs w:val="21"/>
                <w:lang w:val="en-US" w:eastAsia="zh-CN"/>
              </w:rPr>
              <w:t>2</w:t>
            </w:r>
            <w:r>
              <w:rPr>
                <w:rFonts w:hint="eastAsia" w:hAnsi="宋体" w:cs="宋体"/>
                <w:color w:val="000000"/>
                <w:sz w:val="21"/>
                <w:szCs w:val="21"/>
              </w:rPr>
              <w:t>年1月1日至今，投标人获得过企业信用等级证书并在有效期内的：</w:t>
            </w:r>
          </w:p>
          <w:p w14:paraId="63C9EA83">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1、AAA级的得5分；</w:t>
            </w:r>
          </w:p>
          <w:p w14:paraId="1B082A6D">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2、AA级的得3分；</w:t>
            </w:r>
          </w:p>
          <w:p w14:paraId="52DAFE4D">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3、A级的得1分。</w:t>
            </w:r>
          </w:p>
          <w:p w14:paraId="6196D77D">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79D70EB5">
            <w:pPr>
              <w:spacing w:line="360" w:lineRule="exact"/>
              <w:jc w:val="left"/>
              <w:rPr>
                <w:rFonts w:hAnsi="宋体" w:cs="宋体"/>
                <w:color w:val="000000"/>
                <w:sz w:val="21"/>
                <w:szCs w:val="21"/>
              </w:rPr>
            </w:pPr>
            <w:r>
              <w:rPr>
                <w:rFonts w:hint="eastAsia" w:hAnsi="宋体" w:cs="宋体"/>
                <w:color w:val="000000"/>
                <w:sz w:val="21"/>
                <w:szCs w:val="21"/>
              </w:rPr>
              <w:t>1.须提供有效期内的认证证书彩色扫描件并加盖单位公章。</w:t>
            </w:r>
          </w:p>
          <w:p w14:paraId="6099C3C5">
            <w:pPr>
              <w:pStyle w:val="42"/>
              <w:spacing w:line="360" w:lineRule="exact"/>
              <w:jc w:val="left"/>
              <w:rPr>
                <w:rFonts w:ascii="宋体" w:hAnsi="宋体" w:cs="宋体"/>
                <w:color w:val="000000"/>
                <w:szCs w:val="21"/>
              </w:rPr>
            </w:pPr>
            <w:r>
              <w:rPr>
                <w:rFonts w:hint="eastAsia" w:ascii="宋体" w:hAnsi="宋体" w:cs="宋体"/>
                <w:b w:val="0"/>
                <w:color w:val="000000"/>
                <w:szCs w:val="21"/>
              </w:rPr>
              <w:t>2.证书不在有效期内的，不予计分。</w:t>
            </w:r>
          </w:p>
        </w:tc>
      </w:tr>
      <w:tr w14:paraId="104A7CAD">
        <w:tblPrEx>
          <w:tblCellMar>
            <w:top w:w="0" w:type="dxa"/>
            <w:left w:w="108" w:type="dxa"/>
            <w:bottom w:w="0" w:type="dxa"/>
            <w:right w:w="108" w:type="dxa"/>
          </w:tblCellMar>
        </w:tblPrEx>
        <w:trPr>
          <w:trHeight w:val="282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F8C4B56">
            <w:pPr>
              <w:pStyle w:val="11"/>
              <w:adjustRightInd w:val="0"/>
              <w:snapToGrid w:val="0"/>
              <w:spacing w:after="0" w:line="360" w:lineRule="exact"/>
              <w:jc w:val="center"/>
              <w:rPr>
                <w:rFonts w:hint="eastAsia" w:ascii="Times New Roman"/>
                <w:snapToGrid w:val="0"/>
                <w:kern w:val="0"/>
                <w:sz w:val="21"/>
                <w:szCs w:val="21"/>
                <w:lang w:bidi="ar"/>
              </w:rPr>
            </w:pPr>
            <w:r>
              <w:rPr>
                <w:rFonts w:hint="eastAsia" w:ascii="Times New Roman"/>
                <w:snapToGrid w:val="0"/>
                <w:kern w:val="0"/>
                <w:sz w:val="21"/>
                <w:szCs w:val="21"/>
                <w:lang w:bidi="ar"/>
              </w:rPr>
              <w:t>企业管理</w:t>
            </w:r>
          </w:p>
          <w:p w14:paraId="6CFB6ADD">
            <w:pPr>
              <w:pStyle w:val="11"/>
              <w:adjustRightInd w:val="0"/>
              <w:snapToGrid w:val="0"/>
              <w:spacing w:after="0" w:line="360" w:lineRule="exact"/>
              <w:jc w:val="center"/>
              <w:rPr>
                <w:rFonts w:hint="eastAsia" w:ascii="Times New Roman"/>
                <w:snapToGrid w:val="0"/>
                <w:kern w:val="0"/>
                <w:sz w:val="21"/>
                <w:szCs w:val="21"/>
                <w:lang w:bidi="ar"/>
              </w:rPr>
            </w:pPr>
            <w:r>
              <w:rPr>
                <w:rFonts w:hint="eastAsia" w:ascii="Times New Roman"/>
                <w:snapToGrid w:val="0"/>
                <w:kern w:val="0"/>
                <w:sz w:val="21"/>
                <w:szCs w:val="21"/>
                <w:lang w:bidi="ar"/>
              </w:rPr>
              <w:t>体系认证</w:t>
            </w:r>
          </w:p>
          <w:p w14:paraId="028A60D6">
            <w:pPr>
              <w:adjustRightInd w:val="0"/>
              <w:snapToGrid w:val="0"/>
              <w:spacing w:line="360" w:lineRule="exact"/>
              <w:jc w:val="center"/>
              <w:rPr>
                <w:rFonts w:hint="eastAsia"/>
                <w:b/>
                <w:bCs/>
                <w:snapToGrid w:val="0"/>
                <w:kern w:val="0"/>
                <w:sz w:val="21"/>
                <w:szCs w:val="21"/>
                <w:lang w:bidi="ar"/>
              </w:rPr>
            </w:pPr>
            <w:r>
              <w:rPr>
                <w:rFonts w:hint="eastAsia" w:hAnsi="宋体"/>
                <w:sz w:val="21"/>
                <w:szCs w:val="21"/>
              </w:rPr>
              <w:t>（5分）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7C1F201">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质量管理体系认证证书、职业健康安全管理体系认证证书、环境管理体系认证证书中：</w:t>
            </w:r>
          </w:p>
          <w:p w14:paraId="3E9436A2">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1、企业获得3项证书的得5分；</w:t>
            </w:r>
          </w:p>
          <w:p w14:paraId="2EE5030C">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2、企业获得其中2项证书的得3分；</w:t>
            </w:r>
          </w:p>
          <w:p w14:paraId="6F7EBF26">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3、企业获得其中1项证书的得1分；</w:t>
            </w:r>
          </w:p>
          <w:p w14:paraId="54FF6C5A">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4、以上认证证书均未获得的，不予计分。</w:t>
            </w:r>
          </w:p>
          <w:p w14:paraId="04201B43">
            <w:pPr>
              <w:spacing w:line="360" w:lineRule="exact"/>
              <w:ind w:firstLine="420" w:firstLineChars="200"/>
              <w:jc w:val="left"/>
              <w:rPr>
                <w:rFonts w:hAnsi="宋体" w:cs="宋体"/>
                <w:color w:val="000000"/>
                <w:sz w:val="21"/>
                <w:szCs w:val="21"/>
              </w:rPr>
            </w:pPr>
            <w:r>
              <w:rPr>
                <w:rFonts w:hint="eastAsia" w:hAnsi="宋体" w:cs="宋体"/>
                <w:color w:val="000000"/>
                <w:sz w:val="21"/>
                <w:szCs w:val="21"/>
              </w:rPr>
              <w:t>说明：本项最高得5分。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52552CBE">
            <w:pPr>
              <w:spacing w:line="360" w:lineRule="exact"/>
              <w:jc w:val="left"/>
              <w:rPr>
                <w:rFonts w:hAnsi="宋体" w:cs="宋体"/>
                <w:color w:val="000000"/>
                <w:sz w:val="21"/>
                <w:szCs w:val="21"/>
              </w:rPr>
            </w:pPr>
            <w:r>
              <w:rPr>
                <w:rFonts w:hint="eastAsia" w:hAnsi="宋体" w:cs="宋体"/>
                <w:color w:val="000000"/>
                <w:sz w:val="21"/>
                <w:szCs w:val="21"/>
              </w:rPr>
              <w:t>1．须提供在有效期内的体系认证证书彩色扫描件并加盖单位公章。</w:t>
            </w:r>
          </w:p>
          <w:p w14:paraId="6D73220F">
            <w:pPr>
              <w:spacing w:line="360" w:lineRule="exact"/>
              <w:jc w:val="left"/>
              <w:rPr>
                <w:rFonts w:hAnsi="宋体" w:cs="宋体"/>
                <w:color w:val="000000"/>
                <w:sz w:val="21"/>
                <w:szCs w:val="21"/>
              </w:rPr>
            </w:pPr>
            <w:r>
              <w:rPr>
                <w:rFonts w:hint="eastAsia" w:hAnsi="宋体" w:cs="宋体"/>
                <w:color w:val="000000"/>
                <w:sz w:val="21"/>
                <w:szCs w:val="21"/>
              </w:rPr>
              <w:t>2．证书不在有效期内的，不予计分。</w:t>
            </w:r>
          </w:p>
        </w:tc>
      </w:tr>
      <w:tr w14:paraId="53303225">
        <w:tblPrEx>
          <w:tblCellMar>
            <w:top w:w="0" w:type="dxa"/>
            <w:left w:w="108" w:type="dxa"/>
            <w:bottom w:w="0" w:type="dxa"/>
            <w:right w:w="108" w:type="dxa"/>
          </w:tblCellMar>
        </w:tblPrEx>
        <w:trPr>
          <w:trHeight w:val="96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46CCF9D">
            <w:pPr>
              <w:pStyle w:val="11"/>
              <w:adjustRightInd w:val="0"/>
              <w:snapToGrid w:val="0"/>
              <w:spacing w:after="0" w:line="240" w:lineRule="auto"/>
              <w:jc w:val="left"/>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技术部分（监理大纲），满分：</w:t>
            </w:r>
            <w:r>
              <w:rPr>
                <w:rFonts w:hint="eastAsia" w:ascii="黑体" w:hAnsi="黑体" w:eastAsia="黑体" w:cs="黑体"/>
                <w:snapToGrid w:val="0"/>
                <w:kern w:val="0"/>
                <w:sz w:val="21"/>
                <w:szCs w:val="21"/>
                <w:u w:val="single"/>
                <w:lang w:val="en-US" w:eastAsia="zh-CN"/>
              </w:rPr>
              <w:t>4</w:t>
            </w:r>
            <w:r>
              <w:rPr>
                <w:rFonts w:hint="eastAsia" w:ascii="黑体" w:hAnsi="黑体" w:eastAsia="黑体" w:cs="黑体"/>
                <w:snapToGrid w:val="0"/>
                <w:kern w:val="0"/>
                <w:sz w:val="21"/>
                <w:szCs w:val="21"/>
                <w:u w:val="single"/>
              </w:rPr>
              <w:t>0</w:t>
            </w:r>
            <w:r>
              <w:rPr>
                <w:rFonts w:hint="eastAsia" w:ascii="黑体" w:hAnsi="黑体" w:eastAsia="黑体" w:cs="黑体"/>
                <w:snapToGrid w:val="0"/>
                <w:kern w:val="0"/>
                <w:sz w:val="21"/>
                <w:szCs w:val="21"/>
              </w:rPr>
              <w:t>分。</w:t>
            </w:r>
          </w:p>
        </w:tc>
      </w:tr>
      <w:tr w14:paraId="06B83781">
        <w:tblPrEx>
          <w:tblCellMar>
            <w:top w:w="0" w:type="dxa"/>
            <w:left w:w="108" w:type="dxa"/>
            <w:bottom w:w="0" w:type="dxa"/>
            <w:right w:w="108" w:type="dxa"/>
          </w:tblCellMar>
        </w:tblPrEx>
        <w:trPr>
          <w:trHeight w:val="829"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F2779BA">
            <w:pPr>
              <w:pStyle w:val="11"/>
              <w:adjustRightInd w:val="0"/>
              <w:snapToGrid w:val="0"/>
              <w:spacing w:after="0" w:line="240" w:lineRule="auto"/>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评分因素</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663F302">
            <w:pPr>
              <w:pStyle w:val="11"/>
              <w:adjustRightInd w:val="0"/>
              <w:snapToGrid w:val="0"/>
              <w:spacing w:after="0" w:line="240" w:lineRule="auto"/>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评分标准</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018D5D9">
            <w:pPr>
              <w:pStyle w:val="11"/>
              <w:adjustRightInd w:val="0"/>
              <w:snapToGrid w:val="0"/>
              <w:spacing w:after="0" w:line="240" w:lineRule="auto"/>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备注</w:t>
            </w:r>
          </w:p>
        </w:tc>
      </w:tr>
      <w:tr w14:paraId="32B2F96F">
        <w:tblPrEx>
          <w:tblCellMar>
            <w:top w:w="0" w:type="dxa"/>
            <w:left w:w="108" w:type="dxa"/>
            <w:bottom w:w="0" w:type="dxa"/>
            <w:right w:w="108" w:type="dxa"/>
          </w:tblCellMar>
        </w:tblPrEx>
        <w:trPr>
          <w:trHeight w:val="1875"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FD969EE">
            <w:pPr>
              <w:pStyle w:val="100"/>
              <w:jc w:val="center"/>
              <w:rPr>
                <w:rFonts w:ascii="宋体" w:hAnsi="宋体" w:eastAsia="宋体" w:cs="宋体"/>
                <w:color w:val="000000"/>
                <w:szCs w:val="21"/>
              </w:rPr>
            </w:pPr>
            <w:r>
              <w:rPr>
                <w:rFonts w:hint="eastAsia" w:ascii="宋体" w:hAnsi="宋体" w:eastAsia="宋体" w:cs="宋体"/>
                <w:color w:val="000000"/>
                <w:szCs w:val="21"/>
              </w:rPr>
              <w:t xml:space="preserve"> 监理依据</w:t>
            </w:r>
          </w:p>
          <w:p w14:paraId="0760433A">
            <w:pPr>
              <w:pStyle w:val="100"/>
              <w:jc w:val="center"/>
              <w:rPr>
                <w:rFonts w:ascii="宋体" w:hAnsi="宋体" w:eastAsia="宋体" w:cs="宋体"/>
                <w:color w:val="000000"/>
                <w:szCs w:val="21"/>
              </w:rPr>
            </w:pPr>
            <w:r>
              <w:rPr>
                <w:rFonts w:hint="eastAsia" w:ascii="宋体" w:hAnsi="宋体" w:eastAsia="宋体" w:cs="宋体"/>
                <w:color w:val="000000"/>
                <w:szCs w:val="21"/>
              </w:rPr>
              <w:t>及工作目标</w:t>
            </w:r>
          </w:p>
          <w:p w14:paraId="58CBA002">
            <w:pPr>
              <w:spacing w:line="240" w:lineRule="auto"/>
              <w:jc w:val="center"/>
              <w:rPr>
                <w:rFonts w:hAnsi="宋体" w:cs="宋体"/>
                <w:color w:val="000000"/>
                <w:sz w:val="21"/>
                <w:szCs w:val="21"/>
              </w:rPr>
            </w:pPr>
            <w:r>
              <w:rPr>
                <w:rFonts w:hint="eastAsia" w:hAnsi="宋体" w:cs="宋体"/>
                <w:color w:val="000000"/>
                <w:sz w:val="21"/>
                <w:szCs w:val="21"/>
              </w:rPr>
              <w:t>（</w:t>
            </w:r>
            <w:r>
              <w:rPr>
                <w:rFonts w:hint="eastAsia" w:hAnsi="宋体" w:cs="宋体"/>
                <w:color w:val="000000"/>
                <w:sz w:val="21"/>
                <w:szCs w:val="21"/>
                <w:lang w:val="en-US" w:eastAsia="zh-CN"/>
              </w:rPr>
              <w:t>4</w:t>
            </w:r>
            <w:r>
              <w:rPr>
                <w:rFonts w:hint="eastAsia" w:hAnsi="宋体" w:cs="宋体"/>
                <w:color w:val="000000"/>
                <w:sz w:val="21"/>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C12D4D2">
            <w:pPr>
              <w:spacing w:line="240" w:lineRule="auto"/>
              <w:jc w:val="left"/>
              <w:rPr>
                <w:rFonts w:hAnsi="宋体" w:cs="宋体"/>
                <w:color w:val="000000"/>
                <w:sz w:val="21"/>
                <w:szCs w:val="21"/>
              </w:rPr>
            </w:pPr>
            <w:r>
              <w:rPr>
                <w:rFonts w:hint="eastAsia" w:hAnsi="宋体" w:cs="宋体"/>
                <w:color w:val="000000"/>
                <w:sz w:val="21"/>
                <w:szCs w:val="21"/>
              </w:rPr>
              <w:t>【优】得该项评分因素分值的90%～100%（含90%）。</w:t>
            </w:r>
          </w:p>
          <w:p w14:paraId="1426E43F">
            <w:pPr>
              <w:spacing w:line="240" w:lineRule="auto"/>
              <w:jc w:val="left"/>
              <w:rPr>
                <w:rFonts w:hAnsi="宋体" w:cs="宋体"/>
                <w:color w:val="000000"/>
                <w:sz w:val="21"/>
                <w:szCs w:val="21"/>
              </w:rPr>
            </w:pPr>
            <w:r>
              <w:rPr>
                <w:rFonts w:hint="eastAsia" w:hAnsi="宋体" w:cs="宋体"/>
                <w:color w:val="000000"/>
                <w:sz w:val="21"/>
                <w:szCs w:val="21"/>
              </w:rPr>
              <w:t>【良】得该项评分因素分值的80%～90%（含80%）。</w:t>
            </w:r>
          </w:p>
          <w:p w14:paraId="62CF9F02">
            <w:pPr>
              <w:spacing w:line="240" w:lineRule="auto"/>
              <w:jc w:val="left"/>
              <w:rPr>
                <w:rFonts w:hAnsi="宋体" w:cs="宋体"/>
                <w:color w:val="000000"/>
                <w:sz w:val="21"/>
                <w:szCs w:val="21"/>
              </w:rPr>
            </w:pPr>
            <w:r>
              <w:rPr>
                <w:rFonts w:hint="eastAsia" w:hAnsi="宋体" w:cs="宋体"/>
                <w:color w:val="000000"/>
                <w:sz w:val="21"/>
                <w:szCs w:val="21"/>
              </w:rPr>
              <w:t>【中】得该项评分因素分值的70%～80%（含70%）。</w:t>
            </w:r>
          </w:p>
          <w:p w14:paraId="12B2DA15">
            <w:pPr>
              <w:spacing w:line="240" w:lineRule="auto"/>
              <w:jc w:val="left"/>
              <w:rPr>
                <w:rFonts w:hAnsi="宋体" w:cs="宋体"/>
                <w:color w:val="000000"/>
                <w:sz w:val="21"/>
                <w:szCs w:val="21"/>
              </w:rPr>
            </w:pPr>
            <w:r>
              <w:rPr>
                <w:rFonts w:hint="eastAsia" w:hAnsi="宋体" w:cs="宋体"/>
                <w:color w:val="000000"/>
                <w:sz w:val="21"/>
                <w:szCs w:val="21"/>
              </w:rPr>
              <w:t>【差】得该项评分因素分值的60%～70%（含60%）。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251E2B97">
            <w:pPr>
              <w:pStyle w:val="112"/>
              <w:adjustRightInd w:val="0"/>
              <w:snapToGrid w:val="0"/>
              <w:rPr>
                <w:rFonts w:hint="eastAsia" w:eastAsia="宋体"/>
                <w:snapToGrid w:val="0"/>
                <w:kern w:val="0"/>
                <w:szCs w:val="21"/>
              </w:rPr>
            </w:pPr>
            <w:r>
              <w:rPr>
                <w:rFonts w:hint="eastAsia" w:eastAsia="宋体"/>
                <w:snapToGrid w:val="0"/>
                <w:kern w:val="0"/>
                <w:szCs w:val="21"/>
              </w:rPr>
              <w:t>要求依据全面、适用；目标清晰、正确；针对性强。</w:t>
            </w:r>
          </w:p>
        </w:tc>
      </w:tr>
      <w:tr w14:paraId="3A78A33D">
        <w:tblPrEx>
          <w:tblCellMar>
            <w:top w:w="0" w:type="dxa"/>
            <w:left w:w="108" w:type="dxa"/>
            <w:bottom w:w="0" w:type="dxa"/>
            <w:right w:w="108" w:type="dxa"/>
          </w:tblCellMar>
        </w:tblPrEx>
        <w:trPr>
          <w:trHeight w:val="104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632BA29">
            <w:pPr>
              <w:pStyle w:val="128"/>
              <w:jc w:val="center"/>
              <w:rPr>
                <w:rFonts w:ascii="宋体" w:hAnsi="宋体" w:eastAsia="宋体" w:cs="宋体"/>
                <w:color w:val="000000"/>
                <w:szCs w:val="21"/>
              </w:rPr>
            </w:pPr>
            <w:r>
              <w:rPr>
                <w:rFonts w:hint="eastAsia" w:ascii="宋体" w:hAnsi="宋体" w:eastAsia="宋体" w:cs="宋体"/>
                <w:color w:val="000000"/>
                <w:szCs w:val="21"/>
              </w:rPr>
              <w:t>工程质量</w:t>
            </w:r>
          </w:p>
          <w:p w14:paraId="7DDFE15A">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61EB91F8">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7D4794D">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4E607602">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4ED58DD2">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6DBDD6F2">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restart"/>
            <w:tcBorders>
              <w:top w:val="single" w:color="auto" w:sz="4" w:space="0"/>
              <w:left w:val="single" w:color="auto" w:sz="4" w:space="0"/>
              <w:right w:val="single" w:color="auto" w:sz="4" w:space="0"/>
            </w:tcBorders>
            <w:noWrap w:val="0"/>
            <w:vAlign w:val="center"/>
          </w:tcPr>
          <w:p w14:paraId="74CC6C06">
            <w:pPr>
              <w:pStyle w:val="112"/>
              <w:adjustRightInd w:val="0"/>
              <w:snapToGrid w:val="0"/>
              <w:jc w:val="left"/>
              <w:rPr>
                <w:rFonts w:hint="eastAsia" w:eastAsia="宋体"/>
                <w:snapToGrid w:val="0"/>
                <w:kern w:val="0"/>
                <w:szCs w:val="21"/>
              </w:rPr>
            </w:pPr>
            <w:r>
              <w:rPr>
                <w:rFonts w:hint="eastAsia" w:eastAsia="宋体"/>
                <w:snapToGrid w:val="0"/>
                <w:kern w:val="0"/>
                <w:szCs w:val="21"/>
              </w:rPr>
              <w:t>要求目标正确、方法可行、预控和动态管理措施具体、针对性强。脱离本工程实际、机械照搬照抄规范和技术标准的，不能得满分。</w:t>
            </w:r>
          </w:p>
        </w:tc>
      </w:tr>
      <w:tr w14:paraId="6C56BDD1">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21A0F92">
            <w:pPr>
              <w:pStyle w:val="128"/>
              <w:jc w:val="center"/>
              <w:rPr>
                <w:rFonts w:ascii="宋体" w:hAnsi="宋体" w:eastAsia="宋体" w:cs="宋体"/>
                <w:color w:val="000000"/>
                <w:szCs w:val="21"/>
              </w:rPr>
            </w:pPr>
            <w:r>
              <w:rPr>
                <w:rFonts w:hint="eastAsia" w:ascii="宋体" w:hAnsi="宋体" w:eastAsia="宋体" w:cs="宋体"/>
                <w:color w:val="000000"/>
                <w:szCs w:val="21"/>
              </w:rPr>
              <w:t>工程进度</w:t>
            </w:r>
          </w:p>
          <w:p w14:paraId="0188B915">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4D47B837">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49140FC9">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589BEBDE">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014B3B1D">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5D76311D">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right w:val="single" w:color="auto" w:sz="4" w:space="0"/>
            </w:tcBorders>
            <w:noWrap w:val="0"/>
            <w:vAlign w:val="center"/>
          </w:tcPr>
          <w:p w14:paraId="096FABD8">
            <w:pPr>
              <w:pStyle w:val="112"/>
              <w:adjustRightInd w:val="0"/>
              <w:snapToGrid w:val="0"/>
              <w:rPr>
                <w:rFonts w:hint="eastAsia" w:eastAsia="宋体"/>
                <w:snapToGrid w:val="0"/>
                <w:kern w:val="0"/>
                <w:szCs w:val="21"/>
              </w:rPr>
            </w:pPr>
          </w:p>
        </w:tc>
      </w:tr>
      <w:tr w14:paraId="169C2E7B">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763B44A2">
            <w:pPr>
              <w:pStyle w:val="128"/>
              <w:jc w:val="center"/>
              <w:rPr>
                <w:rFonts w:ascii="宋体" w:hAnsi="宋体" w:eastAsia="宋体" w:cs="宋体"/>
                <w:color w:val="000000"/>
                <w:szCs w:val="21"/>
              </w:rPr>
            </w:pPr>
            <w:r>
              <w:rPr>
                <w:rFonts w:hint="eastAsia" w:ascii="宋体" w:hAnsi="宋体" w:eastAsia="宋体" w:cs="宋体"/>
                <w:color w:val="000000"/>
                <w:szCs w:val="21"/>
              </w:rPr>
              <w:t>工程造价</w:t>
            </w:r>
          </w:p>
          <w:p w14:paraId="61816368">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15BAC5B8">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674D3549">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7B6DD419">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1DB5063B">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39F3B692">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right w:val="single" w:color="auto" w:sz="4" w:space="0"/>
            </w:tcBorders>
            <w:noWrap w:val="0"/>
            <w:vAlign w:val="center"/>
          </w:tcPr>
          <w:p w14:paraId="2CB8613F">
            <w:pPr>
              <w:pStyle w:val="112"/>
              <w:adjustRightInd w:val="0"/>
              <w:snapToGrid w:val="0"/>
              <w:rPr>
                <w:rFonts w:hint="eastAsia" w:eastAsia="宋体"/>
                <w:snapToGrid w:val="0"/>
                <w:kern w:val="0"/>
                <w:szCs w:val="21"/>
              </w:rPr>
            </w:pPr>
          </w:p>
        </w:tc>
      </w:tr>
      <w:tr w14:paraId="4DCF5D8B">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E75720C">
            <w:pPr>
              <w:pStyle w:val="128"/>
              <w:jc w:val="center"/>
              <w:rPr>
                <w:rFonts w:ascii="宋体" w:hAnsi="宋体" w:eastAsia="宋体" w:cs="宋体"/>
                <w:color w:val="000000"/>
                <w:szCs w:val="21"/>
              </w:rPr>
            </w:pPr>
            <w:r>
              <w:rPr>
                <w:rFonts w:hint="eastAsia" w:ascii="宋体" w:hAnsi="宋体" w:eastAsia="宋体" w:cs="宋体"/>
                <w:color w:val="000000"/>
                <w:szCs w:val="21"/>
              </w:rPr>
              <w:t>安全防护</w:t>
            </w:r>
          </w:p>
          <w:p w14:paraId="55153395">
            <w:pPr>
              <w:pStyle w:val="128"/>
              <w:jc w:val="center"/>
              <w:rPr>
                <w:rFonts w:ascii="宋体" w:hAnsi="宋体" w:eastAsia="宋体" w:cs="宋体"/>
                <w:color w:val="000000"/>
                <w:szCs w:val="21"/>
              </w:rPr>
            </w:pPr>
            <w:r>
              <w:rPr>
                <w:rFonts w:hint="eastAsia" w:ascii="宋体" w:hAnsi="宋体" w:eastAsia="宋体" w:cs="宋体"/>
                <w:color w:val="000000"/>
                <w:szCs w:val="21"/>
              </w:rPr>
              <w:t>监理措施</w:t>
            </w:r>
          </w:p>
          <w:p w14:paraId="193D01C9">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E87F389">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3622A1CE">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3D1F4465">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56B3A0F4">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right w:val="single" w:color="auto" w:sz="4" w:space="0"/>
            </w:tcBorders>
            <w:noWrap w:val="0"/>
            <w:vAlign w:val="center"/>
          </w:tcPr>
          <w:p w14:paraId="335E52F1">
            <w:pPr>
              <w:pStyle w:val="112"/>
              <w:adjustRightInd w:val="0"/>
              <w:snapToGrid w:val="0"/>
              <w:rPr>
                <w:rFonts w:hint="eastAsia" w:eastAsia="宋体"/>
                <w:snapToGrid w:val="0"/>
                <w:kern w:val="0"/>
                <w:szCs w:val="21"/>
              </w:rPr>
            </w:pPr>
          </w:p>
        </w:tc>
      </w:tr>
      <w:tr w14:paraId="355CF038">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87DB10A">
            <w:pPr>
              <w:pStyle w:val="128"/>
              <w:jc w:val="center"/>
              <w:rPr>
                <w:rFonts w:ascii="宋体" w:hAnsi="宋体" w:eastAsia="宋体" w:cs="宋体"/>
                <w:color w:val="000000"/>
                <w:szCs w:val="21"/>
              </w:rPr>
            </w:pPr>
            <w:r>
              <w:rPr>
                <w:rFonts w:hint="eastAsia" w:ascii="宋体" w:hAnsi="宋体" w:eastAsia="宋体" w:cs="宋体"/>
                <w:color w:val="000000"/>
                <w:szCs w:val="21"/>
              </w:rPr>
              <w:t>绿色施工、文明施工监理措施</w:t>
            </w:r>
          </w:p>
          <w:p w14:paraId="388521E2">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329FC78">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76FAF708">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4632AE95">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3B398FD1">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vMerge w:val="continue"/>
            <w:tcBorders>
              <w:left w:val="single" w:color="auto" w:sz="4" w:space="0"/>
              <w:bottom w:val="single" w:color="auto" w:sz="4" w:space="0"/>
              <w:right w:val="single" w:color="auto" w:sz="4" w:space="0"/>
            </w:tcBorders>
            <w:noWrap w:val="0"/>
            <w:vAlign w:val="center"/>
          </w:tcPr>
          <w:p w14:paraId="3A4CAE22">
            <w:pPr>
              <w:pStyle w:val="112"/>
              <w:adjustRightInd w:val="0"/>
              <w:snapToGrid w:val="0"/>
              <w:rPr>
                <w:rFonts w:hint="eastAsia" w:eastAsia="宋体"/>
                <w:snapToGrid w:val="0"/>
                <w:kern w:val="0"/>
                <w:szCs w:val="21"/>
              </w:rPr>
            </w:pPr>
          </w:p>
        </w:tc>
      </w:tr>
      <w:tr w14:paraId="1E7B3996">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DB104F7">
            <w:pPr>
              <w:pStyle w:val="128"/>
              <w:jc w:val="center"/>
              <w:rPr>
                <w:rFonts w:ascii="宋体" w:hAnsi="宋体" w:eastAsia="宋体" w:cs="宋体"/>
                <w:color w:val="000000"/>
                <w:szCs w:val="21"/>
              </w:rPr>
            </w:pPr>
            <w:r>
              <w:rPr>
                <w:rFonts w:hint="eastAsia" w:ascii="宋体" w:hAnsi="宋体" w:eastAsia="宋体" w:cs="宋体"/>
                <w:color w:val="000000"/>
                <w:szCs w:val="21"/>
              </w:rPr>
              <w:t>合同、信息</w:t>
            </w:r>
          </w:p>
          <w:p w14:paraId="272C50D1">
            <w:pPr>
              <w:pStyle w:val="128"/>
              <w:jc w:val="center"/>
              <w:rPr>
                <w:rFonts w:ascii="宋体" w:hAnsi="宋体" w:eastAsia="宋体" w:cs="宋体"/>
                <w:color w:val="000000"/>
                <w:szCs w:val="21"/>
              </w:rPr>
            </w:pPr>
            <w:r>
              <w:rPr>
                <w:rFonts w:hint="eastAsia" w:ascii="宋体" w:hAnsi="宋体" w:eastAsia="宋体" w:cs="宋体"/>
                <w:color w:val="000000"/>
                <w:szCs w:val="21"/>
              </w:rPr>
              <w:t>管理方案</w:t>
            </w:r>
          </w:p>
          <w:p w14:paraId="6EFC8AF0">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07103AA9">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76999524">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6E0FBC0E">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41F2248E">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414403D1">
            <w:pPr>
              <w:pStyle w:val="112"/>
              <w:adjustRightInd w:val="0"/>
              <w:snapToGrid w:val="0"/>
              <w:rPr>
                <w:rFonts w:hint="eastAsia" w:eastAsia="宋体"/>
                <w:snapToGrid w:val="0"/>
                <w:kern w:val="0"/>
                <w:szCs w:val="21"/>
              </w:rPr>
            </w:pPr>
            <w:r>
              <w:rPr>
                <w:rFonts w:hint="eastAsia" w:eastAsia="宋体"/>
                <w:snapToGrid w:val="0"/>
                <w:kern w:val="0"/>
                <w:szCs w:val="21"/>
              </w:rPr>
              <w:t>要求各项制度规范清晰，方法科学合理，措施及时有效，针对性强。能够切实防范和处理合同纠纷，提升监理工作效能。</w:t>
            </w:r>
          </w:p>
        </w:tc>
      </w:tr>
      <w:tr w14:paraId="1E1EA3A2">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9545158">
            <w:pPr>
              <w:pStyle w:val="128"/>
              <w:jc w:val="center"/>
              <w:rPr>
                <w:rFonts w:ascii="宋体" w:hAnsi="宋体" w:eastAsia="宋体" w:cs="宋体"/>
                <w:color w:val="000000"/>
                <w:szCs w:val="21"/>
              </w:rPr>
            </w:pPr>
            <w:r>
              <w:rPr>
                <w:rFonts w:hint="eastAsia" w:ascii="宋体" w:hAnsi="宋体" w:eastAsia="宋体" w:cs="宋体"/>
                <w:color w:val="000000"/>
                <w:szCs w:val="21"/>
              </w:rPr>
              <w:t>组织协调</w:t>
            </w:r>
          </w:p>
          <w:p w14:paraId="4B5DBC22">
            <w:pPr>
              <w:pStyle w:val="128"/>
              <w:jc w:val="center"/>
              <w:rPr>
                <w:rFonts w:ascii="宋体" w:hAnsi="宋体" w:eastAsia="宋体" w:cs="宋体"/>
                <w:color w:val="000000"/>
                <w:szCs w:val="21"/>
              </w:rPr>
            </w:pPr>
            <w:r>
              <w:rPr>
                <w:rFonts w:hint="eastAsia" w:ascii="宋体" w:hAnsi="宋体" w:eastAsia="宋体" w:cs="宋体"/>
                <w:color w:val="000000"/>
                <w:szCs w:val="21"/>
              </w:rPr>
              <w:t>内容及措施</w:t>
            </w:r>
          </w:p>
          <w:p w14:paraId="0067436E">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1AECC6A4">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0FCC162A">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65760CB0">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1257CD4F">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02D5FAE">
            <w:pPr>
              <w:pStyle w:val="112"/>
              <w:adjustRightInd w:val="0"/>
              <w:snapToGrid w:val="0"/>
              <w:rPr>
                <w:rFonts w:hint="eastAsia" w:eastAsia="宋体"/>
                <w:snapToGrid w:val="0"/>
                <w:kern w:val="0"/>
                <w:szCs w:val="21"/>
              </w:rPr>
            </w:pPr>
            <w:r>
              <w:rPr>
                <w:rFonts w:hint="eastAsia" w:eastAsia="宋体"/>
                <w:snapToGrid w:val="0"/>
                <w:kern w:val="0"/>
                <w:szCs w:val="21"/>
              </w:rPr>
              <w:t>要求各项制度规范清晰，方法科学合理，措施及时有效，针对性强。能够高效收集、协调、处理、反馈各方各类问题。</w:t>
            </w:r>
          </w:p>
        </w:tc>
      </w:tr>
      <w:tr w14:paraId="08D18701">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3AC6919C">
            <w:pPr>
              <w:pStyle w:val="128"/>
              <w:jc w:val="center"/>
              <w:rPr>
                <w:rFonts w:ascii="宋体" w:hAnsi="宋体" w:eastAsia="宋体" w:cs="宋体"/>
                <w:color w:val="000000"/>
                <w:szCs w:val="21"/>
              </w:rPr>
            </w:pPr>
            <w:r>
              <w:rPr>
                <w:rFonts w:hint="eastAsia" w:ascii="宋体" w:hAnsi="宋体" w:eastAsia="宋体" w:cs="宋体"/>
                <w:color w:val="000000"/>
                <w:szCs w:val="21"/>
              </w:rPr>
              <w:t>监理工作重点、难点分析</w:t>
            </w:r>
          </w:p>
          <w:p w14:paraId="47D997FF">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72CB51AC">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6C8D25F2">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5456DD82">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50E2CA6D">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1A3EA626">
            <w:pPr>
              <w:pStyle w:val="112"/>
              <w:adjustRightInd w:val="0"/>
              <w:snapToGrid w:val="0"/>
              <w:rPr>
                <w:rFonts w:hint="eastAsia" w:eastAsia="宋体"/>
                <w:snapToGrid w:val="0"/>
                <w:kern w:val="0"/>
                <w:szCs w:val="21"/>
              </w:rPr>
            </w:pPr>
            <w:r>
              <w:rPr>
                <w:rFonts w:hint="eastAsia" w:eastAsia="宋体"/>
                <w:snapToGrid w:val="0"/>
                <w:kern w:val="0"/>
                <w:szCs w:val="21"/>
              </w:rPr>
              <w:t>要求方法可行、措施具体、针对性强。</w:t>
            </w:r>
          </w:p>
        </w:tc>
      </w:tr>
      <w:tr w14:paraId="6EE01078">
        <w:tblPrEx>
          <w:tblCellMar>
            <w:top w:w="0" w:type="dxa"/>
            <w:left w:w="108" w:type="dxa"/>
            <w:bottom w:w="0" w:type="dxa"/>
            <w:right w:w="108" w:type="dxa"/>
          </w:tblCellMar>
        </w:tblPrEx>
        <w:trPr>
          <w:trHeight w:val="457"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39146BD">
            <w:pPr>
              <w:pStyle w:val="128"/>
              <w:jc w:val="center"/>
              <w:rPr>
                <w:rFonts w:ascii="宋体" w:hAnsi="宋体" w:eastAsia="宋体" w:cs="宋体"/>
                <w:color w:val="000000"/>
                <w:szCs w:val="21"/>
              </w:rPr>
            </w:pPr>
            <w:r>
              <w:rPr>
                <w:rFonts w:hint="eastAsia" w:ascii="宋体" w:hAnsi="宋体" w:eastAsia="宋体" w:cs="宋体"/>
                <w:color w:val="000000"/>
                <w:szCs w:val="21"/>
              </w:rPr>
              <w:t>合理化建议</w:t>
            </w:r>
          </w:p>
          <w:p w14:paraId="6C47A178">
            <w:pPr>
              <w:pStyle w:val="128"/>
              <w:jc w:val="center"/>
              <w:rPr>
                <w:rFonts w:ascii="宋体" w:hAnsi="宋体" w:eastAsia="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p>
        </w:tc>
        <w:tc>
          <w:tcPr>
            <w:tcW w:w="4480" w:type="dxa"/>
            <w:tcBorders>
              <w:top w:val="single" w:color="auto" w:sz="4" w:space="0"/>
              <w:left w:val="single" w:color="auto" w:sz="4" w:space="0"/>
              <w:bottom w:val="single" w:color="auto" w:sz="4" w:space="0"/>
              <w:right w:val="single" w:color="auto" w:sz="4" w:space="0"/>
            </w:tcBorders>
            <w:noWrap w:val="0"/>
            <w:vAlign w:val="center"/>
          </w:tcPr>
          <w:p w14:paraId="5F34CC3B">
            <w:pPr>
              <w:pStyle w:val="130"/>
              <w:rPr>
                <w:rFonts w:ascii="宋体" w:hAnsi="宋体" w:eastAsia="宋体" w:cs="宋体"/>
                <w:color w:val="000000"/>
                <w:szCs w:val="21"/>
              </w:rPr>
            </w:pPr>
            <w:r>
              <w:rPr>
                <w:rFonts w:hint="eastAsia" w:ascii="宋体" w:hAnsi="宋体" w:eastAsia="宋体" w:cs="宋体"/>
                <w:color w:val="000000"/>
                <w:szCs w:val="21"/>
              </w:rPr>
              <w:t>【优】得该项评分因素分值的90%～100%（含90%）。</w:t>
            </w:r>
          </w:p>
          <w:p w14:paraId="6C310A99">
            <w:pPr>
              <w:pStyle w:val="130"/>
              <w:rPr>
                <w:rFonts w:ascii="宋体" w:hAnsi="宋体" w:eastAsia="宋体" w:cs="宋体"/>
                <w:color w:val="000000"/>
                <w:szCs w:val="21"/>
              </w:rPr>
            </w:pPr>
            <w:r>
              <w:rPr>
                <w:rFonts w:hint="eastAsia" w:ascii="宋体" w:hAnsi="宋体" w:eastAsia="宋体" w:cs="宋体"/>
                <w:color w:val="000000"/>
                <w:szCs w:val="21"/>
              </w:rPr>
              <w:t>【良】得该项评分因素分值的80%～90%（含80%）。</w:t>
            </w:r>
          </w:p>
          <w:p w14:paraId="51A9DE4C">
            <w:pPr>
              <w:pStyle w:val="130"/>
              <w:rPr>
                <w:rFonts w:ascii="宋体" w:hAnsi="宋体" w:eastAsia="宋体" w:cs="宋体"/>
                <w:color w:val="000000"/>
                <w:szCs w:val="21"/>
              </w:rPr>
            </w:pPr>
            <w:r>
              <w:rPr>
                <w:rFonts w:hint="eastAsia" w:ascii="宋体" w:hAnsi="宋体" w:eastAsia="宋体" w:cs="宋体"/>
                <w:color w:val="000000"/>
                <w:szCs w:val="21"/>
              </w:rPr>
              <w:t>【中】得该项评分因素分值的70%～80%（含70%）。</w:t>
            </w:r>
          </w:p>
          <w:p w14:paraId="508756CF">
            <w:pPr>
              <w:pStyle w:val="112"/>
              <w:rPr>
                <w:rFonts w:ascii="宋体" w:hAnsi="宋体" w:eastAsia="宋体" w:cs="宋体"/>
                <w:color w:val="000000"/>
                <w:szCs w:val="21"/>
              </w:rPr>
            </w:pPr>
            <w:r>
              <w:rPr>
                <w:rFonts w:hint="eastAsia" w:ascii="宋体" w:hAnsi="宋体" w:eastAsia="宋体" w:cs="宋体"/>
                <w:color w:val="000000"/>
                <w:szCs w:val="21"/>
              </w:rPr>
              <w:t>【差】得该项评分因素分值的60</w:t>
            </w:r>
            <w:r>
              <w:rPr>
                <w:rFonts w:hint="eastAsia" w:hAnsi="宋体" w:cs="宋体"/>
                <w:color w:val="000000"/>
                <w:szCs w:val="21"/>
              </w:rPr>
              <w:t>%</w:t>
            </w:r>
            <w:r>
              <w:rPr>
                <w:rFonts w:hint="eastAsia" w:ascii="宋体" w:hAnsi="宋体" w:eastAsia="宋体" w:cs="宋体"/>
                <w:color w:val="000000"/>
                <w:szCs w:val="21"/>
              </w:rPr>
              <w:t>～70%（含60%）。</w:t>
            </w:r>
          </w:p>
        </w:tc>
        <w:tc>
          <w:tcPr>
            <w:tcW w:w="3478" w:type="dxa"/>
            <w:tcBorders>
              <w:top w:val="single" w:color="auto" w:sz="4" w:space="0"/>
              <w:left w:val="single" w:color="auto" w:sz="4" w:space="0"/>
              <w:bottom w:val="single" w:color="auto" w:sz="4" w:space="0"/>
              <w:right w:val="single" w:color="auto" w:sz="4" w:space="0"/>
            </w:tcBorders>
            <w:noWrap w:val="0"/>
            <w:vAlign w:val="center"/>
          </w:tcPr>
          <w:p w14:paraId="3136D073">
            <w:pPr>
              <w:pStyle w:val="112"/>
              <w:adjustRightInd w:val="0"/>
              <w:snapToGrid w:val="0"/>
              <w:rPr>
                <w:rFonts w:hint="eastAsia" w:eastAsia="宋体"/>
                <w:snapToGrid w:val="0"/>
                <w:kern w:val="0"/>
                <w:szCs w:val="21"/>
              </w:rPr>
            </w:pPr>
            <w:r>
              <w:rPr>
                <w:rFonts w:hint="eastAsia" w:eastAsia="宋体"/>
                <w:snapToGrid w:val="0"/>
                <w:kern w:val="0"/>
                <w:szCs w:val="21"/>
              </w:rPr>
              <w:t>要求方法可行、措施具体、针对性强。</w:t>
            </w:r>
          </w:p>
        </w:tc>
      </w:tr>
      <w:tr w14:paraId="79C7DB8E">
        <w:tblPrEx>
          <w:tblCellMar>
            <w:top w:w="0" w:type="dxa"/>
            <w:left w:w="108" w:type="dxa"/>
            <w:bottom w:w="0" w:type="dxa"/>
            <w:right w:w="108" w:type="dxa"/>
          </w:tblCellMar>
        </w:tblPrEx>
        <w:trPr>
          <w:trHeight w:val="624" w:hRule="exact"/>
          <w:jc w:val="center"/>
        </w:trPr>
        <w:tc>
          <w:tcPr>
            <w:tcW w:w="9362"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7EB0242E">
            <w:pPr>
              <w:pStyle w:val="112"/>
              <w:adjustRightInd w:val="0"/>
              <w:snapToGrid w:val="0"/>
              <w:spacing w:line="360" w:lineRule="exact"/>
              <w:rPr>
                <w:rFonts w:hint="eastAsia" w:eastAsia="宋体"/>
                <w:snapToGrid w:val="0"/>
                <w:kern w:val="0"/>
                <w:szCs w:val="21"/>
              </w:rPr>
            </w:pPr>
            <w:r>
              <w:rPr>
                <w:rFonts w:hint="eastAsia" w:ascii="黑体" w:hAnsi="黑体" w:eastAsia="黑体" w:cs="黑体"/>
                <w:snapToGrid w:val="0"/>
                <w:kern w:val="0"/>
                <w:szCs w:val="21"/>
              </w:rPr>
              <w:t>投标报价部分，满分：</w:t>
            </w:r>
            <w:r>
              <w:rPr>
                <w:rFonts w:hint="eastAsia" w:ascii="黑体" w:hAnsi="黑体" w:eastAsia="黑体" w:cs="黑体"/>
                <w:snapToGrid w:val="0"/>
                <w:kern w:val="0"/>
                <w:szCs w:val="21"/>
                <w:u w:val="single"/>
                <w:lang w:val="en-US" w:eastAsia="zh-CN"/>
              </w:rPr>
              <w:t>1</w:t>
            </w:r>
            <w:r>
              <w:rPr>
                <w:rFonts w:hint="eastAsia" w:ascii="黑体" w:hAnsi="黑体" w:eastAsia="黑体" w:cs="黑体"/>
                <w:snapToGrid w:val="0"/>
                <w:kern w:val="0"/>
                <w:szCs w:val="21"/>
                <w:u w:val="single"/>
              </w:rPr>
              <w:t>0</w:t>
            </w:r>
            <w:r>
              <w:rPr>
                <w:rFonts w:hint="eastAsia" w:ascii="黑体" w:hAnsi="黑体" w:eastAsia="黑体" w:cs="黑体"/>
                <w:snapToGrid w:val="0"/>
                <w:kern w:val="0"/>
                <w:szCs w:val="21"/>
              </w:rPr>
              <w:t>分。</w:t>
            </w:r>
          </w:p>
        </w:tc>
      </w:tr>
      <w:tr w14:paraId="774B6D5E">
        <w:tblPrEx>
          <w:tblCellMar>
            <w:top w:w="0" w:type="dxa"/>
            <w:left w:w="108" w:type="dxa"/>
            <w:bottom w:w="0" w:type="dxa"/>
            <w:right w:w="108" w:type="dxa"/>
          </w:tblCellMar>
        </w:tblPrEx>
        <w:trPr>
          <w:trHeight w:val="624" w:hRule="exac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03EEA18">
            <w:pPr>
              <w:pStyle w:val="11"/>
              <w:adjustRightInd w:val="0"/>
              <w:snapToGrid w:val="0"/>
              <w:spacing w:after="0" w:line="360" w:lineRule="exact"/>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评分事项</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3B8021B1">
            <w:pPr>
              <w:pStyle w:val="11"/>
              <w:adjustRightInd w:val="0"/>
              <w:snapToGrid w:val="0"/>
              <w:spacing w:after="0" w:line="360" w:lineRule="exact"/>
              <w:jc w:val="center"/>
              <w:rPr>
                <w:rFonts w:hint="eastAsia" w:ascii="黑体" w:hAnsi="黑体" w:eastAsia="黑体" w:cs="黑体"/>
                <w:snapToGrid w:val="0"/>
                <w:kern w:val="0"/>
                <w:sz w:val="21"/>
                <w:szCs w:val="21"/>
              </w:rPr>
            </w:pPr>
            <w:r>
              <w:rPr>
                <w:rFonts w:hint="eastAsia" w:ascii="黑体" w:hAnsi="黑体" w:eastAsia="黑体" w:cs="黑体"/>
                <w:snapToGrid w:val="0"/>
                <w:kern w:val="0"/>
                <w:sz w:val="21"/>
                <w:szCs w:val="21"/>
              </w:rPr>
              <w:t>评分方法</w:t>
            </w:r>
          </w:p>
        </w:tc>
      </w:tr>
      <w:tr w14:paraId="54AB1F06">
        <w:tblPrEx>
          <w:tblCellMar>
            <w:top w:w="0" w:type="dxa"/>
            <w:left w:w="108" w:type="dxa"/>
            <w:bottom w:w="0" w:type="dxa"/>
            <w:right w:w="108" w:type="dxa"/>
          </w:tblCellMar>
        </w:tblPrEx>
        <w:trPr>
          <w:trHeight w:val="9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1C52F5A1">
            <w:pPr>
              <w:pStyle w:val="128"/>
              <w:adjustRightInd w:val="0"/>
              <w:snapToGrid w:val="0"/>
              <w:spacing w:line="360" w:lineRule="exact"/>
              <w:jc w:val="center"/>
              <w:rPr>
                <w:rFonts w:hint="eastAsia" w:eastAsia="宋体"/>
                <w:snapToGrid w:val="0"/>
                <w:kern w:val="0"/>
                <w:szCs w:val="21"/>
              </w:rPr>
            </w:pPr>
            <w:r>
              <w:rPr>
                <w:rFonts w:hint="eastAsia" w:eastAsia="宋体"/>
                <w:snapToGrid w:val="0"/>
                <w:kern w:val="0"/>
                <w:szCs w:val="21"/>
              </w:rPr>
              <w:t>评标基准价D</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777CD01B">
            <w:pPr>
              <w:numPr>
                <w:ilvl w:val="0"/>
                <w:numId w:val="1"/>
              </w:num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确定最高投标限价下浮系数n：用1～21号球分别代表一个下浮系数，由评委代表从这21个号码中随机抽取</w:t>
            </w:r>
            <w:r>
              <w:rPr>
                <w:rFonts w:hint="eastAsia" w:ascii="Times New Roman"/>
                <w:snapToGrid w:val="0"/>
                <w:kern w:val="0"/>
                <w:sz w:val="21"/>
                <w:szCs w:val="21"/>
                <w:u w:val="single"/>
              </w:rPr>
              <w:t xml:space="preserve"> 3 </w:t>
            </w:r>
            <w:r>
              <w:rPr>
                <w:rFonts w:hint="eastAsia" w:ascii="Times New Roman"/>
                <w:snapToGrid w:val="0"/>
                <w:kern w:val="0"/>
                <w:sz w:val="21"/>
                <w:szCs w:val="21"/>
              </w:rPr>
              <w:t>次，抽出的号球不参与下次抽取，每次抽取1个号码，所抽取的3个号码对应下浮系数的算术平均值作为最高投标限价下浮系数n。具体号码对应的下浮系数可参考下表。</w:t>
            </w:r>
          </w:p>
          <w:p w14:paraId="7B129513">
            <w:pPr>
              <w:pStyle w:val="42"/>
              <w:spacing w:line="360" w:lineRule="exact"/>
              <w:jc w:val="both"/>
              <w:rPr>
                <w:rFonts w:hint="eastAsia"/>
                <w:szCs w:val="21"/>
              </w:rPr>
            </w:pPr>
          </w:p>
          <w:tbl>
            <w:tblPr>
              <w:tblStyle w:val="31"/>
              <w:tblW w:w="0" w:type="auto"/>
              <w:tblInd w:w="113" w:type="dxa"/>
              <w:tblLayout w:type="fixed"/>
              <w:tblCellMar>
                <w:top w:w="0" w:type="dxa"/>
                <w:left w:w="108" w:type="dxa"/>
                <w:bottom w:w="0" w:type="dxa"/>
                <w:right w:w="108" w:type="dxa"/>
              </w:tblCellMar>
            </w:tblPr>
            <w:tblGrid>
              <w:gridCol w:w="1316"/>
              <w:gridCol w:w="747"/>
              <w:gridCol w:w="903"/>
              <w:gridCol w:w="900"/>
              <w:gridCol w:w="990"/>
              <w:gridCol w:w="750"/>
              <w:gridCol w:w="870"/>
              <w:gridCol w:w="855"/>
            </w:tblGrid>
            <w:tr w14:paraId="6CC546A9">
              <w:tblPrEx>
                <w:tblCellMar>
                  <w:top w:w="0" w:type="dxa"/>
                  <w:left w:w="108" w:type="dxa"/>
                  <w:bottom w:w="0" w:type="dxa"/>
                  <w:right w:w="108" w:type="dxa"/>
                </w:tblCellMar>
              </w:tblPrEx>
              <w:trPr>
                <w:trHeight w:val="50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99D8DBF">
                  <w:pPr>
                    <w:adjustRightInd w:val="0"/>
                    <w:snapToGrid w:val="0"/>
                    <w:spacing w:line="360" w:lineRule="exact"/>
                    <w:jc w:val="center"/>
                    <w:rPr>
                      <w:rFonts w:hint="eastAsia" w:ascii="Times New Roman"/>
                      <w:b/>
                      <w:snapToGrid w:val="0"/>
                      <w:kern w:val="0"/>
                      <w:sz w:val="21"/>
                      <w:szCs w:val="21"/>
                    </w:rPr>
                  </w:pPr>
                  <w:r>
                    <w:rPr>
                      <w:rFonts w:hint="eastAsia" w:ascii="Times New Roman"/>
                      <w:b/>
                      <w:snapToGrid w:val="0"/>
                      <w:kern w:val="0"/>
                      <w:sz w:val="21"/>
                      <w:szCs w:val="21"/>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53C46BD">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84C9F22">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4D8D8E">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0FAD841">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BB715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1AF53CE4">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015162">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7</w:t>
                  </w:r>
                </w:p>
              </w:tc>
            </w:tr>
            <w:tr w14:paraId="55545C7F">
              <w:tblPrEx>
                <w:tblCellMar>
                  <w:top w:w="0" w:type="dxa"/>
                  <w:left w:w="108" w:type="dxa"/>
                  <w:bottom w:w="0" w:type="dxa"/>
                  <w:right w:w="108" w:type="dxa"/>
                </w:tblCellMar>
              </w:tblPrEx>
              <w:trPr>
                <w:trHeight w:val="562"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564A6D2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927894">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0.1</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9C8DF29">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5C1B8EC">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0.3</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BBE9123">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81AF20">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797445F7">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68E702">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0.7</w:t>
                  </w:r>
                </w:p>
              </w:tc>
            </w:tr>
            <w:tr w14:paraId="04D58388">
              <w:tblPrEx>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20B1CC8">
                  <w:pPr>
                    <w:adjustRightInd w:val="0"/>
                    <w:snapToGrid w:val="0"/>
                    <w:spacing w:line="360" w:lineRule="exact"/>
                    <w:jc w:val="center"/>
                    <w:rPr>
                      <w:rFonts w:hint="eastAsia" w:ascii="Times New Roman"/>
                      <w:b/>
                      <w:snapToGrid w:val="0"/>
                      <w:kern w:val="0"/>
                      <w:sz w:val="21"/>
                      <w:szCs w:val="21"/>
                    </w:rPr>
                  </w:pPr>
                  <w:r>
                    <w:rPr>
                      <w:rFonts w:hint="eastAsia" w:ascii="Times New Roman"/>
                      <w:b/>
                      <w:snapToGrid w:val="0"/>
                      <w:kern w:val="0"/>
                      <w:sz w:val="21"/>
                      <w:szCs w:val="21"/>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69D6C29">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7C7B1B56">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7BCE4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A1136CA">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1B42D7">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62FA4E3F">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EFE2004">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14</w:t>
                  </w:r>
                </w:p>
              </w:tc>
            </w:tr>
            <w:tr w14:paraId="599E9AAC">
              <w:tblPrEx>
                <w:tblCellMar>
                  <w:top w:w="0" w:type="dxa"/>
                  <w:left w:w="108" w:type="dxa"/>
                  <w:bottom w:w="0" w:type="dxa"/>
                  <w:right w:w="108" w:type="dxa"/>
                </w:tblCellMar>
              </w:tblPrEx>
              <w:trPr>
                <w:trHeight w:val="515"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B8CD466">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6E48AF56">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0.8</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6F58D23A">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0.9</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C168AA9">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A4C4C8F">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1426F2D">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7CD3AC">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11CC2A">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1.4</w:t>
                  </w:r>
                </w:p>
              </w:tc>
            </w:tr>
            <w:tr w14:paraId="2FEBFFB1">
              <w:tblPrEx>
                <w:tblCellMar>
                  <w:top w:w="0" w:type="dxa"/>
                  <w:left w:w="108" w:type="dxa"/>
                  <w:bottom w:w="0" w:type="dxa"/>
                  <w:right w:w="108" w:type="dxa"/>
                </w:tblCellMar>
              </w:tblPrEx>
              <w:trPr>
                <w:trHeight w:val="47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24517699">
                  <w:pPr>
                    <w:adjustRightInd w:val="0"/>
                    <w:snapToGrid w:val="0"/>
                    <w:spacing w:line="360" w:lineRule="exact"/>
                    <w:jc w:val="center"/>
                    <w:rPr>
                      <w:rFonts w:hint="eastAsia" w:ascii="Times New Roman"/>
                      <w:b/>
                      <w:snapToGrid w:val="0"/>
                      <w:kern w:val="0"/>
                      <w:sz w:val="21"/>
                      <w:szCs w:val="21"/>
                    </w:rPr>
                  </w:pPr>
                  <w:r>
                    <w:rPr>
                      <w:rFonts w:hint="eastAsia" w:ascii="Times New Roman"/>
                      <w:b/>
                      <w:snapToGrid w:val="0"/>
                      <w:kern w:val="0"/>
                      <w:sz w:val="21"/>
                      <w:szCs w:val="21"/>
                    </w:rPr>
                    <w:t>号球</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F94EE1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66B79E2">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76A6A56">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9C7DB81">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AB9AE3">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2B77F121">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B09A24B">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21</w:t>
                  </w:r>
                </w:p>
              </w:tc>
            </w:tr>
            <w:tr w14:paraId="0EA1FD7F">
              <w:tblPrEx>
                <w:tblCellMar>
                  <w:top w:w="0" w:type="dxa"/>
                  <w:left w:w="108" w:type="dxa"/>
                  <w:bottom w:w="0" w:type="dxa"/>
                  <w:right w:w="108" w:type="dxa"/>
                </w:tblCellMar>
              </w:tblPrEx>
              <w:trPr>
                <w:trHeight w:val="600" w:hRule="atLeast"/>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44FD23AA">
                  <w:pPr>
                    <w:adjustRightInd w:val="0"/>
                    <w:snapToGrid w:val="0"/>
                    <w:spacing w:line="360" w:lineRule="exact"/>
                    <w:jc w:val="center"/>
                    <w:rPr>
                      <w:rFonts w:hint="eastAsia" w:ascii="Times New Roman"/>
                      <w:snapToGrid w:val="0"/>
                      <w:kern w:val="0"/>
                      <w:sz w:val="21"/>
                      <w:szCs w:val="21"/>
                    </w:rPr>
                  </w:pPr>
                  <w:r>
                    <w:rPr>
                      <w:rFonts w:hint="eastAsia" w:ascii="Times New Roman"/>
                      <w:snapToGrid w:val="0"/>
                      <w:kern w:val="0"/>
                      <w:sz w:val="21"/>
                      <w:szCs w:val="21"/>
                    </w:rPr>
                    <w:t>下浮系数（%）</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40CC49E">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1.5</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5AE128B">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8206579">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1.7</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1C8F0CF">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3BDBFD">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1.9</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14:paraId="351F8523">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C2B3E7">
                  <w:pPr>
                    <w:adjustRightInd w:val="0"/>
                    <w:snapToGrid w:val="0"/>
                    <w:spacing w:line="360" w:lineRule="exact"/>
                    <w:jc w:val="center"/>
                    <w:rPr>
                      <w:rFonts w:ascii="Times New Roman"/>
                      <w:snapToGrid w:val="0"/>
                      <w:kern w:val="0"/>
                      <w:sz w:val="21"/>
                      <w:szCs w:val="21"/>
                    </w:rPr>
                  </w:pPr>
                  <w:r>
                    <w:rPr>
                      <w:rFonts w:hint="eastAsia" w:ascii="黑体" w:hAnsi="黑体" w:eastAsia="黑体" w:cs="黑体"/>
                      <w:snapToGrid w:val="0"/>
                      <w:kern w:val="0"/>
                      <w:sz w:val="21"/>
                      <w:szCs w:val="21"/>
                    </w:rPr>
                    <w:t>2.1</w:t>
                  </w:r>
                </w:p>
              </w:tc>
            </w:tr>
          </w:tbl>
          <w:p w14:paraId="3F199C1A">
            <w:p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（2）评标基准价D＝最高投标限价×（1－n）</w:t>
            </w:r>
          </w:p>
        </w:tc>
      </w:tr>
      <w:tr w14:paraId="1F50F22A">
        <w:tblPrEx>
          <w:tblCellMar>
            <w:top w:w="0" w:type="dxa"/>
            <w:left w:w="108" w:type="dxa"/>
            <w:bottom w:w="0" w:type="dxa"/>
            <w:right w:w="108" w:type="dxa"/>
          </w:tblCellMar>
        </w:tblPrEx>
        <w:trPr>
          <w:trHeight w:val="802"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5A223A51">
            <w:pPr>
              <w:pStyle w:val="128"/>
              <w:adjustRightInd w:val="0"/>
              <w:snapToGrid w:val="0"/>
              <w:spacing w:line="360" w:lineRule="exact"/>
              <w:jc w:val="center"/>
              <w:rPr>
                <w:rFonts w:hint="eastAsia" w:eastAsia="宋体"/>
                <w:snapToGrid w:val="0"/>
                <w:kern w:val="0"/>
                <w:szCs w:val="21"/>
              </w:rPr>
            </w:pPr>
            <w:r>
              <w:rPr>
                <w:rFonts w:hint="eastAsia" w:eastAsia="宋体"/>
                <w:snapToGrid w:val="0"/>
                <w:kern w:val="0"/>
                <w:szCs w:val="21"/>
              </w:rPr>
              <w:t>投标报价</w:t>
            </w:r>
          </w:p>
          <w:p w14:paraId="7C480A1B">
            <w:pPr>
              <w:pStyle w:val="128"/>
              <w:adjustRightInd w:val="0"/>
              <w:snapToGrid w:val="0"/>
              <w:spacing w:line="360" w:lineRule="exact"/>
              <w:jc w:val="center"/>
              <w:rPr>
                <w:rFonts w:eastAsia="宋体"/>
                <w:snapToGrid w:val="0"/>
                <w:kern w:val="0"/>
                <w:szCs w:val="21"/>
              </w:rPr>
            </w:pPr>
            <w:r>
              <w:rPr>
                <w:rFonts w:hint="eastAsia" w:eastAsia="宋体"/>
                <w:snapToGrid w:val="0"/>
                <w:kern w:val="0"/>
                <w:szCs w:val="21"/>
              </w:rPr>
              <w:t>得分M</w:t>
            </w:r>
            <w:r>
              <w:rPr>
                <w:rFonts w:hint="eastAsia" w:eastAsia="宋体"/>
                <w:snapToGrid w:val="0"/>
                <w:kern w:val="0"/>
                <w:szCs w:val="21"/>
                <w:vertAlign w:val="subscript"/>
              </w:rPr>
              <w:t>3</w:t>
            </w:r>
          </w:p>
        </w:tc>
        <w:tc>
          <w:tcPr>
            <w:tcW w:w="7958" w:type="dxa"/>
            <w:gridSpan w:val="2"/>
            <w:tcBorders>
              <w:top w:val="single" w:color="auto" w:sz="4" w:space="0"/>
              <w:left w:val="single" w:color="auto" w:sz="4" w:space="0"/>
              <w:bottom w:val="single" w:color="auto" w:sz="4" w:space="0"/>
              <w:right w:val="single" w:color="auto" w:sz="4" w:space="0"/>
            </w:tcBorders>
            <w:noWrap w:val="0"/>
            <w:vAlign w:val="center"/>
          </w:tcPr>
          <w:p w14:paraId="797EDB93">
            <w:p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采用内插法计算某投标人的投标报价得分M</w:t>
            </w:r>
            <w:r>
              <w:rPr>
                <w:rFonts w:hint="eastAsia" w:ascii="Times New Roman"/>
                <w:snapToGrid w:val="0"/>
                <w:kern w:val="0"/>
                <w:sz w:val="21"/>
                <w:szCs w:val="21"/>
                <w:vertAlign w:val="subscript"/>
              </w:rPr>
              <w:t>3</w:t>
            </w:r>
            <w:r>
              <w:rPr>
                <w:rFonts w:hint="eastAsia" w:ascii="Times New Roman"/>
                <w:snapToGrid w:val="0"/>
                <w:kern w:val="0"/>
                <w:sz w:val="21"/>
                <w:szCs w:val="21"/>
              </w:rPr>
              <w:t>，即当投标人的投标总价等于评标基准价时得满分，每高于评标基准价一个百分点扣0.2分，每低于评标基准价一个百分点扣0.1分，扣完为止。公式如下：</w:t>
            </w:r>
          </w:p>
          <w:p w14:paraId="7A477057">
            <w:p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M</w:t>
            </w:r>
            <w:r>
              <w:rPr>
                <w:rFonts w:hint="eastAsia" w:ascii="Times New Roman"/>
                <w:snapToGrid w:val="0"/>
                <w:kern w:val="0"/>
                <w:sz w:val="21"/>
                <w:szCs w:val="21"/>
                <w:vertAlign w:val="subscript"/>
              </w:rPr>
              <w:t>3</w:t>
            </w:r>
            <w:r>
              <w:rPr>
                <w:rFonts w:hint="eastAsia" w:ascii="Times New Roman"/>
                <w:snapToGrid w:val="0"/>
                <w:kern w:val="0"/>
                <w:sz w:val="21"/>
                <w:szCs w:val="21"/>
              </w:rPr>
              <w:t>＝投标报价满分－（| Di－D | ÷D）×100×E</w:t>
            </w:r>
          </w:p>
          <w:p w14:paraId="196B6C10">
            <w:pPr>
              <w:adjustRightInd w:val="0"/>
              <w:snapToGrid w:val="0"/>
              <w:spacing w:line="360" w:lineRule="exact"/>
              <w:ind w:firstLine="420" w:firstLineChars="200"/>
              <w:jc w:val="left"/>
              <w:rPr>
                <w:rFonts w:hint="eastAsia" w:ascii="Times New Roman"/>
                <w:snapToGrid w:val="0"/>
                <w:kern w:val="0"/>
                <w:sz w:val="21"/>
                <w:szCs w:val="21"/>
              </w:rPr>
            </w:pPr>
            <w:r>
              <w:rPr>
                <w:rFonts w:hint="eastAsia" w:ascii="Times New Roman"/>
                <w:snapToGrid w:val="0"/>
                <w:kern w:val="0"/>
                <w:sz w:val="21"/>
                <w:szCs w:val="21"/>
              </w:rPr>
              <w:t>式中：D为评标基准价，Di为某投标人的投标总价；E为扣分因子。当Di＞D时，E＝0.2；当Di＜D时，E＝0.1。</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注：评分如出现小数点，则保留小数点后两位，第三位四舍五入。</w:t>
      </w:r>
    </w:p>
    <w:p w14:paraId="02D8E841">
      <w:pPr>
        <w:wordWrap w:val="0"/>
        <w:adjustRightInd w:val="0"/>
        <w:snapToGrid w:val="0"/>
        <w:spacing w:after="240" w:afterLines="100" w:line="440" w:lineRule="exact"/>
        <w:jc w:val="center"/>
        <w:rPr>
          <w:rFonts w:hint="eastAsia" w:hAnsi="宋体" w:cs="宋体"/>
          <w:b/>
          <w:bCs/>
          <w:snapToGrid w:val="0"/>
          <w:color w:val="auto"/>
          <w:kern w:val="0"/>
          <w:sz w:val="28"/>
          <w:szCs w:val="28"/>
          <w:highlight w:val="none"/>
        </w:rPr>
      </w:pPr>
    </w:p>
    <w:p w14:paraId="4427BF97">
      <w:pPr>
        <w:wordWrap w:val="0"/>
        <w:adjustRightInd w:val="0"/>
        <w:snapToGrid w:val="0"/>
        <w:spacing w:line="440" w:lineRule="exact"/>
        <w:jc w:val="center"/>
        <w:rPr>
          <w:rFonts w:hint="eastAsia" w:ascii="Times New Roman"/>
          <w:b/>
          <w:bCs/>
          <w:snapToGrid w:val="0"/>
          <w:kern w:val="0"/>
          <w:sz w:val="30"/>
        </w:rPr>
      </w:pPr>
    </w:p>
    <w:p w14:paraId="76DBE84F">
      <w:pPr>
        <w:wordWrap w:val="0"/>
        <w:adjustRightInd w:val="0"/>
        <w:snapToGrid w:val="0"/>
        <w:spacing w:line="440" w:lineRule="exact"/>
        <w:jc w:val="center"/>
        <w:rPr>
          <w:rFonts w:hint="eastAsia" w:ascii="Times New Roman"/>
          <w:b/>
          <w:bCs/>
          <w:snapToGrid w:val="0"/>
          <w:kern w:val="0"/>
          <w:sz w:val="30"/>
        </w:rPr>
      </w:pPr>
    </w:p>
    <w:p w14:paraId="50869EF5">
      <w:pPr>
        <w:wordWrap w:val="0"/>
        <w:adjustRightInd w:val="0"/>
        <w:snapToGrid w:val="0"/>
        <w:spacing w:line="440" w:lineRule="exact"/>
        <w:jc w:val="center"/>
        <w:rPr>
          <w:rFonts w:hint="eastAsia" w:ascii="Times New Roman"/>
          <w:b/>
          <w:bCs/>
          <w:snapToGrid w:val="0"/>
          <w:kern w:val="0"/>
        </w:rPr>
      </w:pPr>
      <w:r>
        <w:rPr>
          <w:rFonts w:hint="eastAsia" w:ascii="Times New Roman"/>
          <w:b/>
          <w:bCs/>
          <w:snapToGrid w:val="0"/>
          <w:kern w:val="0"/>
          <w:sz w:val="30"/>
        </w:rPr>
        <w:t>表2 项目监理机构其他人员需求表</w:t>
      </w:r>
    </w:p>
    <w:p w14:paraId="790C30C5">
      <w:pPr>
        <w:wordWrap w:val="0"/>
        <w:adjustRightInd w:val="0"/>
        <w:snapToGrid w:val="0"/>
        <w:spacing w:line="440" w:lineRule="exact"/>
        <w:ind w:firstLine="480" w:firstLineChars="200"/>
        <w:rPr>
          <w:rFonts w:hint="eastAsia" w:ascii="Times New Roman"/>
          <w:snapToGrid w:val="0"/>
          <w:kern w:val="0"/>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66"/>
        <w:gridCol w:w="875"/>
        <w:gridCol w:w="4736"/>
      </w:tblGrid>
      <w:tr w14:paraId="5B11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60" w:type="dxa"/>
            <w:gridSpan w:val="4"/>
            <w:noWrap w:val="0"/>
            <w:vAlign w:val="center"/>
          </w:tcPr>
          <w:p w14:paraId="06E473EB">
            <w:pPr>
              <w:pStyle w:val="90"/>
              <w:wordWrap w:val="0"/>
              <w:adjustRightInd w:val="0"/>
              <w:snapToGrid w:val="0"/>
              <w:spacing w:line="360" w:lineRule="exact"/>
              <w:jc w:val="lef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其他监理人员（除总监理工程师外）：共</w:t>
            </w:r>
            <w:r>
              <w:rPr>
                <w:rFonts w:hint="eastAsia" w:asciiTheme="minorEastAsia" w:hAnsiTheme="minorEastAsia" w:eastAsiaTheme="minorEastAsia" w:cstheme="minorEastAsia"/>
                <w:snapToGrid w:val="0"/>
                <w:kern w:val="0"/>
                <w:sz w:val="24"/>
                <w:szCs w:val="24"/>
                <w:u w:val="single"/>
              </w:rPr>
              <w:t>1</w:t>
            </w:r>
            <w:r>
              <w:rPr>
                <w:rFonts w:hint="eastAsia" w:asciiTheme="minorEastAsia" w:hAnsiTheme="minorEastAsia" w:eastAsiaTheme="minorEastAsia" w:cstheme="minorEastAsia"/>
                <w:snapToGrid w:val="0"/>
                <w:kern w:val="0"/>
                <w:sz w:val="24"/>
                <w:szCs w:val="24"/>
              </w:rPr>
              <w:t>人</w:t>
            </w:r>
          </w:p>
        </w:tc>
      </w:tr>
      <w:tr w14:paraId="619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exact"/>
        </w:trPr>
        <w:tc>
          <w:tcPr>
            <w:tcW w:w="1083" w:type="dxa"/>
            <w:noWrap w:val="0"/>
            <w:vAlign w:val="center"/>
          </w:tcPr>
          <w:p w14:paraId="33C96334">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职务</w:t>
            </w:r>
          </w:p>
        </w:tc>
        <w:tc>
          <w:tcPr>
            <w:tcW w:w="2366" w:type="dxa"/>
            <w:noWrap w:val="0"/>
            <w:vAlign w:val="center"/>
          </w:tcPr>
          <w:p w14:paraId="09A32389">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专业要求</w:t>
            </w:r>
          </w:p>
        </w:tc>
        <w:tc>
          <w:tcPr>
            <w:tcW w:w="875" w:type="dxa"/>
            <w:noWrap w:val="0"/>
            <w:vAlign w:val="center"/>
          </w:tcPr>
          <w:p w14:paraId="1C8AB0DA">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数量</w:t>
            </w:r>
          </w:p>
          <w:p w14:paraId="5B2056A7">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要求</w:t>
            </w:r>
          </w:p>
        </w:tc>
        <w:tc>
          <w:tcPr>
            <w:tcW w:w="4736" w:type="dxa"/>
            <w:noWrap w:val="0"/>
            <w:vAlign w:val="center"/>
          </w:tcPr>
          <w:p w14:paraId="4FE3ED71">
            <w:pPr>
              <w:pStyle w:val="90"/>
              <w:wordWrap w:val="0"/>
              <w:adjustRightInd w:val="0"/>
              <w:snapToGrid w:val="0"/>
              <w:spacing w:line="30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持证要求</w:t>
            </w:r>
          </w:p>
        </w:tc>
      </w:tr>
      <w:tr w14:paraId="2421A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exact"/>
        </w:trPr>
        <w:tc>
          <w:tcPr>
            <w:tcW w:w="1083" w:type="dxa"/>
            <w:noWrap w:val="0"/>
            <w:vAlign w:val="center"/>
          </w:tcPr>
          <w:p w14:paraId="5F9D7C3A">
            <w:pPr>
              <w:pStyle w:val="90"/>
              <w:wordWrap w:val="0"/>
              <w:adjustRightInd w:val="0"/>
              <w:snapToGrid w:val="0"/>
              <w:spacing w:line="360" w:lineRule="exact"/>
              <w:jc w:val="center"/>
              <w:rPr>
                <w:rFonts w:hint="eastAsia" w:asciiTheme="minorEastAsia" w:hAnsiTheme="minorEastAsia" w:eastAsiaTheme="minorEastAsia" w:cstheme="minorEastAsia"/>
                <w:strike/>
                <w:snapToGrid w:val="0"/>
                <w:kern w:val="0"/>
                <w:sz w:val="24"/>
                <w:szCs w:val="24"/>
              </w:rPr>
            </w:pPr>
            <w:r>
              <w:rPr>
                <w:rFonts w:hint="eastAsia" w:asciiTheme="minorEastAsia" w:hAnsiTheme="minorEastAsia" w:eastAsiaTheme="minorEastAsia" w:cstheme="minorEastAsia"/>
                <w:snapToGrid w:val="0"/>
                <w:kern w:val="0"/>
                <w:sz w:val="24"/>
                <w:szCs w:val="24"/>
              </w:rPr>
              <w:t>专业监理工程师</w:t>
            </w:r>
          </w:p>
        </w:tc>
        <w:tc>
          <w:tcPr>
            <w:tcW w:w="2366" w:type="dxa"/>
            <w:noWrap w:val="0"/>
            <w:vAlign w:val="center"/>
          </w:tcPr>
          <w:p w14:paraId="40A4D5B0">
            <w:pPr>
              <w:pStyle w:val="90"/>
              <w:wordWrap w:val="0"/>
              <w:adjustRightInd w:val="0"/>
              <w:snapToGrid w:val="0"/>
              <w:spacing w:line="360" w:lineRule="exact"/>
              <w:jc w:val="center"/>
              <w:rPr>
                <w:rFonts w:hint="eastAsia" w:asciiTheme="minorEastAsia" w:hAnsiTheme="minorEastAsia" w:eastAsiaTheme="minorEastAsia" w:cstheme="minorEastAsia"/>
                <w:strike/>
                <w:snapToGrid w:val="0"/>
                <w:kern w:val="0"/>
                <w:sz w:val="24"/>
                <w:szCs w:val="24"/>
              </w:rPr>
            </w:pPr>
            <w:r>
              <w:rPr>
                <w:rFonts w:hint="eastAsia" w:asciiTheme="minorEastAsia" w:hAnsiTheme="minorEastAsia" w:eastAsiaTheme="minorEastAsia" w:cstheme="minorEastAsia"/>
                <w:snapToGrid w:val="0"/>
                <w:kern w:val="0"/>
                <w:sz w:val="24"/>
                <w:szCs w:val="24"/>
              </w:rPr>
              <w:t>市政公用工程专业</w:t>
            </w:r>
          </w:p>
        </w:tc>
        <w:tc>
          <w:tcPr>
            <w:tcW w:w="875" w:type="dxa"/>
            <w:noWrap w:val="0"/>
            <w:vAlign w:val="center"/>
          </w:tcPr>
          <w:p w14:paraId="474A6A66">
            <w:pPr>
              <w:pStyle w:val="90"/>
              <w:wordWrap w:val="0"/>
              <w:adjustRightInd w:val="0"/>
              <w:snapToGrid w:val="0"/>
              <w:spacing w:line="360" w:lineRule="exact"/>
              <w:jc w:val="center"/>
              <w:rPr>
                <w:rFonts w:hint="eastAsia" w:asciiTheme="minorEastAsia" w:hAnsiTheme="minorEastAsia" w:eastAsiaTheme="minorEastAsia" w:cstheme="minorEastAsia"/>
                <w:strike/>
                <w:snapToGrid w:val="0"/>
                <w:kern w:val="0"/>
                <w:sz w:val="24"/>
                <w:szCs w:val="24"/>
              </w:rPr>
            </w:pPr>
            <w:r>
              <w:rPr>
                <w:rFonts w:hint="eastAsia" w:asciiTheme="minorEastAsia" w:hAnsiTheme="minorEastAsia" w:eastAsiaTheme="minorEastAsia" w:cstheme="minorEastAsia"/>
                <w:snapToGrid w:val="0"/>
                <w:kern w:val="0"/>
                <w:sz w:val="24"/>
                <w:szCs w:val="24"/>
              </w:rPr>
              <w:t>1</w:t>
            </w:r>
          </w:p>
        </w:tc>
        <w:tc>
          <w:tcPr>
            <w:tcW w:w="4736" w:type="dxa"/>
            <w:noWrap w:val="0"/>
            <w:vAlign w:val="center"/>
          </w:tcPr>
          <w:p w14:paraId="54C7BB09">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符合以下3种情形之一均可：</w:t>
            </w:r>
          </w:p>
          <w:p w14:paraId="0592A5F4">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1．具备所需专业注册监理工程师执业资格，持有效的注册证书；</w:t>
            </w:r>
          </w:p>
          <w:p w14:paraId="79E4433B">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2．具备工程类注册执业资格，并经监理业务培训。持有效的注册证书、省级建设行政主管部门或其授权的组织（机构）颁发的岗位证书；</w:t>
            </w:r>
          </w:p>
          <w:p w14:paraId="77DC6A85">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3．具备中级及以上专业技术职称，并经监理业务培训。持有效的职称证书、省级建设行政主管部门或其授权的组织（机构）颁发的岗位证书。</w:t>
            </w:r>
          </w:p>
          <w:p w14:paraId="44280911">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注：专业类别以注册证书或专业监理工程师证书或职称证书或毕业证所列明的专业为准。</w:t>
            </w:r>
          </w:p>
        </w:tc>
      </w:tr>
      <w:tr w14:paraId="2E6C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49" w:type="dxa"/>
            <w:gridSpan w:val="2"/>
            <w:noWrap w:val="0"/>
            <w:vAlign w:val="center"/>
          </w:tcPr>
          <w:p w14:paraId="444F3228">
            <w:pPr>
              <w:pStyle w:val="90"/>
              <w:wordWrap w:val="0"/>
              <w:adjustRightInd w:val="0"/>
              <w:snapToGrid w:val="0"/>
              <w:spacing w:line="36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合计</w:t>
            </w:r>
          </w:p>
        </w:tc>
        <w:tc>
          <w:tcPr>
            <w:tcW w:w="875" w:type="dxa"/>
            <w:noWrap w:val="0"/>
            <w:vAlign w:val="center"/>
          </w:tcPr>
          <w:p w14:paraId="685D52DC">
            <w:pPr>
              <w:pStyle w:val="90"/>
              <w:wordWrap w:val="0"/>
              <w:adjustRightInd w:val="0"/>
              <w:snapToGrid w:val="0"/>
              <w:spacing w:line="36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p>
        </w:tc>
        <w:tc>
          <w:tcPr>
            <w:tcW w:w="4736" w:type="dxa"/>
            <w:noWrap w:val="0"/>
            <w:vAlign w:val="center"/>
          </w:tcPr>
          <w:p w14:paraId="02E6504A">
            <w:pPr>
              <w:pStyle w:val="90"/>
              <w:wordWrap w:val="0"/>
              <w:adjustRightInd w:val="0"/>
              <w:snapToGrid w:val="0"/>
              <w:spacing w:line="360" w:lineRule="exact"/>
              <w:rPr>
                <w:rFonts w:hint="eastAsia" w:asciiTheme="minorEastAsia" w:hAnsiTheme="minorEastAsia" w:eastAsiaTheme="minorEastAsia" w:cstheme="minorEastAsia"/>
                <w:snapToGrid w:val="0"/>
                <w:kern w:val="0"/>
                <w:sz w:val="24"/>
                <w:szCs w:val="24"/>
              </w:rPr>
            </w:pPr>
          </w:p>
        </w:tc>
      </w:tr>
    </w:tbl>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1021FFCB">
      <w:pPr>
        <w:rPr>
          <w:color w:val="auto"/>
          <w:highlight w:val="none"/>
        </w:rPr>
      </w:pPr>
    </w:p>
    <w:p w14:paraId="07D9C16A">
      <w:pPr>
        <w:adjustRightInd w:val="0"/>
        <w:snapToGrid w:val="0"/>
        <w:spacing w:line="440" w:lineRule="exact"/>
        <w:ind w:firstLine="480" w:firstLineChars="200"/>
        <w:rPr>
          <w:rFonts w:hAnsi="宋体" w:cs="宋体"/>
          <w:snapToGrid w:val="0"/>
          <w:color w:val="auto"/>
          <w:kern w:val="0"/>
          <w:highlight w:val="none"/>
        </w:rPr>
      </w:pPr>
      <w:r>
        <w:rPr>
          <w:rFonts w:hint="eastAsia" w:hAnsi="宋体" w:cs="宋体"/>
          <w:snapToGrid w:val="0"/>
          <w:color w:val="auto"/>
          <w:kern w:val="0"/>
          <w:highlight w:val="none"/>
        </w:rPr>
        <w:br w:type="page"/>
      </w:r>
    </w:p>
    <w:p w14:paraId="499742D9">
      <w:pPr>
        <w:wordWrap w:val="0"/>
        <w:adjustRightInd w:val="0"/>
        <w:snapToGrid w:val="0"/>
        <w:spacing w:line="440" w:lineRule="exact"/>
        <w:ind w:firstLine="482" w:firstLineChars="200"/>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F6EFDA">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rPr>
        <w:t>15.</w:t>
      </w: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 xml:space="preserve">.2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73CA2331">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int="eastAsia" w:hAnsi="宋体" w:cs="宋体"/>
          <w:b/>
          <w:snapToGrid w:val="0"/>
          <w:color w:val="auto"/>
          <w:szCs w:val="24"/>
          <w:highlight w:val="none"/>
        </w:rPr>
      </w:pPr>
      <w:bookmarkStart w:id="62" w:name="_Toc23668"/>
      <w:r>
        <w:rPr>
          <w:rFonts w:hint="eastAsia" w:hAnsi="宋体" w:cs="宋体"/>
          <w:b/>
          <w:snapToGrid w:val="0"/>
          <w:color w:val="auto"/>
          <w:szCs w:val="24"/>
          <w:highlight w:val="none"/>
        </w:rPr>
        <w:t>16．推荐中标候选人</w:t>
      </w:r>
      <w:bookmarkEnd w:id="62"/>
    </w:p>
    <w:p w14:paraId="73027949">
      <w:pPr>
        <w:wordWrap w:val="0"/>
        <w:adjustRightInd w:val="0"/>
        <w:snapToGrid w:val="0"/>
        <w:spacing w:line="360" w:lineRule="auto"/>
        <w:ind w:firstLine="482" w:firstLineChars="200"/>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 xml:space="preserve">.1 </w:t>
      </w:r>
      <w:r>
        <w:rPr>
          <w:rFonts w:hint="eastAsia" w:hAnsi="宋体" w:cs="宋体"/>
          <w:b w:val="0"/>
          <w:bCs w:val="0"/>
          <w:snapToGrid w:val="0"/>
          <w:color w:val="auto"/>
          <w:kern w:val="0"/>
          <w:szCs w:val="24"/>
          <w:highlight w:val="none"/>
        </w:rPr>
        <w:t>确定排名</w:t>
      </w:r>
    </w:p>
    <w:p w14:paraId="17101544">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3" w:name="_Toc28775"/>
      <w:bookmarkStart w:id="64" w:name="_Toc10038"/>
      <w:r>
        <w:rPr>
          <w:rFonts w:hint="eastAsia" w:hAnsi="宋体" w:cs="宋体"/>
          <w:b w:val="0"/>
          <w:bCs/>
          <w:snapToGrid w:val="0"/>
          <w:color w:val="auto"/>
          <w:kern w:val="0"/>
          <w:szCs w:val="24"/>
          <w:highlight w:val="none"/>
        </w:rPr>
        <w:t>评标委员会汇总、比较所有投标人的综合得分后，按照综合得分由高到低的次序排列。综合得分相等时，以投标总价低的优先；如果投标总价也相等的，由评标委员会投票确定。</w:t>
      </w:r>
      <w:bookmarkEnd w:id="63"/>
      <w:bookmarkEnd w:id="64"/>
    </w:p>
    <w:p w14:paraId="2DFB7C24">
      <w:pPr>
        <w:wordWrap w:val="0"/>
        <w:adjustRightInd w:val="0"/>
        <w:snapToGrid w:val="0"/>
        <w:spacing w:line="360" w:lineRule="auto"/>
        <w:ind w:firstLine="482" w:firstLineChars="200"/>
        <w:outlineLvl w:val="1"/>
        <w:rPr>
          <w:rFonts w:hint="eastAsia" w:hAnsi="宋体" w:cs="宋体"/>
          <w:b/>
          <w:snapToGrid w:val="0"/>
          <w:color w:val="auto"/>
          <w:kern w:val="0"/>
          <w:szCs w:val="24"/>
          <w:highlight w:val="none"/>
        </w:rPr>
      </w:pPr>
      <w:bookmarkStart w:id="65" w:name="_Toc4420"/>
      <w:bookmarkStart w:id="66" w:name="_Toc28841"/>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6</w:t>
      </w:r>
      <w:r>
        <w:rPr>
          <w:rFonts w:hint="eastAsia" w:hAnsi="宋体" w:cs="宋体"/>
          <w:b/>
          <w:snapToGrid w:val="0"/>
          <w:color w:val="auto"/>
          <w:kern w:val="0"/>
          <w:szCs w:val="24"/>
          <w:highlight w:val="none"/>
        </w:rPr>
        <w:t xml:space="preserve">.2 </w:t>
      </w:r>
      <w:r>
        <w:rPr>
          <w:rFonts w:hint="eastAsia" w:hAnsi="宋体" w:cs="宋体"/>
          <w:b w:val="0"/>
          <w:bCs/>
          <w:snapToGrid w:val="0"/>
          <w:color w:val="auto"/>
          <w:kern w:val="0"/>
          <w:szCs w:val="24"/>
          <w:highlight w:val="none"/>
        </w:rPr>
        <w:t>推荐方法</w:t>
      </w:r>
      <w:bookmarkEnd w:id="65"/>
      <w:bookmarkEnd w:id="66"/>
    </w:p>
    <w:p w14:paraId="51771E02">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7" w:name="_Toc1434"/>
      <w:bookmarkStart w:id="68" w:name="_Toc21828"/>
      <w:r>
        <w:rPr>
          <w:rFonts w:hint="eastAsia" w:hAnsi="宋体" w:cs="宋体"/>
          <w:b w:val="0"/>
          <w:bCs/>
          <w:snapToGrid w:val="0"/>
          <w:color w:val="auto"/>
          <w:kern w:val="0"/>
          <w:szCs w:val="24"/>
          <w:highlight w:val="none"/>
        </w:rPr>
        <w:t>（1）有效投标人数量达到或超过3个的，评标委员会将前三名投标人作为中标候选人向招标人推荐，并标明排列顺序。</w:t>
      </w:r>
      <w:bookmarkEnd w:id="67"/>
      <w:bookmarkEnd w:id="68"/>
    </w:p>
    <w:p w14:paraId="38AE0B13">
      <w:pPr>
        <w:wordWrap w:val="0"/>
        <w:adjustRightInd w:val="0"/>
        <w:snapToGrid w:val="0"/>
        <w:spacing w:line="360" w:lineRule="auto"/>
        <w:ind w:firstLine="480" w:firstLineChars="200"/>
        <w:outlineLvl w:val="1"/>
        <w:rPr>
          <w:rFonts w:hint="eastAsia" w:hAnsi="宋体" w:cs="宋体"/>
          <w:b w:val="0"/>
          <w:bCs/>
          <w:snapToGrid w:val="0"/>
          <w:color w:val="auto"/>
          <w:kern w:val="0"/>
          <w:szCs w:val="24"/>
          <w:highlight w:val="none"/>
        </w:rPr>
      </w:pPr>
      <w:bookmarkStart w:id="69" w:name="_Toc27202"/>
      <w:bookmarkStart w:id="70" w:name="_Toc32512"/>
      <w:r>
        <w:rPr>
          <w:rFonts w:hint="eastAsia" w:hAnsi="宋体" w:cs="宋体"/>
          <w:b w:val="0"/>
          <w:bCs/>
          <w:snapToGrid w:val="0"/>
          <w:color w:val="auto"/>
          <w:kern w:val="0"/>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bookmarkEnd w:id="69"/>
      <w:bookmarkEnd w:id="70"/>
    </w:p>
    <w:p w14:paraId="1E7EFB30">
      <w:pPr>
        <w:wordWrap w:val="0"/>
        <w:adjustRightInd w:val="0"/>
        <w:snapToGrid w:val="0"/>
        <w:spacing w:line="360" w:lineRule="auto"/>
        <w:ind w:firstLine="482" w:firstLineChars="200"/>
        <w:outlineLvl w:val="1"/>
        <w:rPr>
          <w:rFonts w:hint="eastAsia" w:hAnsi="宋体" w:cs="宋体"/>
          <w:b w:val="0"/>
          <w:bCs/>
          <w:snapToGrid w:val="0"/>
          <w:color w:val="auto"/>
          <w:kern w:val="0"/>
          <w:szCs w:val="24"/>
          <w:highlight w:val="none"/>
        </w:rPr>
      </w:pPr>
      <w:bookmarkStart w:id="71" w:name="_Toc1479"/>
      <w:bookmarkStart w:id="72" w:name="_Toc18953"/>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6</w:t>
      </w:r>
      <w:r>
        <w:rPr>
          <w:rFonts w:hint="eastAsia" w:hAnsi="宋体" w:cs="宋体"/>
          <w:b/>
          <w:snapToGrid w:val="0"/>
          <w:color w:val="auto"/>
          <w:kern w:val="0"/>
          <w:szCs w:val="24"/>
          <w:highlight w:val="none"/>
        </w:rPr>
        <w:t xml:space="preserve">.3 </w:t>
      </w:r>
      <w:r>
        <w:rPr>
          <w:rFonts w:hint="eastAsia" w:hAnsi="宋体" w:cs="宋体"/>
          <w:b w:val="0"/>
          <w:bCs/>
          <w:snapToGrid w:val="0"/>
          <w:color w:val="auto"/>
          <w:kern w:val="0"/>
          <w:szCs w:val="24"/>
          <w:highlight w:val="none"/>
        </w:rPr>
        <w:t>评标委员会完成评标后，应向招标人提交由全体评标委员会成员签字的评标报告和中标候选人名单。</w:t>
      </w:r>
      <w:bookmarkEnd w:id="71"/>
      <w:bookmarkEnd w:id="72"/>
    </w:p>
    <w:p w14:paraId="1855C80E">
      <w:pPr>
        <w:keepNext w:val="0"/>
        <w:keepLines w:val="0"/>
        <w:pageBreakBefore w:val="0"/>
        <w:wordWrap w:val="0"/>
        <w:topLinePunct w:val="0"/>
        <w:bidi w:val="0"/>
        <w:adjustRightInd w:val="0"/>
        <w:snapToGrid w:val="0"/>
        <w:spacing w:line="500" w:lineRule="exact"/>
        <w:ind w:firstLine="482" w:firstLineChars="200"/>
        <w:textAlignment w:val="auto"/>
        <w:outlineLvl w:val="2"/>
        <w:rPr>
          <w:rFonts w:hint="eastAsia" w:ascii="宋体" w:hAnsi="宋体" w:eastAsia="宋体" w:cs="宋体"/>
          <w:b/>
          <w:snapToGrid w:val="0"/>
          <w:color w:val="auto"/>
          <w:kern w:val="0"/>
          <w:highlight w:val="none"/>
        </w:rPr>
      </w:pPr>
      <w:bookmarkStart w:id="73" w:name="_Toc22756"/>
      <w:r>
        <w:rPr>
          <w:rFonts w:hint="eastAsia" w:ascii="宋体" w:hAnsi="宋体" w:eastAsia="宋体" w:cs="宋体"/>
          <w:b/>
          <w:snapToGrid w:val="0"/>
          <w:color w:val="auto"/>
          <w:kern w:val="0"/>
          <w:highlight w:val="none"/>
        </w:rPr>
        <w:t>1</w:t>
      </w:r>
      <w:r>
        <w:rPr>
          <w:rFonts w:hint="eastAsia" w:ascii="宋体" w:hAnsi="宋体" w:eastAsia="宋体" w:cs="宋体"/>
          <w:b/>
          <w:snapToGrid w:val="0"/>
          <w:color w:val="auto"/>
          <w:kern w:val="0"/>
          <w:highlight w:val="none"/>
          <w:lang w:val="en-US" w:eastAsia="zh-CN"/>
        </w:rPr>
        <w:t>7</w:t>
      </w:r>
      <w:r>
        <w:rPr>
          <w:rFonts w:hint="eastAsia" w:ascii="宋体" w:hAnsi="宋体" w:eastAsia="宋体" w:cs="宋体"/>
          <w:b/>
          <w:snapToGrid w:val="0"/>
          <w:color w:val="auto"/>
          <w:kern w:val="0"/>
          <w:highlight w:val="none"/>
        </w:rPr>
        <w:t>.中标候选人公示</w:t>
      </w:r>
      <w:bookmarkEnd w:id="73"/>
    </w:p>
    <w:p w14:paraId="49F59228">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b w:val="0"/>
          <w:bCs w:val="0"/>
          <w:snapToGrid w:val="0"/>
          <w:color w:val="auto"/>
          <w:kern w:val="0"/>
          <w:szCs w:val="24"/>
          <w:highlight w:val="none"/>
        </w:rPr>
        <w:t>招标人自收到评标委员会提交的书面评标报告和中标候选人名单之日起3日内，将评标结果（即中标候选人名单）、中标候选人投标文件、评标过程（评标专家姓名用代码标记）一并在广东省招标投标监管网（https://zbtb.gd.gov.cn/#/index）及全国公共资源交易平台（广东省·韶关市）（https://ygp.gdzwfw.gov.cn/ggzy-portal/#/440200/index）进行公示，公示期不得少于3天。</w:t>
      </w:r>
    </w:p>
    <w:p w14:paraId="7BE7EDF1">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 xml:space="preserve">.2 </w:t>
      </w:r>
      <w:r>
        <w:rPr>
          <w:rFonts w:hint="eastAsia" w:hAnsi="宋体" w:cs="宋体"/>
          <w:b w:val="0"/>
          <w:bCs w:val="0"/>
          <w:snapToGrid w:val="0"/>
          <w:color w:val="auto"/>
          <w:kern w:val="0"/>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3DC5290B">
      <w:pPr>
        <w:wordWrap w:val="0"/>
        <w:adjustRightInd w:val="0"/>
        <w:snapToGrid w:val="0"/>
        <w:spacing w:line="360" w:lineRule="auto"/>
        <w:ind w:firstLine="482" w:firstLineChars="200"/>
        <w:rPr>
          <w:rFonts w:hint="eastAsia" w:hAnsi="宋体" w:cs="宋体"/>
          <w:b/>
          <w:bCs/>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 xml:space="preserve">.3 </w:t>
      </w:r>
      <w:r>
        <w:rPr>
          <w:rFonts w:hint="eastAsia" w:hAnsi="宋体" w:cs="宋体"/>
          <w:b w:val="0"/>
          <w:bCs w:val="0"/>
          <w:snapToGrid w:val="0"/>
          <w:color w:val="auto"/>
          <w:kern w:val="0"/>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58B9D703">
      <w:pPr>
        <w:wordWrap w:val="0"/>
        <w:adjustRightInd w:val="0"/>
        <w:snapToGrid w:val="0"/>
        <w:spacing w:line="360" w:lineRule="auto"/>
        <w:outlineLvl w:val="1"/>
        <w:rPr>
          <w:rFonts w:hint="eastAsia" w:hAnsi="宋体" w:cs="宋体"/>
          <w:b/>
          <w:bCs/>
          <w:snapToGrid w:val="0"/>
          <w:color w:val="auto"/>
          <w:kern w:val="0"/>
          <w:highlight w:val="none"/>
        </w:rPr>
      </w:pPr>
    </w:p>
    <w:p w14:paraId="7A115FAC">
      <w:pPr>
        <w:wordWrap w:val="0"/>
        <w:adjustRightInd w:val="0"/>
        <w:snapToGrid w:val="0"/>
        <w:spacing w:line="360" w:lineRule="auto"/>
        <w:outlineLvl w:val="1"/>
        <w:rPr>
          <w:rFonts w:hint="eastAsia" w:hAnsi="宋体" w:cs="宋体"/>
          <w:b/>
          <w:bCs/>
          <w:snapToGrid w:val="0"/>
          <w:color w:val="auto"/>
          <w:kern w:val="0"/>
          <w:highlight w:val="none"/>
        </w:rPr>
      </w:pPr>
    </w:p>
    <w:p w14:paraId="28E6F404">
      <w:pPr>
        <w:wordWrap w:val="0"/>
        <w:adjustRightInd w:val="0"/>
        <w:snapToGrid w:val="0"/>
        <w:spacing w:line="360" w:lineRule="auto"/>
        <w:outlineLvl w:val="1"/>
        <w:rPr>
          <w:rFonts w:hint="eastAsia" w:hAnsi="宋体" w:cs="宋体"/>
          <w:b/>
          <w:bCs/>
          <w:snapToGrid w:val="0"/>
          <w:color w:val="auto"/>
          <w:kern w:val="0"/>
          <w:highlight w:val="none"/>
        </w:rPr>
      </w:pPr>
    </w:p>
    <w:p w14:paraId="46D21D91">
      <w:pPr>
        <w:wordWrap w:val="0"/>
        <w:adjustRightInd w:val="0"/>
        <w:snapToGrid w:val="0"/>
        <w:spacing w:line="360" w:lineRule="auto"/>
        <w:outlineLvl w:val="1"/>
        <w:rPr>
          <w:rFonts w:hint="eastAsia" w:hAnsi="宋体" w:cs="宋体"/>
          <w:b/>
          <w:bCs/>
          <w:snapToGrid w:val="0"/>
          <w:color w:val="auto"/>
          <w:kern w:val="0"/>
          <w:highlight w:val="none"/>
        </w:rPr>
      </w:pPr>
    </w:p>
    <w:p w14:paraId="3220DAFD">
      <w:pPr>
        <w:wordWrap w:val="0"/>
        <w:adjustRightInd w:val="0"/>
        <w:snapToGrid w:val="0"/>
        <w:spacing w:line="360" w:lineRule="auto"/>
        <w:outlineLvl w:val="1"/>
        <w:rPr>
          <w:rFonts w:hint="eastAsia" w:hAnsi="宋体" w:cs="宋体"/>
          <w:b/>
          <w:bCs/>
          <w:snapToGrid w:val="0"/>
          <w:color w:val="auto"/>
          <w:kern w:val="0"/>
          <w:highlight w:val="none"/>
        </w:rPr>
      </w:pPr>
    </w:p>
    <w:p w14:paraId="5A282C02">
      <w:pPr>
        <w:wordWrap w:val="0"/>
        <w:adjustRightInd w:val="0"/>
        <w:snapToGrid w:val="0"/>
        <w:spacing w:line="360" w:lineRule="auto"/>
        <w:outlineLvl w:val="1"/>
        <w:rPr>
          <w:rFonts w:hint="eastAsia" w:hAnsi="宋体" w:cs="宋体"/>
          <w:b/>
          <w:bCs/>
          <w:snapToGrid w:val="0"/>
          <w:color w:val="auto"/>
          <w:kern w:val="0"/>
          <w:highlight w:val="none"/>
        </w:rPr>
      </w:pPr>
    </w:p>
    <w:p w14:paraId="23869436">
      <w:pPr>
        <w:wordWrap w:val="0"/>
        <w:adjustRightInd w:val="0"/>
        <w:snapToGrid w:val="0"/>
        <w:spacing w:line="360" w:lineRule="auto"/>
        <w:outlineLvl w:val="1"/>
        <w:rPr>
          <w:rFonts w:hint="eastAsia" w:hAnsi="宋体" w:cs="宋体"/>
          <w:b/>
          <w:bCs/>
          <w:snapToGrid w:val="0"/>
          <w:color w:val="auto"/>
          <w:kern w:val="0"/>
          <w:highlight w:val="none"/>
        </w:rPr>
      </w:pPr>
    </w:p>
    <w:p w14:paraId="44FC2F61">
      <w:pPr>
        <w:wordWrap w:val="0"/>
        <w:adjustRightInd w:val="0"/>
        <w:snapToGrid w:val="0"/>
        <w:spacing w:line="360" w:lineRule="auto"/>
        <w:outlineLvl w:val="1"/>
        <w:rPr>
          <w:rFonts w:hint="eastAsia" w:hAnsi="宋体" w:cs="宋体"/>
          <w:b/>
          <w:bCs/>
          <w:snapToGrid w:val="0"/>
          <w:color w:val="auto"/>
          <w:kern w:val="0"/>
          <w:highlight w:val="none"/>
        </w:rPr>
      </w:pPr>
    </w:p>
    <w:p w14:paraId="0500E3C6">
      <w:pPr>
        <w:wordWrap w:val="0"/>
        <w:adjustRightInd w:val="0"/>
        <w:snapToGrid w:val="0"/>
        <w:spacing w:line="360" w:lineRule="auto"/>
        <w:outlineLvl w:val="1"/>
        <w:rPr>
          <w:rFonts w:hint="eastAsia" w:hAnsi="宋体" w:cs="宋体"/>
          <w:b/>
          <w:bCs/>
          <w:snapToGrid w:val="0"/>
          <w:color w:val="auto"/>
          <w:kern w:val="0"/>
          <w:highlight w:val="none"/>
        </w:rPr>
      </w:pPr>
    </w:p>
    <w:p w14:paraId="56AA8BFD">
      <w:pPr>
        <w:pStyle w:val="15"/>
        <w:rPr>
          <w:rFonts w:hint="eastAsia" w:hAnsi="宋体" w:cs="宋体"/>
          <w:b/>
          <w:bCs/>
          <w:snapToGrid w:val="0"/>
          <w:color w:val="auto"/>
          <w:kern w:val="0"/>
          <w:highlight w:val="none"/>
        </w:rPr>
      </w:pPr>
    </w:p>
    <w:p w14:paraId="7C528FA3">
      <w:pPr>
        <w:pStyle w:val="15"/>
        <w:rPr>
          <w:rFonts w:hint="eastAsia" w:hAnsi="宋体" w:cs="宋体"/>
          <w:b/>
          <w:bCs/>
          <w:snapToGrid w:val="0"/>
          <w:color w:val="auto"/>
          <w:kern w:val="0"/>
          <w:highlight w:val="none"/>
        </w:rPr>
      </w:pPr>
    </w:p>
    <w:p w14:paraId="3BC97034">
      <w:pPr>
        <w:pStyle w:val="15"/>
        <w:rPr>
          <w:rFonts w:hint="eastAsia" w:hAnsi="宋体" w:cs="宋体"/>
          <w:b/>
          <w:bCs/>
          <w:snapToGrid w:val="0"/>
          <w:color w:val="auto"/>
          <w:kern w:val="0"/>
          <w:highlight w:val="none"/>
        </w:rPr>
      </w:pPr>
    </w:p>
    <w:p w14:paraId="45D2047F">
      <w:pPr>
        <w:pStyle w:val="15"/>
        <w:rPr>
          <w:rFonts w:hint="eastAsia" w:hAnsi="宋体" w:cs="宋体"/>
          <w:b/>
          <w:bCs/>
          <w:snapToGrid w:val="0"/>
          <w:color w:val="auto"/>
          <w:kern w:val="0"/>
          <w:highlight w:val="none"/>
        </w:rPr>
      </w:pPr>
    </w:p>
    <w:p w14:paraId="31263F58">
      <w:pPr>
        <w:pStyle w:val="15"/>
        <w:rPr>
          <w:rFonts w:hint="eastAsia" w:hAnsi="宋体" w:cs="宋体"/>
          <w:b/>
          <w:bCs/>
          <w:snapToGrid w:val="0"/>
          <w:color w:val="auto"/>
          <w:kern w:val="0"/>
          <w:highlight w:val="none"/>
        </w:rPr>
      </w:pPr>
    </w:p>
    <w:p w14:paraId="2EDF887A">
      <w:pPr>
        <w:pStyle w:val="15"/>
        <w:rPr>
          <w:rFonts w:hint="eastAsia" w:hAnsi="宋体" w:cs="宋体"/>
          <w:b/>
          <w:bCs/>
          <w:snapToGrid w:val="0"/>
          <w:color w:val="auto"/>
          <w:kern w:val="0"/>
          <w:highlight w:val="none"/>
        </w:rPr>
      </w:pPr>
    </w:p>
    <w:p w14:paraId="2886EB6A">
      <w:pPr>
        <w:pStyle w:val="15"/>
        <w:rPr>
          <w:rFonts w:hint="eastAsia" w:hAnsi="宋体" w:cs="宋体"/>
          <w:b/>
          <w:bCs/>
          <w:snapToGrid w:val="0"/>
          <w:color w:val="auto"/>
          <w:kern w:val="0"/>
          <w:highlight w:val="none"/>
        </w:rPr>
      </w:pPr>
    </w:p>
    <w:p w14:paraId="5140B621">
      <w:pPr>
        <w:pStyle w:val="15"/>
        <w:rPr>
          <w:rFonts w:hint="eastAsia" w:hAnsi="宋体" w:cs="宋体"/>
          <w:b/>
          <w:bCs/>
          <w:snapToGrid w:val="0"/>
          <w:color w:val="auto"/>
          <w:kern w:val="0"/>
          <w:highlight w:val="none"/>
        </w:rPr>
      </w:pPr>
    </w:p>
    <w:p w14:paraId="0A38CC43">
      <w:pPr>
        <w:pStyle w:val="15"/>
        <w:rPr>
          <w:rFonts w:hint="eastAsia" w:hAnsi="宋体" w:cs="宋体"/>
          <w:b/>
          <w:bCs/>
          <w:snapToGrid w:val="0"/>
          <w:color w:val="auto"/>
          <w:kern w:val="0"/>
          <w:highlight w:val="none"/>
        </w:rPr>
      </w:pPr>
    </w:p>
    <w:p w14:paraId="6847D163">
      <w:pPr>
        <w:pStyle w:val="15"/>
        <w:rPr>
          <w:rFonts w:hint="eastAsia" w:hAnsi="宋体" w:cs="宋体"/>
          <w:b/>
          <w:bCs/>
          <w:snapToGrid w:val="0"/>
          <w:color w:val="auto"/>
          <w:kern w:val="0"/>
          <w:highlight w:val="none"/>
        </w:rPr>
      </w:pPr>
    </w:p>
    <w:p w14:paraId="3626C809">
      <w:pPr>
        <w:wordWrap w:val="0"/>
        <w:adjustRightInd w:val="0"/>
        <w:snapToGrid w:val="0"/>
        <w:spacing w:line="360" w:lineRule="auto"/>
        <w:outlineLvl w:val="1"/>
        <w:rPr>
          <w:rFonts w:hint="eastAsia" w:hAnsi="宋体" w:cs="宋体"/>
          <w:b/>
          <w:bCs/>
          <w:snapToGrid w:val="0"/>
          <w:color w:val="auto"/>
          <w:kern w:val="0"/>
          <w:highlight w:val="none"/>
        </w:rPr>
      </w:pPr>
    </w:p>
    <w:p w14:paraId="112C15A1">
      <w:pPr>
        <w:wordWrap w:val="0"/>
        <w:adjustRightInd w:val="0"/>
        <w:snapToGrid w:val="0"/>
        <w:spacing w:line="360" w:lineRule="auto"/>
        <w:outlineLvl w:val="1"/>
        <w:rPr>
          <w:rFonts w:hint="eastAsia" w:hAnsi="宋体" w:cs="宋体"/>
          <w:b/>
          <w:bCs/>
          <w:snapToGrid w:val="0"/>
          <w:color w:val="auto"/>
          <w:kern w:val="0"/>
          <w:highlight w:val="none"/>
        </w:rPr>
      </w:pPr>
    </w:p>
    <w:p w14:paraId="3E4D3842">
      <w:pPr>
        <w:wordWrap w:val="0"/>
        <w:adjustRightInd w:val="0"/>
        <w:snapToGrid w:val="0"/>
        <w:spacing w:line="360" w:lineRule="auto"/>
        <w:jc w:val="center"/>
        <w:outlineLvl w:val="1"/>
        <w:rPr>
          <w:rFonts w:hAnsi="宋体" w:cs="宋体"/>
          <w:snapToGrid w:val="0"/>
          <w:color w:val="auto"/>
          <w:kern w:val="0"/>
          <w:highlight w:val="none"/>
        </w:rPr>
      </w:pPr>
      <w:bookmarkStart w:id="74" w:name="_Toc17009"/>
      <w:r>
        <w:rPr>
          <w:rFonts w:hint="eastAsia" w:hAnsi="宋体" w:cs="宋体"/>
          <w:b/>
          <w:bCs/>
          <w:snapToGrid w:val="0"/>
          <w:color w:val="auto"/>
          <w:kern w:val="0"/>
          <w:highlight w:val="none"/>
        </w:rPr>
        <w:t>第四节 否决投标条件</w:t>
      </w:r>
      <w:bookmarkEnd w:id="74"/>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75" w:name="_Toc8541"/>
      <w:r>
        <w:rPr>
          <w:rFonts w:hint="eastAsia" w:hAnsi="宋体" w:cs="宋体"/>
          <w:b/>
          <w:bCs/>
          <w:snapToGrid w:val="0"/>
          <w:color w:val="auto"/>
          <w:kern w:val="0"/>
          <w:highlight w:val="none"/>
        </w:rPr>
        <w:t>1．资格评审环节</w:t>
      </w:r>
      <w:bookmarkEnd w:id="75"/>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76" w:name="_Toc22542"/>
      <w:r>
        <w:rPr>
          <w:rFonts w:hint="eastAsia" w:hAnsi="宋体" w:cs="宋体"/>
          <w:b/>
          <w:bCs/>
          <w:snapToGrid w:val="0"/>
          <w:color w:val="auto"/>
          <w:kern w:val="0"/>
          <w:highlight w:val="none"/>
        </w:rPr>
        <w:t>2．形式评审环节</w:t>
      </w:r>
      <w:bookmarkEnd w:id="76"/>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77" w:name="_Toc1804"/>
      <w:r>
        <w:rPr>
          <w:rFonts w:hint="eastAsia" w:hAnsi="宋体" w:cs="宋体"/>
          <w:b/>
          <w:bCs/>
          <w:snapToGrid w:val="0"/>
          <w:color w:val="auto"/>
          <w:kern w:val="0"/>
          <w:highlight w:val="none"/>
        </w:rPr>
        <w:t>3．响应性评审环节</w:t>
      </w:r>
      <w:bookmarkEnd w:id="77"/>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78" w:name="_Toc22668"/>
      <w:r>
        <w:rPr>
          <w:rFonts w:hint="eastAsia" w:hAnsi="宋体" w:cs="宋体"/>
          <w:b/>
          <w:bCs/>
          <w:snapToGrid w:val="0"/>
          <w:color w:val="auto"/>
          <w:kern w:val="0"/>
          <w:highlight w:val="none"/>
        </w:rPr>
        <w:t>4．其他</w:t>
      </w:r>
      <w:bookmarkEnd w:id="78"/>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753E11E4">
      <w:pPr>
        <w:pStyle w:val="3"/>
        <w:wordWrap w:val="0"/>
        <w:autoSpaceDE/>
        <w:autoSpaceDN/>
        <w:snapToGrid w:val="0"/>
        <w:spacing w:line="440" w:lineRule="exact"/>
        <w:jc w:val="center"/>
        <w:rPr>
          <w:rFonts w:hAnsi="宋体" w:cs="宋体"/>
          <w:b/>
          <w:snapToGrid w:val="0"/>
          <w:color w:val="auto"/>
          <w:sz w:val="32"/>
          <w:szCs w:val="22"/>
          <w:highlight w:val="none"/>
        </w:rPr>
      </w:pPr>
      <w:bookmarkStart w:id="79" w:name="_Hlt69669771"/>
      <w:bookmarkEnd w:id="79"/>
      <w:bookmarkStart w:id="80" w:name="_Hlt70150994"/>
      <w:bookmarkEnd w:id="80"/>
      <w:bookmarkStart w:id="81" w:name="_Hlt112206772"/>
      <w:bookmarkEnd w:id="81"/>
      <w:bookmarkStart w:id="82" w:name="_Hlt87952408"/>
      <w:bookmarkEnd w:id="82"/>
      <w:bookmarkStart w:id="83" w:name="_Toc401"/>
      <w:bookmarkStart w:id="84" w:name="_Hlt69698722"/>
      <w:bookmarkStart w:id="85" w:name="_Hlt69698769"/>
      <w:bookmarkStart w:id="86" w:name="_Hlt69698741"/>
      <w:r>
        <w:rPr>
          <w:rFonts w:hint="eastAsia" w:hAnsi="宋体" w:cs="宋体"/>
          <w:b/>
          <w:snapToGrid w:val="0"/>
          <w:color w:val="auto"/>
          <w:sz w:val="32"/>
          <w:szCs w:val="22"/>
          <w:highlight w:val="none"/>
        </w:rPr>
        <w:t>第</w:t>
      </w:r>
      <w:bookmarkStart w:id="87" w:name="_Hlt69669171"/>
      <w:bookmarkEnd w:id="87"/>
      <w:r>
        <w:rPr>
          <w:rFonts w:hint="eastAsia" w:hAnsi="宋体" w:cs="宋体"/>
          <w:b/>
          <w:snapToGrid w:val="0"/>
          <w:color w:val="auto"/>
          <w:sz w:val="32"/>
          <w:szCs w:val="22"/>
          <w:highlight w:val="none"/>
        </w:rPr>
        <w:t>二章</w:t>
      </w:r>
      <w:bookmarkStart w:id="88" w:name="_Hlt87793839"/>
      <w:bookmarkEnd w:id="88"/>
      <w:r>
        <w:rPr>
          <w:rFonts w:hint="eastAsia" w:hAnsi="宋体" w:cs="宋体"/>
          <w:b/>
          <w:snapToGrid w:val="0"/>
          <w:color w:val="auto"/>
          <w:sz w:val="32"/>
          <w:szCs w:val="22"/>
          <w:highlight w:val="none"/>
        </w:rPr>
        <w:t xml:space="preserve"> 中标人须知</w:t>
      </w:r>
      <w:bookmarkEnd w:id="83"/>
    </w:p>
    <w:bookmarkEnd w:id="84"/>
    <w:bookmarkEnd w:id="85"/>
    <w:bookmarkEnd w:id="86"/>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89" w:name="_Toc31521"/>
      <w:bookmarkStart w:id="90" w:name="_Toc18336"/>
      <w:bookmarkStart w:id="91" w:name="_Toc15170"/>
      <w:bookmarkStart w:id="92" w:name="_Toc30174"/>
      <w:bookmarkStart w:id="93" w:name="_Toc8149"/>
      <w:bookmarkStart w:id="94" w:name="_Toc17192"/>
      <w:bookmarkStart w:id="95" w:name="_Toc21594"/>
      <w:r>
        <w:rPr>
          <w:rFonts w:hint="eastAsia" w:hAnsi="宋体" w:cs="宋体"/>
          <w:b/>
          <w:snapToGrid w:val="0"/>
          <w:color w:val="auto"/>
          <w:kern w:val="0"/>
          <w:szCs w:val="24"/>
          <w:highlight w:val="none"/>
        </w:rPr>
        <w:t>1．中标通知书</w:t>
      </w:r>
      <w:bookmarkEnd w:id="89"/>
      <w:bookmarkEnd w:id="90"/>
      <w:bookmarkEnd w:id="91"/>
      <w:bookmarkEnd w:id="92"/>
      <w:bookmarkEnd w:id="93"/>
      <w:bookmarkEnd w:id="94"/>
      <w:bookmarkEnd w:id="95"/>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6" w:name="_Toc30560"/>
      <w:bookmarkStart w:id="97" w:name="_Toc23133"/>
      <w:bookmarkStart w:id="98" w:name="_Toc1519"/>
      <w:bookmarkStart w:id="99" w:name="_Toc28601"/>
      <w:bookmarkStart w:id="100" w:name="_Toc10931"/>
      <w:bookmarkStart w:id="101" w:name="_Toc18659"/>
      <w:bookmarkStart w:id="102" w:name="_Toc17251"/>
      <w:r>
        <w:rPr>
          <w:rFonts w:hint="eastAsia" w:hAnsi="宋体" w:cs="宋体"/>
          <w:b/>
          <w:bCs/>
          <w:snapToGrid w:val="0"/>
          <w:color w:val="auto"/>
          <w:kern w:val="0"/>
          <w:szCs w:val="24"/>
          <w:highlight w:val="none"/>
        </w:rPr>
        <w:t>2．中标结果公示</w:t>
      </w:r>
      <w:bookmarkEnd w:id="96"/>
      <w:bookmarkEnd w:id="97"/>
      <w:bookmarkEnd w:id="98"/>
      <w:bookmarkEnd w:id="99"/>
      <w:bookmarkEnd w:id="100"/>
      <w:bookmarkEnd w:id="101"/>
      <w:bookmarkEnd w:id="102"/>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3" w:name="_Toc16211"/>
      <w:bookmarkStart w:id="104" w:name="_Toc22628"/>
      <w:bookmarkStart w:id="105" w:name="_Toc23475"/>
      <w:bookmarkStart w:id="106" w:name="_Toc20923"/>
      <w:bookmarkStart w:id="107" w:name="_Toc25367"/>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08" w:name="_Toc5857"/>
      <w:bookmarkStart w:id="109" w:name="_Toc32445"/>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08"/>
      <w:bookmarkEnd w:id="109"/>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10" w:name="_Toc4933"/>
      <w:bookmarkStart w:id="111" w:name="_Toc5474"/>
      <w:r>
        <w:rPr>
          <w:rFonts w:hint="eastAsia" w:hAnsi="宋体" w:cs="宋体"/>
          <w:b/>
          <w:bCs/>
          <w:snapToGrid w:val="0"/>
          <w:color w:val="auto"/>
          <w:kern w:val="0"/>
          <w:szCs w:val="24"/>
          <w:highlight w:val="none"/>
          <w:lang w:val="en-US" w:eastAsia="zh-CN"/>
        </w:rPr>
        <w:t>4.合同订立</w:t>
      </w:r>
      <w:bookmarkEnd w:id="103"/>
      <w:bookmarkEnd w:id="104"/>
      <w:bookmarkEnd w:id="105"/>
      <w:bookmarkEnd w:id="106"/>
      <w:bookmarkEnd w:id="107"/>
      <w:bookmarkEnd w:id="110"/>
      <w:bookmarkEnd w:id="111"/>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2" w:name="_Toc7981"/>
      <w:bookmarkStart w:id="113" w:name="_Toc6741"/>
      <w:bookmarkStart w:id="114" w:name="_Toc11598"/>
      <w:bookmarkStart w:id="115" w:name="_Toc25887"/>
      <w:bookmarkStart w:id="116" w:name="_Toc3858"/>
      <w:bookmarkStart w:id="117" w:name="_Toc1819"/>
      <w:bookmarkStart w:id="118" w:name="_Toc13450"/>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12"/>
      <w:bookmarkEnd w:id="113"/>
      <w:bookmarkEnd w:id="114"/>
      <w:bookmarkEnd w:id="115"/>
      <w:bookmarkEnd w:id="116"/>
      <w:bookmarkEnd w:id="117"/>
      <w:bookmarkEnd w:id="118"/>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9" w:name="_Toc500"/>
      <w:bookmarkStart w:id="120" w:name="_Toc8282"/>
      <w:bookmarkStart w:id="121" w:name="_Toc1831"/>
      <w:bookmarkStart w:id="122" w:name="_Toc15893"/>
      <w:bookmarkStart w:id="123" w:name="_Toc7088"/>
      <w:bookmarkStart w:id="124" w:name="_Toc26352"/>
      <w:bookmarkStart w:id="125" w:name="_Toc17549"/>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19"/>
      <w:bookmarkEnd w:id="120"/>
      <w:bookmarkEnd w:id="121"/>
      <w:bookmarkEnd w:id="122"/>
      <w:bookmarkEnd w:id="123"/>
      <w:bookmarkEnd w:id="124"/>
      <w:bookmarkEnd w:id="125"/>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6" w:name="_Toc25358"/>
      <w:bookmarkStart w:id="127" w:name="_Toc19761"/>
      <w:bookmarkStart w:id="128" w:name="_Toc25800"/>
      <w:bookmarkStart w:id="129" w:name="_Toc18249"/>
      <w:bookmarkStart w:id="130" w:name="_Toc17560"/>
      <w:bookmarkStart w:id="131" w:name="_Toc6953"/>
      <w:bookmarkStart w:id="132" w:name="_Toc2527"/>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6"/>
      <w:bookmarkEnd w:id="127"/>
      <w:bookmarkEnd w:id="128"/>
      <w:bookmarkEnd w:id="129"/>
      <w:bookmarkEnd w:id="130"/>
      <w:bookmarkEnd w:id="131"/>
      <w:bookmarkEnd w:id="132"/>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3" w:name="_Toc25479"/>
      <w:bookmarkStart w:id="134" w:name="_Toc6532"/>
      <w:bookmarkStart w:id="135" w:name="_Toc13950"/>
      <w:bookmarkStart w:id="136" w:name="_Toc31907"/>
      <w:bookmarkStart w:id="137" w:name="_Toc23108"/>
      <w:bookmarkStart w:id="138" w:name="_Toc17664"/>
      <w:bookmarkStart w:id="139" w:name="_Toc13195"/>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3"/>
      <w:bookmarkEnd w:id="134"/>
      <w:bookmarkEnd w:id="135"/>
      <w:bookmarkEnd w:id="136"/>
      <w:bookmarkEnd w:id="137"/>
      <w:bookmarkEnd w:id="138"/>
      <w:bookmarkEnd w:id="139"/>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0" w:name="_Toc15281"/>
      <w:bookmarkStart w:id="141" w:name="_Toc27412"/>
      <w:bookmarkStart w:id="142" w:name="_Toc19789"/>
      <w:bookmarkStart w:id="143" w:name="_Toc6056"/>
      <w:bookmarkStart w:id="144" w:name="_Toc23097"/>
      <w:bookmarkStart w:id="145" w:name="_Toc20449"/>
      <w:bookmarkStart w:id="146" w:name="_Toc20861"/>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40"/>
      <w:bookmarkEnd w:id="141"/>
      <w:bookmarkEnd w:id="142"/>
      <w:bookmarkEnd w:id="143"/>
      <w:bookmarkEnd w:id="144"/>
      <w:bookmarkEnd w:id="145"/>
      <w:bookmarkEnd w:id="146"/>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7" w:name="_Toc1181"/>
      <w:bookmarkStart w:id="148" w:name="_Toc16174"/>
      <w:bookmarkStart w:id="149" w:name="_Toc13413"/>
      <w:bookmarkStart w:id="150" w:name="_Toc2694"/>
      <w:bookmarkStart w:id="151" w:name="_Toc27428"/>
      <w:bookmarkStart w:id="152" w:name="_Toc17881"/>
      <w:bookmarkStart w:id="153" w:name="_Toc9618"/>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7"/>
      <w:bookmarkEnd w:id="148"/>
      <w:bookmarkEnd w:id="149"/>
      <w:bookmarkEnd w:id="150"/>
      <w:bookmarkEnd w:id="151"/>
      <w:bookmarkEnd w:id="152"/>
      <w:bookmarkEnd w:id="153"/>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4" w:name="_Toc18397"/>
      <w:bookmarkStart w:id="155" w:name="_Toc4730"/>
      <w:bookmarkStart w:id="156" w:name="_Toc5818"/>
      <w:bookmarkStart w:id="157" w:name="_Toc14327"/>
      <w:bookmarkStart w:id="158" w:name="_Toc26662"/>
      <w:bookmarkStart w:id="159" w:name="_Toc24102"/>
      <w:bookmarkStart w:id="160" w:name="_Toc25424"/>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4"/>
      <w:bookmarkEnd w:id="155"/>
      <w:bookmarkEnd w:id="156"/>
      <w:bookmarkEnd w:id="157"/>
      <w:bookmarkEnd w:id="158"/>
      <w:bookmarkEnd w:id="159"/>
      <w:bookmarkEnd w:id="160"/>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61" w:name="_Toc6629"/>
      <w:bookmarkStart w:id="162" w:name="_Toc24329"/>
      <w:bookmarkStart w:id="163" w:name="_Toc16612"/>
      <w:bookmarkStart w:id="164" w:name="_Toc19314"/>
      <w:bookmarkStart w:id="165" w:name="_Toc13197"/>
      <w:bookmarkStart w:id="166" w:name="_Toc2540"/>
      <w:bookmarkStart w:id="167" w:name="_Toc29177"/>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61"/>
      <w:bookmarkEnd w:id="162"/>
      <w:bookmarkEnd w:id="163"/>
      <w:bookmarkEnd w:id="164"/>
      <w:bookmarkEnd w:id="165"/>
      <w:bookmarkEnd w:id="166"/>
      <w:bookmarkEnd w:id="167"/>
    </w:p>
    <w:p w14:paraId="04C55AB1">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6"/>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68" w:name="_Toc29467"/>
      <w:bookmarkStart w:id="169" w:name="_Toc25306"/>
      <w:bookmarkStart w:id="170" w:name="_Toc2784"/>
      <w:bookmarkStart w:id="171" w:name="_Toc15923"/>
      <w:bookmarkStart w:id="172" w:name="_Toc17537"/>
      <w:bookmarkStart w:id="173" w:name="_Toc28837"/>
      <w:bookmarkStart w:id="174" w:name="_Toc15431"/>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68"/>
      <w:bookmarkEnd w:id="169"/>
      <w:bookmarkEnd w:id="170"/>
      <w:bookmarkEnd w:id="171"/>
      <w:bookmarkEnd w:id="172"/>
      <w:bookmarkEnd w:id="173"/>
      <w:bookmarkEnd w:id="174"/>
    </w:p>
    <w:p w14:paraId="418B847A">
      <w:pPr>
        <w:pStyle w:val="84"/>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4"/>
        <w:wordWrap w:val="0"/>
        <w:adjustRightInd w:val="0"/>
        <w:snapToGrid w:val="0"/>
        <w:spacing w:line="440" w:lineRule="exact"/>
        <w:ind w:firstLine="560"/>
        <w:rPr>
          <w:rFonts w:hAnsi="宋体" w:cs="宋体"/>
          <w:b/>
          <w:bCs/>
          <w:snapToGrid w:val="0"/>
          <w:color w:val="auto"/>
          <w:kern w:val="0"/>
          <w:highlight w:val="none"/>
        </w:rPr>
      </w:pPr>
    </w:p>
    <w:p w14:paraId="6E146C71">
      <w:pPr>
        <w:pStyle w:val="84"/>
        <w:wordWrap w:val="0"/>
        <w:adjustRightInd w:val="0"/>
        <w:snapToGrid w:val="0"/>
        <w:spacing w:line="440" w:lineRule="exact"/>
        <w:ind w:firstLine="560"/>
        <w:rPr>
          <w:rFonts w:hAnsi="宋体" w:cs="宋体"/>
          <w:b/>
          <w:bCs/>
          <w:snapToGrid w:val="0"/>
          <w:color w:val="auto"/>
          <w:kern w:val="0"/>
          <w:highlight w:val="none"/>
        </w:rPr>
      </w:pPr>
    </w:p>
    <w:p w14:paraId="40581986">
      <w:pPr>
        <w:pStyle w:val="84"/>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B26AC6B">
      <w:pPr>
        <w:pStyle w:val="3"/>
        <w:wordWrap w:val="0"/>
        <w:autoSpaceDE/>
        <w:autoSpaceDN/>
        <w:snapToGrid w:val="0"/>
        <w:spacing w:line="500" w:lineRule="exact"/>
        <w:jc w:val="center"/>
        <w:outlineLvl w:val="0"/>
        <w:rPr>
          <w:rFonts w:hAnsi="宋体" w:cs="宋体"/>
          <w:b/>
          <w:snapToGrid w:val="0"/>
          <w:color w:val="auto"/>
          <w:sz w:val="32"/>
          <w:szCs w:val="32"/>
          <w:highlight w:val="none"/>
        </w:rPr>
      </w:pPr>
      <w:bookmarkStart w:id="175" w:name="_Toc29099"/>
      <w:bookmarkStart w:id="176" w:name="_Toc16840"/>
      <w:bookmarkStart w:id="177" w:name="_Hlt69698765"/>
      <w:bookmarkStart w:id="178" w:name="_Hlt69698713"/>
      <w:bookmarkStart w:id="179" w:name="_Hlt69698776"/>
      <w:r>
        <w:rPr>
          <w:rFonts w:hint="eastAsia" w:hAnsi="宋体" w:cs="宋体"/>
          <w:b/>
          <w:snapToGrid w:val="0"/>
          <w:color w:val="auto"/>
          <w:sz w:val="32"/>
          <w:szCs w:val="32"/>
          <w:highlight w:val="none"/>
        </w:rPr>
        <w:t>第三章</w:t>
      </w:r>
      <w:bookmarkStart w:id="180" w:name="_Hlt87793831"/>
      <w:bookmarkEnd w:id="180"/>
      <w:r>
        <w:rPr>
          <w:rFonts w:hint="eastAsia" w:hAnsi="宋体" w:cs="宋体"/>
          <w:b/>
          <w:snapToGrid w:val="0"/>
          <w:color w:val="auto"/>
          <w:sz w:val="32"/>
          <w:szCs w:val="32"/>
          <w:highlight w:val="none"/>
        </w:rPr>
        <w:t xml:space="preserve"> 拟签订合同的主要条款</w:t>
      </w:r>
      <w:bookmarkEnd w:id="175"/>
      <w:bookmarkEnd w:id="176"/>
    </w:p>
    <w:bookmarkEnd w:id="177"/>
    <w:bookmarkEnd w:id="178"/>
    <w:p w14:paraId="6A4F7FF4">
      <w:pPr>
        <w:bidi w:val="0"/>
        <w:rPr>
          <w:color w:val="auto"/>
          <w:highlight w:val="none"/>
        </w:rPr>
      </w:pPr>
      <w:bookmarkStart w:id="181" w:name="_Toc322793288"/>
      <w:bookmarkStart w:id="182" w:name="_Toc326916629"/>
    </w:p>
    <w:bookmarkEnd w:id="181"/>
    <w:bookmarkEnd w:id="182"/>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3" w:name="_Toc3741"/>
      <w:bookmarkStart w:id="184" w:name="_Toc1947"/>
      <w:bookmarkStart w:id="185" w:name="_Toc4588"/>
      <w:bookmarkStart w:id="186" w:name="_Toc11616"/>
      <w:bookmarkStart w:id="187" w:name="_Toc6392"/>
      <w:bookmarkStart w:id="188" w:name="_Toc9210"/>
      <w:bookmarkStart w:id="189" w:name="_Toc12203"/>
      <w:r>
        <w:rPr>
          <w:rFonts w:hint="eastAsia" w:hAnsi="宋体" w:cs="宋体"/>
          <w:b/>
          <w:bCs/>
          <w:snapToGrid w:val="0"/>
          <w:color w:val="auto"/>
          <w:kern w:val="0"/>
          <w:szCs w:val="24"/>
          <w:highlight w:val="none"/>
        </w:rPr>
        <w:t>1．现场办公条件</w:t>
      </w:r>
      <w:bookmarkEnd w:id="183"/>
      <w:bookmarkEnd w:id="184"/>
      <w:bookmarkEnd w:id="185"/>
      <w:bookmarkEnd w:id="186"/>
      <w:bookmarkEnd w:id="187"/>
      <w:bookmarkEnd w:id="188"/>
      <w:bookmarkEnd w:id="189"/>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90" w:name="_Toc14419"/>
      <w:bookmarkStart w:id="191" w:name="_Toc8261"/>
      <w:bookmarkStart w:id="192" w:name="_Toc6311"/>
      <w:bookmarkStart w:id="193" w:name="_Toc29914"/>
      <w:bookmarkStart w:id="194" w:name="_Toc15844"/>
      <w:bookmarkStart w:id="195" w:name="_Toc1375"/>
      <w:bookmarkStart w:id="196" w:name="_Toc6193"/>
      <w:r>
        <w:rPr>
          <w:rFonts w:hint="eastAsia" w:hAnsi="宋体" w:cs="宋体"/>
          <w:b/>
          <w:bCs/>
          <w:snapToGrid w:val="0"/>
          <w:color w:val="auto"/>
          <w:kern w:val="0"/>
          <w:szCs w:val="24"/>
          <w:highlight w:val="none"/>
        </w:rPr>
        <w:t>2．</w:t>
      </w:r>
      <w:bookmarkEnd w:id="190"/>
      <w:bookmarkEnd w:id="191"/>
      <w:bookmarkEnd w:id="192"/>
      <w:bookmarkEnd w:id="193"/>
      <w:bookmarkEnd w:id="194"/>
      <w:r>
        <w:rPr>
          <w:rFonts w:hint="eastAsia" w:hAnsi="宋体" w:cs="宋体"/>
          <w:b/>
          <w:bCs/>
          <w:snapToGrid w:val="0"/>
          <w:color w:val="auto"/>
          <w:kern w:val="0"/>
          <w:szCs w:val="24"/>
          <w:highlight w:val="none"/>
        </w:rPr>
        <w:t>监理服务费</w:t>
      </w:r>
      <w:bookmarkEnd w:id="195"/>
      <w:bookmarkEnd w:id="196"/>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7" w:name="_Toc18979"/>
      <w:bookmarkStart w:id="198" w:name="_Toc31657"/>
      <w:bookmarkStart w:id="199" w:name="_Toc17740"/>
      <w:bookmarkStart w:id="200" w:name="_Toc31653"/>
      <w:bookmarkStart w:id="201" w:name="_Toc6502"/>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w:t>
      </w:r>
      <w:r>
        <w:rPr>
          <w:rFonts w:hint="eastAsia" w:hAnsi="宋体" w:cs="宋体"/>
          <w:snapToGrid w:val="0"/>
          <w:color w:val="auto"/>
          <w:kern w:val="0"/>
          <w:szCs w:val="24"/>
          <w:highlight w:val="none"/>
          <w:lang w:val="en-US" w:eastAsia="zh-CN"/>
        </w:rPr>
        <w:t>预</w:t>
      </w:r>
      <w:r>
        <w:rPr>
          <w:rFonts w:hint="eastAsia" w:ascii="宋体" w:hAnsi="宋体" w:eastAsia="宋体" w:cs="宋体"/>
          <w:snapToGrid w:val="0"/>
          <w:color w:val="auto"/>
          <w:kern w:val="0"/>
          <w:szCs w:val="24"/>
          <w:highlight w:val="none"/>
        </w:rPr>
        <w:t>算价为基数乘以监理人中标取费费率计算，若监理服务费结算总价超过签约合同价，则按签约合同价包干结算；若监理服务费结算总价未超过签约合同价，则按以施工</w:t>
      </w:r>
      <w:r>
        <w:rPr>
          <w:rFonts w:hint="eastAsia" w:hAnsi="宋体" w:cs="宋体"/>
          <w:snapToGrid w:val="0"/>
          <w:color w:val="auto"/>
          <w:kern w:val="0"/>
          <w:szCs w:val="24"/>
          <w:highlight w:val="none"/>
          <w:lang w:val="en-US" w:eastAsia="zh-CN"/>
        </w:rPr>
        <w:t>预</w:t>
      </w:r>
      <w:r>
        <w:rPr>
          <w:rFonts w:hint="eastAsia" w:ascii="宋体" w:hAnsi="宋体" w:eastAsia="宋体" w:cs="宋体"/>
          <w:snapToGrid w:val="0"/>
          <w:color w:val="auto"/>
          <w:kern w:val="0"/>
          <w:szCs w:val="24"/>
          <w:highlight w:val="none"/>
        </w:rPr>
        <w:t>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（1）本项目支付监理服务费预付款，预付款支付比例为：合同价的30%；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（2）本项目根据施工阶段按施工进度分期支付监理服务费，具体分期支付方式如下：</w:t>
      </w:r>
    </w:p>
    <w:tbl>
      <w:tblPr>
        <w:tblStyle w:val="31"/>
        <w:tblW w:w="9101"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455"/>
        <w:gridCol w:w="3780"/>
      </w:tblGrid>
      <w:tr w14:paraId="29E4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6" w:type="dxa"/>
            <w:noWrap w:val="0"/>
            <w:vAlign w:val="center"/>
          </w:tcPr>
          <w:p w14:paraId="02EF632E">
            <w:pPr>
              <w:wordWrap w:val="0"/>
              <w:adjustRightInd w:val="0"/>
              <w:snapToGrid w:val="0"/>
              <w:spacing w:line="400" w:lineRule="exact"/>
              <w:jc w:val="center"/>
              <w:rPr>
                <w:rFonts w:hint="eastAsia" w:ascii="黑体" w:hAnsi="黑体" w:eastAsia="黑体"/>
                <w:snapToGrid w:val="0"/>
                <w:color w:val="auto"/>
                <w:kern w:val="0"/>
                <w:highlight w:val="none"/>
                <w:lang w:eastAsia="zh-CN"/>
              </w:rPr>
            </w:pPr>
            <w:r>
              <w:rPr>
                <w:rFonts w:hint="eastAsia" w:ascii="黑体" w:hAnsi="黑体" w:eastAsia="黑体"/>
                <w:snapToGrid w:val="0"/>
                <w:color w:val="auto"/>
                <w:kern w:val="0"/>
                <w:highlight w:val="none"/>
                <w:lang w:val="en-US" w:eastAsia="zh-CN"/>
              </w:rPr>
              <w:t>序号</w:t>
            </w:r>
          </w:p>
        </w:tc>
        <w:tc>
          <w:tcPr>
            <w:tcW w:w="4455" w:type="dxa"/>
            <w:noWrap w:val="0"/>
            <w:vAlign w:val="center"/>
          </w:tcPr>
          <w:p w14:paraId="1A8903F7">
            <w:pPr>
              <w:wordWrap w:val="0"/>
              <w:adjustRightInd w:val="0"/>
              <w:snapToGrid w:val="0"/>
              <w:spacing w:line="400" w:lineRule="exact"/>
              <w:jc w:val="center"/>
              <w:rPr>
                <w:rFonts w:hint="eastAsia" w:ascii="黑体" w:hAnsi="黑体" w:eastAsia="黑体"/>
                <w:snapToGrid w:val="0"/>
                <w:color w:val="auto"/>
                <w:kern w:val="0"/>
                <w:highlight w:val="none"/>
                <w:lang w:val="en-US" w:eastAsia="zh-CN"/>
              </w:rPr>
            </w:pPr>
            <w:r>
              <w:rPr>
                <w:rFonts w:hint="eastAsia" w:ascii="黑体" w:hAnsi="黑体" w:eastAsia="黑体"/>
                <w:snapToGrid w:val="0"/>
                <w:color w:val="auto"/>
                <w:kern w:val="0"/>
                <w:highlight w:val="none"/>
              </w:rPr>
              <w:t>支付时间</w:t>
            </w:r>
            <w:r>
              <w:rPr>
                <w:rFonts w:hint="eastAsia" w:ascii="黑体" w:hAnsi="黑体" w:eastAsia="黑体"/>
                <w:snapToGrid w:val="0"/>
                <w:color w:val="auto"/>
                <w:kern w:val="0"/>
                <w:highlight w:val="none"/>
                <w:lang w:val="en-US" w:eastAsia="zh-CN"/>
              </w:rPr>
              <w:t>及</w:t>
            </w:r>
            <w:r>
              <w:rPr>
                <w:rFonts w:hint="eastAsia" w:ascii="黑体" w:hAnsi="黑体" w:eastAsia="黑体"/>
                <w:snapToGrid w:val="0"/>
                <w:color w:val="auto"/>
                <w:kern w:val="0"/>
                <w:highlight w:val="none"/>
              </w:rPr>
              <w:t>支付比例</w:t>
            </w:r>
          </w:p>
        </w:tc>
        <w:tc>
          <w:tcPr>
            <w:tcW w:w="3780" w:type="dxa"/>
            <w:noWrap w:val="0"/>
            <w:vAlign w:val="center"/>
          </w:tcPr>
          <w:p w14:paraId="5FB2DFAD">
            <w:pPr>
              <w:wordWrap w:val="0"/>
              <w:adjustRightInd w:val="0"/>
              <w:snapToGrid w:val="0"/>
              <w:spacing w:line="400" w:lineRule="exact"/>
              <w:jc w:val="center"/>
              <w:rPr>
                <w:rFonts w:hint="eastAsia" w:ascii="黑体" w:hAnsi="黑体" w:eastAsia="黑体"/>
                <w:snapToGrid w:val="0"/>
                <w:color w:val="auto"/>
                <w:kern w:val="0"/>
                <w:highlight w:val="none"/>
              </w:rPr>
            </w:pPr>
          </w:p>
        </w:tc>
      </w:tr>
      <w:tr w14:paraId="0159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866" w:type="dxa"/>
            <w:noWrap w:val="0"/>
            <w:vAlign w:val="center"/>
          </w:tcPr>
          <w:p w14:paraId="71BAC85A">
            <w:pPr>
              <w:wordWrap w:val="0"/>
              <w:adjustRightInd w:val="0"/>
              <w:snapToGrid w:val="0"/>
              <w:spacing w:line="400" w:lineRule="exact"/>
              <w:jc w:val="center"/>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val="en-US" w:eastAsia="zh-CN"/>
              </w:rPr>
              <w:t>1</w:t>
            </w:r>
          </w:p>
        </w:tc>
        <w:tc>
          <w:tcPr>
            <w:tcW w:w="4455" w:type="dxa"/>
            <w:noWrap w:val="0"/>
            <w:vAlign w:val="center"/>
          </w:tcPr>
          <w:p w14:paraId="45CDE68B">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依据</w:t>
            </w: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比例按月或季度支付。</w:t>
            </w:r>
          </w:p>
        </w:tc>
        <w:tc>
          <w:tcPr>
            <w:tcW w:w="3780" w:type="dxa"/>
            <w:noWrap w:val="0"/>
            <w:vAlign w:val="center"/>
          </w:tcPr>
          <w:p w14:paraId="1F5CBCD3">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合同价总价80%（含预付款）</w:t>
            </w:r>
          </w:p>
        </w:tc>
      </w:tr>
      <w:tr w14:paraId="66FB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866" w:type="dxa"/>
            <w:noWrap w:val="0"/>
            <w:vAlign w:val="center"/>
          </w:tcPr>
          <w:p w14:paraId="40BAE9EE">
            <w:pPr>
              <w:wordWrap w:val="0"/>
              <w:adjustRightInd w:val="0"/>
              <w:snapToGrid w:val="0"/>
              <w:spacing w:line="400" w:lineRule="exact"/>
              <w:jc w:val="center"/>
              <w:rPr>
                <w:rFonts w:hint="eastAsia" w:ascii="Times New Roman" w:eastAsia="宋体"/>
                <w:snapToGrid w:val="0"/>
                <w:color w:val="auto"/>
                <w:kern w:val="0"/>
                <w:highlight w:val="none"/>
                <w:lang w:eastAsia="zh-CN"/>
              </w:rPr>
            </w:pPr>
            <w:r>
              <w:rPr>
                <w:rFonts w:hint="eastAsia" w:ascii="Times New Roman"/>
                <w:snapToGrid w:val="0"/>
                <w:color w:val="auto"/>
                <w:kern w:val="0"/>
                <w:highlight w:val="none"/>
                <w:lang w:val="en-US" w:eastAsia="zh-CN"/>
              </w:rPr>
              <w:t>2</w:t>
            </w:r>
          </w:p>
        </w:tc>
        <w:tc>
          <w:tcPr>
            <w:tcW w:w="4455" w:type="dxa"/>
            <w:noWrap w:val="0"/>
            <w:vAlign w:val="center"/>
          </w:tcPr>
          <w:p w14:paraId="6E8C3F2F">
            <w:pPr>
              <w:wordWrap w:val="0"/>
              <w:adjustRightInd w:val="0"/>
              <w:snapToGrid w:val="0"/>
              <w:spacing w:line="400" w:lineRule="exact"/>
              <w:jc w:val="left"/>
              <w:rPr>
                <w:rFonts w:hint="eastAsia" w:ascii="Times New Roman"/>
                <w:snapToGrid w:val="0"/>
                <w:color w:val="auto"/>
                <w:kern w:val="0"/>
                <w:sz w:val="24"/>
                <w:highlight w:val="none"/>
                <w:lang w:val="en-US" w:eastAsia="zh-CN" w:bidi="ar-SA"/>
              </w:rPr>
            </w:pPr>
            <w:r>
              <w:rPr>
                <w:rFonts w:hint="eastAsia" w:ascii="Times New Roman"/>
                <w:snapToGrid w:val="0"/>
                <w:color w:val="auto"/>
                <w:kern w:val="0"/>
                <w:highlight w:val="none"/>
              </w:rPr>
              <w:t>工程施工进度</w:t>
            </w:r>
            <w:r>
              <w:rPr>
                <w:rFonts w:hint="eastAsia" w:ascii="Times New Roman"/>
                <w:snapToGrid w:val="0"/>
                <w:color w:val="auto"/>
                <w:kern w:val="0"/>
                <w:highlight w:val="none"/>
                <w:lang w:val="en-US" w:eastAsia="zh-CN"/>
              </w:rPr>
              <w:t>达到100</w:t>
            </w:r>
            <w:r>
              <w:rPr>
                <w:rFonts w:hint="eastAsia" w:ascii="Times New Roman"/>
                <w:snapToGrid w:val="0"/>
                <w:color w:val="auto"/>
                <w:kern w:val="0"/>
                <w:highlight w:val="none"/>
              </w:rPr>
              <w:t>%</w:t>
            </w:r>
            <w:r>
              <w:rPr>
                <w:rFonts w:hint="eastAsia" w:ascii="Times New Roman"/>
                <w:snapToGrid w:val="0"/>
                <w:color w:val="auto"/>
                <w:kern w:val="0"/>
                <w:highlight w:val="none"/>
                <w:lang w:eastAsia="zh-CN"/>
              </w:rPr>
              <w:t>，</w:t>
            </w:r>
            <w:r>
              <w:rPr>
                <w:rFonts w:hint="eastAsia" w:ascii="Times New Roman"/>
                <w:snapToGrid w:val="0"/>
                <w:color w:val="auto"/>
                <w:kern w:val="0"/>
                <w:highlight w:val="none"/>
                <w:lang w:val="en-US" w:eastAsia="zh-CN"/>
              </w:rPr>
              <w:t>工程完工或竣工</w:t>
            </w:r>
            <w:r>
              <w:rPr>
                <w:rFonts w:hint="eastAsia" w:ascii="Times New Roman"/>
                <w:snapToGrid w:val="0"/>
                <w:color w:val="auto"/>
                <w:kern w:val="0"/>
                <w:highlight w:val="none"/>
              </w:rPr>
              <w:t>验收</w:t>
            </w:r>
            <w:r>
              <w:rPr>
                <w:rFonts w:hint="eastAsia" w:ascii="Times New Roman"/>
                <w:snapToGrid w:val="0"/>
                <w:color w:val="auto"/>
                <w:kern w:val="0"/>
                <w:highlight w:val="none"/>
                <w:lang w:val="en-US" w:eastAsia="zh-CN"/>
              </w:rPr>
              <w:t>合规。</w:t>
            </w:r>
          </w:p>
        </w:tc>
        <w:tc>
          <w:tcPr>
            <w:tcW w:w="3780" w:type="dxa"/>
            <w:noWrap w:val="0"/>
            <w:vAlign w:val="center"/>
          </w:tcPr>
          <w:p w14:paraId="498DA7D7">
            <w:pPr>
              <w:wordWrap w:val="0"/>
              <w:adjustRightInd w:val="0"/>
              <w:snapToGrid w:val="0"/>
              <w:spacing w:line="400" w:lineRule="exact"/>
              <w:jc w:val="left"/>
              <w:rPr>
                <w:rFonts w:hint="default" w:ascii="Times New Roman" w:eastAsia="宋体"/>
                <w:snapToGrid w:val="0"/>
                <w:color w:val="auto"/>
                <w:kern w:val="0"/>
                <w:highlight w:val="none"/>
                <w:lang w:val="en-US" w:eastAsia="zh-CN"/>
              </w:rPr>
            </w:pPr>
            <w:r>
              <w:rPr>
                <w:rFonts w:hint="eastAsia" w:ascii="Times New Roman"/>
                <w:snapToGrid w:val="0"/>
                <w:color w:val="auto"/>
                <w:kern w:val="0"/>
                <w:highlight w:val="none"/>
                <w:lang w:val="en-US" w:eastAsia="zh-CN"/>
              </w:rPr>
              <w:t>合同价20%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bookmarkStart w:id="202" w:name="_Toc12074"/>
      <w:bookmarkStart w:id="203" w:name="_Toc31344"/>
      <w:r>
        <w:rPr>
          <w:rFonts w:hint="eastAsia" w:ascii="宋体" w:hAnsi="宋体" w:eastAsia="宋体" w:cs="宋体"/>
          <w:b/>
          <w:bCs/>
          <w:snapToGrid w:val="0"/>
          <w:color w:val="auto"/>
          <w:kern w:val="0"/>
          <w:szCs w:val="24"/>
          <w:highlight w:val="none"/>
        </w:rPr>
        <w:t>3．监理服务费发票</w:t>
      </w:r>
      <w:bookmarkEnd w:id="197"/>
      <w:bookmarkEnd w:id="198"/>
      <w:bookmarkEnd w:id="199"/>
      <w:bookmarkEnd w:id="200"/>
      <w:bookmarkEnd w:id="201"/>
      <w:bookmarkEnd w:id="202"/>
      <w:bookmarkEnd w:id="203"/>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4" w:name="_Toc31725"/>
      <w:bookmarkStart w:id="205" w:name="_Toc32105"/>
      <w:bookmarkStart w:id="206" w:name="_Toc7557"/>
      <w:bookmarkStart w:id="207" w:name="_Toc25406"/>
      <w:bookmarkStart w:id="208" w:name="_Toc30294"/>
      <w:bookmarkStart w:id="209" w:name="_Toc22603"/>
      <w:bookmarkStart w:id="210" w:name="_Toc2147"/>
      <w:r>
        <w:rPr>
          <w:rFonts w:hint="eastAsia" w:hAnsi="宋体" w:cs="宋体"/>
          <w:b/>
          <w:bCs/>
          <w:snapToGrid w:val="0"/>
          <w:color w:val="auto"/>
          <w:kern w:val="0"/>
          <w:szCs w:val="24"/>
          <w:highlight w:val="none"/>
        </w:rPr>
        <w:t>4．违约责任</w:t>
      </w:r>
      <w:bookmarkEnd w:id="204"/>
      <w:bookmarkEnd w:id="205"/>
      <w:bookmarkEnd w:id="206"/>
      <w:bookmarkEnd w:id="207"/>
      <w:bookmarkEnd w:id="208"/>
      <w:bookmarkEnd w:id="209"/>
      <w:bookmarkEnd w:id="210"/>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10%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26D6847F">
      <w:pPr>
        <w:wordWrap w:val="0"/>
        <w:adjustRightInd w:val="0"/>
        <w:snapToGrid w:val="0"/>
        <w:spacing w:line="440" w:lineRule="exact"/>
        <w:ind w:firstLine="560"/>
        <w:rPr>
          <w:rFonts w:hint="eastAsia"/>
          <w:color w:val="auto"/>
          <w:highlight w:val="none"/>
          <w:lang w:val="en-US" w:eastAsia="zh-CN"/>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color w:val="auto"/>
          <w:highlight w:val="none"/>
          <w:lang w:val="en-US" w:eastAsia="zh-CN"/>
        </w:rPr>
        <w:t>4.16项目总监理工程师或项目总监理工程师代表每月驻现场不少于28 天，未经招标人书面同意，每少1天，视为监理人发生监理不良行为一次，承担般违约责任一次，监理人向委托人交纳违约金 2000 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1" w:name="_Toc26193"/>
      <w:bookmarkStart w:id="212" w:name="_Toc4121"/>
      <w:bookmarkStart w:id="213" w:name="_Toc17944"/>
      <w:bookmarkStart w:id="214" w:name="_Toc27702"/>
      <w:bookmarkStart w:id="215" w:name="_Toc29596"/>
      <w:bookmarkStart w:id="216" w:name="_Toc8777"/>
      <w:bookmarkStart w:id="217" w:name="_Toc8823"/>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11"/>
      <w:bookmarkEnd w:id="212"/>
      <w:bookmarkEnd w:id="213"/>
      <w:bookmarkEnd w:id="214"/>
      <w:bookmarkEnd w:id="215"/>
      <w:bookmarkEnd w:id="216"/>
      <w:bookmarkEnd w:id="217"/>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18" w:name="_Toc13619"/>
      <w:bookmarkStart w:id="219" w:name="_Toc26599"/>
      <w:bookmarkStart w:id="220" w:name="_Toc624"/>
      <w:bookmarkStart w:id="221" w:name="_Toc9024"/>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18"/>
      <w:bookmarkEnd w:id="219"/>
      <w:bookmarkEnd w:id="220"/>
      <w:bookmarkEnd w:id="221"/>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2" w:name="_Toc3949"/>
      <w:bookmarkStart w:id="223" w:name="_Toc22466"/>
      <w:bookmarkStart w:id="224" w:name="_Toc7275"/>
      <w:bookmarkStart w:id="225" w:name="_Toc10949"/>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2"/>
      <w:bookmarkEnd w:id="223"/>
      <w:bookmarkEnd w:id="224"/>
      <w:bookmarkEnd w:id="225"/>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6" w:name="_Toc25652"/>
      <w:bookmarkStart w:id="227" w:name="_Toc17883"/>
      <w:bookmarkStart w:id="228" w:name="_Toc6801"/>
      <w:bookmarkStart w:id="229" w:name="_Toc10664"/>
      <w:r>
        <w:rPr>
          <w:rFonts w:hint="eastAsia" w:hAnsi="宋体" w:cs="宋体"/>
          <w:b/>
          <w:bCs/>
          <w:snapToGrid w:val="0"/>
          <w:color w:val="auto"/>
          <w:kern w:val="0"/>
          <w:szCs w:val="24"/>
          <w:highlight w:val="none"/>
        </w:rPr>
        <w:t xml:space="preserve">5.3 </w:t>
      </w:r>
      <w:bookmarkEnd w:id="226"/>
      <w:bookmarkEnd w:id="227"/>
      <w:bookmarkEnd w:id="228"/>
      <w:bookmarkEnd w:id="229"/>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0" w:name="_Toc12317"/>
      <w:bookmarkStart w:id="231" w:name="_Toc5107"/>
      <w:bookmarkStart w:id="232" w:name="_Toc11091"/>
      <w:bookmarkStart w:id="233" w:name="_Toc8398"/>
      <w:bookmarkStart w:id="234" w:name="_Toc878"/>
      <w:bookmarkStart w:id="235" w:name="_Toc16162"/>
      <w:bookmarkStart w:id="236" w:name="_Toc6555"/>
      <w:r>
        <w:rPr>
          <w:rFonts w:hint="eastAsia" w:hAnsi="宋体" w:cs="宋体"/>
          <w:b/>
          <w:bCs/>
          <w:snapToGrid w:val="0"/>
          <w:color w:val="auto"/>
          <w:kern w:val="0"/>
          <w:szCs w:val="24"/>
          <w:highlight w:val="none"/>
        </w:rPr>
        <w:t>6．</w:t>
      </w:r>
      <w:bookmarkEnd w:id="230"/>
      <w:bookmarkEnd w:id="231"/>
      <w:bookmarkEnd w:id="232"/>
      <w:bookmarkEnd w:id="233"/>
      <w:bookmarkEnd w:id="234"/>
      <w:r>
        <w:rPr>
          <w:rFonts w:hint="eastAsia" w:ascii="Times New Roman"/>
          <w:b/>
          <w:snapToGrid w:val="0"/>
          <w:color w:val="auto"/>
          <w:szCs w:val="22"/>
          <w:highlight w:val="none"/>
        </w:rPr>
        <w:t>监理人违约及违约责任</w:t>
      </w:r>
      <w:bookmarkEnd w:id="235"/>
      <w:bookmarkEnd w:id="236"/>
    </w:p>
    <w:p w14:paraId="2FAB8060">
      <w:pPr>
        <w:pStyle w:val="134"/>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7"/>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7"/>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7"/>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监理人发生监理不良行为一次，承担一般违约责任一次，监理人向委托人交纳违约金1000元。</w:t>
      </w:r>
    </w:p>
    <w:p w14:paraId="7FDC0DE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总监每月驻现场不少于10天，未经招标人书面同意，每少1天，视为监理人发生监理不良行为一次，承担一般违约责任一次，监理人向委托人交纳违约金1000元。</w:t>
      </w:r>
    </w:p>
    <w:p w14:paraId="3509ED2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7"/>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其他监理人员必须按配备要求在现场驻场监理，离开项目现场必须经委托人书面同意，如委托人发现监理人员非正常离岗，监理人向委托人每人次交纳违约金1000元。</w:t>
      </w:r>
    </w:p>
    <w:p w14:paraId="40A07E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不按规定委派专业人员，不按时、准时参加各项验收和抽查的，不及时签署检查、验收记录的，一次向建设（委托）单位交纳违约金¥1000元/次、项。</w:t>
      </w:r>
    </w:p>
    <w:p w14:paraId="00A919FE">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5000</w:t>
      </w:r>
      <w:r>
        <w:rPr>
          <w:rFonts w:hint="eastAsia" w:hAnsi="宋体"/>
          <w:color w:val="auto"/>
          <w:sz w:val="24"/>
          <w:highlight w:val="none"/>
        </w:rPr>
        <w:t>元；</w:t>
      </w:r>
    </w:p>
    <w:p w14:paraId="7F533DF8">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同一问题未能按时整改，每重复一次监理人向委托人缴纳违约金1000元。</w:t>
      </w:r>
    </w:p>
    <w:p w14:paraId="1B0FB72B">
      <w:pPr>
        <w:pStyle w:val="67"/>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7"/>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5</w:t>
      </w:r>
      <w:r>
        <w:rPr>
          <w:rFonts w:hint="eastAsia" w:hAnsi="宋体"/>
          <w:color w:val="auto"/>
          <w:sz w:val="24"/>
          <w:highlight w:val="none"/>
        </w:rPr>
        <w:t>000元。</w:t>
      </w:r>
    </w:p>
    <w:p w14:paraId="0E4E3FC4">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1）根据损失额（或工程变更引起增加额）与本工程签订的施工合同金额的比例，按相应比例双倍扣减监理酬金；若增加工程投资比例超过施工合同金额的20%时，委托人有权单方解除合同，并要求监理人赔偿委托人由此遭受的实际损失中的50%，累计不超过监理服务费的70%。</w:t>
      </w:r>
    </w:p>
    <w:p w14:paraId="15E547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7"/>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监理人发生监理渎职违约一次，承担非常严重违约责任一次，扣除监理人违约金5000元。</w:t>
      </w:r>
    </w:p>
    <w:p w14:paraId="6BA85A70">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¥10000元。如监理人违背了以下7款的任何情况，视为非常严重的违约，直接解除合同，不做费用补偿，且对已完成的监理服务，不再支付监理费用，并通报建设行政主管部门：</w:t>
      </w:r>
    </w:p>
    <w:p w14:paraId="677CAEB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7"/>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7"/>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质量控制不达标：工程竣工验收质量未达到施工合同等级要求的，不管任何原因，结算扣减监理合同价款的3％。</w:t>
      </w:r>
    </w:p>
    <w:p w14:paraId="1EFA036F">
      <w:pPr>
        <w:pStyle w:val="67"/>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7"/>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7"/>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监理人应保证每季度进度计量（价）数据的准确性，如发生计量（价）误差＞5%，则视为监理人违约一次，扣除监理人违约金2000/次。</w:t>
      </w:r>
    </w:p>
    <w:p w14:paraId="7BE26912">
      <w:pPr>
        <w:pStyle w:val="67"/>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7"/>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7"/>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7" w:name="_Toc21519"/>
      <w:bookmarkStart w:id="238" w:name="_Toc15156"/>
      <w:bookmarkStart w:id="239" w:name="_Toc18555"/>
      <w:bookmarkStart w:id="240" w:name="_Toc22285"/>
      <w:r>
        <w:rPr>
          <w:rFonts w:hint="eastAsia" w:ascii="Times New Roman"/>
          <w:b/>
          <w:snapToGrid w:val="0"/>
          <w:color w:val="auto"/>
          <w:szCs w:val="22"/>
          <w:highlight w:val="none"/>
        </w:rPr>
        <w:t>7. 工程质量、造价、进度控制及安全生产管理</w:t>
      </w:r>
      <w:bookmarkEnd w:id="237"/>
      <w:bookmarkEnd w:id="238"/>
      <w:bookmarkEnd w:id="239"/>
      <w:bookmarkEnd w:id="240"/>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3FD6459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7.2.4项目监理单位应按上述要求和有关规定控制本项目的工程造价，若由于项目监理单位的过失造成工程造价提高，招标人按所提高造价额的50%从监理服务费中扣除，扣除累计不超过监理服务费的70%。</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314BF6E">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6DE556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93AF343">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BE3E45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4E128E4">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AB7BD9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296E77F">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83EBD19">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AE5DD62">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DA9969B">
      <w:pPr>
        <w:pStyle w:val="41"/>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79"/>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41" w:name="_Toc12650"/>
      <w:bookmarkStart w:id="242" w:name="_Toc11137"/>
      <w:bookmarkStart w:id="243" w:name="_Toc21669"/>
      <w:bookmarkStart w:id="244" w:name="_Hlt69698796"/>
      <w:r>
        <w:rPr>
          <w:rFonts w:hint="eastAsia" w:ascii="Times New Roman"/>
          <w:b/>
          <w:snapToGrid w:val="0"/>
          <w:color w:val="auto"/>
          <w:sz w:val="32"/>
          <w:szCs w:val="22"/>
          <w:highlight w:val="none"/>
        </w:rPr>
        <w:t>第四章</w:t>
      </w:r>
      <w:bookmarkStart w:id="245" w:name="_Hlt87793853"/>
      <w:bookmarkEnd w:id="245"/>
      <w:r>
        <w:rPr>
          <w:rFonts w:hint="eastAsia" w:ascii="Times New Roman"/>
          <w:b/>
          <w:snapToGrid w:val="0"/>
          <w:color w:val="auto"/>
          <w:sz w:val="32"/>
          <w:szCs w:val="22"/>
          <w:highlight w:val="none"/>
        </w:rPr>
        <w:t xml:space="preserve"> 技术要求</w:t>
      </w:r>
      <w:bookmarkEnd w:id="241"/>
      <w:bookmarkEnd w:id="242"/>
      <w:bookmarkEnd w:id="243"/>
    </w:p>
    <w:bookmarkEnd w:id="244"/>
    <w:p w14:paraId="69F644B1">
      <w:pPr>
        <w:wordWrap w:val="0"/>
        <w:adjustRightInd w:val="0"/>
        <w:snapToGrid w:val="0"/>
        <w:spacing w:line="440" w:lineRule="exact"/>
        <w:rPr>
          <w:rFonts w:hint="eastAsia" w:hAnsi="宋体" w:cs="宋体"/>
          <w:bCs/>
          <w:snapToGrid w:val="0"/>
          <w:color w:val="auto"/>
          <w:kern w:val="0"/>
          <w:highlight w:val="none"/>
        </w:rPr>
      </w:pPr>
      <w:bookmarkStart w:id="246" w:name="_Hlt87793346"/>
      <w:bookmarkEnd w:id="246"/>
      <w:bookmarkStart w:id="247" w:name="_Hlt69357851"/>
      <w:bookmarkEnd w:id="247"/>
      <w:bookmarkStart w:id="248" w:name="_Hlt68774758"/>
      <w:bookmarkEnd w:id="248"/>
      <w:bookmarkStart w:id="249" w:name="_Hlt69265216"/>
      <w:bookmarkEnd w:id="249"/>
      <w:bookmarkStart w:id="250" w:name="_Hlt69116854"/>
      <w:bookmarkEnd w:id="250"/>
      <w:bookmarkStart w:id="251" w:name="_Hlt66104926"/>
      <w:bookmarkEnd w:id="251"/>
      <w:bookmarkStart w:id="252" w:name="_Hlt69358207"/>
      <w:bookmarkEnd w:id="252"/>
      <w:bookmarkStart w:id="253" w:name="_Hlt80411122"/>
      <w:bookmarkEnd w:id="253"/>
      <w:bookmarkStart w:id="254" w:name="_Hlt87793370"/>
      <w:bookmarkEnd w:id="254"/>
      <w:bookmarkStart w:id="255" w:name="_Hlt75685840"/>
      <w:bookmarkEnd w:id="255"/>
      <w:bookmarkStart w:id="256" w:name="_Hlt69359335"/>
      <w:bookmarkEnd w:id="256"/>
      <w:bookmarkStart w:id="257" w:name="_Toc2392"/>
      <w:bookmarkStart w:id="258" w:name="_Toc7515"/>
    </w:p>
    <w:bookmarkEnd w:id="257"/>
    <w:bookmarkEnd w:id="258"/>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59" w:name="_Hlt69116863"/>
      <w:bookmarkEnd w:id="259"/>
      <w:bookmarkStart w:id="260" w:name="_Hlt69338190"/>
      <w:bookmarkEnd w:id="260"/>
      <w:bookmarkStart w:id="261" w:name="_Hlt66848640"/>
      <w:bookmarkEnd w:id="261"/>
      <w:bookmarkStart w:id="262" w:name="_Hlt69265207"/>
      <w:bookmarkEnd w:id="262"/>
      <w:bookmarkStart w:id="263" w:name="_Hlt69358336"/>
      <w:bookmarkEnd w:id="263"/>
      <w:bookmarkStart w:id="264" w:name="_Hlt69635247"/>
      <w:bookmarkEnd w:id="264"/>
      <w:bookmarkStart w:id="265" w:name="_Toc22126"/>
      <w:bookmarkStart w:id="266" w:name="_Toc29213"/>
      <w:bookmarkStart w:id="267" w:name="_Toc25992"/>
      <w:bookmarkStart w:id="268" w:name="_Toc29899"/>
      <w:bookmarkStart w:id="269" w:name="_Toc16011"/>
      <w:bookmarkStart w:id="270" w:name="_Hlt69698785"/>
      <w:r>
        <w:rPr>
          <w:rFonts w:hint="eastAsia" w:ascii="宋体" w:hAnsi="宋体" w:eastAsia="宋体" w:cs="宋体"/>
          <w:b/>
          <w:snapToGrid w:val="0"/>
          <w:color w:val="auto"/>
          <w:kern w:val="0"/>
          <w:highlight w:val="none"/>
        </w:rPr>
        <w:t>1．房屋建筑工程建设项目</w:t>
      </w:r>
      <w:bookmarkEnd w:id="265"/>
      <w:bookmarkEnd w:id="266"/>
      <w:bookmarkEnd w:id="267"/>
      <w:bookmarkEnd w:id="268"/>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1" w:name="_Hlt69635252"/>
      <w:bookmarkEnd w:id="271"/>
      <w:bookmarkStart w:id="272" w:name="_Hlt69358458"/>
      <w:bookmarkEnd w:id="272"/>
      <w:bookmarkStart w:id="273" w:name="_Hlt78709799"/>
      <w:bookmarkEnd w:id="273"/>
      <w:bookmarkStart w:id="274" w:name="_Hlt69116858"/>
      <w:bookmarkEnd w:id="274"/>
      <w:bookmarkStart w:id="275" w:name="_Hlt69359086"/>
      <w:bookmarkEnd w:id="275"/>
      <w:bookmarkStart w:id="276" w:name="_Hlt69359243"/>
      <w:bookmarkEnd w:id="276"/>
      <w:bookmarkStart w:id="277" w:name="_Hlt69359245"/>
      <w:bookmarkEnd w:id="277"/>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78" w:name="_Hlt78795211"/>
      <w:bookmarkEnd w:id="278"/>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79" w:name="_Toc3631"/>
      <w:bookmarkStart w:id="280" w:name="_Toc23789"/>
      <w:bookmarkStart w:id="281" w:name="_Toc16196"/>
      <w:bookmarkStart w:id="282" w:name="_Toc2706"/>
      <w:r>
        <w:rPr>
          <w:rFonts w:hint="eastAsia" w:ascii="宋体" w:hAnsi="宋体" w:eastAsia="宋体" w:cs="宋体"/>
          <w:b/>
          <w:snapToGrid w:val="0"/>
          <w:color w:val="auto"/>
          <w:kern w:val="0"/>
          <w:highlight w:val="none"/>
        </w:rPr>
        <w:t>2．市政基础设施工程建设项目</w:t>
      </w:r>
      <w:bookmarkEnd w:id="279"/>
      <w:bookmarkEnd w:id="280"/>
      <w:bookmarkEnd w:id="281"/>
      <w:bookmarkEnd w:id="282"/>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3" w:name="_Toc20464"/>
      <w:bookmarkStart w:id="284"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83"/>
      <w:bookmarkEnd w:id="284"/>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5" w:name="_Toc12769"/>
      <w:bookmarkStart w:id="286" w:name="_Toc882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5"/>
      <w:bookmarkEnd w:id="286"/>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7" w:name="_Toc17054"/>
      <w:bookmarkStart w:id="288" w:name="_Toc5338"/>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7"/>
      <w:bookmarkEnd w:id="288"/>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89" w:name="_Toc17302"/>
      <w:bookmarkStart w:id="290"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89"/>
      <w:bookmarkEnd w:id="290"/>
    </w:p>
    <w:p w14:paraId="0F08A875">
      <w:pPr>
        <w:pStyle w:val="155"/>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91" w:name="_Toc5246"/>
      <w:bookmarkStart w:id="292" w:name="_Toc20571"/>
      <w:r>
        <w:rPr>
          <w:rFonts w:hint="eastAsia" w:ascii="宋体" w:hAnsi="宋体" w:eastAsia="宋体" w:cs="宋体"/>
          <w:b/>
          <w:snapToGrid w:val="0"/>
          <w:color w:val="auto"/>
          <w:kern w:val="0"/>
          <w:highlight w:val="none"/>
        </w:rPr>
        <w:t>3．备查要求</w:t>
      </w:r>
      <w:bookmarkEnd w:id="291"/>
      <w:bookmarkEnd w:id="292"/>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93" w:name="_Hlt69670335"/>
      <w:bookmarkEnd w:id="293"/>
    </w:p>
    <w:p w14:paraId="2C01AB53">
      <w:pPr>
        <w:pStyle w:val="3"/>
        <w:wordWrap w:val="0"/>
        <w:autoSpaceDE/>
        <w:autoSpaceDN/>
        <w:snapToGrid w:val="0"/>
        <w:spacing w:line="440" w:lineRule="exact"/>
        <w:jc w:val="center"/>
        <w:rPr>
          <w:rFonts w:ascii="Times New Roman"/>
          <w:b/>
          <w:snapToGrid w:val="0"/>
          <w:color w:val="auto"/>
          <w:sz w:val="32"/>
          <w:szCs w:val="22"/>
          <w:highlight w:val="none"/>
        </w:rPr>
      </w:pPr>
      <w:bookmarkStart w:id="294" w:name="_Toc27904"/>
      <w:r>
        <w:rPr>
          <w:rFonts w:hint="eastAsia" w:ascii="Times New Roman"/>
          <w:b/>
          <w:snapToGrid w:val="0"/>
          <w:color w:val="auto"/>
          <w:sz w:val="32"/>
          <w:szCs w:val="22"/>
          <w:highlight w:val="none"/>
        </w:rPr>
        <w:t xml:space="preserve">第五章 </w:t>
      </w:r>
      <w:bookmarkStart w:id="295" w:name="_Hlt75747044"/>
      <w:bookmarkEnd w:id="295"/>
      <w:r>
        <w:rPr>
          <w:rFonts w:hint="eastAsia" w:ascii="Times New Roman"/>
          <w:b/>
          <w:snapToGrid w:val="0"/>
          <w:color w:val="auto"/>
          <w:sz w:val="32"/>
          <w:szCs w:val="22"/>
          <w:highlight w:val="none"/>
        </w:rPr>
        <w:t>投标文件格式</w:t>
      </w:r>
      <w:bookmarkEnd w:id="269"/>
      <w:bookmarkEnd w:id="294"/>
    </w:p>
    <w:bookmarkEnd w:id="270"/>
    <w:p w14:paraId="7A6D8682">
      <w:pPr>
        <w:pStyle w:val="73"/>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6" w:name="_附件二：工期承诺书"/>
      <w:bookmarkEnd w:id="296"/>
      <w:bookmarkStart w:id="297" w:name="_附件五：综合评审合理低价法"/>
      <w:bookmarkEnd w:id="297"/>
      <w:bookmarkStart w:id="298" w:name="_附件一：对招标文件条款自愿接受承诺书"/>
      <w:bookmarkEnd w:id="298"/>
      <w:bookmarkStart w:id="299" w:name="_附件二：近三年度主要施工项目（竣工及在建）一览表"/>
      <w:bookmarkEnd w:id="299"/>
      <w:bookmarkStart w:id="300" w:name="_附件四：工期承诺书"/>
      <w:bookmarkEnd w:id="300"/>
      <w:bookmarkStart w:id="301" w:name="_附件一：投标函"/>
      <w:bookmarkEnd w:id="301"/>
      <w:bookmarkStart w:id="302" w:name="_Toc66849200"/>
      <w:bookmarkStart w:id="303" w:name="_Toc200338097"/>
      <w:bookmarkStart w:id="304" w:name="_Hlt66847557"/>
      <w:bookmarkStart w:id="305" w:name="_Toc137621693"/>
    </w:p>
    <w:p w14:paraId="605BD047">
      <w:pPr>
        <w:pStyle w:val="73"/>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6" w:name="_Toc31809"/>
      <w:bookmarkStart w:id="307" w:name="_Toc63"/>
      <w:r>
        <w:rPr>
          <w:rFonts w:hint="eastAsia" w:ascii="Times New Roman"/>
          <w:b/>
          <w:snapToGrid w:val="0"/>
          <w:color w:val="auto"/>
          <w:highlight w:val="none"/>
        </w:rPr>
        <w:t>格式一 封面</w:t>
      </w:r>
      <w:bookmarkEnd w:id="306"/>
      <w:bookmarkEnd w:id="307"/>
    </w:p>
    <w:p w14:paraId="5DF40F53">
      <w:pPr>
        <w:pStyle w:val="74"/>
        <w:widowControl w:val="0"/>
        <w:wordWrap w:val="0"/>
        <w:adjustRightInd w:val="0"/>
        <w:snapToGrid w:val="0"/>
        <w:spacing w:line="240" w:lineRule="auto"/>
        <w:rPr>
          <w:rFonts w:ascii="Times New Roman"/>
          <w:b/>
          <w:snapToGrid w:val="0"/>
          <w:color w:val="auto"/>
          <w:sz w:val="24"/>
          <w:highlight w:val="none"/>
        </w:rPr>
      </w:pPr>
    </w:p>
    <w:p w14:paraId="6FBB4A80">
      <w:pPr>
        <w:pStyle w:val="74"/>
        <w:widowControl w:val="0"/>
        <w:wordWrap w:val="0"/>
        <w:adjustRightInd w:val="0"/>
        <w:snapToGrid w:val="0"/>
        <w:spacing w:line="240" w:lineRule="auto"/>
        <w:jc w:val="right"/>
        <w:rPr>
          <w:rFonts w:ascii="Times New Roman"/>
          <w:b/>
          <w:snapToGrid w:val="0"/>
          <w:color w:val="auto"/>
          <w:sz w:val="24"/>
          <w:highlight w:val="none"/>
        </w:rPr>
      </w:pPr>
    </w:p>
    <w:p w14:paraId="59746A92">
      <w:pPr>
        <w:pStyle w:val="74"/>
        <w:widowControl w:val="0"/>
        <w:wordWrap w:val="0"/>
        <w:adjustRightInd w:val="0"/>
        <w:snapToGrid w:val="0"/>
        <w:spacing w:line="240" w:lineRule="auto"/>
        <w:rPr>
          <w:rFonts w:ascii="Times New Roman"/>
          <w:b/>
          <w:snapToGrid w:val="0"/>
          <w:color w:val="auto"/>
          <w:sz w:val="24"/>
          <w:highlight w:val="none"/>
        </w:rPr>
      </w:pPr>
    </w:p>
    <w:p w14:paraId="0294BCEE">
      <w:pPr>
        <w:pStyle w:val="74"/>
        <w:widowControl w:val="0"/>
        <w:wordWrap w:val="0"/>
        <w:adjustRightInd w:val="0"/>
        <w:snapToGrid w:val="0"/>
        <w:spacing w:line="240" w:lineRule="auto"/>
        <w:rPr>
          <w:rFonts w:ascii="Times New Roman"/>
          <w:b/>
          <w:snapToGrid w:val="0"/>
          <w:color w:val="auto"/>
          <w:sz w:val="24"/>
          <w:highlight w:val="none"/>
        </w:rPr>
      </w:pPr>
    </w:p>
    <w:p w14:paraId="7513099E">
      <w:pPr>
        <w:pStyle w:val="74"/>
        <w:widowControl w:val="0"/>
        <w:wordWrap w:val="0"/>
        <w:adjustRightInd w:val="0"/>
        <w:snapToGrid w:val="0"/>
        <w:spacing w:line="240" w:lineRule="auto"/>
        <w:rPr>
          <w:rFonts w:ascii="Times New Roman"/>
          <w:b/>
          <w:snapToGrid w:val="0"/>
          <w:color w:val="auto"/>
          <w:sz w:val="24"/>
          <w:highlight w:val="none"/>
        </w:rPr>
      </w:pPr>
    </w:p>
    <w:p w14:paraId="4875FFE9">
      <w:pPr>
        <w:pStyle w:val="74"/>
        <w:widowControl w:val="0"/>
        <w:wordWrap w:val="0"/>
        <w:adjustRightInd w:val="0"/>
        <w:snapToGrid w:val="0"/>
        <w:spacing w:line="240" w:lineRule="auto"/>
        <w:rPr>
          <w:rFonts w:ascii="Times New Roman"/>
          <w:b/>
          <w:snapToGrid w:val="0"/>
          <w:color w:val="auto"/>
          <w:sz w:val="24"/>
          <w:highlight w:val="none"/>
        </w:rPr>
      </w:pPr>
    </w:p>
    <w:p w14:paraId="2D9D39D4">
      <w:pPr>
        <w:pStyle w:val="74"/>
        <w:widowControl w:val="0"/>
        <w:wordWrap w:val="0"/>
        <w:adjustRightInd w:val="0"/>
        <w:snapToGrid w:val="0"/>
        <w:spacing w:line="240" w:lineRule="auto"/>
        <w:rPr>
          <w:rFonts w:ascii="Times New Roman"/>
          <w:b/>
          <w:snapToGrid w:val="0"/>
          <w:color w:val="auto"/>
          <w:sz w:val="24"/>
          <w:highlight w:val="none"/>
        </w:rPr>
      </w:pPr>
    </w:p>
    <w:p w14:paraId="5F4307BB">
      <w:pPr>
        <w:pStyle w:val="74"/>
        <w:widowControl w:val="0"/>
        <w:wordWrap w:val="0"/>
        <w:adjustRightInd w:val="0"/>
        <w:snapToGrid w:val="0"/>
        <w:spacing w:line="240" w:lineRule="auto"/>
        <w:rPr>
          <w:rFonts w:ascii="Times New Roman"/>
          <w:b/>
          <w:snapToGrid w:val="0"/>
          <w:color w:val="auto"/>
          <w:sz w:val="24"/>
          <w:highlight w:val="none"/>
        </w:rPr>
      </w:pPr>
    </w:p>
    <w:p w14:paraId="0005A7BA">
      <w:pPr>
        <w:pStyle w:val="74"/>
        <w:widowControl w:val="0"/>
        <w:wordWrap w:val="0"/>
        <w:adjustRightInd w:val="0"/>
        <w:snapToGrid w:val="0"/>
        <w:spacing w:line="240" w:lineRule="auto"/>
        <w:rPr>
          <w:rFonts w:ascii="Times New Roman"/>
          <w:b/>
          <w:snapToGrid w:val="0"/>
          <w:color w:val="auto"/>
          <w:sz w:val="24"/>
          <w:highlight w:val="none"/>
        </w:rPr>
      </w:pPr>
    </w:p>
    <w:p w14:paraId="38D03B0C">
      <w:pPr>
        <w:pStyle w:val="74"/>
        <w:widowControl w:val="0"/>
        <w:wordWrap w:val="0"/>
        <w:adjustRightInd w:val="0"/>
        <w:snapToGrid w:val="0"/>
        <w:spacing w:line="240" w:lineRule="auto"/>
        <w:rPr>
          <w:rFonts w:ascii="Times New Roman"/>
          <w:b/>
          <w:snapToGrid w:val="0"/>
          <w:color w:val="auto"/>
          <w:sz w:val="24"/>
          <w:highlight w:val="none"/>
        </w:rPr>
      </w:pPr>
    </w:p>
    <w:p w14:paraId="01F56212">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4"/>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p>
    <w:p w14:paraId="21D0A39E">
      <w:pPr>
        <w:pStyle w:val="74"/>
        <w:widowControl w:val="0"/>
        <w:wordWrap w:val="0"/>
        <w:adjustRightInd w:val="0"/>
        <w:snapToGrid w:val="0"/>
        <w:spacing w:line="240" w:lineRule="auto"/>
        <w:rPr>
          <w:rFonts w:ascii="Times New Roman"/>
          <w:b/>
          <w:snapToGrid w:val="0"/>
          <w:color w:val="auto"/>
          <w:highlight w:val="none"/>
        </w:rPr>
      </w:pPr>
    </w:p>
    <w:p w14:paraId="47BA86B9">
      <w:pPr>
        <w:pStyle w:val="74"/>
        <w:widowControl w:val="0"/>
        <w:wordWrap w:val="0"/>
        <w:adjustRightInd w:val="0"/>
        <w:snapToGrid w:val="0"/>
        <w:spacing w:line="240" w:lineRule="auto"/>
        <w:rPr>
          <w:rFonts w:ascii="Times New Roman"/>
          <w:b/>
          <w:snapToGrid w:val="0"/>
          <w:color w:val="auto"/>
          <w:sz w:val="32"/>
          <w:highlight w:val="none"/>
        </w:rPr>
      </w:pPr>
    </w:p>
    <w:p w14:paraId="65C3F1D5">
      <w:pPr>
        <w:pStyle w:val="74"/>
        <w:widowControl w:val="0"/>
        <w:wordWrap w:val="0"/>
        <w:adjustRightInd w:val="0"/>
        <w:snapToGrid w:val="0"/>
        <w:spacing w:line="240" w:lineRule="auto"/>
        <w:rPr>
          <w:rFonts w:ascii="Times New Roman"/>
          <w:b/>
          <w:snapToGrid w:val="0"/>
          <w:color w:val="auto"/>
          <w:sz w:val="32"/>
          <w:highlight w:val="none"/>
        </w:rPr>
      </w:pPr>
    </w:p>
    <w:p w14:paraId="04CF17A0">
      <w:pPr>
        <w:pStyle w:val="74"/>
        <w:widowControl w:val="0"/>
        <w:wordWrap w:val="0"/>
        <w:adjustRightInd w:val="0"/>
        <w:snapToGrid w:val="0"/>
        <w:spacing w:line="240" w:lineRule="auto"/>
        <w:rPr>
          <w:rFonts w:ascii="Times New Roman"/>
          <w:b/>
          <w:snapToGrid w:val="0"/>
          <w:color w:val="auto"/>
          <w:sz w:val="32"/>
          <w:highlight w:val="none"/>
        </w:rPr>
      </w:pPr>
    </w:p>
    <w:p w14:paraId="70B9E93C">
      <w:pPr>
        <w:pStyle w:val="74"/>
        <w:widowControl w:val="0"/>
        <w:wordWrap w:val="0"/>
        <w:adjustRightInd w:val="0"/>
        <w:snapToGrid w:val="0"/>
        <w:spacing w:line="240" w:lineRule="auto"/>
        <w:rPr>
          <w:rFonts w:ascii="Times New Roman"/>
          <w:b/>
          <w:snapToGrid w:val="0"/>
          <w:color w:val="auto"/>
          <w:sz w:val="32"/>
          <w:highlight w:val="none"/>
        </w:rPr>
      </w:pPr>
    </w:p>
    <w:p w14:paraId="1ECCE2FB">
      <w:pPr>
        <w:pStyle w:val="74"/>
        <w:widowControl w:val="0"/>
        <w:wordWrap w:val="0"/>
        <w:adjustRightInd w:val="0"/>
        <w:snapToGrid w:val="0"/>
        <w:spacing w:line="240" w:lineRule="auto"/>
        <w:rPr>
          <w:rFonts w:ascii="Times New Roman"/>
          <w:b/>
          <w:snapToGrid w:val="0"/>
          <w:color w:val="auto"/>
          <w:sz w:val="32"/>
          <w:highlight w:val="none"/>
        </w:rPr>
      </w:pPr>
    </w:p>
    <w:p w14:paraId="1EB2808C">
      <w:pPr>
        <w:pStyle w:val="74"/>
        <w:widowControl w:val="0"/>
        <w:wordWrap w:val="0"/>
        <w:adjustRightInd w:val="0"/>
        <w:snapToGrid w:val="0"/>
        <w:spacing w:line="240" w:lineRule="auto"/>
        <w:rPr>
          <w:rFonts w:ascii="Times New Roman"/>
          <w:b/>
          <w:snapToGrid w:val="0"/>
          <w:color w:val="auto"/>
          <w:sz w:val="32"/>
          <w:highlight w:val="none"/>
        </w:rPr>
      </w:pPr>
    </w:p>
    <w:p w14:paraId="759F596E">
      <w:pPr>
        <w:pStyle w:val="74"/>
        <w:widowControl w:val="0"/>
        <w:wordWrap w:val="0"/>
        <w:adjustRightInd w:val="0"/>
        <w:snapToGrid w:val="0"/>
        <w:spacing w:line="240" w:lineRule="auto"/>
        <w:rPr>
          <w:rFonts w:ascii="Times New Roman"/>
          <w:b/>
          <w:snapToGrid w:val="0"/>
          <w:color w:val="auto"/>
          <w:sz w:val="32"/>
          <w:highlight w:val="none"/>
        </w:rPr>
      </w:pPr>
    </w:p>
    <w:p w14:paraId="146D5E17">
      <w:pPr>
        <w:pStyle w:val="74"/>
        <w:widowControl w:val="0"/>
        <w:wordWrap w:val="0"/>
        <w:adjustRightInd w:val="0"/>
        <w:snapToGrid w:val="0"/>
        <w:spacing w:line="240" w:lineRule="auto"/>
        <w:rPr>
          <w:rFonts w:ascii="Times New Roman"/>
          <w:b/>
          <w:snapToGrid w:val="0"/>
          <w:color w:val="auto"/>
          <w:sz w:val="32"/>
          <w:highlight w:val="none"/>
        </w:rPr>
      </w:pPr>
    </w:p>
    <w:p w14:paraId="6742C860">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4"/>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4"/>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4"/>
        <w:widowControl w:val="0"/>
        <w:wordWrap w:val="0"/>
        <w:adjustRightInd w:val="0"/>
        <w:snapToGrid w:val="0"/>
        <w:rPr>
          <w:rFonts w:ascii="Times New Roman"/>
          <w:b/>
          <w:snapToGrid w:val="0"/>
          <w:color w:val="auto"/>
          <w:highlight w:val="none"/>
        </w:rPr>
      </w:pPr>
    </w:p>
    <w:p w14:paraId="60968DD1">
      <w:pPr>
        <w:pStyle w:val="74"/>
        <w:widowControl w:val="0"/>
        <w:wordWrap w:val="0"/>
        <w:adjustRightInd w:val="0"/>
        <w:snapToGrid w:val="0"/>
        <w:rPr>
          <w:rFonts w:ascii="Times New Roman"/>
          <w:b/>
          <w:snapToGrid w:val="0"/>
          <w:color w:val="auto"/>
          <w:highlight w:val="none"/>
        </w:rPr>
      </w:pPr>
    </w:p>
    <w:p w14:paraId="20B8FB5C">
      <w:pPr>
        <w:pStyle w:val="74"/>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5A266C5">
      <w:pPr>
        <w:pStyle w:val="4"/>
        <w:wordWrap w:val="0"/>
        <w:autoSpaceDE/>
        <w:autoSpaceDN/>
        <w:snapToGrid w:val="0"/>
        <w:spacing w:line="440" w:lineRule="exact"/>
        <w:rPr>
          <w:rFonts w:ascii="Times New Roman"/>
          <w:b/>
          <w:snapToGrid w:val="0"/>
          <w:color w:val="auto"/>
          <w:highlight w:val="none"/>
        </w:rPr>
      </w:pPr>
      <w:bookmarkStart w:id="308" w:name="_Toc21838"/>
      <w:bookmarkStart w:id="309" w:name="_Toc29299"/>
      <w:bookmarkStart w:id="310" w:name="_Toc106418843"/>
      <w:bookmarkStart w:id="311" w:name="_Toc104711098"/>
      <w:r>
        <w:rPr>
          <w:rFonts w:hint="eastAsia" w:ascii="Times New Roman"/>
          <w:b/>
          <w:snapToGrid w:val="0"/>
          <w:color w:val="auto"/>
          <w:highlight w:val="none"/>
        </w:rPr>
        <w:t>格式</w:t>
      </w:r>
      <w:bookmarkStart w:id="312" w:name="_Hlt97526007"/>
      <w:bookmarkEnd w:id="312"/>
      <w:r>
        <w:rPr>
          <w:rFonts w:hint="eastAsia" w:ascii="Times New Roman"/>
          <w:b/>
          <w:snapToGrid w:val="0"/>
          <w:color w:val="auto"/>
          <w:highlight w:val="none"/>
        </w:rPr>
        <w:t>二 投标函</w:t>
      </w:r>
      <w:bookmarkEnd w:id="308"/>
      <w:bookmarkEnd w:id="309"/>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10"/>
      <w:bookmarkEnd w:id="311"/>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13" w:name="_Hlt68771070"/>
      <w:bookmarkEnd w:id="313"/>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4"/>
        <w:widowControl w:val="0"/>
        <w:wordWrap w:val="0"/>
        <w:adjustRightInd w:val="0"/>
        <w:snapToGrid w:val="0"/>
        <w:spacing w:line="400" w:lineRule="exact"/>
        <w:ind w:firstLine="0"/>
        <w:outlineLvl w:val="1"/>
        <w:rPr>
          <w:rFonts w:hAnsi="宋体" w:cs="宋体"/>
          <w:b/>
          <w:snapToGrid w:val="0"/>
          <w:color w:val="auto"/>
          <w:sz w:val="24"/>
          <w:highlight w:val="none"/>
        </w:rPr>
      </w:pPr>
      <w:bookmarkStart w:id="314" w:name="_Toc1644"/>
      <w:r>
        <w:rPr>
          <w:rFonts w:hint="eastAsia" w:hAnsi="宋体" w:cs="宋体"/>
          <w:b/>
          <w:snapToGrid w:val="0"/>
          <w:color w:val="auto"/>
          <w:sz w:val="24"/>
          <w:highlight w:val="none"/>
        </w:rPr>
        <w:t>格式三 各项承诺一览表</w:t>
      </w:r>
      <w:bookmarkEnd w:id="314"/>
    </w:p>
    <w:p w14:paraId="20B05016">
      <w:pPr>
        <w:pStyle w:val="73"/>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5" w:name="_Toc24548"/>
      <w:bookmarkStart w:id="316" w:name="_Toc27092"/>
      <w:bookmarkStart w:id="317" w:name="_Toc7685"/>
      <w:bookmarkStart w:id="318" w:name="_Toc11270"/>
      <w:bookmarkStart w:id="319" w:name="_Toc18253"/>
      <w:r>
        <w:rPr>
          <w:rFonts w:hint="eastAsia" w:hAnsi="宋体" w:cs="宋体"/>
          <w:b/>
          <w:snapToGrid w:val="0"/>
          <w:color w:val="auto"/>
          <w:sz w:val="30"/>
          <w:highlight w:val="none"/>
        </w:rPr>
        <w:t>各项承诺一览表</w:t>
      </w:r>
      <w:bookmarkEnd w:id="315"/>
      <w:bookmarkEnd w:id="316"/>
      <w:bookmarkEnd w:id="317"/>
      <w:bookmarkEnd w:id="318"/>
      <w:bookmarkEnd w:id="319"/>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5"/>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5"/>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8"/>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5"/>
        <w:wordWrap w:val="0"/>
        <w:adjustRightInd w:val="0"/>
        <w:snapToGrid w:val="0"/>
        <w:spacing w:line="420" w:lineRule="exact"/>
        <w:jc w:val="left"/>
        <w:rPr>
          <w:rFonts w:hAnsi="宋体" w:cs="宋体"/>
          <w:snapToGrid w:val="0"/>
          <w:color w:val="auto"/>
          <w:kern w:val="0"/>
          <w:highlight w:val="none"/>
        </w:rPr>
      </w:pPr>
    </w:p>
    <w:p w14:paraId="4B6FF6DB">
      <w:pPr>
        <w:pStyle w:val="75"/>
        <w:wordWrap w:val="0"/>
        <w:adjustRightInd w:val="0"/>
        <w:snapToGrid w:val="0"/>
        <w:spacing w:line="420" w:lineRule="exact"/>
        <w:jc w:val="left"/>
        <w:rPr>
          <w:rFonts w:hAnsi="宋体" w:cs="宋体"/>
          <w:snapToGrid w:val="0"/>
          <w:color w:val="auto"/>
          <w:kern w:val="0"/>
          <w:highlight w:val="none"/>
        </w:rPr>
      </w:pPr>
    </w:p>
    <w:p w14:paraId="148553C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7"/>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7"/>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7"/>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20" w:name="_Toc32644"/>
      <w:r>
        <w:rPr>
          <w:rFonts w:hint="eastAsia" w:hAnsi="宋体" w:cs="宋体"/>
          <w:b/>
          <w:bCs/>
          <w:snapToGrid w:val="0"/>
          <w:color w:val="auto"/>
          <w:kern w:val="0"/>
          <w:szCs w:val="24"/>
          <w:highlight w:val="none"/>
        </w:rPr>
        <w:t>格式四 授权委托书</w:t>
      </w:r>
      <w:bookmarkEnd w:id="320"/>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1312;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1"/>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21" w:name="_Toc27423"/>
      <w:r>
        <w:rPr>
          <w:rFonts w:hint="eastAsia" w:hAnsi="宋体" w:cs="宋体"/>
          <w:b/>
          <w:snapToGrid w:val="0"/>
          <w:color w:val="auto"/>
          <w:kern w:val="0"/>
          <w:highlight w:val="none"/>
        </w:rPr>
        <w:t>格式五 法定代表人身份证明</w:t>
      </w:r>
      <w:bookmarkEnd w:id="321"/>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60288;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22" w:name="_Toc474"/>
      <w:r>
        <w:rPr>
          <w:rFonts w:hint="eastAsia" w:hAnsi="宋体" w:cs="宋体"/>
          <w:b/>
          <w:bCs/>
          <w:snapToGrid w:val="0"/>
          <w:color w:val="auto"/>
          <w:kern w:val="0"/>
          <w:szCs w:val="24"/>
          <w:highlight w:val="none"/>
        </w:rPr>
        <w:t>格式六 投标人基本情况表</w:t>
      </w:r>
      <w:bookmarkEnd w:id="322"/>
    </w:p>
    <w:p w14:paraId="3C45457B">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8"/>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8"/>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8"/>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8"/>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8"/>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8"/>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8"/>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8"/>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8"/>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8"/>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8"/>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8"/>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8"/>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8"/>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8"/>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8"/>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8"/>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8"/>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8"/>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8"/>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8"/>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8"/>
              <w:wordWrap w:val="0"/>
              <w:adjustRightInd w:val="0"/>
              <w:snapToGrid w:val="0"/>
              <w:jc w:val="center"/>
              <w:rPr>
                <w:rFonts w:ascii="宋体" w:hAnsi="宋体" w:cs="宋体"/>
                <w:snapToGrid w:val="0"/>
                <w:color w:val="auto"/>
                <w:kern w:val="0"/>
                <w:szCs w:val="21"/>
                <w:highlight w:val="none"/>
              </w:rPr>
            </w:pPr>
          </w:p>
        </w:tc>
      </w:tr>
    </w:tbl>
    <w:p w14:paraId="31CF04E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4"/>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23" w:name="_Toc22135"/>
      <w:r>
        <w:rPr>
          <w:rFonts w:hint="eastAsia" w:hAnsi="宋体" w:cs="宋体"/>
          <w:b/>
          <w:snapToGrid w:val="0"/>
          <w:color w:val="auto"/>
          <w:kern w:val="0"/>
          <w:highlight w:val="none"/>
        </w:rPr>
        <w:t>格式七 总监理工程师任职声明（适用于无任职项目）</w:t>
      </w:r>
      <w:bookmarkEnd w:id="323"/>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24" w:name="_Toc24032"/>
      <w:r>
        <w:rPr>
          <w:rFonts w:hint="eastAsia" w:hAnsi="宋体" w:cs="宋体"/>
          <w:b/>
          <w:snapToGrid w:val="0"/>
          <w:color w:val="auto"/>
          <w:kern w:val="0"/>
          <w:highlight w:val="none"/>
        </w:rPr>
        <w:t>格式八 总监理工程师任职声明（适用于有任职项目）</w:t>
      </w:r>
      <w:bookmarkEnd w:id="324"/>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5" w:name="_Toc2263"/>
      <w:r>
        <w:rPr>
          <w:rFonts w:hint="eastAsia" w:hAnsi="宋体" w:cs="宋体"/>
          <w:b/>
          <w:bCs/>
          <w:snapToGrid w:val="0"/>
          <w:color w:val="auto"/>
          <w:kern w:val="0"/>
          <w:szCs w:val="24"/>
          <w:highlight w:val="none"/>
        </w:rPr>
        <w:t>格式九 总监理工程师任职项目情况表</w:t>
      </w:r>
      <w:bookmarkEnd w:id="325"/>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4"/>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8"/>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8"/>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8"/>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8"/>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8"/>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8"/>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8"/>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8"/>
              <w:adjustRightInd w:val="0"/>
              <w:snapToGrid w:val="0"/>
              <w:spacing w:line="360" w:lineRule="auto"/>
              <w:rPr>
                <w:rFonts w:ascii="宋体" w:hAnsi="宋体" w:cs="宋体"/>
                <w:snapToGrid w:val="0"/>
                <w:color w:val="auto"/>
                <w:kern w:val="0"/>
                <w:szCs w:val="21"/>
                <w:highlight w:val="none"/>
              </w:rPr>
            </w:pPr>
          </w:p>
          <w:p w14:paraId="602D8050">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8"/>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8"/>
              <w:adjustRightInd w:val="0"/>
              <w:snapToGrid w:val="0"/>
              <w:spacing w:line="360" w:lineRule="auto"/>
              <w:rPr>
                <w:rFonts w:ascii="宋体" w:hAnsi="宋体" w:cs="宋体"/>
                <w:snapToGrid w:val="0"/>
                <w:color w:val="auto"/>
                <w:kern w:val="0"/>
                <w:szCs w:val="21"/>
                <w:highlight w:val="none"/>
              </w:rPr>
            </w:pPr>
          </w:p>
          <w:p w14:paraId="2DED7437">
            <w:pPr>
              <w:pStyle w:val="138"/>
              <w:adjustRightInd w:val="0"/>
              <w:snapToGrid w:val="0"/>
              <w:spacing w:line="360" w:lineRule="auto"/>
              <w:rPr>
                <w:rFonts w:ascii="宋体" w:hAnsi="宋体" w:cs="宋体"/>
                <w:snapToGrid w:val="0"/>
                <w:color w:val="auto"/>
                <w:kern w:val="0"/>
                <w:szCs w:val="21"/>
                <w:highlight w:val="none"/>
              </w:rPr>
            </w:pPr>
          </w:p>
          <w:p w14:paraId="599D977E">
            <w:pPr>
              <w:pStyle w:val="138"/>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8"/>
              <w:adjustRightInd w:val="0"/>
              <w:snapToGrid w:val="0"/>
              <w:spacing w:line="360" w:lineRule="auto"/>
              <w:jc w:val="right"/>
              <w:rPr>
                <w:rFonts w:ascii="宋体" w:hAnsi="宋体" w:cs="宋体"/>
                <w:snapToGrid w:val="0"/>
                <w:color w:val="auto"/>
                <w:kern w:val="0"/>
                <w:szCs w:val="21"/>
                <w:highlight w:val="none"/>
              </w:rPr>
            </w:pPr>
          </w:p>
          <w:p w14:paraId="36196D25">
            <w:pPr>
              <w:pStyle w:val="138"/>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8"/>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pgNumType w:fmt="decimal"/>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6" w:name="_Toc4492"/>
      <w:bookmarkStart w:id="327" w:name="_Toc200338098"/>
      <w:bookmarkStart w:id="328" w:name="_Toc8264"/>
      <w:r>
        <w:rPr>
          <w:rFonts w:hint="eastAsia" w:hAnsi="宋体" w:cs="宋体"/>
          <w:b/>
          <w:snapToGrid w:val="0"/>
          <w:color w:val="auto"/>
          <w:kern w:val="0"/>
          <w:highlight w:val="none"/>
        </w:rPr>
        <w:t>格式</w:t>
      </w:r>
      <w:bookmarkStart w:id="329" w:name="_Hlt287950384"/>
      <w:bookmarkEnd w:id="329"/>
      <w:r>
        <w:rPr>
          <w:rFonts w:hint="eastAsia" w:hAnsi="宋体" w:cs="宋体"/>
          <w:b/>
          <w:bCs/>
          <w:snapToGrid w:val="0"/>
          <w:color w:val="auto"/>
          <w:kern w:val="0"/>
          <w:szCs w:val="24"/>
          <w:highlight w:val="none"/>
        </w:rPr>
        <w:t>十 项目监理机构组成人员汇总表</w:t>
      </w:r>
      <w:bookmarkEnd w:id="326"/>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30" w:name="_附件十：单项工程费汇总表"/>
        <w:bookmarkStart w:id="331" w:name="_附件二十四：技术标提问单"/>
        <w:bookmarkStart w:id="332" w:name="_Hlt68774664"/>
        <w:bookmarkStart w:id="333" w:name="_附件二十五：综合评审合理低价法"/>
        <w:bookmarkStart w:id="334" w:name="_Hlt69116778"/>
      </w:tr>
      <w:bookmarkEnd w:id="327"/>
      <w:bookmarkEnd w:id="328"/>
      <w:bookmarkEnd w:id="330"/>
      <w:bookmarkEnd w:id="331"/>
      <w:bookmarkEnd w:id="332"/>
      <w:bookmarkEnd w:id="333"/>
      <w:bookmarkEnd w:id="334"/>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4"/>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4"/>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pgNumType w:fmt="decimal"/>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02"/>
      <w:bookmarkEnd w:id="303"/>
      <w:bookmarkEnd w:id="304"/>
      <w:bookmarkEnd w:id="305"/>
    </w:p>
    <w:p w14:paraId="63F60130">
      <w:pPr>
        <w:pStyle w:val="150"/>
        <w:keepNext/>
        <w:keepLines/>
        <w:snapToGrid w:val="0"/>
        <w:spacing w:line="400" w:lineRule="exact"/>
        <w:jc w:val="both"/>
        <w:rPr>
          <w:rFonts w:ascii="宋体" w:hAnsi="宋体" w:cs="宋体"/>
          <w:b/>
          <w:bCs/>
          <w:snapToGrid w:val="0"/>
          <w:color w:val="auto"/>
          <w:highlight w:val="none"/>
        </w:rPr>
      </w:pPr>
      <w:bookmarkStart w:id="335" w:name="_Toc24916"/>
      <w:bookmarkStart w:id="336" w:name="_Toc13068"/>
      <w:r>
        <w:rPr>
          <w:rFonts w:hint="eastAsia" w:ascii="宋体" w:hAnsi="宋体" w:cs="宋体"/>
          <w:b/>
          <w:bCs/>
          <w:snapToGrid w:val="0"/>
          <w:color w:val="auto"/>
          <w:highlight w:val="none"/>
        </w:rPr>
        <w:t>格式十一 总监理工程师简历表</w:t>
      </w:r>
      <w:bookmarkEnd w:id="335"/>
      <w:bookmarkEnd w:id="336"/>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5"/>
        <w:wordWrap w:val="0"/>
        <w:adjustRightInd w:val="0"/>
        <w:snapToGrid w:val="0"/>
        <w:spacing w:line="400" w:lineRule="exact"/>
        <w:jc w:val="right"/>
        <w:rPr>
          <w:rFonts w:hAnsi="宋体" w:cs="宋体"/>
          <w:snapToGrid w:val="0"/>
          <w:color w:val="auto"/>
          <w:kern w:val="0"/>
          <w:highlight w:val="none"/>
        </w:rPr>
      </w:pPr>
    </w:p>
    <w:p w14:paraId="5212B167">
      <w:pPr>
        <w:pStyle w:val="75"/>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5"/>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06</w:t>
      </w:r>
      <w:r>
        <w:rPr>
          <w:rFonts w:hint="eastAsia" w:ascii="宋体" w:hAnsi="宋体" w:eastAsia="宋体" w:cs="宋体"/>
          <w:caps w:val="0"/>
          <w:smallCaps w:val="0"/>
          <w:snapToGrid w:val="0"/>
          <w:color w:val="auto"/>
          <w:spacing w:val="0"/>
          <w:kern w:val="0"/>
          <w:sz w:val="21"/>
          <w:szCs w:val="28"/>
          <w:highlight w:val="none"/>
          <w:lang w:val="en-US" w:eastAsia="zh-CN"/>
        </w:rPr>
        <w:t>月）彩色扫描件。</w:t>
      </w:r>
    </w:p>
    <w:p w14:paraId="2DC2A311">
      <w:pPr>
        <w:pStyle w:val="10"/>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10"/>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7" w:name="_Toc19546"/>
      <w:r>
        <w:rPr>
          <w:rFonts w:hint="eastAsia" w:hAnsi="宋体" w:cs="宋体"/>
          <w:b/>
          <w:bCs/>
          <w:snapToGrid w:val="0"/>
          <w:color w:val="auto"/>
          <w:kern w:val="0"/>
          <w:szCs w:val="24"/>
          <w:highlight w:val="none"/>
        </w:rPr>
        <w:br w:type="page"/>
      </w:r>
    </w:p>
    <w:p w14:paraId="32B105E3">
      <w:pPr>
        <w:pStyle w:val="150"/>
        <w:keepNext/>
        <w:keepLines/>
        <w:snapToGrid w:val="0"/>
        <w:spacing w:line="400" w:lineRule="exact"/>
        <w:jc w:val="both"/>
        <w:rPr>
          <w:rFonts w:ascii="宋体" w:hAnsi="宋体" w:cs="宋体"/>
          <w:b/>
          <w:bCs/>
          <w:snapToGrid w:val="0"/>
          <w:color w:val="auto"/>
          <w:highlight w:val="none"/>
        </w:rPr>
      </w:pPr>
      <w:bookmarkStart w:id="338" w:name="_Toc21090"/>
      <w:r>
        <w:rPr>
          <w:rFonts w:hint="eastAsia" w:ascii="宋体" w:hAnsi="宋体" w:cs="宋体"/>
          <w:b/>
          <w:bCs/>
          <w:snapToGrid w:val="0"/>
          <w:color w:val="auto"/>
          <w:highlight w:val="none"/>
        </w:rPr>
        <w:t>格式十二 其他拟派人员简历表</w:t>
      </w:r>
      <w:bookmarkEnd w:id="337"/>
      <w:bookmarkEnd w:id="338"/>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5"/>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（至少一个月，其中必须有202</w:t>
      </w:r>
      <w:r>
        <w:rPr>
          <w:rFonts w:hint="eastAsia" w:hAnsi="宋体" w:cs="宋体"/>
          <w:caps w:val="0"/>
          <w:smallCaps w:val="0"/>
          <w:snapToGrid w:val="0"/>
          <w:color w:val="auto"/>
          <w:spacing w:val="0"/>
          <w:kern w:val="0"/>
          <w:sz w:val="21"/>
          <w:szCs w:val="28"/>
          <w:highlight w:val="none"/>
          <w:lang w:val="en-US" w:eastAsia="zh-CN"/>
        </w:rPr>
        <w:t>6</w:t>
      </w:r>
      <w:r>
        <w:rPr>
          <w:rFonts w:hint="eastAsia" w:ascii="宋体" w:hAnsi="宋体" w:eastAsia="宋体" w:cs="宋体"/>
          <w:caps w:val="0"/>
          <w:smallCaps w:val="0"/>
          <w:snapToGrid w:val="0"/>
          <w:color w:val="auto"/>
          <w:spacing w:val="0"/>
          <w:kern w:val="0"/>
          <w:sz w:val="21"/>
          <w:szCs w:val="28"/>
          <w:highlight w:val="none"/>
          <w:lang w:val="en-US" w:eastAsia="zh-CN"/>
        </w:rPr>
        <w:t>年</w:t>
      </w:r>
      <w:r>
        <w:rPr>
          <w:rFonts w:hint="eastAsia" w:hAnsi="宋体" w:cs="宋体"/>
          <w:caps w:val="0"/>
          <w:smallCaps w:val="0"/>
          <w:snapToGrid w:val="0"/>
          <w:color w:val="auto"/>
          <w:spacing w:val="0"/>
          <w:kern w:val="0"/>
          <w:sz w:val="21"/>
          <w:szCs w:val="28"/>
          <w:highlight w:val="none"/>
          <w:lang w:val="en-US" w:eastAsia="zh-CN"/>
        </w:rPr>
        <w:t>06</w:t>
      </w:r>
      <w:r>
        <w:rPr>
          <w:rFonts w:hint="eastAsia" w:ascii="宋体" w:hAnsi="宋体" w:eastAsia="宋体" w:cs="宋体"/>
          <w:caps w:val="0"/>
          <w:smallCaps w:val="0"/>
          <w:snapToGrid w:val="0"/>
          <w:color w:val="auto"/>
          <w:spacing w:val="0"/>
          <w:kern w:val="0"/>
          <w:sz w:val="21"/>
          <w:szCs w:val="28"/>
          <w:highlight w:val="none"/>
          <w:lang w:val="en-US" w:eastAsia="zh-CN"/>
        </w:rPr>
        <w:t>月）</w:t>
      </w:r>
      <w:r>
        <w:rPr>
          <w:rFonts w:hint="eastAsia" w:ascii="Times New Roman"/>
          <w:snapToGrid w:val="0"/>
          <w:color w:val="auto"/>
          <w:kern w:val="0"/>
          <w:sz w:val="21"/>
          <w:szCs w:val="28"/>
          <w:highlight w:val="none"/>
        </w:rPr>
        <w:t>彩色扫描件。</w:t>
      </w:r>
    </w:p>
    <w:p w14:paraId="14218DA9">
      <w:pPr>
        <w:pStyle w:val="10"/>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39" w:name="_Toc593"/>
      <w:bookmarkStart w:id="340" w:name="_Toc25312"/>
    </w:p>
    <w:p w14:paraId="4F5701AB">
      <w:pPr>
        <w:rPr>
          <w:color w:val="auto"/>
          <w:highlight w:val="none"/>
        </w:rPr>
      </w:pPr>
    </w:p>
    <w:p w14:paraId="0B0CC3A8">
      <w:pPr>
        <w:rPr>
          <w:color w:val="auto"/>
          <w:highlight w:val="none"/>
        </w:rPr>
      </w:pPr>
    </w:p>
    <w:p w14:paraId="0887FC9D">
      <w:pPr>
        <w:rPr>
          <w:color w:val="auto"/>
          <w:highlight w:val="none"/>
        </w:rPr>
      </w:pPr>
    </w:p>
    <w:p w14:paraId="746FE86D">
      <w:pPr>
        <w:rPr>
          <w:color w:val="auto"/>
          <w:highlight w:val="none"/>
        </w:rPr>
      </w:pPr>
    </w:p>
    <w:p w14:paraId="4A3461BE">
      <w:pPr>
        <w:bidi w:val="0"/>
        <w:rPr>
          <w:color w:val="auto"/>
          <w:highlight w:val="none"/>
        </w:rPr>
      </w:pPr>
    </w:p>
    <w:p w14:paraId="20F0C669">
      <w:pPr>
        <w:pStyle w:val="4"/>
        <w:bidi w:val="0"/>
        <w:rPr>
          <w:rFonts w:hint="default"/>
          <w:b/>
          <w:bCs/>
          <w:color w:val="auto"/>
          <w:highlight w:val="none"/>
          <w:lang w:val="en-US" w:eastAsia="zh-CN"/>
        </w:rPr>
      </w:pPr>
      <w:bookmarkStart w:id="341" w:name="_Toc1230"/>
      <w:r>
        <w:rPr>
          <w:rFonts w:hint="eastAsia"/>
          <w:b/>
          <w:bCs/>
          <w:color w:val="auto"/>
          <w:highlight w:val="none"/>
          <w:lang w:val="en-US" w:eastAsia="zh-CN"/>
        </w:rPr>
        <w:t>格式十三 原件一览表</w:t>
      </w:r>
      <w:bookmarkEnd w:id="341"/>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47E51DDB">
      <w:pPr>
        <w:pStyle w:val="15"/>
        <w:rPr>
          <w:color w:val="auto"/>
          <w:highlight w:val="none"/>
        </w:rPr>
      </w:pPr>
    </w:p>
    <w:bookmarkEnd w:id="339"/>
    <w:bookmarkEnd w:id="340"/>
    <w:p w14:paraId="6FEFA5B3">
      <w:pPr>
        <w:pStyle w:val="151"/>
        <w:keepNext/>
        <w:keepLines/>
        <w:snapToGrid w:val="0"/>
        <w:spacing w:line="400" w:lineRule="exact"/>
        <w:jc w:val="center"/>
        <w:rPr>
          <w:rFonts w:ascii="宋体" w:hAnsi="宋体" w:cs="宋体"/>
          <w:b/>
          <w:color w:val="auto"/>
          <w:kern w:val="44"/>
          <w:sz w:val="32"/>
          <w:szCs w:val="22"/>
        </w:rPr>
      </w:pPr>
      <w:bookmarkStart w:id="342" w:name="_Toc142468134"/>
      <w:bookmarkStart w:id="343" w:name="_Toc10354"/>
      <w:bookmarkStart w:id="344" w:name="_Toc133160683"/>
      <w:bookmarkStart w:id="345" w:name="_Toc13722"/>
      <w:bookmarkStart w:id="346" w:name="_Toc3174"/>
      <w:bookmarkStart w:id="347" w:name="_Toc137444778"/>
      <w:bookmarkStart w:id="348" w:name="_Toc132687128"/>
      <w:bookmarkStart w:id="349" w:name="_Toc133815902"/>
      <w:bookmarkStart w:id="350" w:name="_Toc78794873"/>
      <w:r>
        <w:rPr>
          <w:rFonts w:hint="eastAsia" w:ascii="宋体" w:hAnsi="宋体" w:cs="宋体"/>
          <w:b/>
          <w:color w:val="auto"/>
          <w:kern w:val="44"/>
          <w:sz w:val="32"/>
          <w:szCs w:val="22"/>
        </w:rPr>
        <w:t>第六章 建设工程监理合同</w:t>
      </w:r>
      <w:bookmarkEnd w:id="342"/>
      <w:bookmarkEnd w:id="343"/>
      <w:bookmarkEnd w:id="344"/>
      <w:bookmarkEnd w:id="345"/>
      <w:bookmarkEnd w:id="346"/>
      <w:bookmarkEnd w:id="347"/>
      <w:bookmarkEnd w:id="348"/>
    </w:p>
    <w:p w14:paraId="489A5B59">
      <w:pPr>
        <w:wordWrap w:val="0"/>
        <w:adjustRightInd w:val="0"/>
        <w:snapToGrid w:val="0"/>
        <w:spacing w:before="360" w:beforeLines="150" w:line="400" w:lineRule="exact"/>
        <w:rPr>
          <w:rFonts w:hAnsi="宋体" w:cs="宋体"/>
          <w:color w:val="auto"/>
        </w:rPr>
      </w:pPr>
      <w:r>
        <w:rPr>
          <w:rFonts w:hint="eastAsia" w:hAnsi="宋体" w:cs="宋体"/>
          <w:snapToGrid w:val="0"/>
          <w:color w:val="auto"/>
          <w:kern w:val="0"/>
        </w:rPr>
        <w:t xml:space="preserve">    （略），</w:t>
      </w:r>
      <w:bookmarkEnd w:id="349"/>
      <w:bookmarkEnd w:id="350"/>
      <w:r>
        <w:rPr>
          <w:rFonts w:hint="eastAsia" w:hAnsi="宋体" w:cs="宋体"/>
          <w:snapToGrid w:val="0"/>
          <w:color w:val="auto"/>
          <w:kern w:val="0"/>
        </w:rPr>
        <w:t>按照《建设工程监理合同（示范文本）》（GF—2012—0202）执行。</w:t>
      </w:r>
    </w:p>
    <w:p w14:paraId="6CF11764">
      <w:pPr>
        <w:pStyle w:val="10"/>
        <w:snapToGrid w:val="0"/>
        <w:spacing w:line="400" w:lineRule="exact"/>
        <w:rPr>
          <w:rFonts w:hAnsi="宋体" w:cs="宋体"/>
          <w:snapToGrid w:val="0"/>
          <w:color w:val="auto"/>
        </w:rPr>
      </w:pPr>
    </w:p>
    <w:p w14:paraId="15C44C0F">
      <w:pPr>
        <w:pStyle w:val="74"/>
        <w:widowControl w:val="0"/>
        <w:wordWrap w:val="0"/>
        <w:adjustRightInd w:val="0"/>
        <w:snapToGrid w:val="0"/>
        <w:spacing w:line="400" w:lineRule="exact"/>
        <w:ind w:firstLine="0"/>
        <w:rPr>
          <w:rFonts w:hAnsi="宋体" w:cs="宋体"/>
          <w:snapToGrid w:val="0"/>
          <w:color w:val="auto"/>
          <w:sz w:val="21"/>
        </w:rPr>
      </w:pPr>
    </w:p>
    <w:sectPr>
      <w:footerReference r:id="rId9" w:type="default"/>
      <w:endnotePr>
        <w:numFmt w:val="decimal"/>
      </w:endnotePr>
      <w:pgSz w:w="11906" w:h="16838"/>
      <w:pgMar w:top="1134" w:right="1134" w:bottom="1134" w:left="1134" w:header="850" w:footer="850" w:gutter="0"/>
      <w:pgNumType w:fmt="decimal"/>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11"/>
      <w:pBdr>
        <w:between w:val="none" w:color="auto" w:sz="0" w:space="0"/>
      </w:pBdr>
      <w:tabs>
        <w:tab w:val="left" w:pos="4803"/>
        <w:tab w:val="clear" w:pos="4153"/>
      </w:tabs>
      <w:rPr>
        <w:rFonts w:hint="eastAsia"/>
      </w:rPr>
    </w:pPr>
    <w:r>
      <w:rPr>
        <w:rFonts w:hint="eastAsia"/>
      </w:rPr>
      <w:tab/>
    </w:r>
  </w:p>
  <w:p w14:paraId="3881DEF1">
    <w:pPr>
      <w:pStyle w:val="111"/>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787F0">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EE09">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CFFEE09">
                    <w:pPr>
                      <w:pStyle w:val="1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382DD">
                          <w:pPr>
                            <w:pStyle w:val="19"/>
                          </w:pPr>
                          <w:r>
                            <w:t xml:space="preserve">第 </w:t>
                          </w:r>
                          <w:r>
                            <w:fldChar w:fldCharType="begin"/>
                          </w:r>
                          <w:r>
                            <w:instrText xml:space="preserve"> PAGE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18382DD">
                    <w:pPr>
                      <w:pStyle w:val="19"/>
                    </w:pPr>
                    <w:r>
                      <w:t xml:space="preserve">第 </w:t>
                    </w:r>
                    <w:r>
                      <w:fldChar w:fldCharType="begin"/>
                    </w:r>
                    <w:r>
                      <w:instrText xml:space="preserve"> PAGE  \* MERGEFORMAT </w:instrText>
                    </w:r>
                    <w:r>
                      <w:fldChar w:fldCharType="separate"/>
                    </w:r>
                    <w:r>
                      <w:t>72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B3D34">
    <w:pPr>
      <w:pStyle w:val="11"/>
      <w:spacing w:line="5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D7A8E"/>
    <w:multiLevelType w:val="singleLevel"/>
    <w:tmpl w:val="E0BD7A8E"/>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003F6"/>
    <w:rsid w:val="073C1416"/>
    <w:rsid w:val="07626CD1"/>
    <w:rsid w:val="076349FE"/>
    <w:rsid w:val="07F654CB"/>
    <w:rsid w:val="07F90245"/>
    <w:rsid w:val="08077FE9"/>
    <w:rsid w:val="08432B8E"/>
    <w:rsid w:val="085D1A1C"/>
    <w:rsid w:val="0872069D"/>
    <w:rsid w:val="08767FD2"/>
    <w:rsid w:val="087D7F38"/>
    <w:rsid w:val="08970A40"/>
    <w:rsid w:val="09702125"/>
    <w:rsid w:val="09AD2157"/>
    <w:rsid w:val="09B41737"/>
    <w:rsid w:val="09CA2D09"/>
    <w:rsid w:val="09E65669"/>
    <w:rsid w:val="09EA5159"/>
    <w:rsid w:val="09F5235C"/>
    <w:rsid w:val="0A0E69FD"/>
    <w:rsid w:val="0A3E54A5"/>
    <w:rsid w:val="0A570314"/>
    <w:rsid w:val="0A6523F4"/>
    <w:rsid w:val="0A685FB5"/>
    <w:rsid w:val="0A740EC6"/>
    <w:rsid w:val="0A9F6084"/>
    <w:rsid w:val="0B4006EB"/>
    <w:rsid w:val="0B914627"/>
    <w:rsid w:val="0B9B6EF0"/>
    <w:rsid w:val="0B9E10B5"/>
    <w:rsid w:val="0B9E1CB0"/>
    <w:rsid w:val="0BC47C2C"/>
    <w:rsid w:val="0BF6217D"/>
    <w:rsid w:val="0C0D7AE6"/>
    <w:rsid w:val="0CA02447"/>
    <w:rsid w:val="0CA20070"/>
    <w:rsid w:val="0CAA75AD"/>
    <w:rsid w:val="0CC7733C"/>
    <w:rsid w:val="0CC80FED"/>
    <w:rsid w:val="0CD32A34"/>
    <w:rsid w:val="0CF12128"/>
    <w:rsid w:val="0D140105"/>
    <w:rsid w:val="0D364445"/>
    <w:rsid w:val="0D661EEC"/>
    <w:rsid w:val="0D7E1192"/>
    <w:rsid w:val="0DB82B2F"/>
    <w:rsid w:val="0E0322E5"/>
    <w:rsid w:val="0E650489"/>
    <w:rsid w:val="0E8273DD"/>
    <w:rsid w:val="0E954BA0"/>
    <w:rsid w:val="0EAF2288"/>
    <w:rsid w:val="0EC544EB"/>
    <w:rsid w:val="0F177F3C"/>
    <w:rsid w:val="0F287BA3"/>
    <w:rsid w:val="0F3B1552"/>
    <w:rsid w:val="0F823F1F"/>
    <w:rsid w:val="0FA1224B"/>
    <w:rsid w:val="0FAB1B4B"/>
    <w:rsid w:val="0FC147F0"/>
    <w:rsid w:val="0FC83017"/>
    <w:rsid w:val="0FDE143F"/>
    <w:rsid w:val="0FED49BA"/>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1611D1"/>
    <w:rsid w:val="127C2803"/>
    <w:rsid w:val="127E10FD"/>
    <w:rsid w:val="12851648"/>
    <w:rsid w:val="128819B3"/>
    <w:rsid w:val="12884038"/>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14828"/>
    <w:rsid w:val="13E2760C"/>
    <w:rsid w:val="13E55A7C"/>
    <w:rsid w:val="13ED238A"/>
    <w:rsid w:val="144D28BE"/>
    <w:rsid w:val="14A11363"/>
    <w:rsid w:val="14AD3C82"/>
    <w:rsid w:val="14AD638E"/>
    <w:rsid w:val="14D507B4"/>
    <w:rsid w:val="14E82BDD"/>
    <w:rsid w:val="150717C8"/>
    <w:rsid w:val="1530421B"/>
    <w:rsid w:val="15335E3C"/>
    <w:rsid w:val="15585425"/>
    <w:rsid w:val="15632821"/>
    <w:rsid w:val="156E0438"/>
    <w:rsid w:val="159710CE"/>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92082"/>
    <w:rsid w:val="17394FF8"/>
    <w:rsid w:val="17A50E24"/>
    <w:rsid w:val="17DE305B"/>
    <w:rsid w:val="17EB6EF9"/>
    <w:rsid w:val="17EF123E"/>
    <w:rsid w:val="181E2472"/>
    <w:rsid w:val="186F67C2"/>
    <w:rsid w:val="18AC5722"/>
    <w:rsid w:val="18BA750B"/>
    <w:rsid w:val="18C03544"/>
    <w:rsid w:val="18D45DFC"/>
    <w:rsid w:val="18DD6311"/>
    <w:rsid w:val="19000928"/>
    <w:rsid w:val="192856B3"/>
    <w:rsid w:val="19506374"/>
    <w:rsid w:val="19AB63C4"/>
    <w:rsid w:val="1A0D6313"/>
    <w:rsid w:val="1A3810FE"/>
    <w:rsid w:val="1A3D0F0C"/>
    <w:rsid w:val="1A4A48FF"/>
    <w:rsid w:val="1A501F1B"/>
    <w:rsid w:val="1A7C0E8F"/>
    <w:rsid w:val="1A9A0468"/>
    <w:rsid w:val="1ABE60EB"/>
    <w:rsid w:val="1AC45552"/>
    <w:rsid w:val="1AD50A96"/>
    <w:rsid w:val="1AFB4481"/>
    <w:rsid w:val="1B106078"/>
    <w:rsid w:val="1B3626B5"/>
    <w:rsid w:val="1B544E28"/>
    <w:rsid w:val="1B5938A5"/>
    <w:rsid w:val="1B5D1E9E"/>
    <w:rsid w:val="1B6323E0"/>
    <w:rsid w:val="1B776451"/>
    <w:rsid w:val="1BAE4064"/>
    <w:rsid w:val="1BD16179"/>
    <w:rsid w:val="1BD712B5"/>
    <w:rsid w:val="1BDB2B53"/>
    <w:rsid w:val="1C0D795C"/>
    <w:rsid w:val="1C0F788B"/>
    <w:rsid w:val="1C141501"/>
    <w:rsid w:val="1C3D55BC"/>
    <w:rsid w:val="1C7726C5"/>
    <w:rsid w:val="1C7F5BD5"/>
    <w:rsid w:val="1C814C75"/>
    <w:rsid w:val="1C8F2794"/>
    <w:rsid w:val="1CAE7812"/>
    <w:rsid w:val="1CB20AFB"/>
    <w:rsid w:val="1CB751D0"/>
    <w:rsid w:val="1CB919A4"/>
    <w:rsid w:val="1CD83537"/>
    <w:rsid w:val="1CEF0DA9"/>
    <w:rsid w:val="1CFC2D19"/>
    <w:rsid w:val="1D105D93"/>
    <w:rsid w:val="1D1E0445"/>
    <w:rsid w:val="1D270AE4"/>
    <w:rsid w:val="1D44283A"/>
    <w:rsid w:val="1D60342F"/>
    <w:rsid w:val="1D78009C"/>
    <w:rsid w:val="1D871C03"/>
    <w:rsid w:val="1D884CF0"/>
    <w:rsid w:val="1D8E0177"/>
    <w:rsid w:val="1DA3413D"/>
    <w:rsid w:val="1E095D84"/>
    <w:rsid w:val="1E545B64"/>
    <w:rsid w:val="1E6D05AB"/>
    <w:rsid w:val="1E7B6870"/>
    <w:rsid w:val="1EC73280"/>
    <w:rsid w:val="1EFF124F"/>
    <w:rsid w:val="1F114792"/>
    <w:rsid w:val="1F1E1F01"/>
    <w:rsid w:val="1F444EB4"/>
    <w:rsid w:val="1F503858"/>
    <w:rsid w:val="1F8E7284"/>
    <w:rsid w:val="1FB360E7"/>
    <w:rsid w:val="1FB873A4"/>
    <w:rsid w:val="1FF232DB"/>
    <w:rsid w:val="1FF45850"/>
    <w:rsid w:val="202D1235"/>
    <w:rsid w:val="203013AA"/>
    <w:rsid w:val="20327A15"/>
    <w:rsid w:val="206E565F"/>
    <w:rsid w:val="20D364EF"/>
    <w:rsid w:val="20E97676"/>
    <w:rsid w:val="211A7738"/>
    <w:rsid w:val="21295B5E"/>
    <w:rsid w:val="212D27FA"/>
    <w:rsid w:val="219E373C"/>
    <w:rsid w:val="21A93CF7"/>
    <w:rsid w:val="21AF599B"/>
    <w:rsid w:val="21D0774F"/>
    <w:rsid w:val="223713D9"/>
    <w:rsid w:val="227B2B13"/>
    <w:rsid w:val="22A461F0"/>
    <w:rsid w:val="22B12CDA"/>
    <w:rsid w:val="22C92E53"/>
    <w:rsid w:val="22FC4CE3"/>
    <w:rsid w:val="23187739"/>
    <w:rsid w:val="23291E8B"/>
    <w:rsid w:val="23437531"/>
    <w:rsid w:val="236457F5"/>
    <w:rsid w:val="236E081B"/>
    <w:rsid w:val="2387194A"/>
    <w:rsid w:val="238C2DA9"/>
    <w:rsid w:val="23E85901"/>
    <w:rsid w:val="241E63E6"/>
    <w:rsid w:val="24213A15"/>
    <w:rsid w:val="24372BE7"/>
    <w:rsid w:val="245105A4"/>
    <w:rsid w:val="245A0AF2"/>
    <w:rsid w:val="245C2F8D"/>
    <w:rsid w:val="249066DD"/>
    <w:rsid w:val="24E707BB"/>
    <w:rsid w:val="251C369C"/>
    <w:rsid w:val="25536401"/>
    <w:rsid w:val="2566287E"/>
    <w:rsid w:val="25FD1164"/>
    <w:rsid w:val="2612287C"/>
    <w:rsid w:val="26196704"/>
    <w:rsid w:val="26217CFD"/>
    <w:rsid w:val="26440673"/>
    <w:rsid w:val="26623C6C"/>
    <w:rsid w:val="26C86BA7"/>
    <w:rsid w:val="26E06C71"/>
    <w:rsid w:val="26EA0CB5"/>
    <w:rsid w:val="26FD55DC"/>
    <w:rsid w:val="27017996"/>
    <w:rsid w:val="273C36E8"/>
    <w:rsid w:val="2744740D"/>
    <w:rsid w:val="274B251F"/>
    <w:rsid w:val="274B5F1C"/>
    <w:rsid w:val="274C5507"/>
    <w:rsid w:val="274E67F3"/>
    <w:rsid w:val="27725362"/>
    <w:rsid w:val="27C923FA"/>
    <w:rsid w:val="281250A7"/>
    <w:rsid w:val="28131DB1"/>
    <w:rsid w:val="28251659"/>
    <w:rsid w:val="283C7070"/>
    <w:rsid w:val="284618DF"/>
    <w:rsid w:val="286F2FA1"/>
    <w:rsid w:val="289531DE"/>
    <w:rsid w:val="28E47B36"/>
    <w:rsid w:val="291C1B2F"/>
    <w:rsid w:val="29234F87"/>
    <w:rsid w:val="29554B1B"/>
    <w:rsid w:val="29671ECA"/>
    <w:rsid w:val="298A6B2C"/>
    <w:rsid w:val="29B66A0D"/>
    <w:rsid w:val="29F05B24"/>
    <w:rsid w:val="29F179E6"/>
    <w:rsid w:val="2A350D3C"/>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D0A4DD2"/>
    <w:rsid w:val="2D427EAD"/>
    <w:rsid w:val="2D9515C6"/>
    <w:rsid w:val="2D9A4964"/>
    <w:rsid w:val="2DC826D3"/>
    <w:rsid w:val="2DEF1607"/>
    <w:rsid w:val="2DF27D49"/>
    <w:rsid w:val="2DF803FC"/>
    <w:rsid w:val="2E0C16EA"/>
    <w:rsid w:val="2E4F3581"/>
    <w:rsid w:val="2E857AA5"/>
    <w:rsid w:val="2E910CDC"/>
    <w:rsid w:val="2EBD1EFD"/>
    <w:rsid w:val="2EC715D4"/>
    <w:rsid w:val="2F0B092E"/>
    <w:rsid w:val="2F1D4D98"/>
    <w:rsid w:val="2F4E3303"/>
    <w:rsid w:val="2F625641"/>
    <w:rsid w:val="2FBF699C"/>
    <w:rsid w:val="301C3E1D"/>
    <w:rsid w:val="303C6E79"/>
    <w:rsid w:val="304479DC"/>
    <w:rsid w:val="306A1172"/>
    <w:rsid w:val="306B0278"/>
    <w:rsid w:val="308E63ED"/>
    <w:rsid w:val="30BF65F3"/>
    <w:rsid w:val="30C47C02"/>
    <w:rsid w:val="315F570D"/>
    <w:rsid w:val="31615422"/>
    <w:rsid w:val="3163741B"/>
    <w:rsid w:val="31E0281A"/>
    <w:rsid w:val="31FE12D4"/>
    <w:rsid w:val="32364B30"/>
    <w:rsid w:val="32B271D3"/>
    <w:rsid w:val="32BA0022"/>
    <w:rsid w:val="332643F5"/>
    <w:rsid w:val="334C58BF"/>
    <w:rsid w:val="33791178"/>
    <w:rsid w:val="33CB12A8"/>
    <w:rsid w:val="33D267D7"/>
    <w:rsid w:val="33D66E83"/>
    <w:rsid w:val="33E82ECD"/>
    <w:rsid w:val="33F7209D"/>
    <w:rsid w:val="34022441"/>
    <w:rsid w:val="340D366E"/>
    <w:rsid w:val="3428064F"/>
    <w:rsid w:val="3460329E"/>
    <w:rsid w:val="34675E29"/>
    <w:rsid w:val="34864348"/>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2F5B1E"/>
    <w:rsid w:val="36395EE4"/>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7ED7A3F"/>
    <w:rsid w:val="383A4B00"/>
    <w:rsid w:val="38A019C9"/>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006E0"/>
    <w:rsid w:val="3B43221E"/>
    <w:rsid w:val="3B732D74"/>
    <w:rsid w:val="3B8B7F8C"/>
    <w:rsid w:val="3B9A46DD"/>
    <w:rsid w:val="3BA174BE"/>
    <w:rsid w:val="3BA34FDA"/>
    <w:rsid w:val="3BBB7C7B"/>
    <w:rsid w:val="3BBD0245"/>
    <w:rsid w:val="3BC5576C"/>
    <w:rsid w:val="3BCC3E0F"/>
    <w:rsid w:val="3BF5322F"/>
    <w:rsid w:val="3C35213B"/>
    <w:rsid w:val="3C5067EE"/>
    <w:rsid w:val="3C581218"/>
    <w:rsid w:val="3CD218F9"/>
    <w:rsid w:val="3CD704BD"/>
    <w:rsid w:val="3CE75849"/>
    <w:rsid w:val="3D1A6A65"/>
    <w:rsid w:val="3D4B689C"/>
    <w:rsid w:val="3D8F7C9A"/>
    <w:rsid w:val="3E4A665D"/>
    <w:rsid w:val="3E88226F"/>
    <w:rsid w:val="3EBC63BD"/>
    <w:rsid w:val="3EDB4A95"/>
    <w:rsid w:val="3EE057E6"/>
    <w:rsid w:val="3F18690D"/>
    <w:rsid w:val="3F1B285B"/>
    <w:rsid w:val="3F2A3743"/>
    <w:rsid w:val="3F310B59"/>
    <w:rsid w:val="3F43243B"/>
    <w:rsid w:val="3F47212A"/>
    <w:rsid w:val="3F6A3CD5"/>
    <w:rsid w:val="3FCB19D9"/>
    <w:rsid w:val="3FCB2D5B"/>
    <w:rsid w:val="3FE57C96"/>
    <w:rsid w:val="3FF81D2D"/>
    <w:rsid w:val="402847E9"/>
    <w:rsid w:val="40302BBE"/>
    <w:rsid w:val="405E34A3"/>
    <w:rsid w:val="40672358"/>
    <w:rsid w:val="407C7161"/>
    <w:rsid w:val="407D5E86"/>
    <w:rsid w:val="40807762"/>
    <w:rsid w:val="409A44DC"/>
    <w:rsid w:val="40A92971"/>
    <w:rsid w:val="40BC08F6"/>
    <w:rsid w:val="40BE0F76"/>
    <w:rsid w:val="40CB718C"/>
    <w:rsid w:val="40DD59C2"/>
    <w:rsid w:val="40DE038F"/>
    <w:rsid w:val="41610361"/>
    <w:rsid w:val="41A8307D"/>
    <w:rsid w:val="41C06995"/>
    <w:rsid w:val="41DB1250"/>
    <w:rsid w:val="41E2613A"/>
    <w:rsid w:val="421B6FDC"/>
    <w:rsid w:val="42595C18"/>
    <w:rsid w:val="429E14C7"/>
    <w:rsid w:val="429F2762"/>
    <w:rsid w:val="42AB17FE"/>
    <w:rsid w:val="42B11DCD"/>
    <w:rsid w:val="42E3216A"/>
    <w:rsid w:val="42FF5094"/>
    <w:rsid w:val="436C03B1"/>
    <w:rsid w:val="43C7528C"/>
    <w:rsid w:val="43CB220C"/>
    <w:rsid w:val="445415FA"/>
    <w:rsid w:val="445B3984"/>
    <w:rsid w:val="445B5455"/>
    <w:rsid w:val="44943A7F"/>
    <w:rsid w:val="44DF70BA"/>
    <w:rsid w:val="450F631C"/>
    <w:rsid w:val="453971E4"/>
    <w:rsid w:val="453B0C21"/>
    <w:rsid w:val="453C54BE"/>
    <w:rsid w:val="45476363"/>
    <w:rsid w:val="456D040C"/>
    <w:rsid w:val="458938E1"/>
    <w:rsid w:val="463F7FFF"/>
    <w:rsid w:val="46484BFF"/>
    <w:rsid w:val="46512233"/>
    <w:rsid w:val="46540D24"/>
    <w:rsid w:val="46A737E8"/>
    <w:rsid w:val="46C14018"/>
    <w:rsid w:val="46C73076"/>
    <w:rsid w:val="46D07EE5"/>
    <w:rsid w:val="46E465A3"/>
    <w:rsid w:val="46F806BD"/>
    <w:rsid w:val="47043CAB"/>
    <w:rsid w:val="472705CE"/>
    <w:rsid w:val="479A2C46"/>
    <w:rsid w:val="479C5136"/>
    <w:rsid w:val="47A264F9"/>
    <w:rsid w:val="47E06018"/>
    <w:rsid w:val="484D17C1"/>
    <w:rsid w:val="48653A64"/>
    <w:rsid w:val="48811B8A"/>
    <w:rsid w:val="48C40B78"/>
    <w:rsid w:val="48C43988"/>
    <w:rsid w:val="48E83E36"/>
    <w:rsid w:val="49345B93"/>
    <w:rsid w:val="494C4B08"/>
    <w:rsid w:val="49951EFC"/>
    <w:rsid w:val="499A26FB"/>
    <w:rsid w:val="49B026D9"/>
    <w:rsid w:val="49B722B7"/>
    <w:rsid w:val="49C15E4A"/>
    <w:rsid w:val="49D955C3"/>
    <w:rsid w:val="49ED65A4"/>
    <w:rsid w:val="49F10AB5"/>
    <w:rsid w:val="4A307756"/>
    <w:rsid w:val="4A6D7DCA"/>
    <w:rsid w:val="4A9910AB"/>
    <w:rsid w:val="4A992597"/>
    <w:rsid w:val="4A9B332A"/>
    <w:rsid w:val="4AD625B4"/>
    <w:rsid w:val="4AFF509B"/>
    <w:rsid w:val="4B4014D1"/>
    <w:rsid w:val="4B5E2E2F"/>
    <w:rsid w:val="4B675E1C"/>
    <w:rsid w:val="4B9F7C0E"/>
    <w:rsid w:val="4BA9128D"/>
    <w:rsid w:val="4BC73F17"/>
    <w:rsid w:val="4BEB73D9"/>
    <w:rsid w:val="4C166235"/>
    <w:rsid w:val="4C1C544C"/>
    <w:rsid w:val="4C313219"/>
    <w:rsid w:val="4C5D1828"/>
    <w:rsid w:val="4C6C738D"/>
    <w:rsid w:val="4C6D0CF6"/>
    <w:rsid w:val="4C752F70"/>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2D0B1A"/>
    <w:rsid w:val="4F7A0020"/>
    <w:rsid w:val="4FB00148"/>
    <w:rsid w:val="4FD90EC4"/>
    <w:rsid w:val="4FE12F08"/>
    <w:rsid w:val="4FF63972"/>
    <w:rsid w:val="500B4BE0"/>
    <w:rsid w:val="504A7CCC"/>
    <w:rsid w:val="504B329A"/>
    <w:rsid w:val="50580297"/>
    <w:rsid w:val="50697817"/>
    <w:rsid w:val="506F6B37"/>
    <w:rsid w:val="5086682B"/>
    <w:rsid w:val="5090365A"/>
    <w:rsid w:val="51096E4A"/>
    <w:rsid w:val="51106525"/>
    <w:rsid w:val="511A6C71"/>
    <w:rsid w:val="512567F5"/>
    <w:rsid w:val="513C4D1D"/>
    <w:rsid w:val="514C3DAD"/>
    <w:rsid w:val="515047BA"/>
    <w:rsid w:val="5157430C"/>
    <w:rsid w:val="516A7F37"/>
    <w:rsid w:val="51916F53"/>
    <w:rsid w:val="51AA4C59"/>
    <w:rsid w:val="51CB4CC2"/>
    <w:rsid w:val="51D829D5"/>
    <w:rsid w:val="51ED0D38"/>
    <w:rsid w:val="51F31FFB"/>
    <w:rsid w:val="51FA103F"/>
    <w:rsid w:val="520170B1"/>
    <w:rsid w:val="524428F4"/>
    <w:rsid w:val="5257047F"/>
    <w:rsid w:val="525B5D4E"/>
    <w:rsid w:val="52693AF2"/>
    <w:rsid w:val="52765BD3"/>
    <w:rsid w:val="52851E0F"/>
    <w:rsid w:val="529B0943"/>
    <w:rsid w:val="52F44E38"/>
    <w:rsid w:val="52FE3AEF"/>
    <w:rsid w:val="53284056"/>
    <w:rsid w:val="536B2B1F"/>
    <w:rsid w:val="537038AC"/>
    <w:rsid w:val="537540CD"/>
    <w:rsid w:val="53911E0A"/>
    <w:rsid w:val="53E13EC3"/>
    <w:rsid w:val="53E415EA"/>
    <w:rsid w:val="54140409"/>
    <w:rsid w:val="546837CB"/>
    <w:rsid w:val="54723DA3"/>
    <w:rsid w:val="547A0454"/>
    <w:rsid w:val="548C2969"/>
    <w:rsid w:val="54934AA7"/>
    <w:rsid w:val="549624AE"/>
    <w:rsid w:val="54CF254E"/>
    <w:rsid w:val="550B7745"/>
    <w:rsid w:val="55194B5B"/>
    <w:rsid w:val="554A42CB"/>
    <w:rsid w:val="55607267"/>
    <w:rsid w:val="556421BF"/>
    <w:rsid w:val="55676BB4"/>
    <w:rsid w:val="55835251"/>
    <w:rsid w:val="55913CA7"/>
    <w:rsid w:val="55CC6A83"/>
    <w:rsid w:val="560E3249"/>
    <w:rsid w:val="56186177"/>
    <w:rsid w:val="561B7A15"/>
    <w:rsid w:val="56532D14"/>
    <w:rsid w:val="56643F7B"/>
    <w:rsid w:val="56821842"/>
    <w:rsid w:val="569F0646"/>
    <w:rsid w:val="56AD2E30"/>
    <w:rsid w:val="56B45E9F"/>
    <w:rsid w:val="56D3302D"/>
    <w:rsid w:val="56D973CF"/>
    <w:rsid w:val="56FC63ED"/>
    <w:rsid w:val="57035F7F"/>
    <w:rsid w:val="570E4942"/>
    <w:rsid w:val="573222F5"/>
    <w:rsid w:val="5737262D"/>
    <w:rsid w:val="579A0B0F"/>
    <w:rsid w:val="57BA102C"/>
    <w:rsid w:val="57D61931"/>
    <w:rsid w:val="57DD6DD0"/>
    <w:rsid w:val="582A366D"/>
    <w:rsid w:val="585169D2"/>
    <w:rsid w:val="58861256"/>
    <w:rsid w:val="58906680"/>
    <w:rsid w:val="58D03F93"/>
    <w:rsid w:val="59016B9E"/>
    <w:rsid w:val="595963DC"/>
    <w:rsid w:val="595A456A"/>
    <w:rsid w:val="59607A95"/>
    <w:rsid w:val="59962910"/>
    <w:rsid w:val="59964FFE"/>
    <w:rsid w:val="599C74E8"/>
    <w:rsid w:val="59DB6FF7"/>
    <w:rsid w:val="59E20C6B"/>
    <w:rsid w:val="5A2515C6"/>
    <w:rsid w:val="5A2E66EC"/>
    <w:rsid w:val="5A395940"/>
    <w:rsid w:val="5A513553"/>
    <w:rsid w:val="5A7F7348"/>
    <w:rsid w:val="5A8329E1"/>
    <w:rsid w:val="5A8D4028"/>
    <w:rsid w:val="5A976D2B"/>
    <w:rsid w:val="5A9B5D67"/>
    <w:rsid w:val="5AD059E8"/>
    <w:rsid w:val="5AE92B8E"/>
    <w:rsid w:val="5B075A06"/>
    <w:rsid w:val="5B153530"/>
    <w:rsid w:val="5B3168E5"/>
    <w:rsid w:val="5B4C3B08"/>
    <w:rsid w:val="5B6D574D"/>
    <w:rsid w:val="5B8338B0"/>
    <w:rsid w:val="5B885B4D"/>
    <w:rsid w:val="5BE73EC9"/>
    <w:rsid w:val="5BFB6474"/>
    <w:rsid w:val="5C0D7037"/>
    <w:rsid w:val="5C2A7DE1"/>
    <w:rsid w:val="5C2F5E74"/>
    <w:rsid w:val="5C323783"/>
    <w:rsid w:val="5C3D06E5"/>
    <w:rsid w:val="5C6829AF"/>
    <w:rsid w:val="5C6D1843"/>
    <w:rsid w:val="5C806B92"/>
    <w:rsid w:val="5C8F1D6F"/>
    <w:rsid w:val="5C9F5B4C"/>
    <w:rsid w:val="5CDC1F44"/>
    <w:rsid w:val="5CF26970"/>
    <w:rsid w:val="5D1860EA"/>
    <w:rsid w:val="5D352289"/>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44156E"/>
    <w:rsid w:val="615D7134"/>
    <w:rsid w:val="6170205F"/>
    <w:rsid w:val="618F268C"/>
    <w:rsid w:val="61EA23B0"/>
    <w:rsid w:val="620A72BB"/>
    <w:rsid w:val="62287615"/>
    <w:rsid w:val="622F67B3"/>
    <w:rsid w:val="627D4254"/>
    <w:rsid w:val="62897466"/>
    <w:rsid w:val="62AD3683"/>
    <w:rsid w:val="62AE66F6"/>
    <w:rsid w:val="62B261AF"/>
    <w:rsid w:val="62F57B08"/>
    <w:rsid w:val="6303429D"/>
    <w:rsid w:val="63205356"/>
    <w:rsid w:val="63424833"/>
    <w:rsid w:val="63464D73"/>
    <w:rsid w:val="635822A8"/>
    <w:rsid w:val="63583AEB"/>
    <w:rsid w:val="6373268F"/>
    <w:rsid w:val="63737FC7"/>
    <w:rsid w:val="63C656BB"/>
    <w:rsid w:val="63CE3380"/>
    <w:rsid w:val="63E36016"/>
    <w:rsid w:val="63F21DB5"/>
    <w:rsid w:val="63FF6480"/>
    <w:rsid w:val="640A1EA8"/>
    <w:rsid w:val="642900E6"/>
    <w:rsid w:val="64302590"/>
    <w:rsid w:val="6439089B"/>
    <w:rsid w:val="64495DD6"/>
    <w:rsid w:val="64623809"/>
    <w:rsid w:val="64746C6E"/>
    <w:rsid w:val="647C3D75"/>
    <w:rsid w:val="65080F89"/>
    <w:rsid w:val="651E4E2C"/>
    <w:rsid w:val="655A76A7"/>
    <w:rsid w:val="655C6589"/>
    <w:rsid w:val="66047425"/>
    <w:rsid w:val="661052EF"/>
    <w:rsid w:val="66207331"/>
    <w:rsid w:val="662830CF"/>
    <w:rsid w:val="66747DFB"/>
    <w:rsid w:val="66767F83"/>
    <w:rsid w:val="66D54C1C"/>
    <w:rsid w:val="66F41F1E"/>
    <w:rsid w:val="6701113C"/>
    <w:rsid w:val="671C40AC"/>
    <w:rsid w:val="672D4EE4"/>
    <w:rsid w:val="677658C0"/>
    <w:rsid w:val="6797113A"/>
    <w:rsid w:val="67AF1F51"/>
    <w:rsid w:val="67BC1DD1"/>
    <w:rsid w:val="67C86935"/>
    <w:rsid w:val="67D14F07"/>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7459BD"/>
    <w:rsid w:val="69F85C86"/>
    <w:rsid w:val="6A09523D"/>
    <w:rsid w:val="6A1B26B7"/>
    <w:rsid w:val="6A244C92"/>
    <w:rsid w:val="6A2809FC"/>
    <w:rsid w:val="6A883CBC"/>
    <w:rsid w:val="6A902328"/>
    <w:rsid w:val="6B19056F"/>
    <w:rsid w:val="6B340F05"/>
    <w:rsid w:val="6B345E30"/>
    <w:rsid w:val="6B3A216D"/>
    <w:rsid w:val="6B4A7E40"/>
    <w:rsid w:val="6B505357"/>
    <w:rsid w:val="6B874EAB"/>
    <w:rsid w:val="6B985938"/>
    <w:rsid w:val="6BFB3E5A"/>
    <w:rsid w:val="6BFD3458"/>
    <w:rsid w:val="6C423778"/>
    <w:rsid w:val="6CAF118B"/>
    <w:rsid w:val="6CBB7E1F"/>
    <w:rsid w:val="6CC01E51"/>
    <w:rsid w:val="6CF372CA"/>
    <w:rsid w:val="6D027F59"/>
    <w:rsid w:val="6D2D1C64"/>
    <w:rsid w:val="6D475F5F"/>
    <w:rsid w:val="6D600E21"/>
    <w:rsid w:val="6D68133A"/>
    <w:rsid w:val="6DA82289"/>
    <w:rsid w:val="6DC03AFE"/>
    <w:rsid w:val="6DE915B6"/>
    <w:rsid w:val="6E061A11"/>
    <w:rsid w:val="6E345B45"/>
    <w:rsid w:val="6E63668A"/>
    <w:rsid w:val="6E671CA5"/>
    <w:rsid w:val="6E741E30"/>
    <w:rsid w:val="6E7E1055"/>
    <w:rsid w:val="6E9A5352"/>
    <w:rsid w:val="6EA0733B"/>
    <w:rsid w:val="6EBB122E"/>
    <w:rsid w:val="6EBB2C83"/>
    <w:rsid w:val="6EC77A48"/>
    <w:rsid w:val="6EC77E06"/>
    <w:rsid w:val="6EC97030"/>
    <w:rsid w:val="6F135451"/>
    <w:rsid w:val="6F2B35AD"/>
    <w:rsid w:val="6F332F4A"/>
    <w:rsid w:val="6F3C2DD2"/>
    <w:rsid w:val="6F8063CA"/>
    <w:rsid w:val="6FB66044"/>
    <w:rsid w:val="6FE25DC9"/>
    <w:rsid w:val="6FE8588F"/>
    <w:rsid w:val="6FF0664D"/>
    <w:rsid w:val="700A492A"/>
    <w:rsid w:val="702529D1"/>
    <w:rsid w:val="703F6602"/>
    <w:rsid w:val="70F34F86"/>
    <w:rsid w:val="70F759D2"/>
    <w:rsid w:val="71211F2C"/>
    <w:rsid w:val="713E329A"/>
    <w:rsid w:val="7146159B"/>
    <w:rsid w:val="714D0321"/>
    <w:rsid w:val="715C7211"/>
    <w:rsid w:val="717E08B2"/>
    <w:rsid w:val="718D73C3"/>
    <w:rsid w:val="71900A0A"/>
    <w:rsid w:val="719A4E18"/>
    <w:rsid w:val="71BC787F"/>
    <w:rsid w:val="71BE3E19"/>
    <w:rsid w:val="72011EEA"/>
    <w:rsid w:val="720A0C12"/>
    <w:rsid w:val="727517BE"/>
    <w:rsid w:val="72B50B7E"/>
    <w:rsid w:val="72BB53F2"/>
    <w:rsid w:val="72D442B8"/>
    <w:rsid w:val="73004C22"/>
    <w:rsid w:val="73011084"/>
    <w:rsid w:val="73555EBD"/>
    <w:rsid w:val="7386317F"/>
    <w:rsid w:val="7395781C"/>
    <w:rsid w:val="73A53748"/>
    <w:rsid w:val="73B01345"/>
    <w:rsid w:val="73F00452"/>
    <w:rsid w:val="73F97D41"/>
    <w:rsid w:val="74A353FC"/>
    <w:rsid w:val="74B55FCA"/>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897474"/>
    <w:rsid w:val="78A64B86"/>
    <w:rsid w:val="78BD078C"/>
    <w:rsid w:val="78DE3D6C"/>
    <w:rsid w:val="78E33867"/>
    <w:rsid w:val="78E52BDC"/>
    <w:rsid w:val="78F11367"/>
    <w:rsid w:val="78F93EFF"/>
    <w:rsid w:val="790776EC"/>
    <w:rsid w:val="798701EE"/>
    <w:rsid w:val="798720C7"/>
    <w:rsid w:val="798B75C8"/>
    <w:rsid w:val="798D230A"/>
    <w:rsid w:val="79A3081B"/>
    <w:rsid w:val="79A8143C"/>
    <w:rsid w:val="7A071D78"/>
    <w:rsid w:val="7A2D742D"/>
    <w:rsid w:val="7A5600FC"/>
    <w:rsid w:val="7A5C06AF"/>
    <w:rsid w:val="7A6447EC"/>
    <w:rsid w:val="7A6E489C"/>
    <w:rsid w:val="7A716D06"/>
    <w:rsid w:val="7AB14A59"/>
    <w:rsid w:val="7AC662B5"/>
    <w:rsid w:val="7B347D8A"/>
    <w:rsid w:val="7B8F4980"/>
    <w:rsid w:val="7B972CB9"/>
    <w:rsid w:val="7BA61501"/>
    <w:rsid w:val="7BAF14B0"/>
    <w:rsid w:val="7BD06448"/>
    <w:rsid w:val="7BE85AB6"/>
    <w:rsid w:val="7C14615E"/>
    <w:rsid w:val="7C467947"/>
    <w:rsid w:val="7CA103C5"/>
    <w:rsid w:val="7CA420D7"/>
    <w:rsid w:val="7CC52305"/>
    <w:rsid w:val="7CE922B5"/>
    <w:rsid w:val="7CF0056D"/>
    <w:rsid w:val="7CFD4359"/>
    <w:rsid w:val="7D196F8A"/>
    <w:rsid w:val="7D324E38"/>
    <w:rsid w:val="7D376D09"/>
    <w:rsid w:val="7D3A16E9"/>
    <w:rsid w:val="7D4A2A43"/>
    <w:rsid w:val="7D7B5294"/>
    <w:rsid w:val="7D9D74DD"/>
    <w:rsid w:val="7DA92784"/>
    <w:rsid w:val="7DB2187F"/>
    <w:rsid w:val="7DB37D69"/>
    <w:rsid w:val="7DCA019C"/>
    <w:rsid w:val="7DCA17AE"/>
    <w:rsid w:val="7DE55723"/>
    <w:rsid w:val="7DED451A"/>
    <w:rsid w:val="7E2214CE"/>
    <w:rsid w:val="7E2F24BC"/>
    <w:rsid w:val="7E564EE1"/>
    <w:rsid w:val="7E6D3957"/>
    <w:rsid w:val="7E6D67B0"/>
    <w:rsid w:val="7E8D7C7B"/>
    <w:rsid w:val="7EA83077"/>
    <w:rsid w:val="7ECD0B10"/>
    <w:rsid w:val="7ED53E1B"/>
    <w:rsid w:val="7F1D6A6D"/>
    <w:rsid w:val="7F2554A7"/>
    <w:rsid w:val="7F2A34D9"/>
    <w:rsid w:val="7F4D44C9"/>
    <w:rsid w:val="7F7A3881"/>
    <w:rsid w:val="7FA60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link w:val="161"/>
    <w:autoRedefine/>
    <w:qFormat/>
    <w:uiPriority w:val="0"/>
    <w:pPr>
      <w:autoSpaceDE w:val="0"/>
      <w:autoSpaceDN w:val="0"/>
      <w:adjustRightInd w:val="0"/>
      <w:jc w:val="left"/>
      <w:outlineLvl w:val="1"/>
    </w:pPr>
    <w:rPr>
      <w:kern w:val="0"/>
    </w:rPr>
  </w:style>
  <w:style w:type="paragraph" w:styleId="5">
    <w:name w:val="heading 3"/>
    <w:basedOn w:val="6"/>
    <w:next w:val="6"/>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toc 7"/>
    <w:basedOn w:val="1"/>
    <w:next w:val="1"/>
    <w:autoRedefine/>
    <w:qFormat/>
    <w:uiPriority w:val="0"/>
    <w:pPr>
      <w:ind w:left="1680"/>
      <w:jc w:val="left"/>
    </w:pPr>
  </w:style>
  <w:style w:type="paragraph" w:styleId="8">
    <w:name w:val="table of authorities"/>
    <w:basedOn w:val="1"/>
    <w:next w:val="1"/>
    <w:autoRedefine/>
    <w:qFormat/>
    <w:uiPriority w:val="0"/>
    <w:pPr>
      <w:ind w:left="420" w:leftChars="200"/>
    </w:pPr>
  </w:style>
  <w:style w:type="paragraph" w:styleId="9">
    <w:name w:val="Document Map"/>
    <w:basedOn w:val="1"/>
    <w:autoRedefine/>
    <w:qFormat/>
    <w:uiPriority w:val="0"/>
    <w:pPr>
      <w:shd w:val="clear" w:color="auto" w:fill="000080"/>
    </w:pPr>
  </w:style>
  <w:style w:type="paragraph" w:styleId="10">
    <w:name w:val="annotation text"/>
    <w:basedOn w:val="1"/>
    <w:next w:val="1"/>
    <w:autoRedefine/>
    <w:qFormat/>
    <w:uiPriority w:val="0"/>
    <w:pPr>
      <w:adjustRightInd w:val="0"/>
      <w:spacing w:line="360" w:lineRule="atLeast"/>
      <w:jc w:val="left"/>
      <w:textAlignment w:val="baseline"/>
    </w:pPr>
    <w:rPr>
      <w:kern w:val="0"/>
    </w:rPr>
  </w:style>
  <w:style w:type="paragraph" w:styleId="11">
    <w:name w:val="Body Text"/>
    <w:basedOn w:val="1"/>
    <w:autoRedefine/>
    <w:qFormat/>
    <w:uiPriority w:val="0"/>
    <w:pPr>
      <w:spacing w:after="120"/>
    </w:pPr>
  </w:style>
  <w:style w:type="paragraph" w:styleId="12">
    <w:name w:val="Body Text Indent"/>
    <w:basedOn w:val="1"/>
    <w:link w:val="46"/>
    <w:autoRedefine/>
    <w:qFormat/>
    <w:uiPriority w:val="0"/>
    <w:pPr>
      <w:ind w:firstLine="560" w:firstLineChars="200"/>
    </w:pPr>
  </w:style>
  <w:style w:type="paragraph" w:styleId="13">
    <w:name w:val="toc 5"/>
    <w:basedOn w:val="1"/>
    <w:next w:val="1"/>
    <w:autoRedefine/>
    <w:qFormat/>
    <w:uiPriority w:val="0"/>
    <w:pPr>
      <w:ind w:left="1120"/>
      <w:jc w:val="left"/>
    </w:pPr>
  </w:style>
  <w:style w:type="paragraph" w:styleId="14">
    <w:name w:val="toc 3"/>
    <w:basedOn w:val="1"/>
    <w:next w:val="1"/>
    <w:autoRedefine/>
    <w:qFormat/>
    <w:uiPriority w:val="0"/>
    <w:pPr>
      <w:ind w:left="561"/>
      <w:jc w:val="left"/>
    </w:pPr>
  </w:style>
  <w:style w:type="paragraph" w:styleId="15">
    <w:name w:val="Plain Text"/>
    <w:basedOn w:val="1"/>
    <w:qFormat/>
    <w:uiPriority w:val="0"/>
    <w:rPr>
      <w:rFonts w:ascii="宋体" w:hAnsi="Courier New" w:eastAsia="宋体" w:cs="Courier New"/>
      <w:szCs w:val="21"/>
    </w:rPr>
  </w:style>
  <w:style w:type="paragraph" w:styleId="16">
    <w:name w:val="toc 8"/>
    <w:basedOn w:val="1"/>
    <w:next w:val="1"/>
    <w:autoRedefine/>
    <w:qFormat/>
    <w:uiPriority w:val="0"/>
    <w:pPr>
      <w:ind w:left="1960"/>
      <w:jc w:val="left"/>
    </w:pPr>
  </w:style>
  <w:style w:type="paragraph" w:styleId="17">
    <w:name w:val="Body Text Indent 2"/>
    <w:basedOn w:val="1"/>
    <w:autoRedefine/>
    <w:qFormat/>
    <w:uiPriority w:val="0"/>
    <w:pPr>
      <w:spacing w:line="480" w:lineRule="auto"/>
      <w:ind w:firstLine="561"/>
    </w:pPr>
  </w:style>
  <w:style w:type="paragraph" w:styleId="18">
    <w:name w:val="Balloon Text"/>
    <w:basedOn w:val="1"/>
    <w:autoRedefine/>
    <w:qFormat/>
    <w:uiPriority w:val="0"/>
    <w:rPr>
      <w:sz w:val="18"/>
      <w:szCs w:val="18"/>
    </w:rPr>
  </w:style>
  <w:style w:type="paragraph" w:styleId="19">
    <w:name w:val="footer"/>
    <w:basedOn w:val="1"/>
    <w:autoRedefine/>
    <w:qFormat/>
    <w:uiPriority w:val="0"/>
    <w:pPr>
      <w:widowControl/>
      <w:tabs>
        <w:tab w:val="center" w:pos="4153"/>
        <w:tab w:val="right" w:pos="8306"/>
      </w:tabs>
      <w:snapToGrid w:val="0"/>
      <w:jc w:val="left"/>
    </w:pPr>
    <w:rPr>
      <w:kern w:val="0"/>
      <w:sz w:val="18"/>
    </w:rPr>
  </w:style>
  <w:style w:type="paragraph" w:styleId="20">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1">
    <w:name w:val="toc 1"/>
    <w:basedOn w:val="1"/>
    <w:next w:val="1"/>
    <w:autoRedefine/>
    <w:qFormat/>
    <w:uiPriority w:val="0"/>
    <w:pPr>
      <w:spacing w:before="120" w:after="120"/>
      <w:jc w:val="left"/>
    </w:pPr>
    <w:rPr>
      <w:caps/>
    </w:rPr>
  </w:style>
  <w:style w:type="paragraph" w:styleId="22">
    <w:name w:val="toc 4"/>
    <w:basedOn w:val="1"/>
    <w:next w:val="1"/>
    <w:autoRedefine/>
    <w:qFormat/>
    <w:uiPriority w:val="0"/>
    <w:pPr>
      <w:ind w:left="840"/>
      <w:jc w:val="left"/>
    </w:pPr>
  </w:style>
  <w:style w:type="paragraph" w:styleId="23">
    <w:name w:val="toc 6"/>
    <w:basedOn w:val="1"/>
    <w:next w:val="1"/>
    <w:autoRedefine/>
    <w:qFormat/>
    <w:uiPriority w:val="0"/>
    <w:pPr>
      <w:ind w:left="1400"/>
      <w:jc w:val="left"/>
    </w:pPr>
  </w:style>
  <w:style w:type="paragraph" w:styleId="24">
    <w:name w:val="Body Text Indent 3"/>
    <w:basedOn w:val="1"/>
    <w:link w:val="47"/>
    <w:autoRedefine/>
    <w:qFormat/>
    <w:uiPriority w:val="0"/>
    <w:pPr>
      <w:ind w:firstLine="560"/>
    </w:pPr>
    <w:rPr>
      <w:color w:val="FF0000"/>
    </w:rPr>
  </w:style>
  <w:style w:type="paragraph" w:styleId="25">
    <w:name w:val="toc 2"/>
    <w:basedOn w:val="1"/>
    <w:next w:val="1"/>
    <w:autoRedefine/>
    <w:qFormat/>
    <w:uiPriority w:val="0"/>
    <w:pPr>
      <w:ind w:left="278"/>
      <w:jc w:val="left"/>
    </w:pPr>
    <w:rPr>
      <w:smallCaps/>
    </w:rPr>
  </w:style>
  <w:style w:type="paragraph" w:styleId="26">
    <w:name w:val="toc 9"/>
    <w:basedOn w:val="1"/>
    <w:next w:val="1"/>
    <w:autoRedefine/>
    <w:qFormat/>
    <w:uiPriority w:val="0"/>
    <w:pPr>
      <w:ind w:left="2240"/>
      <w:jc w:val="left"/>
    </w:pPr>
  </w:style>
  <w:style w:type="paragraph" w:styleId="27">
    <w:name w:val="Body Text 2"/>
    <w:basedOn w:val="1"/>
    <w:next w:val="11"/>
    <w:autoRedefine/>
    <w:qFormat/>
    <w:uiPriority w:val="0"/>
    <w:pPr>
      <w:spacing w:line="500" w:lineRule="exact"/>
    </w:pPr>
  </w:style>
  <w:style w:type="paragraph" w:styleId="28">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9">
    <w:name w:val="annotation subject"/>
    <w:basedOn w:val="10"/>
    <w:next w:val="10"/>
    <w:autoRedefine/>
    <w:qFormat/>
    <w:uiPriority w:val="0"/>
    <w:pPr>
      <w:adjustRightInd/>
      <w:spacing w:line="360" w:lineRule="auto"/>
      <w:textAlignment w:val="auto"/>
    </w:pPr>
    <w:rPr>
      <w:b/>
      <w:bCs/>
      <w:kern w:val="2"/>
    </w:rPr>
  </w:style>
  <w:style w:type="paragraph" w:styleId="30">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Emphasis"/>
    <w:basedOn w:val="33"/>
    <w:qFormat/>
    <w:uiPriority w:val="0"/>
    <w:rPr>
      <w:i/>
    </w:rPr>
  </w:style>
  <w:style w:type="character" w:styleId="38">
    <w:name w:val="Hyperlink"/>
    <w:autoRedefine/>
    <w:qFormat/>
    <w:uiPriority w:val="0"/>
    <w:rPr>
      <w:color w:val="0000FF"/>
      <w:u w:val="single"/>
    </w:rPr>
  </w:style>
  <w:style w:type="character" w:styleId="39">
    <w:name w:val="annotation reference"/>
    <w:autoRedefine/>
    <w:qFormat/>
    <w:uiPriority w:val="0"/>
    <w:rPr>
      <w:sz w:val="21"/>
    </w:rPr>
  </w:style>
  <w:style w:type="paragraph" w:customStyle="1" w:styleId="40">
    <w:name w:val="章标题"/>
    <w:next w:val="1"/>
    <w:qFormat/>
    <w:uiPriority w:val="0"/>
    <w:pPr>
      <w:spacing w:before="50" w:after="50"/>
      <w:jc w:val="both"/>
      <w:outlineLvl w:val="1"/>
    </w:pPr>
    <w:rPr>
      <w:rFonts w:ascii="黑体" w:hAnsi="Calibri" w:eastAsia="黑体" w:cs="Times New Roman"/>
      <w:kern w:val="0"/>
      <w:sz w:val="21"/>
      <w:szCs w:val="20"/>
      <w:lang w:val="en-US" w:eastAsia="zh-CN" w:bidi="ar-SA"/>
    </w:rPr>
  </w:style>
  <w:style w:type="paragraph" w:customStyle="1" w:styleId="41">
    <w:name w:val="Normal Indent1"/>
    <w:basedOn w:val="1"/>
    <w:autoRedefine/>
    <w:qFormat/>
    <w:uiPriority w:val="0"/>
    <w:pPr>
      <w:widowControl/>
      <w:ind w:firstLine="420"/>
      <w:jc w:val="left"/>
    </w:pPr>
    <w:rPr>
      <w:rFonts w:ascii="Times New Roman"/>
      <w:kern w:val="0"/>
    </w:rPr>
  </w:style>
  <w:style w:type="paragraph" w:customStyle="1" w:styleId="42">
    <w:name w:val="样式 宋体 行距: 1.5 倍行距"/>
    <w:basedOn w:val="43"/>
    <w:next w:val="1"/>
    <w:autoRedefine/>
    <w:qFormat/>
    <w:uiPriority w:val="0"/>
    <w:pPr>
      <w:jc w:val="center"/>
    </w:pPr>
    <w:rPr>
      <w:rFonts w:ascii="Times New Roman"/>
      <w:b/>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2"/>
    <w:qFormat/>
    <w:uiPriority w:val="0"/>
    <w:pPr>
      <w:widowControl w:val="0"/>
      <w:jc w:val="both"/>
    </w:pPr>
    <w:rPr>
      <w:rFonts w:ascii="Calibri" w:hAnsi="Calibri" w:eastAsia="宋体" w:cs="黑体"/>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2"/>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5">
    <w:name w:val="Char Char2"/>
    <w:basedOn w:val="9"/>
    <w:autoRedefine/>
    <w:qFormat/>
    <w:uiPriority w:val="0"/>
    <w:pPr>
      <w:spacing w:line="240" w:lineRule="auto"/>
    </w:pPr>
  </w:style>
  <w:style w:type="character" w:customStyle="1" w:styleId="46">
    <w:name w:val="正文文本缩进 字符"/>
    <w:link w:val="12"/>
    <w:autoRedefine/>
    <w:qFormat/>
    <w:uiPriority w:val="0"/>
    <w:rPr>
      <w:rFonts w:ascii="宋体"/>
      <w:kern w:val="2"/>
      <w:sz w:val="24"/>
    </w:rPr>
  </w:style>
  <w:style w:type="character" w:customStyle="1" w:styleId="47">
    <w:name w:val="正文文本缩进 3 字符"/>
    <w:link w:val="24"/>
    <w:autoRedefine/>
    <w:qFormat/>
    <w:uiPriority w:val="0"/>
    <w:rPr>
      <w:rFonts w:ascii="宋体" w:eastAsia="宋体"/>
      <w:color w:val="FF0000"/>
      <w:kern w:val="2"/>
      <w:sz w:val="24"/>
      <w:lang w:val="en-US" w:eastAsia="zh-CN" w:bidi="ar-SA"/>
    </w:rPr>
  </w:style>
  <w:style w:type="character" w:customStyle="1" w:styleId="48">
    <w:name w:val="超链接 New New"/>
    <w:autoRedefine/>
    <w:qFormat/>
    <w:uiPriority w:val="0"/>
    <w:rPr>
      <w:color w:val="000000"/>
      <w:sz w:val="18"/>
      <w:szCs w:val="18"/>
      <w:u w:val="none"/>
    </w:rPr>
  </w:style>
  <w:style w:type="character" w:customStyle="1" w:styleId="49">
    <w:name w:val="超链接 New"/>
    <w:autoRedefine/>
    <w:qFormat/>
    <w:uiPriority w:val="0"/>
    <w:rPr>
      <w:color w:val="000000"/>
      <w:sz w:val="18"/>
      <w:szCs w:val="18"/>
      <w:u w:val="none"/>
    </w:rPr>
  </w:style>
  <w:style w:type="character" w:customStyle="1" w:styleId="50">
    <w:name w:val="默认段落字体1"/>
    <w:autoRedefine/>
    <w:qFormat/>
    <w:uiPriority w:val="0"/>
    <w:rPr>
      <w:rFonts w:hint="default"/>
    </w:rPr>
  </w:style>
  <w:style w:type="character" w:customStyle="1" w:styleId="51">
    <w:name w:val="默认段落字体 New New"/>
    <w:link w:val="52"/>
    <w:autoRedefine/>
    <w:qFormat/>
    <w:uiPriority w:val="0"/>
    <w:rPr>
      <w:rFonts w:ascii="Tahoma" w:hAnsi="Tahoma"/>
      <w:szCs w:val="24"/>
    </w:rPr>
  </w:style>
  <w:style w:type="paragraph" w:customStyle="1" w:styleId="52">
    <w:name w:val="Char New New"/>
    <w:basedOn w:val="1"/>
    <w:link w:val="51"/>
    <w:autoRedefine/>
    <w:qFormat/>
    <w:uiPriority w:val="0"/>
    <w:pPr>
      <w:spacing w:line="240" w:lineRule="auto"/>
    </w:pPr>
    <w:rPr>
      <w:rFonts w:ascii="Tahoma" w:hAnsi="Tahoma"/>
      <w:szCs w:val="24"/>
    </w:rPr>
  </w:style>
  <w:style w:type="character" w:customStyle="1" w:styleId="53">
    <w:name w:val="默认段落字体 New"/>
    <w:link w:val="54"/>
    <w:autoRedefine/>
    <w:qFormat/>
    <w:uiPriority w:val="0"/>
    <w:rPr>
      <w:rFonts w:ascii="Tahoma" w:hAnsi="Tahoma"/>
      <w:szCs w:val="24"/>
    </w:rPr>
  </w:style>
  <w:style w:type="paragraph" w:customStyle="1" w:styleId="54">
    <w:name w:val="Char New"/>
    <w:basedOn w:val="1"/>
    <w:link w:val="53"/>
    <w:autoRedefine/>
    <w:qFormat/>
    <w:uiPriority w:val="0"/>
    <w:pPr>
      <w:spacing w:line="240" w:lineRule="auto"/>
    </w:pPr>
    <w:rPr>
      <w:rFonts w:ascii="Tahoma" w:hAnsi="Tahoma"/>
      <w:szCs w:val="24"/>
    </w:rPr>
  </w:style>
  <w:style w:type="character" w:customStyle="1" w:styleId="55">
    <w:name w:val="页码 New New New"/>
    <w:autoRedefine/>
    <w:qFormat/>
    <w:uiPriority w:val="0"/>
    <w:rPr>
      <w:rFonts w:eastAsia="宋体"/>
      <w:kern w:val="2"/>
      <w:sz w:val="24"/>
      <w:szCs w:val="24"/>
      <w:lang w:val="en-US" w:eastAsia="zh-CN" w:bidi="ar-SA"/>
    </w:rPr>
  </w:style>
  <w:style w:type="character" w:customStyle="1" w:styleId="56">
    <w:name w:val="页码 New New"/>
    <w:autoRedefine/>
    <w:qFormat/>
    <w:uiPriority w:val="0"/>
    <w:rPr>
      <w:rFonts w:eastAsia="宋体"/>
      <w:kern w:val="2"/>
      <w:sz w:val="24"/>
      <w:szCs w:val="24"/>
      <w:lang w:val="en-US" w:eastAsia="zh-CN" w:bidi="ar-SA"/>
    </w:rPr>
  </w:style>
  <w:style w:type="character" w:customStyle="1" w:styleId="57">
    <w:name w:val="Char Char1"/>
    <w:autoRedefine/>
    <w:qFormat/>
    <w:uiPriority w:val="0"/>
    <w:rPr>
      <w:rFonts w:ascii="宋体" w:eastAsia="宋体"/>
      <w:color w:val="FF0000"/>
      <w:kern w:val="2"/>
      <w:sz w:val="24"/>
      <w:lang w:val="en-US" w:eastAsia="zh-CN" w:bidi="ar-SA"/>
    </w:rPr>
  </w:style>
  <w:style w:type="character" w:customStyle="1" w:styleId="58">
    <w:name w:val="页码 New"/>
    <w:autoRedefine/>
    <w:qFormat/>
    <w:uiPriority w:val="0"/>
    <w:rPr>
      <w:rFonts w:eastAsia="宋体"/>
      <w:kern w:val="2"/>
      <w:sz w:val="24"/>
      <w:szCs w:val="24"/>
      <w:lang w:val="en-US" w:eastAsia="zh-CN" w:bidi="ar-SA"/>
    </w:rPr>
  </w:style>
  <w:style w:type="paragraph" w:customStyle="1" w:styleId="59">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60">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1">
    <w:name w:val="页脚 New New New New New New New New New New New New New"/>
    <w:basedOn w:val="62"/>
    <w:autoRedefine/>
    <w:qFormat/>
    <w:uiPriority w:val="0"/>
    <w:pPr>
      <w:widowControl/>
      <w:tabs>
        <w:tab w:val="center" w:pos="4153"/>
        <w:tab w:val="right" w:pos="8306"/>
      </w:tabs>
      <w:snapToGrid w:val="0"/>
      <w:jc w:val="left"/>
    </w:pPr>
    <w:rPr>
      <w:sz w:val="18"/>
    </w:rPr>
  </w:style>
  <w:style w:type="paragraph" w:customStyle="1" w:styleId="62">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页脚 New New New New New"/>
    <w:basedOn w:val="67"/>
    <w:autoRedefine/>
    <w:qFormat/>
    <w:uiPriority w:val="0"/>
    <w:pPr>
      <w:tabs>
        <w:tab w:val="center" w:pos="4153"/>
        <w:tab w:val="right" w:pos="8306"/>
      </w:tabs>
      <w:snapToGrid w:val="0"/>
      <w:jc w:val="left"/>
    </w:pPr>
    <w:rPr>
      <w:sz w:val="18"/>
    </w:rPr>
  </w:style>
  <w:style w:type="paragraph" w:customStyle="1" w:styleId="67">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纯文本 New New"/>
    <w:basedOn w:val="69"/>
    <w:autoRedefine/>
    <w:qFormat/>
    <w:uiPriority w:val="0"/>
    <w:rPr>
      <w:rFonts w:ascii="宋体" w:hAnsi="Courier New"/>
      <w:szCs w:val="24"/>
    </w:rPr>
  </w:style>
  <w:style w:type="paragraph" w:customStyle="1" w:styleId="69">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0">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71">
    <w:name w:val="页脚1"/>
    <w:basedOn w:val="70"/>
    <w:autoRedefine/>
    <w:qFormat/>
    <w:uiPriority w:val="0"/>
    <w:pPr>
      <w:widowControl/>
      <w:tabs>
        <w:tab w:val="center" w:pos="4153"/>
        <w:tab w:val="right" w:pos="8306"/>
      </w:tabs>
      <w:snapToGrid w:val="0"/>
      <w:jc w:val="left"/>
    </w:pPr>
    <w:rPr>
      <w:kern w:val="0"/>
      <w:sz w:val="18"/>
    </w:rPr>
  </w:style>
  <w:style w:type="paragraph" w:customStyle="1" w:styleId="72">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3">
    <w:name w:val="标题 3 New New"/>
    <w:basedOn w:val="74"/>
    <w:next w:val="74"/>
    <w:autoRedefine/>
    <w:qFormat/>
    <w:uiPriority w:val="0"/>
    <w:pPr>
      <w:keepNext/>
      <w:keepLines/>
      <w:spacing w:before="120" w:after="120"/>
      <w:jc w:val="center"/>
      <w:outlineLvl w:val="2"/>
    </w:pPr>
    <w:rPr>
      <w:sz w:val="24"/>
    </w:rPr>
  </w:style>
  <w:style w:type="paragraph" w:customStyle="1" w:styleId="74">
    <w:name w:val="正文缩进 New"/>
    <w:basedOn w:val="75"/>
    <w:autoRedefine/>
    <w:qFormat/>
    <w:uiPriority w:val="0"/>
    <w:pPr>
      <w:widowControl/>
      <w:ind w:firstLine="420"/>
      <w:jc w:val="left"/>
    </w:pPr>
    <w:rPr>
      <w:kern w:val="0"/>
      <w:sz w:val="20"/>
    </w:rPr>
  </w:style>
  <w:style w:type="paragraph" w:customStyle="1" w:styleId="75">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6">
    <w:name w:val="普通(网站) New"/>
    <w:basedOn w:val="77"/>
    <w:autoRedefine/>
    <w:qFormat/>
    <w:uiPriority w:val="0"/>
    <w:rPr>
      <w:sz w:val="24"/>
    </w:rPr>
  </w:style>
  <w:style w:type="paragraph" w:customStyle="1" w:styleId="77">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文本缩进 New"/>
    <w:basedOn w:val="75"/>
    <w:autoRedefine/>
    <w:qFormat/>
    <w:uiPriority w:val="0"/>
    <w:pPr>
      <w:ind w:firstLine="560" w:firstLineChars="200"/>
    </w:pPr>
  </w:style>
  <w:style w:type="paragraph" w:customStyle="1" w:styleId="79">
    <w:name w:val="Char"/>
    <w:basedOn w:val="9"/>
    <w:autoRedefine/>
    <w:qFormat/>
    <w:uiPriority w:val="0"/>
    <w:pPr>
      <w:spacing w:line="240" w:lineRule="auto"/>
    </w:pPr>
  </w:style>
  <w:style w:type="paragraph" w:customStyle="1" w:styleId="80">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1">
    <w:name w:val="页脚 New New New New"/>
    <w:basedOn w:val="82"/>
    <w:autoRedefine/>
    <w:qFormat/>
    <w:uiPriority w:val="0"/>
    <w:pPr>
      <w:tabs>
        <w:tab w:val="center" w:pos="4153"/>
        <w:tab w:val="right" w:pos="8306"/>
      </w:tabs>
      <w:snapToGrid w:val="0"/>
      <w:jc w:val="left"/>
    </w:pPr>
    <w:rPr>
      <w:sz w:val="18"/>
      <w:szCs w:val="18"/>
    </w:rPr>
  </w:style>
  <w:style w:type="paragraph" w:customStyle="1" w:styleId="82">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5">
    <w:name w:val="页眉 New New New New New New New New New"/>
    <w:basedOn w:val="6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页眉 New New New New New New New New"/>
    <w:basedOn w:val="88"/>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8">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9">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2">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3">
    <w:name w:val="样式2"/>
    <w:basedOn w:val="21"/>
    <w:autoRedefine/>
    <w:qFormat/>
    <w:uiPriority w:val="0"/>
    <w:pPr>
      <w:tabs>
        <w:tab w:val="right" w:leader="dot" w:pos="9345"/>
      </w:tabs>
    </w:pPr>
    <w:rPr>
      <w:rFonts w:hAnsi="宋体"/>
      <w:b/>
      <w:color w:val="0000FF"/>
      <w:u w:val="single"/>
    </w:rPr>
  </w:style>
  <w:style w:type="paragraph" w:customStyle="1" w:styleId="94">
    <w:name w:val="页脚 New New New New New New New New"/>
    <w:basedOn w:val="95"/>
    <w:autoRedefine/>
    <w:qFormat/>
    <w:uiPriority w:val="0"/>
    <w:pPr>
      <w:tabs>
        <w:tab w:val="center" w:pos="4153"/>
        <w:tab w:val="right" w:pos="8306"/>
      </w:tabs>
      <w:snapToGrid w:val="0"/>
      <w:jc w:val="left"/>
    </w:pPr>
    <w:rPr>
      <w:sz w:val="18"/>
      <w:szCs w:val="18"/>
    </w:rPr>
  </w:style>
  <w:style w:type="paragraph" w:customStyle="1" w:styleId="95">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7">
    <w:name w:val="页脚 New New New New New New New New New New"/>
    <w:basedOn w:val="92"/>
    <w:autoRedefine/>
    <w:qFormat/>
    <w:uiPriority w:val="0"/>
    <w:pPr>
      <w:widowControl/>
      <w:tabs>
        <w:tab w:val="center" w:pos="4153"/>
        <w:tab w:val="right" w:pos="8306"/>
      </w:tabs>
      <w:snapToGrid w:val="0"/>
      <w:jc w:val="left"/>
    </w:pPr>
    <w:rPr>
      <w:sz w:val="18"/>
    </w:rPr>
  </w:style>
  <w:style w:type="paragraph" w:customStyle="1" w:styleId="98">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页脚 New New New New New New"/>
    <w:basedOn w:val="77"/>
    <w:autoRedefine/>
    <w:qFormat/>
    <w:uiPriority w:val="0"/>
    <w:pPr>
      <w:tabs>
        <w:tab w:val="center" w:pos="4153"/>
        <w:tab w:val="right" w:pos="8306"/>
      </w:tabs>
      <w:snapToGrid w:val="0"/>
      <w:jc w:val="left"/>
    </w:pPr>
    <w:rPr>
      <w:sz w:val="18"/>
    </w:rPr>
  </w:style>
  <w:style w:type="paragraph" w:customStyle="1" w:styleId="100">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页眉 New New New New New"/>
    <w:basedOn w:val="7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4">
    <w:name w:val="页脚 New New New New New New New New New New New"/>
    <w:basedOn w:val="88"/>
    <w:autoRedefine/>
    <w:qFormat/>
    <w:uiPriority w:val="0"/>
    <w:pPr>
      <w:widowControl/>
      <w:tabs>
        <w:tab w:val="center" w:pos="4153"/>
        <w:tab w:val="right" w:pos="8306"/>
      </w:tabs>
      <w:snapToGrid w:val="0"/>
      <w:jc w:val="left"/>
    </w:pPr>
    <w:rPr>
      <w:sz w:val="18"/>
    </w:rPr>
  </w:style>
  <w:style w:type="paragraph" w:customStyle="1" w:styleId="105">
    <w:name w:val="页眉 New New New New New New"/>
    <w:basedOn w:val="84"/>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6">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页眉 New New"/>
    <w:basedOn w:val="64"/>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8">
    <w:name w:val="页眉 New"/>
    <w:basedOn w:val="10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9">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页脚 New"/>
    <w:basedOn w:val="109"/>
    <w:autoRedefine/>
    <w:qFormat/>
    <w:uiPriority w:val="0"/>
    <w:pPr>
      <w:tabs>
        <w:tab w:val="center" w:pos="4153"/>
        <w:tab w:val="right" w:pos="8306"/>
      </w:tabs>
      <w:snapToGrid w:val="0"/>
      <w:jc w:val="left"/>
    </w:pPr>
    <w:rPr>
      <w:sz w:val="18"/>
      <w:szCs w:val="18"/>
    </w:rPr>
  </w:style>
  <w:style w:type="paragraph" w:customStyle="1" w:styleId="112">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3">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页脚 New New New"/>
    <w:basedOn w:val="69"/>
    <w:autoRedefine/>
    <w:qFormat/>
    <w:uiPriority w:val="0"/>
    <w:pPr>
      <w:tabs>
        <w:tab w:val="center" w:pos="4153"/>
        <w:tab w:val="right" w:pos="8306"/>
      </w:tabs>
      <w:snapToGrid w:val="0"/>
      <w:jc w:val="left"/>
    </w:pPr>
    <w:rPr>
      <w:sz w:val="18"/>
      <w:szCs w:val="18"/>
    </w:rPr>
  </w:style>
  <w:style w:type="paragraph" w:customStyle="1" w:styleId="116">
    <w:name w:val="页眉 New New New New"/>
    <w:basedOn w:val="6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7">
    <w:name w:val="纯文本 New"/>
    <w:basedOn w:val="64"/>
    <w:autoRedefine/>
    <w:qFormat/>
    <w:uiPriority w:val="0"/>
    <w:rPr>
      <w:rFonts w:ascii="宋体" w:hAnsi="Courier New"/>
      <w:szCs w:val="24"/>
    </w:rPr>
  </w:style>
  <w:style w:type="paragraph" w:customStyle="1" w:styleId="118">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1">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页脚 New New New New New New New New New New New New"/>
    <w:basedOn w:val="124"/>
    <w:autoRedefine/>
    <w:qFormat/>
    <w:uiPriority w:val="0"/>
    <w:pPr>
      <w:tabs>
        <w:tab w:val="center" w:pos="4153"/>
        <w:tab w:val="right" w:pos="8306"/>
      </w:tabs>
      <w:snapToGrid w:val="0"/>
      <w:jc w:val="left"/>
    </w:pPr>
    <w:rPr>
      <w:sz w:val="18"/>
      <w:szCs w:val="18"/>
    </w:rPr>
  </w:style>
  <w:style w:type="paragraph" w:customStyle="1" w:styleId="124">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5">
    <w:name w:val="目录 31"/>
    <w:basedOn w:val="70"/>
    <w:next w:val="70"/>
    <w:autoRedefine/>
    <w:qFormat/>
    <w:uiPriority w:val="0"/>
    <w:pPr>
      <w:ind w:left="561"/>
      <w:jc w:val="left"/>
    </w:pPr>
  </w:style>
  <w:style w:type="paragraph" w:customStyle="1" w:styleId="126">
    <w:name w:val="p0"/>
    <w:basedOn w:val="63"/>
    <w:autoRedefine/>
    <w:qFormat/>
    <w:uiPriority w:val="0"/>
    <w:pPr>
      <w:widowControl/>
      <w:spacing w:line="360" w:lineRule="auto"/>
    </w:pPr>
    <w:rPr>
      <w:rFonts w:ascii="宋体" w:hAnsi="宋体" w:cs="宋体"/>
      <w:kern w:val="0"/>
      <w:sz w:val="24"/>
      <w:szCs w:val="24"/>
    </w:rPr>
  </w:style>
  <w:style w:type="paragraph" w:customStyle="1" w:styleId="127">
    <w:name w:val="页眉 New New New New New New New"/>
    <w:basedOn w:val="92"/>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8">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0">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1">
    <w:name w:val="标题 2 New"/>
    <w:basedOn w:val="90"/>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2">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3">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4">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5">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6">
    <w:name w:val="正文文本缩进 New New New New"/>
    <w:basedOn w:val="129"/>
    <w:autoRedefine/>
    <w:qFormat/>
    <w:uiPriority w:val="0"/>
    <w:pPr>
      <w:ind w:firstLine="560" w:firstLineChars="200"/>
    </w:pPr>
    <w:rPr>
      <w:szCs w:val="28"/>
    </w:rPr>
  </w:style>
  <w:style w:type="paragraph" w:customStyle="1" w:styleId="137">
    <w:name w:val="页脚 New New New New New New New"/>
    <w:basedOn w:val="84"/>
    <w:autoRedefine/>
    <w:qFormat/>
    <w:uiPriority w:val="0"/>
    <w:pPr>
      <w:widowControl/>
      <w:tabs>
        <w:tab w:val="center" w:pos="4153"/>
        <w:tab w:val="right" w:pos="8306"/>
      </w:tabs>
      <w:snapToGrid w:val="0"/>
      <w:jc w:val="left"/>
    </w:pPr>
    <w:rPr>
      <w:kern w:val="0"/>
      <w:sz w:val="18"/>
      <w:szCs w:val="20"/>
    </w:rPr>
  </w:style>
  <w:style w:type="paragraph" w:customStyle="1" w:styleId="138">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页脚 New New New New New New New New New"/>
    <w:basedOn w:val="83"/>
    <w:autoRedefine/>
    <w:qFormat/>
    <w:uiPriority w:val="0"/>
    <w:pPr>
      <w:tabs>
        <w:tab w:val="center" w:pos="4153"/>
        <w:tab w:val="right" w:pos="8306"/>
      </w:tabs>
      <w:snapToGrid w:val="0"/>
      <w:jc w:val="left"/>
    </w:pPr>
    <w:rPr>
      <w:sz w:val="18"/>
      <w:szCs w:val="18"/>
    </w:rPr>
  </w:style>
  <w:style w:type="paragraph" w:customStyle="1" w:styleId="140">
    <w:name w:val="页脚 New New"/>
    <w:basedOn w:val="64"/>
    <w:autoRedefine/>
    <w:qFormat/>
    <w:uiPriority w:val="0"/>
    <w:pPr>
      <w:tabs>
        <w:tab w:val="center" w:pos="4153"/>
        <w:tab w:val="right" w:pos="8306"/>
      </w:tabs>
      <w:snapToGrid w:val="0"/>
      <w:jc w:val="left"/>
    </w:pPr>
    <w:rPr>
      <w:sz w:val="18"/>
      <w:szCs w:val="18"/>
    </w:rPr>
  </w:style>
  <w:style w:type="paragraph" w:customStyle="1" w:styleId="141">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4">
    <w:name w:val="样式1"/>
    <w:basedOn w:val="2"/>
    <w:autoRedefine/>
    <w:qFormat/>
    <w:uiPriority w:val="0"/>
    <w:pPr>
      <w:tabs>
        <w:tab w:val="right" w:leader="dot" w:pos="9345"/>
      </w:tabs>
    </w:pPr>
    <w:rPr>
      <w:rFonts w:ascii="宋体" w:hAnsi="宋体"/>
      <w:b/>
      <w:caps/>
      <w:u w:val="single"/>
    </w:rPr>
  </w:style>
  <w:style w:type="paragraph" w:customStyle="1" w:styleId="145">
    <w:name w:val="页眉 New New New"/>
    <w:basedOn w:val="6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6">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8">
    <w:name w:val="正文正"/>
    <w:basedOn w:val="1"/>
    <w:autoRedefine/>
    <w:qFormat/>
    <w:uiPriority w:val="0"/>
    <w:pPr>
      <w:spacing w:line="560" w:lineRule="exact"/>
      <w:ind w:firstLine="561"/>
    </w:pPr>
    <w:rPr>
      <w:rFonts w:ascii="Calibri" w:hAnsi="Calibri"/>
      <w:sz w:val="28"/>
      <w:szCs w:val="28"/>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50">
    <w:name w:val="标题 2 New New"/>
    <w:basedOn w:val="119"/>
    <w:next w:val="119"/>
    <w:autoRedefine/>
    <w:qFormat/>
    <w:uiPriority w:val="0"/>
    <w:pPr>
      <w:autoSpaceDE w:val="0"/>
      <w:autoSpaceDN w:val="0"/>
      <w:adjustRightInd w:val="0"/>
      <w:jc w:val="left"/>
      <w:outlineLvl w:val="1"/>
    </w:pPr>
    <w:rPr>
      <w:kern w:val="0"/>
      <w:sz w:val="24"/>
    </w:rPr>
  </w:style>
  <w:style w:type="paragraph" w:customStyle="1" w:styleId="151">
    <w:name w:val="标题 1 New"/>
    <w:basedOn w:val="119"/>
    <w:next w:val="119"/>
    <w:autoRedefine/>
    <w:qFormat/>
    <w:uiPriority w:val="0"/>
    <w:pPr>
      <w:autoSpaceDE w:val="0"/>
      <w:autoSpaceDN w:val="0"/>
      <w:adjustRightInd w:val="0"/>
      <w:jc w:val="left"/>
      <w:outlineLvl w:val="0"/>
    </w:pPr>
    <w:rPr>
      <w:kern w:val="0"/>
      <w:sz w:val="30"/>
    </w:rPr>
  </w:style>
  <w:style w:type="paragraph" w:customStyle="1" w:styleId="152">
    <w:name w:val="WPSOffice手动目录 1"/>
    <w:autoRedefine/>
    <w:qFormat/>
    <w:uiPriority w:val="0"/>
    <w:rPr>
      <w:rFonts w:ascii="Times New Roman" w:hAnsi="Times New Roman" w:eastAsia="宋体" w:cs="Times New Roman"/>
      <w:lang w:val="en-US" w:eastAsia="zh-CN" w:bidi="ar-SA"/>
    </w:rPr>
  </w:style>
  <w:style w:type="paragraph" w:customStyle="1" w:styleId="15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5">
    <w:name w:val="正文缩进1"/>
    <w:basedOn w:val="1"/>
    <w:autoRedefine/>
    <w:qFormat/>
    <w:uiPriority w:val="0"/>
    <w:pPr>
      <w:widowControl/>
      <w:ind w:firstLine="420"/>
      <w:jc w:val="left"/>
    </w:pPr>
    <w:rPr>
      <w:kern w:val="0"/>
    </w:rPr>
  </w:style>
  <w:style w:type="character" w:styleId="156">
    <w:name w:val="Placeholder Text"/>
    <w:basedOn w:val="33"/>
    <w:semiHidden/>
    <w:qFormat/>
    <w:uiPriority w:val="99"/>
    <w:rPr>
      <w:color w:val="808080"/>
    </w:rPr>
  </w:style>
  <w:style w:type="paragraph" w:customStyle="1" w:styleId="157">
    <w:name w:val="正文文本1"/>
    <w:basedOn w:val="1"/>
    <w:qFormat/>
    <w:uiPriority w:val="0"/>
    <w:pPr>
      <w:spacing w:after="120"/>
    </w:pPr>
  </w:style>
  <w:style w:type="character" w:customStyle="1" w:styleId="158">
    <w:name w:val="NormalCharacter"/>
    <w:qFormat/>
    <w:uiPriority w:val="99"/>
  </w:style>
  <w:style w:type="paragraph" w:customStyle="1" w:styleId="159">
    <w:name w:val="UserStyle_76"/>
    <w:basedOn w:val="160"/>
    <w:qFormat/>
    <w:uiPriority w:val="99"/>
    <w:pPr>
      <w:ind w:firstLine="420"/>
      <w:jc w:val="left"/>
    </w:pPr>
    <w:rPr>
      <w:kern w:val="0"/>
      <w:sz w:val="20"/>
      <w:szCs w:val="20"/>
    </w:rPr>
  </w:style>
  <w:style w:type="paragraph" w:customStyle="1" w:styleId="160">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161">
    <w:name w:val="标题 2 字符"/>
    <w:link w:val="4"/>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74</Pages>
  <Words>25095</Words>
  <Characters>27012</Characters>
  <Lines>1</Lines>
  <Paragraphs>1</Paragraphs>
  <TotalTime>23</TotalTime>
  <ScaleCrop>false</ScaleCrop>
  <LinksUpToDate>false</LinksUpToDate>
  <CharactersWithSpaces>27610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（翁源）汇龙工程咨询13380720065</cp:lastModifiedBy>
  <cp:lastPrinted>2026-07-02T02:23:41Z</cp:lastPrinted>
  <dcterms:modified xsi:type="dcterms:W3CDTF">2026-07-02T03:06:50Z</dcterms:modified>
  <dc:title>广东省韶关学院第三期学生公寓第一、二组团工程施工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ribbonExt">
    <vt:lpwstr>{"WPSExtOfficeTab":{"OnGetEnabled":false,"OnGetVisible":false}}</vt:lpwstr>
  </property>
  <property fmtid="{D5CDD505-2E9C-101B-9397-08002B2CF9AE}" pid="4" name="ICV">
    <vt:lpwstr>9121EA6DFB0448F88E991D130AD3CE5F_13</vt:lpwstr>
  </property>
  <property fmtid="{D5CDD505-2E9C-101B-9397-08002B2CF9AE}" pid="5" name="KSOTemplateDocerSaveRecord">
    <vt:lpwstr>eyJoZGlkIjoiNTNhYTZkNmVjNGViN2E2OTdmNjI2MWYwZTU2MThkNTgiLCJ1c2VySWQiOiIxNzc3NTIyMTE5In0=</vt:lpwstr>
  </property>
</Properties>
</file>